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65D2" w:rsidP="004915D9" w14:paraId="7F493365" w14:textId="77777777">
      <w:pPr>
        <w:jc w:val="center"/>
        <w:rPr>
          <w:b/>
          <w:bCs/>
          <w:sz w:val="32"/>
          <w:szCs w:val="32"/>
        </w:rPr>
      </w:pPr>
    </w:p>
    <w:p w:rsidR="004915D9" w:rsidRPr="00D839EE" w:rsidP="004915D9" w14:paraId="7F493366" w14:textId="77777777">
      <w:pPr>
        <w:jc w:val="center"/>
        <w:rPr>
          <w:b/>
          <w:bCs/>
          <w:sz w:val="32"/>
          <w:szCs w:val="32"/>
        </w:rPr>
      </w:pPr>
      <w:r w:rsidRPr="00D839EE">
        <w:rPr>
          <w:b/>
          <w:bCs/>
          <w:sz w:val="32"/>
          <w:szCs w:val="32"/>
        </w:rPr>
        <w:t>R</w:t>
      </w:r>
      <w:r w:rsidR="0034111C">
        <w:rPr>
          <w:b/>
          <w:bCs/>
          <w:sz w:val="32"/>
          <w:szCs w:val="32"/>
        </w:rPr>
        <w:t>e</w:t>
      </w:r>
      <w:r w:rsidRPr="00D839EE">
        <w:rPr>
          <w:b/>
          <w:bCs/>
          <w:sz w:val="32"/>
          <w:szCs w:val="32"/>
        </w:rPr>
        <w:t>gulatory Analysis</w:t>
      </w:r>
    </w:p>
    <w:p w:rsidR="004915D9" w:rsidRPr="00D839EE" w:rsidP="004915D9" w14:paraId="7F493367" w14:textId="77777777">
      <w:pPr>
        <w:jc w:val="center"/>
        <w:rPr>
          <w:b/>
          <w:bCs/>
          <w:sz w:val="32"/>
          <w:szCs w:val="32"/>
        </w:rPr>
      </w:pPr>
    </w:p>
    <w:p w:rsidR="004915D9" w:rsidRPr="00D839EE" w:rsidP="004915D9" w14:paraId="7F493368" w14:textId="77777777">
      <w:pPr>
        <w:jc w:val="center"/>
        <w:rPr>
          <w:b/>
          <w:bCs/>
          <w:sz w:val="22"/>
          <w:szCs w:val="22"/>
        </w:rPr>
      </w:pPr>
      <w:r w:rsidRPr="00D839EE">
        <w:rPr>
          <w:b/>
          <w:bCs/>
          <w:sz w:val="32"/>
          <w:szCs w:val="32"/>
        </w:rPr>
        <w:t>N</w:t>
      </w:r>
      <w:r w:rsidRPr="00D839EE" w:rsidR="00E910B1">
        <w:rPr>
          <w:b/>
          <w:bCs/>
          <w:sz w:val="32"/>
          <w:szCs w:val="32"/>
        </w:rPr>
        <w:t>on-</w:t>
      </w:r>
      <w:r w:rsidR="00377C65">
        <w:rPr>
          <w:b/>
          <w:bCs/>
          <w:sz w:val="32"/>
          <w:szCs w:val="32"/>
        </w:rPr>
        <w:t>P</w:t>
      </w:r>
      <w:r w:rsidRPr="00D839EE" w:rsidR="00E910B1">
        <w:rPr>
          <w:b/>
          <w:bCs/>
          <w:sz w:val="32"/>
          <w:szCs w:val="32"/>
        </w:rPr>
        <w:t xml:space="preserve">ower </w:t>
      </w:r>
      <w:r w:rsidRPr="00D839EE">
        <w:rPr>
          <w:b/>
          <w:bCs/>
          <w:sz w:val="32"/>
          <w:szCs w:val="32"/>
        </w:rPr>
        <w:t>P</w:t>
      </w:r>
      <w:r w:rsidRPr="00D839EE" w:rsidR="00E910B1">
        <w:rPr>
          <w:b/>
          <w:bCs/>
          <w:sz w:val="32"/>
          <w:szCs w:val="32"/>
        </w:rPr>
        <w:t xml:space="preserve">roduction </w:t>
      </w:r>
      <w:r w:rsidRPr="00D839EE" w:rsidR="00EB444E">
        <w:rPr>
          <w:b/>
          <w:bCs/>
          <w:sz w:val="32"/>
          <w:szCs w:val="32"/>
        </w:rPr>
        <w:t xml:space="preserve">or </w:t>
      </w:r>
      <w:r w:rsidRPr="00D839EE">
        <w:rPr>
          <w:b/>
          <w:bCs/>
          <w:sz w:val="32"/>
          <w:szCs w:val="32"/>
        </w:rPr>
        <w:t>U</w:t>
      </w:r>
      <w:r w:rsidRPr="00D839EE" w:rsidR="00E910B1">
        <w:rPr>
          <w:b/>
          <w:bCs/>
          <w:sz w:val="32"/>
          <w:szCs w:val="32"/>
        </w:rPr>
        <w:t xml:space="preserve">tilization </w:t>
      </w:r>
      <w:r w:rsidRPr="00D839EE">
        <w:rPr>
          <w:b/>
          <w:bCs/>
          <w:sz w:val="32"/>
          <w:szCs w:val="32"/>
        </w:rPr>
        <w:t>F</w:t>
      </w:r>
      <w:r w:rsidRPr="00D839EE" w:rsidR="00E910B1">
        <w:rPr>
          <w:b/>
          <w:bCs/>
          <w:sz w:val="32"/>
          <w:szCs w:val="32"/>
        </w:rPr>
        <w:t>acility</w:t>
      </w:r>
      <w:r w:rsidRPr="00D839EE">
        <w:rPr>
          <w:b/>
          <w:bCs/>
          <w:sz w:val="32"/>
          <w:szCs w:val="32"/>
        </w:rPr>
        <w:t xml:space="preserve"> License Renewal</w:t>
      </w:r>
    </w:p>
    <w:p w:rsidR="004915D9" w:rsidRPr="001176AF" w:rsidP="004915D9" w14:paraId="7F493369" w14:textId="77777777">
      <w:pPr>
        <w:jc w:val="center"/>
        <w:rPr>
          <w:b/>
          <w:sz w:val="32"/>
        </w:rPr>
      </w:pPr>
      <w:r w:rsidRPr="001176AF">
        <w:rPr>
          <w:b/>
          <w:bCs/>
          <w:sz w:val="32"/>
          <w:szCs w:val="22"/>
        </w:rPr>
        <w:t>Final Rule</w:t>
      </w:r>
    </w:p>
    <w:p w:rsidR="004915D9" w:rsidRPr="00D839EE" w:rsidP="004915D9" w14:paraId="7F49336A" w14:textId="77777777">
      <w:pPr>
        <w:jc w:val="center"/>
        <w:rPr>
          <w:b/>
          <w:bCs/>
          <w:sz w:val="22"/>
          <w:szCs w:val="22"/>
        </w:rPr>
      </w:pPr>
    </w:p>
    <w:p w:rsidR="004915D9" w:rsidRPr="00D839EE" w:rsidP="004915D9" w14:paraId="7F49336B" w14:textId="77777777">
      <w:pPr>
        <w:pBdr>
          <w:bottom w:val="single" w:sz="18" w:space="1" w:color="auto"/>
        </w:pBdr>
        <w:jc w:val="center"/>
        <w:rPr>
          <w:sz w:val="22"/>
          <w:szCs w:val="22"/>
        </w:rPr>
      </w:pPr>
    </w:p>
    <w:p w:rsidR="004915D9" w:rsidRPr="00D839EE" w:rsidP="004915D9" w14:paraId="7F49336C" w14:textId="77777777">
      <w:pPr>
        <w:jc w:val="center"/>
        <w:rPr>
          <w:sz w:val="22"/>
          <w:szCs w:val="22"/>
        </w:rPr>
      </w:pPr>
      <w:r w:rsidRPr="00D839EE">
        <w:rPr>
          <w:noProof/>
        </w:rPr>
        <mc:AlternateContent>
          <mc:Choice Requires="wps">
            <w:drawing>
              <wp:anchor distT="0" distB="0" distL="114297" distR="114297" simplePos="0" relativeHeight="251658240" behindDoc="0" locked="0" layoutInCell="0" allowOverlap="1">
                <wp:simplePos x="0" y="0"/>
                <wp:positionH relativeFrom="margin">
                  <wp:posOffset>-1</wp:posOffset>
                </wp:positionH>
                <wp:positionV relativeFrom="paragraph">
                  <wp:posOffset>-1</wp:posOffset>
                </wp:positionV>
                <wp:extent cx="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12192">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59264" from="0,0" to="0,0" o:allowincell="f" strokecolor="#020000" strokeweight="0.96pt">
                <w10:wrap anchorx="margin"/>
              </v:line>
            </w:pict>
          </mc:Fallback>
        </mc:AlternateContent>
      </w:r>
    </w:p>
    <w:p w:rsidR="004915D9" w:rsidRPr="00D839EE" w:rsidP="004915D9" w14:paraId="7F49336D" w14:textId="77777777">
      <w:pPr>
        <w:jc w:val="center"/>
        <w:rPr>
          <w:sz w:val="22"/>
          <w:szCs w:val="22"/>
        </w:rPr>
      </w:pPr>
    </w:p>
    <w:p w:rsidR="004915D9" w:rsidRPr="00D839EE" w:rsidP="004915D9" w14:paraId="7F49336E" w14:textId="77777777">
      <w:pPr>
        <w:rPr>
          <w:sz w:val="22"/>
          <w:szCs w:val="22"/>
        </w:rPr>
      </w:pPr>
    </w:p>
    <w:p w:rsidR="004915D9" w:rsidRPr="00D839EE" w:rsidP="004915D9" w14:paraId="7F49336F" w14:textId="77777777">
      <w:pPr>
        <w:rPr>
          <w:sz w:val="30"/>
          <w:szCs w:val="30"/>
        </w:rPr>
      </w:pPr>
      <w:r w:rsidRPr="00D839EE">
        <w:rPr>
          <w:b/>
          <w:bCs/>
          <w:sz w:val="30"/>
          <w:szCs w:val="30"/>
        </w:rPr>
        <w:t>U.S. Nuclear Regulatory Commission</w:t>
      </w:r>
    </w:p>
    <w:p w:rsidR="004915D9" w:rsidRPr="00D839EE" w:rsidP="004915D9" w14:paraId="7F493370" w14:textId="77777777">
      <w:pPr>
        <w:rPr>
          <w:sz w:val="30"/>
          <w:szCs w:val="30"/>
        </w:rPr>
      </w:pPr>
    </w:p>
    <w:p w:rsidR="004915D9" w:rsidRPr="00D839EE" w:rsidP="004915D9" w14:paraId="7F493371" w14:textId="77777777">
      <w:pPr>
        <w:rPr>
          <w:sz w:val="30"/>
          <w:szCs w:val="30"/>
        </w:rPr>
      </w:pPr>
    </w:p>
    <w:p w:rsidR="004915D9" w:rsidRPr="00D839EE" w:rsidP="004915D9" w14:paraId="7F493372" w14:textId="77777777">
      <w:pPr>
        <w:rPr>
          <w:sz w:val="28"/>
          <w:szCs w:val="28"/>
        </w:rPr>
      </w:pPr>
      <w:r w:rsidRPr="00742A6F">
        <w:rPr>
          <w:sz w:val="28"/>
          <w:szCs w:val="28"/>
          <w:highlight w:val="yellow"/>
        </w:rPr>
        <w:t>Date</w:t>
      </w:r>
    </w:p>
    <w:p w:rsidR="004915D9" w:rsidRPr="00D839EE" w:rsidP="004915D9" w14:paraId="7F493373" w14:textId="77777777">
      <w:pPr>
        <w:rPr>
          <w:sz w:val="28"/>
          <w:szCs w:val="28"/>
        </w:rPr>
      </w:pPr>
    </w:p>
    <w:p w:rsidR="004B7EE9" w:rsidRPr="00D839EE" w:rsidP="004915D9" w14:paraId="7F493374" w14:textId="77777777">
      <w:pPr>
        <w:rPr>
          <w:sz w:val="28"/>
          <w:szCs w:val="28"/>
        </w:rPr>
      </w:pPr>
    </w:p>
    <w:p w:rsidR="00803788" w:rsidRPr="00D839EE" w:rsidP="004915D9" w14:paraId="7F493375" w14:textId="77777777">
      <w:pPr>
        <w:rPr>
          <w:sz w:val="28"/>
          <w:szCs w:val="28"/>
        </w:rPr>
      </w:pPr>
    </w:p>
    <w:p w:rsidR="004915D9" w:rsidRPr="00D839EE" w:rsidP="004915D9" w14:paraId="7F493376" w14:textId="77777777">
      <w:pPr>
        <w:rPr>
          <w:rFonts w:cs="Arial"/>
          <w:b/>
          <w:bCs/>
          <w:kern w:val="32"/>
          <w:sz w:val="32"/>
          <w:szCs w:val="32"/>
        </w:rPr>
        <w:sectPr w:rsidSect="004915D9">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rsidRPr="00D839EE">
        <w:rPr>
          <w:noProof/>
          <w:sz w:val="22"/>
          <w:szCs w:val="22"/>
        </w:rPr>
        <w:drawing>
          <wp:anchor distT="0" distB="0" distL="114300" distR="114300" simplePos="0" relativeHeight="251660288" behindDoc="1" locked="0" layoutInCell="1" allowOverlap="1">
            <wp:simplePos x="0" y="0"/>
            <wp:positionH relativeFrom="margin">
              <wp:align>left</wp:align>
            </wp:positionH>
            <wp:positionV relativeFrom="paragraph">
              <wp:posOffset>7386</wp:posOffset>
            </wp:positionV>
            <wp:extent cx="1830705" cy="1828800"/>
            <wp:effectExtent l="0" t="0" r="0" b="0"/>
            <wp:wrapThrough wrapText="bothSides">
              <wp:wrapPolygon>
                <wp:start x="8092" y="0"/>
                <wp:lineTo x="6293" y="450"/>
                <wp:lineTo x="2023" y="2925"/>
                <wp:lineTo x="1349" y="4725"/>
                <wp:lineTo x="0" y="7200"/>
                <wp:lineTo x="0" y="14400"/>
                <wp:lineTo x="2023" y="18000"/>
                <wp:lineTo x="2248" y="18675"/>
                <wp:lineTo x="6968" y="21375"/>
                <wp:lineTo x="8092" y="21375"/>
                <wp:lineTo x="13261" y="21375"/>
                <wp:lineTo x="14385" y="21375"/>
                <wp:lineTo x="19105" y="18675"/>
                <wp:lineTo x="19330" y="18000"/>
                <wp:lineTo x="21353" y="14400"/>
                <wp:lineTo x="21353" y="7200"/>
                <wp:lineTo x="20004" y="4725"/>
                <wp:lineTo x="19555" y="3150"/>
                <wp:lineTo x="15059" y="450"/>
                <wp:lineTo x="13261" y="0"/>
                <wp:lineTo x="8092" y="0"/>
              </wp:wrapPolygon>
            </wp:wrapThrough>
            <wp:docPr id="1" name="Picture 0" descr="600px-US-NuclearRegulatoryCommission-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NuclearRegulatoryCommission-Seal.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30705" cy="1828800"/>
                    </a:xfrm>
                    <a:prstGeom prst="rect">
                      <a:avLst/>
                    </a:prstGeom>
                  </pic:spPr>
                </pic:pic>
              </a:graphicData>
            </a:graphic>
            <wp14:sizeRelH relativeFrom="page">
              <wp14:pctWidth>0</wp14:pctWidth>
            </wp14:sizeRelH>
            <wp14:sizeRelV relativeFrom="page">
              <wp14:pctHeight>0</wp14:pctHeight>
            </wp14:sizeRelV>
          </wp:anchor>
        </w:drawing>
      </w:r>
    </w:p>
    <w:p w:rsidR="003F5727" w:rsidRPr="00D839EE" w:rsidP="00995E96" w14:paraId="7F493377" w14:textId="77777777">
      <w:pPr>
        <w:jc w:val="center"/>
        <w:rPr>
          <w:sz w:val="22"/>
          <w:szCs w:val="22"/>
        </w:rPr>
      </w:pPr>
    </w:p>
    <w:p w:rsidR="003F5727" w:rsidRPr="00D839EE" w:rsidP="00995E96" w14:paraId="7F493378" w14:textId="77777777">
      <w:pPr>
        <w:jc w:val="center"/>
        <w:rPr>
          <w:sz w:val="22"/>
          <w:szCs w:val="22"/>
        </w:rPr>
      </w:pPr>
    </w:p>
    <w:p w:rsidR="003F5727" w:rsidRPr="00D839EE" w:rsidP="00995E96" w14:paraId="7F493379" w14:textId="77777777">
      <w:pPr>
        <w:jc w:val="center"/>
        <w:rPr>
          <w:sz w:val="22"/>
          <w:szCs w:val="22"/>
        </w:rPr>
      </w:pPr>
    </w:p>
    <w:p w:rsidR="003F5727" w:rsidRPr="00D839EE" w:rsidP="00995E96" w14:paraId="7F49337A" w14:textId="77777777">
      <w:pPr>
        <w:jc w:val="center"/>
        <w:rPr>
          <w:sz w:val="22"/>
          <w:szCs w:val="22"/>
        </w:rPr>
      </w:pPr>
    </w:p>
    <w:p w:rsidR="003F5727" w:rsidRPr="00D839EE" w:rsidP="00995E96" w14:paraId="7F49337B" w14:textId="77777777">
      <w:pPr>
        <w:jc w:val="center"/>
        <w:rPr>
          <w:sz w:val="22"/>
          <w:szCs w:val="22"/>
        </w:rPr>
      </w:pPr>
    </w:p>
    <w:p w:rsidR="003F5727" w:rsidRPr="00D839EE" w:rsidP="00995E96" w14:paraId="7F49337C" w14:textId="77777777">
      <w:pPr>
        <w:jc w:val="center"/>
        <w:rPr>
          <w:sz w:val="22"/>
          <w:szCs w:val="22"/>
        </w:rPr>
      </w:pPr>
    </w:p>
    <w:p w:rsidR="003F5727" w:rsidRPr="00D839EE" w:rsidP="00995E96" w14:paraId="7F49337D" w14:textId="77777777">
      <w:pPr>
        <w:jc w:val="center"/>
        <w:rPr>
          <w:sz w:val="22"/>
          <w:szCs w:val="22"/>
        </w:rPr>
      </w:pPr>
    </w:p>
    <w:p w:rsidR="003F5727" w:rsidRPr="00D839EE" w:rsidP="00995E96" w14:paraId="7F49337E" w14:textId="77777777">
      <w:pPr>
        <w:jc w:val="center"/>
        <w:rPr>
          <w:sz w:val="22"/>
          <w:szCs w:val="22"/>
        </w:rPr>
      </w:pPr>
    </w:p>
    <w:p w:rsidR="003F5727" w:rsidRPr="00D839EE" w:rsidP="00995E96" w14:paraId="7F49337F" w14:textId="77777777">
      <w:pPr>
        <w:jc w:val="center"/>
        <w:rPr>
          <w:sz w:val="22"/>
          <w:szCs w:val="22"/>
        </w:rPr>
      </w:pPr>
    </w:p>
    <w:p w:rsidR="003F5727" w:rsidRPr="00D839EE" w:rsidP="00995E96" w14:paraId="7F493380" w14:textId="77777777">
      <w:pPr>
        <w:jc w:val="center"/>
        <w:rPr>
          <w:sz w:val="22"/>
          <w:szCs w:val="22"/>
        </w:rPr>
      </w:pPr>
    </w:p>
    <w:p w:rsidR="003F5727" w:rsidRPr="00D839EE" w:rsidP="00995E96" w14:paraId="7F493381" w14:textId="77777777">
      <w:pPr>
        <w:jc w:val="center"/>
        <w:rPr>
          <w:sz w:val="22"/>
          <w:szCs w:val="22"/>
        </w:rPr>
      </w:pPr>
    </w:p>
    <w:p w:rsidR="003F5727" w:rsidRPr="00D839EE" w:rsidP="00995E96" w14:paraId="7F493382" w14:textId="77777777">
      <w:pPr>
        <w:jc w:val="center"/>
        <w:rPr>
          <w:sz w:val="22"/>
          <w:szCs w:val="22"/>
        </w:rPr>
      </w:pPr>
    </w:p>
    <w:p w:rsidR="003F5727" w:rsidRPr="00D839EE" w:rsidP="00995E96" w14:paraId="7F493383" w14:textId="77777777">
      <w:pPr>
        <w:jc w:val="center"/>
        <w:rPr>
          <w:sz w:val="22"/>
          <w:szCs w:val="22"/>
        </w:rPr>
      </w:pPr>
    </w:p>
    <w:p w:rsidR="003F5727" w:rsidRPr="00D839EE" w:rsidP="00995E96" w14:paraId="7F493384" w14:textId="77777777">
      <w:pPr>
        <w:jc w:val="center"/>
        <w:rPr>
          <w:sz w:val="22"/>
          <w:szCs w:val="22"/>
        </w:rPr>
      </w:pPr>
    </w:p>
    <w:p w:rsidR="003F5727" w:rsidRPr="00D839EE" w:rsidP="003F5727" w14:paraId="7F493385" w14:textId="77777777">
      <w:pPr>
        <w:rPr>
          <w:sz w:val="22"/>
          <w:szCs w:val="22"/>
        </w:rPr>
      </w:pPr>
    </w:p>
    <w:p w:rsidR="003F5727" w:rsidRPr="00D839EE" w:rsidP="00995E96" w14:paraId="7F493386" w14:textId="77777777">
      <w:pPr>
        <w:jc w:val="center"/>
        <w:rPr>
          <w:sz w:val="22"/>
          <w:szCs w:val="22"/>
        </w:rPr>
      </w:pPr>
    </w:p>
    <w:p w:rsidR="003F5727" w:rsidRPr="00D839EE" w:rsidP="00995E96" w14:paraId="7F493387" w14:textId="77777777">
      <w:pPr>
        <w:jc w:val="center"/>
        <w:rPr>
          <w:sz w:val="22"/>
          <w:szCs w:val="22"/>
        </w:rPr>
      </w:pPr>
    </w:p>
    <w:p w:rsidR="003F5727" w:rsidRPr="00D839EE" w:rsidP="00995E96" w14:paraId="7F493388" w14:textId="77777777">
      <w:pPr>
        <w:jc w:val="center"/>
        <w:rPr>
          <w:sz w:val="22"/>
          <w:szCs w:val="22"/>
        </w:rPr>
      </w:pPr>
    </w:p>
    <w:p w:rsidR="003F5727" w:rsidRPr="00D839EE" w:rsidP="00995E96" w14:paraId="7F493389" w14:textId="77777777">
      <w:pPr>
        <w:jc w:val="center"/>
        <w:rPr>
          <w:sz w:val="22"/>
          <w:szCs w:val="22"/>
        </w:rPr>
      </w:pPr>
    </w:p>
    <w:p w:rsidR="003F5727" w:rsidRPr="00D839EE" w:rsidP="00995E96" w14:paraId="7F49338A" w14:textId="77777777">
      <w:pPr>
        <w:jc w:val="center"/>
        <w:rPr>
          <w:sz w:val="22"/>
          <w:szCs w:val="22"/>
        </w:rPr>
      </w:pPr>
    </w:p>
    <w:p w:rsidR="003F5727" w:rsidRPr="00D839EE" w:rsidP="00995E96" w14:paraId="7F49338B" w14:textId="77777777">
      <w:pPr>
        <w:jc w:val="center"/>
        <w:rPr>
          <w:sz w:val="22"/>
          <w:szCs w:val="22"/>
        </w:rPr>
      </w:pPr>
    </w:p>
    <w:p w:rsidR="00995E96" w:rsidRPr="00D839EE" w:rsidP="00995E96" w14:paraId="7F49338C" w14:textId="77777777">
      <w:pPr>
        <w:rPr>
          <w:sz w:val="22"/>
          <w:szCs w:val="22"/>
        </w:rPr>
      </w:pPr>
    </w:p>
    <w:p w:rsidR="00995E96" w:rsidRPr="00D839EE" w:rsidP="00995E96" w14:paraId="7F49338D" w14:textId="77777777">
      <w:pPr>
        <w:rPr>
          <w:sz w:val="22"/>
          <w:szCs w:val="22"/>
        </w:rPr>
      </w:pPr>
    </w:p>
    <w:p w:rsidR="00995E96" w:rsidRPr="00D839EE" w:rsidP="00995E96" w14:paraId="7F49338E" w14:textId="77777777">
      <w:pPr>
        <w:rPr>
          <w:sz w:val="22"/>
          <w:szCs w:val="22"/>
        </w:rPr>
      </w:pPr>
    </w:p>
    <w:p w:rsidR="0067788C" w:rsidRPr="00D839EE" w:rsidP="00995E96" w14:paraId="7F49338F" w14:textId="77777777">
      <w:pPr>
        <w:jc w:val="center"/>
        <w:rPr>
          <w:sz w:val="22"/>
          <w:szCs w:val="22"/>
        </w:rPr>
      </w:pPr>
      <w:r w:rsidRPr="00D839EE">
        <w:rPr>
          <w:sz w:val="22"/>
          <w:szCs w:val="22"/>
        </w:rPr>
        <w:t xml:space="preserve">This page </w:t>
      </w:r>
      <w:r w:rsidRPr="00D839EE" w:rsidR="00995E96">
        <w:rPr>
          <w:sz w:val="22"/>
          <w:szCs w:val="22"/>
        </w:rPr>
        <w:t xml:space="preserve">is </w:t>
      </w:r>
      <w:r w:rsidRPr="00D839EE">
        <w:rPr>
          <w:sz w:val="22"/>
          <w:szCs w:val="22"/>
        </w:rPr>
        <w:t>intentionally left blank.</w:t>
      </w:r>
    </w:p>
    <w:p w:rsidR="0067788C" w:rsidRPr="00D839EE" w:rsidP="0067788C" w14:paraId="7F493390" w14:textId="77777777">
      <w:pPr>
        <w:rPr>
          <w:sz w:val="22"/>
          <w:szCs w:val="22"/>
        </w:rPr>
      </w:pPr>
    </w:p>
    <w:p w:rsidR="0067788C" w:rsidRPr="00D839EE" w:rsidP="0067788C" w14:paraId="7F493391" w14:textId="77777777">
      <w:pPr>
        <w:rPr>
          <w:sz w:val="22"/>
          <w:szCs w:val="22"/>
        </w:rPr>
      </w:pPr>
    </w:p>
    <w:p w:rsidR="0067788C" w:rsidRPr="00D839EE" w:rsidP="0067788C" w14:paraId="7F493392" w14:textId="77777777">
      <w:pPr>
        <w:rPr>
          <w:sz w:val="22"/>
          <w:szCs w:val="22"/>
        </w:rPr>
      </w:pPr>
    </w:p>
    <w:p w:rsidR="0067788C" w:rsidRPr="00D839EE" w:rsidP="0067788C" w14:paraId="7F493393" w14:textId="77777777">
      <w:pPr>
        <w:rPr>
          <w:sz w:val="22"/>
          <w:szCs w:val="22"/>
        </w:rPr>
      </w:pPr>
    </w:p>
    <w:p w:rsidR="0067788C" w:rsidRPr="00D839EE" w:rsidP="0067788C" w14:paraId="7F493394" w14:textId="77777777">
      <w:pPr>
        <w:rPr>
          <w:sz w:val="22"/>
          <w:szCs w:val="22"/>
        </w:rPr>
      </w:pPr>
    </w:p>
    <w:p w:rsidR="0067788C" w:rsidRPr="00D839EE" w:rsidP="0067788C" w14:paraId="7F493395" w14:textId="77777777">
      <w:pPr>
        <w:rPr>
          <w:sz w:val="22"/>
          <w:szCs w:val="22"/>
        </w:rPr>
      </w:pPr>
    </w:p>
    <w:p w:rsidR="0067788C" w:rsidRPr="00D839EE" w:rsidP="0067788C" w14:paraId="7F493396" w14:textId="77777777">
      <w:pPr>
        <w:rPr>
          <w:sz w:val="22"/>
          <w:szCs w:val="22"/>
        </w:rPr>
      </w:pPr>
    </w:p>
    <w:p w:rsidR="0067788C" w:rsidRPr="00D839EE" w:rsidP="0067788C" w14:paraId="7F493397" w14:textId="77777777">
      <w:pPr>
        <w:rPr>
          <w:sz w:val="22"/>
          <w:szCs w:val="22"/>
        </w:rPr>
      </w:pPr>
    </w:p>
    <w:p w:rsidR="0067788C" w:rsidRPr="00D839EE" w:rsidP="0067788C" w14:paraId="7F493398" w14:textId="77777777">
      <w:pPr>
        <w:rPr>
          <w:sz w:val="22"/>
          <w:szCs w:val="22"/>
        </w:rPr>
      </w:pPr>
    </w:p>
    <w:p w:rsidR="0067788C" w:rsidRPr="00D839EE" w:rsidP="0067788C" w14:paraId="7F493399" w14:textId="77777777">
      <w:pPr>
        <w:rPr>
          <w:sz w:val="22"/>
          <w:szCs w:val="22"/>
        </w:rPr>
      </w:pPr>
    </w:p>
    <w:p w:rsidR="0067788C" w:rsidRPr="00D839EE" w:rsidP="0067788C" w14:paraId="7F49339A" w14:textId="77777777">
      <w:pPr>
        <w:rPr>
          <w:sz w:val="22"/>
          <w:szCs w:val="22"/>
        </w:rPr>
      </w:pPr>
    </w:p>
    <w:p w:rsidR="004915D9" w:rsidRPr="00D839EE" w:rsidP="0067788C" w14:paraId="7F49339B" w14:textId="77777777">
      <w:pPr>
        <w:tabs>
          <w:tab w:val="center" w:pos="4680"/>
        </w:tabs>
        <w:rPr>
          <w:sz w:val="22"/>
          <w:szCs w:val="22"/>
        </w:rPr>
        <w:sectPr w:rsidSect="0090352B">
          <w:headerReference w:type="default" r:id="rId15"/>
          <w:footerReference w:type="default" r:id="rId16"/>
          <w:pgSz w:w="12240" w:h="15840"/>
          <w:pgMar w:top="1440" w:right="1440" w:bottom="1440" w:left="1440" w:header="720" w:footer="720" w:gutter="0"/>
          <w:cols w:space="720"/>
          <w:docGrid w:linePitch="360"/>
        </w:sectPr>
      </w:pPr>
      <w:r w:rsidRPr="00D839EE">
        <w:rPr>
          <w:sz w:val="22"/>
          <w:szCs w:val="22"/>
        </w:rPr>
        <w:tab/>
      </w:r>
    </w:p>
    <w:sdt>
      <w:sdtPr>
        <w:rPr>
          <w:rFonts w:ascii="Arial" w:eastAsia="Times New Roman" w:hAnsi="Arial" w:cs="Times New Roman"/>
          <w:color w:val="auto"/>
          <w:sz w:val="20"/>
          <w:szCs w:val="20"/>
        </w:rPr>
        <w:id w:val="1916272552"/>
        <w:docPartObj>
          <w:docPartGallery w:val="Table of Contents"/>
          <w:docPartUnique/>
        </w:docPartObj>
      </w:sdtPr>
      <w:sdtEndPr>
        <w:rPr>
          <w:bCs/>
        </w:rPr>
      </w:sdtEndPr>
      <w:sdtContent>
        <w:p w:rsidR="00FA1339" w:rsidRPr="00D839EE" w:rsidP="00346B95" w14:paraId="7F49339C" w14:textId="77777777">
          <w:pPr>
            <w:pStyle w:val="TOCHeading"/>
            <w:spacing w:before="0" w:after="220"/>
            <w:rPr>
              <w:rFonts w:ascii="Arial" w:hAnsi="Arial" w:cs="Arial"/>
              <w:b/>
              <w:color w:val="auto"/>
              <w:sz w:val="40"/>
              <w:szCs w:val="40"/>
            </w:rPr>
          </w:pPr>
          <w:r w:rsidRPr="00D839EE">
            <w:rPr>
              <w:rFonts w:ascii="Arial" w:hAnsi="Arial" w:cs="Arial"/>
              <w:b/>
              <w:color w:val="auto"/>
              <w:sz w:val="40"/>
              <w:szCs w:val="40"/>
            </w:rPr>
            <w:t>Table of Contents</w:t>
          </w:r>
        </w:p>
        <w:p w:rsidR="00B4757F" w14:paraId="7F49339D" w14:textId="326032B3">
          <w:pPr>
            <w:pStyle w:val="TOC1"/>
            <w:rPr>
              <w:rFonts w:asciiTheme="minorHAnsi" w:eastAsiaTheme="minorEastAsia" w:hAnsiTheme="minorHAnsi" w:cstheme="minorBidi"/>
              <w:noProof/>
              <w:sz w:val="22"/>
              <w:szCs w:val="22"/>
            </w:rPr>
          </w:pPr>
          <w:r w:rsidRPr="008C74D6">
            <w:rPr>
              <w:rFonts w:cs="Arial"/>
              <w:sz w:val="22"/>
            </w:rPr>
            <w:fldChar w:fldCharType="begin"/>
          </w:r>
          <w:r w:rsidRPr="008C74D6">
            <w:rPr>
              <w:rFonts w:cs="Arial"/>
              <w:sz w:val="22"/>
            </w:rPr>
            <w:instrText xml:space="preserve"> TOC \o "1-3" \h \z \u </w:instrText>
          </w:r>
          <w:r w:rsidRPr="008C74D6">
            <w:rPr>
              <w:rFonts w:cs="Arial"/>
              <w:sz w:val="22"/>
            </w:rPr>
            <w:fldChar w:fldCharType="separate"/>
          </w:r>
          <w:hyperlink w:anchor="_Toc536603272" w:history="1">
            <w:r w:rsidRPr="002A6639">
              <w:rPr>
                <w:rStyle w:val="Hyperlink"/>
                <w:noProof/>
              </w:rPr>
              <w:t>Abbreviations</w:t>
            </w:r>
            <w:r>
              <w:rPr>
                <w:noProof/>
                <w:webHidden/>
              </w:rPr>
              <w:tab/>
            </w:r>
            <w:r>
              <w:rPr>
                <w:noProof/>
                <w:webHidden/>
              </w:rPr>
              <w:fldChar w:fldCharType="begin"/>
            </w:r>
            <w:r>
              <w:rPr>
                <w:noProof/>
                <w:webHidden/>
              </w:rPr>
              <w:instrText xml:space="preserve"> PAGEREF _Toc536603272 \h </w:instrText>
            </w:r>
            <w:r>
              <w:rPr>
                <w:noProof/>
                <w:webHidden/>
              </w:rPr>
              <w:fldChar w:fldCharType="separate"/>
            </w:r>
            <w:r w:rsidR="00E41970">
              <w:rPr>
                <w:noProof/>
                <w:webHidden/>
              </w:rPr>
              <w:t>v</w:t>
            </w:r>
            <w:r>
              <w:rPr>
                <w:noProof/>
                <w:webHidden/>
              </w:rPr>
              <w:fldChar w:fldCharType="end"/>
            </w:r>
          </w:hyperlink>
        </w:p>
        <w:p w:rsidR="00B4757F" w14:paraId="7F49339E" w14:textId="3C7F9519">
          <w:pPr>
            <w:pStyle w:val="TOC1"/>
            <w:rPr>
              <w:rFonts w:asciiTheme="minorHAnsi" w:eastAsiaTheme="minorEastAsia" w:hAnsiTheme="minorHAnsi" w:cstheme="minorBidi"/>
              <w:noProof/>
              <w:sz w:val="22"/>
              <w:szCs w:val="22"/>
            </w:rPr>
          </w:pPr>
          <w:hyperlink w:anchor="_Toc536603273" w:history="1">
            <w:r w:rsidRPr="002A6639">
              <w:rPr>
                <w:rStyle w:val="Hyperlink"/>
                <w:noProof/>
              </w:rPr>
              <w:t>Executive Summary</w:t>
            </w:r>
            <w:r>
              <w:rPr>
                <w:noProof/>
                <w:webHidden/>
              </w:rPr>
              <w:tab/>
            </w:r>
            <w:r>
              <w:rPr>
                <w:noProof/>
                <w:webHidden/>
              </w:rPr>
              <w:fldChar w:fldCharType="begin"/>
            </w:r>
            <w:r>
              <w:rPr>
                <w:noProof/>
                <w:webHidden/>
              </w:rPr>
              <w:instrText xml:space="preserve"> PAGEREF _Toc536603273 \h </w:instrText>
            </w:r>
            <w:r>
              <w:rPr>
                <w:noProof/>
                <w:webHidden/>
              </w:rPr>
              <w:fldChar w:fldCharType="separate"/>
            </w:r>
            <w:r w:rsidR="00E41970">
              <w:rPr>
                <w:noProof/>
                <w:webHidden/>
              </w:rPr>
              <w:t>1</w:t>
            </w:r>
            <w:r>
              <w:rPr>
                <w:noProof/>
                <w:webHidden/>
              </w:rPr>
              <w:fldChar w:fldCharType="end"/>
            </w:r>
          </w:hyperlink>
        </w:p>
        <w:p w:rsidR="00B4757F" w14:paraId="7F49339F" w14:textId="40D7FCB8">
          <w:pPr>
            <w:pStyle w:val="TOC1"/>
            <w:rPr>
              <w:rFonts w:asciiTheme="minorHAnsi" w:eastAsiaTheme="minorEastAsia" w:hAnsiTheme="minorHAnsi" w:cstheme="minorBidi"/>
              <w:noProof/>
              <w:sz w:val="22"/>
              <w:szCs w:val="22"/>
            </w:rPr>
          </w:pPr>
          <w:hyperlink w:anchor="_Toc536603274" w:history="1">
            <w:r w:rsidRPr="002A6639">
              <w:rPr>
                <w:rStyle w:val="Hyperlink"/>
                <w:noProof/>
              </w:rPr>
              <w:t>1.</w:t>
            </w:r>
            <w:r>
              <w:rPr>
                <w:rFonts w:asciiTheme="minorHAnsi" w:eastAsiaTheme="minorEastAsia" w:hAnsiTheme="minorHAnsi" w:cstheme="minorBidi"/>
                <w:noProof/>
                <w:sz w:val="22"/>
                <w:szCs w:val="22"/>
              </w:rPr>
              <w:tab/>
            </w:r>
            <w:r w:rsidRPr="002A6639">
              <w:rPr>
                <w:rStyle w:val="Hyperlink"/>
                <w:noProof/>
              </w:rPr>
              <w:t>Introduction</w:t>
            </w:r>
            <w:r>
              <w:rPr>
                <w:noProof/>
                <w:webHidden/>
              </w:rPr>
              <w:tab/>
            </w:r>
            <w:r>
              <w:rPr>
                <w:noProof/>
                <w:webHidden/>
              </w:rPr>
              <w:fldChar w:fldCharType="begin"/>
            </w:r>
            <w:r>
              <w:rPr>
                <w:noProof/>
                <w:webHidden/>
              </w:rPr>
              <w:instrText xml:space="preserve"> PAGEREF _Toc536603274 \h </w:instrText>
            </w:r>
            <w:r>
              <w:rPr>
                <w:noProof/>
                <w:webHidden/>
              </w:rPr>
              <w:fldChar w:fldCharType="separate"/>
            </w:r>
            <w:r w:rsidR="00E41970">
              <w:rPr>
                <w:noProof/>
                <w:webHidden/>
              </w:rPr>
              <w:t>4</w:t>
            </w:r>
            <w:r>
              <w:rPr>
                <w:noProof/>
                <w:webHidden/>
              </w:rPr>
              <w:fldChar w:fldCharType="end"/>
            </w:r>
          </w:hyperlink>
        </w:p>
        <w:p w:rsidR="00B4757F" w14:paraId="7F4933A0" w14:textId="5C8D5717">
          <w:pPr>
            <w:pStyle w:val="TOC2"/>
            <w:rPr>
              <w:rFonts w:asciiTheme="minorHAnsi" w:eastAsiaTheme="minorEastAsia" w:hAnsiTheme="minorHAnsi" w:cstheme="minorBidi"/>
              <w:i w:val="0"/>
              <w:sz w:val="22"/>
              <w:szCs w:val="22"/>
            </w:rPr>
          </w:pPr>
          <w:hyperlink w:anchor="_Toc536603275" w:history="1">
            <w:r w:rsidRPr="002A6639">
              <w:rPr>
                <w:rStyle w:val="Hyperlink"/>
              </w:rPr>
              <w:t>1.1</w:t>
            </w:r>
            <w:r>
              <w:rPr>
                <w:rFonts w:asciiTheme="minorHAnsi" w:eastAsiaTheme="minorEastAsia" w:hAnsiTheme="minorHAnsi" w:cstheme="minorBidi"/>
                <w:i w:val="0"/>
                <w:sz w:val="22"/>
                <w:szCs w:val="22"/>
              </w:rPr>
              <w:tab/>
            </w:r>
            <w:r w:rsidRPr="002A6639">
              <w:rPr>
                <w:rStyle w:val="Hyperlink"/>
              </w:rPr>
              <w:t>Background</w:t>
            </w:r>
            <w:r>
              <w:rPr>
                <w:webHidden/>
              </w:rPr>
              <w:tab/>
            </w:r>
            <w:r>
              <w:rPr>
                <w:webHidden/>
              </w:rPr>
              <w:fldChar w:fldCharType="begin"/>
            </w:r>
            <w:r>
              <w:rPr>
                <w:webHidden/>
              </w:rPr>
              <w:instrText xml:space="preserve"> PAGEREF _Toc536603275 \h </w:instrText>
            </w:r>
            <w:r>
              <w:rPr>
                <w:webHidden/>
              </w:rPr>
              <w:fldChar w:fldCharType="separate"/>
            </w:r>
            <w:r w:rsidR="00E41970">
              <w:rPr>
                <w:webHidden/>
              </w:rPr>
              <w:t>4</w:t>
            </w:r>
            <w:r>
              <w:rPr>
                <w:webHidden/>
              </w:rPr>
              <w:fldChar w:fldCharType="end"/>
            </w:r>
          </w:hyperlink>
        </w:p>
        <w:p w:rsidR="00B4757F" w14:paraId="7F4933A1" w14:textId="47DB4214">
          <w:pPr>
            <w:pStyle w:val="TOC2"/>
            <w:rPr>
              <w:rFonts w:asciiTheme="minorHAnsi" w:eastAsiaTheme="minorEastAsia" w:hAnsiTheme="minorHAnsi" w:cstheme="minorBidi"/>
              <w:i w:val="0"/>
              <w:sz w:val="22"/>
              <w:szCs w:val="22"/>
            </w:rPr>
          </w:pPr>
          <w:hyperlink w:anchor="_Toc536603276" w:history="1">
            <w:r w:rsidRPr="002A6639">
              <w:rPr>
                <w:rStyle w:val="Hyperlink"/>
              </w:rPr>
              <w:t>1.2</w:t>
            </w:r>
            <w:r>
              <w:rPr>
                <w:rFonts w:asciiTheme="minorHAnsi" w:eastAsiaTheme="minorEastAsia" w:hAnsiTheme="minorHAnsi" w:cstheme="minorBidi"/>
                <w:i w:val="0"/>
                <w:sz w:val="22"/>
                <w:szCs w:val="22"/>
              </w:rPr>
              <w:tab/>
            </w:r>
            <w:r w:rsidRPr="002A6639">
              <w:rPr>
                <w:rStyle w:val="Hyperlink"/>
              </w:rPr>
              <w:t>Statement of the Problem and NRC Objectives for the Rulemaking</w:t>
            </w:r>
            <w:r>
              <w:rPr>
                <w:webHidden/>
              </w:rPr>
              <w:tab/>
            </w:r>
            <w:r>
              <w:rPr>
                <w:webHidden/>
              </w:rPr>
              <w:fldChar w:fldCharType="begin"/>
            </w:r>
            <w:r>
              <w:rPr>
                <w:webHidden/>
              </w:rPr>
              <w:instrText xml:space="preserve"> PAGEREF _Toc536603276 \h </w:instrText>
            </w:r>
            <w:r>
              <w:rPr>
                <w:webHidden/>
              </w:rPr>
              <w:fldChar w:fldCharType="separate"/>
            </w:r>
            <w:r w:rsidR="00E41970">
              <w:rPr>
                <w:webHidden/>
              </w:rPr>
              <w:t>6</w:t>
            </w:r>
            <w:r>
              <w:rPr>
                <w:webHidden/>
              </w:rPr>
              <w:fldChar w:fldCharType="end"/>
            </w:r>
          </w:hyperlink>
        </w:p>
        <w:p w:rsidR="00B4757F" w14:paraId="7F4933A2" w14:textId="52EF4439">
          <w:pPr>
            <w:pStyle w:val="TOC1"/>
            <w:rPr>
              <w:rFonts w:asciiTheme="minorHAnsi" w:eastAsiaTheme="minorEastAsia" w:hAnsiTheme="minorHAnsi" w:cstheme="minorBidi"/>
              <w:noProof/>
              <w:sz w:val="22"/>
              <w:szCs w:val="22"/>
            </w:rPr>
          </w:pPr>
          <w:hyperlink w:anchor="_Toc536603277" w:history="1">
            <w:r w:rsidRPr="002A6639">
              <w:rPr>
                <w:rStyle w:val="Hyperlink"/>
                <w:noProof/>
              </w:rPr>
              <w:t xml:space="preserve">2. </w:t>
            </w:r>
            <w:r>
              <w:rPr>
                <w:rFonts w:asciiTheme="minorHAnsi" w:eastAsiaTheme="minorEastAsia" w:hAnsiTheme="minorHAnsi" w:cstheme="minorBidi"/>
                <w:noProof/>
                <w:sz w:val="22"/>
                <w:szCs w:val="22"/>
              </w:rPr>
              <w:tab/>
            </w:r>
            <w:r w:rsidRPr="002A6639">
              <w:rPr>
                <w:rStyle w:val="Hyperlink"/>
                <w:noProof/>
              </w:rPr>
              <w:t>Identification and Preliminary Analysis of Alternative Approaches</w:t>
            </w:r>
            <w:r>
              <w:rPr>
                <w:noProof/>
                <w:webHidden/>
              </w:rPr>
              <w:tab/>
            </w:r>
            <w:r>
              <w:rPr>
                <w:noProof/>
                <w:webHidden/>
              </w:rPr>
              <w:fldChar w:fldCharType="begin"/>
            </w:r>
            <w:r>
              <w:rPr>
                <w:noProof/>
                <w:webHidden/>
              </w:rPr>
              <w:instrText xml:space="preserve"> PAGEREF _Toc536603277 \h </w:instrText>
            </w:r>
            <w:r>
              <w:rPr>
                <w:noProof/>
                <w:webHidden/>
              </w:rPr>
              <w:fldChar w:fldCharType="separate"/>
            </w:r>
            <w:r w:rsidR="00E41970">
              <w:rPr>
                <w:noProof/>
                <w:webHidden/>
              </w:rPr>
              <w:t>10</w:t>
            </w:r>
            <w:r>
              <w:rPr>
                <w:noProof/>
                <w:webHidden/>
              </w:rPr>
              <w:fldChar w:fldCharType="end"/>
            </w:r>
          </w:hyperlink>
        </w:p>
        <w:p w:rsidR="00B4757F" w14:paraId="7F4933A3" w14:textId="1C821389">
          <w:pPr>
            <w:pStyle w:val="TOC2"/>
            <w:rPr>
              <w:rFonts w:asciiTheme="minorHAnsi" w:eastAsiaTheme="minorEastAsia" w:hAnsiTheme="minorHAnsi" w:cstheme="minorBidi"/>
              <w:i w:val="0"/>
              <w:sz w:val="22"/>
              <w:szCs w:val="22"/>
            </w:rPr>
          </w:pPr>
          <w:hyperlink w:anchor="_Toc536603278" w:history="1">
            <w:r w:rsidRPr="002A6639">
              <w:rPr>
                <w:rStyle w:val="Hyperlink"/>
              </w:rPr>
              <w:t>2.1</w:t>
            </w:r>
            <w:r>
              <w:rPr>
                <w:rFonts w:asciiTheme="minorHAnsi" w:eastAsiaTheme="minorEastAsia" w:hAnsiTheme="minorHAnsi" w:cstheme="minorBidi"/>
                <w:i w:val="0"/>
                <w:sz w:val="22"/>
                <w:szCs w:val="22"/>
              </w:rPr>
              <w:tab/>
            </w:r>
            <w:r w:rsidRPr="002A6639">
              <w:rPr>
                <w:rStyle w:val="Hyperlink"/>
              </w:rPr>
              <w:t>Option 1:  Take No Action (Not Selected)</w:t>
            </w:r>
            <w:r>
              <w:rPr>
                <w:webHidden/>
              </w:rPr>
              <w:tab/>
            </w:r>
            <w:r>
              <w:rPr>
                <w:webHidden/>
              </w:rPr>
              <w:fldChar w:fldCharType="begin"/>
            </w:r>
            <w:r>
              <w:rPr>
                <w:webHidden/>
              </w:rPr>
              <w:instrText xml:space="preserve"> PAGEREF _Toc536603278 \h </w:instrText>
            </w:r>
            <w:r>
              <w:rPr>
                <w:webHidden/>
              </w:rPr>
              <w:fldChar w:fldCharType="separate"/>
            </w:r>
            <w:r w:rsidR="00E41970">
              <w:rPr>
                <w:webHidden/>
              </w:rPr>
              <w:t>10</w:t>
            </w:r>
            <w:r>
              <w:rPr>
                <w:webHidden/>
              </w:rPr>
              <w:fldChar w:fldCharType="end"/>
            </w:r>
          </w:hyperlink>
        </w:p>
        <w:p w:rsidR="00B4757F" w14:paraId="7F4933A4" w14:textId="7EA7BECF">
          <w:pPr>
            <w:pStyle w:val="TOC2"/>
            <w:rPr>
              <w:rFonts w:asciiTheme="minorHAnsi" w:eastAsiaTheme="minorEastAsia" w:hAnsiTheme="minorHAnsi" w:cstheme="minorBidi"/>
              <w:i w:val="0"/>
              <w:sz w:val="22"/>
              <w:szCs w:val="22"/>
            </w:rPr>
          </w:pPr>
          <w:hyperlink w:anchor="_Toc536603279" w:history="1">
            <w:r w:rsidRPr="002A6639">
              <w:rPr>
                <w:rStyle w:val="Hyperlink"/>
              </w:rPr>
              <w:t>2.2</w:t>
            </w:r>
            <w:r>
              <w:rPr>
                <w:rFonts w:asciiTheme="minorHAnsi" w:eastAsiaTheme="minorEastAsia" w:hAnsiTheme="minorHAnsi" w:cstheme="minorBidi"/>
                <w:i w:val="0"/>
                <w:sz w:val="22"/>
                <w:szCs w:val="22"/>
              </w:rPr>
              <w:tab/>
            </w:r>
            <w:r w:rsidRPr="002A6639">
              <w:rPr>
                <w:rStyle w:val="Hyperlink"/>
              </w:rPr>
              <w:t>Option 2:  Undertake Rulemaking to Require Final Safety Analysis Report Updates and Revise the Timely Renewal Provision (Not Selected)</w:t>
            </w:r>
            <w:r>
              <w:rPr>
                <w:webHidden/>
              </w:rPr>
              <w:tab/>
            </w:r>
            <w:r>
              <w:rPr>
                <w:webHidden/>
              </w:rPr>
              <w:fldChar w:fldCharType="begin"/>
            </w:r>
            <w:r>
              <w:rPr>
                <w:webHidden/>
              </w:rPr>
              <w:instrText xml:space="preserve"> PAGEREF _Toc536603279 \h </w:instrText>
            </w:r>
            <w:r>
              <w:rPr>
                <w:webHidden/>
              </w:rPr>
              <w:fldChar w:fldCharType="separate"/>
            </w:r>
            <w:r w:rsidR="00E41970">
              <w:rPr>
                <w:webHidden/>
              </w:rPr>
              <w:t>11</w:t>
            </w:r>
            <w:r>
              <w:rPr>
                <w:webHidden/>
              </w:rPr>
              <w:fldChar w:fldCharType="end"/>
            </w:r>
          </w:hyperlink>
        </w:p>
        <w:p w:rsidR="00B4757F" w14:paraId="7F4933A5" w14:textId="0F702D8C">
          <w:pPr>
            <w:pStyle w:val="TOC2"/>
            <w:rPr>
              <w:rFonts w:asciiTheme="minorHAnsi" w:eastAsiaTheme="minorEastAsia" w:hAnsiTheme="minorHAnsi" w:cstheme="minorBidi"/>
              <w:i w:val="0"/>
              <w:sz w:val="22"/>
              <w:szCs w:val="22"/>
            </w:rPr>
          </w:pPr>
          <w:hyperlink w:anchor="_Toc536603280" w:history="1">
            <w:r w:rsidRPr="002A6639">
              <w:rPr>
                <w:rStyle w:val="Hyperlink"/>
              </w:rPr>
              <w:t>2.3</w:t>
            </w:r>
            <w:r>
              <w:rPr>
                <w:rFonts w:asciiTheme="minorHAnsi" w:eastAsiaTheme="minorEastAsia" w:hAnsiTheme="minorHAnsi" w:cstheme="minorBidi"/>
                <w:i w:val="0"/>
                <w:sz w:val="22"/>
                <w:szCs w:val="22"/>
              </w:rPr>
              <w:tab/>
            </w:r>
            <w:r w:rsidRPr="002A6639">
              <w:rPr>
                <w:rStyle w:val="Hyperlink"/>
              </w:rPr>
              <w:t>Option 3:  Undertake Rulemaking to Require Final Safety Analysis Report Updates, Revise the Timely Renewal Provision, and Eliminate License Terms for Class 104a or c Licensees, Other than Testing Facilities (Selected—Final Rule)</w:t>
            </w:r>
            <w:r>
              <w:rPr>
                <w:webHidden/>
              </w:rPr>
              <w:tab/>
            </w:r>
            <w:r>
              <w:rPr>
                <w:webHidden/>
              </w:rPr>
              <w:fldChar w:fldCharType="begin"/>
            </w:r>
            <w:r>
              <w:rPr>
                <w:webHidden/>
              </w:rPr>
              <w:instrText xml:space="preserve"> PAGEREF _Toc536603280 \h </w:instrText>
            </w:r>
            <w:r>
              <w:rPr>
                <w:webHidden/>
              </w:rPr>
              <w:fldChar w:fldCharType="separate"/>
            </w:r>
            <w:r w:rsidR="00E41970">
              <w:rPr>
                <w:webHidden/>
              </w:rPr>
              <w:t>12</w:t>
            </w:r>
            <w:r>
              <w:rPr>
                <w:webHidden/>
              </w:rPr>
              <w:fldChar w:fldCharType="end"/>
            </w:r>
          </w:hyperlink>
        </w:p>
        <w:p w:rsidR="00B4757F" w14:paraId="7F4933A6" w14:textId="77BE73B3">
          <w:pPr>
            <w:pStyle w:val="TOC2"/>
            <w:rPr>
              <w:rFonts w:asciiTheme="minorHAnsi" w:eastAsiaTheme="minorEastAsia" w:hAnsiTheme="minorHAnsi" w:cstheme="minorBidi"/>
              <w:i w:val="0"/>
              <w:sz w:val="22"/>
              <w:szCs w:val="22"/>
            </w:rPr>
          </w:pPr>
          <w:hyperlink w:anchor="_Toc536603281" w:history="1">
            <w:r w:rsidRPr="002A6639">
              <w:rPr>
                <w:rStyle w:val="Hyperlink"/>
              </w:rPr>
              <w:t>2.4</w:t>
            </w:r>
            <w:r>
              <w:rPr>
                <w:rFonts w:asciiTheme="minorHAnsi" w:eastAsiaTheme="minorEastAsia" w:hAnsiTheme="minorHAnsi" w:cstheme="minorBidi"/>
                <w:i w:val="0"/>
                <w:sz w:val="22"/>
                <w:szCs w:val="22"/>
              </w:rPr>
              <w:tab/>
            </w:r>
            <w:r w:rsidRPr="002A6639">
              <w:rPr>
                <w:rStyle w:val="Hyperlink"/>
              </w:rPr>
              <w:t>Option 4:  Non-rulemaking Alternatives (Not Selected)</w:t>
            </w:r>
            <w:r>
              <w:rPr>
                <w:webHidden/>
              </w:rPr>
              <w:tab/>
            </w:r>
            <w:r>
              <w:rPr>
                <w:webHidden/>
              </w:rPr>
              <w:fldChar w:fldCharType="begin"/>
            </w:r>
            <w:r>
              <w:rPr>
                <w:webHidden/>
              </w:rPr>
              <w:instrText xml:space="preserve"> PAGEREF _Toc536603281 \h </w:instrText>
            </w:r>
            <w:r>
              <w:rPr>
                <w:webHidden/>
              </w:rPr>
              <w:fldChar w:fldCharType="separate"/>
            </w:r>
            <w:r w:rsidR="00E41970">
              <w:rPr>
                <w:webHidden/>
              </w:rPr>
              <w:t>13</w:t>
            </w:r>
            <w:r>
              <w:rPr>
                <w:webHidden/>
              </w:rPr>
              <w:fldChar w:fldCharType="end"/>
            </w:r>
          </w:hyperlink>
        </w:p>
        <w:p w:rsidR="00B4757F" w14:paraId="7F4933A7" w14:textId="4AFEA142">
          <w:pPr>
            <w:pStyle w:val="TOC1"/>
            <w:rPr>
              <w:rFonts w:asciiTheme="minorHAnsi" w:eastAsiaTheme="minorEastAsia" w:hAnsiTheme="minorHAnsi" w:cstheme="minorBidi"/>
              <w:noProof/>
              <w:sz w:val="22"/>
              <w:szCs w:val="22"/>
            </w:rPr>
          </w:pPr>
          <w:hyperlink w:anchor="_Toc536603282" w:history="1">
            <w:r w:rsidRPr="002A6639">
              <w:rPr>
                <w:rStyle w:val="Hyperlink"/>
                <w:noProof/>
              </w:rPr>
              <w:t>3.</w:t>
            </w:r>
            <w:r>
              <w:rPr>
                <w:rFonts w:asciiTheme="minorHAnsi" w:eastAsiaTheme="minorEastAsia" w:hAnsiTheme="minorHAnsi" w:cstheme="minorBidi"/>
                <w:noProof/>
                <w:sz w:val="22"/>
                <w:szCs w:val="22"/>
              </w:rPr>
              <w:tab/>
            </w:r>
            <w:r w:rsidRPr="002A6639">
              <w:rPr>
                <w:rStyle w:val="Hyperlink"/>
                <w:noProof/>
              </w:rPr>
              <w:t>Estimation and Evaluation of Costs, Averted Costs, and Benefits: Presentation of Results</w:t>
            </w:r>
            <w:r>
              <w:rPr>
                <w:noProof/>
                <w:webHidden/>
              </w:rPr>
              <w:tab/>
            </w:r>
            <w:r>
              <w:rPr>
                <w:noProof/>
                <w:webHidden/>
              </w:rPr>
              <w:fldChar w:fldCharType="begin"/>
            </w:r>
            <w:r>
              <w:rPr>
                <w:noProof/>
                <w:webHidden/>
              </w:rPr>
              <w:instrText xml:space="preserve"> PAGEREF _Toc536603282 \h </w:instrText>
            </w:r>
            <w:r>
              <w:rPr>
                <w:noProof/>
                <w:webHidden/>
              </w:rPr>
              <w:fldChar w:fldCharType="separate"/>
            </w:r>
            <w:r w:rsidR="00E41970">
              <w:rPr>
                <w:noProof/>
                <w:webHidden/>
              </w:rPr>
              <w:t>13</w:t>
            </w:r>
            <w:r>
              <w:rPr>
                <w:noProof/>
                <w:webHidden/>
              </w:rPr>
              <w:fldChar w:fldCharType="end"/>
            </w:r>
          </w:hyperlink>
        </w:p>
        <w:p w:rsidR="00B4757F" w14:paraId="7F4933A8" w14:textId="4E6BEAF0">
          <w:pPr>
            <w:pStyle w:val="TOC2"/>
            <w:rPr>
              <w:rFonts w:asciiTheme="minorHAnsi" w:eastAsiaTheme="minorEastAsia" w:hAnsiTheme="minorHAnsi" w:cstheme="minorBidi"/>
              <w:i w:val="0"/>
              <w:sz w:val="22"/>
              <w:szCs w:val="22"/>
            </w:rPr>
          </w:pPr>
          <w:hyperlink w:anchor="_Toc536603283" w:history="1">
            <w:r w:rsidRPr="002A6639">
              <w:rPr>
                <w:rStyle w:val="Hyperlink"/>
              </w:rPr>
              <w:t>3.1</w:t>
            </w:r>
            <w:r>
              <w:rPr>
                <w:rFonts w:asciiTheme="minorHAnsi" w:eastAsiaTheme="minorEastAsia" w:hAnsiTheme="minorHAnsi" w:cstheme="minorBidi"/>
                <w:i w:val="0"/>
                <w:sz w:val="22"/>
                <w:szCs w:val="22"/>
              </w:rPr>
              <w:tab/>
            </w:r>
            <w:r w:rsidRPr="002A6639">
              <w:rPr>
                <w:rStyle w:val="Hyperlink"/>
              </w:rPr>
              <w:t>Methodology and Assumptions</w:t>
            </w:r>
            <w:r>
              <w:rPr>
                <w:webHidden/>
              </w:rPr>
              <w:tab/>
            </w:r>
            <w:r>
              <w:rPr>
                <w:webHidden/>
              </w:rPr>
              <w:fldChar w:fldCharType="begin"/>
            </w:r>
            <w:r>
              <w:rPr>
                <w:webHidden/>
              </w:rPr>
              <w:instrText xml:space="preserve"> PAGEREF _Toc536603283 \h </w:instrText>
            </w:r>
            <w:r>
              <w:rPr>
                <w:webHidden/>
              </w:rPr>
              <w:fldChar w:fldCharType="separate"/>
            </w:r>
            <w:r w:rsidR="00E41970">
              <w:rPr>
                <w:webHidden/>
              </w:rPr>
              <w:t>13</w:t>
            </w:r>
            <w:r>
              <w:rPr>
                <w:webHidden/>
              </w:rPr>
              <w:fldChar w:fldCharType="end"/>
            </w:r>
          </w:hyperlink>
        </w:p>
        <w:p w:rsidR="00B4757F" w14:paraId="7F4933A9" w14:textId="0DA5F83B">
          <w:pPr>
            <w:pStyle w:val="TOC3"/>
            <w:rPr>
              <w:rFonts w:asciiTheme="minorHAnsi" w:eastAsiaTheme="minorEastAsia" w:hAnsiTheme="minorHAnsi" w:cstheme="minorBidi"/>
              <w:noProof/>
              <w:sz w:val="22"/>
              <w:szCs w:val="22"/>
            </w:rPr>
          </w:pPr>
          <w:hyperlink w:anchor="_Toc536603284" w:history="1">
            <w:r w:rsidRPr="002A6639">
              <w:rPr>
                <w:rStyle w:val="Hyperlink"/>
                <w:noProof/>
              </w:rPr>
              <w:t>3.1.1</w:t>
            </w:r>
            <w:r>
              <w:rPr>
                <w:rFonts w:asciiTheme="minorHAnsi" w:eastAsiaTheme="minorEastAsia" w:hAnsiTheme="minorHAnsi" w:cstheme="minorBidi"/>
                <w:noProof/>
                <w:sz w:val="22"/>
                <w:szCs w:val="22"/>
              </w:rPr>
              <w:tab/>
            </w:r>
            <w:r w:rsidRPr="002A6639">
              <w:rPr>
                <w:rStyle w:val="Hyperlink"/>
                <w:noProof/>
              </w:rPr>
              <w:t>Affected Universe</w:t>
            </w:r>
            <w:r>
              <w:rPr>
                <w:noProof/>
                <w:webHidden/>
              </w:rPr>
              <w:tab/>
            </w:r>
            <w:r>
              <w:rPr>
                <w:noProof/>
                <w:webHidden/>
              </w:rPr>
              <w:fldChar w:fldCharType="begin"/>
            </w:r>
            <w:r>
              <w:rPr>
                <w:noProof/>
                <w:webHidden/>
              </w:rPr>
              <w:instrText xml:space="preserve"> PAGEREF _Toc536603284 \h </w:instrText>
            </w:r>
            <w:r>
              <w:rPr>
                <w:noProof/>
                <w:webHidden/>
              </w:rPr>
              <w:fldChar w:fldCharType="separate"/>
            </w:r>
            <w:r w:rsidR="00E41970">
              <w:rPr>
                <w:noProof/>
                <w:webHidden/>
              </w:rPr>
              <w:t>14</w:t>
            </w:r>
            <w:r>
              <w:rPr>
                <w:noProof/>
                <w:webHidden/>
              </w:rPr>
              <w:fldChar w:fldCharType="end"/>
            </w:r>
          </w:hyperlink>
        </w:p>
        <w:p w:rsidR="00B4757F" w14:paraId="7F4933AA" w14:textId="6AA1C4EE">
          <w:pPr>
            <w:pStyle w:val="TOC3"/>
            <w:rPr>
              <w:rFonts w:asciiTheme="minorHAnsi" w:eastAsiaTheme="minorEastAsia" w:hAnsiTheme="minorHAnsi" w:cstheme="minorBidi"/>
              <w:noProof/>
              <w:sz w:val="22"/>
              <w:szCs w:val="22"/>
            </w:rPr>
          </w:pPr>
          <w:hyperlink w:anchor="_Toc536603285" w:history="1">
            <w:r w:rsidRPr="002A6639">
              <w:rPr>
                <w:rStyle w:val="Hyperlink"/>
                <w:noProof/>
              </w:rPr>
              <w:t>3.1.2</w:t>
            </w:r>
            <w:r>
              <w:rPr>
                <w:rFonts w:asciiTheme="minorHAnsi" w:eastAsiaTheme="minorEastAsia" w:hAnsiTheme="minorHAnsi" w:cstheme="minorBidi"/>
                <w:noProof/>
                <w:sz w:val="22"/>
                <w:szCs w:val="22"/>
              </w:rPr>
              <w:tab/>
            </w:r>
            <w:r w:rsidRPr="002A6639">
              <w:rPr>
                <w:rStyle w:val="Hyperlink"/>
                <w:noProof/>
              </w:rPr>
              <w:t>Cost Estimation</w:t>
            </w:r>
            <w:r>
              <w:rPr>
                <w:noProof/>
                <w:webHidden/>
              </w:rPr>
              <w:tab/>
            </w:r>
            <w:r>
              <w:rPr>
                <w:noProof/>
                <w:webHidden/>
              </w:rPr>
              <w:fldChar w:fldCharType="begin"/>
            </w:r>
            <w:r>
              <w:rPr>
                <w:noProof/>
                <w:webHidden/>
              </w:rPr>
              <w:instrText xml:space="preserve"> PAGEREF _Toc536603285 \h </w:instrText>
            </w:r>
            <w:r>
              <w:rPr>
                <w:noProof/>
                <w:webHidden/>
              </w:rPr>
              <w:fldChar w:fldCharType="separate"/>
            </w:r>
            <w:r w:rsidR="00E41970">
              <w:rPr>
                <w:noProof/>
                <w:webHidden/>
              </w:rPr>
              <w:t>19</w:t>
            </w:r>
            <w:r>
              <w:rPr>
                <w:noProof/>
                <w:webHidden/>
              </w:rPr>
              <w:fldChar w:fldCharType="end"/>
            </w:r>
          </w:hyperlink>
        </w:p>
        <w:p w:rsidR="00B4757F" w14:paraId="7F4933AB" w14:textId="12C20B3E">
          <w:pPr>
            <w:pStyle w:val="TOC3"/>
            <w:rPr>
              <w:rFonts w:asciiTheme="minorHAnsi" w:eastAsiaTheme="minorEastAsia" w:hAnsiTheme="minorHAnsi" w:cstheme="minorBidi"/>
              <w:noProof/>
              <w:sz w:val="22"/>
              <w:szCs w:val="22"/>
            </w:rPr>
          </w:pPr>
          <w:hyperlink w:anchor="_Toc536603286" w:history="1">
            <w:r w:rsidRPr="002A6639">
              <w:rPr>
                <w:rStyle w:val="Hyperlink"/>
                <w:noProof/>
              </w:rPr>
              <w:t>3.1.3</w:t>
            </w:r>
            <w:r>
              <w:rPr>
                <w:rFonts w:asciiTheme="minorHAnsi" w:eastAsiaTheme="minorEastAsia" w:hAnsiTheme="minorHAnsi" w:cstheme="minorBidi"/>
                <w:noProof/>
                <w:sz w:val="22"/>
                <w:szCs w:val="22"/>
              </w:rPr>
              <w:tab/>
            </w:r>
            <w:r w:rsidRPr="002A6639">
              <w:rPr>
                <w:rStyle w:val="Hyperlink"/>
                <w:noProof/>
              </w:rPr>
              <w:t>Time Period of Analysis</w:t>
            </w:r>
            <w:r>
              <w:rPr>
                <w:noProof/>
                <w:webHidden/>
              </w:rPr>
              <w:tab/>
            </w:r>
            <w:r>
              <w:rPr>
                <w:noProof/>
                <w:webHidden/>
              </w:rPr>
              <w:fldChar w:fldCharType="begin"/>
            </w:r>
            <w:r>
              <w:rPr>
                <w:noProof/>
                <w:webHidden/>
              </w:rPr>
              <w:instrText xml:space="preserve"> PAGEREF _Toc536603286 \h </w:instrText>
            </w:r>
            <w:r>
              <w:rPr>
                <w:noProof/>
                <w:webHidden/>
              </w:rPr>
              <w:fldChar w:fldCharType="separate"/>
            </w:r>
            <w:r w:rsidR="00E41970">
              <w:rPr>
                <w:noProof/>
                <w:webHidden/>
              </w:rPr>
              <w:t>20</w:t>
            </w:r>
            <w:r>
              <w:rPr>
                <w:noProof/>
                <w:webHidden/>
              </w:rPr>
              <w:fldChar w:fldCharType="end"/>
            </w:r>
          </w:hyperlink>
        </w:p>
        <w:p w:rsidR="00B4757F" w14:paraId="7F4933AC" w14:textId="67405A48">
          <w:pPr>
            <w:pStyle w:val="TOC3"/>
            <w:rPr>
              <w:rFonts w:asciiTheme="minorHAnsi" w:eastAsiaTheme="minorEastAsia" w:hAnsiTheme="minorHAnsi" w:cstheme="minorBidi"/>
              <w:noProof/>
              <w:sz w:val="22"/>
              <w:szCs w:val="22"/>
            </w:rPr>
          </w:pPr>
          <w:hyperlink w:anchor="_Toc536603287" w:history="1">
            <w:r w:rsidRPr="002A6639">
              <w:rPr>
                <w:rStyle w:val="Hyperlink"/>
                <w:noProof/>
              </w:rPr>
              <w:t>3.1.4</w:t>
            </w:r>
            <w:r>
              <w:rPr>
                <w:rFonts w:asciiTheme="minorHAnsi" w:eastAsiaTheme="minorEastAsia" w:hAnsiTheme="minorHAnsi" w:cstheme="minorBidi"/>
                <w:noProof/>
                <w:sz w:val="22"/>
                <w:szCs w:val="22"/>
              </w:rPr>
              <w:tab/>
            </w:r>
            <w:r w:rsidRPr="002A6639">
              <w:rPr>
                <w:rStyle w:val="Hyperlink"/>
                <w:noProof/>
              </w:rPr>
              <w:t>Present Value Calculations</w:t>
            </w:r>
            <w:r>
              <w:rPr>
                <w:noProof/>
                <w:webHidden/>
              </w:rPr>
              <w:tab/>
            </w:r>
            <w:r>
              <w:rPr>
                <w:noProof/>
                <w:webHidden/>
              </w:rPr>
              <w:fldChar w:fldCharType="begin"/>
            </w:r>
            <w:r>
              <w:rPr>
                <w:noProof/>
                <w:webHidden/>
              </w:rPr>
              <w:instrText xml:space="preserve"> PAGEREF _Toc536603287 \h </w:instrText>
            </w:r>
            <w:r>
              <w:rPr>
                <w:noProof/>
                <w:webHidden/>
              </w:rPr>
              <w:fldChar w:fldCharType="separate"/>
            </w:r>
            <w:r w:rsidR="00E41970">
              <w:rPr>
                <w:noProof/>
                <w:webHidden/>
              </w:rPr>
              <w:t>20</w:t>
            </w:r>
            <w:r>
              <w:rPr>
                <w:noProof/>
                <w:webHidden/>
              </w:rPr>
              <w:fldChar w:fldCharType="end"/>
            </w:r>
          </w:hyperlink>
        </w:p>
        <w:p w:rsidR="00B4757F" w14:paraId="7F4933AD" w14:textId="32C81D36">
          <w:pPr>
            <w:pStyle w:val="TOC2"/>
            <w:rPr>
              <w:rFonts w:asciiTheme="minorHAnsi" w:eastAsiaTheme="minorEastAsia" w:hAnsiTheme="minorHAnsi" w:cstheme="minorBidi"/>
              <w:i w:val="0"/>
              <w:sz w:val="22"/>
              <w:szCs w:val="22"/>
            </w:rPr>
          </w:pPr>
          <w:hyperlink w:anchor="_Toc536603288" w:history="1">
            <w:r w:rsidRPr="002A6639">
              <w:rPr>
                <w:rStyle w:val="Hyperlink"/>
              </w:rPr>
              <w:t>3.2</w:t>
            </w:r>
            <w:r>
              <w:rPr>
                <w:rFonts w:asciiTheme="minorHAnsi" w:eastAsiaTheme="minorEastAsia" w:hAnsiTheme="minorHAnsi" w:cstheme="minorBidi"/>
                <w:i w:val="0"/>
                <w:sz w:val="22"/>
                <w:szCs w:val="22"/>
              </w:rPr>
              <w:tab/>
            </w:r>
            <w:r w:rsidRPr="002A6639">
              <w:rPr>
                <w:rStyle w:val="Hyperlink"/>
              </w:rPr>
              <w:t>Summary of Costs, Averted Costs, and Benefits of the Regulatory Options</w:t>
            </w:r>
            <w:r>
              <w:rPr>
                <w:webHidden/>
              </w:rPr>
              <w:tab/>
            </w:r>
            <w:r>
              <w:rPr>
                <w:webHidden/>
              </w:rPr>
              <w:fldChar w:fldCharType="begin"/>
            </w:r>
            <w:r>
              <w:rPr>
                <w:webHidden/>
              </w:rPr>
              <w:instrText xml:space="preserve"> PAGEREF _Toc536603288 \h </w:instrText>
            </w:r>
            <w:r>
              <w:rPr>
                <w:webHidden/>
              </w:rPr>
              <w:fldChar w:fldCharType="separate"/>
            </w:r>
            <w:r w:rsidR="00E41970">
              <w:rPr>
                <w:webHidden/>
              </w:rPr>
              <w:t>21</w:t>
            </w:r>
            <w:r>
              <w:rPr>
                <w:webHidden/>
              </w:rPr>
              <w:fldChar w:fldCharType="end"/>
            </w:r>
          </w:hyperlink>
        </w:p>
        <w:p w:rsidR="00B4757F" w14:paraId="7F4933AE" w14:textId="4955F6B9">
          <w:pPr>
            <w:pStyle w:val="TOC2"/>
            <w:rPr>
              <w:rFonts w:asciiTheme="minorHAnsi" w:eastAsiaTheme="minorEastAsia" w:hAnsiTheme="minorHAnsi" w:cstheme="minorBidi"/>
              <w:i w:val="0"/>
              <w:sz w:val="22"/>
              <w:szCs w:val="22"/>
            </w:rPr>
          </w:pPr>
          <w:hyperlink w:anchor="_Toc536603289" w:history="1">
            <w:r w:rsidRPr="002A6639">
              <w:rPr>
                <w:rStyle w:val="Hyperlink"/>
              </w:rPr>
              <w:t>3.3</w:t>
            </w:r>
            <w:r>
              <w:rPr>
                <w:rFonts w:asciiTheme="minorHAnsi" w:eastAsiaTheme="minorEastAsia" w:hAnsiTheme="minorHAnsi" w:cstheme="minorBidi"/>
                <w:i w:val="0"/>
                <w:sz w:val="22"/>
                <w:szCs w:val="22"/>
              </w:rPr>
              <w:tab/>
            </w:r>
            <w:r w:rsidRPr="002A6639">
              <w:rPr>
                <w:rStyle w:val="Hyperlink"/>
              </w:rPr>
              <w:t>Costs of the Final Rule</w:t>
            </w:r>
            <w:r>
              <w:rPr>
                <w:webHidden/>
              </w:rPr>
              <w:tab/>
            </w:r>
            <w:r>
              <w:rPr>
                <w:webHidden/>
              </w:rPr>
              <w:fldChar w:fldCharType="begin"/>
            </w:r>
            <w:r>
              <w:rPr>
                <w:webHidden/>
              </w:rPr>
              <w:instrText xml:space="preserve"> PAGEREF _Toc536603289 \h </w:instrText>
            </w:r>
            <w:r>
              <w:rPr>
                <w:webHidden/>
              </w:rPr>
              <w:fldChar w:fldCharType="separate"/>
            </w:r>
            <w:r w:rsidR="00E41970">
              <w:rPr>
                <w:webHidden/>
              </w:rPr>
              <w:t>27</w:t>
            </w:r>
            <w:r>
              <w:rPr>
                <w:webHidden/>
              </w:rPr>
              <w:fldChar w:fldCharType="end"/>
            </w:r>
          </w:hyperlink>
        </w:p>
        <w:p w:rsidR="00B4757F" w14:paraId="7F4933AF" w14:textId="159FF52E">
          <w:pPr>
            <w:pStyle w:val="TOC3"/>
            <w:rPr>
              <w:rFonts w:asciiTheme="minorHAnsi" w:eastAsiaTheme="minorEastAsia" w:hAnsiTheme="minorHAnsi" w:cstheme="minorBidi"/>
              <w:noProof/>
              <w:sz w:val="22"/>
              <w:szCs w:val="22"/>
            </w:rPr>
          </w:pPr>
          <w:hyperlink w:anchor="_Toc536603290" w:history="1">
            <w:r w:rsidRPr="002A6639">
              <w:rPr>
                <w:rStyle w:val="Hyperlink"/>
                <w:noProof/>
              </w:rPr>
              <w:t>3.3.1</w:t>
            </w:r>
            <w:r>
              <w:rPr>
                <w:rFonts w:asciiTheme="minorHAnsi" w:eastAsiaTheme="minorEastAsia" w:hAnsiTheme="minorHAnsi" w:cstheme="minorBidi"/>
                <w:noProof/>
                <w:sz w:val="22"/>
                <w:szCs w:val="22"/>
              </w:rPr>
              <w:tab/>
            </w:r>
            <w:r w:rsidRPr="002A6639">
              <w:rPr>
                <w:rStyle w:val="Hyperlink"/>
                <w:noProof/>
              </w:rPr>
              <w:t>Independent Cost Estimate</w:t>
            </w:r>
            <w:r>
              <w:rPr>
                <w:noProof/>
                <w:webHidden/>
              </w:rPr>
              <w:tab/>
            </w:r>
            <w:r>
              <w:rPr>
                <w:noProof/>
                <w:webHidden/>
              </w:rPr>
              <w:fldChar w:fldCharType="begin"/>
            </w:r>
            <w:r>
              <w:rPr>
                <w:noProof/>
                <w:webHidden/>
              </w:rPr>
              <w:instrText xml:space="preserve"> PAGEREF _Toc536603290 \h </w:instrText>
            </w:r>
            <w:r>
              <w:rPr>
                <w:noProof/>
                <w:webHidden/>
              </w:rPr>
              <w:fldChar w:fldCharType="separate"/>
            </w:r>
            <w:r w:rsidR="00E41970">
              <w:rPr>
                <w:noProof/>
                <w:webHidden/>
              </w:rPr>
              <w:t>29</w:t>
            </w:r>
            <w:r>
              <w:rPr>
                <w:noProof/>
                <w:webHidden/>
              </w:rPr>
              <w:fldChar w:fldCharType="end"/>
            </w:r>
          </w:hyperlink>
        </w:p>
        <w:p w:rsidR="00B4757F" w14:paraId="7F4933B0" w14:textId="36465A1B">
          <w:pPr>
            <w:pStyle w:val="TOC3"/>
            <w:rPr>
              <w:rFonts w:asciiTheme="minorHAnsi" w:eastAsiaTheme="minorEastAsia" w:hAnsiTheme="minorHAnsi" w:cstheme="minorBidi"/>
              <w:noProof/>
              <w:sz w:val="22"/>
              <w:szCs w:val="22"/>
            </w:rPr>
          </w:pPr>
          <w:hyperlink w:anchor="_Toc536603291" w:history="1">
            <w:r w:rsidRPr="002A6639">
              <w:rPr>
                <w:rStyle w:val="Hyperlink"/>
                <w:noProof/>
              </w:rPr>
              <w:t>3.3.2</w:t>
            </w:r>
            <w:r>
              <w:rPr>
                <w:rFonts w:asciiTheme="minorHAnsi" w:eastAsiaTheme="minorEastAsia" w:hAnsiTheme="minorHAnsi" w:cstheme="minorBidi"/>
                <w:noProof/>
                <w:sz w:val="22"/>
                <w:szCs w:val="22"/>
              </w:rPr>
              <w:tab/>
            </w:r>
            <w:r w:rsidRPr="002A6639">
              <w:rPr>
                <w:rStyle w:val="Hyperlink"/>
                <w:noProof/>
              </w:rPr>
              <w:t>Affected Entity Implementation</w:t>
            </w:r>
            <w:r>
              <w:rPr>
                <w:noProof/>
                <w:webHidden/>
              </w:rPr>
              <w:tab/>
            </w:r>
            <w:r>
              <w:rPr>
                <w:noProof/>
                <w:webHidden/>
              </w:rPr>
              <w:fldChar w:fldCharType="begin"/>
            </w:r>
            <w:r>
              <w:rPr>
                <w:noProof/>
                <w:webHidden/>
              </w:rPr>
              <w:instrText xml:space="preserve"> PAGEREF _Toc536603291 \h </w:instrText>
            </w:r>
            <w:r>
              <w:rPr>
                <w:noProof/>
                <w:webHidden/>
              </w:rPr>
              <w:fldChar w:fldCharType="separate"/>
            </w:r>
            <w:r w:rsidR="00E41970">
              <w:rPr>
                <w:noProof/>
                <w:webHidden/>
              </w:rPr>
              <w:t>30</w:t>
            </w:r>
            <w:r>
              <w:rPr>
                <w:noProof/>
                <w:webHidden/>
              </w:rPr>
              <w:fldChar w:fldCharType="end"/>
            </w:r>
          </w:hyperlink>
        </w:p>
        <w:p w:rsidR="00B4757F" w14:paraId="7F4933B1" w14:textId="254914BD">
          <w:pPr>
            <w:pStyle w:val="TOC3"/>
            <w:rPr>
              <w:rFonts w:asciiTheme="minorHAnsi" w:eastAsiaTheme="minorEastAsia" w:hAnsiTheme="minorHAnsi" w:cstheme="minorBidi"/>
              <w:noProof/>
              <w:sz w:val="22"/>
              <w:szCs w:val="22"/>
            </w:rPr>
          </w:pPr>
          <w:hyperlink w:anchor="_Toc536603292" w:history="1">
            <w:r w:rsidRPr="002A6639">
              <w:rPr>
                <w:rStyle w:val="Hyperlink"/>
                <w:noProof/>
              </w:rPr>
              <w:t xml:space="preserve">3.3.3 </w:t>
            </w:r>
            <w:r>
              <w:rPr>
                <w:rFonts w:asciiTheme="minorHAnsi" w:eastAsiaTheme="minorEastAsia" w:hAnsiTheme="minorHAnsi" w:cstheme="minorBidi"/>
                <w:noProof/>
                <w:sz w:val="22"/>
                <w:szCs w:val="22"/>
              </w:rPr>
              <w:tab/>
            </w:r>
            <w:r w:rsidRPr="002A6639">
              <w:rPr>
                <w:rStyle w:val="Hyperlink"/>
                <w:noProof/>
              </w:rPr>
              <w:t>Affected Entity Operation</w:t>
            </w:r>
            <w:r>
              <w:rPr>
                <w:noProof/>
                <w:webHidden/>
              </w:rPr>
              <w:tab/>
            </w:r>
            <w:r>
              <w:rPr>
                <w:noProof/>
                <w:webHidden/>
              </w:rPr>
              <w:fldChar w:fldCharType="begin"/>
            </w:r>
            <w:r>
              <w:rPr>
                <w:noProof/>
                <w:webHidden/>
              </w:rPr>
              <w:instrText xml:space="preserve"> PAGEREF _Toc536603292 \h </w:instrText>
            </w:r>
            <w:r>
              <w:rPr>
                <w:noProof/>
                <w:webHidden/>
              </w:rPr>
              <w:fldChar w:fldCharType="separate"/>
            </w:r>
            <w:r w:rsidR="00E41970">
              <w:rPr>
                <w:noProof/>
                <w:webHidden/>
              </w:rPr>
              <w:t>31</w:t>
            </w:r>
            <w:r>
              <w:rPr>
                <w:noProof/>
                <w:webHidden/>
              </w:rPr>
              <w:fldChar w:fldCharType="end"/>
            </w:r>
          </w:hyperlink>
        </w:p>
        <w:p w:rsidR="00B4757F" w14:paraId="7F4933B2" w14:textId="388015AD">
          <w:pPr>
            <w:pStyle w:val="TOC3"/>
            <w:rPr>
              <w:rFonts w:asciiTheme="minorHAnsi" w:eastAsiaTheme="minorEastAsia" w:hAnsiTheme="minorHAnsi" w:cstheme="minorBidi"/>
              <w:noProof/>
              <w:sz w:val="22"/>
              <w:szCs w:val="22"/>
            </w:rPr>
          </w:pPr>
          <w:hyperlink w:anchor="_Toc536603293" w:history="1">
            <w:r w:rsidRPr="002A6639">
              <w:rPr>
                <w:rStyle w:val="Hyperlink"/>
                <w:noProof/>
              </w:rPr>
              <w:t xml:space="preserve">3.3.4 </w:t>
            </w:r>
            <w:r>
              <w:rPr>
                <w:rFonts w:asciiTheme="minorHAnsi" w:eastAsiaTheme="minorEastAsia" w:hAnsiTheme="minorHAnsi" w:cstheme="minorBidi"/>
                <w:noProof/>
                <w:sz w:val="22"/>
                <w:szCs w:val="22"/>
              </w:rPr>
              <w:tab/>
            </w:r>
            <w:r w:rsidRPr="002A6639">
              <w:rPr>
                <w:rStyle w:val="Hyperlink"/>
                <w:noProof/>
              </w:rPr>
              <w:t>NRC Implementation Costs</w:t>
            </w:r>
            <w:r>
              <w:rPr>
                <w:noProof/>
                <w:webHidden/>
              </w:rPr>
              <w:tab/>
            </w:r>
            <w:r>
              <w:rPr>
                <w:noProof/>
                <w:webHidden/>
              </w:rPr>
              <w:fldChar w:fldCharType="begin"/>
            </w:r>
            <w:r>
              <w:rPr>
                <w:noProof/>
                <w:webHidden/>
              </w:rPr>
              <w:instrText xml:space="preserve"> PAGEREF _Toc536603293 \h </w:instrText>
            </w:r>
            <w:r>
              <w:rPr>
                <w:noProof/>
                <w:webHidden/>
              </w:rPr>
              <w:fldChar w:fldCharType="separate"/>
            </w:r>
            <w:r w:rsidR="00E41970">
              <w:rPr>
                <w:noProof/>
                <w:webHidden/>
              </w:rPr>
              <w:t>33</w:t>
            </w:r>
            <w:r>
              <w:rPr>
                <w:noProof/>
                <w:webHidden/>
              </w:rPr>
              <w:fldChar w:fldCharType="end"/>
            </w:r>
          </w:hyperlink>
        </w:p>
        <w:p w:rsidR="00B4757F" w14:paraId="7F4933B3" w14:textId="5181934C">
          <w:pPr>
            <w:pStyle w:val="TOC3"/>
            <w:rPr>
              <w:rFonts w:asciiTheme="minorHAnsi" w:eastAsiaTheme="minorEastAsia" w:hAnsiTheme="minorHAnsi" w:cstheme="minorBidi"/>
              <w:noProof/>
              <w:sz w:val="22"/>
              <w:szCs w:val="22"/>
            </w:rPr>
          </w:pPr>
          <w:hyperlink w:anchor="_Toc536603294" w:history="1">
            <w:r w:rsidRPr="002A6639">
              <w:rPr>
                <w:rStyle w:val="Hyperlink"/>
                <w:noProof/>
              </w:rPr>
              <w:t>3.3.5</w:t>
            </w:r>
            <w:r>
              <w:rPr>
                <w:rFonts w:asciiTheme="minorHAnsi" w:eastAsiaTheme="minorEastAsia" w:hAnsiTheme="minorHAnsi" w:cstheme="minorBidi"/>
                <w:noProof/>
                <w:sz w:val="22"/>
                <w:szCs w:val="22"/>
              </w:rPr>
              <w:tab/>
            </w:r>
            <w:r w:rsidRPr="002A6639">
              <w:rPr>
                <w:rStyle w:val="Hyperlink"/>
                <w:noProof/>
              </w:rPr>
              <w:t>NRC Operation Costs</w:t>
            </w:r>
            <w:r>
              <w:rPr>
                <w:noProof/>
                <w:webHidden/>
              </w:rPr>
              <w:tab/>
            </w:r>
            <w:r>
              <w:rPr>
                <w:noProof/>
                <w:webHidden/>
              </w:rPr>
              <w:fldChar w:fldCharType="begin"/>
            </w:r>
            <w:r>
              <w:rPr>
                <w:noProof/>
                <w:webHidden/>
              </w:rPr>
              <w:instrText xml:space="preserve"> PAGEREF _Toc536603294 \h </w:instrText>
            </w:r>
            <w:r>
              <w:rPr>
                <w:noProof/>
                <w:webHidden/>
              </w:rPr>
              <w:fldChar w:fldCharType="separate"/>
            </w:r>
            <w:r w:rsidR="00E41970">
              <w:rPr>
                <w:noProof/>
                <w:webHidden/>
              </w:rPr>
              <w:t>33</w:t>
            </w:r>
            <w:r>
              <w:rPr>
                <w:noProof/>
                <w:webHidden/>
              </w:rPr>
              <w:fldChar w:fldCharType="end"/>
            </w:r>
          </w:hyperlink>
        </w:p>
        <w:p w:rsidR="00B4757F" w14:paraId="7F4933B4" w14:textId="62B350A3">
          <w:pPr>
            <w:pStyle w:val="TOC3"/>
            <w:rPr>
              <w:rFonts w:asciiTheme="minorHAnsi" w:eastAsiaTheme="minorEastAsia" w:hAnsiTheme="minorHAnsi" w:cstheme="minorBidi"/>
              <w:noProof/>
              <w:sz w:val="22"/>
              <w:szCs w:val="22"/>
            </w:rPr>
          </w:pPr>
          <w:hyperlink w:anchor="_Toc536603295" w:history="1">
            <w:r w:rsidRPr="002A6639">
              <w:rPr>
                <w:rStyle w:val="Hyperlink"/>
                <w:noProof/>
              </w:rPr>
              <w:t>3.3.6. Averted Costs Associated with Affected Entities and NRC Operation</w:t>
            </w:r>
            <w:r>
              <w:rPr>
                <w:noProof/>
                <w:webHidden/>
              </w:rPr>
              <w:tab/>
            </w:r>
            <w:r>
              <w:rPr>
                <w:noProof/>
                <w:webHidden/>
              </w:rPr>
              <w:fldChar w:fldCharType="begin"/>
            </w:r>
            <w:r>
              <w:rPr>
                <w:noProof/>
                <w:webHidden/>
              </w:rPr>
              <w:instrText xml:space="preserve"> PAGEREF _Toc536603295 \h </w:instrText>
            </w:r>
            <w:r>
              <w:rPr>
                <w:noProof/>
                <w:webHidden/>
              </w:rPr>
              <w:fldChar w:fldCharType="separate"/>
            </w:r>
            <w:r w:rsidR="00E41970">
              <w:rPr>
                <w:noProof/>
                <w:webHidden/>
              </w:rPr>
              <w:t>35</w:t>
            </w:r>
            <w:r>
              <w:rPr>
                <w:noProof/>
                <w:webHidden/>
              </w:rPr>
              <w:fldChar w:fldCharType="end"/>
            </w:r>
          </w:hyperlink>
        </w:p>
        <w:p w:rsidR="00B4757F" w14:paraId="7F4933B5" w14:textId="11200436">
          <w:pPr>
            <w:pStyle w:val="TOC2"/>
            <w:rPr>
              <w:rFonts w:asciiTheme="minorHAnsi" w:eastAsiaTheme="minorEastAsia" w:hAnsiTheme="minorHAnsi" w:cstheme="minorBidi"/>
              <w:i w:val="0"/>
              <w:sz w:val="22"/>
              <w:szCs w:val="22"/>
            </w:rPr>
          </w:pPr>
          <w:hyperlink w:anchor="_Toc536603296" w:history="1">
            <w:r w:rsidRPr="002A6639">
              <w:rPr>
                <w:rStyle w:val="Hyperlink"/>
              </w:rPr>
              <w:t xml:space="preserve">3.4 </w:t>
            </w:r>
            <w:r>
              <w:rPr>
                <w:rFonts w:asciiTheme="minorHAnsi" w:eastAsiaTheme="minorEastAsia" w:hAnsiTheme="minorHAnsi" w:cstheme="minorBidi"/>
                <w:i w:val="0"/>
                <w:sz w:val="22"/>
                <w:szCs w:val="22"/>
              </w:rPr>
              <w:tab/>
            </w:r>
            <w:r w:rsidRPr="002A6639">
              <w:rPr>
                <w:rStyle w:val="Hyperlink"/>
              </w:rPr>
              <w:t>Benefits of the Final Rule</w:t>
            </w:r>
            <w:r>
              <w:rPr>
                <w:webHidden/>
              </w:rPr>
              <w:tab/>
            </w:r>
            <w:r>
              <w:rPr>
                <w:webHidden/>
              </w:rPr>
              <w:fldChar w:fldCharType="begin"/>
            </w:r>
            <w:r>
              <w:rPr>
                <w:webHidden/>
              </w:rPr>
              <w:instrText xml:space="preserve"> PAGEREF _Toc536603296 \h </w:instrText>
            </w:r>
            <w:r>
              <w:rPr>
                <w:webHidden/>
              </w:rPr>
              <w:fldChar w:fldCharType="separate"/>
            </w:r>
            <w:r w:rsidR="00E41970">
              <w:rPr>
                <w:webHidden/>
              </w:rPr>
              <w:t>36</w:t>
            </w:r>
            <w:r>
              <w:rPr>
                <w:webHidden/>
              </w:rPr>
              <w:fldChar w:fldCharType="end"/>
            </w:r>
          </w:hyperlink>
        </w:p>
        <w:p w:rsidR="00B4757F" w14:paraId="7F4933B6" w14:textId="171CA14F">
          <w:pPr>
            <w:pStyle w:val="TOC3"/>
            <w:rPr>
              <w:rFonts w:asciiTheme="minorHAnsi" w:eastAsiaTheme="minorEastAsia" w:hAnsiTheme="minorHAnsi" w:cstheme="minorBidi"/>
              <w:noProof/>
              <w:sz w:val="22"/>
              <w:szCs w:val="22"/>
            </w:rPr>
          </w:pPr>
          <w:hyperlink w:anchor="_Toc536603297" w:history="1">
            <w:r w:rsidRPr="002A6639">
              <w:rPr>
                <w:rStyle w:val="Hyperlink"/>
                <w:noProof/>
              </w:rPr>
              <w:t>3.4.1</w:t>
            </w:r>
            <w:r>
              <w:rPr>
                <w:rFonts w:asciiTheme="minorHAnsi" w:eastAsiaTheme="minorEastAsia" w:hAnsiTheme="minorHAnsi" w:cstheme="minorBidi"/>
                <w:noProof/>
                <w:sz w:val="22"/>
                <w:szCs w:val="22"/>
              </w:rPr>
              <w:tab/>
            </w:r>
            <w:r w:rsidRPr="002A6639">
              <w:rPr>
                <w:rStyle w:val="Hyperlink"/>
                <w:noProof/>
              </w:rPr>
              <w:t>Benefits Associated with Public Health (Accident), Occupational Health (Accident), Offsite Property, Onsite Property, and Environmental Considerations</w:t>
            </w:r>
            <w:r>
              <w:rPr>
                <w:noProof/>
                <w:webHidden/>
              </w:rPr>
              <w:tab/>
            </w:r>
            <w:r>
              <w:rPr>
                <w:noProof/>
                <w:webHidden/>
              </w:rPr>
              <w:fldChar w:fldCharType="begin"/>
            </w:r>
            <w:r>
              <w:rPr>
                <w:noProof/>
                <w:webHidden/>
              </w:rPr>
              <w:instrText xml:space="preserve"> PAGEREF _Toc536603297 \h </w:instrText>
            </w:r>
            <w:r>
              <w:rPr>
                <w:noProof/>
                <w:webHidden/>
              </w:rPr>
              <w:fldChar w:fldCharType="separate"/>
            </w:r>
            <w:r w:rsidR="00E41970">
              <w:rPr>
                <w:noProof/>
                <w:webHidden/>
              </w:rPr>
              <w:t>37</w:t>
            </w:r>
            <w:r>
              <w:rPr>
                <w:noProof/>
                <w:webHidden/>
              </w:rPr>
              <w:fldChar w:fldCharType="end"/>
            </w:r>
          </w:hyperlink>
        </w:p>
        <w:p w:rsidR="00B4757F" w14:paraId="7F4933B7" w14:textId="01DEF7D9">
          <w:pPr>
            <w:pStyle w:val="TOC3"/>
            <w:rPr>
              <w:rFonts w:asciiTheme="minorHAnsi" w:eastAsiaTheme="minorEastAsia" w:hAnsiTheme="minorHAnsi" w:cstheme="minorBidi"/>
              <w:noProof/>
              <w:sz w:val="22"/>
              <w:szCs w:val="22"/>
            </w:rPr>
          </w:pPr>
          <w:hyperlink w:anchor="_Toc536603298" w:history="1">
            <w:r w:rsidRPr="002A6639">
              <w:rPr>
                <w:rStyle w:val="Hyperlink"/>
                <w:noProof/>
              </w:rPr>
              <w:t>3.4.2 Benefits Associated with Regulatory Efficiency</w:t>
            </w:r>
            <w:r>
              <w:rPr>
                <w:noProof/>
                <w:webHidden/>
              </w:rPr>
              <w:tab/>
            </w:r>
            <w:r>
              <w:rPr>
                <w:noProof/>
                <w:webHidden/>
              </w:rPr>
              <w:fldChar w:fldCharType="begin"/>
            </w:r>
            <w:r>
              <w:rPr>
                <w:noProof/>
                <w:webHidden/>
              </w:rPr>
              <w:instrText xml:space="preserve"> PAGEREF _Toc536603298 \h </w:instrText>
            </w:r>
            <w:r>
              <w:rPr>
                <w:noProof/>
                <w:webHidden/>
              </w:rPr>
              <w:fldChar w:fldCharType="separate"/>
            </w:r>
            <w:r w:rsidR="00E41970">
              <w:rPr>
                <w:noProof/>
                <w:webHidden/>
              </w:rPr>
              <w:t>37</w:t>
            </w:r>
            <w:r>
              <w:rPr>
                <w:noProof/>
                <w:webHidden/>
              </w:rPr>
              <w:fldChar w:fldCharType="end"/>
            </w:r>
          </w:hyperlink>
        </w:p>
        <w:p w:rsidR="00B4757F" w14:paraId="7F4933B8" w14:textId="0CEDBEA3">
          <w:pPr>
            <w:pStyle w:val="TOC2"/>
            <w:rPr>
              <w:rFonts w:asciiTheme="minorHAnsi" w:eastAsiaTheme="minorEastAsia" w:hAnsiTheme="minorHAnsi" w:cstheme="minorBidi"/>
              <w:i w:val="0"/>
              <w:sz w:val="22"/>
              <w:szCs w:val="22"/>
            </w:rPr>
          </w:pPr>
          <w:hyperlink w:anchor="_Toc536603299" w:history="1">
            <w:r w:rsidRPr="002A6639">
              <w:rPr>
                <w:rStyle w:val="Hyperlink"/>
              </w:rPr>
              <w:t>3.5</w:t>
            </w:r>
            <w:r>
              <w:rPr>
                <w:rFonts w:asciiTheme="minorHAnsi" w:eastAsiaTheme="minorEastAsia" w:hAnsiTheme="minorHAnsi" w:cstheme="minorBidi"/>
                <w:i w:val="0"/>
                <w:sz w:val="22"/>
                <w:szCs w:val="22"/>
              </w:rPr>
              <w:tab/>
            </w:r>
            <w:r w:rsidRPr="002A6639">
              <w:rPr>
                <w:rStyle w:val="Hyperlink"/>
              </w:rPr>
              <w:t>Disaggregation</w:t>
            </w:r>
            <w:r>
              <w:rPr>
                <w:webHidden/>
              </w:rPr>
              <w:tab/>
            </w:r>
            <w:r>
              <w:rPr>
                <w:webHidden/>
              </w:rPr>
              <w:fldChar w:fldCharType="begin"/>
            </w:r>
            <w:r>
              <w:rPr>
                <w:webHidden/>
              </w:rPr>
              <w:instrText xml:space="preserve"> PAGEREF _Toc536603299 \h </w:instrText>
            </w:r>
            <w:r>
              <w:rPr>
                <w:webHidden/>
              </w:rPr>
              <w:fldChar w:fldCharType="separate"/>
            </w:r>
            <w:r w:rsidR="00E41970">
              <w:rPr>
                <w:webHidden/>
              </w:rPr>
              <w:t>38</w:t>
            </w:r>
            <w:r>
              <w:rPr>
                <w:webHidden/>
              </w:rPr>
              <w:fldChar w:fldCharType="end"/>
            </w:r>
          </w:hyperlink>
        </w:p>
        <w:p w:rsidR="00B4757F" w14:paraId="7F4933B9" w14:textId="69D83483">
          <w:pPr>
            <w:pStyle w:val="TOC2"/>
            <w:rPr>
              <w:rFonts w:asciiTheme="minorHAnsi" w:eastAsiaTheme="minorEastAsia" w:hAnsiTheme="minorHAnsi" w:cstheme="minorBidi"/>
              <w:i w:val="0"/>
              <w:sz w:val="22"/>
              <w:szCs w:val="22"/>
            </w:rPr>
          </w:pPr>
          <w:hyperlink w:anchor="_Toc536603300" w:history="1">
            <w:r w:rsidRPr="002A6639">
              <w:rPr>
                <w:rStyle w:val="Hyperlink"/>
              </w:rPr>
              <w:t>3.6</w:t>
            </w:r>
            <w:r>
              <w:rPr>
                <w:rFonts w:asciiTheme="minorHAnsi" w:eastAsiaTheme="minorEastAsia" w:hAnsiTheme="minorHAnsi" w:cstheme="minorBidi"/>
                <w:i w:val="0"/>
                <w:sz w:val="22"/>
                <w:szCs w:val="22"/>
              </w:rPr>
              <w:tab/>
            </w:r>
            <w:r w:rsidRPr="002A6639">
              <w:rPr>
                <w:rStyle w:val="Hyperlink"/>
              </w:rPr>
              <w:t>Uncertainty Analysis</w:t>
            </w:r>
            <w:r>
              <w:rPr>
                <w:webHidden/>
              </w:rPr>
              <w:tab/>
            </w:r>
            <w:r>
              <w:rPr>
                <w:webHidden/>
              </w:rPr>
              <w:fldChar w:fldCharType="begin"/>
            </w:r>
            <w:r>
              <w:rPr>
                <w:webHidden/>
              </w:rPr>
              <w:instrText xml:space="preserve"> PAGEREF _Toc536603300 \h </w:instrText>
            </w:r>
            <w:r>
              <w:rPr>
                <w:webHidden/>
              </w:rPr>
              <w:fldChar w:fldCharType="separate"/>
            </w:r>
            <w:r w:rsidR="00E41970">
              <w:rPr>
                <w:webHidden/>
              </w:rPr>
              <w:t>40</w:t>
            </w:r>
            <w:r>
              <w:rPr>
                <w:webHidden/>
              </w:rPr>
              <w:fldChar w:fldCharType="end"/>
            </w:r>
          </w:hyperlink>
        </w:p>
        <w:p w:rsidR="00B4757F" w14:paraId="7F4933BA" w14:textId="501C906E">
          <w:pPr>
            <w:pStyle w:val="TOC3"/>
            <w:rPr>
              <w:rFonts w:asciiTheme="minorHAnsi" w:eastAsiaTheme="minorEastAsia" w:hAnsiTheme="minorHAnsi" w:cstheme="minorBidi"/>
              <w:noProof/>
              <w:sz w:val="22"/>
              <w:szCs w:val="22"/>
            </w:rPr>
          </w:pPr>
          <w:hyperlink w:anchor="_Toc536603301" w:history="1">
            <w:r w:rsidRPr="002A6639">
              <w:rPr>
                <w:rStyle w:val="Hyperlink"/>
                <w:noProof/>
              </w:rPr>
              <w:t>3.6.1</w:t>
            </w:r>
            <w:r>
              <w:rPr>
                <w:rFonts w:asciiTheme="minorHAnsi" w:eastAsiaTheme="minorEastAsia" w:hAnsiTheme="minorHAnsi" w:cstheme="minorBidi"/>
                <w:noProof/>
                <w:sz w:val="22"/>
                <w:szCs w:val="22"/>
              </w:rPr>
              <w:tab/>
            </w:r>
            <w:r w:rsidRPr="002A6639">
              <w:rPr>
                <w:rStyle w:val="Hyperlink"/>
                <w:noProof/>
              </w:rPr>
              <w:t>Uncertainty Model Inputs</w:t>
            </w:r>
            <w:r>
              <w:rPr>
                <w:noProof/>
                <w:webHidden/>
              </w:rPr>
              <w:tab/>
            </w:r>
            <w:r>
              <w:rPr>
                <w:noProof/>
                <w:webHidden/>
              </w:rPr>
              <w:fldChar w:fldCharType="begin"/>
            </w:r>
            <w:r>
              <w:rPr>
                <w:noProof/>
                <w:webHidden/>
              </w:rPr>
              <w:instrText xml:space="preserve"> PAGEREF _Toc536603301 \h </w:instrText>
            </w:r>
            <w:r>
              <w:rPr>
                <w:noProof/>
                <w:webHidden/>
              </w:rPr>
              <w:fldChar w:fldCharType="separate"/>
            </w:r>
            <w:r w:rsidR="00E41970">
              <w:rPr>
                <w:noProof/>
                <w:webHidden/>
              </w:rPr>
              <w:t>40</w:t>
            </w:r>
            <w:r>
              <w:rPr>
                <w:noProof/>
                <w:webHidden/>
              </w:rPr>
              <w:fldChar w:fldCharType="end"/>
            </w:r>
          </w:hyperlink>
        </w:p>
        <w:p w:rsidR="00B4757F" w14:paraId="7F4933BB" w14:textId="3D900B3D">
          <w:pPr>
            <w:pStyle w:val="TOC3"/>
            <w:rPr>
              <w:rFonts w:asciiTheme="minorHAnsi" w:eastAsiaTheme="minorEastAsia" w:hAnsiTheme="minorHAnsi" w:cstheme="minorBidi"/>
              <w:noProof/>
              <w:sz w:val="22"/>
              <w:szCs w:val="22"/>
            </w:rPr>
          </w:pPr>
          <w:hyperlink w:anchor="_Toc536603302" w:history="1">
            <w:r w:rsidRPr="002A6639">
              <w:rPr>
                <w:rStyle w:val="Hyperlink"/>
                <w:noProof/>
              </w:rPr>
              <w:t>3.6.2</w:t>
            </w:r>
            <w:r>
              <w:rPr>
                <w:rFonts w:asciiTheme="minorHAnsi" w:eastAsiaTheme="minorEastAsia" w:hAnsiTheme="minorHAnsi" w:cstheme="minorBidi"/>
                <w:noProof/>
                <w:sz w:val="22"/>
                <w:szCs w:val="22"/>
              </w:rPr>
              <w:tab/>
            </w:r>
            <w:r w:rsidRPr="002A6639">
              <w:rPr>
                <w:rStyle w:val="Hyperlink"/>
                <w:noProof/>
              </w:rPr>
              <w:t>Uncertainty Model Results</w:t>
            </w:r>
            <w:r>
              <w:rPr>
                <w:noProof/>
                <w:webHidden/>
              </w:rPr>
              <w:tab/>
            </w:r>
            <w:r>
              <w:rPr>
                <w:noProof/>
                <w:webHidden/>
              </w:rPr>
              <w:fldChar w:fldCharType="begin"/>
            </w:r>
            <w:r>
              <w:rPr>
                <w:noProof/>
                <w:webHidden/>
              </w:rPr>
              <w:instrText xml:space="preserve"> PAGEREF _Toc536603302 \h </w:instrText>
            </w:r>
            <w:r>
              <w:rPr>
                <w:noProof/>
                <w:webHidden/>
              </w:rPr>
              <w:fldChar w:fldCharType="separate"/>
            </w:r>
            <w:r w:rsidR="00E41970">
              <w:rPr>
                <w:noProof/>
                <w:webHidden/>
              </w:rPr>
              <w:t>41</w:t>
            </w:r>
            <w:r>
              <w:rPr>
                <w:noProof/>
                <w:webHidden/>
              </w:rPr>
              <w:fldChar w:fldCharType="end"/>
            </w:r>
          </w:hyperlink>
        </w:p>
        <w:p w:rsidR="00B4757F" w14:paraId="7F4933BC" w14:textId="17AE096B">
          <w:pPr>
            <w:pStyle w:val="TOC3"/>
            <w:rPr>
              <w:rFonts w:asciiTheme="minorHAnsi" w:eastAsiaTheme="minorEastAsia" w:hAnsiTheme="minorHAnsi" w:cstheme="minorBidi"/>
              <w:noProof/>
              <w:sz w:val="22"/>
              <w:szCs w:val="22"/>
            </w:rPr>
          </w:pPr>
          <w:hyperlink w:anchor="_Toc536603303" w:history="1">
            <w:r w:rsidRPr="002A6639">
              <w:rPr>
                <w:rStyle w:val="Hyperlink"/>
                <w:noProof/>
              </w:rPr>
              <w:t>3.6.3</w:t>
            </w:r>
            <w:r>
              <w:rPr>
                <w:rFonts w:asciiTheme="minorHAnsi" w:eastAsiaTheme="minorEastAsia" w:hAnsiTheme="minorHAnsi" w:cstheme="minorBidi"/>
                <w:noProof/>
                <w:sz w:val="22"/>
                <w:szCs w:val="22"/>
              </w:rPr>
              <w:tab/>
            </w:r>
            <w:r w:rsidRPr="002A6639">
              <w:rPr>
                <w:rStyle w:val="Hyperlink"/>
                <w:noProof/>
              </w:rPr>
              <w:t>Sensitivity Analysis</w:t>
            </w:r>
            <w:r>
              <w:rPr>
                <w:noProof/>
                <w:webHidden/>
              </w:rPr>
              <w:tab/>
            </w:r>
            <w:r>
              <w:rPr>
                <w:noProof/>
                <w:webHidden/>
              </w:rPr>
              <w:fldChar w:fldCharType="begin"/>
            </w:r>
            <w:r>
              <w:rPr>
                <w:noProof/>
                <w:webHidden/>
              </w:rPr>
              <w:instrText xml:space="preserve"> PAGEREF _Toc536603303 \h </w:instrText>
            </w:r>
            <w:r>
              <w:rPr>
                <w:noProof/>
                <w:webHidden/>
              </w:rPr>
              <w:fldChar w:fldCharType="separate"/>
            </w:r>
            <w:r w:rsidR="00E41970">
              <w:rPr>
                <w:noProof/>
                <w:webHidden/>
              </w:rPr>
              <w:t>45</w:t>
            </w:r>
            <w:r>
              <w:rPr>
                <w:noProof/>
                <w:webHidden/>
              </w:rPr>
              <w:fldChar w:fldCharType="end"/>
            </w:r>
          </w:hyperlink>
        </w:p>
        <w:p w:rsidR="00B4757F" w14:paraId="7F4933BD" w14:textId="0515757D">
          <w:pPr>
            <w:pStyle w:val="TOC3"/>
            <w:rPr>
              <w:rFonts w:asciiTheme="minorHAnsi" w:eastAsiaTheme="minorEastAsia" w:hAnsiTheme="minorHAnsi" w:cstheme="minorBidi"/>
              <w:noProof/>
              <w:sz w:val="22"/>
              <w:szCs w:val="22"/>
            </w:rPr>
          </w:pPr>
          <w:hyperlink w:anchor="_Toc536603304" w:history="1">
            <w:r w:rsidRPr="002A6639">
              <w:rPr>
                <w:rStyle w:val="Hyperlink"/>
                <w:noProof/>
              </w:rPr>
              <w:t>3.6.4</w:t>
            </w:r>
            <w:r>
              <w:rPr>
                <w:rFonts w:asciiTheme="minorHAnsi" w:eastAsiaTheme="minorEastAsia" w:hAnsiTheme="minorHAnsi" w:cstheme="minorBidi"/>
                <w:noProof/>
                <w:sz w:val="22"/>
                <w:szCs w:val="22"/>
              </w:rPr>
              <w:tab/>
            </w:r>
            <w:r w:rsidRPr="002A6639">
              <w:rPr>
                <w:rStyle w:val="Hyperlink"/>
                <w:noProof/>
              </w:rPr>
              <w:t>Decommissioning NPUFs Assumption Sensitivity</w:t>
            </w:r>
            <w:r>
              <w:rPr>
                <w:noProof/>
                <w:webHidden/>
              </w:rPr>
              <w:tab/>
            </w:r>
            <w:r>
              <w:rPr>
                <w:noProof/>
                <w:webHidden/>
              </w:rPr>
              <w:fldChar w:fldCharType="begin"/>
            </w:r>
            <w:r>
              <w:rPr>
                <w:noProof/>
                <w:webHidden/>
              </w:rPr>
              <w:instrText xml:space="preserve"> PAGEREF _Toc536603304 \h </w:instrText>
            </w:r>
            <w:r>
              <w:rPr>
                <w:noProof/>
                <w:webHidden/>
              </w:rPr>
              <w:fldChar w:fldCharType="separate"/>
            </w:r>
            <w:r w:rsidR="00E41970">
              <w:rPr>
                <w:noProof/>
                <w:webHidden/>
              </w:rPr>
              <w:t>46</w:t>
            </w:r>
            <w:r>
              <w:rPr>
                <w:noProof/>
                <w:webHidden/>
              </w:rPr>
              <w:fldChar w:fldCharType="end"/>
            </w:r>
          </w:hyperlink>
        </w:p>
        <w:p w:rsidR="00B4757F" w14:paraId="7F4933BE" w14:textId="40B762AC">
          <w:pPr>
            <w:pStyle w:val="TOC3"/>
            <w:rPr>
              <w:rFonts w:asciiTheme="minorHAnsi" w:eastAsiaTheme="minorEastAsia" w:hAnsiTheme="minorHAnsi" w:cstheme="minorBidi"/>
              <w:noProof/>
              <w:sz w:val="22"/>
              <w:szCs w:val="22"/>
            </w:rPr>
          </w:pPr>
          <w:hyperlink w:anchor="_Toc536603305" w:history="1">
            <w:r w:rsidRPr="002A6639">
              <w:rPr>
                <w:rStyle w:val="Hyperlink"/>
                <w:noProof/>
              </w:rPr>
              <w:t>3.6.5</w:t>
            </w:r>
            <w:r>
              <w:rPr>
                <w:rFonts w:asciiTheme="minorHAnsi" w:eastAsiaTheme="minorEastAsia" w:hAnsiTheme="minorHAnsi" w:cstheme="minorBidi"/>
                <w:noProof/>
                <w:sz w:val="22"/>
                <w:szCs w:val="22"/>
              </w:rPr>
              <w:tab/>
            </w:r>
            <w:r w:rsidRPr="002A6639">
              <w:rPr>
                <w:rStyle w:val="Hyperlink"/>
                <w:noProof/>
              </w:rPr>
              <w:t>Shine and NWMI Licensing Sensitivity</w:t>
            </w:r>
            <w:r>
              <w:rPr>
                <w:noProof/>
                <w:webHidden/>
              </w:rPr>
              <w:tab/>
            </w:r>
            <w:r>
              <w:rPr>
                <w:noProof/>
                <w:webHidden/>
              </w:rPr>
              <w:fldChar w:fldCharType="begin"/>
            </w:r>
            <w:r>
              <w:rPr>
                <w:noProof/>
                <w:webHidden/>
              </w:rPr>
              <w:instrText xml:space="preserve"> PAGEREF _Toc536603305 \h </w:instrText>
            </w:r>
            <w:r>
              <w:rPr>
                <w:noProof/>
                <w:webHidden/>
              </w:rPr>
              <w:fldChar w:fldCharType="separate"/>
            </w:r>
            <w:r w:rsidR="00E41970">
              <w:rPr>
                <w:noProof/>
                <w:webHidden/>
              </w:rPr>
              <w:t>47</w:t>
            </w:r>
            <w:r>
              <w:rPr>
                <w:noProof/>
                <w:webHidden/>
              </w:rPr>
              <w:fldChar w:fldCharType="end"/>
            </w:r>
          </w:hyperlink>
        </w:p>
        <w:p w:rsidR="00B4757F" w14:paraId="7F4933BF" w14:textId="0303ED2D">
          <w:pPr>
            <w:pStyle w:val="TOC1"/>
            <w:rPr>
              <w:rFonts w:asciiTheme="minorHAnsi" w:eastAsiaTheme="minorEastAsia" w:hAnsiTheme="minorHAnsi" w:cstheme="minorBidi"/>
              <w:noProof/>
              <w:sz w:val="22"/>
              <w:szCs w:val="22"/>
            </w:rPr>
          </w:pPr>
          <w:hyperlink w:anchor="_Toc536603306" w:history="1">
            <w:r w:rsidRPr="00B4757F">
              <w:rPr>
                <w:rStyle w:val="Hyperlink"/>
                <w:bCs/>
                <w:noProof/>
                <w:kern w:val="32"/>
              </w:rPr>
              <w:t xml:space="preserve">4. </w:t>
            </w:r>
            <w:r w:rsidRPr="00B4757F">
              <w:rPr>
                <w:rFonts w:asciiTheme="minorHAnsi" w:eastAsiaTheme="minorEastAsia" w:hAnsiTheme="minorHAnsi" w:cstheme="minorBidi"/>
                <w:noProof/>
                <w:sz w:val="22"/>
                <w:szCs w:val="22"/>
              </w:rPr>
              <w:tab/>
            </w:r>
            <w:r w:rsidRPr="00B4757F">
              <w:rPr>
                <w:rStyle w:val="Hyperlink"/>
                <w:bCs/>
                <w:noProof/>
                <w:kern w:val="32"/>
              </w:rPr>
              <w:t>Regulatory Flexibility Analysis</w:t>
            </w:r>
            <w:r>
              <w:rPr>
                <w:noProof/>
                <w:webHidden/>
              </w:rPr>
              <w:tab/>
            </w:r>
            <w:r>
              <w:rPr>
                <w:noProof/>
                <w:webHidden/>
              </w:rPr>
              <w:fldChar w:fldCharType="begin"/>
            </w:r>
            <w:r>
              <w:rPr>
                <w:noProof/>
                <w:webHidden/>
              </w:rPr>
              <w:instrText xml:space="preserve"> PAGEREF _Toc536603306 \h </w:instrText>
            </w:r>
            <w:r>
              <w:rPr>
                <w:noProof/>
                <w:webHidden/>
              </w:rPr>
              <w:fldChar w:fldCharType="separate"/>
            </w:r>
            <w:r w:rsidR="00E41970">
              <w:rPr>
                <w:noProof/>
                <w:webHidden/>
              </w:rPr>
              <w:t>48</w:t>
            </w:r>
            <w:r>
              <w:rPr>
                <w:noProof/>
                <w:webHidden/>
              </w:rPr>
              <w:fldChar w:fldCharType="end"/>
            </w:r>
          </w:hyperlink>
        </w:p>
        <w:p w:rsidR="00B4757F" w14:paraId="7F4933C0" w14:textId="6B4FCF7B">
          <w:pPr>
            <w:pStyle w:val="TOC1"/>
            <w:rPr>
              <w:rFonts w:asciiTheme="minorHAnsi" w:eastAsiaTheme="minorEastAsia" w:hAnsiTheme="minorHAnsi" w:cstheme="minorBidi"/>
              <w:noProof/>
              <w:sz w:val="22"/>
              <w:szCs w:val="22"/>
            </w:rPr>
          </w:pPr>
          <w:hyperlink w:anchor="_Toc536603307" w:history="1">
            <w:r w:rsidRPr="002A6639">
              <w:rPr>
                <w:rStyle w:val="Hyperlink"/>
                <w:noProof/>
              </w:rPr>
              <w:t>5.</w:t>
            </w:r>
            <w:r>
              <w:rPr>
                <w:rFonts w:asciiTheme="minorHAnsi" w:eastAsiaTheme="minorEastAsia" w:hAnsiTheme="minorHAnsi" w:cstheme="minorBidi"/>
                <w:noProof/>
                <w:sz w:val="22"/>
                <w:szCs w:val="22"/>
              </w:rPr>
              <w:tab/>
            </w:r>
            <w:r w:rsidRPr="002A6639">
              <w:rPr>
                <w:rStyle w:val="Hyperlink"/>
                <w:noProof/>
              </w:rPr>
              <w:t>Decision Rationale for Selection of Final Action</w:t>
            </w:r>
            <w:r>
              <w:rPr>
                <w:noProof/>
                <w:webHidden/>
              </w:rPr>
              <w:tab/>
            </w:r>
            <w:r>
              <w:rPr>
                <w:noProof/>
                <w:webHidden/>
              </w:rPr>
              <w:fldChar w:fldCharType="begin"/>
            </w:r>
            <w:r>
              <w:rPr>
                <w:noProof/>
                <w:webHidden/>
              </w:rPr>
              <w:instrText xml:space="preserve"> PAGEREF _Toc536603307 \h </w:instrText>
            </w:r>
            <w:r>
              <w:rPr>
                <w:noProof/>
                <w:webHidden/>
              </w:rPr>
              <w:fldChar w:fldCharType="separate"/>
            </w:r>
            <w:r w:rsidR="00E41970">
              <w:rPr>
                <w:noProof/>
                <w:webHidden/>
              </w:rPr>
              <w:t>49</w:t>
            </w:r>
            <w:r>
              <w:rPr>
                <w:noProof/>
                <w:webHidden/>
              </w:rPr>
              <w:fldChar w:fldCharType="end"/>
            </w:r>
          </w:hyperlink>
        </w:p>
        <w:p w:rsidR="00B4757F" w14:paraId="7F4933C1" w14:textId="39F526A1">
          <w:pPr>
            <w:pStyle w:val="TOC2"/>
            <w:rPr>
              <w:rFonts w:asciiTheme="minorHAnsi" w:eastAsiaTheme="minorEastAsia" w:hAnsiTheme="minorHAnsi" w:cstheme="minorBidi"/>
              <w:i w:val="0"/>
              <w:sz w:val="22"/>
              <w:szCs w:val="22"/>
            </w:rPr>
          </w:pPr>
          <w:hyperlink w:anchor="_Toc536603308" w:history="1">
            <w:r w:rsidRPr="002A6639">
              <w:rPr>
                <w:rStyle w:val="Hyperlink"/>
              </w:rPr>
              <w:t>5.1</w:t>
            </w:r>
            <w:r>
              <w:rPr>
                <w:rFonts w:asciiTheme="minorHAnsi" w:eastAsiaTheme="minorEastAsia" w:hAnsiTheme="minorHAnsi" w:cstheme="minorBidi"/>
                <w:i w:val="0"/>
                <w:sz w:val="22"/>
                <w:szCs w:val="22"/>
              </w:rPr>
              <w:tab/>
            </w:r>
            <w:r w:rsidRPr="002A6639">
              <w:rPr>
                <w:rStyle w:val="Hyperlink"/>
              </w:rPr>
              <w:t>Safety Goal Evaluation</w:t>
            </w:r>
            <w:r>
              <w:rPr>
                <w:webHidden/>
              </w:rPr>
              <w:tab/>
            </w:r>
            <w:r>
              <w:rPr>
                <w:webHidden/>
              </w:rPr>
              <w:fldChar w:fldCharType="begin"/>
            </w:r>
            <w:r>
              <w:rPr>
                <w:webHidden/>
              </w:rPr>
              <w:instrText xml:space="preserve"> PAGEREF _Toc536603308 \h </w:instrText>
            </w:r>
            <w:r>
              <w:rPr>
                <w:webHidden/>
              </w:rPr>
              <w:fldChar w:fldCharType="separate"/>
            </w:r>
            <w:r w:rsidR="00E41970">
              <w:rPr>
                <w:webHidden/>
              </w:rPr>
              <w:t>49</w:t>
            </w:r>
            <w:r>
              <w:rPr>
                <w:webHidden/>
              </w:rPr>
              <w:fldChar w:fldCharType="end"/>
            </w:r>
          </w:hyperlink>
        </w:p>
        <w:p w:rsidR="00B4757F" w14:paraId="7F4933C2" w14:textId="4D2D1030">
          <w:pPr>
            <w:pStyle w:val="TOC2"/>
            <w:rPr>
              <w:rFonts w:asciiTheme="minorHAnsi" w:eastAsiaTheme="minorEastAsia" w:hAnsiTheme="minorHAnsi" w:cstheme="minorBidi"/>
              <w:i w:val="0"/>
              <w:sz w:val="22"/>
              <w:szCs w:val="22"/>
            </w:rPr>
          </w:pPr>
          <w:hyperlink w:anchor="_Toc536603309" w:history="1">
            <w:r w:rsidRPr="002A6639">
              <w:rPr>
                <w:rStyle w:val="Hyperlink"/>
              </w:rPr>
              <w:t>5.2</w:t>
            </w:r>
            <w:r>
              <w:rPr>
                <w:rFonts w:asciiTheme="minorHAnsi" w:eastAsiaTheme="minorEastAsia" w:hAnsiTheme="minorHAnsi" w:cstheme="minorBidi"/>
                <w:i w:val="0"/>
                <w:sz w:val="22"/>
                <w:szCs w:val="22"/>
              </w:rPr>
              <w:tab/>
            </w:r>
            <w:r w:rsidRPr="002A6639">
              <w:rPr>
                <w:rStyle w:val="Hyperlink"/>
              </w:rPr>
              <w:t>Committee To Review Generic Requirements</w:t>
            </w:r>
            <w:r>
              <w:rPr>
                <w:webHidden/>
              </w:rPr>
              <w:tab/>
            </w:r>
            <w:r>
              <w:rPr>
                <w:webHidden/>
              </w:rPr>
              <w:fldChar w:fldCharType="begin"/>
            </w:r>
            <w:r>
              <w:rPr>
                <w:webHidden/>
              </w:rPr>
              <w:instrText xml:space="preserve"> PAGEREF _Toc536603309 \h </w:instrText>
            </w:r>
            <w:r>
              <w:rPr>
                <w:webHidden/>
              </w:rPr>
              <w:fldChar w:fldCharType="separate"/>
            </w:r>
            <w:r w:rsidR="00E41970">
              <w:rPr>
                <w:webHidden/>
              </w:rPr>
              <w:t>49</w:t>
            </w:r>
            <w:r>
              <w:rPr>
                <w:webHidden/>
              </w:rPr>
              <w:fldChar w:fldCharType="end"/>
            </w:r>
          </w:hyperlink>
        </w:p>
        <w:p w:rsidR="00B4757F" w14:paraId="7F4933C3" w14:textId="3821C53E">
          <w:pPr>
            <w:pStyle w:val="TOC1"/>
            <w:rPr>
              <w:rFonts w:asciiTheme="minorHAnsi" w:eastAsiaTheme="minorEastAsia" w:hAnsiTheme="minorHAnsi" w:cstheme="minorBidi"/>
              <w:noProof/>
              <w:sz w:val="22"/>
              <w:szCs w:val="22"/>
            </w:rPr>
          </w:pPr>
          <w:hyperlink w:anchor="_Toc536603310" w:history="1">
            <w:r w:rsidRPr="002A6639">
              <w:rPr>
                <w:rStyle w:val="Hyperlink"/>
                <w:noProof/>
              </w:rPr>
              <w:t>6.</w:t>
            </w:r>
            <w:r>
              <w:rPr>
                <w:rFonts w:asciiTheme="minorHAnsi" w:eastAsiaTheme="minorEastAsia" w:hAnsiTheme="minorHAnsi" w:cstheme="minorBidi"/>
                <w:noProof/>
                <w:sz w:val="22"/>
                <w:szCs w:val="22"/>
              </w:rPr>
              <w:tab/>
            </w:r>
            <w:r w:rsidRPr="002A6639">
              <w:rPr>
                <w:rStyle w:val="Hyperlink"/>
                <w:noProof/>
              </w:rPr>
              <w:t>References</w:t>
            </w:r>
            <w:r>
              <w:rPr>
                <w:noProof/>
                <w:webHidden/>
              </w:rPr>
              <w:tab/>
            </w:r>
            <w:r>
              <w:rPr>
                <w:noProof/>
                <w:webHidden/>
              </w:rPr>
              <w:fldChar w:fldCharType="begin"/>
            </w:r>
            <w:r>
              <w:rPr>
                <w:noProof/>
                <w:webHidden/>
              </w:rPr>
              <w:instrText xml:space="preserve"> PAGEREF _Toc536603310 \h </w:instrText>
            </w:r>
            <w:r>
              <w:rPr>
                <w:noProof/>
                <w:webHidden/>
              </w:rPr>
              <w:fldChar w:fldCharType="separate"/>
            </w:r>
            <w:r w:rsidR="00E41970">
              <w:rPr>
                <w:noProof/>
                <w:webHidden/>
              </w:rPr>
              <w:t>50</w:t>
            </w:r>
            <w:r>
              <w:rPr>
                <w:noProof/>
                <w:webHidden/>
              </w:rPr>
              <w:fldChar w:fldCharType="end"/>
            </w:r>
          </w:hyperlink>
        </w:p>
        <w:p w:rsidR="00B4757F" w:rsidRPr="00B4757F" w14:paraId="7F4933C4" w14:textId="35561AC5">
          <w:pPr>
            <w:pStyle w:val="TOC1"/>
            <w:rPr>
              <w:rFonts w:asciiTheme="minorHAnsi" w:eastAsiaTheme="minorEastAsia" w:hAnsiTheme="minorHAnsi" w:cstheme="minorBidi"/>
              <w:b/>
              <w:noProof/>
              <w:sz w:val="22"/>
              <w:szCs w:val="22"/>
            </w:rPr>
          </w:pPr>
          <w:hyperlink w:anchor="_Toc536603311" w:history="1">
            <w:r w:rsidRPr="00B4757F">
              <w:rPr>
                <w:rStyle w:val="Hyperlink"/>
                <w:i/>
                <w:noProof/>
                <w:kern w:val="32"/>
              </w:rPr>
              <w:t>Appendix A</w:t>
            </w:r>
            <w:r w:rsidRPr="00B4757F">
              <w:rPr>
                <w:rStyle w:val="Hyperlink"/>
                <w:rFonts w:cs="Arial"/>
                <w:bCs/>
                <w:i/>
                <w:noProof/>
                <w:kern w:val="32"/>
              </w:rPr>
              <w:t>:  Detailed Cost and Cost Savings Buildup</w:t>
            </w:r>
            <w:r w:rsidRPr="003A7F24">
              <w:rPr>
                <w:noProof/>
                <w:webHidden/>
              </w:rPr>
              <w:tab/>
            </w:r>
            <w:r w:rsidRPr="003A7F24">
              <w:rPr>
                <w:noProof/>
                <w:webHidden/>
              </w:rPr>
              <w:fldChar w:fldCharType="begin"/>
            </w:r>
            <w:r w:rsidRPr="003A7F24">
              <w:rPr>
                <w:noProof/>
                <w:webHidden/>
              </w:rPr>
              <w:instrText xml:space="preserve"> PAGEREF _Toc536603311 \h </w:instrText>
            </w:r>
            <w:r w:rsidRPr="003A7F24">
              <w:rPr>
                <w:noProof/>
                <w:webHidden/>
              </w:rPr>
              <w:fldChar w:fldCharType="separate"/>
            </w:r>
            <w:r w:rsidR="00E41970">
              <w:rPr>
                <w:noProof/>
                <w:webHidden/>
              </w:rPr>
              <w:t>53</w:t>
            </w:r>
            <w:r w:rsidRPr="003A7F24">
              <w:rPr>
                <w:noProof/>
                <w:webHidden/>
              </w:rPr>
              <w:fldChar w:fldCharType="end"/>
            </w:r>
          </w:hyperlink>
        </w:p>
        <w:p w:rsidR="00FA1339" w:rsidRPr="00CD40B2" w14:paraId="7F4933C5" w14:textId="77777777">
          <w:r w:rsidRPr="008C74D6">
            <w:rPr>
              <w:rFonts w:cs="Arial"/>
              <w:bCs/>
              <w:noProof/>
              <w:sz w:val="22"/>
            </w:rPr>
            <w:fldChar w:fldCharType="end"/>
          </w:r>
        </w:p>
      </w:sdtContent>
    </w:sdt>
    <w:p w:rsidR="005E0621" w14:paraId="7F4933C6" w14:textId="77777777">
      <w:pPr>
        <w:autoSpaceDE/>
        <w:autoSpaceDN/>
        <w:adjustRightInd/>
        <w:spacing w:after="160" w:line="259" w:lineRule="auto"/>
        <w:rPr>
          <w:rStyle w:val="Hyperlink"/>
          <w:rFonts w:eastAsiaTheme="minorEastAsia"/>
          <w:b/>
          <w:noProof/>
          <w:color w:val="auto"/>
          <w:sz w:val="40"/>
          <w:szCs w:val="40"/>
          <w:u w:val="none"/>
        </w:rPr>
      </w:pPr>
      <w:r>
        <w:rPr>
          <w:rStyle w:val="Hyperlink"/>
          <w:rFonts w:eastAsiaTheme="minorEastAsia"/>
          <w:b/>
          <w:noProof/>
          <w:color w:val="auto"/>
          <w:sz w:val="40"/>
          <w:szCs w:val="40"/>
          <w:u w:val="none"/>
        </w:rPr>
        <w:br w:type="page"/>
      </w:r>
    </w:p>
    <w:p w:rsidR="00995E96" w:rsidRPr="001F11D8" w:rsidP="00995E96" w14:paraId="7F4933C7" w14:textId="77777777">
      <w:pPr>
        <w:autoSpaceDE/>
        <w:autoSpaceDN/>
        <w:adjustRightInd/>
        <w:spacing w:after="160"/>
        <w:rPr>
          <w:rStyle w:val="Hyperlink"/>
          <w:rFonts w:eastAsiaTheme="minorEastAsia"/>
          <w:b/>
          <w:noProof/>
          <w:color w:val="auto"/>
          <w:sz w:val="40"/>
          <w:szCs w:val="40"/>
          <w:u w:val="none"/>
        </w:rPr>
      </w:pPr>
      <w:r>
        <w:rPr>
          <w:rStyle w:val="Hyperlink"/>
          <w:rFonts w:eastAsiaTheme="minorEastAsia"/>
          <w:b/>
          <w:noProof/>
          <w:color w:val="auto"/>
          <w:sz w:val="40"/>
          <w:szCs w:val="40"/>
          <w:u w:val="none"/>
        </w:rPr>
        <w:t>List of Exhibits</w:t>
      </w:r>
    </w:p>
    <w:p w:rsidR="00E05F76" w:rsidRPr="00E05F76" w14:paraId="7F4933C8" w14:textId="13713729">
      <w:pPr>
        <w:pStyle w:val="TableofFigures"/>
        <w:tabs>
          <w:tab w:val="right" w:leader="dot" w:pos="9350"/>
        </w:tabs>
        <w:rPr>
          <w:rFonts w:asciiTheme="minorHAnsi" w:eastAsiaTheme="minorEastAsia" w:hAnsiTheme="minorHAnsi" w:cstheme="minorBidi"/>
          <w:noProof/>
          <w:sz w:val="22"/>
          <w:szCs w:val="22"/>
        </w:rPr>
      </w:pPr>
      <w:r w:rsidRPr="00E05F76">
        <w:rPr>
          <w:rStyle w:val="Hyperlink"/>
          <w:rFonts w:eastAsiaTheme="minorEastAsia"/>
          <w:noProof/>
          <w:color w:val="auto"/>
        </w:rPr>
        <w:fldChar w:fldCharType="begin"/>
      </w:r>
      <w:r w:rsidRPr="00E05F76">
        <w:rPr>
          <w:rStyle w:val="Hyperlink"/>
          <w:rFonts w:eastAsiaTheme="minorEastAsia"/>
          <w:noProof/>
          <w:color w:val="auto"/>
        </w:rPr>
        <w:instrText xml:space="preserve"> TOC \h \z \c "Exhibit" </w:instrText>
      </w:r>
      <w:r w:rsidRPr="00E05F76">
        <w:rPr>
          <w:rStyle w:val="Hyperlink"/>
          <w:rFonts w:eastAsiaTheme="minorEastAsia"/>
          <w:noProof/>
          <w:color w:val="auto"/>
        </w:rPr>
        <w:fldChar w:fldCharType="separate"/>
      </w:r>
      <w:hyperlink w:anchor="_Toc9526458" w:history="1">
        <w:r w:rsidRPr="00E05F76">
          <w:rPr>
            <w:rStyle w:val="Hyperlink"/>
            <w:noProof/>
          </w:rPr>
          <w:t>Exhibit 3</w:t>
        </w:r>
        <w:r w:rsidRPr="00E05F76">
          <w:rPr>
            <w:rStyle w:val="Hyperlink"/>
            <w:noProof/>
          </w:rPr>
          <w:noBreakHyphen/>
          <w:t>1. Categorization of NPUFs by Type</w:t>
        </w:r>
        <w:r w:rsidRPr="00E05F76">
          <w:rPr>
            <w:noProof/>
            <w:webHidden/>
          </w:rPr>
          <w:tab/>
        </w:r>
        <w:r w:rsidRPr="00E05F76">
          <w:rPr>
            <w:noProof/>
            <w:webHidden/>
          </w:rPr>
          <w:fldChar w:fldCharType="begin"/>
        </w:r>
        <w:r w:rsidRPr="00E05F76">
          <w:rPr>
            <w:noProof/>
            <w:webHidden/>
          </w:rPr>
          <w:instrText xml:space="preserve"> PAGEREF _Toc9526458 \h </w:instrText>
        </w:r>
        <w:r w:rsidRPr="00E05F76">
          <w:rPr>
            <w:noProof/>
            <w:webHidden/>
          </w:rPr>
          <w:fldChar w:fldCharType="separate"/>
        </w:r>
        <w:r w:rsidR="00977795">
          <w:rPr>
            <w:noProof/>
            <w:webHidden/>
          </w:rPr>
          <w:t>16</w:t>
        </w:r>
        <w:r w:rsidRPr="00E05F76">
          <w:rPr>
            <w:noProof/>
            <w:webHidden/>
          </w:rPr>
          <w:fldChar w:fldCharType="end"/>
        </w:r>
      </w:hyperlink>
    </w:p>
    <w:p w:rsidR="00E05F76" w:rsidRPr="00E05F76" w14:paraId="7F4933C9" w14:textId="226B33B1">
      <w:pPr>
        <w:pStyle w:val="TableofFigures"/>
        <w:tabs>
          <w:tab w:val="right" w:leader="dot" w:pos="9350"/>
        </w:tabs>
        <w:rPr>
          <w:rFonts w:asciiTheme="minorHAnsi" w:eastAsiaTheme="minorEastAsia" w:hAnsiTheme="minorHAnsi" w:cstheme="minorBidi"/>
          <w:noProof/>
          <w:sz w:val="22"/>
          <w:szCs w:val="22"/>
        </w:rPr>
      </w:pPr>
      <w:hyperlink w:anchor="_Toc9526459" w:history="1">
        <w:r w:rsidRPr="00E05F76">
          <w:rPr>
            <w:rStyle w:val="Hyperlink"/>
            <w:noProof/>
          </w:rPr>
          <w:t>Exhibit 3</w:t>
        </w:r>
        <w:r w:rsidRPr="00E05F76">
          <w:rPr>
            <w:rStyle w:val="Hyperlink"/>
            <w:noProof/>
          </w:rPr>
          <w:noBreakHyphen/>
          <w:t>2. List of NPUFs by Implementation Groups</w:t>
        </w:r>
        <w:r w:rsidRPr="00E05F76">
          <w:rPr>
            <w:noProof/>
            <w:webHidden/>
          </w:rPr>
          <w:tab/>
        </w:r>
        <w:r w:rsidRPr="00E05F76">
          <w:rPr>
            <w:noProof/>
            <w:webHidden/>
          </w:rPr>
          <w:fldChar w:fldCharType="begin"/>
        </w:r>
        <w:r w:rsidRPr="00E05F76">
          <w:rPr>
            <w:noProof/>
            <w:webHidden/>
          </w:rPr>
          <w:instrText xml:space="preserve"> PAGEREF _Toc9526459 \h </w:instrText>
        </w:r>
        <w:r w:rsidRPr="00E05F76">
          <w:rPr>
            <w:noProof/>
            <w:webHidden/>
          </w:rPr>
          <w:fldChar w:fldCharType="separate"/>
        </w:r>
        <w:r w:rsidR="00977795">
          <w:rPr>
            <w:noProof/>
            <w:webHidden/>
          </w:rPr>
          <w:t>18</w:t>
        </w:r>
        <w:r w:rsidRPr="00E05F76">
          <w:rPr>
            <w:noProof/>
            <w:webHidden/>
          </w:rPr>
          <w:fldChar w:fldCharType="end"/>
        </w:r>
      </w:hyperlink>
    </w:p>
    <w:p w:rsidR="00E05F76" w:rsidRPr="00E05F76" w14:paraId="7F4933CA" w14:textId="03A998D9">
      <w:pPr>
        <w:pStyle w:val="TableofFigures"/>
        <w:tabs>
          <w:tab w:val="right" w:leader="dot" w:pos="9350"/>
        </w:tabs>
        <w:rPr>
          <w:rFonts w:asciiTheme="minorHAnsi" w:eastAsiaTheme="minorEastAsia" w:hAnsiTheme="minorHAnsi" w:cstheme="minorBidi"/>
          <w:noProof/>
          <w:sz w:val="22"/>
          <w:szCs w:val="22"/>
        </w:rPr>
      </w:pPr>
      <w:hyperlink w:anchor="_Toc9526460" w:history="1">
        <w:r w:rsidRPr="00E05F76">
          <w:rPr>
            <w:rStyle w:val="Hyperlink"/>
            <w:noProof/>
          </w:rPr>
          <w:t>Exhibit 3</w:t>
        </w:r>
        <w:r w:rsidRPr="00E05F76">
          <w:rPr>
            <w:rStyle w:val="Hyperlink"/>
            <w:noProof/>
          </w:rPr>
          <w:noBreakHyphen/>
          <w:t>3. Wage Rate Estimates by Labor Category (2020$)</w:t>
        </w:r>
        <w:r w:rsidRPr="00E05F76">
          <w:rPr>
            <w:noProof/>
            <w:webHidden/>
          </w:rPr>
          <w:tab/>
        </w:r>
        <w:r w:rsidRPr="00E05F76">
          <w:rPr>
            <w:noProof/>
            <w:webHidden/>
          </w:rPr>
          <w:fldChar w:fldCharType="begin"/>
        </w:r>
        <w:r w:rsidRPr="00E05F76">
          <w:rPr>
            <w:noProof/>
            <w:webHidden/>
          </w:rPr>
          <w:instrText xml:space="preserve"> PAGEREF _Toc9526460 \h </w:instrText>
        </w:r>
        <w:r w:rsidRPr="00E05F76">
          <w:rPr>
            <w:noProof/>
            <w:webHidden/>
          </w:rPr>
          <w:fldChar w:fldCharType="separate"/>
        </w:r>
        <w:r w:rsidR="00977795">
          <w:rPr>
            <w:noProof/>
            <w:webHidden/>
          </w:rPr>
          <w:t>19</w:t>
        </w:r>
        <w:r w:rsidRPr="00E05F76">
          <w:rPr>
            <w:noProof/>
            <w:webHidden/>
          </w:rPr>
          <w:fldChar w:fldCharType="end"/>
        </w:r>
      </w:hyperlink>
    </w:p>
    <w:p w:rsidR="00E05F76" w:rsidRPr="00E05F76" w14:paraId="7F4933CB" w14:textId="2CC668ED">
      <w:pPr>
        <w:pStyle w:val="TableofFigures"/>
        <w:tabs>
          <w:tab w:val="right" w:leader="dot" w:pos="9350"/>
        </w:tabs>
        <w:rPr>
          <w:rFonts w:asciiTheme="minorHAnsi" w:eastAsiaTheme="minorEastAsia" w:hAnsiTheme="minorHAnsi" w:cstheme="minorBidi"/>
          <w:noProof/>
          <w:sz w:val="22"/>
          <w:szCs w:val="22"/>
        </w:rPr>
      </w:pPr>
      <w:hyperlink w:anchor="_Toc9526461" w:history="1">
        <w:r w:rsidRPr="00E05F76">
          <w:rPr>
            <w:rStyle w:val="Hyperlink"/>
            <w:noProof/>
          </w:rPr>
          <w:t>Exhibit 3</w:t>
        </w:r>
        <w:r w:rsidRPr="00E05F76">
          <w:rPr>
            <w:rStyle w:val="Hyperlink"/>
            <w:noProof/>
          </w:rPr>
          <w:noBreakHyphen/>
          <w:t>4: Total Costs, Averted Costs, and Benefits of the Final Rule (2020$)</w:t>
        </w:r>
        <w:r w:rsidRPr="00E05F76">
          <w:rPr>
            <w:noProof/>
            <w:webHidden/>
          </w:rPr>
          <w:tab/>
        </w:r>
        <w:r w:rsidRPr="00E05F76">
          <w:rPr>
            <w:noProof/>
            <w:webHidden/>
          </w:rPr>
          <w:fldChar w:fldCharType="begin"/>
        </w:r>
        <w:r w:rsidRPr="00E05F76">
          <w:rPr>
            <w:noProof/>
            <w:webHidden/>
          </w:rPr>
          <w:instrText xml:space="preserve"> PAGEREF _Toc9526461 \h </w:instrText>
        </w:r>
        <w:r w:rsidRPr="00E05F76">
          <w:rPr>
            <w:noProof/>
            <w:webHidden/>
          </w:rPr>
          <w:fldChar w:fldCharType="separate"/>
        </w:r>
        <w:r w:rsidR="00977795">
          <w:rPr>
            <w:noProof/>
            <w:webHidden/>
          </w:rPr>
          <w:t>22</w:t>
        </w:r>
        <w:r w:rsidRPr="00E05F76">
          <w:rPr>
            <w:noProof/>
            <w:webHidden/>
          </w:rPr>
          <w:fldChar w:fldCharType="end"/>
        </w:r>
      </w:hyperlink>
    </w:p>
    <w:p w:rsidR="00E05F76" w:rsidRPr="00E05F76" w14:paraId="7F4933CC" w14:textId="629F0B30">
      <w:pPr>
        <w:pStyle w:val="TableofFigures"/>
        <w:tabs>
          <w:tab w:val="right" w:leader="dot" w:pos="9350"/>
        </w:tabs>
        <w:rPr>
          <w:rFonts w:asciiTheme="minorHAnsi" w:eastAsiaTheme="minorEastAsia" w:hAnsiTheme="minorHAnsi" w:cstheme="minorBidi"/>
          <w:noProof/>
          <w:sz w:val="22"/>
          <w:szCs w:val="22"/>
        </w:rPr>
      </w:pPr>
      <w:hyperlink w:anchor="_Toc9526462" w:history="1">
        <w:r w:rsidRPr="00E05F76">
          <w:rPr>
            <w:rStyle w:val="Hyperlink"/>
            <w:noProof/>
          </w:rPr>
          <w:t>Exhibit 3</w:t>
        </w:r>
        <w:r w:rsidRPr="00E05F76">
          <w:rPr>
            <w:rStyle w:val="Hyperlink"/>
            <w:noProof/>
          </w:rPr>
          <w:noBreakHyphen/>
          <w:t>5: Summary of Incremental Costs and Averted Costs for</w:t>
        </w:r>
        <w:r w:rsidRPr="00E05F76">
          <w:rPr>
            <w:noProof/>
            <w:webHidden/>
          </w:rPr>
          <w:tab/>
        </w:r>
        <w:r w:rsidRPr="00E05F76">
          <w:rPr>
            <w:noProof/>
            <w:webHidden/>
          </w:rPr>
          <w:fldChar w:fldCharType="begin"/>
        </w:r>
        <w:r w:rsidRPr="00E05F76">
          <w:rPr>
            <w:noProof/>
            <w:webHidden/>
          </w:rPr>
          <w:instrText xml:space="preserve"> PAGEREF _Toc9526462 \h </w:instrText>
        </w:r>
        <w:r w:rsidRPr="00E05F76">
          <w:rPr>
            <w:noProof/>
            <w:webHidden/>
          </w:rPr>
          <w:fldChar w:fldCharType="separate"/>
        </w:r>
        <w:r w:rsidR="00977795">
          <w:rPr>
            <w:noProof/>
            <w:webHidden/>
          </w:rPr>
          <w:t>22</w:t>
        </w:r>
        <w:r w:rsidRPr="00E05F76">
          <w:rPr>
            <w:noProof/>
            <w:webHidden/>
          </w:rPr>
          <w:fldChar w:fldCharType="end"/>
        </w:r>
      </w:hyperlink>
    </w:p>
    <w:p w:rsidR="00E05F76" w:rsidRPr="00E05F76" w14:paraId="7F4933CD" w14:textId="7C337E1D">
      <w:pPr>
        <w:pStyle w:val="TableofFigures"/>
        <w:tabs>
          <w:tab w:val="right" w:leader="dot" w:pos="9350"/>
        </w:tabs>
        <w:rPr>
          <w:rFonts w:asciiTheme="minorHAnsi" w:eastAsiaTheme="minorEastAsia" w:hAnsiTheme="minorHAnsi" w:cstheme="minorBidi"/>
          <w:noProof/>
          <w:sz w:val="22"/>
          <w:szCs w:val="22"/>
        </w:rPr>
      </w:pPr>
      <w:hyperlink w:anchor="_Toc9526463" w:history="1">
        <w:r w:rsidRPr="00E05F76">
          <w:rPr>
            <w:rStyle w:val="Hyperlink"/>
            <w:noProof/>
          </w:rPr>
          <w:t>Exhibit 3</w:t>
        </w:r>
        <w:r w:rsidRPr="00E05F76">
          <w:rPr>
            <w:rStyle w:val="Hyperlink"/>
            <w:noProof/>
          </w:rPr>
          <w:noBreakHyphen/>
          <w:t>6: Summary of Incremental Costs and Averted Costs for Option 2 [Not Selected]</w:t>
        </w:r>
        <w:r w:rsidRPr="00E05F76">
          <w:rPr>
            <w:noProof/>
            <w:webHidden/>
          </w:rPr>
          <w:tab/>
        </w:r>
        <w:r w:rsidRPr="00E05F76">
          <w:rPr>
            <w:noProof/>
            <w:webHidden/>
          </w:rPr>
          <w:fldChar w:fldCharType="begin"/>
        </w:r>
        <w:r w:rsidRPr="00E05F76">
          <w:rPr>
            <w:noProof/>
            <w:webHidden/>
          </w:rPr>
          <w:instrText xml:space="preserve"> PAGEREF _Toc9526463 \h </w:instrText>
        </w:r>
        <w:r w:rsidRPr="00E05F76">
          <w:rPr>
            <w:noProof/>
            <w:webHidden/>
          </w:rPr>
          <w:fldChar w:fldCharType="separate"/>
        </w:r>
        <w:r w:rsidR="00977795">
          <w:rPr>
            <w:noProof/>
            <w:webHidden/>
          </w:rPr>
          <w:t>23</w:t>
        </w:r>
        <w:r w:rsidRPr="00E05F76">
          <w:rPr>
            <w:noProof/>
            <w:webHidden/>
          </w:rPr>
          <w:fldChar w:fldCharType="end"/>
        </w:r>
      </w:hyperlink>
    </w:p>
    <w:p w:rsidR="00E05F76" w:rsidRPr="00E05F76" w14:paraId="7F4933CE" w14:textId="0D984ECF">
      <w:pPr>
        <w:pStyle w:val="TableofFigures"/>
        <w:tabs>
          <w:tab w:val="right" w:leader="dot" w:pos="9350"/>
        </w:tabs>
        <w:rPr>
          <w:rFonts w:asciiTheme="minorHAnsi" w:eastAsiaTheme="minorEastAsia" w:hAnsiTheme="minorHAnsi" w:cstheme="minorBidi"/>
          <w:noProof/>
          <w:sz w:val="22"/>
          <w:szCs w:val="22"/>
        </w:rPr>
      </w:pPr>
      <w:hyperlink w:anchor="_Toc9526464" w:history="1">
        <w:r w:rsidRPr="00E05F76">
          <w:rPr>
            <w:rStyle w:val="Hyperlink"/>
            <w:noProof/>
          </w:rPr>
          <w:t>Exhibit 3</w:t>
        </w:r>
        <w:r w:rsidRPr="00E05F76">
          <w:rPr>
            <w:rStyle w:val="Hyperlink"/>
            <w:noProof/>
          </w:rPr>
          <w:noBreakHyphen/>
          <w:t>7. Summary of Total Costs for Option 3 [Selected-Final Rule] (2020$)</w:t>
        </w:r>
        <w:r w:rsidRPr="00E05F76">
          <w:rPr>
            <w:noProof/>
            <w:webHidden/>
          </w:rPr>
          <w:tab/>
        </w:r>
        <w:r w:rsidRPr="00E05F76">
          <w:rPr>
            <w:noProof/>
            <w:webHidden/>
          </w:rPr>
          <w:fldChar w:fldCharType="begin"/>
        </w:r>
        <w:r w:rsidRPr="00E05F76">
          <w:rPr>
            <w:noProof/>
            <w:webHidden/>
          </w:rPr>
          <w:instrText xml:space="preserve"> PAGEREF _Toc9526464 \h </w:instrText>
        </w:r>
        <w:r w:rsidRPr="00E05F76">
          <w:rPr>
            <w:noProof/>
            <w:webHidden/>
          </w:rPr>
          <w:fldChar w:fldCharType="separate"/>
        </w:r>
        <w:r w:rsidR="00977795">
          <w:rPr>
            <w:noProof/>
            <w:webHidden/>
          </w:rPr>
          <w:t>24</w:t>
        </w:r>
        <w:r w:rsidRPr="00E05F76">
          <w:rPr>
            <w:noProof/>
            <w:webHidden/>
          </w:rPr>
          <w:fldChar w:fldCharType="end"/>
        </w:r>
      </w:hyperlink>
    </w:p>
    <w:p w:rsidR="00E05F76" w:rsidRPr="00E05F76" w14:paraId="7F4933CF" w14:textId="467E404A">
      <w:pPr>
        <w:pStyle w:val="TableofFigures"/>
        <w:tabs>
          <w:tab w:val="right" w:leader="dot" w:pos="9350"/>
        </w:tabs>
        <w:rPr>
          <w:rFonts w:asciiTheme="minorHAnsi" w:eastAsiaTheme="minorEastAsia" w:hAnsiTheme="minorHAnsi" w:cstheme="minorBidi"/>
          <w:noProof/>
          <w:sz w:val="22"/>
          <w:szCs w:val="22"/>
        </w:rPr>
      </w:pPr>
      <w:hyperlink w:anchor="_Toc9526465" w:history="1">
        <w:r w:rsidRPr="00E05F76">
          <w:rPr>
            <w:rStyle w:val="Hyperlink"/>
            <w:noProof/>
          </w:rPr>
          <w:t>Exhibit 3</w:t>
        </w:r>
        <w:r w:rsidRPr="00E05F76">
          <w:rPr>
            <w:rStyle w:val="Hyperlink"/>
            <w:noProof/>
          </w:rPr>
          <w:noBreakHyphen/>
          <w:t>8. Summary of Total Averted Costs for Option 3 [Selected-Final Rule] (2020$)</w:t>
        </w:r>
        <w:r w:rsidRPr="00E05F76">
          <w:rPr>
            <w:noProof/>
            <w:webHidden/>
          </w:rPr>
          <w:tab/>
        </w:r>
        <w:r w:rsidRPr="00E05F76">
          <w:rPr>
            <w:noProof/>
            <w:webHidden/>
          </w:rPr>
          <w:fldChar w:fldCharType="begin"/>
        </w:r>
        <w:r w:rsidRPr="00E05F76">
          <w:rPr>
            <w:noProof/>
            <w:webHidden/>
          </w:rPr>
          <w:instrText xml:space="preserve"> PAGEREF _Toc9526465 \h </w:instrText>
        </w:r>
        <w:r w:rsidRPr="00E05F76">
          <w:rPr>
            <w:noProof/>
            <w:webHidden/>
          </w:rPr>
          <w:fldChar w:fldCharType="separate"/>
        </w:r>
        <w:r w:rsidR="00977795">
          <w:rPr>
            <w:noProof/>
            <w:webHidden/>
          </w:rPr>
          <w:t>25</w:t>
        </w:r>
        <w:r w:rsidRPr="00E05F76">
          <w:rPr>
            <w:noProof/>
            <w:webHidden/>
          </w:rPr>
          <w:fldChar w:fldCharType="end"/>
        </w:r>
      </w:hyperlink>
    </w:p>
    <w:p w:rsidR="00E05F76" w:rsidRPr="00E05F76" w14:paraId="7F4933D0" w14:textId="4D7F2A87">
      <w:pPr>
        <w:pStyle w:val="TableofFigures"/>
        <w:tabs>
          <w:tab w:val="right" w:leader="dot" w:pos="9350"/>
        </w:tabs>
        <w:rPr>
          <w:rFonts w:asciiTheme="minorHAnsi" w:eastAsiaTheme="minorEastAsia" w:hAnsiTheme="minorHAnsi" w:cstheme="minorBidi"/>
          <w:noProof/>
          <w:sz w:val="22"/>
          <w:szCs w:val="22"/>
        </w:rPr>
      </w:pPr>
      <w:hyperlink w:anchor="_Toc9526466" w:history="1">
        <w:r w:rsidRPr="00E05F76">
          <w:rPr>
            <w:rStyle w:val="Hyperlink"/>
            <w:noProof/>
          </w:rPr>
          <w:t>Exhibit 3</w:t>
        </w:r>
        <w:r w:rsidRPr="00E05F76">
          <w:rPr>
            <w:rStyle w:val="Hyperlink"/>
            <w:noProof/>
          </w:rPr>
          <w:noBreakHyphen/>
          <w:t>9. Summary of Incremental Costs &amp; Averted Costs for</w:t>
        </w:r>
        <w:r w:rsidRPr="00E05F76">
          <w:rPr>
            <w:noProof/>
            <w:webHidden/>
          </w:rPr>
          <w:tab/>
        </w:r>
        <w:r w:rsidRPr="00E05F76">
          <w:rPr>
            <w:noProof/>
            <w:webHidden/>
          </w:rPr>
          <w:fldChar w:fldCharType="begin"/>
        </w:r>
        <w:r w:rsidRPr="00E05F76">
          <w:rPr>
            <w:noProof/>
            <w:webHidden/>
          </w:rPr>
          <w:instrText xml:space="preserve"> PAGEREF _Toc9526466 \h </w:instrText>
        </w:r>
        <w:r w:rsidRPr="00E05F76">
          <w:rPr>
            <w:noProof/>
            <w:webHidden/>
          </w:rPr>
          <w:fldChar w:fldCharType="separate"/>
        </w:r>
        <w:r w:rsidR="00977795">
          <w:rPr>
            <w:noProof/>
            <w:webHidden/>
          </w:rPr>
          <w:t>26</w:t>
        </w:r>
        <w:r w:rsidRPr="00E05F76">
          <w:rPr>
            <w:noProof/>
            <w:webHidden/>
          </w:rPr>
          <w:fldChar w:fldCharType="end"/>
        </w:r>
      </w:hyperlink>
    </w:p>
    <w:p w:rsidR="00E05F76" w:rsidRPr="00E05F76" w14:paraId="7F4933D1" w14:textId="6FF3AE8C">
      <w:pPr>
        <w:pStyle w:val="TableofFigures"/>
        <w:tabs>
          <w:tab w:val="right" w:leader="dot" w:pos="9350"/>
        </w:tabs>
        <w:rPr>
          <w:rFonts w:asciiTheme="minorHAnsi" w:eastAsiaTheme="minorEastAsia" w:hAnsiTheme="minorHAnsi" w:cstheme="minorBidi"/>
          <w:noProof/>
          <w:sz w:val="22"/>
          <w:szCs w:val="22"/>
        </w:rPr>
      </w:pPr>
      <w:hyperlink w:anchor="_Toc9526467" w:history="1">
        <w:r w:rsidRPr="00E05F76">
          <w:rPr>
            <w:rStyle w:val="Hyperlink"/>
            <w:noProof/>
          </w:rPr>
          <w:t>Exhibit 3</w:t>
        </w:r>
        <w:r w:rsidRPr="00E05F76">
          <w:rPr>
            <w:rStyle w:val="Hyperlink"/>
            <w:noProof/>
          </w:rPr>
          <w:noBreakHyphen/>
          <w:t>10. Independent Cost Estimate Comparison</w:t>
        </w:r>
        <w:r w:rsidRPr="00E05F76">
          <w:rPr>
            <w:noProof/>
            <w:webHidden/>
          </w:rPr>
          <w:tab/>
        </w:r>
        <w:r w:rsidRPr="00E05F76">
          <w:rPr>
            <w:noProof/>
            <w:webHidden/>
          </w:rPr>
          <w:fldChar w:fldCharType="begin"/>
        </w:r>
        <w:r w:rsidRPr="00E05F76">
          <w:rPr>
            <w:noProof/>
            <w:webHidden/>
          </w:rPr>
          <w:instrText xml:space="preserve"> PAGEREF _Toc9526467 \h </w:instrText>
        </w:r>
        <w:r w:rsidRPr="00E05F76">
          <w:rPr>
            <w:noProof/>
            <w:webHidden/>
          </w:rPr>
          <w:fldChar w:fldCharType="separate"/>
        </w:r>
        <w:r w:rsidR="00977795">
          <w:rPr>
            <w:noProof/>
            <w:webHidden/>
          </w:rPr>
          <w:t>30</w:t>
        </w:r>
        <w:r w:rsidRPr="00E05F76">
          <w:rPr>
            <w:noProof/>
            <w:webHidden/>
          </w:rPr>
          <w:fldChar w:fldCharType="end"/>
        </w:r>
      </w:hyperlink>
    </w:p>
    <w:p w:rsidR="00E05F76" w:rsidRPr="00E05F76" w14:paraId="7F4933D2" w14:textId="1F569CE0">
      <w:pPr>
        <w:pStyle w:val="TableofFigures"/>
        <w:tabs>
          <w:tab w:val="right" w:leader="dot" w:pos="9350"/>
        </w:tabs>
        <w:rPr>
          <w:rFonts w:asciiTheme="minorHAnsi" w:eastAsiaTheme="minorEastAsia" w:hAnsiTheme="minorHAnsi" w:cstheme="minorBidi"/>
          <w:noProof/>
          <w:sz w:val="22"/>
          <w:szCs w:val="22"/>
        </w:rPr>
      </w:pPr>
      <w:hyperlink w:anchor="_Toc9526468" w:history="1">
        <w:r w:rsidRPr="00E05F76">
          <w:rPr>
            <w:rStyle w:val="Hyperlink"/>
            <w:noProof/>
          </w:rPr>
          <w:t>Exhibit 3</w:t>
        </w:r>
        <w:r w:rsidRPr="00E05F76">
          <w:rPr>
            <w:rStyle w:val="Hyperlink"/>
            <w:noProof/>
          </w:rPr>
          <w:noBreakHyphen/>
          <w:t>11. Breakdown of Affected Entity Implementation Costs per NPUF (2020$)</w:t>
        </w:r>
        <w:r w:rsidRPr="00E05F76">
          <w:rPr>
            <w:noProof/>
            <w:webHidden/>
          </w:rPr>
          <w:tab/>
        </w:r>
        <w:r w:rsidRPr="00E05F76">
          <w:rPr>
            <w:noProof/>
            <w:webHidden/>
          </w:rPr>
          <w:fldChar w:fldCharType="begin"/>
        </w:r>
        <w:r w:rsidRPr="00E05F76">
          <w:rPr>
            <w:noProof/>
            <w:webHidden/>
          </w:rPr>
          <w:instrText xml:space="preserve"> PAGEREF _Toc9526468 \h </w:instrText>
        </w:r>
        <w:r w:rsidRPr="00E05F76">
          <w:rPr>
            <w:noProof/>
            <w:webHidden/>
          </w:rPr>
          <w:fldChar w:fldCharType="separate"/>
        </w:r>
        <w:r w:rsidR="00977795">
          <w:rPr>
            <w:noProof/>
            <w:webHidden/>
          </w:rPr>
          <w:t>31</w:t>
        </w:r>
        <w:r w:rsidRPr="00E05F76">
          <w:rPr>
            <w:noProof/>
            <w:webHidden/>
          </w:rPr>
          <w:fldChar w:fldCharType="end"/>
        </w:r>
      </w:hyperlink>
    </w:p>
    <w:p w:rsidR="00E05F76" w:rsidRPr="00E05F76" w14:paraId="7F4933D3" w14:textId="4B5D148E">
      <w:pPr>
        <w:pStyle w:val="TableofFigures"/>
        <w:tabs>
          <w:tab w:val="right" w:leader="dot" w:pos="9350"/>
        </w:tabs>
        <w:rPr>
          <w:rFonts w:asciiTheme="minorHAnsi" w:eastAsiaTheme="minorEastAsia" w:hAnsiTheme="minorHAnsi" w:cstheme="minorBidi"/>
          <w:noProof/>
          <w:sz w:val="22"/>
          <w:szCs w:val="22"/>
        </w:rPr>
      </w:pPr>
      <w:hyperlink w:anchor="_Toc9526469" w:history="1">
        <w:r w:rsidRPr="00E05F76">
          <w:rPr>
            <w:rStyle w:val="Hyperlink"/>
            <w:noProof/>
          </w:rPr>
          <w:t>Exhibit 3</w:t>
        </w:r>
        <w:r w:rsidRPr="00E05F76">
          <w:rPr>
            <w:rStyle w:val="Hyperlink"/>
            <w:noProof/>
          </w:rPr>
          <w:noBreakHyphen/>
          <w:t>12. Total Present Value Affected Entity Implementation Costs (2020$)</w:t>
        </w:r>
        <w:r w:rsidRPr="00E05F76">
          <w:rPr>
            <w:noProof/>
            <w:webHidden/>
          </w:rPr>
          <w:tab/>
        </w:r>
        <w:r w:rsidRPr="00E05F76">
          <w:rPr>
            <w:noProof/>
            <w:webHidden/>
          </w:rPr>
          <w:fldChar w:fldCharType="begin"/>
        </w:r>
        <w:r w:rsidRPr="00E05F76">
          <w:rPr>
            <w:noProof/>
            <w:webHidden/>
          </w:rPr>
          <w:instrText xml:space="preserve"> PAGEREF _Toc9526469 \h </w:instrText>
        </w:r>
        <w:r w:rsidRPr="00E05F76">
          <w:rPr>
            <w:noProof/>
            <w:webHidden/>
          </w:rPr>
          <w:fldChar w:fldCharType="separate"/>
        </w:r>
        <w:r w:rsidR="00977795">
          <w:rPr>
            <w:noProof/>
            <w:webHidden/>
          </w:rPr>
          <w:t>31</w:t>
        </w:r>
        <w:r w:rsidRPr="00E05F76">
          <w:rPr>
            <w:noProof/>
            <w:webHidden/>
          </w:rPr>
          <w:fldChar w:fldCharType="end"/>
        </w:r>
      </w:hyperlink>
    </w:p>
    <w:p w:rsidR="00E05F76" w:rsidRPr="00E05F76" w14:paraId="7F4933D4" w14:textId="561125FA">
      <w:pPr>
        <w:pStyle w:val="TableofFigures"/>
        <w:tabs>
          <w:tab w:val="right" w:leader="dot" w:pos="9350"/>
        </w:tabs>
        <w:rPr>
          <w:rFonts w:asciiTheme="minorHAnsi" w:eastAsiaTheme="minorEastAsia" w:hAnsiTheme="minorHAnsi" w:cstheme="minorBidi"/>
          <w:noProof/>
          <w:sz w:val="22"/>
          <w:szCs w:val="22"/>
        </w:rPr>
      </w:pPr>
      <w:hyperlink w:anchor="_Toc9526470" w:history="1">
        <w:r w:rsidRPr="00E05F76">
          <w:rPr>
            <w:rStyle w:val="Hyperlink"/>
            <w:noProof/>
          </w:rPr>
          <w:t>Exhibit 3</w:t>
        </w:r>
        <w:r w:rsidRPr="00E05F76">
          <w:rPr>
            <w:rStyle w:val="Hyperlink"/>
            <w:noProof/>
          </w:rPr>
          <w:noBreakHyphen/>
          <w:t>13. Breakdown of Affected Entity Operation Costs (2020$)*</w:t>
        </w:r>
        <w:r w:rsidRPr="00E05F76">
          <w:rPr>
            <w:noProof/>
            <w:webHidden/>
          </w:rPr>
          <w:tab/>
        </w:r>
        <w:r w:rsidRPr="00E05F76">
          <w:rPr>
            <w:noProof/>
            <w:webHidden/>
          </w:rPr>
          <w:fldChar w:fldCharType="begin"/>
        </w:r>
        <w:r w:rsidRPr="00E05F76">
          <w:rPr>
            <w:noProof/>
            <w:webHidden/>
          </w:rPr>
          <w:instrText xml:space="preserve"> PAGEREF _Toc9526470 \h </w:instrText>
        </w:r>
        <w:r w:rsidRPr="00E05F76">
          <w:rPr>
            <w:noProof/>
            <w:webHidden/>
          </w:rPr>
          <w:fldChar w:fldCharType="separate"/>
        </w:r>
        <w:r w:rsidR="00977795">
          <w:rPr>
            <w:noProof/>
            <w:webHidden/>
          </w:rPr>
          <w:t>32</w:t>
        </w:r>
        <w:r w:rsidRPr="00E05F76">
          <w:rPr>
            <w:noProof/>
            <w:webHidden/>
          </w:rPr>
          <w:fldChar w:fldCharType="end"/>
        </w:r>
      </w:hyperlink>
    </w:p>
    <w:p w:rsidR="00E05F76" w:rsidRPr="00E05F76" w14:paraId="7F4933D5" w14:textId="4D3C293C">
      <w:pPr>
        <w:pStyle w:val="TableofFigures"/>
        <w:tabs>
          <w:tab w:val="right" w:leader="dot" w:pos="9350"/>
        </w:tabs>
        <w:rPr>
          <w:rFonts w:asciiTheme="minorHAnsi" w:eastAsiaTheme="minorEastAsia" w:hAnsiTheme="minorHAnsi" w:cstheme="minorBidi"/>
          <w:noProof/>
          <w:sz w:val="22"/>
          <w:szCs w:val="22"/>
        </w:rPr>
      </w:pPr>
      <w:hyperlink w:anchor="_Toc9526471" w:history="1">
        <w:r w:rsidRPr="00E05F76">
          <w:rPr>
            <w:rStyle w:val="Hyperlink"/>
            <w:noProof/>
          </w:rPr>
          <w:t>Exhibit 3</w:t>
        </w:r>
        <w:r w:rsidRPr="00E05F76">
          <w:rPr>
            <w:rStyle w:val="Hyperlink"/>
            <w:noProof/>
          </w:rPr>
          <w:noBreakHyphen/>
          <w:t>14. Total Present Value Group 1 and Group 2 Entity Operation Costs (2020$)</w:t>
        </w:r>
        <w:r w:rsidRPr="00E05F76">
          <w:rPr>
            <w:noProof/>
            <w:webHidden/>
          </w:rPr>
          <w:tab/>
        </w:r>
        <w:r w:rsidRPr="00E05F76">
          <w:rPr>
            <w:noProof/>
            <w:webHidden/>
          </w:rPr>
          <w:fldChar w:fldCharType="begin"/>
        </w:r>
        <w:r w:rsidRPr="00E05F76">
          <w:rPr>
            <w:noProof/>
            <w:webHidden/>
          </w:rPr>
          <w:instrText xml:space="preserve"> PAGEREF _Toc9526471 \h </w:instrText>
        </w:r>
        <w:r w:rsidRPr="00E05F76">
          <w:rPr>
            <w:noProof/>
            <w:webHidden/>
          </w:rPr>
          <w:fldChar w:fldCharType="separate"/>
        </w:r>
        <w:r w:rsidR="00977795">
          <w:rPr>
            <w:noProof/>
            <w:webHidden/>
          </w:rPr>
          <w:t>32</w:t>
        </w:r>
        <w:r w:rsidRPr="00E05F76">
          <w:rPr>
            <w:noProof/>
            <w:webHidden/>
          </w:rPr>
          <w:fldChar w:fldCharType="end"/>
        </w:r>
      </w:hyperlink>
    </w:p>
    <w:p w:rsidR="00E05F76" w:rsidRPr="00E05F76" w14:paraId="7F4933D6" w14:textId="579BF293">
      <w:pPr>
        <w:pStyle w:val="TableofFigures"/>
        <w:tabs>
          <w:tab w:val="right" w:leader="dot" w:pos="9350"/>
        </w:tabs>
        <w:rPr>
          <w:rFonts w:asciiTheme="minorHAnsi" w:eastAsiaTheme="minorEastAsia" w:hAnsiTheme="minorHAnsi" w:cstheme="minorBidi"/>
          <w:noProof/>
          <w:sz w:val="22"/>
          <w:szCs w:val="22"/>
        </w:rPr>
      </w:pPr>
      <w:hyperlink w:anchor="_Toc9526472" w:history="1">
        <w:r w:rsidRPr="00E05F76">
          <w:rPr>
            <w:rStyle w:val="Hyperlink"/>
            <w:noProof/>
          </w:rPr>
          <w:t>Exhibit 3</w:t>
        </w:r>
        <w:r w:rsidRPr="00E05F76">
          <w:rPr>
            <w:rStyle w:val="Hyperlink"/>
            <w:noProof/>
          </w:rPr>
          <w:noBreakHyphen/>
          <w:t>15. Total Present Value Group 3 and Group 4 Entity Operation Costs (2020$)</w:t>
        </w:r>
        <w:r w:rsidRPr="00E05F76">
          <w:rPr>
            <w:noProof/>
            <w:webHidden/>
          </w:rPr>
          <w:tab/>
        </w:r>
        <w:r w:rsidRPr="00E05F76">
          <w:rPr>
            <w:noProof/>
            <w:webHidden/>
          </w:rPr>
          <w:fldChar w:fldCharType="begin"/>
        </w:r>
        <w:r w:rsidRPr="00E05F76">
          <w:rPr>
            <w:noProof/>
            <w:webHidden/>
          </w:rPr>
          <w:instrText xml:space="preserve"> PAGEREF _Toc9526472 \h </w:instrText>
        </w:r>
        <w:r w:rsidRPr="00E05F76">
          <w:rPr>
            <w:noProof/>
            <w:webHidden/>
          </w:rPr>
          <w:fldChar w:fldCharType="separate"/>
        </w:r>
        <w:r w:rsidR="00977795">
          <w:rPr>
            <w:noProof/>
            <w:webHidden/>
          </w:rPr>
          <w:t>33</w:t>
        </w:r>
        <w:r w:rsidRPr="00E05F76">
          <w:rPr>
            <w:noProof/>
            <w:webHidden/>
          </w:rPr>
          <w:fldChar w:fldCharType="end"/>
        </w:r>
      </w:hyperlink>
    </w:p>
    <w:p w:rsidR="00E05F76" w:rsidRPr="00E05F76" w14:paraId="7F4933D7" w14:textId="1C1228E8">
      <w:pPr>
        <w:pStyle w:val="TableofFigures"/>
        <w:tabs>
          <w:tab w:val="right" w:leader="dot" w:pos="9350"/>
        </w:tabs>
        <w:rPr>
          <w:rFonts w:asciiTheme="minorHAnsi" w:eastAsiaTheme="minorEastAsia" w:hAnsiTheme="minorHAnsi" w:cstheme="minorBidi"/>
          <w:noProof/>
          <w:sz w:val="22"/>
          <w:szCs w:val="22"/>
        </w:rPr>
      </w:pPr>
      <w:hyperlink w:anchor="_Toc9526473" w:history="1">
        <w:r w:rsidRPr="00E05F76">
          <w:rPr>
            <w:rStyle w:val="Hyperlink"/>
            <w:noProof/>
          </w:rPr>
          <w:t>Exhibit 3</w:t>
        </w:r>
        <w:r w:rsidRPr="00E05F76">
          <w:rPr>
            <w:rStyle w:val="Hyperlink"/>
            <w:noProof/>
          </w:rPr>
          <w:noBreakHyphen/>
          <w:t>16. Breakdown of NRC Implementation Costs (2020$)</w:t>
        </w:r>
        <w:r w:rsidRPr="00E05F76">
          <w:rPr>
            <w:noProof/>
            <w:webHidden/>
          </w:rPr>
          <w:tab/>
        </w:r>
        <w:r w:rsidRPr="00E05F76">
          <w:rPr>
            <w:noProof/>
            <w:webHidden/>
          </w:rPr>
          <w:fldChar w:fldCharType="begin"/>
        </w:r>
        <w:r w:rsidRPr="00E05F76">
          <w:rPr>
            <w:noProof/>
            <w:webHidden/>
          </w:rPr>
          <w:instrText xml:space="preserve"> PAGEREF _Toc9526473 \h </w:instrText>
        </w:r>
        <w:r w:rsidRPr="00E05F76">
          <w:rPr>
            <w:noProof/>
            <w:webHidden/>
          </w:rPr>
          <w:fldChar w:fldCharType="separate"/>
        </w:r>
        <w:r w:rsidR="00977795">
          <w:rPr>
            <w:noProof/>
            <w:webHidden/>
          </w:rPr>
          <w:t>33</w:t>
        </w:r>
        <w:r w:rsidRPr="00E05F76">
          <w:rPr>
            <w:noProof/>
            <w:webHidden/>
          </w:rPr>
          <w:fldChar w:fldCharType="end"/>
        </w:r>
      </w:hyperlink>
    </w:p>
    <w:p w:rsidR="00E05F76" w:rsidRPr="00E05F76" w14:paraId="7F4933D8" w14:textId="53036E51">
      <w:pPr>
        <w:pStyle w:val="TableofFigures"/>
        <w:tabs>
          <w:tab w:val="right" w:leader="dot" w:pos="9350"/>
        </w:tabs>
        <w:rPr>
          <w:rFonts w:asciiTheme="minorHAnsi" w:eastAsiaTheme="minorEastAsia" w:hAnsiTheme="minorHAnsi" w:cstheme="minorBidi"/>
          <w:noProof/>
          <w:sz w:val="22"/>
          <w:szCs w:val="22"/>
        </w:rPr>
      </w:pPr>
      <w:hyperlink w:anchor="_Toc9526474" w:history="1">
        <w:r w:rsidRPr="00E05F76">
          <w:rPr>
            <w:rStyle w:val="Hyperlink"/>
            <w:noProof/>
          </w:rPr>
          <w:t>Exhibit 3</w:t>
        </w:r>
        <w:r w:rsidRPr="00E05F76">
          <w:rPr>
            <w:rStyle w:val="Hyperlink"/>
            <w:noProof/>
          </w:rPr>
          <w:noBreakHyphen/>
          <w:t>17. Breakdown of NRC Operation Costs (2020$)</w:t>
        </w:r>
        <w:r w:rsidRPr="00E05F76">
          <w:rPr>
            <w:noProof/>
            <w:webHidden/>
          </w:rPr>
          <w:tab/>
        </w:r>
        <w:r w:rsidRPr="00E05F76">
          <w:rPr>
            <w:noProof/>
            <w:webHidden/>
          </w:rPr>
          <w:fldChar w:fldCharType="begin"/>
        </w:r>
        <w:r w:rsidRPr="00E05F76">
          <w:rPr>
            <w:noProof/>
            <w:webHidden/>
          </w:rPr>
          <w:instrText xml:space="preserve"> PAGEREF _Toc9526474 \h </w:instrText>
        </w:r>
        <w:r w:rsidRPr="00E05F76">
          <w:rPr>
            <w:noProof/>
            <w:webHidden/>
          </w:rPr>
          <w:fldChar w:fldCharType="separate"/>
        </w:r>
        <w:r w:rsidR="00977795">
          <w:rPr>
            <w:noProof/>
            <w:webHidden/>
          </w:rPr>
          <w:t>34</w:t>
        </w:r>
        <w:r w:rsidRPr="00E05F76">
          <w:rPr>
            <w:noProof/>
            <w:webHidden/>
          </w:rPr>
          <w:fldChar w:fldCharType="end"/>
        </w:r>
      </w:hyperlink>
    </w:p>
    <w:p w:rsidR="00E05F76" w:rsidRPr="00E05F76" w14:paraId="7F4933D9" w14:textId="72BCB10F">
      <w:pPr>
        <w:pStyle w:val="TableofFigures"/>
        <w:tabs>
          <w:tab w:val="right" w:leader="dot" w:pos="9350"/>
        </w:tabs>
        <w:rPr>
          <w:rFonts w:asciiTheme="minorHAnsi" w:eastAsiaTheme="minorEastAsia" w:hAnsiTheme="minorHAnsi" w:cstheme="minorBidi"/>
          <w:noProof/>
          <w:sz w:val="22"/>
          <w:szCs w:val="22"/>
        </w:rPr>
      </w:pPr>
      <w:hyperlink w:anchor="_Toc9526475" w:history="1">
        <w:r w:rsidRPr="00E05F76">
          <w:rPr>
            <w:rStyle w:val="Hyperlink"/>
            <w:noProof/>
          </w:rPr>
          <w:t>Exhibit 3</w:t>
        </w:r>
        <w:r w:rsidRPr="00E05F76">
          <w:rPr>
            <w:rStyle w:val="Hyperlink"/>
            <w:noProof/>
          </w:rPr>
          <w:noBreakHyphen/>
          <w:t>18. Total Present Value of NRC Operation Costs Associated with</w:t>
        </w:r>
        <w:r w:rsidRPr="00E05F76">
          <w:rPr>
            <w:noProof/>
            <w:webHidden/>
          </w:rPr>
          <w:tab/>
        </w:r>
        <w:r w:rsidRPr="00E05F76">
          <w:rPr>
            <w:noProof/>
            <w:webHidden/>
          </w:rPr>
          <w:fldChar w:fldCharType="begin"/>
        </w:r>
        <w:r w:rsidRPr="00E05F76">
          <w:rPr>
            <w:noProof/>
            <w:webHidden/>
          </w:rPr>
          <w:instrText xml:space="preserve"> PAGEREF _Toc9526475 \h </w:instrText>
        </w:r>
        <w:r w:rsidRPr="00E05F76">
          <w:rPr>
            <w:noProof/>
            <w:webHidden/>
          </w:rPr>
          <w:fldChar w:fldCharType="separate"/>
        </w:r>
        <w:r w:rsidR="00977795">
          <w:rPr>
            <w:noProof/>
            <w:webHidden/>
          </w:rPr>
          <w:t>34</w:t>
        </w:r>
        <w:r w:rsidRPr="00E05F76">
          <w:rPr>
            <w:noProof/>
            <w:webHidden/>
          </w:rPr>
          <w:fldChar w:fldCharType="end"/>
        </w:r>
      </w:hyperlink>
    </w:p>
    <w:p w:rsidR="00E05F76" w:rsidRPr="00E05F76" w14:paraId="7F4933DA" w14:textId="25AD0220">
      <w:pPr>
        <w:pStyle w:val="TableofFigures"/>
        <w:tabs>
          <w:tab w:val="right" w:leader="dot" w:pos="9350"/>
        </w:tabs>
        <w:rPr>
          <w:rFonts w:asciiTheme="minorHAnsi" w:eastAsiaTheme="minorEastAsia" w:hAnsiTheme="minorHAnsi" w:cstheme="minorBidi"/>
          <w:noProof/>
          <w:sz w:val="22"/>
          <w:szCs w:val="22"/>
        </w:rPr>
      </w:pPr>
      <w:hyperlink w:anchor="_Toc9526476" w:history="1">
        <w:r w:rsidRPr="00E05F76">
          <w:rPr>
            <w:rStyle w:val="Hyperlink"/>
            <w:noProof/>
          </w:rPr>
          <w:t>Exhibit 3</w:t>
        </w:r>
        <w:r w:rsidRPr="00E05F76">
          <w:rPr>
            <w:rStyle w:val="Hyperlink"/>
            <w:noProof/>
          </w:rPr>
          <w:noBreakHyphen/>
          <w:t>19. Total Present Value of NRC Operation Costs Associated with</w:t>
        </w:r>
        <w:r w:rsidRPr="00E05F76">
          <w:rPr>
            <w:noProof/>
            <w:webHidden/>
          </w:rPr>
          <w:tab/>
        </w:r>
        <w:r w:rsidRPr="00E05F76">
          <w:rPr>
            <w:noProof/>
            <w:webHidden/>
          </w:rPr>
          <w:fldChar w:fldCharType="begin"/>
        </w:r>
        <w:r w:rsidRPr="00E05F76">
          <w:rPr>
            <w:noProof/>
            <w:webHidden/>
          </w:rPr>
          <w:instrText xml:space="preserve"> PAGEREF _Toc9526476 \h </w:instrText>
        </w:r>
        <w:r w:rsidRPr="00E05F76">
          <w:rPr>
            <w:noProof/>
            <w:webHidden/>
          </w:rPr>
          <w:fldChar w:fldCharType="separate"/>
        </w:r>
        <w:r w:rsidR="00977795">
          <w:rPr>
            <w:noProof/>
            <w:webHidden/>
          </w:rPr>
          <w:t>35</w:t>
        </w:r>
        <w:r w:rsidRPr="00E05F76">
          <w:rPr>
            <w:noProof/>
            <w:webHidden/>
          </w:rPr>
          <w:fldChar w:fldCharType="end"/>
        </w:r>
      </w:hyperlink>
    </w:p>
    <w:p w:rsidR="00E05F76" w:rsidRPr="00E05F76" w14:paraId="7F4933DB" w14:textId="59C9A742">
      <w:pPr>
        <w:pStyle w:val="TableofFigures"/>
        <w:tabs>
          <w:tab w:val="right" w:leader="dot" w:pos="9350"/>
        </w:tabs>
        <w:rPr>
          <w:rFonts w:asciiTheme="minorHAnsi" w:eastAsiaTheme="minorEastAsia" w:hAnsiTheme="minorHAnsi" w:cstheme="minorBidi"/>
          <w:noProof/>
          <w:sz w:val="22"/>
          <w:szCs w:val="22"/>
        </w:rPr>
      </w:pPr>
      <w:hyperlink w:anchor="_Toc9526477" w:history="1">
        <w:r w:rsidRPr="00E05F76">
          <w:rPr>
            <w:rStyle w:val="Hyperlink"/>
            <w:noProof/>
          </w:rPr>
          <w:t>Exhibit 3</w:t>
        </w:r>
        <w:r w:rsidRPr="00E05F76">
          <w:rPr>
            <w:rStyle w:val="Hyperlink"/>
            <w:noProof/>
          </w:rPr>
          <w:noBreakHyphen/>
          <w:t>20. Total Present Value Averted Operation Costs for</w:t>
        </w:r>
        <w:r w:rsidRPr="00E05F76">
          <w:rPr>
            <w:noProof/>
            <w:webHidden/>
          </w:rPr>
          <w:tab/>
        </w:r>
        <w:r w:rsidRPr="00E05F76">
          <w:rPr>
            <w:noProof/>
            <w:webHidden/>
          </w:rPr>
          <w:fldChar w:fldCharType="begin"/>
        </w:r>
        <w:r w:rsidRPr="00E05F76">
          <w:rPr>
            <w:noProof/>
            <w:webHidden/>
          </w:rPr>
          <w:instrText xml:space="preserve"> PAGEREF _Toc9526477 \h </w:instrText>
        </w:r>
        <w:r w:rsidRPr="00E05F76">
          <w:rPr>
            <w:noProof/>
            <w:webHidden/>
          </w:rPr>
          <w:fldChar w:fldCharType="separate"/>
        </w:r>
        <w:r w:rsidR="00977795">
          <w:rPr>
            <w:noProof/>
            <w:webHidden/>
          </w:rPr>
          <w:t>36</w:t>
        </w:r>
        <w:r w:rsidRPr="00E05F76">
          <w:rPr>
            <w:noProof/>
            <w:webHidden/>
          </w:rPr>
          <w:fldChar w:fldCharType="end"/>
        </w:r>
      </w:hyperlink>
    </w:p>
    <w:p w:rsidR="00E05F76" w:rsidRPr="00E05F76" w14:paraId="7F4933DC" w14:textId="4D43D2C4">
      <w:pPr>
        <w:pStyle w:val="TableofFigures"/>
        <w:tabs>
          <w:tab w:val="right" w:leader="dot" w:pos="9350"/>
        </w:tabs>
        <w:rPr>
          <w:rFonts w:asciiTheme="minorHAnsi" w:eastAsiaTheme="minorEastAsia" w:hAnsiTheme="minorHAnsi" w:cstheme="minorBidi"/>
          <w:noProof/>
          <w:sz w:val="22"/>
          <w:szCs w:val="22"/>
        </w:rPr>
      </w:pPr>
      <w:hyperlink w:anchor="_Toc9526478" w:history="1">
        <w:r w:rsidRPr="00E05F76">
          <w:rPr>
            <w:rStyle w:val="Hyperlink"/>
            <w:noProof/>
          </w:rPr>
          <w:t>Exhibit 3</w:t>
        </w:r>
        <w:r w:rsidRPr="00E05F76">
          <w:rPr>
            <w:rStyle w:val="Hyperlink"/>
            <w:noProof/>
          </w:rPr>
          <w:noBreakHyphen/>
          <w:t>21. Present Value Averted Operation Costs for NRC (2020$)</w:t>
        </w:r>
        <w:r w:rsidRPr="00E05F76">
          <w:rPr>
            <w:noProof/>
            <w:webHidden/>
          </w:rPr>
          <w:tab/>
        </w:r>
        <w:r w:rsidRPr="00E05F76">
          <w:rPr>
            <w:noProof/>
            <w:webHidden/>
          </w:rPr>
          <w:fldChar w:fldCharType="begin"/>
        </w:r>
        <w:r w:rsidRPr="00E05F76">
          <w:rPr>
            <w:noProof/>
            <w:webHidden/>
          </w:rPr>
          <w:instrText xml:space="preserve"> PAGEREF _Toc9526478 \h </w:instrText>
        </w:r>
        <w:r w:rsidRPr="00E05F76">
          <w:rPr>
            <w:noProof/>
            <w:webHidden/>
          </w:rPr>
          <w:fldChar w:fldCharType="separate"/>
        </w:r>
        <w:r w:rsidR="00977795">
          <w:rPr>
            <w:noProof/>
            <w:webHidden/>
          </w:rPr>
          <w:t>36</w:t>
        </w:r>
        <w:r w:rsidRPr="00E05F76">
          <w:rPr>
            <w:noProof/>
            <w:webHidden/>
          </w:rPr>
          <w:fldChar w:fldCharType="end"/>
        </w:r>
      </w:hyperlink>
    </w:p>
    <w:p w:rsidR="00E05F76" w:rsidRPr="00E05F76" w14:paraId="7F4933DD" w14:textId="2A3BB69D">
      <w:pPr>
        <w:pStyle w:val="TableofFigures"/>
        <w:tabs>
          <w:tab w:val="right" w:leader="dot" w:pos="9350"/>
        </w:tabs>
        <w:rPr>
          <w:rFonts w:asciiTheme="minorHAnsi" w:eastAsiaTheme="minorEastAsia" w:hAnsiTheme="minorHAnsi" w:cstheme="minorBidi"/>
          <w:noProof/>
          <w:sz w:val="22"/>
          <w:szCs w:val="22"/>
        </w:rPr>
      </w:pPr>
      <w:hyperlink w:anchor="_Toc9526479" w:history="1">
        <w:r w:rsidRPr="00E05F76">
          <w:rPr>
            <w:rStyle w:val="Hyperlink"/>
            <w:noProof/>
          </w:rPr>
          <w:t>Exhibit 3</w:t>
        </w:r>
        <w:r w:rsidRPr="00E05F76">
          <w:rPr>
            <w:rStyle w:val="Hyperlink"/>
            <w:noProof/>
          </w:rPr>
          <w:noBreakHyphen/>
          <w:t>22. Final Rule Components and Objectives</w:t>
        </w:r>
        <w:r w:rsidRPr="00E05F76">
          <w:rPr>
            <w:noProof/>
            <w:webHidden/>
          </w:rPr>
          <w:tab/>
        </w:r>
        <w:r w:rsidRPr="00E05F76">
          <w:rPr>
            <w:noProof/>
            <w:webHidden/>
          </w:rPr>
          <w:fldChar w:fldCharType="begin"/>
        </w:r>
        <w:r w:rsidRPr="00E05F76">
          <w:rPr>
            <w:noProof/>
            <w:webHidden/>
          </w:rPr>
          <w:instrText xml:space="preserve"> PAGEREF _Toc9526479 \h </w:instrText>
        </w:r>
        <w:r w:rsidRPr="00E05F76">
          <w:rPr>
            <w:noProof/>
            <w:webHidden/>
          </w:rPr>
          <w:fldChar w:fldCharType="separate"/>
        </w:r>
        <w:r w:rsidR="00977795">
          <w:rPr>
            <w:noProof/>
            <w:webHidden/>
          </w:rPr>
          <w:t>39</w:t>
        </w:r>
        <w:r w:rsidRPr="00E05F76">
          <w:rPr>
            <w:noProof/>
            <w:webHidden/>
          </w:rPr>
          <w:fldChar w:fldCharType="end"/>
        </w:r>
      </w:hyperlink>
    </w:p>
    <w:p w:rsidR="00E05F76" w:rsidRPr="00E05F76" w14:paraId="7F4933DE" w14:textId="65F0A887">
      <w:pPr>
        <w:pStyle w:val="TableofFigures"/>
        <w:tabs>
          <w:tab w:val="right" w:leader="dot" w:pos="9350"/>
        </w:tabs>
        <w:rPr>
          <w:rFonts w:asciiTheme="minorHAnsi" w:eastAsiaTheme="minorEastAsia" w:hAnsiTheme="minorHAnsi" w:cstheme="minorBidi"/>
          <w:noProof/>
          <w:sz w:val="22"/>
          <w:szCs w:val="22"/>
        </w:rPr>
      </w:pPr>
      <w:hyperlink w:anchor="_Toc9526480" w:history="1">
        <w:r w:rsidRPr="00E05F76">
          <w:rPr>
            <w:rStyle w:val="Hyperlink"/>
            <w:noProof/>
          </w:rPr>
          <w:t>Exhibit 3</w:t>
        </w:r>
        <w:r w:rsidRPr="00E05F76">
          <w:rPr>
            <w:rStyle w:val="Hyperlink"/>
            <w:noProof/>
          </w:rPr>
          <w:noBreakHyphen/>
          <w:t>23. Undiscounted Costs, Averted Costs, and Benefits by Objective (2020$)</w:t>
        </w:r>
        <w:r w:rsidRPr="00E05F76">
          <w:rPr>
            <w:noProof/>
            <w:webHidden/>
          </w:rPr>
          <w:tab/>
        </w:r>
        <w:r w:rsidRPr="00E05F76">
          <w:rPr>
            <w:noProof/>
            <w:webHidden/>
          </w:rPr>
          <w:fldChar w:fldCharType="begin"/>
        </w:r>
        <w:r w:rsidRPr="00E05F76">
          <w:rPr>
            <w:noProof/>
            <w:webHidden/>
          </w:rPr>
          <w:instrText xml:space="preserve"> PAGEREF _Toc9526480 \h </w:instrText>
        </w:r>
        <w:r w:rsidRPr="00E05F76">
          <w:rPr>
            <w:noProof/>
            <w:webHidden/>
          </w:rPr>
          <w:fldChar w:fldCharType="separate"/>
        </w:r>
        <w:r w:rsidR="00977795">
          <w:rPr>
            <w:noProof/>
            <w:webHidden/>
          </w:rPr>
          <w:t>39</w:t>
        </w:r>
        <w:r w:rsidRPr="00E05F76">
          <w:rPr>
            <w:noProof/>
            <w:webHidden/>
          </w:rPr>
          <w:fldChar w:fldCharType="end"/>
        </w:r>
      </w:hyperlink>
    </w:p>
    <w:p w:rsidR="00E05F76" w:rsidRPr="00E05F76" w14:paraId="7F4933DF" w14:textId="705CF6C9">
      <w:pPr>
        <w:pStyle w:val="TableofFigures"/>
        <w:tabs>
          <w:tab w:val="right" w:leader="dot" w:pos="9350"/>
        </w:tabs>
        <w:rPr>
          <w:rFonts w:asciiTheme="minorHAnsi" w:eastAsiaTheme="minorEastAsia" w:hAnsiTheme="minorHAnsi" w:cstheme="minorBidi"/>
          <w:noProof/>
          <w:sz w:val="22"/>
          <w:szCs w:val="22"/>
        </w:rPr>
      </w:pPr>
      <w:hyperlink w:anchor="_Toc9526481" w:history="1">
        <w:r w:rsidRPr="00E05F76">
          <w:rPr>
            <w:rStyle w:val="Hyperlink"/>
            <w:noProof/>
          </w:rPr>
          <w:t>Exhibit 3</w:t>
        </w:r>
        <w:r w:rsidRPr="00E05F76">
          <w:rPr>
            <w:rStyle w:val="Hyperlink"/>
            <w:noProof/>
          </w:rPr>
          <w:noBreakHyphen/>
          <w:t>24. Example Variables and Distributions Used in the</w:t>
        </w:r>
        <w:r w:rsidRPr="00E05F76">
          <w:rPr>
            <w:noProof/>
            <w:webHidden/>
          </w:rPr>
          <w:tab/>
        </w:r>
        <w:r w:rsidRPr="00E05F76">
          <w:rPr>
            <w:noProof/>
            <w:webHidden/>
          </w:rPr>
          <w:fldChar w:fldCharType="begin"/>
        </w:r>
        <w:r w:rsidRPr="00E05F76">
          <w:rPr>
            <w:noProof/>
            <w:webHidden/>
          </w:rPr>
          <w:instrText xml:space="preserve"> PAGEREF _Toc9526481 \h </w:instrText>
        </w:r>
        <w:r w:rsidRPr="00E05F76">
          <w:rPr>
            <w:noProof/>
            <w:webHidden/>
          </w:rPr>
          <w:fldChar w:fldCharType="separate"/>
        </w:r>
        <w:r w:rsidR="00977795">
          <w:rPr>
            <w:noProof/>
            <w:webHidden/>
          </w:rPr>
          <w:t>41</w:t>
        </w:r>
        <w:r w:rsidRPr="00E05F76">
          <w:rPr>
            <w:noProof/>
            <w:webHidden/>
          </w:rPr>
          <w:fldChar w:fldCharType="end"/>
        </w:r>
      </w:hyperlink>
    </w:p>
    <w:p w:rsidR="00E05F76" w:rsidRPr="00E05F76" w14:paraId="7F4933E0" w14:textId="40BBF615">
      <w:pPr>
        <w:pStyle w:val="TableofFigures"/>
        <w:tabs>
          <w:tab w:val="right" w:leader="dot" w:pos="9350"/>
        </w:tabs>
        <w:rPr>
          <w:rFonts w:asciiTheme="minorHAnsi" w:eastAsiaTheme="minorEastAsia" w:hAnsiTheme="minorHAnsi" w:cstheme="minorBidi"/>
          <w:noProof/>
          <w:sz w:val="22"/>
          <w:szCs w:val="22"/>
        </w:rPr>
      </w:pPr>
      <w:hyperlink w:anchor="_Toc9526482" w:history="1">
        <w:r w:rsidRPr="00E05F76">
          <w:rPr>
            <w:rStyle w:val="Hyperlink"/>
            <w:noProof/>
          </w:rPr>
          <w:t>Exhibit 3</w:t>
        </w:r>
        <w:r w:rsidRPr="00E05F76">
          <w:rPr>
            <w:rStyle w:val="Hyperlink"/>
            <w:noProof/>
          </w:rPr>
          <w:noBreakHyphen/>
          <w:t>25. Relative Frequency of the Net Benefits of the Final Rule (2020$)</w:t>
        </w:r>
        <w:r w:rsidRPr="00E05F76">
          <w:rPr>
            <w:noProof/>
            <w:webHidden/>
          </w:rPr>
          <w:tab/>
        </w:r>
        <w:r w:rsidRPr="00E05F76">
          <w:rPr>
            <w:noProof/>
            <w:webHidden/>
          </w:rPr>
          <w:fldChar w:fldCharType="begin"/>
        </w:r>
        <w:r w:rsidRPr="00E05F76">
          <w:rPr>
            <w:noProof/>
            <w:webHidden/>
          </w:rPr>
          <w:instrText xml:space="preserve"> PAGEREF _Toc9526482 \h </w:instrText>
        </w:r>
        <w:r w:rsidRPr="00E05F76">
          <w:rPr>
            <w:noProof/>
            <w:webHidden/>
          </w:rPr>
          <w:fldChar w:fldCharType="separate"/>
        </w:r>
        <w:r w:rsidR="00977795">
          <w:rPr>
            <w:noProof/>
            <w:webHidden/>
          </w:rPr>
          <w:t>42</w:t>
        </w:r>
        <w:r w:rsidRPr="00E05F76">
          <w:rPr>
            <w:noProof/>
            <w:webHidden/>
          </w:rPr>
          <w:fldChar w:fldCharType="end"/>
        </w:r>
      </w:hyperlink>
    </w:p>
    <w:p w:rsidR="00E05F76" w:rsidRPr="00E05F76" w14:paraId="7F4933E1" w14:textId="6F73D35D">
      <w:pPr>
        <w:pStyle w:val="TableofFigures"/>
        <w:tabs>
          <w:tab w:val="right" w:leader="dot" w:pos="9350"/>
        </w:tabs>
        <w:rPr>
          <w:rFonts w:asciiTheme="minorHAnsi" w:eastAsiaTheme="minorEastAsia" w:hAnsiTheme="minorHAnsi" w:cstheme="minorBidi"/>
          <w:noProof/>
          <w:sz w:val="22"/>
          <w:szCs w:val="22"/>
        </w:rPr>
      </w:pPr>
      <w:hyperlink w:anchor="_Toc9526483" w:history="1">
        <w:r w:rsidRPr="00E05F76">
          <w:rPr>
            <w:rStyle w:val="Hyperlink"/>
            <w:noProof/>
          </w:rPr>
          <w:t>Exhibit 3</w:t>
        </w:r>
        <w:r w:rsidRPr="00E05F76">
          <w:rPr>
            <w:rStyle w:val="Hyperlink"/>
            <w:noProof/>
          </w:rPr>
          <w:noBreakHyphen/>
          <w:t>26. Relative Frequency of the Undiscounted</w:t>
        </w:r>
        <w:r w:rsidRPr="00E05F76">
          <w:rPr>
            <w:noProof/>
            <w:webHidden/>
          </w:rPr>
          <w:tab/>
        </w:r>
        <w:r w:rsidRPr="00E05F76">
          <w:rPr>
            <w:noProof/>
            <w:webHidden/>
          </w:rPr>
          <w:fldChar w:fldCharType="begin"/>
        </w:r>
        <w:r w:rsidRPr="00E05F76">
          <w:rPr>
            <w:noProof/>
            <w:webHidden/>
          </w:rPr>
          <w:instrText xml:space="preserve"> PAGEREF _Toc9526483 \h </w:instrText>
        </w:r>
        <w:r w:rsidRPr="00E05F76">
          <w:rPr>
            <w:noProof/>
            <w:webHidden/>
          </w:rPr>
          <w:fldChar w:fldCharType="separate"/>
        </w:r>
        <w:r w:rsidR="00977795">
          <w:rPr>
            <w:noProof/>
            <w:webHidden/>
          </w:rPr>
          <w:t>43</w:t>
        </w:r>
        <w:r w:rsidRPr="00E05F76">
          <w:rPr>
            <w:noProof/>
            <w:webHidden/>
          </w:rPr>
          <w:fldChar w:fldCharType="end"/>
        </w:r>
      </w:hyperlink>
    </w:p>
    <w:p w:rsidR="00E05F76" w:rsidRPr="00E05F76" w14:paraId="7F4933E2" w14:textId="60565152">
      <w:pPr>
        <w:pStyle w:val="TableofFigures"/>
        <w:tabs>
          <w:tab w:val="right" w:leader="dot" w:pos="9350"/>
        </w:tabs>
        <w:rPr>
          <w:rFonts w:asciiTheme="minorHAnsi" w:eastAsiaTheme="minorEastAsia" w:hAnsiTheme="minorHAnsi" w:cstheme="minorBidi"/>
          <w:noProof/>
          <w:sz w:val="22"/>
          <w:szCs w:val="22"/>
        </w:rPr>
      </w:pPr>
      <w:hyperlink w:anchor="_Toc9526484" w:history="1">
        <w:r w:rsidRPr="00E05F76">
          <w:rPr>
            <w:rStyle w:val="Hyperlink"/>
            <w:noProof/>
          </w:rPr>
          <w:t>Exhibit 3</w:t>
        </w:r>
        <w:r w:rsidRPr="00E05F76">
          <w:rPr>
            <w:rStyle w:val="Hyperlink"/>
            <w:noProof/>
          </w:rPr>
          <w:noBreakHyphen/>
          <w:t>27. Relative Frequency of the Net Benefits of the Final Rule at</w:t>
        </w:r>
        <w:r w:rsidRPr="00E05F76">
          <w:rPr>
            <w:noProof/>
            <w:webHidden/>
          </w:rPr>
          <w:tab/>
        </w:r>
        <w:r w:rsidRPr="00E05F76">
          <w:rPr>
            <w:noProof/>
            <w:webHidden/>
          </w:rPr>
          <w:fldChar w:fldCharType="begin"/>
        </w:r>
        <w:r w:rsidRPr="00E05F76">
          <w:rPr>
            <w:noProof/>
            <w:webHidden/>
          </w:rPr>
          <w:instrText xml:space="preserve"> PAGEREF _Toc9526484 \h </w:instrText>
        </w:r>
        <w:r w:rsidRPr="00E05F76">
          <w:rPr>
            <w:noProof/>
            <w:webHidden/>
          </w:rPr>
          <w:fldChar w:fldCharType="separate"/>
        </w:r>
        <w:r w:rsidR="00977795">
          <w:rPr>
            <w:noProof/>
            <w:webHidden/>
          </w:rPr>
          <w:t>44</w:t>
        </w:r>
        <w:r w:rsidRPr="00E05F76">
          <w:rPr>
            <w:noProof/>
            <w:webHidden/>
          </w:rPr>
          <w:fldChar w:fldCharType="end"/>
        </w:r>
      </w:hyperlink>
    </w:p>
    <w:p w:rsidR="00E05F76" w:rsidRPr="00E05F76" w14:paraId="7F4933E3" w14:textId="7CB1CF25">
      <w:pPr>
        <w:pStyle w:val="TableofFigures"/>
        <w:tabs>
          <w:tab w:val="right" w:leader="dot" w:pos="9350"/>
        </w:tabs>
        <w:rPr>
          <w:rFonts w:asciiTheme="minorHAnsi" w:eastAsiaTheme="minorEastAsia" w:hAnsiTheme="minorHAnsi" w:cstheme="minorBidi"/>
          <w:noProof/>
          <w:sz w:val="22"/>
          <w:szCs w:val="22"/>
        </w:rPr>
      </w:pPr>
      <w:hyperlink w:anchor="_Toc9526485" w:history="1">
        <w:r w:rsidRPr="00E05F76">
          <w:rPr>
            <w:rStyle w:val="Hyperlink"/>
            <w:noProof/>
          </w:rPr>
          <w:t>Exhibit 3</w:t>
        </w:r>
        <w:r w:rsidRPr="00E05F76">
          <w:rPr>
            <w:rStyle w:val="Hyperlink"/>
            <w:noProof/>
          </w:rPr>
          <w:noBreakHyphen/>
          <w:t>28. Relative Frequency of the Net Benefits of the Final Rule at</w:t>
        </w:r>
        <w:r w:rsidRPr="00E05F76">
          <w:rPr>
            <w:noProof/>
            <w:webHidden/>
          </w:rPr>
          <w:tab/>
        </w:r>
        <w:r w:rsidRPr="00E05F76">
          <w:rPr>
            <w:noProof/>
            <w:webHidden/>
          </w:rPr>
          <w:fldChar w:fldCharType="begin"/>
        </w:r>
        <w:r w:rsidRPr="00E05F76">
          <w:rPr>
            <w:noProof/>
            <w:webHidden/>
          </w:rPr>
          <w:instrText xml:space="preserve"> PAGEREF _Toc9526485 \h </w:instrText>
        </w:r>
        <w:r w:rsidRPr="00E05F76">
          <w:rPr>
            <w:noProof/>
            <w:webHidden/>
          </w:rPr>
          <w:fldChar w:fldCharType="separate"/>
        </w:r>
        <w:r w:rsidR="00977795">
          <w:rPr>
            <w:noProof/>
            <w:webHidden/>
          </w:rPr>
          <w:t>44</w:t>
        </w:r>
        <w:r w:rsidRPr="00E05F76">
          <w:rPr>
            <w:noProof/>
            <w:webHidden/>
          </w:rPr>
          <w:fldChar w:fldCharType="end"/>
        </w:r>
      </w:hyperlink>
    </w:p>
    <w:p w:rsidR="00E05F76" w:rsidRPr="00E05F76" w14:paraId="7F4933E4" w14:textId="5114E48D">
      <w:pPr>
        <w:pStyle w:val="TableofFigures"/>
        <w:tabs>
          <w:tab w:val="right" w:leader="dot" w:pos="9350"/>
        </w:tabs>
        <w:rPr>
          <w:rFonts w:asciiTheme="minorHAnsi" w:eastAsiaTheme="minorEastAsia" w:hAnsiTheme="minorHAnsi" w:cstheme="minorBidi"/>
          <w:noProof/>
          <w:sz w:val="22"/>
          <w:szCs w:val="22"/>
        </w:rPr>
      </w:pPr>
      <w:hyperlink w:anchor="_Toc9526486" w:history="1">
        <w:r w:rsidRPr="00E05F76">
          <w:rPr>
            <w:rStyle w:val="Hyperlink"/>
            <w:noProof/>
          </w:rPr>
          <w:t>Exhibit 3</w:t>
        </w:r>
        <w:r w:rsidRPr="00E05F76">
          <w:rPr>
            <w:rStyle w:val="Hyperlink"/>
            <w:noProof/>
          </w:rPr>
          <w:noBreakHyphen/>
          <w:t>29. Tornado Diagram for the Costs of the Final Rule (2020$)*</w:t>
        </w:r>
        <w:r w:rsidRPr="00E05F76">
          <w:rPr>
            <w:noProof/>
            <w:webHidden/>
          </w:rPr>
          <w:tab/>
        </w:r>
        <w:r w:rsidRPr="00E05F76">
          <w:rPr>
            <w:noProof/>
            <w:webHidden/>
          </w:rPr>
          <w:fldChar w:fldCharType="begin"/>
        </w:r>
        <w:r w:rsidRPr="00E05F76">
          <w:rPr>
            <w:noProof/>
            <w:webHidden/>
          </w:rPr>
          <w:instrText xml:space="preserve"> PAGEREF _Toc9526486 \h </w:instrText>
        </w:r>
        <w:r w:rsidRPr="00E05F76">
          <w:rPr>
            <w:noProof/>
            <w:webHidden/>
          </w:rPr>
          <w:fldChar w:fldCharType="separate"/>
        </w:r>
        <w:r w:rsidR="00977795">
          <w:rPr>
            <w:noProof/>
            <w:webHidden/>
          </w:rPr>
          <w:t>45</w:t>
        </w:r>
        <w:r w:rsidRPr="00E05F76">
          <w:rPr>
            <w:noProof/>
            <w:webHidden/>
          </w:rPr>
          <w:fldChar w:fldCharType="end"/>
        </w:r>
      </w:hyperlink>
    </w:p>
    <w:p w:rsidR="00E05F76" w:rsidRPr="00E05F76" w14:paraId="7F4933E5" w14:textId="3430814E">
      <w:pPr>
        <w:pStyle w:val="TableofFigures"/>
        <w:tabs>
          <w:tab w:val="right" w:leader="dot" w:pos="9350"/>
        </w:tabs>
        <w:rPr>
          <w:rFonts w:asciiTheme="minorHAnsi" w:eastAsiaTheme="minorEastAsia" w:hAnsiTheme="minorHAnsi" w:cstheme="minorBidi"/>
          <w:noProof/>
          <w:sz w:val="22"/>
          <w:szCs w:val="22"/>
        </w:rPr>
      </w:pPr>
      <w:hyperlink w:anchor="_Toc9526487" w:history="1">
        <w:r w:rsidRPr="00E05F76">
          <w:rPr>
            <w:rStyle w:val="Hyperlink"/>
            <w:noProof/>
          </w:rPr>
          <w:t>Exhibit 3</w:t>
        </w:r>
        <w:r w:rsidRPr="00E05F76">
          <w:rPr>
            <w:rStyle w:val="Hyperlink"/>
            <w:noProof/>
          </w:rPr>
          <w:noBreakHyphen/>
          <w:t>30. Tornado Diagram for the Net Benefits of the Final Rule (2020$)</w:t>
        </w:r>
        <w:r w:rsidRPr="00E05F76">
          <w:rPr>
            <w:noProof/>
            <w:webHidden/>
          </w:rPr>
          <w:tab/>
        </w:r>
        <w:r w:rsidRPr="00E05F76">
          <w:rPr>
            <w:noProof/>
            <w:webHidden/>
          </w:rPr>
          <w:fldChar w:fldCharType="begin"/>
        </w:r>
        <w:r w:rsidRPr="00E05F76">
          <w:rPr>
            <w:noProof/>
            <w:webHidden/>
          </w:rPr>
          <w:instrText xml:space="preserve"> PAGEREF _Toc9526487 \h </w:instrText>
        </w:r>
        <w:r w:rsidRPr="00E05F76">
          <w:rPr>
            <w:noProof/>
            <w:webHidden/>
          </w:rPr>
          <w:fldChar w:fldCharType="separate"/>
        </w:r>
        <w:r w:rsidR="00977795">
          <w:rPr>
            <w:noProof/>
            <w:webHidden/>
          </w:rPr>
          <w:t>46</w:t>
        </w:r>
        <w:r w:rsidRPr="00E05F76">
          <w:rPr>
            <w:noProof/>
            <w:webHidden/>
          </w:rPr>
          <w:fldChar w:fldCharType="end"/>
        </w:r>
      </w:hyperlink>
    </w:p>
    <w:p w:rsidR="00E05F76" w:rsidRPr="00E05F76" w14:paraId="7F4933E6" w14:textId="1C200550">
      <w:pPr>
        <w:pStyle w:val="TableofFigures"/>
        <w:tabs>
          <w:tab w:val="right" w:leader="dot" w:pos="9350"/>
        </w:tabs>
        <w:rPr>
          <w:rFonts w:asciiTheme="minorHAnsi" w:eastAsiaTheme="minorEastAsia" w:hAnsiTheme="minorHAnsi" w:cstheme="minorBidi"/>
          <w:noProof/>
          <w:sz w:val="22"/>
          <w:szCs w:val="22"/>
        </w:rPr>
      </w:pPr>
      <w:hyperlink w:anchor="_Toc9526488" w:history="1">
        <w:r w:rsidRPr="00E05F76">
          <w:rPr>
            <w:rStyle w:val="Hyperlink"/>
            <w:rFonts w:cs="Arial"/>
            <w:noProof/>
          </w:rPr>
          <w:t>Exhibit 3</w:t>
        </w:r>
        <w:r w:rsidRPr="00E05F76">
          <w:rPr>
            <w:rStyle w:val="Hyperlink"/>
            <w:rFonts w:cs="Arial"/>
            <w:noProof/>
          </w:rPr>
          <w:noBreakHyphen/>
          <w:t>31. Decommissioning Costs (2020$)</w:t>
        </w:r>
        <w:r w:rsidRPr="00E05F76">
          <w:rPr>
            <w:noProof/>
            <w:webHidden/>
          </w:rPr>
          <w:tab/>
        </w:r>
        <w:r w:rsidRPr="00E05F76">
          <w:rPr>
            <w:noProof/>
            <w:webHidden/>
          </w:rPr>
          <w:fldChar w:fldCharType="begin"/>
        </w:r>
        <w:r w:rsidRPr="00E05F76">
          <w:rPr>
            <w:noProof/>
            <w:webHidden/>
          </w:rPr>
          <w:instrText xml:space="preserve"> PAGEREF _Toc9526488 \h </w:instrText>
        </w:r>
        <w:r w:rsidRPr="00E05F76">
          <w:rPr>
            <w:noProof/>
            <w:webHidden/>
          </w:rPr>
          <w:fldChar w:fldCharType="separate"/>
        </w:r>
        <w:r w:rsidR="00977795">
          <w:rPr>
            <w:noProof/>
            <w:webHidden/>
          </w:rPr>
          <w:t>47</w:t>
        </w:r>
        <w:r w:rsidRPr="00E05F76">
          <w:rPr>
            <w:noProof/>
            <w:webHidden/>
          </w:rPr>
          <w:fldChar w:fldCharType="end"/>
        </w:r>
      </w:hyperlink>
    </w:p>
    <w:p w:rsidR="00E05F76" w:rsidRPr="00E05F76" w14:paraId="7F4933E7" w14:textId="11B7F52D">
      <w:pPr>
        <w:pStyle w:val="TableofFigures"/>
        <w:tabs>
          <w:tab w:val="right" w:leader="dot" w:pos="9350"/>
        </w:tabs>
        <w:rPr>
          <w:rFonts w:asciiTheme="minorHAnsi" w:eastAsiaTheme="minorEastAsia" w:hAnsiTheme="minorHAnsi" w:cstheme="minorBidi"/>
          <w:noProof/>
          <w:sz w:val="22"/>
          <w:szCs w:val="22"/>
        </w:rPr>
      </w:pPr>
      <w:hyperlink w:anchor="_Toc9526489" w:history="1">
        <w:r w:rsidRPr="00E05F76">
          <w:rPr>
            <w:rStyle w:val="Hyperlink"/>
            <w:noProof/>
          </w:rPr>
          <w:t>Exhibit A</w:t>
        </w:r>
        <w:r w:rsidRPr="00E05F76">
          <w:rPr>
            <w:rStyle w:val="Hyperlink"/>
            <w:noProof/>
          </w:rPr>
          <w:noBreakHyphen/>
          <w:t>1. Description of Existing NPUF License Renewal Process Sub-Steps</w:t>
        </w:r>
        <w:r w:rsidRPr="00E05F76">
          <w:rPr>
            <w:noProof/>
            <w:webHidden/>
          </w:rPr>
          <w:tab/>
        </w:r>
        <w:r w:rsidRPr="00E05F76">
          <w:rPr>
            <w:noProof/>
            <w:webHidden/>
          </w:rPr>
          <w:fldChar w:fldCharType="begin"/>
        </w:r>
        <w:r w:rsidRPr="00E05F76">
          <w:rPr>
            <w:noProof/>
            <w:webHidden/>
          </w:rPr>
          <w:instrText xml:space="preserve"> PAGEREF _Toc9526489 \h </w:instrText>
        </w:r>
        <w:r w:rsidRPr="00E05F76">
          <w:rPr>
            <w:noProof/>
            <w:webHidden/>
          </w:rPr>
          <w:fldChar w:fldCharType="separate"/>
        </w:r>
        <w:r w:rsidR="00977795">
          <w:rPr>
            <w:noProof/>
            <w:webHidden/>
          </w:rPr>
          <w:t>55</w:t>
        </w:r>
        <w:r w:rsidRPr="00E05F76">
          <w:rPr>
            <w:noProof/>
            <w:webHidden/>
          </w:rPr>
          <w:fldChar w:fldCharType="end"/>
        </w:r>
      </w:hyperlink>
    </w:p>
    <w:p w:rsidR="00E05F76" w:rsidRPr="00E05F76" w14:paraId="7F4933E8" w14:textId="5C100F42">
      <w:pPr>
        <w:pStyle w:val="TableofFigures"/>
        <w:tabs>
          <w:tab w:val="right" w:leader="dot" w:pos="9350"/>
        </w:tabs>
        <w:rPr>
          <w:rFonts w:asciiTheme="minorHAnsi" w:eastAsiaTheme="minorEastAsia" w:hAnsiTheme="minorHAnsi" w:cstheme="minorBidi"/>
          <w:noProof/>
          <w:sz w:val="22"/>
          <w:szCs w:val="22"/>
        </w:rPr>
      </w:pPr>
      <w:hyperlink w:anchor="_Toc9526490" w:history="1">
        <w:r w:rsidRPr="00E05F76">
          <w:rPr>
            <w:rStyle w:val="Hyperlink"/>
            <w:noProof/>
          </w:rPr>
          <w:t>Exhibit A</w:t>
        </w:r>
        <w:r w:rsidRPr="00E05F76">
          <w:rPr>
            <w:rStyle w:val="Hyperlink"/>
            <w:noProof/>
          </w:rPr>
          <w:noBreakHyphen/>
          <w:t>2. Description of Post-Rule FSAR Process Sub-steps</w:t>
        </w:r>
        <w:r w:rsidRPr="00E05F76">
          <w:rPr>
            <w:noProof/>
            <w:webHidden/>
          </w:rPr>
          <w:tab/>
        </w:r>
        <w:r w:rsidRPr="00E05F76">
          <w:rPr>
            <w:noProof/>
            <w:webHidden/>
          </w:rPr>
          <w:fldChar w:fldCharType="begin"/>
        </w:r>
        <w:r w:rsidRPr="00E05F76">
          <w:rPr>
            <w:noProof/>
            <w:webHidden/>
          </w:rPr>
          <w:instrText xml:space="preserve"> PAGEREF _Toc9526490 \h </w:instrText>
        </w:r>
        <w:r w:rsidRPr="00E05F76">
          <w:rPr>
            <w:noProof/>
            <w:webHidden/>
          </w:rPr>
          <w:fldChar w:fldCharType="separate"/>
        </w:r>
        <w:r w:rsidR="00977795">
          <w:rPr>
            <w:noProof/>
            <w:webHidden/>
          </w:rPr>
          <w:t>56</w:t>
        </w:r>
        <w:r w:rsidRPr="00E05F76">
          <w:rPr>
            <w:noProof/>
            <w:webHidden/>
          </w:rPr>
          <w:fldChar w:fldCharType="end"/>
        </w:r>
      </w:hyperlink>
    </w:p>
    <w:p w:rsidR="00E05F76" w:rsidRPr="00E05F76" w14:paraId="7F4933E9" w14:textId="286AA53F">
      <w:pPr>
        <w:pStyle w:val="TableofFigures"/>
        <w:tabs>
          <w:tab w:val="right" w:leader="dot" w:pos="9350"/>
        </w:tabs>
        <w:rPr>
          <w:rFonts w:asciiTheme="minorHAnsi" w:eastAsiaTheme="minorEastAsia" w:hAnsiTheme="minorHAnsi" w:cstheme="minorBidi"/>
          <w:noProof/>
          <w:sz w:val="22"/>
          <w:szCs w:val="22"/>
        </w:rPr>
      </w:pPr>
      <w:hyperlink w:anchor="_Toc9526491" w:history="1">
        <w:r w:rsidRPr="00E05F76">
          <w:rPr>
            <w:rStyle w:val="Hyperlink"/>
            <w:noProof/>
          </w:rPr>
          <w:t>Exhibit A</w:t>
        </w:r>
        <w:r w:rsidRPr="00E05F76">
          <w:rPr>
            <w:rStyle w:val="Hyperlink"/>
            <w:noProof/>
          </w:rPr>
          <w:noBreakHyphen/>
          <w:t>3a. Licensee Averted Costs of the Final Rule</w:t>
        </w:r>
        <w:r w:rsidRPr="00E05F76">
          <w:rPr>
            <w:noProof/>
            <w:webHidden/>
          </w:rPr>
          <w:tab/>
        </w:r>
        <w:r w:rsidRPr="00E05F76">
          <w:rPr>
            <w:noProof/>
            <w:webHidden/>
          </w:rPr>
          <w:fldChar w:fldCharType="begin"/>
        </w:r>
        <w:r w:rsidRPr="00E05F76">
          <w:rPr>
            <w:noProof/>
            <w:webHidden/>
          </w:rPr>
          <w:instrText xml:space="preserve"> PAGEREF _Toc9526491 \h </w:instrText>
        </w:r>
        <w:r w:rsidRPr="00E05F76">
          <w:rPr>
            <w:noProof/>
            <w:webHidden/>
          </w:rPr>
          <w:fldChar w:fldCharType="separate"/>
        </w:r>
        <w:r w:rsidR="00977795">
          <w:rPr>
            <w:noProof/>
            <w:webHidden/>
          </w:rPr>
          <w:t>57</w:t>
        </w:r>
        <w:r w:rsidRPr="00E05F76">
          <w:rPr>
            <w:noProof/>
            <w:webHidden/>
          </w:rPr>
          <w:fldChar w:fldCharType="end"/>
        </w:r>
      </w:hyperlink>
    </w:p>
    <w:p w:rsidR="00E05F76" w:rsidRPr="00E05F76" w14:paraId="7F4933EA" w14:textId="4E6C1E0F">
      <w:pPr>
        <w:pStyle w:val="TableofFigures"/>
        <w:tabs>
          <w:tab w:val="right" w:leader="dot" w:pos="9350"/>
        </w:tabs>
        <w:rPr>
          <w:rFonts w:asciiTheme="minorHAnsi" w:eastAsiaTheme="minorEastAsia" w:hAnsiTheme="minorHAnsi" w:cstheme="minorBidi"/>
          <w:noProof/>
          <w:sz w:val="22"/>
          <w:szCs w:val="22"/>
        </w:rPr>
      </w:pPr>
      <w:hyperlink w:anchor="_Toc9526492" w:history="1">
        <w:r w:rsidRPr="00E05F76">
          <w:rPr>
            <w:rStyle w:val="Hyperlink"/>
            <w:noProof/>
          </w:rPr>
          <w:t>Exhibit A</w:t>
        </w:r>
        <w:r w:rsidRPr="00E05F76">
          <w:rPr>
            <w:rStyle w:val="Hyperlink"/>
            <w:noProof/>
          </w:rPr>
          <w:noBreakHyphen/>
          <w:t>3b. Averted Costs of the Final Rule</w:t>
        </w:r>
        <w:r w:rsidRPr="00E05F76">
          <w:rPr>
            <w:noProof/>
            <w:webHidden/>
          </w:rPr>
          <w:tab/>
        </w:r>
        <w:r w:rsidRPr="00E05F76">
          <w:rPr>
            <w:noProof/>
            <w:webHidden/>
          </w:rPr>
          <w:fldChar w:fldCharType="begin"/>
        </w:r>
        <w:r w:rsidRPr="00E05F76">
          <w:rPr>
            <w:noProof/>
            <w:webHidden/>
          </w:rPr>
          <w:instrText xml:space="preserve"> PAGEREF _Toc9526492 \h </w:instrText>
        </w:r>
        <w:r w:rsidRPr="00E05F76">
          <w:rPr>
            <w:noProof/>
            <w:webHidden/>
          </w:rPr>
          <w:fldChar w:fldCharType="separate"/>
        </w:r>
        <w:r w:rsidR="00977795">
          <w:rPr>
            <w:noProof/>
            <w:webHidden/>
          </w:rPr>
          <w:t>63</w:t>
        </w:r>
        <w:r w:rsidRPr="00E05F76">
          <w:rPr>
            <w:noProof/>
            <w:webHidden/>
          </w:rPr>
          <w:fldChar w:fldCharType="end"/>
        </w:r>
      </w:hyperlink>
    </w:p>
    <w:p w:rsidR="00E05F76" w:rsidRPr="00E05F76" w14:paraId="7F4933EB" w14:textId="7641F54F">
      <w:pPr>
        <w:pStyle w:val="TableofFigures"/>
        <w:tabs>
          <w:tab w:val="right" w:leader="dot" w:pos="9350"/>
        </w:tabs>
        <w:rPr>
          <w:rFonts w:asciiTheme="minorHAnsi" w:eastAsiaTheme="minorEastAsia" w:hAnsiTheme="minorHAnsi" w:cstheme="minorBidi"/>
          <w:noProof/>
          <w:sz w:val="22"/>
          <w:szCs w:val="22"/>
        </w:rPr>
      </w:pPr>
      <w:hyperlink w:anchor="_Toc9526493" w:history="1">
        <w:r w:rsidRPr="00E05F76">
          <w:rPr>
            <w:rStyle w:val="Hyperlink"/>
            <w:noProof/>
          </w:rPr>
          <w:t>Exhibit A</w:t>
        </w:r>
        <w:r w:rsidRPr="00E05F76">
          <w:rPr>
            <w:rStyle w:val="Hyperlink"/>
            <w:noProof/>
          </w:rPr>
          <w:noBreakHyphen/>
          <w:t>4a. Licensee Implementation Costs of the Final Rule</w:t>
        </w:r>
        <w:r w:rsidRPr="00E05F76">
          <w:rPr>
            <w:noProof/>
            <w:webHidden/>
          </w:rPr>
          <w:tab/>
        </w:r>
        <w:r w:rsidRPr="00E05F76">
          <w:rPr>
            <w:noProof/>
            <w:webHidden/>
          </w:rPr>
          <w:fldChar w:fldCharType="begin"/>
        </w:r>
        <w:r w:rsidRPr="00E05F76">
          <w:rPr>
            <w:noProof/>
            <w:webHidden/>
          </w:rPr>
          <w:instrText xml:space="preserve"> PAGEREF _Toc9526493 \h </w:instrText>
        </w:r>
        <w:r w:rsidRPr="00E05F76">
          <w:rPr>
            <w:noProof/>
            <w:webHidden/>
          </w:rPr>
          <w:fldChar w:fldCharType="separate"/>
        </w:r>
        <w:r w:rsidR="00977795">
          <w:rPr>
            <w:noProof/>
            <w:webHidden/>
          </w:rPr>
          <w:t>63</w:t>
        </w:r>
        <w:r w:rsidRPr="00E05F76">
          <w:rPr>
            <w:noProof/>
            <w:webHidden/>
          </w:rPr>
          <w:fldChar w:fldCharType="end"/>
        </w:r>
      </w:hyperlink>
    </w:p>
    <w:p w:rsidR="00E05F76" w:rsidRPr="00E05F76" w14:paraId="7F4933EC" w14:textId="76D4EAFE">
      <w:pPr>
        <w:pStyle w:val="TableofFigures"/>
        <w:tabs>
          <w:tab w:val="right" w:leader="dot" w:pos="9350"/>
        </w:tabs>
        <w:rPr>
          <w:rFonts w:asciiTheme="minorHAnsi" w:eastAsiaTheme="minorEastAsia" w:hAnsiTheme="minorHAnsi" w:cstheme="minorBidi"/>
          <w:noProof/>
          <w:sz w:val="22"/>
          <w:szCs w:val="22"/>
        </w:rPr>
      </w:pPr>
      <w:hyperlink w:anchor="_Toc9526494" w:history="1">
        <w:r w:rsidRPr="00E05F76">
          <w:rPr>
            <w:rStyle w:val="Hyperlink"/>
            <w:noProof/>
          </w:rPr>
          <w:t>Exhibit A</w:t>
        </w:r>
        <w:r w:rsidRPr="00E05F76">
          <w:rPr>
            <w:rStyle w:val="Hyperlink"/>
            <w:noProof/>
          </w:rPr>
          <w:noBreakHyphen/>
          <w:t xml:space="preserve">4b. Licensee </w:t>
        </w:r>
        <w:r w:rsidRPr="00E05F76">
          <w:rPr>
            <w:rStyle w:val="Hyperlink"/>
            <w:rFonts w:cs="Arial"/>
            <w:noProof/>
          </w:rPr>
          <w:t>Level of Effort</w:t>
        </w:r>
        <w:r w:rsidRPr="00E05F76">
          <w:rPr>
            <w:rStyle w:val="Hyperlink"/>
            <w:noProof/>
          </w:rPr>
          <w:t xml:space="preserve"> and Workload Proportions of the Final Rule</w:t>
        </w:r>
        <w:r w:rsidRPr="00E05F76">
          <w:rPr>
            <w:noProof/>
            <w:webHidden/>
          </w:rPr>
          <w:tab/>
        </w:r>
        <w:r w:rsidRPr="00E05F76">
          <w:rPr>
            <w:noProof/>
            <w:webHidden/>
          </w:rPr>
          <w:fldChar w:fldCharType="begin"/>
        </w:r>
        <w:r w:rsidRPr="00E05F76">
          <w:rPr>
            <w:noProof/>
            <w:webHidden/>
          </w:rPr>
          <w:instrText xml:space="preserve"> PAGEREF _Toc9526494 \h </w:instrText>
        </w:r>
        <w:r w:rsidRPr="00E05F76">
          <w:rPr>
            <w:noProof/>
            <w:webHidden/>
          </w:rPr>
          <w:fldChar w:fldCharType="separate"/>
        </w:r>
        <w:r w:rsidR="00977795">
          <w:rPr>
            <w:noProof/>
            <w:webHidden/>
          </w:rPr>
          <w:t>66</w:t>
        </w:r>
        <w:r w:rsidRPr="00E05F76">
          <w:rPr>
            <w:noProof/>
            <w:webHidden/>
          </w:rPr>
          <w:fldChar w:fldCharType="end"/>
        </w:r>
      </w:hyperlink>
    </w:p>
    <w:p w:rsidR="00E05F76" w:rsidRPr="00E05F76" w14:paraId="7F4933ED" w14:textId="251F0250">
      <w:pPr>
        <w:pStyle w:val="TableofFigures"/>
        <w:tabs>
          <w:tab w:val="right" w:leader="dot" w:pos="9350"/>
        </w:tabs>
        <w:rPr>
          <w:rFonts w:asciiTheme="minorHAnsi" w:eastAsiaTheme="minorEastAsia" w:hAnsiTheme="minorHAnsi" w:cstheme="minorBidi"/>
          <w:noProof/>
          <w:sz w:val="22"/>
          <w:szCs w:val="22"/>
        </w:rPr>
      </w:pPr>
      <w:hyperlink w:anchor="_Toc9526495" w:history="1">
        <w:r w:rsidRPr="00E05F76">
          <w:rPr>
            <w:rStyle w:val="Hyperlink"/>
            <w:noProof/>
          </w:rPr>
          <w:t>Exhibit A</w:t>
        </w:r>
        <w:r w:rsidRPr="00E05F76">
          <w:rPr>
            <w:rStyle w:val="Hyperlink"/>
            <w:noProof/>
          </w:rPr>
          <w:noBreakHyphen/>
          <w:t>4c. Licensee Operation Costs of the Final Rule</w:t>
        </w:r>
        <w:r w:rsidRPr="00E05F76">
          <w:rPr>
            <w:noProof/>
            <w:webHidden/>
          </w:rPr>
          <w:tab/>
        </w:r>
        <w:r w:rsidRPr="00E05F76">
          <w:rPr>
            <w:noProof/>
            <w:webHidden/>
          </w:rPr>
          <w:fldChar w:fldCharType="begin"/>
        </w:r>
        <w:r w:rsidRPr="00E05F76">
          <w:rPr>
            <w:noProof/>
            <w:webHidden/>
          </w:rPr>
          <w:instrText xml:space="preserve"> PAGEREF _Toc9526495 \h </w:instrText>
        </w:r>
        <w:r w:rsidRPr="00E05F76">
          <w:rPr>
            <w:noProof/>
            <w:webHidden/>
          </w:rPr>
          <w:fldChar w:fldCharType="separate"/>
        </w:r>
        <w:r w:rsidR="00977795">
          <w:rPr>
            <w:noProof/>
            <w:webHidden/>
          </w:rPr>
          <w:t>67</w:t>
        </w:r>
        <w:r w:rsidRPr="00E05F76">
          <w:rPr>
            <w:noProof/>
            <w:webHidden/>
          </w:rPr>
          <w:fldChar w:fldCharType="end"/>
        </w:r>
      </w:hyperlink>
    </w:p>
    <w:p w:rsidR="00E05F76" w:rsidRPr="00E05F76" w14:paraId="7F4933EE" w14:textId="2872FA9F">
      <w:pPr>
        <w:pStyle w:val="TableofFigures"/>
        <w:tabs>
          <w:tab w:val="right" w:leader="dot" w:pos="9350"/>
        </w:tabs>
        <w:rPr>
          <w:rFonts w:asciiTheme="minorHAnsi" w:eastAsiaTheme="minorEastAsia" w:hAnsiTheme="minorHAnsi" w:cstheme="minorBidi"/>
          <w:noProof/>
          <w:sz w:val="22"/>
          <w:szCs w:val="22"/>
        </w:rPr>
      </w:pPr>
      <w:hyperlink w:anchor="_Toc9526496" w:history="1">
        <w:r w:rsidRPr="00E05F76">
          <w:rPr>
            <w:rStyle w:val="Hyperlink"/>
            <w:noProof/>
          </w:rPr>
          <w:t>Exhibit A</w:t>
        </w:r>
        <w:r w:rsidRPr="00E05F76">
          <w:rPr>
            <w:rStyle w:val="Hyperlink"/>
            <w:noProof/>
          </w:rPr>
          <w:noBreakHyphen/>
          <w:t>4d. NRC Implementation Costs of the Final Rule</w:t>
        </w:r>
        <w:r w:rsidRPr="00E05F76">
          <w:rPr>
            <w:noProof/>
            <w:webHidden/>
          </w:rPr>
          <w:tab/>
        </w:r>
        <w:r w:rsidRPr="00E05F76">
          <w:rPr>
            <w:noProof/>
            <w:webHidden/>
          </w:rPr>
          <w:fldChar w:fldCharType="begin"/>
        </w:r>
        <w:r w:rsidRPr="00E05F76">
          <w:rPr>
            <w:noProof/>
            <w:webHidden/>
          </w:rPr>
          <w:instrText xml:space="preserve"> PAGEREF _Toc9526496 \h </w:instrText>
        </w:r>
        <w:r w:rsidRPr="00E05F76">
          <w:rPr>
            <w:noProof/>
            <w:webHidden/>
          </w:rPr>
          <w:fldChar w:fldCharType="separate"/>
        </w:r>
        <w:r w:rsidR="00977795">
          <w:rPr>
            <w:noProof/>
            <w:webHidden/>
          </w:rPr>
          <w:t>68</w:t>
        </w:r>
        <w:r w:rsidRPr="00E05F76">
          <w:rPr>
            <w:noProof/>
            <w:webHidden/>
          </w:rPr>
          <w:fldChar w:fldCharType="end"/>
        </w:r>
      </w:hyperlink>
    </w:p>
    <w:p w:rsidR="00E05F76" w:rsidRPr="00E05F76" w14:paraId="7F4933EF" w14:textId="10C40DBD">
      <w:pPr>
        <w:pStyle w:val="TableofFigures"/>
        <w:tabs>
          <w:tab w:val="right" w:leader="dot" w:pos="9350"/>
        </w:tabs>
        <w:rPr>
          <w:rFonts w:asciiTheme="minorHAnsi" w:eastAsiaTheme="minorEastAsia" w:hAnsiTheme="minorHAnsi" w:cstheme="minorBidi"/>
          <w:noProof/>
          <w:sz w:val="22"/>
          <w:szCs w:val="22"/>
        </w:rPr>
      </w:pPr>
      <w:hyperlink w:anchor="_Toc9526497" w:history="1">
        <w:r w:rsidRPr="00E05F76">
          <w:rPr>
            <w:rStyle w:val="Hyperlink"/>
            <w:noProof/>
          </w:rPr>
          <w:t>Exhibit A</w:t>
        </w:r>
        <w:r w:rsidRPr="00E05F76">
          <w:rPr>
            <w:rStyle w:val="Hyperlink"/>
            <w:noProof/>
          </w:rPr>
          <w:noBreakHyphen/>
          <w:t>4e. NRC Operation Costs of the Final Rule</w:t>
        </w:r>
        <w:r w:rsidRPr="00E05F76">
          <w:rPr>
            <w:noProof/>
            <w:webHidden/>
          </w:rPr>
          <w:tab/>
        </w:r>
        <w:r w:rsidRPr="00E05F76">
          <w:rPr>
            <w:noProof/>
            <w:webHidden/>
          </w:rPr>
          <w:fldChar w:fldCharType="begin"/>
        </w:r>
        <w:r w:rsidRPr="00E05F76">
          <w:rPr>
            <w:noProof/>
            <w:webHidden/>
          </w:rPr>
          <w:instrText xml:space="preserve"> PAGEREF _Toc9526497 \h </w:instrText>
        </w:r>
        <w:r w:rsidRPr="00E05F76">
          <w:rPr>
            <w:noProof/>
            <w:webHidden/>
          </w:rPr>
          <w:fldChar w:fldCharType="separate"/>
        </w:r>
        <w:r w:rsidR="00977795">
          <w:rPr>
            <w:noProof/>
            <w:webHidden/>
          </w:rPr>
          <w:t>69</w:t>
        </w:r>
        <w:r w:rsidRPr="00E05F76">
          <w:rPr>
            <w:noProof/>
            <w:webHidden/>
          </w:rPr>
          <w:fldChar w:fldCharType="end"/>
        </w:r>
      </w:hyperlink>
    </w:p>
    <w:p w:rsidR="00E05F76" w:rsidRPr="00E05F76" w14:paraId="7F4933F0" w14:textId="29591F6A">
      <w:pPr>
        <w:pStyle w:val="TableofFigures"/>
        <w:tabs>
          <w:tab w:val="right" w:leader="dot" w:pos="9350"/>
        </w:tabs>
        <w:rPr>
          <w:rFonts w:asciiTheme="minorHAnsi" w:eastAsiaTheme="minorEastAsia" w:hAnsiTheme="minorHAnsi" w:cstheme="minorBidi"/>
          <w:noProof/>
          <w:sz w:val="22"/>
          <w:szCs w:val="22"/>
        </w:rPr>
      </w:pPr>
      <w:hyperlink w:anchor="_Toc9526498" w:history="1">
        <w:r w:rsidRPr="00E05F76">
          <w:rPr>
            <w:rStyle w:val="Hyperlink"/>
            <w:noProof/>
          </w:rPr>
          <w:t>Exhibit A</w:t>
        </w:r>
        <w:r w:rsidRPr="00E05F76">
          <w:rPr>
            <w:rStyle w:val="Hyperlink"/>
            <w:noProof/>
          </w:rPr>
          <w:noBreakHyphen/>
          <w:t>5. Uncertainty Analysis Distributions</w:t>
        </w:r>
        <w:r w:rsidRPr="00E05F76">
          <w:rPr>
            <w:noProof/>
            <w:webHidden/>
          </w:rPr>
          <w:tab/>
        </w:r>
        <w:r w:rsidRPr="00E05F76">
          <w:rPr>
            <w:noProof/>
            <w:webHidden/>
          </w:rPr>
          <w:fldChar w:fldCharType="begin"/>
        </w:r>
        <w:r w:rsidRPr="00E05F76">
          <w:rPr>
            <w:noProof/>
            <w:webHidden/>
          </w:rPr>
          <w:instrText xml:space="preserve"> PAGEREF _Toc9526498 \h </w:instrText>
        </w:r>
        <w:r w:rsidRPr="00E05F76">
          <w:rPr>
            <w:noProof/>
            <w:webHidden/>
          </w:rPr>
          <w:fldChar w:fldCharType="separate"/>
        </w:r>
        <w:r w:rsidR="00977795">
          <w:rPr>
            <w:noProof/>
            <w:webHidden/>
          </w:rPr>
          <w:t>70</w:t>
        </w:r>
        <w:r w:rsidRPr="00E05F76">
          <w:rPr>
            <w:noProof/>
            <w:webHidden/>
          </w:rPr>
          <w:fldChar w:fldCharType="end"/>
        </w:r>
      </w:hyperlink>
    </w:p>
    <w:p w:rsidR="00995E96" w:rsidRPr="00E05F76" w:rsidP="00995E96" w14:paraId="7F4933F1" w14:textId="77777777">
      <w:pPr>
        <w:autoSpaceDE/>
        <w:autoSpaceDN/>
        <w:adjustRightInd/>
        <w:spacing w:after="160"/>
        <w:rPr>
          <w:rStyle w:val="Hyperlink"/>
          <w:rFonts w:eastAsiaTheme="minorEastAsia"/>
          <w:noProof/>
          <w:color w:val="auto"/>
        </w:rPr>
      </w:pPr>
      <w:r w:rsidRPr="00E05F76">
        <w:rPr>
          <w:rStyle w:val="Hyperlink"/>
          <w:rFonts w:eastAsiaTheme="minorEastAsia"/>
          <w:noProof/>
          <w:color w:val="auto"/>
        </w:rPr>
        <w:fldChar w:fldCharType="end"/>
      </w:r>
    </w:p>
    <w:p w:rsidR="00995E96" w:rsidRPr="00E05F76" w:rsidP="00995E96" w14:paraId="7F4933F2" w14:textId="77777777">
      <w:pPr>
        <w:autoSpaceDE/>
        <w:autoSpaceDN/>
        <w:adjustRightInd/>
        <w:spacing w:after="160"/>
        <w:rPr>
          <w:rStyle w:val="Hyperlink"/>
          <w:rFonts w:eastAsiaTheme="minorEastAsia"/>
          <w:noProof/>
          <w:color w:val="auto"/>
        </w:rPr>
      </w:pPr>
    </w:p>
    <w:p w:rsidR="00995E96" w:rsidRPr="00E05F76" w:rsidP="00995E96" w14:paraId="7F4933F3" w14:textId="77777777">
      <w:pPr>
        <w:autoSpaceDE/>
        <w:autoSpaceDN/>
        <w:adjustRightInd/>
        <w:spacing w:after="160"/>
        <w:rPr>
          <w:rStyle w:val="Hyperlink"/>
          <w:rFonts w:eastAsiaTheme="minorEastAsia"/>
          <w:noProof/>
          <w:color w:val="auto"/>
        </w:rPr>
      </w:pPr>
    </w:p>
    <w:p w:rsidR="00995E96" w:rsidRPr="00E05F76" w:rsidP="00995E96" w14:paraId="7F4933F4" w14:textId="77777777">
      <w:pPr>
        <w:autoSpaceDE/>
        <w:autoSpaceDN/>
        <w:adjustRightInd/>
        <w:spacing w:after="160"/>
        <w:rPr>
          <w:rStyle w:val="Hyperlink"/>
          <w:rFonts w:eastAsiaTheme="minorEastAsia"/>
          <w:noProof/>
          <w:color w:val="auto"/>
        </w:rPr>
      </w:pPr>
    </w:p>
    <w:p w:rsidR="00995E96" w:rsidRPr="00E05F76" w:rsidP="00995E96" w14:paraId="7F4933F5" w14:textId="77777777">
      <w:pPr>
        <w:autoSpaceDE/>
        <w:autoSpaceDN/>
        <w:adjustRightInd/>
        <w:spacing w:after="160"/>
        <w:rPr>
          <w:rStyle w:val="Hyperlink"/>
          <w:rFonts w:eastAsiaTheme="minorEastAsia"/>
          <w:noProof/>
          <w:color w:val="auto"/>
        </w:rPr>
      </w:pPr>
    </w:p>
    <w:p w:rsidR="00995E96" w:rsidRPr="00E05F76" w:rsidP="00995E96" w14:paraId="7F4933F6" w14:textId="77777777">
      <w:pPr>
        <w:autoSpaceDE/>
        <w:autoSpaceDN/>
        <w:adjustRightInd/>
        <w:spacing w:after="160"/>
        <w:rPr>
          <w:rStyle w:val="Hyperlink"/>
          <w:rFonts w:eastAsiaTheme="minorEastAsia"/>
          <w:noProof/>
          <w:color w:val="auto"/>
        </w:rPr>
      </w:pPr>
    </w:p>
    <w:p w:rsidR="00995E96" w:rsidRPr="00D839EE" w:rsidP="00995E96" w14:paraId="7F4933F7" w14:textId="77777777">
      <w:pPr>
        <w:autoSpaceDE/>
        <w:autoSpaceDN/>
        <w:adjustRightInd/>
        <w:spacing w:after="160"/>
        <w:rPr>
          <w:rStyle w:val="Hyperlink"/>
          <w:rFonts w:eastAsiaTheme="minorEastAsia"/>
          <w:noProof/>
          <w:color w:val="auto"/>
        </w:rPr>
      </w:pPr>
    </w:p>
    <w:p w:rsidR="00995E96" w:rsidRPr="00D839EE" w:rsidP="00995E96" w14:paraId="7F4933F8" w14:textId="77777777">
      <w:pPr>
        <w:autoSpaceDE/>
        <w:autoSpaceDN/>
        <w:adjustRightInd/>
        <w:spacing w:after="160"/>
        <w:rPr>
          <w:rStyle w:val="Hyperlink"/>
          <w:rFonts w:eastAsiaTheme="minorEastAsia"/>
          <w:noProof/>
          <w:color w:val="auto"/>
        </w:rPr>
      </w:pPr>
    </w:p>
    <w:p w:rsidR="00995E96" w:rsidRPr="00D839EE" w:rsidP="00995E96" w14:paraId="7F4933F9" w14:textId="77777777">
      <w:pPr>
        <w:autoSpaceDE/>
        <w:autoSpaceDN/>
        <w:adjustRightInd/>
        <w:spacing w:after="160"/>
        <w:rPr>
          <w:rStyle w:val="Hyperlink"/>
          <w:rFonts w:eastAsiaTheme="minorEastAsia"/>
          <w:noProof/>
          <w:color w:val="auto"/>
        </w:rPr>
      </w:pPr>
    </w:p>
    <w:p w:rsidR="00995E96" w:rsidRPr="00D839EE" w:rsidP="00995E96" w14:paraId="7F4933FA" w14:textId="77777777">
      <w:pPr>
        <w:autoSpaceDE/>
        <w:autoSpaceDN/>
        <w:adjustRightInd/>
        <w:spacing w:after="160"/>
        <w:rPr>
          <w:rStyle w:val="Hyperlink"/>
          <w:rFonts w:eastAsiaTheme="minorEastAsia"/>
          <w:noProof/>
          <w:color w:val="auto"/>
        </w:rPr>
      </w:pPr>
    </w:p>
    <w:p w:rsidR="00995E96" w:rsidRPr="00D839EE" w:rsidP="00995E96" w14:paraId="7F4933FB" w14:textId="77777777">
      <w:pPr>
        <w:autoSpaceDE/>
        <w:autoSpaceDN/>
        <w:adjustRightInd/>
        <w:spacing w:after="160"/>
        <w:rPr>
          <w:rStyle w:val="Hyperlink"/>
          <w:rFonts w:eastAsiaTheme="minorEastAsia"/>
          <w:noProof/>
          <w:color w:val="auto"/>
        </w:rPr>
      </w:pPr>
    </w:p>
    <w:p w:rsidR="00995E96" w:rsidRPr="00D839EE" w:rsidP="00995E96" w14:paraId="7F4933FC" w14:textId="77777777">
      <w:pPr>
        <w:autoSpaceDE/>
        <w:autoSpaceDN/>
        <w:adjustRightInd/>
        <w:spacing w:after="160"/>
        <w:rPr>
          <w:rStyle w:val="Hyperlink"/>
          <w:rFonts w:eastAsiaTheme="minorEastAsia"/>
          <w:noProof/>
          <w:color w:val="auto"/>
        </w:rPr>
      </w:pPr>
    </w:p>
    <w:p w:rsidR="00995E96" w:rsidRPr="00D839EE" w:rsidP="00995E96" w14:paraId="7F4933FD" w14:textId="77777777">
      <w:pPr>
        <w:autoSpaceDE/>
        <w:autoSpaceDN/>
        <w:adjustRightInd/>
        <w:spacing w:after="160"/>
        <w:rPr>
          <w:rStyle w:val="Hyperlink"/>
          <w:rFonts w:eastAsiaTheme="minorEastAsia"/>
          <w:noProof/>
          <w:color w:val="auto"/>
        </w:rPr>
      </w:pPr>
    </w:p>
    <w:p w:rsidR="00995E96" w:rsidRPr="00D839EE" w:rsidP="00995E96" w14:paraId="7F4933FE" w14:textId="77777777">
      <w:pPr>
        <w:autoSpaceDE/>
        <w:autoSpaceDN/>
        <w:adjustRightInd/>
        <w:spacing w:after="160"/>
        <w:rPr>
          <w:rStyle w:val="Hyperlink"/>
          <w:rFonts w:eastAsiaTheme="minorEastAsia"/>
          <w:noProof/>
          <w:color w:val="auto"/>
        </w:rPr>
      </w:pPr>
    </w:p>
    <w:p w:rsidR="00995E96" w:rsidRPr="00D839EE" w:rsidP="00995E96" w14:paraId="7F4933FF" w14:textId="77777777">
      <w:pPr>
        <w:autoSpaceDE/>
        <w:autoSpaceDN/>
        <w:adjustRightInd/>
        <w:spacing w:after="160"/>
        <w:rPr>
          <w:rStyle w:val="Hyperlink"/>
          <w:rFonts w:eastAsiaTheme="minorEastAsia"/>
          <w:noProof/>
          <w:color w:val="auto"/>
        </w:rPr>
      </w:pPr>
    </w:p>
    <w:p w:rsidR="00995E96" w:rsidRPr="00D839EE" w:rsidP="00995E96" w14:paraId="7F493400" w14:textId="77777777">
      <w:pPr>
        <w:autoSpaceDE/>
        <w:autoSpaceDN/>
        <w:adjustRightInd/>
        <w:spacing w:after="160"/>
        <w:rPr>
          <w:rStyle w:val="Hyperlink"/>
          <w:rFonts w:eastAsiaTheme="minorEastAsia"/>
          <w:noProof/>
          <w:color w:val="auto"/>
        </w:rPr>
      </w:pPr>
    </w:p>
    <w:p w:rsidR="00520A6F" w:rsidRPr="00D839EE" w:rsidP="00520A6F" w14:paraId="7F493401" w14:textId="77777777">
      <w:pPr>
        <w:jc w:val="center"/>
        <w:rPr>
          <w:sz w:val="22"/>
          <w:szCs w:val="22"/>
        </w:rPr>
      </w:pPr>
      <w:r w:rsidRPr="00D839EE">
        <w:rPr>
          <w:sz w:val="22"/>
          <w:szCs w:val="22"/>
        </w:rPr>
        <w:t>This page is intentionally left blank.</w:t>
      </w:r>
    </w:p>
    <w:p w:rsidR="00E5421D" w:rsidRPr="00D839EE" w:rsidP="00995E96" w14:paraId="7F493402" w14:textId="77777777">
      <w:pPr>
        <w:autoSpaceDE/>
        <w:autoSpaceDN/>
        <w:adjustRightInd/>
        <w:spacing w:after="160"/>
        <w:jc w:val="center"/>
        <w:rPr>
          <w:rFonts w:eastAsiaTheme="minorEastAsia"/>
          <w:noProof/>
          <w:u w:val="single"/>
        </w:rPr>
      </w:pPr>
      <w:r w:rsidRPr="00D839EE">
        <w:rPr>
          <w:rStyle w:val="Hyperlink"/>
          <w:rFonts w:eastAsiaTheme="minorEastAsia"/>
          <w:noProof/>
          <w:color w:val="auto"/>
        </w:rPr>
        <w:br w:type="page"/>
      </w:r>
    </w:p>
    <w:p w:rsidR="00A92745" w:rsidRPr="00D839EE" w:rsidP="00346B95" w14:paraId="7F493403" w14:textId="77777777">
      <w:pPr>
        <w:pStyle w:val="Heading1"/>
        <w:spacing w:after="220"/>
        <w:ind w:left="0" w:firstLine="0"/>
        <w:rPr>
          <w:b w:val="0"/>
        </w:rPr>
      </w:pPr>
      <w:bookmarkStart w:id="0" w:name="_Toc443852779"/>
      <w:bookmarkStart w:id="1" w:name="_Toc530073268"/>
      <w:bookmarkStart w:id="2" w:name="_Toc534037085"/>
      <w:bookmarkStart w:id="3" w:name="_Toc534699705"/>
      <w:bookmarkStart w:id="4" w:name="_Toc536603272"/>
      <w:r w:rsidRPr="00D839EE">
        <w:t>Abbreviations</w:t>
      </w:r>
      <w:bookmarkEnd w:id="0"/>
      <w:bookmarkEnd w:id="1"/>
      <w:bookmarkEnd w:id="2"/>
      <w:bookmarkEnd w:id="3"/>
      <w:bookmarkEnd w:id="4"/>
    </w:p>
    <w:p w:rsidR="000D4DB5" w:rsidRPr="00D839EE" w:rsidP="00297869" w14:paraId="7F493404" w14:textId="77777777">
      <w:pPr>
        <w:autoSpaceDE/>
        <w:autoSpaceDN/>
        <w:adjustRightInd/>
        <w:spacing w:after="200"/>
        <w:rPr>
          <w:sz w:val="22"/>
          <w:szCs w:val="22"/>
        </w:rPr>
      </w:pPr>
      <w:r w:rsidRPr="00D839EE">
        <w:rPr>
          <w:sz w:val="22"/>
          <w:szCs w:val="22"/>
        </w:rPr>
        <w:t>ADAMS</w:t>
      </w:r>
      <w:r w:rsidRPr="00D839EE">
        <w:rPr>
          <w:sz w:val="22"/>
          <w:szCs w:val="22"/>
        </w:rPr>
        <w:tab/>
        <w:t>Agencywide Documents Access and Management System</w:t>
      </w:r>
    </w:p>
    <w:p w:rsidR="006179FA" w:rsidRPr="00D839EE" w:rsidP="006179FA" w14:paraId="7F493405" w14:textId="77777777">
      <w:pPr>
        <w:autoSpaceDE/>
        <w:autoSpaceDN/>
        <w:adjustRightInd/>
        <w:spacing w:after="200"/>
        <w:rPr>
          <w:sz w:val="22"/>
          <w:szCs w:val="22"/>
        </w:rPr>
      </w:pPr>
      <w:r w:rsidRPr="00D839EE">
        <w:rPr>
          <w:sz w:val="22"/>
          <w:szCs w:val="22"/>
        </w:rPr>
        <w:t>AEA</w:t>
      </w:r>
      <w:r w:rsidRPr="00D839EE">
        <w:rPr>
          <w:sz w:val="22"/>
          <w:szCs w:val="22"/>
        </w:rPr>
        <w:tab/>
      </w:r>
      <w:r w:rsidRPr="00D839EE">
        <w:rPr>
          <w:sz w:val="22"/>
          <w:szCs w:val="22"/>
        </w:rPr>
        <w:tab/>
        <w:t>Atomic Energy Act of 1954, as amended</w:t>
      </w:r>
    </w:p>
    <w:p w:rsidR="006179FA" w:rsidP="006179FA" w14:paraId="7F493406" w14:textId="77777777">
      <w:pPr>
        <w:autoSpaceDE/>
        <w:autoSpaceDN/>
        <w:adjustRightInd/>
        <w:spacing w:after="200"/>
        <w:rPr>
          <w:sz w:val="22"/>
          <w:szCs w:val="22"/>
        </w:rPr>
      </w:pPr>
      <w:r>
        <w:rPr>
          <w:sz w:val="22"/>
          <w:szCs w:val="22"/>
        </w:rPr>
        <w:t>AGN</w:t>
      </w:r>
      <w:r>
        <w:rPr>
          <w:sz w:val="22"/>
          <w:szCs w:val="22"/>
        </w:rPr>
        <w:tab/>
      </w:r>
      <w:r>
        <w:rPr>
          <w:sz w:val="22"/>
          <w:szCs w:val="22"/>
        </w:rPr>
        <w:tab/>
        <w:t>Aerojet-General Nucleonics</w:t>
      </w:r>
    </w:p>
    <w:p w:rsidR="00A92745" w:rsidRPr="00D839EE" w:rsidP="00297869" w14:paraId="7F493407" w14:textId="77777777">
      <w:pPr>
        <w:autoSpaceDE/>
        <w:autoSpaceDN/>
        <w:adjustRightInd/>
        <w:spacing w:after="200"/>
        <w:rPr>
          <w:sz w:val="22"/>
          <w:szCs w:val="22"/>
        </w:rPr>
      </w:pPr>
      <w:r w:rsidRPr="00D839EE">
        <w:rPr>
          <w:sz w:val="22"/>
          <w:szCs w:val="22"/>
        </w:rPr>
        <w:t>BLS</w:t>
      </w:r>
      <w:r w:rsidRPr="00D839EE">
        <w:rPr>
          <w:sz w:val="22"/>
          <w:szCs w:val="22"/>
        </w:rPr>
        <w:tab/>
      </w:r>
      <w:r w:rsidRPr="00D839EE" w:rsidR="00F4101C">
        <w:rPr>
          <w:sz w:val="22"/>
          <w:szCs w:val="22"/>
        </w:rPr>
        <w:tab/>
      </w:r>
      <w:r w:rsidRPr="00D839EE">
        <w:rPr>
          <w:sz w:val="22"/>
          <w:szCs w:val="22"/>
        </w:rPr>
        <w:t>Bureau of Labor Statistics</w:t>
      </w:r>
    </w:p>
    <w:p w:rsidR="00A92745" w:rsidRPr="00346B95" w:rsidP="00297869" w14:paraId="7F493408" w14:textId="77777777">
      <w:pPr>
        <w:autoSpaceDE/>
        <w:autoSpaceDN/>
        <w:adjustRightInd/>
        <w:spacing w:after="200"/>
        <w:rPr>
          <w:i/>
          <w:sz w:val="22"/>
        </w:rPr>
      </w:pPr>
      <w:r w:rsidRPr="00D839EE">
        <w:rPr>
          <w:sz w:val="22"/>
          <w:szCs w:val="22"/>
        </w:rPr>
        <w:t>CFR</w:t>
      </w:r>
      <w:r w:rsidRPr="00D839EE">
        <w:rPr>
          <w:sz w:val="22"/>
          <w:szCs w:val="22"/>
        </w:rPr>
        <w:tab/>
      </w:r>
      <w:r w:rsidRPr="00D839EE" w:rsidR="00F4101C">
        <w:rPr>
          <w:sz w:val="22"/>
          <w:szCs w:val="22"/>
        </w:rPr>
        <w:tab/>
      </w:r>
      <w:r w:rsidRPr="00346B95">
        <w:rPr>
          <w:i/>
          <w:sz w:val="22"/>
        </w:rPr>
        <w:t>Code of Federal Regulations</w:t>
      </w:r>
    </w:p>
    <w:p w:rsidR="009E45B2" w:rsidRPr="00D839EE" w:rsidP="00297869" w14:paraId="7F493409" w14:textId="77777777">
      <w:pPr>
        <w:autoSpaceDE/>
        <w:autoSpaceDN/>
        <w:adjustRightInd/>
        <w:spacing w:after="200"/>
        <w:rPr>
          <w:sz w:val="22"/>
          <w:szCs w:val="22"/>
        </w:rPr>
      </w:pPr>
      <w:r w:rsidRPr="00D839EE">
        <w:rPr>
          <w:sz w:val="22"/>
          <w:szCs w:val="22"/>
        </w:rPr>
        <w:t>DOE</w:t>
      </w:r>
      <w:r w:rsidRPr="00D839EE">
        <w:rPr>
          <w:sz w:val="22"/>
          <w:szCs w:val="22"/>
        </w:rPr>
        <w:tab/>
      </w:r>
      <w:r w:rsidRPr="00D839EE">
        <w:rPr>
          <w:sz w:val="22"/>
          <w:szCs w:val="22"/>
        </w:rPr>
        <w:tab/>
        <w:t>U.S. Department of Energy</w:t>
      </w:r>
    </w:p>
    <w:p w:rsidR="00927D02" w:rsidP="00297869" w14:paraId="7F49340A" w14:textId="77777777">
      <w:pPr>
        <w:autoSpaceDE/>
        <w:autoSpaceDN/>
        <w:adjustRightInd/>
        <w:spacing w:after="200"/>
        <w:rPr>
          <w:sz w:val="22"/>
          <w:szCs w:val="22"/>
        </w:rPr>
      </w:pPr>
      <w:r>
        <w:rPr>
          <w:sz w:val="22"/>
          <w:szCs w:val="22"/>
        </w:rPr>
        <w:t>FR</w:t>
      </w:r>
      <w:r>
        <w:rPr>
          <w:sz w:val="22"/>
          <w:szCs w:val="22"/>
        </w:rPr>
        <w:tab/>
      </w:r>
      <w:r>
        <w:rPr>
          <w:sz w:val="22"/>
          <w:szCs w:val="22"/>
        </w:rPr>
        <w:tab/>
      </w:r>
      <w:r w:rsidRPr="00317B18">
        <w:rPr>
          <w:i/>
          <w:sz w:val="22"/>
          <w:szCs w:val="22"/>
        </w:rPr>
        <w:t>Federal Register</w:t>
      </w:r>
    </w:p>
    <w:p w:rsidR="00A92745" w:rsidP="00297869" w14:paraId="7F49340B" w14:textId="77777777">
      <w:pPr>
        <w:autoSpaceDE/>
        <w:autoSpaceDN/>
        <w:adjustRightInd/>
        <w:spacing w:after="200"/>
        <w:rPr>
          <w:sz w:val="22"/>
          <w:szCs w:val="22"/>
        </w:rPr>
      </w:pPr>
      <w:r w:rsidRPr="00D839EE">
        <w:rPr>
          <w:sz w:val="22"/>
          <w:szCs w:val="22"/>
        </w:rPr>
        <w:t>FSAR</w:t>
      </w:r>
      <w:r w:rsidRPr="00D839EE">
        <w:rPr>
          <w:sz w:val="22"/>
          <w:szCs w:val="22"/>
        </w:rPr>
        <w:tab/>
      </w:r>
      <w:r w:rsidRPr="00D839EE" w:rsidR="00F4101C">
        <w:rPr>
          <w:sz w:val="22"/>
          <w:szCs w:val="22"/>
        </w:rPr>
        <w:tab/>
      </w:r>
      <w:r w:rsidRPr="00D839EE" w:rsidR="000C3BE5">
        <w:rPr>
          <w:sz w:val="22"/>
          <w:szCs w:val="22"/>
        </w:rPr>
        <w:t>f</w:t>
      </w:r>
      <w:r w:rsidRPr="00D839EE">
        <w:rPr>
          <w:sz w:val="22"/>
          <w:szCs w:val="22"/>
        </w:rPr>
        <w:t xml:space="preserve">inal </w:t>
      </w:r>
      <w:r w:rsidRPr="00D839EE" w:rsidR="000C3BE5">
        <w:rPr>
          <w:sz w:val="22"/>
          <w:szCs w:val="22"/>
        </w:rPr>
        <w:t>s</w:t>
      </w:r>
      <w:r w:rsidRPr="00D839EE">
        <w:rPr>
          <w:sz w:val="22"/>
          <w:szCs w:val="22"/>
        </w:rPr>
        <w:t xml:space="preserve">afety </w:t>
      </w:r>
      <w:r w:rsidRPr="00D839EE" w:rsidR="000C3BE5">
        <w:rPr>
          <w:sz w:val="22"/>
          <w:szCs w:val="22"/>
        </w:rPr>
        <w:t>a</w:t>
      </w:r>
      <w:r w:rsidRPr="00D839EE">
        <w:rPr>
          <w:sz w:val="22"/>
          <w:szCs w:val="22"/>
        </w:rPr>
        <w:t xml:space="preserve">nalysis </w:t>
      </w:r>
      <w:r w:rsidRPr="00D839EE" w:rsidR="000C3BE5">
        <w:rPr>
          <w:sz w:val="22"/>
          <w:szCs w:val="22"/>
        </w:rPr>
        <w:t>r</w:t>
      </w:r>
      <w:r w:rsidRPr="00D839EE">
        <w:rPr>
          <w:sz w:val="22"/>
          <w:szCs w:val="22"/>
        </w:rPr>
        <w:t>eport</w:t>
      </w:r>
    </w:p>
    <w:p w:rsidR="00E51347" w:rsidRPr="00D839EE" w:rsidP="00297869" w14:paraId="7F49340C" w14:textId="77777777">
      <w:pPr>
        <w:autoSpaceDE/>
        <w:autoSpaceDN/>
        <w:adjustRightInd/>
        <w:spacing w:after="200"/>
        <w:rPr>
          <w:sz w:val="22"/>
          <w:szCs w:val="22"/>
        </w:rPr>
      </w:pPr>
      <w:r>
        <w:rPr>
          <w:rFonts w:eastAsiaTheme="minorHAnsi" w:cs="Arial"/>
          <w:sz w:val="22"/>
          <w:szCs w:val="22"/>
        </w:rPr>
        <w:t>GAO</w:t>
      </w:r>
      <w:r>
        <w:rPr>
          <w:rFonts w:eastAsiaTheme="minorHAnsi" w:cs="Arial"/>
          <w:sz w:val="22"/>
          <w:szCs w:val="22"/>
        </w:rPr>
        <w:tab/>
      </w:r>
      <w:r>
        <w:rPr>
          <w:rFonts w:eastAsiaTheme="minorHAnsi" w:cs="Arial"/>
          <w:sz w:val="22"/>
          <w:szCs w:val="22"/>
        </w:rPr>
        <w:tab/>
      </w:r>
      <w:r w:rsidRPr="0028276B">
        <w:rPr>
          <w:rFonts w:eastAsiaTheme="minorHAnsi" w:cs="Arial"/>
          <w:sz w:val="22"/>
          <w:szCs w:val="22"/>
        </w:rPr>
        <w:t>United States Government Accountability Offic</w:t>
      </w:r>
      <w:r>
        <w:rPr>
          <w:rFonts w:eastAsiaTheme="minorHAnsi" w:cs="Arial"/>
          <w:sz w:val="22"/>
          <w:szCs w:val="22"/>
        </w:rPr>
        <w:t>e</w:t>
      </w:r>
    </w:p>
    <w:p w:rsidR="006004DF" w:rsidP="00297869" w14:paraId="7F49340D" w14:textId="77777777">
      <w:pPr>
        <w:autoSpaceDE/>
        <w:autoSpaceDN/>
        <w:adjustRightInd/>
        <w:spacing w:after="200"/>
        <w:rPr>
          <w:sz w:val="22"/>
          <w:szCs w:val="22"/>
        </w:rPr>
      </w:pPr>
      <w:r w:rsidRPr="00D839EE">
        <w:rPr>
          <w:sz w:val="22"/>
          <w:szCs w:val="22"/>
        </w:rPr>
        <w:t>GE</w:t>
      </w:r>
      <w:r w:rsidRPr="00D839EE">
        <w:rPr>
          <w:sz w:val="22"/>
          <w:szCs w:val="22"/>
        </w:rPr>
        <w:tab/>
      </w:r>
      <w:r w:rsidRPr="00D839EE">
        <w:rPr>
          <w:sz w:val="22"/>
          <w:szCs w:val="22"/>
        </w:rPr>
        <w:tab/>
        <w:t>General Electric</w:t>
      </w:r>
    </w:p>
    <w:p w:rsidR="00C0188B" w:rsidRPr="00D839EE" w:rsidP="00297869" w14:paraId="7F49340E" w14:textId="77777777">
      <w:pPr>
        <w:autoSpaceDE/>
        <w:autoSpaceDN/>
        <w:adjustRightInd/>
        <w:spacing w:after="200"/>
        <w:rPr>
          <w:sz w:val="22"/>
          <w:szCs w:val="22"/>
        </w:rPr>
      </w:pPr>
      <w:r>
        <w:rPr>
          <w:sz w:val="22"/>
          <w:szCs w:val="22"/>
        </w:rPr>
        <w:t>HEU</w:t>
      </w:r>
      <w:r>
        <w:rPr>
          <w:sz w:val="22"/>
          <w:szCs w:val="22"/>
        </w:rPr>
        <w:tab/>
      </w:r>
      <w:r>
        <w:rPr>
          <w:sz w:val="22"/>
          <w:szCs w:val="22"/>
        </w:rPr>
        <w:tab/>
        <w:t>highly enriched uranium</w:t>
      </w:r>
    </w:p>
    <w:p w:rsidR="0022331B" w:rsidP="00297869" w14:paraId="7F49340F" w14:textId="77777777">
      <w:pPr>
        <w:autoSpaceDE/>
        <w:autoSpaceDN/>
        <w:adjustRightInd/>
        <w:spacing w:after="200"/>
        <w:rPr>
          <w:sz w:val="22"/>
          <w:szCs w:val="22"/>
        </w:rPr>
      </w:pPr>
      <w:r>
        <w:rPr>
          <w:sz w:val="22"/>
          <w:szCs w:val="22"/>
        </w:rPr>
        <w:t>hr</w:t>
      </w:r>
      <w:r>
        <w:rPr>
          <w:sz w:val="22"/>
          <w:szCs w:val="22"/>
        </w:rPr>
        <w:tab/>
      </w:r>
      <w:r>
        <w:rPr>
          <w:sz w:val="22"/>
          <w:szCs w:val="22"/>
        </w:rPr>
        <w:tab/>
        <w:t>hour</w:t>
      </w:r>
      <w:r w:rsidR="009975F5">
        <w:rPr>
          <w:sz w:val="22"/>
          <w:szCs w:val="22"/>
        </w:rPr>
        <w:t>(s)</w:t>
      </w:r>
    </w:p>
    <w:p w:rsidR="00EF3423" w:rsidP="00297869" w14:paraId="7F493410" w14:textId="77777777">
      <w:pPr>
        <w:autoSpaceDE/>
        <w:autoSpaceDN/>
        <w:adjustRightInd/>
        <w:spacing w:after="200"/>
        <w:rPr>
          <w:sz w:val="22"/>
          <w:szCs w:val="22"/>
        </w:rPr>
      </w:pPr>
      <w:r>
        <w:rPr>
          <w:rFonts w:eastAsiaTheme="minorHAnsi" w:cs="Arial"/>
          <w:sz w:val="22"/>
          <w:szCs w:val="22"/>
        </w:rPr>
        <w:t>ICE</w:t>
      </w:r>
      <w:r>
        <w:rPr>
          <w:rFonts w:eastAsiaTheme="minorHAnsi" w:cs="Arial"/>
          <w:sz w:val="22"/>
          <w:szCs w:val="22"/>
        </w:rPr>
        <w:tab/>
      </w:r>
      <w:r>
        <w:rPr>
          <w:rFonts w:eastAsiaTheme="minorHAnsi" w:cs="Arial"/>
          <w:sz w:val="22"/>
          <w:szCs w:val="22"/>
        </w:rPr>
        <w:tab/>
      </w:r>
      <w:r w:rsidRPr="0028276B">
        <w:rPr>
          <w:rFonts w:eastAsiaTheme="minorHAnsi" w:cs="Arial"/>
          <w:sz w:val="22"/>
          <w:szCs w:val="22"/>
        </w:rPr>
        <w:t>independent</w:t>
      </w:r>
      <w:r>
        <w:rPr>
          <w:rFonts w:eastAsiaTheme="minorHAnsi" w:cs="Arial"/>
          <w:sz w:val="22"/>
          <w:szCs w:val="22"/>
        </w:rPr>
        <w:t xml:space="preserve"> </w:t>
      </w:r>
      <w:r w:rsidRPr="0028276B">
        <w:rPr>
          <w:rFonts w:eastAsiaTheme="minorHAnsi" w:cs="Arial"/>
          <w:sz w:val="22"/>
          <w:szCs w:val="22"/>
        </w:rPr>
        <w:t>cost estimate</w:t>
      </w:r>
    </w:p>
    <w:p w:rsidR="00A92745" w:rsidRPr="00D839EE" w:rsidP="00297869" w14:paraId="7F493411" w14:textId="77777777">
      <w:pPr>
        <w:autoSpaceDE/>
        <w:autoSpaceDN/>
        <w:adjustRightInd/>
        <w:spacing w:after="200"/>
        <w:rPr>
          <w:sz w:val="22"/>
          <w:szCs w:val="22"/>
        </w:rPr>
      </w:pPr>
      <w:r w:rsidRPr="00D839EE">
        <w:rPr>
          <w:sz w:val="22"/>
          <w:szCs w:val="22"/>
        </w:rPr>
        <w:t xml:space="preserve">ISG </w:t>
      </w:r>
      <w:r w:rsidRPr="00D839EE">
        <w:rPr>
          <w:sz w:val="22"/>
          <w:szCs w:val="22"/>
        </w:rPr>
        <w:tab/>
      </w:r>
      <w:r w:rsidRPr="00D839EE" w:rsidR="00F4101C">
        <w:rPr>
          <w:sz w:val="22"/>
          <w:szCs w:val="22"/>
        </w:rPr>
        <w:tab/>
      </w:r>
      <w:r w:rsidR="00293EB4">
        <w:rPr>
          <w:sz w:val="22"/>
          <w:szCs w:val="22"/>
        </w:rPr>
        <w:t>i</w:t>
      </w:r>
      <w:r w:rsidRPr="00D839EE">
        <w:rPr>
          <w:sz w:val="22"/>
          <w:szCs w:val="22"/>
        </w:rPr>
        <w:t xml:space="preserve">nterim </w:t>
      </w:r>
      <w:r w:rsidR="00293EB4">
        <w:rPr>
          <w:sz w:val="22"/>
          <w:szCs w:val="22"/>
        </w:rPr>
        <w:t>s</w:t>
      </w:r>
      <w:r w:rsidRPr="00D839EE">
        <w:rPr>
          <w:sz w:val="22"/>
          <w:szCs w:val="22"/>
        </w:rPr>
        <w:t xml:space="preserve">taff </w:t>
      </w:r>
      <w:r w:rsidR="00293EB4">
        <w:rPr>
          <w:sz w:val="22"/>
          <w:szCs w:val="22"/>
        </w:rPr>
        <w:t>g</w:t>
      </w:r>
      <w:r w:rsidRPr="00D839EE">
        <w:rPr>
          <w:sz w:val="22"/>
          <w:szCs w:val="22"/>
        </w:rPr>
        <w:t>uidance</w:t>
      </w:r>
    </w:p>
    <w:p w:rsidR="00A92745" w:rsidRPr="00D839EE" w:rsidP="00297869" w14:paraId="7F493412" w14:textId="77777777">
      <w:pPr>
        <w:autoSpaceDE/>
        <w:autoSpaceDN/>
        <w:adjustRightInd/>
        <w:spacing w:after="200"/>
        <w:rPr>
          <w:sz w:val="22"/>
          <w:szCs w:val="22"/>
        </w:rPr>
      </w:pPr>
      <w:r w:rsidRPr="00D839EE">
        <w:rPr>
          <w:sz w:val="22"/>
          <w:szCs w:val="22"/>
        </w:rPr>
        <w:t>kW</w:t>
      </w:r>
      <w:r w:rsidRPr="00D839EE">
        <w:rPr>
          <w:sz w:val="22"/>
          <w:szCs w:val="22"/>
        </w:rPr>
        <w:tab/>
      </w:r>
      <w:r w:rsidRPr="00D839EE" w:rsidR="00F4101C">
        <w:rPr>
          <w:sz w:val="22"/>
          <w:szCs w:val="22"/>
        </w:rPr>
        <w:tab/>
      </w:r>
      <w:r w:rsidRPr="00D839EE" w:rsidR="000C3BE5">
        <w:rPr>
          <w:sz w:val="22"/>
          <w:szCs w:val="22"/>
        </w:rPr>
        <w:t>k</w:t>
      </w:r>
      <w:r w:rsidRPr="00D839EE">
        <w:rPr>
          <w:sz w:val="22"/>
          <w:szCs w:val="22"/>
        </w:rPr>
        <w:t>ilowatt</w:t>
      </w:r>
      <w:r w:rsidR="009975F5">
        <w:rPr>
          <w:sz w:val="22"/>
          <w:szCs w:val="22"/>
        </w:rPr>
        <w:t>(s)</w:t>
      </w:r>
    </w:p>
    <w:p w:rsidR="00A92745" w:rsidP="00297869" w14:paraId="7F493413" w14:textId="77777777">
      <w:pPr>
        <w:autoSpaceDE/>
        <w:autoSpaceDN/>
        <w:adjustRightInd/>
        <w:spacing w:after="200"/>
        <w:rPr>
          <w:sz w:val="22"/>
          <w:szCs w:val="22"/>
        </w:rPr>
      </w:pPr>
      <w:r w:rsidRPr="00D839EE">
        <w:rPr>
          <w:sz w:val="22"/>
          <w:szCs w:val="22"/>
        </w:rPr>
        <w:t>LOE</w:t>
      </w:r>
      <w:r w:rsidRPr="00D839EE">
        <w:rPr>
          <w:sz w:val="22"/>
          <w:szCs w:val="22"/>
        </w:rPr>
        <w:tab/>
      </w:r>
      <w:r w:rsidRPr="00D839EE" w:rsidR="00F4101C">
        <w:rPr>
          <w:sz w:val="22"/>
          <w:szCs w:val="22"/>
        </w:rPr>
        <w:tab/>
      </w:r>
      <w:r w:rsidRPr="00D839EE" w:rsidR="000C3BE5">
        <w:rPr>
          <w:sz w:val="22"/>
          <w:szCs w:val="22"/>
        </w:rPr>
        <w:t>l</w:t>
      </w:r>
      <w:r w:rsidRPr="00D839EE">
        <w:rPr>
          <w:sz w:val="22"/>
          <w:szCs w:val="22"/>
        </w:rPr>
        <w:t xml:space="preserve">evel of </w:t>
      </w:r>
      <w:r w:rsidRPr="00D839EE" w:rsidR="000C3BE5">
        <w:rPr>
          <w:sz w:val="22"/>
          <w:szCs w:val="22"/>
        </w:rPr>
        <w:t>e</w:t>
      </w:r>
      <w:r w:rsidRPr="00D839EE">
        <w:rPr>
          <w:sz w:val="22"/>
          <w:szCs w:val="22"/>
        </w:rPr>
        <w:t>ffort</w:t>
      </w:r>
    </w:p>
    <w:p w:rsidR="006179FA" w:rsidP="00297869" w14:paraId="7F493414" w14:textId="77777777">
      <w:pPr>
        <w:autoSpaceDE/>
        <w:autoSpaceDN/>
        <w:adjustRightInd/>
        <w:spacing w:after="200"/>
        <w:rPr>
          <w:sz w:val="22"/>
          <w:szCs w:val="22"/>
        </w:rPr>
      </w:pPr>
      <w:r>
        <w:rPr>
          <w:sz w:val="22"/>
          <w:szCs w:val="22"/>
        </w:rPr>
        <w:t>n</w:t>
      </w:r>
      <w:r>
        <w:rPr>
          <w:sz w:val="22"/>
          <w:szCs w:val="22"/>
        </w:rPr>
        <w:tab/>
      </w:r>
      <w:r>
        <w:rPr>
          <w:sz w:val="22"/>
          <w:szCs w:val="22"/>
        </w:rPr>
        <w:tab/>
        <w:t>number of years</w:t>
      </w:r>
    </w:p>
    <w:p w:rsidR="003D4F2B" w:rsidRPr="00D839EE" w:rsidP="00297869" w14:paraId="7F493415" w14:textId="77777777">
      <w:pPr>
        <w:autoSpaceDE/>
        <w:autoSpaceDN/>
        <w:adjustRightInd/>
        <w:spacing w:after="200"/>
        <w:rPr>
          <w:sz w:val="22"/>
          <w:szCs w:val="22"/>
        </w:rPr>
      </w:pPr>
      <w:r w:rsidRPr="00D839EE">
        <w:rPr>
          <w:sz w:val="22"/>
          <w:szCs w:val="22"/>
        </w:rPr>
        <w:t>NEPA</w:t>
      </w:r>
      <w:r w:rsidRPr="00D839EE">
        <w:rPr>
          <w:sz w:val="22"/>
          <w:szCs w:val="22"/>
        </w:rPr>
        <w:tab/>
      </w:r>
      <w:r w:rsidRPr="00D839EE">
        <w:rPr>
          <w:sz w:val="22"/>
          <w:szCs w:val="22"/>
        </w:rPr>
        <w:tab/>
        <w:t xml:space="preserve">National Environmental Policy Act </w:t>
      </w:r>
    </w:p>
    <w:p w:rsidR="000D4DB5" w:rsidRPr="00D839EE" w:rsidP="00297869" w14:paraId="7F493416" w14:textId="77777777">
      <w:pPr>
        <w:autoSpaceDE/>
        <w:autoSpaceDN/>
        <w:adjustRightInd/>
        <w:spacing w:after="200"/>
        <w:rPr>
          <w:sz w:val="22"/>
          <w:szCs w:val="22"/>
        </w:rPr>
      </w:pPr>
      <w:r w:rsidRPr="00D839EE">
        <w:rPr>
          <w:sz w:val="22"/>
          <w:szCs w:val="22"/>
        </w:rPr>
        <w:t>NIST</w:t>
      </w:r>
      <w:r w:rsidRPr="00D839EE">
        <w:rPr>
          <w:sz w:val="22"/>
          <w:szCs w:val="22"/>
        </w:rPr>
        <w:tab/>
      </w:r>
      <w:r w:rsidRPr="00D839EE">
        <w:rPr>
          <w:sz w:val="22"/>
          <w:szCs w:val="22"/>
        </w:rPr>
        <w:tab/>
        <w:t>National Institute of Standards and Technology</w:t>
      </w:r>
    </w:p>
    <w:p w:rsidR="00EC6C64" w:rsidRPr="00D839EE" w:rsidP="00297869" w14:paraId="7F493417" w14:textId="77777777">
      <w:pPr>
        <w:autoSpaceDE/>
        <w:autoSpaceDN/>
        <w:adjustRightInd/>
        <w:spacing w:after="200"/>
        <w:rPr>
          <w:sz w:val="22"/>
          <w:szCs w:val="22"/>
        </w:rPr>
      </w:pPr>
      <w:r>
        <w:rPr>
          <w:sz w:val="22"/>
          <w:szCs w:val="22"/>
        </w:rPr>
        <w:t>NPR</w:t>
      </w:r>
      <w:r>
        <w:rPr>
          <w:sz w:val="22"/>
          <w:szCs w:val="22"/>
        </w:rPr>
        <w:tab/>
      </w:r>
      <w:r>
        <w:rPr>
          <w:sz w:val="22"/>
          <w:szCs w:val="22"/>
        </w:rPr>
        <w:tab/>
        <w:t>non-power reactor</w:t>
      </w:r>
    </w:p>
    <w:p w:rsidR="00A92745" w:rsidP="00297869" w14:paraId="7F493418" w14:textId="77777777">
      <w:pPr>
        <w:autoSpaceDE/>
        <w:autoSpaceDN/>
        <w:adjustRightInd/>
        <w:spacing w:after="200"/>
        <w:rPr>
          <w:sz w:val="22"/>
          <w:szCs w:val="22"/>
        </w:rPr>
      </w:pPr>
      <w:r w:rsidRPr="00D839EE">
        <w:rPr>
          <w:sz w:val="22"/>
          <w:szCs w:val="22"/>
        </w:rPr>
        <w:t>NPUF</w:t>
      </w:r>
      <w:r w:rsidRPr="00D839EE">
        <w:rPr>
          <w:sz w:val="22"/>
          <w:szCs w:val="22"/>
        </w:rPr>
        <w:tab/>
      </w:r>
      <w:r w:rsidRPr="00D839EE" w:rsidR="00F4101C">
        <w:rPr>
          <w:sz w:val="22"/>
          <w:szCs w:val="22"/>
        </w:rPr>
        <w:tab/>
      </w:r>
      <w:r w:rsidRPr="00D839EE" w:rsidR="00DD31E5">
        <w:rPr>
          <w:sz w:val="22"/>
          <w:szCs w:val="22"/>
        </w:rPr>
        <w:t>n</w:t>
      </w:r>
      <w:r w:rsidRPr="00D839EE">
        <w:rPr>
          <w:sz w:val="22"/>
          <w:szCs w:val="22"/>
        </w:rPr>
        <w:t xml:space="preserve">on-power </w:t>
      </w:r>
      <w:r w:rsidRPr="00D839EE" w:rsidR="00DD31E5">
        <w:rPr>
          <w:sz w:val="22"/>
          <w:szCs w:val="22"/>
        </w:rPr>
        <w:t>p</w:t>
      </w:r>
      <w:r w:rsidRPr="00D839EE">
        <w:rPr>
          <w:sz w:val="22"/>
          <w:szCs w:val="22"/>
        </w:rPr>
        <w:t xml:space="preserve">roduction or </w:t>
      </w:r>
      <w:r w:rsidRPr="00D839EE" w:rsidR="00DD31E5">
        <w:rPr>
          <w:sz w:val="22"/>
          <w:szCs w:val="22"/>
        </w:rPr>
        <w:t>u</w:t>
      </w:r>
      <w:r w:rsidRPr="00D839EE">
        <w:rPr>
          <w:sz w:val="22"/>
          <w:szCs w:val="22"/>
        </w:rPr>
        <w:t xml:space="preserve">tilization </w:t>
      </w:r>
      <w:r w:rsidRPr="00D839EE" w:rsidR="00DD31E5">
        <w:rPr>
          <w:sz w:val="22"/>
          <w:szCs w:val="22"/>
        </w:rPr>
        <w:t>f</w:t>
      </w:r>
      <w:r w:rsidRPr="00D839EE">
        <w:rPr>
          <w:sz w:val="22"/>
          <w:szCs w:val="22"/>
        </w:rPr>
        <w:t xml:space="preserve">acility </w:t>
      </w:r>
    </w:p>
    <w:p w:rsidR="006179FA" w:rsidP="006179FA" w14:paraId="7F493419" w14:textId="77777777">
      <w:pPr>
        <w:autoSpaceDE/>
        <w:autoSpaceDN/>
        <w:adjustRightInd/>
        <w:spacing w:after="200"/>
        <w:rPr>
          <w:sz w:val="22"/>
          <w:szCs w:val="22"/>
        </w:rPr>
      </w:pPr>
      <w:r w:rsidRPr="00D839EE">
        <w:rPr>
          <w:sz w:val="22"/>
          <w:szCs w:val="22"/>
        </w:rPr>
        <w:t>NRC</w:t>
      </w:r>
      <w:r w:rsidRPr="00D839EE">
        <w:rPr>
          <w:sz w:val="22"/>
          <w:szCs w:val="22"/>
        </w:rPr>
        <w:tab/>
      </w:r>
      <w:r w:rsidRPr="00D839EE">
        <w:rPr>
          <w:sz w:val="22"/>
          <w:szCs w:val="22"/>
        </w:rPr>
        <w:tab/>
        <w:t>U.S. Nuclear Regulatory Commission</w:t>
      </w:r>
    </w:p>
    <w:p w:rsidR="0087105C" w:rsidRPr="00D839EE" w:rsidP="00297869" w14:paraId="7F49341A" w14:textId="77777777">
      <w:pPr>
        <w:autoSpaceDE/>
        <w:autoSpaceDN/>
        <w:adjustRightInd/>
        <w:spacing w:after="200"/>
        <w:rPr>
          <w:sz w:val="22"/>
          <w:szCs w:val="22"/>
        </w:rPr>
      </w:pPr>
      <w:r>
        <w:rPr>
          <w:sz w:val="22"/>
          <w:szCs w:val="22"/>
        </w:rPr>
        <w:t>NWMI</w:t>
      </w:r>
      <w:r>
        <w:rPr>
          <w:sz w:val="22"/>
          <w:szCs w:val="22"/>
        </w:rPr>
        <w:tab/>
      </w:r>
      <w:r>
        <w:rPr>
          <w:sz w:val="22"/>
          <w:szCs w:val="22"/>
        </w:rPr>
        <w:tab/>
        <w:t>Northwest Medical Isotopes</w:t>
      </w:r>
      <w:r w:rsidR="006479BD">
        <w:rPr>
          <w:sz w:val="22"/>
          <w:szCs w:val="22"/>
        </w:rPr>
        <w:t>, LLC</w:t>
      </w:r>
    </w:p>
    <w:p w:rsidR="006179FA" w:rsidP="00297869" w14:paraId="7F49341B" w14:textId="77777777">
      <w:pPr>
        <w:autoSpaceDE/>
        <w:autoSpaceDN/>
        <w:adjustRightInd/>
        <w:spacing w:after="200"/>
        <w:rPr>
          <w:sz w:val="22"/>
          <w:szCs w:val="22"/>
        </w:rPr>
      </w:pPr>
      <w:r>
        <w:rPr>
          <w:sz w:val="22"/>
          <w:szCs w:val="22"/>
        </w:rPr>
        <w:t>r</w:t>
      </w:r>
      <w:r>
        <w:rPr>
          <w:sz w:val="22"/>
          <w:szCs w:val="22"/>
        </w:rPr>
        <w:tab/>
      </w:r>
      <w:r>
        <w:rPr>
          <w:sz w:val="22"/>
          <w:szCs w:val="22"/>
        </w:rPr>
        <w:tab/>
        <w:t>discount rate</w:t>
      </w:r>
    </w:p>
    <w:p w:rsidR="008D7941" w:rsidP="00297869" w14:paraId="7F49341C" w14:textId="77777777">
      <w:pPr>
        <w:autoSpaceDE/>
        <w:autoSpaceDN/>
        <w:adjustRightInd/>
        <w:spacing w:after="200"/>
        <w:rPr>
          <w:sz w:val="22"/>
          <w:szCs w:val="22"/>
        </w:rPr>
      </w:pPr>
      <w:r>
        <w:rPr>
          <w:sz w:val="22"/>
          <w:szCs w:val="22"/>
        </w:rPr>
        <w:t>RA</w:t>
      </w:r>
      <w:r>
        <w:rPr>
          <w:sz w:val="22"/>
          <w:szCs w:val="22"/>
        </w:rPr>
        <w:tab/>
      </w:r>
      <w:r>
        <w:rPr>
          <w:sz w:val="22"/>
          <w:szCs w:val="22"/>
        </w:rPr>
        <w:tab/>
        <w:t>regulatory analysis</w:t>
      </w:r>
    </w:p>
    <w:p w:rsidR="00A92745" w:rsidRPr="00D839EE" w:rsidP="00297869" w14:paraId="7F49341D" w14:textId="77777777">
      <w:pPr>
        <w:autoSpaceDE/>
        <w:autoSpaceDN/>
        <w:adjustRightInd/>
        <w:spacing w:after="200"/>
        <w:rPr>
          <w:sz w:val="22"/>
          <w:szCs w:val="22"/>
        </w:rPr>
      </w:pPr>
      <w:r w:rsidRPr="00D839EE">
        <w:rPr>
          <w:sz w:val="22"/>
          <w:szCs w:val="22"/>
        </w:rPr>
        <w:t>RAI</w:t>
      </w:r>
      <w:r w:rsidRPr="00D839EE">
        <w:rPr>
          <w:sz w:val="22"/>
          <w:szCs w:val="22"/>
        </w:rPr>
        <w:tab/>
      </w:r>
      <w:r w:rsidRPr="00D839EE" w:rsidR="00F4101C">
        <w:rPr>
          <w:sz w:val="22"/>
          <w:szCs w:val="22"/>
        </w:rPr>
        <w:tab/>
      </w:r>
      <w:r w:rsidRPr="00D839EE" w:rsidR="00DD31E5">
        <w:rPr>
          <w:sz w:val="22"/>
          <w:szCs w:val="22"/>
        </w:rPr>
        <w:t>r</w:t>
      </w:r>
      <w:r w:rsidRPr="00D839EE">
        <w:rPr>
          <w:sz w:val="22"/>
          <w:szCs w:val="22"/>
        </w:rPr>
        <w:t xml:space="preserve">equest for </w:t>
      </w:r>
      <w:r w:rsidRPr="00D839EE" w:rsidR="00DD31E5">
        <w:rPr>
          <w:sz w:val="22"/>
          <w:szCs w:val="22"/>
        </w:rPr>
        <w:t>a</w:t>
      </w:r>
      <w:r w:rsidRPr="00D839EE">
        <w:rPr>
          <w:sz w:val="22"/>
          <w:szCs w:val="22"/>
        </w:rPr>
        <w:t xml:space="preserve">dditional </w:t>
      </w:r>
      <w:r w:rsidRPr="00D839EE" w:rsidR="00DD31E5">
        <w:rPr>
          <w:sz w:val="22"/>
          <w:szCs w:val="22"/>
        </w:rPr>
        <w:t>i</w:t>
      </w:r>
      <w:r w:rsidRPr="00D839EE">
        <w:rPr>
          <w:sz w:val="22"/>
          <w:szCs w:val="22"/>
        </w:rPr>
        <w:t xml:space="preserve">nformation </w:t>
      </w:r>
    </w:p>
    <w:p w:rsidR="002E03FA" w:rsidP="00297869" w14:paraId="7F49341E" w14:textId="77777777">
      <w:pPr>
        <w:autoSpaceDE/>
        <w:autoSpaceDN/>
        <w:adjustRightInd/>
        <w:spacing w:after="200"/>
        <w:rPr>
          <w:sz w:val="22"/>
          <w:szCs w:val="22"/>
        </w:rPr>
      </w:pPr>
      <w:r>
        <w:rPr>
          <w:sz w:val="22"/>
          <w:szCs w:val="22"/>
        </w:rPr>
        <w:t>rem</w:t>
      </w:r>
      <w:r>
        <w:rPr>
          <w:sz w:val="22"/>
          <w:szCs w:val="22"/>
        </w:rPr>
        <w:tab/>
      </w:r>
      <w:r>
        <w:rPr>
          <w:sz w:val="22"/>
          <w:szCs w:val="22"/>
        </w:rPr>
        <w:tab/>
      </w:r>
      <w:r w:rsidRPr="002E03FA">
        <w:rPr>
          <w:sz w:val="22"/>
          <w:szCs w:val="22"/>
        </w:rPr>
        <w:t>Roentgen equivalent man</w:t>
      </w:r>
    </w:p>
    <w:p w:rsidR="00A92745" w:rsidRPr="00D839EE" w:rsidP="00297869" w14:paraId="7F49341F" w14:textId="77777777">
      <w:pPr>
        <w:autoSpaceDE/>
        <w:autoSpaceDN/>
        <w:adjustRightInd/>
        <w:spacing w:after="200"/>
        <w:rPr>
          <w:sz w:val="22"/>
          <w:szCs w:val="22"/>
        </w:rPr>
      </w:pPr>
      <w:r w:rsidRPr="00D839EE">
        <w:rPr>
          <w:sz w:val="22"/>
          <w:szCs w:val="22"/>
        </w:rPr>
        <w:t>RTR</w:t>
      </w:r>
      <w:r w:rsidRPr="00D839EE">
        <w:rPr>
          <w:sz w:val="22"/>
          <w:szCs w:val="22"/>
        </w:rPr>
        <w:tab/>
      </w:r>
      <w:r w:rsidRPr="00D839EE">
        <w:rPr>
          <w:sz w:val="22"/>
          <w:szCs w:val="22"/>
        </w:rPr>
        <w:tab/>
      </w:r>
      <w:r w:rsidRPr="00D839EE" w:rsidR="00DD31E5">
        <w:rPr>
          <w:sz w:val="22"/>
          <w:szCs w:val="22"/>
        </w:rPr>
        <w:t>r</w:t>
      </w:r>
      <w:r w:rsidRPr="00D839EE">
        <w:rPr>
          <w:sz w:val="22"/>
          <w:szCs w:val="22"/>
        </w:rPr>
        <w:t xml:space="preserve">esearch and </w:t>
      </w:r>
      <w:r w:rsidRPr="00D839EE" w:rsidR="00DD31E5">
        <w:rPr>
          <w:sz w:val="22"/>
          <w:szCs w:val="22"/>
        </w:rPr>
        <w:t>t</w:t>
      </w:r>
      <w:r w:rsidRPr="00D839EE">
        <w:rPr>
          <w:sz w:val="22"/>
          <w:szCs w:val="22"/>
        </w:rPr>
        <w:t xml:space="preserve">est </w:t>
      </w:r>
      <w:r w:rsidRPr="00D839EE" w:rsidR="00DD31E5">
        <w:rPr>
          <w:sz w:val="22"/>
          <w:szCs w:val="22"/>
        </w:rPr>
        <w:t>r</w:t>
      </w:r>
      <w:r w:rsidRPr="00D839EE">
        <w:rPr>
          <w:sz w:val="22"/>
          <w:szCs w:val="22"/>
        </w:rPr>
        <w:t>eactor</w:t>
      </w:r>
    </w:p>
    <w:p w:rsidR="00483865" w:rsidP="00297869" w14:paraId="7F493420" w14:textId="77777777">
      <w:pPr>
        <w:autoSpaceDE/>
        <w:autoSpaceDN/>
        <w:adjustRightInd/>
        <w:spacing w:after="200"/>
        <w:rPr>
          <w:sz w:val="22"/>
          <w:szCs w:val="22"/>
        </w:rPr>
      </w:pPr>
      <w:r w:rsidRPr="00D839EE">
        <w:rPr>
          <w:sz w:val="22"/>
          <w:szCs w:val="22"/>
        </w:rPr>
        <w:t>SHINE</w:t>
      </w:r>
      <w:r w:rsidRPr="00D839EE">
        <w:rPr>
          <w:sz w:val="22"/>
          <w:szCs w:val="22"/>
        </w:rPr>
        <w:tab/>
      </w:r>
      <w:r w:rsidRPr="00D839EE" w:rsidR="00F4101C">
        <w:rPr>
          <w:sz w:val="22"/>
          <w:szCs w:val="22"/>
        </w:rPr>
        <w:tab/>
      </w:r>
      <w:r w:rsidRPr="00D839EE" w:rsidR="00682988">
        <w:rPr>
          <w:sz w:val="22"/>
          <w:szCs w:val="22"/>
        </w:rPr>
        <w:t xml:space="preserve">SHINE Medical Technologies, </w:t>
      </w:r>
      <w:r w:rsidRPr="00D839EE" w:rsidR="003E3DBC">
        <w:rPr>
          <w:sz w:val="22"/>
          <w:szCs w:val="22"/>
        </w:rPr>
        <w:t>Inc.</w:t>
      </w:r>
    </w:p>
    <w:p w:rsidR="00927D02" w:rsidP="00297869" w14:paraId="7F493421" w14:textId="77777777">
      <w:pPr>
        <w:autoSpaceDE/>
        <w:autoSpaceDN/>
        <w:adjustRightInd/>
        <w:spacing w:after="200"/>
        <w:rPr>
          <w:sz w:val="22"/>
          <w:szCs w:val="22"/>
        </w:rPr>
      </w:pPr>
      <w:r>
        <w:rPr>
          <w:sz w:val="22"/>
          <w:szCs w:val="22"/>
        </w:rPr>
        <w:t>SRM</w:t>
      </w:r>
      <w:r>
        <w:rPr>
          <w:sz w:val="22"/>
          <w:szCs w:val="22"/>
        </w:rPr>
        <w:tab/>
      </w:r>
      <w:r>
        <w:rPr>
          <w:sz w:val="22"/>
          <w:szCs w:val="22"/>
        </w:rPr>
        <w:tab/>
        <w:t>staff requirements memorandum</w:t>
      </w:r>
    </w:p>
    <w:p w:rsidR="00D10751" w:rsidP="00297869" w14:paraId="7F493422" w14:textId="77777777">
      <w:pPr>
        <w:autoSpaceDE/>
        <w:autoSpaceDN/>
        <w:adjustRightInd/>
        <w:spacing w:after="200"/>
        <w:rPr>
          <w:sz w:val="22"/>
          <w:szCs w:val="22"/>
        </w:rPr>
      </w:pPr>
      <w:r>
        <w:rPr>
          <w:sz w:val="22"/>
          <w:szCs w:val="22"/>
        </w:rPr>
        <w:t>TAMU</w:t>
      </w:r>
      <w:r>
        <w:rPr>
          <w:sz w:val="22"/>
          <w:szCs w:val="22"/>
        </w:rPr>
        <w:tab/>
      </w:r>
      <w:r w:rsidR="00FE5261">
        <w:rPr>
          <w:sz w:val="22"/>
          <w:szCs w:val="22"/>
        </w:rPr>
        <w:t>(A)</w:t>
      </w:r>
      <w:r>
        <w:rPr>
          <w:sz w:val="22"/>
          <w:szCs w:val="22"/>
        </w:rPr>
        <w:tab/>
        <w:t>Texas A&amp;M University</w:t>
      </w:r>
      <w:r w:rsidR="0061176A">
        <w:rPr>
          <w:sz w:val="22"/>
          <w:szCs w:val="22"/>
        </w:rPr>
        <w:t>/Aerojet General Nucleonics Reactor</w:t>
      </w:r>
    </w:p>
    <w:p w:rsidR="006179FA" w:rsidP="00297869" w14:paraId="7F493423" w14:textId="77777777">
      <w:pPr>
        <w:autoSpaceDE/>
        <w:autoSpaceDN/>
        <w:adjustRightInd/>
        <w:spacing w:after="200"/>
        <w:rPr>
          <w:sz w:val="22"/>
          <w:szCs w:val="22"/>
        </w:rPr>
      </w:pPr>
      <w:r>
        <w:rPr>
          <w:sz w:val="22"/>
          <w:szCs w:val="22"/>
        </w:rPr>
        <w:t>TRIGA</w:t>
      </w:r>
      <w:r>
        <w:rPr>
          <w:sz w:val="22"/>
          <w:szCs w:val="22"/>
        </w:rPr>
        <w:tab/>
      </w:r>
      <w:r>
        <w:rPr>
          <w:sz w:val="22"/>
          <w:szCs w:val="22"/>
        </w:rPr>
        <w:tab/>
        <w:t>Training Reactor and Isotopes Production, General Atomics</w:t>
      </w:r>
    </w:p>
    <w:p w:rsidR="000C35CC" w:rsidRPr="00D839EE" w:rsidP="00297869" w14:paraId="7F493424" w14:textId="77777777">
      <w:pPr>
        <w:autoSpaceDE/>
        <w:autoSpaceDN/>
        <w:adjustRightInd/>
        <w:spacing w:after="200"/>
        <w:rPr>
          <w:rStyle w:val="Hyperlink"/>
          <w:rFonts w:eastAsiaTheme="minorEastAsia"/>
          <w:noProof/>
          <w:color w:val="auto"/>
        </w:rPr>
      </w:pPr>
      <w:r>
        <w:rPr>
          <w:sz w:val="22"/>
          <w:szCs w:val="22"/>
        </w:rPr>
        <w:t>UC</w:t>
      </w:r>
      <w:r w:rsidR="002C10E0">
        <w:rPr>
          <w:sz w:val="22"/>
          <w:szCs w:val="22"/>
        </w:rPr>
        <w:t>/</w:t>
      </w:r>
      <w:r>
        <w:rPr>
          <w:sz w:val="22"/>
          <w:szCs w:val="22"/>
        </w:rPr>
        <w:t>Davis</w:t>
      </w:r>
      <w:r>
        <w:rPr>
          <w:sz w:val="22"/>
          <w:szCs w:val="22"/>
        </w:rPr>
        <w:tab/>
        <w:t>University of California</w:t>
      </w:r>
      <w:r w:rsidR="000C4482">
        <w:rPr>
          <w:sz w:val="22"/>
          <w:szCs w:val="22"/>
        </w:rPr>
        <w:t>/</w:t>
      </w:r>
      <w:r>
        <w:rPr>
          <w:sz w:val="22"/>
          <w:szCs w:val="22"/>
        </w:rPr>
        <w:t>Davis</w:t>
      </w:r>
    </w:p>
    <w:p w:rsidR="000C35CC" w:rsidRPr="00D839EE" w:rsidP="000C35CC" w14:paraId="7F493425" w14:textId="77777777">
      <w:pPr>
        <w:autoSpaceDE/>
        <w:autoSpaceDN/>
        <w:adjustRightInd/>
        <w:spacing w:after="160"/>
        <w:rPr>
          <w:rStyle w:val="Hyperlink"/>
          <w:rFonts w:eastAsiaTheme="minorEastAsia"/>
          <w:noProof/>
          <w:color w:val="auto"/>
        </w:rPr>
      </w:pPr>
    </w:p>
    <w:p w:rsidR="000C35CC" w:rsidRPr="00D839EE" w:rsidP="000C35CC" w14:paraId="7F493426" w14:textId="77777777">
      <w:pPr>
        <w:autoSpaceDE/>
        <w:autoSpaceDN/>
        <w:adjustRightInd/>
        <w:spacing w:after="160"/>
        <w:rPr>
          <w:rStyle w:val="Hyperlink"/>
          <w:rFonts w:eastAsiaTheme="minorEastAsia"/>
          <w:noProof/>
          <w:color w:val="auto"/>
        </w:rPr>
      </w:pPr>
    </w:p>
    <w:p w:rsidR="000C35CC" w:rsidRPr="00D839EE" w:rsidP="000C35CC" w14:paraId="7F493427" w14:textId="77777777">
      <w:pPr>
        <w:autoSpaceDE/>
        <w:autoSpaceDN/>
        <w:adjustRightInd/>
        <w:spacing w:after="160"/>
        <w:rPr>
          <w:rStyle w:val="Hyperlink"/>
          <w:rFonts w:eastAsiaTheme="minorEastAsia"/>
          <w:noProof/>
          <w:color w:val="auto"/>
        </w:rPr>
      </w:pPr>
    </w:p>
    <w:p w:rsidR="000C35CC" w:rsidRPr="00D839EE" w:rsidP="000C35CC" w14:paraId="7F493428" w14:textId="77777777">
      <w:pPr>
        <w:autoSpaceDE/>
        <w:autoSpaceDN/>
        <w:adjustRightInd/>
        <w:spacing w:after="160"/>
        <w:rPr>
          <w:rStyle w:val="Hyperlink"/>
          <w:rFonts w:eastAsiaTheme="minorEastAsia"/>
          <w:noProof/>
          <w:color w:val="auto"/>
        </w:rPr>
      </w:pPr>
    </w:p>
    <w:p w:rsidR="000C35CC" w:rsidRPr="00D839EE" w:rsidP="000C35CC" w14:paraId="7F493429" w14:textId="77777777">
      <w:pPr>
        <w:autoSpaceDE/>
        <w:autoSpaceDN/>
        <w:adjustRightInd/>
        <w:spacing w:after="160"/>
        <w:rPr>
          <w:rStyle w:val="Hyperlink"/>
          <w:rFonts w:eastAsiaTheme="minorEastAsia"/>
          <w:noProof/>
          <w:color w:val="auto"/>
        </w:rPr>
      </w:pPr>
    </w:p>
    <w:p w:rsidR="000C35CC" w:rsidRPr="00D839EE" w:rsidP="000C35CC" w14:paraId="7F49342A" w14:textId="77777777">
      <w:pPr>
        <w:autoSpaceDE/>
        <w:autoSpaceDN/>
        <w:adjustRightInd/>
        <w:spacing w:after="160"/>
        <w:rPr>
          <w:rStyle w:val="Hyperlink"/>
          <w:rFonts w:eastAsiaTheme="minorEastAsia"/>
          <w:noProof/>
          <w:color w:val="auto"/>
        </w:rPr>
      </w:pPr>
    </w:p>
    <w:p w:rsidR="000C35CC" w:rsidRPr="00D839EE" w:rsidP="000C35CC" w14:paraId="7F49342B" w14:textId="77777777">
      <w:pPr>
        <w:autoSpaceDE/>
        <w:autoSpaceDN/>
        <w:adjustRightInd/>
        <w:spacing w:after="160"/>
        <w:rPr>
          <w:rStyle w:val="Hyperlink"/>
          <w:rFonts w:eastAsiaTheme="minorEastAsia"/>
          <w:noProof/>
          <w:color w:val="auto"/>
        </w:rPr>
      </w:pPr>
    </w:p>
    <w:p w:rsidR="000C35CC" w:rsidRPr="00D839EE" w:rsidP="000C35CC" w14:paraId="7F49342C" w14:textId="77777777">
      <w:pPr>
        <w:autoSpaceDE/>
        <w:autoSpaceDN/>
        <w:adjustRightInd/>
        <w:spacing w:after="160"/>
        <w:rPr>
          <w:rStyle w:val="Hyperlink"/>
          <w:rFonts w:eastAsiaTheme="minorEastAsia"/>
          <w:noProof/>
          <w:color w:val="auto"/>
        </w:rPr>
      </w:pPr>
    </w:p>
    <w:p w:rsidR="000C35CC" w:rsidRPr="00D839EE" w:rsidP="000C35CC" w14:paraId="7F49342D" w14:textId="77777777">
      <w:pPr>
        <w:autoSpaceDE/>
        <w:autoSpaceDN/>
        <w:adjustRightInd/>
        <w:spacing w:after="160"/>
        <w:rPr>
          <w:rStyle w:val="Hyperlink"/>
          <w:rFonts w:eastAsiaTheme="minorEastAsia"/>
          <w:noProof/>
          <w:color w:val="auto"/>
        </w:rPr>
      </w:pPr>
    </w:p>
    <w:p w:rsidR="000C35CC" w:rsidRPr="00D839EE" w:rsidP="000C35CC" w14:paraId="7F49342E" w14:textId="77777777">
      <w:pPr>
        <w:autoSpaceDE/>
        <w:autoSpaceDN/>
        <w:adjustRightInd/>
        <w:spacing w:after="160"/>
        <w:rPr>
          <w:rStyle w:val="Hyperlink"/>
          <w:rFonts w:eastAsiaTheme="minorEastAsia"/>
          <w:noProof/>
          <w:color w:val="auto"/>
        </w:rPr>
      </w:pPr>
    </w:p>
    <w:p w:rsidR="000C35CC" w:rsidRPr="00D839EE" w:rsidP="000C35CC" w14:paraId="7F49342F" w14:textId="77777777">
      <w:pPr>
        <w:autoSpaceDE/>
        <w:autoSpaceDN/>
        <w:adjustRightInd/>
        <w:spacing w:after="160"/>
        <w:rPr>
          <w:rStyle w:val="Hyperlink"/>
          <w:rFonts w:eastAsiaTheme="minorEastAsia"/>
          <w:noProof/>
          <w:color w:val="auto"/>
        </w:rPr>
      </w:pPr>
    </w:p>
    <w:p w:rsidR="00E5421D" w:rsidRPr="00D839EE" w:rsidP="000C35CC" w14:paraId="7F493430" w14:textId="77777777">
      <w:pPr>
        <w:autoSpaceDE/>
        <w:autoSpaceDN/>
        <w:adjustRightInd/>
        <w:spacing w:after="200" w:line="276" w:lineRule="auto"/>
        <w:jc w:val="center"/>
        <w:rPr>
          <w:sz w:val="22"/>
          <w:szCs w:val="22"/>
        </w:rPr>
      </w:pPr>
    </w:p>
    <w:p w:rsidR="000C35CC" w:rsidRPr="00D839EE" w:rsidP="00682988" w14:paraId="7F493431" w14:textId="77777777">
      <w:pPr>
        <w:autoSpaceDE/>
        <w:autoSpaceDN/>
        <w:adjustRightInd/>
        <w:spacing w:after="200" w:line="276" w:lineRule="auto"/>
        <w:rPr>
          <w:sz w:val="22"/>
          <w:szCs w:val="22"/>
        </w:rPr>
        <w:sectPr w:rsidSect="0016129F">
          <w:headerReference w:type="default" r:id="rId17"/>
          <w:footerReference w:type="default" r:id="rId18"/>
          <w:pgSz w:w="12240" w:h="15840"/>
          <w:pgMar w:top="1440" w:right="1440" w:bottom="1440" w:left="1440" w:header="720" w:footer="720" w:gutter="0"/>
          <w:pgNumType w:fmt="lowerRoman" w:start="1"/>
          <w:cols w:space="720"/>
          <w:docGrid w:linePitch="360"/>
        </w:sectPr>
      </w:pPr>
    </w:p>
    <w:p w:rsidR="00422611" w:rsidRPr="00D839EE" w:rsidP="00346B95" w14:paraId="7F493432" w14:textId="77777777">
      <w:pPr>
        <w:pStyle w:val="Heading1"/>
        <w:spacing w:after="240"/>
        <w:ind w:left="0" w:firstLine="0"/>
      </w:pPr>
      <w:bookmarkStart w:id="5" w:name="_Toc443852780"/>
      <w:bookmarkStart w:id="6" w:name="_Toc530073269"/>
      <w:bookmarkStart w:id="7" w:name="_Toc534037086"/>
      <w:bookmarkStart w:id="8" w:name="_Toc534699706"/>
      <w:bookmarkStart w:id="9" w:name="_Toc536603273"/>
      <w:r w:rsidRPr="00D839EE">
        <w:t>Executive Summary</w:t>
      </w:r>
      <w:bookmarkEnd w:id="5"/>
      <w:bookmarkEnd w:id="6"/>
      <w:bookmarkEnd w:id="7"/>
      <w:bookmarkEnd w:id="8"/>
      <w:bookmarkEnd w:id="9"/>
    </w:p>
    <w:p w:rsidR="007D403E" w:rsidP="0029083E" w14:paraId="7F493433" w14:textId="77777777">
      <w:pPr>
        <w:rPr>
          <w:sz w:val="22"/>
          <w:szCs w:val="22"/>
        </w:rPr>
      </w:pPr>
      <w:r w:rsidRPr="00130EDB">
        <w:rPr>
          <w:sz w:val="22"/>
          <w:szCs w:val="22"/>
        </w:rPr>
        <w:t>The U.S. Nuclear Regulatory Commission (NRC) is amending its regulations that govern the license renewal process for certain production or utilization facilities</w:t>
      </w:r>
      <w:r w:rsidRPr="00D839EE" w:rsidR="001274DB">
        <w:rPr>
          <w:sz w:val="22"/>
          <w:szCs w:val="22"/>
        </w:rPr>
        <w:t xml:space="preserve">.  In this </w:t>
      </w:r>
      <w:r w:rsidRPr="00D839EE" w:rsidR="00BC5E9F">
        <w:rPr>
          <w:sz w:val="22"/>
          <w:szCs w:val="22"/>
        </w:rPr>
        <w:t>final</w:t>
      </w:r>
      <w:r w:rsidRPr="00D839EE" w:rsidR="001274DB">
        <w:rPr>
          <w:sz w:val="22"/>
          <w:szCs w:val="22"/>
        </w:rPr>
        <w:t xml:space="preserve"> rule, the NRC collectively refers to these facilities as non-power production or utilization facilities (NPUFs).  </w:t>
      </w:r>
      <w:r w:rsidR="00AA6761">
        <w:rPr>
          <w:sz w:val="22"/>
          <w:szCs w:val="22"/>
        </w:rPr>
        <w:t>The</w:t>
      </w:r>
      <w:r w:rsidRPr="00AA6761" w:rsidR="00AA6761">
        <w:rPr>
          <w:sz w:val="22"/>
          <w:szCs w:val="22"/>
        </w:rPr>
        <w:t xml:space="preserve"> final rule </w:t>
      </w:r>
      <w:r>
        <w:rPr>
          <w:sz w:val="22"/>
          <w:szCs w:val="22"/>
        </w:rPr>
        <w:t>does the following:</w:t>
      </w:r>
      <w:r>
        <w:rPr>
          <w:sz w:val="22"/>
          <w:szCs w:val="22"/>
        </w:rPr>
        <w:br/>
      </w:r>
    </w:p>
    <w:p w:rsidR="007D403E" w:rsidRPr="00317B18" w:rsidP="00317B18" w14:paraId="7F493434" w14:textId="423CB73E">
      <w:pPr>
        <w:pStyle w:val="ListParagraph"/>
        <w:numPr>
          <w:ilvl w:val="0"/>
          <w:numId w:val="33"/>
        </w:numPr>
        <w:spacing w:after="220"/>
        <w:ind w:hanging="720"/>
        <w:contextualSpacing w:val="0"/>
        <w:rPr>
          <w:sz w:val="22"/>
          <w:szCs w:val="22"/>
        </w:rPr>
      </w:pPr>
      <w:r w:rsidRPr="00317B18">
        <w:rPr>
          <w:sz w:val="22"/>
          <w:szCs w:val="22"/>
        </w:rPr>
        <w:t xml:space="preserve">revises the definitions for “non-power reactor,” “research reactor,” and “testing facility” </w:t>
      </w:r>
    </w:p>
    <w:p w:rsidR="007D403E" w:rsidRPr="00317B18" w:rsidP="00317B18" w14:paraId="7F493435" w14:textId="77777777">
      <w:pPr>
        <w:pStyle w:val="ListParagraph"/>
        <w:numPr>
          <w:ilvl w:val="0"/>
          <w:numId w:val="33"/>
        </w:numPr>
        <w:spacing w:after="220"/>
        <w:ind w:hanging="720"/>
        <w:contextualSpacing w:val="0"/>
        <w:rPr>
          <w:sz w:val="22"/>
          <w:szCs w:val="22"/>
        </w:rPr>
      </w:pPr>
      <w:r w:rsidRPr="00317B18">
        <w:rPr>
          <w:sz w:val="22"/>
          <w:szCs w:val="22"/>
        </w:rPr>
        <w:t>eliminates license terms for facilities</w:t>
      </w:r>
      <w:r w:rsidRPr="00317B18" w:rsidR="008225B6">
        <w:rPr>
          <w:sz w:val="22"/>
          <w:szCs w:val="22"/>
        </w:rPr>
        <w:t>, other than testing facilities</w:t>
      </w:r>
      <w:r w:rsidR="008225B6">
        <w:rPr>
          <w:sz w:val="22"/>
          <w:szCs w:val="22"/>
        </w:rPr>
        <w:t>,</w:t>
      </w:r>
      <w:r w:rsidRPr="00317B18" w:rsidR="00C2261C">
        <w:rPr>
          <w:sz w:val="22"/>
          <w:szCs w:val="22"/>
        </w:rPr>
        <w:t xml:space="preserve"> licensed under </w:t>
      </w:r>
      <w:r w:rsidR="00AD6B15">
        <w:rPr>
          <w:sz w:val="22"/>
          <w:szCs w:val="22"/>
        </w:rPr>
        <w:t>Section </w:t>
      </w:r>
      <w:r w:rsidRPr="00DF5729" w:rsidR="00DF5729">
        <w:rPr>
          <w:sz w:val="22"/>
          <w:szCs w:val="22"/>
        </w:rPr>
        <w:t xml:space="preserve">50.21(a) or (c) of </w:t>
      </w:r>
      <w:r w:rsidRPr="00317B18" w:rsidR="00293EB4">
        <w:rPr>
          <w:sz w:val="22"/>
          <w:szCs w:val="22"/>
        </w:rPr>
        <w:t xml:space="preserve">Title 10 of the </w:t>
      </w:r>
      <w:r w:rsidRPr="00317B18" w:rsidR="00293EB4">
        <w:rPr>
          <w:i/>
          <w:sz w:val="22"/>
          <w:szCs w:val="22"/>
        </w:rPr>
        <w:t>Code of Federal Regulations</w:t>
      </w:r>
      <w:r w:rsidRPr="00317B18" w:rsidR="00293EB4">
        <w:rPr>
          <w:sz w:val="22"/>
          <w:szCs w:val="22"/>
        </w:rPr>
        <w:t xml:space="preserve"> (</w:t>
      </w:r>
      <w:r w:rsidRPr="00317B18" w:rsidR="00C2261C">
        <w:rPr>
          <w:sz w:val="22"/>
          <w:szCs w:val="22"/>
        </w:rPr>
        <w:t>10 CFR</w:t>
      </w:r>
      <w:r w:rsidRPr="00317B18" w:rsidR="00293EB4">
        <w:rPr>
          <w:sz w:val="22"/>
          <w:szCs w:val="22"/>
        </w:rPr>
        <w:t>)</w:t>
      </w:r>
      <w:r w:rsidRPr="00317B18" w:rsidR="00C2261C">
        <w:rPr>
          <w:sz w:val="22"/>
          <w:szCs w:val="22"/>
        </w:rPr>
        <w:t> </w:t>
      </w:r>
      <w:r w:rsidRPr="00DF5729" w:rsidR="00DF5729">
        <w:rPr>
          <w:sz w:val="22"/>
          <w:szCs w:val="22"/>
        </w:rPr>
        <w:t>Part</w:t>
      </w:r>
      <w:r w:rsidR="00F345D6">
        <w:rPr>
          <w:sz w:val="22"/>
          <w:szCs w:val="22"/>
        </w:rPr>
        <w:t> </w:t>
      </w:r>
      <w:r w:rsidRPr="00DF5729" w:rsidR="00DF5729">
        <w:rPr>
          <w:sz w:val="22"/>
          <w:szCs w:val="22"/>
        </w:rPr>
        <w:t>50, “Domestic Licensing of Production and Utilization Facilities”</w:t>
      </w:r>
      <w:r w:rsidRPr="00317B18">
        <w:rPr>
          <w:sz w:val="22"/>
          <w:szCs w:val="22"/>
        </w:rPr>
        <w:t xml:space="preserve"> </w:t>
      </w:r>
      <w:r w:rsidRPr="00DF5729" w:rsidR="00AD57EF">
        <w:rPr>
          <w:sz w:val="22"/>
          <w:szCs w:val="22"/>
        </w:rPr>
        <w:t>(Ref</w:t>
      </w:r>
      <w:r w:rsidRPr="00DF5729" w:rsidR="00DF5729">
        <w:rPr>
          <w:sz w:val="22"/>
          <w:szCs w:val="22"/>
        </w:rPr>
        <w:t>.</w:t>
      </w:r>
      <w:r w:rsidRPr="00DF5729" w:rsidR="00AD57EF">
        <w:rPr>
          <w:sz w:val="22"/>
          <w:szCs w:val="22"/>
        </w:rPr>
        <w:t xml:space="preserve"> 1)</w:t>
      </w:r>
    </w:p>
    <w:p w:rsidR="007D403E" w:rsidRPr="00317B18" w:rsidP="00B2040D" w14:paraId="7F493436" w14:textId="77777777">
      <w:pPr>
        <w:pStyle w:val="ListParagraph"/>
        <w:numPr>
          <w:ilvl w:val="0"/>
          <w:numId w:val="33"/>
        </w:numPr>
        <w:spacing w:after="220"/>
        <w:ind w:hanging="720"/>
        <w:contextualSpacing w:val="0"/>
        <w:rPr>
          <w:sz w:val="22"/>
          <w:szCs w:val="22"/>
        </w:rPr>
      </w:pPr>
      <w:r w:rsidRPr="00317B18">
        <w:rPr>
          <w:sz w:val="22"/>
          <w:szCs w:val="22"/>
        </w:rPr>
        <w:t xml:space="preserve">defines the license renewal process for </w:t>
      </w:r>
      <w:r w:rsidRPr="00B2040D" w:rsidR="00B2040D">
        <w:rPr>
          <w:sz w:val="22"/>
          <w:szCs w:val="22"/>
        </w:rPr>
        <w:t xml:space="preserve">NPUFs (including testing facilities) licensed under </w:t>
      </w:r>
      <w:r w:rsidRPr="00317B18" w:rsidR="00B2040D">
        <w:rPr>
          <w:sz w:val="22"/>
          <w:szCs w:val="22"/>
        </w:rPr>
        <w:t>10 CFR 50.22</w:t>
      </w:r>
      <w:r w:rsidR="00B2040D">
        <w:rPr>
          <w:sz w:val="22"/>
          <w:szCs w:val="22"/>
        </w:rPr>
        <w:t>, “</w:t>
      </w:r>
      <w:r w:rsidRPr="006B1688" w:rsidR="00B2040D">
        <w:rPr>
          <w:sz w:val="22"/>
          <w:szCs w:val="22"/>
        </w:rPr>
        <w:t xml:space="preserve">Class 103 </w:t>
      </w:r>
      <w:r w:rsidR="00E302A6">
        <w:rPr>
          <w:sz w:val="22"/>
          <w:szCs w:val="22"/>
        </w:rPr>
        <w:t>l</w:t>
      </w:r>
      <w:r w:rsidRPr="006B1688" w:rsidR="00B2040D">
        <w:rPr>
          <w:sz w:val="22"/>
          <w:szCs w:val="22"/>
        </w:rPr>
        <w:t xml:space="preserve">icenses; for </w:t>
      </w:r>
      <w:r w:rsidR="00E302A6">
        <w:rPr>
          <w:sz w:val="22"/>
          <w:szCs w:val="22"/>
        </w:rPr>
        <w:t>c</w:t>
      </w:r>
      <w:r w:rsidRPr="006B1688" w:rsidR="00B2040D">
        <w:rPr>
          <w:sz w:val="22"/>
          <w:szCs w:val="22"/>
        </w:rPr>
        <w:t xml:space="preserve">ommercial and </w:t>
      </w:r>
      <w:r w:rsidR="00E302A6">
        <w:rPr>
          <w:sz w:val="22"/>
          <w:szCs w:val="22"/>
        </w:rPr>
        <w:t>i</w:t>
      </w:r>
      <w:r w:rsidRPr="006B1688" w:rsidR="00B2040D">
        <w:rPr>
          <w:sz w:val="22"/>
          <w:szCs w:val="22"/>
        </w:rPr>
        <w:t xml:space="preserve">ndustrial </w:t>
      </w:r>
      <w:r w:rsidR="00E302A6">
        <w:rPr>
          <w:sz w:val="22"/>
          <w:szCs w:val="22"/>
        </w:rPr>
        <w:t>f</w:t>
      </w:r>
      <w:r w:rsidRPr="006B1688" w:rsidR="00B2040D">
        <w:rPr>
          <w:sz w:val="22"/>
          <w:szCs w:val="22"/>
        </w:rPr>
        <w:t>acilities</w:t>
      </w:r>
      <w:r w:rsidR="00B2040D">
        <w:rPr>
          <w:sz w:val="22"/>
          <w:szCs w:val="22"/>
        </w:rPr>
        <w:t>”</w:t>
      </w:r>
      <w:r w:rsidRPr="00B2040D" w:rsidR="00B2040D">
        <w:rPr>
          <w:sz w:val="22"/>
          <w:szCs w:val="22"/>
        </w:rPr>
        <w:t xml:space="preserve"> and testing facilities licensed under </w:t>
      </w:r>
      <w:r w:rsidR="00B2040D">
        <w:rPr>
          <w:sz w:val="22"/>
          <w:szCs w:val="22"/>
        </w:rPr>
        <w:t>10 CFR </w:t>
      </w:r>
      <w:r w:rsidRPr="00B2040D" w:rsidR="00B2040D">
        <w:rPr>
          <w:sz w:val="22"/>
          <w:szCs w:val="22"/>
        </w:rPr>
        <w:t>50.21(c)</w:t>
      </w:r>
      <w:r w:rsidRPr="00317B18" w:rsidR="00817E80">
        <w:rPr>
          <w:sz w:val="22"/>
          <w:szCs w:val="22"/>
        </w:rPr>
        <w:t> </w:t>
      </w:r>
    </w:p>
    <w:p w:rsidR="007D403E" w:rsidRPr="00317B18" w:rsidP="00317B18" w14:paraId="7F493437" w14:textId="77777777">
      <w:pPr>
        <w:pStyle w:val="ListParagraph"/>
        <w:numPr>
          <w:ilvl w:val="0"/>
          <w:numId w:val="33"/>
        </w:numPr>
        <w:spacing w:after="220"/>
        <w:ind w:hanging="720"/>
        <w:contextualSpacing w:val="0"/>
        <w:rPr>
          <w:sz w:val="22"/>
          <w:szCs w:val="22"/>
        </w:rPr>
      </w:pPr>
      <w:r w:rsidRPr="00317B18">
        <w:rPr>
          <w:sz w:val="22"/>
          <w:szCs w:val="22"/>
        </w:rPr>
        <w:t>requires all NPUF licensees to submit an updated final safety analysis report (FSAR) and subsequent FSAR updates to the NRC at intervals not to exceed 5</w:t>
      </w:r>
      <w:r w:rsidR="00F345D6">
        <w:rPr>
          <w:sz w:val="22"/>
          <w:szCs w:val="22"/>
        </w:rPr>
        <w:t> </w:t>
      </w:r>
      <w:r w:rsidRPr="00317B18">
        <w:rPr>
          <w:sz w:val="22"/>
          <w:szCs w:val="22"/>
        </w:rPr>
        <w:t xml:space="preserve">years </w:t>
      </w:r>
    </w:p>
    <w:p w:rsidR="007D403E" w:rsidRPr="00317B18" w:rsidP="00317B18" w14:paraId="7F493438" w14:textId="77777777">
      <w:pPr>
        <w:pStyle w:val="ListParagraph"/>
        <w:numPr>
          <w:ilvl w:val="0"/>
          <w:numId w:val="33"/>
        </w:numPr>
        <w:spacing w:after="220"/>
        <w:ind w:hanging="720"/>
        <w:contextualSpacing w:val="0"/>
        <w:rPr>
          <w:sz w:val="22"/>
          <w:szCs w:val="22"/>
        </w:rPr>
      </w:pPr>
      <w:r w:rsidRPr="00317B18">
        <w:rPr>
          <w:sz w:val="22"/>
          <w:szCs w:val="22"/>
        </w:rPr>
        <w:t>amends the current timely renewal provision under 10</w:t>
      </w:r>
      <w:r w:rsidRPr="00317B18" w:rsidR="00742A6F">
        <w:rPr>
          <w:sz w:val="22"/>
          <w:szCs w:val="22"/>
        </w:rPr>
        <w:t> </w:t>
      </w:r>
      <w:r w:rsidRPr="00317B18">
        <w:rPr>
          <w:sz w:val="22"/>
          <w:szCs w:val="22"/>
        </w:rPr>
        <w:t>CFR</w:t>
      </w:r>
      <w:r w:rsidRPr="00317B18" w:rsidR="00742A6F">
        <w:rPr>
          <w:sz w:val="22"/>
          <w:szCs w:val="22"/>
        </w:rPr>
        <w:t> </w:t>
      </w:r>
      <w:r w:rsidRPr="00317B18">
        <w:rPr>
          <w:sz w:val="22"/>
          <w:szCs w:val="22"/>
        </w:rPr>
        <w:t xml:space="preserve">2.109, </w:t>
      </w:r>
      <w:r w:rsidRPr="00EC79F7" w:rsidR="00BE4044">
        <w:rPr>
          <w:sz w:val="22"/>
        </w:rPr>
        <w:t xml:space="preserve">“Effect of </w:t>
      </w:r>
      <w:r w:rsidR="00E302A6">
        <w:rPr>
          <w:sz w:val="22"/>
        </w:rPr>
        <w:t>t</w:t>
      </w:r>
      <w:r w:rsidRPr="00EC79F7" w:rsidR="00BE4044">
        <w:rPr>
          <w:sz w:val="22"/>
        </w:rPr>
        <w:t xml:space="preserve">imely </w:t>
      </w:r>
      <w:r w:rsidR="00E302A6">
        <w:rPr>
          <w:sz w:val="22"/>
        </w:rPr>
        <w:t>r</w:t>
      </w:r>
      <w:r w:rsidRPr="00EC79F7" w:rsidR="00BE4044">
        <w:rPr>
          <w:sz w:val="22"/>
        </w:rPr>
        <w:t xml:space="preserve">enewal </w:t>
      </w:r>
      <w:r w:rsidR="00E302A6">
        <w:rPr>
          <w:sz w:val="22"/>
        </w:rPr>
        <w:t>a</w:t>
      </w:r>
      <w:r w:rsidRPr="00EC79F7" w:rsidR="00BE4044">
        <w:rPr>
          <w:sz w:val="22"/>
        </w:rPr>
        <w:t>pplication</w:t>
      </w:r>
      <w:r w:rsidRPr="00C520D9" w:rsidR="00365504">
        <w:rPr>
          <w:sz w:val="22"/>
          <w:szCs w:val="22"/>
        </w:rPr>
        <w:t>”</w:t>
      </w:r>
      <w:r w:rsidRPr="00A4475E" w:rsidR="00365504">
        <w:rPr>
          <w:sz w:val="22"/>
          <w:szCs w:val="22"/>
        </w:rPr>
        <w:t xml:space="preserve"> of </w:t>
      </w:r>
      <w:r w:rsidRPr="00C520D9">
        <w:rPr>
          <w:sz w:val="22"/>
          <w:szCs w:val="22"/>
        </w:rPr>
        <w:t>10</w:t>
      </w:r>
      <w:r w:rsidRPr="00C520D9" w:rsidR="00742A6F">
        <w:rPr>
          <w:sz w:val="22"/>
          <w:szCs w:val="22"/>
        </w:rPr>
        <w:t> </w:t>
      </w:r>
      <w:r w:rsidRPr="00C520D9">
        <w:rPr>
          <w:sz w:val="22"/>
          <w:szCs w:val="22"/>
        </w:rPr>
        <w:t>CFR</w:t>
      </w:r>
      <w:r w:rsidRPr="00C520D9" w:rsidR="00742A6F">
        <w:rPr>
          <w:sz w:val="22"/>
          <w:szCs w:val="22"/>
        </w:rPr>
        <w:t> </w:t>
      </w:r>
      <w:r w:rsidRPr="00C520D9" w:rsidR="00365504">
        <w:rPr>
          <w:sz w:val="22"/>
          <w:szCs w:val="22"/>
        </w:rPr>
        <w:t>Part 2</w:t>
      </w:r>
      <w:r w:rsidR="00B514B9">
        <w:rPr>
          <w:sz w:val="22"/>
          <w:szCs w:val="22"/>
        </w:rPr>
        <w:t>,</w:t>
      </w:r>
      <w:r w:rsidRPr="00C520D9">
        <w:rPr>
          <w:sz w:val="22"/>
          <w:szCs w:val="22"/>
        </w:rPr>
        <w:t xml:space="preserve"> </w:t>
      </w:r>
      <w:r w:rsidRPr="00C520D9" w:rsidR="00365504">
        <w:rPr>
          <w:sz w:val="22"/>
          <w:szCs w:val="22"/>
        </w:rPr>
        <w:t>“Agency Rules of Practice and Procedure”</w:t>
      </w:r>
      <w:r w:rsidRPr="00C520D9" w:rsidR="00BE4044">
        <w:rPr>
          <w:sz w:val="22"/>
          <w:szCs w:val="22"/>
        </w:rPr>
        <w:t xml:space="preserve"> </w:t>
      </w:r>
      <w:r w:rsidRPr="00A4475E" w:rsidR="00365504">
        <w:rPr>
          <w:sz w:val="22"/>
          <w:szCs w:val="22"/>
        </w:rPr>
        <w:t>(Ref.</w:t>
      </w:r>
      <w:r w:rsidR="00AD6B15">
        <w:rPr>
          <w:sz w:val="22"/>
          <w:szCs w:val="22"/>
        </w:rPr>
        <w:t> </w:t>
      </w:r>
      <w:r w:rsidRPr="00365504" w:rsidR="00365504">
        <w:rPr>
          <w:sz w:val="22"/>
          <w:szCs w:val="22"/>
        </w:rPr>
        <w:t>2)</w:t>
      </w:r>
      <w:r w:rsidR="00BE4044">
        <w:rPr>
          <w:sz w:val="22"/>
          <w:szCs w:val="22"/>
        </w:rPr>
        <w:t xml:space="preserve"> </w:t>
      </w:r>
      <w:r w:rsidRPr="00EC79F7">
        <w:rPr>
          <w:sz w:val="22"/>
        </w:rPr>
        <w:t>allowing</w:t>
      </w:r>
      <w:r w:rsidRPr="00317B18">
        <w:rPr>
          <w:sz w:val="22"/>
          <w:szCs w:val="22"/>
        </w:rPr>
        <w:t xml:space="preserve"> </w:t>
      </w:r>
      <w:r w:rsidRPr="00317B18" w:rsidR="00C2261C">
        <w:rPr>
          <w:sz w:val="22"/>
          <w:szCs w:val="22"/>
        </w:rPr>
        <w:t>an NPUF</w:t>
      </w:r>
      <w:r w:rsidRPr="00317B18">
        <w:rPr>
          <w:sz w:val="22"/>
          <w:szCs w:val="22"/>
        </w:rPr>
        <w:t xml:space="preserve"> </w:t>
      </w:r>
      <w:r w:rsidR="00E302A6">
        <w:rPr>
          <w:sz w:val="22"/>
          <w:szCs w:val="22"/>
        </w:rPr>
        <w:t xml:space="preserve">subject to license renewal </w:t>
      </w:r>
      <w:r w:rsidRPr="00317B18">
        <w:rPr>
          <w:sz w:val="22"/>
          <w:szCs w:val="22"/>
        </w:rPr>
        <w:t xml:space="preserve">to continue operating under an existing license past its expiration date if the </w:t>
      </w:r>
      <w:r w:rsidRPr="00317B18" w:rsidR="00B36291">
        <w:rPr>
          <w:sz w:val="22"/>
          <w:szCs w:val="22"/>
        </w:rPr>
        <w:t>licensee</w:t>
      </w:r>
      <w:r w:rsidRPr="00317B18">
        <w:rPr>
          <w:sz w:val="22"/>
          <w:szCs w:val="22"/>
        </w:rPr>
        <w:t xml:space="preserve"> submits a license renewal application at least 2</w:t>
      </w:r>
      <w:r w:rsidR="00B874A6">
        <w:rPr>
          <w:sz w:val="22"/>
          <w:szCs w:val="22"/>
        </w:rPr>
        <w:t> </w:t>
      </w:r>
      <w:r w:rsidRPr="00317B18">
        <w:rPr>
          <w:sz w:val="22"/>
          <w:szCs w:val="22"/>
        </w:rPr>
        <w:t xml:space="preserve">years before the current license expiration date </w:t>
      </w:r>
    </w:p>
    <w:p w:rsidR="007D403E" w:rsidRPr="00317B18" w:rsidP="002E03FA" w14:paraId="7F493439" w14:textId="77777777">
      <w:pPr>
        <w:pStyle w:val="ListParagraph"/>
        <w:numPr>
          <w:ilvl w:val="0"/>
          <w:numId w:val="33"/>
        </w:numPr>
        <w:spacing w:after="220"/>
        <w:ind w:hanging="720"/>
        <w:contextualSpacing w:val="0"/>
        <w:rPr>
          <w:sz w:val="22"/>
          <w:szCs w:val="22"/>
        </w:rPr>
      </w:pPr>
      <w:r w:rsidRPr="00317B18">
        <w:rPr>
          <w:sz w:val="22"/>
          <w:szCs w:val="22"/>
        </w:rPr>
        <w:t xml:space="preserve">provides </w:t>
      </w:r>
      <w:r w:rsidR="00F345D6">
        <w:rPr>
          <w:sz w:val="22"/>
          <w:szCs w:val="22"/>
        </w:rPr>
        <w:t>an accident dose criterion of 1 </w:t>
      </w:r>
      <w:r w:rsidRPr="002E03FA" w:rsidR="002E03FA">
        <w:rPr>
          <w:sz w:val="22"/>
          <w:szCs w:val="22"/>
        </w:rPr>
        <w:t xml:space="preserve">Roentgen equivalent man </w:t>
      </w:r>
      <w:r w:rsidR="002E03FA">
        <w:rPr>
          <w:sz w:val="22"/>
          <w:szCs w:val="22"/>
        </w:rPr>
        <w:t>(</w:t>
      </w:r>
      <w:r w:rsidRPr="00317B18">
        <w:rPr>
          <w:sz w:val="22"/>
          <w:szCs w:val="22"/>
        </w:rPr>
        <w:t>rem</w:t>
      </w:r>
      <w:r w:rsidR="002E03FA">
        <w:rPr>
          <w:sz w:val="22"/>
          <w:szCs w:val="22"/>
        </w:rPr>
        <w:t>)</w:t>
      </w:r>
      <w:r w:rsidRPr="00317B18">
        <w:rPr>
          <w:sz w:val="22"/>
          <w:szCs w:val="22"/>
        </w:rPr>
        <w:t xml:space="preserve"> (0.01</w:t>
      </w:r>
      <w:r w:rsidR="00F345D6">
        <w:rPr>
          <w:sz w:val="22"/>
          <w:szCs w:val="22"/>
        </w:rPr>
        <w:t> </w:t>
      </w:r>
      <w:r w:rsidRPr="00317B18" w:rsidR="007417EA">
        <w:rPr>
          <w:sz w:val="22"/>
          <w:szCs w:val="22"/>
        </w:rPr>
        <w:t>s</w:t>
      </w:r>
      <w:r w:rsidRPr="00317B18">
        <w:rPr>
          <w:sz w:val="22"/>
          <w:szCs w:val="22"/>
        </w:rPr>
        <w:t>ievert</w:t>
      </w:r>
      <w:r w:rsidR="00AE779E">
        <w:rPr>
          <w:sz w:val="22"/>
          <w:szCs w:val="22"/>
        </w:rPr>
        <w:t xml:space="preserve"> (Sv)</w:t>
      </w:r>
      <w:r w:rsidRPr="00317B18">
        <w:rPr>
          <w:sz w:val="22"/>
          <w:szCs w:val="22"/>
        </w:rPr>
        <w:t xml:space="preserve">) total effective dose equivalent for NPUFs other than testing facilities </w:t>
      </w:r>
    </w:p>
    <w:p w:rsidR="007D403E" w:rsidRPr="00317B18" w:rsidP="00317B18" w14:paraId="7F49343A" w14:textId="77777777">
      <w:pPr>
        <w:pStyle w:val="ListParagraph"/>
        <w:numPr>
          <w:ilvl w:val="0"/>
          <w:numId w:val="33"/>
        </w:numPr>
        <w:spacing w:after="220"/>
        <w:ind w:hanging="720"/>
        <w:contextualSpacing w:val="0"/>
        <w:rPr>
          <w:sz w:val="22"/>
          <w:szCs w:val="22"/>
        </w:rPr>
      </w:pPr>
      <w:r w:rsidRPr="00317B18">
        <w:rPr>
          <w:sz w:val="22"/>
          <w:szCs w:val="22"/>
        </w:rPr>
        <w:t>extends the applicability of 10</w:t>
      </w:r>
      <w:r w:rsidR="00F345D6">
        <w:rPr>
          <w:sz w:val="22"/>
          <w:szCs w:val="22"/>
        </w:rPr>
        <w:t> </w:t>
      </w:r>
      <w:r w:rsidRPr="00317B18">
        <w:rPr>
          <w:sz w:val="22"/>
          <w:szCs w:val="22"/>
        </w:rPr>
        <w:t>CFR</w:t>
      </w:r>
      <w:r w:rsidR="00F345D6">
        <w:rPr>
          <w:sz w:val="22"/>
          <w:szCs w:val="22"/>
        </w:rPr>
        <w:t> </w:t>
      </w:r>
      <w:r w:rsidRPr="00317B18">
        <w:rPr>
          <w:sz w:val="22"/>
          <w:szCs w:val="22"/>
        </w:rPr>
        <w:t>50.59</w:t>
      </w:r>
      <w:r w:rsidR="00B874A6">
        <w:rPr>
          <w:sz w:val="22"/>
          <w:szCs w:val="22"/>
        </w:rPr>
        <w:t xml:space="preserve">, “Changes, </w:t>
      </w:r>
      <w:r w:rsidR="00E302A6">
        <w:rPr>
          <w:sz w:val="22"/>
          <w:szCs w:val="22"/>
        </w:rPr>
        <w:t>t</w:t>
      </w:r>
      <w:r w:rsidR="00B874A6">
        <w:rPr>
          <w:sz w:val="22"/>
          <w:szCs w:val="22"/>
        </w:rPr>
        <w:t xml:space="preserve">ests and </w:t>
      </w:r>
      <w:r w:rsidR="00E302A6">
        <w:rPr>
          <w:sz w:val="22"/>
          <w:szCs w:val="22"/>
        </w:rPr>
        <w:t>e</w:t>
      </w:r>
      <w:r w:rsidR="00B874A6">
        <w:rPr>
          <w:sz w:val="22"/>
          <w:szCs w:val="22"/>
        </w:rPr>
        <w:t>xperiments,”</w:t>
      </w:r>
      <w:r w:rsidRPr="00317B18">
        <w:rPr>
          <w:sz w:val="22"/>
          <w:szCs w:val="22"/>
        </w:rPr>
        <w:t xml:space="preserve"> to NPUFs regardless of their decommissioning status </w:t>
      </w:r>
    </w:p>
    <w:p w:rsidR="007D403E" w:rsidP="00A81A0C" w14:paraId="7F49343B" w14:textId="77777777">
      <w:pPr>
        <w:pStyle w:val="ListParagraph"/>
        <w:numPr>
          <w:ilvl w:val="0"/>
          <w:numId w:val="33"/>
        </w:numPr>
        <w:spacing w:after="220"/>
        <w:ind w:hanging="720"/>
        <w:contextualSpacing w:val="0"/>
        <w:rPr>
          <w:sz w:val="22"/>
          <w:szCs w:val="22"/>
        </w:rPr>
      </w:pPr>
      <w:r w:rsidRPr="00317B18">
        <w:rPr>
          <w:sz w:val="22"/>
          <w:szCs w:val="22"/>
        </w:rPr>
        <w:t>clarifies the requirements for NPUF</w:t>
      </w:r>
      <w:r w:rsidR="00B56482">
        <w:rPr>
          <w:sz w:val="22"/>
          <w:szCs w:val="22"/>
        </w:rPr>
        <w:t xml:space="preserve"> applicant</w:t>
      </w:r>
      <w:r w:rsidRPr="00317B18">
        <w:rPr>
          <w:sz w:val="22"/>
          <w:szCs w:val="22"/>
        </w:rPr>
        <w:t xml:space="preserve">s to meet the existing provisions of </w:t>
      </w:r>
      <w:r w:rsidR="00E302A6">
        <w:rPr>
          <w:sz w:val="22"/>
          <w:szCs w:val="22"/>
        </w:rPr>
        <w:t>10 CFR </w:t>
      </w:r>
      <w:r w:rsidRPr="00317B18">
        <w:rPr>
          <w:sz w:val="22"/>
          <w:szCs w:val="22"/>
        </w:rPr>
        <w:t>51.45</w:t>
      </w:r>
      <w:r w:rsidR="004657AF">
        <w:rPr>
          <w:sz w:val="22"/>
          <w:szCs w:val="22"/>
        </w:rPr>
        <w:t xml:space="preserve">, </w:t>
      </w:r>
      <w:r w:rsidRPr="00EC79F7" w:rsidR="004657AF">
        <w:rPr>
          <w:sz w:val="22"/>
        </w:rPr>
        <w:t xml:space="preserve">“Environmental </w:t>
      </w:r>
      <w:r w:rsidR="00E302A6">
        <w:rPr>
          <w:sz w:val="22"/>
        </w:rPr>
        <w:t>r</w:t>
      </w:r>
      <w:r w:rsidRPr="00EC79F7" w:rsidR="004657AF">
        <w:rPr>
          <w:sz w:val="22"/>
        </w:rPr>
        <w:t>eport”</w:t>
      </w:r>
      <w:r w:rsidRPr="00C520D9" w:rsidR="00365504">
        <w:rPr>
          <w:sz w:val="22"/>
          <w:szCs w:val="22"/>
        </w:rPr>
        <w:t xml:space="preserve"> of </w:t>
      </w:r>
      <w:r w:rsidRPr="00C520D9">
        <w:rPr>
          <w:sz w:val="22"/>
          <w:szCs w:val="22"/>
        </w:rPr>
        <w:t>10 CFR</w:t>
      </w:r>
      <w:r w:rsidRPr="004F7678" w:rsidR="004F7678">
        <w:rPr>
          <w:sz w:val="22"/>
          <w:szCs w:val="22"/>
        </w:rPr>
        <w:t xml:space="preserve"> Part 51</w:t>
      </w:r>
      <w:r w:rsidR="00BA04D1">
        <w:rPr>
          <w:sz w:val="22"/>
          <w:szCs w:val="22"/>
        </w:rPr>
        <w:t>,</w:t>
      </w:r>
      <w:r w:rsidRPr="00C520D9" w:rsidR="00365504">
        <w:rPr>
          <w:sz w:val="22"/>
          <w:szCs w:val="22"/>
        </w:rPr>
        <w:t xml:space="preserve"> “Environmental Protection Regulations for Domestic Licensing and Related Regulatory Functions”</w:t>
      </w:r>
      <w:r w:rsidRPr="00C520D9" w:rsidR="004657AF">
        <w:rPr>
          <w:sz w:val="22"/>
          <w:szCs w:val="22"/>
        </w:rPr>
        <w:t xml:space="preserve"> </w:t>
      </w:r>
      <w:r w:rsidRPr="00C520D9" w:rsidR="00AD57EF">
        <w:rPr>
          <w:sz w:val="22"/>
          <w:szCs w:val="22"/>
        </w:rPr>
        <w:t>(Ref</w:t>
      </w:r>
      <w:r w:rsidRPr="00C520D9" w:rsidR="00365504">
        <w:rPr>
          <w:sz w:val="22"/>
          <w:szCs w:val="22"/>
        </w:rPr>
        <w:t>.</w:t>
      </w:r>
      <w:r w:rsidRPr="00C520D9" w:rsidR="00AD57EF">
        <w:rPr>
          <w:sz w:val="22"/>
          <w:szCs w:val="22"/>
        </w:rPr>
        <w:t xml:space="preserve"> 3)</w:t>
      </w:r>
    </w:p>
    <w:p w:rsidR="0029083E" w:rsidP="00346B95" w14:paraId="7F49343C" w14:textId="06B36C3A">
      <w:pPr>
        <w:pStyle w:val="ListParagraph"/>
        <w:numPr>
          <w:ilvl w:val="0"/>
          <w:numId w:val="33"/>
        </w:numPr>
        <w:spacing w:after="220"/>
        <w:ind w:hanging="720"/>
        <w:contextualSpacing w:val="0"/>
        <w:rPr>
          <w:sz w:val="22"/>
          <w:szCs w:val="22"/>
        </w:rPr>
      </w:pPr>
      <w:r w:rsidRPr="007D403E">
        <w:rPr>
          <w:sz w:val="22"/>
          <w:szCs w:val="22"/>
        </w:rPr>
        <w:t xml:space="preserve">eliminates the requirement </w:t>
      </w:r>
      <w:r w:rsidR="00EB2DED">
        <w:rPr>
          <w:sz w:val="22"/>
          <w:szCs w:val="22"/>
        </w:rPr>
        <w:t xml:space="preserve">for NPUF licensees </w:t>
      </w:r>
      <w:r w:rsidRPr="007D403E">
        <w:rPr>
          <w:sz w:val="22"/>
          <w:szCs w:val="22"/>
        </w:rPr>
        <w:t>to submit financial qualification information with license renewal applications under 10 CFR 50.33(f)(2)</w:t>
      </w:r>
      <w:r w:rsidRPr="007D403E" w:rsidR="0078710B">
        <w:rPr>
          <w:sz w:val="22"/>
          <w:szCs w:val="22"/>
        </w:rPr>
        <w:t xml:space="preserve"> </w:t>
      </w:r>
    </w:p>
    <w:p w:rsidR="0029083E" w:rsidRPr="00D839EE" w:rsidP="0029083E" w14:paraId="7F49343D" w14:textId="77777777">
      <w:pPr>
        <w:rPr>
          <w:sz w:val="22"/>
          <w:szCs w:val="22"/>
        </w:rPr>
      </w:pPr>
      <w:r w:rsidRPr="00D839EE">
        <w:rPr>
          <w:sz w:val="22"/>
          <w:szCs w:val="22"/>
        </w:rPr>
        <w:t xml:space="preserve">The analysis presented in this document examines the </w:t>
      </w:r>
      <w:r w:rsidR="008225B6">
        <w:rPr>
          <w:sz w:val="22"/>
          <w:szCs w:val="22"/>
        </w:rPr>
        <w:t xml:space="preserve">costs, averted costs, and </w:t>
      </w:r>
      <w:r w:rsidRPr="00D839EE">
        <w:rPr>
          <w:sz w:val="22"/>
          <w:szCs w:val="22"/>
        </w:rPr>
        <w:t xml:space="preserve">benefits of the </w:t>
      </w:r>
      <w:r w:rsidRPr="00D839EE" w:rsidR="00BC5E9F">
        <w:rPr>
          <w:sz w:val="22"/>
          <w:szCs w:val="22"/>
        </w:rPr>
        <w:t>final</w:t>
      </w:r>
      <w:r w:rsidRPr="00D839EE">
        <w:rPr>
          <w:sz w:val="22"/>
          <w:szCs w:val="22"/>
        </w:rPr>
        <w:t xml:space="preserve"> </w:t>
      </w:r>
      <w:r w:rsidRPr="00D839EE" w:rsidR="00743BCC">
        <w:rPr>
          <w:sz w:val="22"/>
          <w:szCs w:val="22"/>
        </w:rPr>
        <w:t>rule</w:t>
      </w:r>
      <w:r w:rsidRPr="00D839EE">
        <w:rPr>
          <w:sz w:val="22"/>
          <w:szCs w:val="22"/>
        </w:rPr>
        <w:t xml:space="preserve"> </w:t>
      </w:r>
      <w:r w:rsidRPr="00D839EE" w:rsidR="00F4101C">
        <w:rPr>
          <w:sz w:val="22"/>
          <w:szCs w:val="22"/>
        </w:rPr>
        <w:t xml:space="preserve">and implementing guidance </w:t>
      </w:r>
      <w:r w:rsidRPr="00D839EE">
        <w:rPr>
          <w:sz w:val="22"/>
          <w:szCs w:val="22"/>
        </w:rPr>
        <w:t>relative to the baseline case (i.e., the no</w:t>
      </w:r>
      <w:r w:rsidR="00E302A6">
        <w:rPr>
          <w:sz w:val="22"/>
          <w:szCs w:val="22"/>
        </w:rPr>
        <w:t>-</w:t>
      </w:r>
      <w:r w:rsidRPr="00D839EE">
        <w:rPr>
          <w:sz w:val="22"/>
          <w:szCs w:val="22"/>
        </w:rPr>
        <w:t xml:space="preserve">action alternative). </w:t>
      </w:r>
    </w:p>
    <w:p w:rsidR="009D5C29" w:rsidRPr="00D839EE" w:rsidP="0029083E" w14:paraId="7F49343E" w14:textId="77777777">
      <w:pPr>
        <w:rPr>
          <w:sz w:val="22"/>
          <w:szCs w:val="22"/>
        </w:rPr>
      </w:pPr>
    </w:p>
    <w:p w:rsidR="00962E0C" w:rsidP="00962E0C" w14:paraId="7F49343F" w14:textId="77777777">
      <w:pPr>
        <w:rPr>
          <w:sz w:val="22"/>
          <w:szCs w:val="22"/>
        </w:rPr>
      </w:pPr>
      <w:r w:rsidRPr="00D839EE">
        <w:rPr>
          <w:sz w:val="22"/>
          <w:szCs w:val="22"/>
        </w:rPr>
        <w:t xml:space="preserve">The </w:t>
      </w:r>
      <w:r w:rsidR="00CA2801">
        <w:rPr>
          <w:sz w:val="22"/>
          <w:szCs w:val="22"/>
        </w:rPr>
        <w:t xml:space="preserve">NRC has made the following </w:t>
      </w:r>
      <w:r w:rsidRPr="00D839EE">
        <w:rPr>
          <w:sz w:val="22"/>
          <w:szCs w:val="22"/>
        </w:rPr>
        <w:t xml:space="preserve">key findings: </w:t>
      </w:r>
    </w:p>
    <w:p w:rsidR="008225B6" w:rsidP="008225B6" w14:paraId="7F493440" w14:textId="77777777">
      <w:pPr>
        <w:pStyle w:val="ListParagraph"/>
        <w:ind w:left="360"/>
        <w:rPr>
          <w:sz w:val="22"/>
          <w:szCs w:val="22"/>
        </w:rPr>
      </w:pPr>
    </w:p>
    <w:p w:rsidR="008225B6" w:rsidRPr="00D839EE" w:rsidP="008225B6" w14:paraId="7F493441" w14:textId="77777777">
      <w:pPr>
        <w:pStyle w:val="ListParagraph"/>
        <w:numPr>
          <w:ilvl w:val="0"/>
          <w:numId w:val="25"/>
        </w:numPr>
        <w:rPr>
          <w:sz w:val="22"/>
          <w:szCs w:val="22"/>
        </w:rPr>
      </w:pPr>
      <w:r>
        <w:rPr>
          <w:sz w:val="22"/>
          <w:szCs w:val="22"/>
        </w:rPr>
        <w:t>Final Rule Analysis.  T</w:t>
      </w:r>
      <w:r w:rsidRPr="005F197C">
        <w:rPr>
          <w:sz w:val="22"/>
          <w:szCs w:val="22"/>
        </w:rPr>
        <w:t>he final rule will result in a total net benefit of $</w:t>
      </w:r>
      <w:r>
        <w:rPr>
          <w:sz w:val="22"/>
          <w:szCs w:val="22"/>
        </w:rPr>
        <w:t>17</w:t>
      </w:r>
      <w:r w:rsidRPr="005F197C">
        <w:rPr>
          <w:sz w:val="22"/>
          <w:szCs w:val="22"/>
        </w:rPr>
        <w:t xml:space="preserve"> million ($</w:t>
      </w:r>
      <w:r>
        <w:rPr>
          <w:sz w:val="22"/>
          <w:szCs w:val="22"/>
        </w:rPr>
        <w:t>12</w:t>
      </w:r>
      <w:r w:rsidR="00F345D6">
        <w:rPr>
          <w:sz w:val="22"/>
          <w:szCs w:val="22"/>
        </w:rPr>
        <w:t> </w:t>
      </w:r>
      <w:r w:rsidRPr="005F197C">
        <w:rPr>
          <w:sz w:val="22"/>
          <w:szCs w:val="22"/>
        </w:rPr>
        <w:t>million using a 3</w:t>
      </w:r>
      <w:r>
        <w:rPr>
          <w:sz w:val="22"/>
          <w:szCs w:val="22"/>
        </w:rPr>
        <w:t>-</w:t>
      </w:r>
      <w:r w:rsidRPr="005F197C">
        <w:rPr>
          <w:sz w:val="22"/>
          <w:szCs w:val="22"/>
        </w:rPr>
        <w:t>percent discount rate or $</w:t>
      </w:r>
      <w:r>
        <w:rPr>
          <w:sz w:val="22"/>
          <w:szCs w:val="22"/>
        </w:rPr>
        <w:t>8.4</w:t>
      </w:r>
      <w:r w:rsidRPr="004528ED">
        <w:rPr>
          <w:sz w:val="22"/>
          <w:szCs w:val="22"/>
        </w:rPr>
        <w:t xml:space="preserve"> </w:t>
      </w:r>
      <w:r>
        <w:rPr>
          <w:sz w:val="22"/>
          <w:szCs w:val="22"/>
        </w:rPr>
        <w:t>million using a 7</w:t>
      </w:r>
      <w:r>
        <w:rPr>
          <w:sz w:val="22"/>
          <w:szCs w:val="22"/>
        </w:rPr>
        <w:noBreakHyphen/>
      </w:r>
      <w:r w:rsidRPr="005F197C">
        <w:rPr>
          <w:sz w:val="22"/>
          <w:szCs w:val="22"/>
        </w:rPr>
        <w:t>percent discount rate) over the 20</w:t>
      </w:r>
      <w:r w:rsidR="00F345D6">
        <w:rPr>
          <w:sz w:val="22"/>
          <w:szCs w:val="22"/>
        </w:rPr>
        <w:noBreakHyphen/>
      </w:r>
      <w:r w:rsidRPr="005F197C">
        <w:rPr>
          <w:sz w:val="22"/>
          <w:szCs w:val="22"/>
        </w:rPr>
        <w:t>year analysis period.  Of the $</w:t>
      </w:r>
      <w:r>
        <w:rPr>
          <w:sz w:val="22"/>
          <w:szCs w:val="22"/>
        </w:rPr>
        <w:t>17</w:t>
      </w:r>
      <w:r w:rsidRPr="005F197C">
        <w:rPr>
          <w:sz w:val="22"/>
          <w:szCs w:val="22"/>
        </w:rPr>
        <w:t xml:space="preserve"> million in net benefits, </w:t>
      </w:r>
      <w:r w:rsidRPr="004528ED">
        <w:rPr>
          <w:sz w:val="22"/>
          <w:szCs w:val="22"/>
        </w:rPr>
        <w:t>licensee</w:t>
      </w:r>
      <w:r w:rsidRPr="005F197C">
        <w:rPr>
          <w:sz w:val="22"/>
          <w:szCs w:val="22"/>
        </w:rPr>
        <w:t>s are expected to receive $5.</w:t>
      </w:r>
      <w:r>
        <w:rPr>
          <w:sz w:val="22"/>
          <w:szCs w:val="22"/>
        </w:rPr>
        <w:t>5</w:t>
      </w:r>
      <w:r w:rsidR="00F345D6">
        <w:rPr>
          <w:sz w:val="22"/>
          <w:szCs w:val="22"/>
        </w:rPr>
        <w:t> </w:t>
      </w:r>
      <w:r w:rsidRPr="005F197C">
        <w:rPr>
          <w:sz w:val="22"/>
          <w:szCs w:val="22"/>
        </w:rPr>
        <w:t>million ($3.</w:t>
      </w:r>
      <w:r>
        <w:rPr>
          <w:sz w:val="22"/>
          <w:szCs w:val="22"/>
        </w:rPr>
        <w:t>9</w:t>
      </w:r>
      <w:r w:rsidRPr="005F197C">
        <w:rPr>
          <w:sz w:val="22"/>
          <w:szCs w:val="22"/>
        </w:rPr>
        <w:t xml:space="preserve"> million using a 3</w:t>
      </w:r>
      <w:r>
        <w:rPr>
          <w:sz w:val="22"/>
          <w:szCs w:val="22"/>
        </w:rPr>
        <w:noBreakHyphen/>
      </w:r>
      <w:r w:rsidRPr="005F197C">
        <w:rPr>
          <w:sz w:val="22"/>
          <w:szCs w:val="22"/>
        </w:rPr>
        <w:t>percent discount rate or $2.</w:t>
      </w:r>
      <w:r>
        <w:rPr>
          <w:sz w:val="22"/>
          <w:szCs w:val="22"/>
        </w:rPr>
        <w:t>6</w:t>
      </w:r>
      <w:r w:rsidRPr="005F197C">
        <w:rPr>
          <w:sz w:val="22"/>
          <w:szCs w:val="22"/>
        </w:rPr>
        <w:t xml:space="preserve"> million using a 7</w:t>
      </w:r>
      <w:r w:rsidR="00F345D6">
        <w:rPr>
          <w:sz w:val="22"/>
          <w:szCs w:val="22"/>
        </w:rPr>
        <w:noBreakHyphen/>
      </w:r>
      <w:r w:rsidRPr="005F197C">
        <w:rPr>
          <w:sz w:val="22"/>
          <w:szCs w:val="22"/>
        </w:rPr>
        <w:t>percent discount rate)</w:t>
      </w:r>
      <w:r>
        <w:rPr>
          <w:sz w:val="22"/>
          <w:szCs w:val="22"/>
        </w:rPr>
        <w:t>,</w:t>
      </w:r>
      <w:r w:rsidRPr="005F197C">
        <w:rPr>
          <w:sz w:val="22"/>
          <w:szCs w:val="22"/>
        </w:rPr>
        <w:t xml:space="preserve"> and the NRC is expected to receive $</w:t>
      </w:r>
      <w:r w:rsidRPr="004528ED">
        <w:rPr>
          <w:sz w:val="22"/>
          <w:szCs w:val="22"/>
        </w:rPr>
        <w:t>1</w:t>
      </w:r>
      <w:r>
        <w:rPr>
          <w:sz w:val="22"/>
          <w:szCs w:val="22"/>
        </w:rPr>
        <w:t>2</w:t>
      </w:r>
      <w:r w:rsidRPr="005F197C">
        <w:rPr>
          <w:sz w:val="22"/>
          <w:szCs w:val="22"/>
        </w:rPr>
        <w:t xml:space="preserve"> million ($</w:t>
      </w:r>
      <w:r>
        <w:rPr>
          <w:sz w:val="22"/>
          <w:szCs w:val="22"/>
        </w:rPr>
        <w:t>8.6</w:t>
      </w:r>
      <w:r w:rsidRPr="005F197C">
        <w:rPr>
          <w:sz w:val="22"/>
          <w:szCs w:val="22"/>
        </w:rPr>
        <w:t xml:space="preserve"> million using a 3</w:t>
      </w:r>
      <w:r>
        <w:rPr>
          <w:sz w:val="22"/>
          <w:szCs w:val="22"/>
        </w:rPr>
        <w:noBreakHyphen/>
      </w:r>
      <w:r w:rsidRPr="005F197C">
        <w:rPr>
          <w:sz w:val="22"/>
          <w:szCs w:val="22"/>
        </w:rPr>
        <w:t>percent discount rate or $</w:t>
      </w:r>
      <w:r>
        <w:rPr>
          <w:sz w:val="22"/>
          <w:szCs w:val="22"/>
        </w:rPr>
        <w:t>5.9</w:t>
      </w:r>
      <w:r w:rsidRPr="005F197C">
        <w:rPr>
          <w:sz w:val="22"/>
          <w:szCs w:val="22"/>
        </w:rPr>
        <w:t xml:space="preserve"> million using a 7</w:t>
      </w:r>
      <w:r>
        <w:rPr>
          <w:sz w:val="22"/>
          <w:szCs w:val="22"/>
        </w:rPr>
        <w:noBreakHyphen/>
      </w:r>
      <w:r w:rsidRPr="005F197C">
        <w:rPr>
          <w:sz w:val="22"/>
          <w:szCs w:val="22"/>
        </w:rPr>
        <w:t>percent discount rate).</w:t>
      </w:r>
    </w:p>
    <w:p w:rsidR="00E05218" w:rsidRPr="00D96410" w:rsidP="001F3201" w14:paraId="7F493444" w14:textId="77777777">
      <w:pPr>
        <w:jc w:val="center"/>
        <w:rPr>
          <w:sz w:val="24"/>
          <w:szCs w:val="22"/>
        </w:rPr>
      </w:pPr>
      <w:r w:rsidRPr="00D96410">
        <w:rPr>
          <w:b/>
          <w:sz w:val="22"/>
        </w:rPr>
        <w:t>Exhibit ES</w:t>
      </w:r>
      <w:r w:rsidRPr="00D96410">
        <w:rPr>
          <w:b/>
          <w:sz w:val="22"/>
        </w:rPr>
        <w:noBreakHyphen/>
      </w:r>
      <w:r w:rsidRPr="00D96410" w:rsidR="00C276FC">
        <w:rPr>
          <w:b/>
          <w:sz w:val="22"/>
        </w:rPr>
        <w:t>1</w:t>
      </w:r>
      <w:r w:rsidRPr="00D96410">
        <w:rPr>
          <w:b/>
          <w:i/>
          <w:sz w:val="22"/>
        </w:rPr>
        <w:t xml:space="preserve">. </w:t>
      </w:r>
      <w:r w:rsidR="00EF5E5B">
        <w:rPr>
          <w:b/>
          <w:sz w:val="22"/>
        </w:rPr>
        <w:t xml:space="preserve">Undiscounted </w:t>
      </w:r>
      <w:r w:rsidR="008225B6">
        <w:rPr>
          <w:b/>
          <w:sz w:val="22"/>
        </w:rPr>
        <w:t>Total</w:t>
      </w:r>
      <w:r w:rsidRPr="00D96410">
        <w:rPr>
          <w:b/>
          <w:sz w:val="22"/>
        </w:rPr>
        <w:t xml:space="preserve"> Costs and Averted Costs </w:t>
      </w:r>
      <w:r w:rsidR="008225B6">
        <w:rPr>
          <w:b/>
          <w:sz w:val="22"/>
        </w:rPr>
        <w:t>of the Final Rule</w:t>
      </w:r>
      <w:r w:rsidRPr="00D96410">
        <w:rPr>
          <w:b/>
          <w:sz w:val="22"/>
        </w:rPr>
        <w:t xml:space="preserve"> (2020$)</w:t>
      </w:r>
    </w:p>
    <w:tbl>
      <w:tblPr>
        <w:tblW w:w="8227" w:type="dxa"/>
        <w:jc w:val="center"/>
        <w:tblLook w:val="04A0"/>
      </w:tblPr>
      <w:tblGrid>
        <w:gridCol w:w="1228"/>
        <w:gridCol w:w="1329"/>
        <w:gridCol w:w="1329"/>
        <w:gridCol w:w="1329"/>
        <w:gridCol w:w="1572"/>
        <w:gridCol w:w="1440"/>
      </w:tblGrid>
      <w:tr w14:paraId="7F49344B" w14:textId="77777777" w:rsidTr="001F3201">
        <w:tblPrEx>
          <w:tblW w:w="8227" w:type="dxa"/>
          <w:jc w:val="center"/>
          <w:tblLook w:val="04A0"/>
        </w:tblPrEx>
        <w:trPr>
          <w:trHeight w:val="315"/>
          <w:jc w:val="center"/>
        </w:trPr>
        <w:tc>
          <w:tcPr>
            <w:tcW w:w="12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E05218" w:rsidRPr="00E05218" w:rsidP="00E05218" w14:paraId="7F493445" w14:textId="77777777">
            <w:pPr>
              <w:autoSpaceDE/>
              <w:autoSpaceDN/>
              <w:adjustRightInd/>
              <w:rPr>
                <w:rFonts w:cs="Arial"/>
                <w:b/>
                <w:bCs/>
                <w:color w:val="000000"/>
              </w:rPr>
            </w:pPr>
            <w:r w:rsidRPr="00E05218">
              <w:rPr>
                <w:rFonts w:cs="Arial"/>
                <w:b/>
                <w:bCs/>
                <w:color w:val="000000"/>
              </w:rPr>
              <w:t>Category</w:t>
            </w:r>
            <w:r>
              <w:rPr>
                <w:rFonts w:cs="Arial"/>
                <w:b/>
                <w:bCs/>
                <w:color w:val="000000"/>
              </w:rPr>
              <w:t>*</w:t>
            </w:r>
          </w:p>
        </w:tc>
        <w:tc>
          <w:tcPr>
            <w:tcW w:w="1329" w:type="dxa"/>
            <w:tcBorders>
              <w:top w:val="single" w:sz="8" w:space="0" w:color="auto"/>
              <w:left w:val="nil"/>
              <w:bottom w:val="single" w:sz="8" w:space="0" w:color="auto"/>
              <w:right w:val="single" w:sz="8" w:space="0" w:color="auto"/>
            </w:tcBorders>
            <w:shd w:val="clear" w:color="000000" w:fill="FFFFFF"/>
            <w:noWrap/>
            <w:vAlign w:val="center"/>
            <w:hideMark/>
          </w:tcPr>
          <w:p w:rsidR="00E05218" w:rsidRPr="00E05218" w:rsidP="00E05218" w14:paraId="7F493446" w14:textId="77777777">
            <w:pPr>
              <w:autoSpaceDE/>
              <w:autoSpaceDN/>
              <w:adjustRightInd/>
              <w:jc w:val="center"/>
              <w:rPr>
                <w:rFonts w:cs="Arial"/>
                <w:b/>
                <w:bCs/>
                <w:color w:val="000000"/>
              </w:rPr>
            </w:pPr>
            <w:r w:rsidRPr="00E05218">
              <w:rPr>
                <w:rFonts w:cs="Arial"/>
                <w:b/>
                <w:bCs/>
                <w:color w:val="000000"/>
              </w:rPr>
              <w:t>Low</w:t>
            </w:r>
          </w:p>
        </w:tc>
        <w:tc>
          <w:tcPr>
            <w:tcW w:w="1329" w:type="dxa"/>
            <w:tcBorders>
              <w:top w:val="single" w:sz="8" w:space="0" w:color="auto"/>
              <w:left w:val="nil"/>
              <w:bottom w:val="single" w:sz="8" w:space="0" w:color="auto"/>
              <w:right w:val="single" w:sz="8" w:space="0" w:color="auto"/>
            </w:tcBorders>
            <w:shd w:val="clear" w:color="000000" w:fill="FFFFFF"/>
            <w:noWrap/>
            <w:vAlign w:val="center"/>
            <w:hideMark/>
          </w:tcPr>
          <w:p w:rsidR="00E05218" w:rsidRPr="00E05218" w:rsidP="00E05218" w14:paraId="7F493447" w14:textId="77777777">
            <w:pPr>
              <w:autoSpaceDE/>
              <w:autoSpaceDN/>
              <w:adjustRightInd/>
              <w:jc w:val="center"/>
              <w:rPr>
                <w:rFonts w:cs="Arial"/>
                <w:b/>
                <w:bCs/>
                <w:color w:val="000000"/>
              </w:rPr>
            </w:pPr>
            <w:r w:rsidRPr="00E05218">
              <w:rPr>
                <w:rFonts w:cs="Arial"/>
                <w:b/>
                <w:bCs/>
                <w:color w:val="000000"/>
              </w:rPr>
              <w:t>Medium</w:t>
            </w:r>
          </w:p>
        </w:tc>
        <w:tc>
          <w:tcPr>
            <w:tcW w:w="1329" w:type="dxa"/>
            <w:tcBorders>
              <w:top w:val="single" w:sz="8" w:space="0" w:color="auto"/>
              <w:left w:val="nil"/>
              <w:bottom w:val="single" w:sz="8" w:space="0" w:color="auto"/>
              <w:right w:val="single" w:sz="8" w:space="0" w:color="auto"/>
            </w:tcBorders>
            <w:shd w:val="clear" w:color="000000" w:fill="FFFFFF"/>
            <w:noWrap/>
            <w:vAlign w:val="center"/>
            <w:hideMark/>
          </w:tcPr>
          <w:p w:rsidR="00E05218" w:rsidRPr="00E05218" w:rsidP="00E05218" w14:paraId="7F493448" w14:textId="77777777">
            <w:pPr>
              <w:autoSpaceDE/>
              <w:autoSpaceDN/>
              <w:adjustRightInd/>
              <w:jc w:val="center"/>
              <w:rPr>
                <w:rFonts w:cs="Arial"/>
                <w:b/>
                <w:bCs/>
                <w:color w:val="000000"/>
              </w:rPr>
            </w:pPr>
            <w:r w:rsidRPr="00E05218">
              <w:rPr>
                <w:rFonts w:cs="Arial"/>
                <w:b/>
                <w:bCs/>
                <w:color w:val="000000"/>
              </w:rPr>
              <w:t>High</w:t>
            </w:r>
          </w:p>
        </w:tc>
        <w:tc>
          <w:tcPr>
            <w:tcW w:w="1572" w:type="dxa"/>
            <w:tcBorders>
              <w:top w:val="single" w:sz="8" w:space="0" w:color="auto"/>
              <w:left w:val="nil"/>
              <w:bottom w:val="single" w:sz="8" w:space="0" w:color="auto"/>
              <w:right w:val="single" w:sz="8" w:space="0" w:color="auto"/>
            </w:tcBorders>
            <w:shd w:val="clear" w:color="000000" w:fill="FFFFFF"/>
            <w:noWrap/>
            <w:vAlign w:val="center"/>
            <w:hideMark/>
          </w:tcPr>
          <w:p w:rsidR="00E05218" w:rsidRPr="00E05218" w:rsidP="00E05218" w14:paraId="7F493449" w14:textId="77777777">
            <w:pPr>
              <w:autoSpaceDE/>
              <w:autoSpaceDN/>
              <w:adjustRightInd/>
              <w:jc w:val="center"/>
              <w:rPr>
                <w:rFonts w:cs="Arial"/>
                <w:b/>
                <w:bCs/>
                <w:color w:val="000000"/>
              </w:rPr>
            </w:pPr>
            <w:r w:rsidRPr="00E05218">
              <w:rPr>
                <w:rFonts w:cs="Arial"/>
                <w:b/>
                <w:bCs/>
                <w:color w:val="000000"/>
              </w:rPr>
              <w:t>Other NPUFs</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rsidR="00E05218" w:rsidRPr="00E05218" w:rsidP="00E05218" w14:paraId="7F49344A" w14:textId="77777777">
            <w:pPr>
              <w:autoSpaceDE/>
              <w:autoSpaceDN/>
              <w:adjustRightInd/>
              <w:jc w:val="center"/>
              <w:rPr>
                <w:rFonts w:cs="Arial"/>
                <w:b/>
                <w:bCs/>
                <w:color w:val="000000"/>
              </w:rPr>
            </w:pPr>
            <w:r w:rsidRPr="00E05218">
              <w:rPr>
                <w:rFonts w:cs="Arial"/>
                <w:b/>
                <w:bCs/>
                <w:color w:val="000000"/>
              </w:rPr>
              <w:t>Total</w:t>
            </w:r>
            <w:r>
              <w:rPr>
                <w:rFonts w:cs="Arial"/>
                <w:b/>
                <w:bCs/>
                <w:color w:val="000000"/>
              </w:rPr>
              <w:t>**</w:t>
            </w:r>
          </w:p>
        </w:tc>
      </w:tr>
      <w:tr w14:paraId="7F49344D" w14:textId="77777777" w:rsidTr="00D70C5A">
        <w:tblPrEx>
          <w:tblW w:w="8227" w:type="dxa"/>
          <w:jc w:val="center"/>
          <w:tblLook w:val="04A0"/>
        </w:tblPrEx>
        <w:trPr>
          <w:trHeight w:val="315"/>
          <w:jc w:val="center"/>
        </w:trPr>
        <w:tc>
          <w:tcPr>
            <w:tcW w:w="8227"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E05218" w:rsidRPr="00E05218" w:rsidP="00E05218" w14:paraId="7F49344C" w14:textId="77777777">
            <w:pPr>
              <w:autoSpaceDE/>
              <w:autoSpaceDN/>
              <w:adjustRightInd/>
              <w:jc w:val="center"/>
              <w:rPr>
                <w:rFonts w:cs="Arial"/>
                <w:b/>
                <w:bCs/>
                <w:color w:val="000000"/>
              </w:rPr>
            </w:pPr>
            <w:r w:rsidRPr="00E05218">
              <w:rPr>
                <w:rFonts w:cs="Arial"/>
                <w:b/>
                <w:bCs/>
                <w:color w:val="000000"/>
              </w:rPr>
              <w:t>Costs</w:t>
            </w:r>
          </w:p>
        </w:tc>
      </w:tr>
      <w:tr w14:paraId="7F493454" w14:textId="77777777" w:rsidTr="001F3201">
        <w:tblPrEx>
          <w:tblW w:w="8227" w:type="dxa"/>
          <w:jc w:val="center"/>
          <w:tblLook w:val="04A0"/>
        </w:tblPrEx>
        <w:trPr>
          <w:trHeight w:val="315"/>
          <w:jc w:val="center"/>
        </w:trPr>
        <w:tc>
          <w:tcPr>
            <w:tcW w:w="1228" w:type="dxa"/>
            <w:tcBorders>
              <w:top w:val="nil"/>
              <w:left w:val="single" w:sz="8" w:space="0" w:color="auto"/>
              <w:bottom w:val="single" w:sz="8" w:space="0" w:color="auto"/>
              <w:right w:val="single" w:sz="8" w:space="0" w:color="auto"/>
            </w:tcBorders>
            <w:shd w:val="clear" w:color="000000" w:fill="FFFFFF"/>
            <w:noWrap/>
            <w:vAlign w:val="center"/>
            <w:hideMark/>
          </w:tcPr>
          <w:p w:rsidR="00E05218" w:rsidRPr="00E05218" w:rsidP="00E05218" w14:paraId="7F49344E" w14:textId="77777777">
            <w:pPr>
              <w:autoSpaceDE/>
              <w:autoSpaceDN/>
              <w:adjustRightInd/>
              <w:rPr>
                <w:rFonts w:cs="Arial"/>
                <w:color w:val="000000"/>
              </w:rPr>
            </w:pPr>
            <w:r w:rsidRPr="00E05218">
              <w:rPr>
                <w:rFonts w:cs="Arial"/>
                <w:color w:val="000000"/>
              </w:rPr>
              <w:t>Licensees</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4F" w14:textId="77777777">
            <w:pPr>
              <w:autoSpaceDE/>
              <w:autoSpaceDN/>
              <w:adjustRightInd/>
              <w:jc w:val="center"/>
              <w:rPr>
                <w:rFonts w:cs="Arial"/>
                <w:color w:val="000000"/>
              </w:rPr>
            </w:pPr>
            <w:r>
              <w:rPr>
                <w:rFonts w:cs="Arial"/>
                <w:color w:val="000000"/>
              </w:rPr>
              <w:t>(</w:t>
            </w:r>
            <w:r w:rsidRPr="00E05218">
              <w:rPr>
                <w:rFonts w:cs="Arial"/>
                <w:color w:val="000000"/>
              </w:rPr>
              <w:t>$150,000</w:t>
            </w:r>
            <w:r>
              <w:rPr>
                <w:rFonts w:cs="Arial"/>
                <w:color w:val="000000"/>
              </w:rPr>
              <w:t>)</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0" w14:textId="77777777">
            <w:pPr>
              <w:autoSpaceDE/>
              <w:autoSpaceDN/>
              <w:adjustRightInd/>
              <w:jc w:val="center"/>
              <w:rPr>
                <w:rFonts w:cs="Arial"/>
                <w:color w:val="000000"/>
              </w:rPr>
            </w:pPr>
            <w:r>
              <w:rPr>
                <w:rFonts w:cs="Arial"/>
                <w:color w:val="000000"/>
              </w:rPr>
              <w:t>(</w:t>
            </w:r>
            <w:r w:rsidRPr="00E05218">
              <w:rPr>
                <w:rFonts w:cs="Arial"/>
                <w:color w:val="000000"/>
              </w:rPr>
              <w:t>$870,000</w:t>
            </w:r>
            <w:r>
              <w:rPr>
                <w:rFonts w:cs="Arial"/>
                <w:color w:val="000000"/>
              </w:rPr>
              <w:t>)</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1" w14:textId="77777777">
            <w:pPr>
              <w:autoSpaceDE/>
              <w:autoSpaceDN/>
              <w:adjustRightInd/>
              <w:jc w:val="center"/>
              <w:rPr>
                <w:rFonts w:cs="Arial"/>
                <w:color w:val="000000"/>
              </w:rPr>
            </w:pPr>
            <w:r>
              <w:rPr>
                <w:rFonts w:cs="Arial"/>
                <w:color w:val="000000"/>
              </w:rPr>
              <w:t>(</w:t>
            </w:r>
            <w:r w:rsidRPr="00E05218">
              <w:rPr>
                <w:rFonts w:cs="Arial"/>
                <w:color w:val="000000"/>
              </w:rPr>
              <w:t>$270,000</w:t>
            </w:r>
            <w:r>
              <w:rPr>
                <w:rFonts w:cs="Arial"/>
                <w:color w:val="000000"/>
              </w:rPr>
              <w:t>)</w:t>
            </w:r>
          </w:p>
        </w:tc>
        <w:tc>
          <w:tcPr>
            <w:tcW w:w="1572"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2" w14:textId="77777777">
            <w:pPr>
              <w:autoSpaceDE/>
              <w:autoSpaceDN/>
              <w:adjustRightInd/>
              <w:jc w:val="center"/>
              <w:rPr>
                <w:rFonts w:cs="Arial"/>
                <w:color w:val="000000"/>
              </w:rPr>
            </w:pPr>
            <w:r>
              <w:rPr>
                <w:rFonts w:cs="Arial"/>
                <w:color w:val="000000"/>
              </w:rPr>
              <w:t>(</w:t>
            </w:r>
            <w:r w:rsidRPr="00E05218">
              <w:rPr>
                <w:rFonts w:cs="Arial"/>
                <w:color w:val="000000"/>
              </w:rPr>
              <w:t>$220,000</w:t>
            </w:r>
            <w:r>
              <w:rPr>
                <w:rFonts w:cs="Arial"/>
                <w:color w:val="000000"/>
              </w:rPr>
              <w:t>)</w:t>
            </w:r>
          </w:p>
        </w:tc>
        <w:tc>
          <w:tcPr>
            <w:tcW w:w="1440"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3" w14:textId="77777777">
            <w:pPr>
              <w:autoSpaceDE/>
              <w:autoSpaceDN/>
              <w:adjustRightInd/>
              <w:jc w:val="center"/>
              <w:rPr>
                <w:rFonts w:cs="Arial"/>
                <w:color w:val="000000"/>
              </w:rPr>
            </w:pPr>
            <w:r>
              <w:rPr>
                <w:rFonts w:cs="Arial"/>
                <w:color w:val="000000"/>
              </w:rPr>
              <w:t>(</w:t>
            </w:r>
            <w:r w:rsidRPr="00E05218">
              <w:rPr>
                <w:rFonts w:cs="Arial"/>
                <w:color w:val="000000"/>
              </w:rPr>
              <w:t>$1,500,000</w:t>
            </w:r>
            <w:r>
              <w:rPr>
                <w:rFonts w:cs="Arial"/>
                <w:color w:val="000000"/>
              </w:rPr>
              <w:t>)</w:t>
            </w:r>
          </w:p>
        </w:tc>
      </w:tr>
      <w:tr w14:paraId="7F49345B" w14:textId="77777777" w:rsidTr="001F3201">
        <w:tblPrEx>
          <w:tblW w:w="8227" w:type="dxa"/>
          <w:jc w:val="center"/>
          <w:tblLook w:val="04A0"/>
        </w:tblPrEx>
        <w:trPr>
          <w:trHeight w:val="315"/>
          <w:jc w:val="center"/>
        </w:trPr>
        <w:tc>
          <w:tcPr>
            <w:tcW w:w="1228" w:type="dxa"/>
            <w:tcBorders>
              <w:top w:val="nil"/>
              <w:left w:val="single" w:sz="8" w:space="0" w:color="auto"/>
              <w:bottom w:val="single" w:sz="8" w:space="0" w:color="auto"/>
              <w:right w:val="single" w:sz="8" w:space="0" w:color="auto"/>
            </w:tcBorders>
            <w:shd w:val="clear" w:color="000000" w:fill="FFFFFF"/>
            <w:noWrap/>
            <w:vAlign w:val="center"/>
            <w:hideMark/>
          </w:tcPr>
          <w:p w:rsidR="00E05218" w:rsidRPr="00E05218" w:rsidP="00E05218" w14:paraId="7F493455" w14:textId="77777777">
            <w:pPr>
              <w:autoSpaceDE/>
              <w:autoSpaceDN/>
              <w:adjustRightInd/>
              <w:rPr>
                <w:rFonts w:cs="Arial"/>
                <w:color w:val="000000"/>
              </w:rPr>
            </w:pPr>
            <w:r w:rsidRPr="00E05218">
              <w:rPr>
                <w:rFonts w:cs="Arial"/>
                <w:color w:val="000000"/>
              </w:rPr>
              <w:t>NRC</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6" w14:textId="77777777">
            <w:pPr>
              <w:autoSpaceDE/>
              <w:autoSpaceDN/>
              <w:adjustRightInd/>
              <w:jc w:val="center"/>
              <w:rPr>
                <w:rFonts w:cs="Arial"/>
                <w:color w:val="000000"/>
              </w:rPr>
            </w:pPr>
            <w:r>
              <w:rPr>
                <w:rFonts w:cs="Arial"/>
                <w:color w:val="000000"/>
              </w:rPr>
              <w:t>(</w:t>
            </w:r>
            <w:r w:rsidRPr="00E05218">
              <w:rPr>
                <w:rFonts w:cs="Arial"/>
                <w:color w:val="000000"/>
              </w:rPr>
              <w:t>$92,000</w:t>
            </w:r>
            <w:r>
              <w:rPr>
                <w:rFonts w:cs="Arial"/>
                <w:color w:val="000000"/>
              </w:rPr>
              <w:t>)</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7" w14:textId="77777777">
            <w:pPr>
              <w:autoSpaceDE/>
              <w:autoSpaceDN/>
              <w:adjustRightInd/>
              <w:jc w:val="center"/>
              <w:rPr>
                <w:rFonts w:cs="Arial"/>
                <w:color w:val="000000"/>
              </w:rPr>
            </w:pPr>
            <w:r>
              <w:rPr>
                <w:rFonts w:cs="Arial"/>
                <w:color w:val="000000"/>
              </w:rPr>
              <w:t>(</w:t>
            </w:r>
            <w:r w:rsidRPr="00E05218">
              <w:rPr>
                <w:rFonts w:cs="Arial"/>
                <w:color w:val="000000"/>
              </w:rPr>
              <w:t>$510,000</w:t>
            </w:r>
            <w:r>
              <w:rPr>
                <w:rFonts w:cs="Arial"/>
                <w:color w:val="000000"/>
              </w:rPr>
              <w:t>)</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8" w14:textId="77777777">
            <w:pPr>
              <w:autoSpaceDE/>
              <w:autoSpaceDN/>
              <w:adjustRightInd/>
              <w:jc w:val="center"/>
              <w:rPr>
                <w:rFonts w:cs="Arial"/>
                <w:color w:val="000000"/>
              </w:rPr>
            </w:pPr>
            <w:r>
              <w:rPr>
                <w:rFonts w:cs="Arial"/>
                <w:color w:val="000000"/>
              </w:rPr>
              <w:t>(</w:t>
            </w:r>
            <w:r w:rsidRPr="00E05218">
              <w:rPr>
                <w:rFonts w:cs="Arial"/>
                <w:color w:val="000000"/>
              </w:rPr>
              <w:t>$120,000</w:t>
            </w:r>
            <w:r>
              <w:rPr>
                <w:rFonts w:cs="Arial"/>
                <w:color w:val="000000"/>
              </w:rPr>
              <w:t>)</w:t>
            </w:r>
          </w:p>
        </w:tc>
        <w:tc>
          <w:tcPr>
            <w:tcW w:w="1572"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9" w14:textId="77777777">
            <w:pPr>
              <w:autoSpaceDE/>
              <w:autoSpaceDN/>
              <w:adjustRightInd/>
              <w:jc w:val="center"/>
              <w:rPr>
                <w:rFonts w:cs="Arial"/>
                <w:color w:val="000000"/>
              </w:rPr>
            </w:pPr>
            <w:r>
              <w:rPr>
                <w:rFonts w:cs="Arial"/>
                <w:color w:val="000000"/>
              </w:rPr>
              <w:t>(</w:t>
            </w:r>
            <w:r w:rsidRPr="00E05218">
              <w:rPr>
                <w:rFonts w:cs="Arial"/>
                <w:color w:val="000000"/>
              </w:rPr>
              <w:t>$80,000</w:t>
            </w:r>
            <w:r>
              <w:rPr>
                <w:rFonts w:cs="Arial"/>
                <w:color w:val="000000"/>
              </w:rPr>
              <w:t>)</w:t>
            </w:r>
          </w:p>
        </w:tc>
        <w:tc>
          <w:tcPr>
            <w:tcW w:w="1440"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A" w14:textId="77777777">
            <w:pPr>
              <w:autoSpaceDE/>
              <w:autoSpaceDN/>
              <w:adjustRightInd/>
              <w:jc w:val="center"/>
              <w:rPr>
                <w:rFonts w:cs="Arial"/>
                <w:color w:val="000000"/>
              </w:rPr>
            </w:pPr>
            <w:r>
              <w:rPr>
                <w:rFonts w:cs="Arial"/>
                <w:color w:val="000000"/>
              </w:rPr>
              <w:t>(</w:t>
            </w:r>
            <w:r w:rsidRPr="00E05218">
              <w:rPr>
                <w:rFonts w:cs="Arial"/>
                <w:color w:val="000000"/>
              </w:rPr>
              <w:t>$800,000</w:t>
            </w:r>
            <w:r>
              <w:rPr>
                <w:rFonts w:cs="Arial"/>
                <w:color w:val="000000"/>
              </w:rPr>
              <w:t>)</w:t>
            </w:r>
          </w:p>
        </w:tc>
      </w:tr>
      <w:tr w14:paraId="7F49345D" w14:textId="77777777" w:rsidTr="00D70C5A">
        <w:tblPrEx>
          <w:tblW w:w="8227" w:type="dxa"/>
          <w:jc w:val="center"/>
          <w:tblLook w:val="04A0"/>
        </w:tblPrEx>
        <w:trPr>
          <w:trHeight w:val="315"/>
          <w:jc w:val="center"/>
        </w:trPr>
        <w:tc>
          <w:tcPr>
            <w:tcW w:w="8227"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E05218" w:rsidRPr="00E05218" w:rsidP="00E05218" w14:paraId="7F49345C" w14:textId="77777777">
            <w:pPr>
              <w:autoSpaceDE/>
              <w:autoSpaceDN/>
              <w:adjustRightInd/>
              <w:jc w:val="center"/>
              <w:rPr>
                <w:rFonts w:cs="Arial"/>
                <w:b/>
                <w:bCs/>
                <w:color w:val="000000"/>
              </w:rPr>
            </w:pPr>
            <w:r w:rsidRPr="00E05218">
              <w:rPr>
                <w:rFonts w:cs="Arial"/>
                <w:b/>
                <w:bCs/>
                <w:color w:val="000000"/>
              </w:rPr>
              <w:t>Averted Costs</w:t>
            </w:r>
          </w:p>
        </w:tc>
      </w:tr>
      <w:tr w14:paraId="7F493464" w14:textId="77777777" w:rsidTr="001F3201">
        <w:tblPrEx>
          <w:tblW w:w="8227" w:type="dxa"/>
          <w:jc w:val="center"/>
          <w:tblLook w:val="04A0"/>
        </w:tblPrEx>
        <w:trPr>
          <w:trHeight w:val="315"/>
          <w:jc w:val="center"/>
        </w:trPr>
        <w:tc>
          <w:tcPr>
            <w:tcW w:w="1228" w:type="dxa"/>
            <w:tcBorders>
              <w:top w:val="nil"/>
              <w:left w:val="single" w:sz="8" w:space="0" w:color="auto"/>
              <w:bottom w:val="single" w:sz="8" w:space="0" w:color="auto"/>
              <w:right w:val="single" w:sz="8" w:space="0" w:color="auto"/>
            </w:tcBorders>
            <w:shd w:val="clear" w:color="000000" w:fill="FFFFFF"/>
            <w:noWrap/>
            <w:vAlign w:val="center"/>
            <w:hideMark/>
          </w:tcPr>
          <w:p w:rsidR="00E05218" w:rsidRPr="00E05218" w:rsidP="00E05218" w14:paraId="7F49345E" w14:textId="77777777">
            <w:pPr>
              <w:autoSpaceDE/>
              <w:autoSpaceDN/>
              <w:adjustRightInd/>
              <w:rPr>
                <w:rFonts w:cs="Arial"/>
                <w:color w:val="000000"/>
              </w:rPr>
            </w:pPr>
            <w:r w:rsidRPr="00E05218">
              <w:rPr>
                <w:rFonts w:cs="Arial"/>
                <w:color w:val="000000"/>
              </w:rPr>
              <w:t>Licensees</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5F" w14:textId="77777777">
            <w:pPr>
              <w:autoSpaceDE/>
              <w:autoSpaceDN/>
              <w:adjustRightInd/>
              <w:jc w:val="center"/>
              <w:rPr>
                <w:rFonts w:cs="Arial"/>
                <w:color w:val="000000"/>
              </w:rPr>
            </w:pPr>
            <w:r w:rsidRPr="00E05218">
              <w:rPr>
                <w:rFonts w:cs="Arial"/>
                <w:color w:val="000000"/>
              </w:rPr>
              <w:t>$850,000</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60" w14:textId="77777777">
            <w:pPr>
              <w:autoSpaceDE/>
              <w:autoSpaceDN/>
              <w:adjustRightInd/>
              <w:jc w:val="center"/>
              <w:rPr>
                <w:rFonts w:cs="Arial"/>
                <w:color w:val="000000"/>
              </w:rPr>
            </w:pPr>
            <w:r w:rsidRPr="00E05218">
              <w:rPr>
                <w:rFonts w:cs="Arial"/>
                <w:color w:val="000000"/>
              </w:rPr>
              <w:t>$5,100,000</w:t>
            </w:r>
          </w:p>
        </w:tc>
        <w:tc>
          <w:tcPr>
            <w:tcW w:w="1329"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61" w14:textId="77777777">
            <w:pPr>
              <w:autoSpaceDE/>
              <w:autoSpaceDN/>
              <w:adjustRightInd/>
              <w:jc w:val="center"/>
              <w:rPr>
                <w:rFonts w:cs="Arial"/>
                <w:color w:val="000000"/>
              </w:rPr>
            </w:pPr>
            <w:r w:rsidRPr="00E05218">
              <w:rPr>
                <w:rFonts w:cs="Arial"/>
                <w:color w:val="000000"/>
              </w:rPr>
              <w:t>$1,000,000</w:t>
            </w:r>
          </w:p>
        </w:tc>
        <w:tc>
          <w:tcPr>
            <w:tcW w:w="1572"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62" w14:textId="77777777">
            <w:pPr>
              <w:autoSpaceDE/>
              <w:autoSpaceDN/>
              <w:adjustRightInd/>
              <w:jc w:val="center"/>
              <w:rPr>
                <w:rFonts w:cs="Arial"/>
                <w:color w:val="000000"/>
              </w:rPr>
            </w:pPr>
            <w:r w:rsidRPr="00E05218">
              <w:rPr>
                <w:rFonts w:cs="Arial"/>
                <w:color w:val="000000"/>
              </w:rPr>
              <w:t>$0</w:t>
            </w:r>
          </w:p>
        </w:tc>
        <w:tc>
          <w:tcPr>
            <w:tcW w:w="1440" w:type="dxa"/>
            <w:tcBorders>
              <w:top w:val="nil"/>
              <w:left w:val="nil"/>
              <w:bottom w:val="single" w:sz="8" w:space="0" w:color="auto"/>
              <w:right w:val="single" w:sz="8" w:space="0" w:color="auto"/>
            </w:tcBorders>
            <w:shd w:val="clear" w:color="000000" w:fill="FFFFFF"/>
            <w:noWrap/>
            <w:vAlign w:val="center"/>
            <w:hideMark/>
          </w:tcPr>
          <w:p w:rsidR="00E05218" w:rsidRPr="00E05218" w:rsidP="00E05218" w14:paraId="7F493463" w14:textId="77777777">
            <w:pPr>
              <w:autoSpaceDE/>
              <w:autoSpaceDN/>
              <w:adjustRightInd/>
              <w:jc w:val="center"/>
              <w:rPr>
                <w:rFonts w:cs="Arial"/>
                <w:color w:val="000000"/>
              </w:rPr>
            </w:pPr>
            <w:r w:rsidRPr="00E05218">
              <w:rPr>
                <w:rFonts w:cs="Arial"/>
                <w:color w:val="000000"/>
              </w:rPr>
              <w:t>$7,000,000</w:t>
            </w:r>
          </w:p>
        </w:tc>
      </w:tr>
      <w:tr w14:paraId="7F49346B" w14:textId="77777777" w:rsidTr="007628D1">
        <w:tblPrEx>
          <w:tblW w:w="8227" w:type="dxa"/>
          <w:jc w:val="center"/>
          <w:tblLook w:val="04A0"/>
        </w:tblPrEx>
        <w:trPr>
          <w:trHeight w:val="315"/>
          <w:jc w:val="center"/>
        </w:trPr>
        <w:tc>
          <w:tcPr>
            <w:tcW w:w="1228" w:type="dxa"/>
            <w:tcBorders>
              <w:top w:val="nil"/>
              <w:left w:val="single" w:sz="8" w:space="0" w:color="auto"/>
              <w:bottom w:val="single" w:sz="4" w:space="0" w:color="auto"/>
              <w:right w:val="single" w:sz="8" w:space="0" w:color="auto"/>
            </w:tcBorders>
            <w:shd w:val="clear" w:color="000000" w:fill="FFFFFF"/>
            <w:noWrap/>
            <w:vAlign w:val="center"/>
            <w:hideMark/>
          </w:tcPr>
          <w:p w:rsidR="00E05218" w:rsidRPr="00E05218" w:rsidP="00E05218" w14:paraId="7F493465" w14:textId="77777777">
            <w:pPr>
              <w:autoSpaceDE/>
              <w:autoSpaceDN/>
              <w:adjustRightInd/>
              <w:rPr>
                <w:rFonts w:cs="Arial"/>
                <w:color w:val="000000"/>
              </w:rPr>
            </w:pPr>
            <w:r w:rsidRPr="00E05218">
              <w:rPr>
                <w:rFonts w:cs="Arial"/>
                <w:color w:val="000000"/>
              </w:rPr>
              <w:t>NRC</w:t>
            </w:r>
          </w:p>
        </w:tc>
        <w:tc>
          <w:tcPr>
            <w:tcW w:w="1329" w:type="dxa"/>
            <w:tcBorders>
              <w:top w:val="nil"/>
              <w:left w:val="nil"/>
              <w:bottom w:val="single" w:sz="4" w:space="0" w:color="auto"/>
              <w:right w:val="single" w:sz="8" w:space="0" w:color="auto"/>
            </w:tcBorders>
            <w:shd w:val="clear" w:color="000000" w:fill="FFFFFF"/>
            <w:noWrap/>
            <w:vAlign w:val="center"/>
            <w:hideMark/>
          </w:tcPr>
          <w:p w:rsidR="00E05218" w:rsidRPr="00E05218" w:rsidP="00E05218" w14:paraId="7F493466" w14:textId="77777777">
            <w:pPr>
              <w:autoSpaceDE/>
              <w:autoSpaceDN/>
              <w:adjustRightInd/>
              <w:jc w:val="center"/>
              <w:rPr>
                <w:rFonts w:cs="Arial"/>
                <w:color w:val="000000"/>
              </w:rPr>
            </w:pPr>
            <w:r w:rsidRPr="00E05218">
              <w:rPr>
                <w:rFonts w:cs="Arial"/>
                <w:color w:val="000000"/>
              </w:rPr>
              <w:t>$1,400,000</w:t>
            </w:r>
          </w:p>
        </w:tc>
        <w:tc>
          <w:tcPr>
            <w:tcW w:w="1329" w:type="dxa"/>
            <w:tcBorders>
              <w:top w:val="nil"/>
              <w:left w:val="nil"/>
              <w:bottom w:val="single" w:sz="4" w:space="0" w:color="auto"/>
              <w:right w:val="single" w:sz="8" w:space="0" w:color="auto"/>
            </w:tcBorders>
            <w:shd w:val="clear" w:color="000000" w:fill="FFFFFF"/>
            <w:noWrap/>
            <w:vAlign w:val="center"/>
            <w:hideMark/>
          </w:tcPr>
          <w:p w:rsidR="00E05218" w:rsidRPr="00E05218" w:rsidP="00E05218" w14:paraId="7F493467" w14:textId="77777777">
            <w:pPr>
              <w:autoSpaceDE/>
              <w:autoSpaceDN/>
              <w:adjustRightInd/>
              <w:jc w:val="center"/>
              <w:rPr>
                <w:rFonts w:cs="Arial"/>
                <w:color w:val="000000"/>
              </w:rPr>
            </w:pPr>
            <w:r w:rsidRPr="00E05218">
              <w:rPr>
                <w:rFonts w:cs="Arial"/>
                <w:color w:val="000000"/>
              </w:rPr>
              <w:t>$8,900,000</w:t>
            </w:r>
          </w:p>
        </w:tc>
        <w:tc>
          <w:tcPr>
            <w:tcW w:w="1329" w:type="dxa"/>
            <w:tcBorders>
              <w:top w:val="nil"/>
              <w:left w:val="nil"/>
              <w:bottom w:val="single" w:sz="4" w:space="0" w:color="auto"/>
              <w:right w:val="single" w:sz="8" w:space="0" w:color="auto"/>
            </w:tcBorders>
            <w:shd w:val="clear" w:color="000000" w:fill="FFFFFF"/>
            <w:noWrap/>
            <w:vAlign w:val="center"/>
            <w:hideMark/>
          </w:tcPr>
          <w:p w:rsidR="00E05218" w:rsidRPr="00E05218" w:rsidP="00E05218" w14:paraId="7F493468" w14:textId="77777777">
            <w:pPr>
              <w:autoSpaceDE/>
              <w:autoSpaceDN/>
              <w:adjustRightInd/>
              <w:jc w:val="center"/>
              <w:rPr>
                <w:rFonts w:cs="Arial"/>
                <w:color w:val="000000"/>
              </w:rPr>
            </w:pPr>
            <w:r w:rsidRPr="00E05218">
              <w:rPr>
                <w:rFonts w:cs="Arial"/>
                <w:color w:val="000000"/>
              </w:rPr>
              <w:t>$2,000,000</w:t>
            </w:r>
          </w:p>
        </w:tc>
        <w:tc>
          <w:tcPr>
            <w:tcW w:w="1572" w:type="dxa"/>
            <w:tcBorders>
              <w:top w:val="nil"/>
              <w:left w:val="nil"/>
              <w:bottom w:val="single" w:sz="4" w:space="0" w:color="auto"/>
              <w:right w:val="single" w:sz="8" w:space="0" w:color="auto"/>
            </w:tcBorders>
            <w:shd w:val="clear" w:color="000000" w:fill="FFFFFF"/>
            <w:noWrap/>
            <w:vAlign w:val="center"/>
            <w:hideMark/>
          </w:tcPr>
          <w:p w:rsidR="00E05218" w:rsidRPr="00E05218" w:rsidP="00E05218" w14:paraId="7F493469" w14:textId="77777777">
            <w:pPr>
              <w:autoSpaceDE/>
              <w:autoSpaceDN/>
              <w:adjustRightInd/>
              <w:jc w:val="center"/>
              <w:rPr>
                <w:rFonts w:cs="Arial"/>
                <w:color w:val="000000"/>
              </w:rPr>
            </w:pPr>
            <w:r w:rsidRPr="00E05218">
              <w:rPr>
                <w:rFonts w:cs="Arial"/>
                <w:color w:val="000000"/>
              </w:rPr>
              <w:t>$0</w:t>
            </w:r>
          </w:p>
        </w:tc>
        <w:tc>
          <w:tcPr>
            <w:tcW w:w="1440" w:type="dxa"/>
            <w:tcBorders>
              <w:top w:val="nil"/>
              <w:left w:val="nil"/>
              <w:bottom w:val="single" w:sz="4" w:space="0" w:color="auto"/>
              <w:right w:val="single" w:sz="8" w:space="0" w:color="auto"/>
            </w:tcBorders>
            <w:shd w:val="clear" w:color="000000" w:fill="FFFFFF"/>
            <w:noWrap/>
            <w:vAlign w:val="center"/>
            <w:hideMark/>
          </w:tcPr>
          <w:p w:rsidR="00E05218" w:rsidRPr="00E05218" w:rsidP="00E05218" w14:paraId="7F49346A" w14:textId="77777777">
            <w:pPr>
              <w:autoSpaceDE/>
              <w:autoSpaceDN/>
              <w:adjustRightInd/>
              <w:jc w:val="center"/>
              <w:rPr>
                <w:rFonts w:cs="Arial"/>
                <w:color w:val="000000"/>
              </w:rPr>
            </w:pPr>
            <w:r w:rsidRPr="00E05218">
              <w:rPr>
                <w:rFonts w:cs="Arial"/>
                <w:color w:val="000000"/>
              </w:rPr>
              <w:t>$12,000,000</w:t>
            </w:r>
          </w:p>
        </w:tc>
      </w:tr>
      <w:tr w14:paraId="7F49346D" w14:textId="77777777" w:rsidTr="00D70C5A">
        <w:tblPrEx>
          <w:tblW w:w="8227" w:type="dxa"/>
          <w:jc w:val="center"/>
          <w:tblLook w:val="04A0"/>
        </w:tblPrEx>
        <w:trPr>
          <w:trHeight w:val="315"/>
          <w:jc w:val="center"/>
        </w:trPr>
        <w:tc>
          <w:tcPr>
            <w:tcW w:w="822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628D1" w:rsidRPr="007628D1" w:rsidP="00E05218" w14:paraId="7F49346C" w14:textId="77777777">
            <w:pPr>
              <w:autoSpaceDE/>
              <w:autoSpaceDN/>
              <w:adjustRightInd/>
              <w:jc w:val="center"/>
              <w:rPr>
                <w:rFonts w:cs="Arial"/>
                <w:b/>
                <w:color w:val="000000"/>
              </w:rPr>
            </w:pPr>
            <w:r w:rsidRPr="007628D1">
              <w:rPr>
                <w:rFonts w:cs="Arial"/>
                <w:b/>
                <w:color w:val="000000"/>
              </w:rPr>
              <w:t>Net Benefits</w:t>
            </w:r>
          </w:p>
        </w:tc>
      </w:tr>
      <w:tr w14:paraId="7F493474" w14:textId="77777777" w:rsidTr="00D70C5A">
        <w:tblPrEx>
          <w:tblW w:w="8227" w:type="dxa"/>
          <w:jc w:val="center"/>
          <w:tblLook w:val="04A0"/>
        </w:tblPrEx>
        <w:trPr>
          <w:trHeight w:val="315"/>
          <w:jc w:val="center"/>
        </w:trPr>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28D1" w:rsidRPr="00E05218" w:rsidP="007628D1" w14:paraId="7F49346E" w14:textId="77777777">
            <w:pPr>
              <w:autoSpaceDE/>
              <w:autoSpaceDN/>
              <w:adjustRightInd/>
              <w:rPr>
                <w:rFonts w:cs="Arial"/>
                <w:color w:val="000000"/>
              </w:rPr>
            </w:pPr>
            <w:r>
              <w:rPr>
                <w:rFonts w:cs="Arial"/>
                <w:color w:val="000000"/>
              </w:rPr>
              <w:t>Licensees</w:t>
            </w:r>
          </w:p>
        </w:tc>
        <w:tc>
          <w:tcPr>
            <w:tcW w:w="1329"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6F" w14:textId="77777777">
            <w:pPr>
              <w:autoSpaceDE/>
              <w:autoSpaceDN/>
              <w:adjustRightInd/>
              <w:jc w:val="center"/>
              <w:rPr>
                <w:rFonts w:cs="Arial"/>
                <w:color w:val="000000"/>
              </w:rPr>
            </w:pPr>
            <w:r>
              <w:rPr>
                <w:rFonts w:cs="Arial"/>
                <w:color w:val="000000"/>
              </w:rPr>
              <w:t xml:space="preserve">$700,000 </w:t>
            </w:r>
          </w:p>
        </w:tc>
        <w:tc>
          <w:tcPr>
            <w:tcW w:w="1329"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0" w14:textId="77777777">
            <w:pPr>
              <w:autoSpaceDE/>
              <w:autoSpaceDN/>
              <w:adjustRightInd/>
              <w:jc w:val="center"/>
              <w:rPr>
                <w:rFonts w:cs="Arial"/>
                <w:color w:val="000000"/>
              </w:rPr>
            </w:pPr>
            <w:r>
              <w:rPr>
                <w:rFonts w:cs="Arial"/>
                <w:color w:val="000000"/>
              </w:rPr>
              <w:t xml:space="preserve">$4,200,000 </w:t>
            </w:r>
          </w:p>
        </w:tc>
        <w:tc>
          <w:tcPr>
            <w:tcW w:w="1329"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1" w14:textId="77777777">
            <w:pPr>
              <w:autoSpaceDE/>
              <w:autoSpaceDN/>
              <w:adjustRightInd/>
              <w:jc w:val="center"/>
              <w:rPr>
                <w:rFonts w:cs="Arial"/>
                <w:color w:val="000000"/>
              </w:rPr>
            </w:pPr>
            <w:r>
              <w:rPr>
                <w:rFonts w:cs="Arial"/>
                <w:color w:val="000000"/>
              </w:rPr>
              <w:t xml:space="preserve">$700,000 </w:t>
            </w:r>
          </w:p>
        </w:tc>
        <w:tc>
          <w:tcPr>
            <w:tcW w:w="1572" w:type="dxa"/>
            <w:tcBorders>
              <w:top w:val="nil"/>
              <w:left w:val="nil"/>
              <w:bottom w:val="single" w:sz="8" w:space="0" w:color="auto"/>
              <w:right w:val="single" w:sz="8" w:space="0" w:color="auto"/>
            </w:tcBorders>
            <w:shd w:val="clear" w:color="000000" w:fill="FFFFFF"/>
            <w:noWrap/>
            <w:vAlign w:val="center"/>
          </w:tcPr>
          <w:p w:rsidR="007628D1" w:rsidRPr="00D70C5A" w:rsidP="00D70C5A" w14:paraId="7F493472" w14:textId="77777777">
            <w:pPr>
              <w:autoSpaceDE/>
              <w:autoSpaceDN/>
              <w:adjustRightInd/>
              <w:jc w:val="center"/>
              <w:rPr>
                <w:rFonts w:cs="Arial"/>
              </w:rPr>
            </w:pPr>
            <w:r w:rsidRPr="00D70C5A">
              <w:rPr>
                <w:rFonts w:cs="Arial"/>
              </w:rPr>
              <w:t>($2</w:t>
            </w:r>
            <w:r>
              <w:rPr>
                <w:rFonts w:cs="Arial"/>
              </w:rPr>
              <w:t>2</w:t>
            </w:r>
            <w:r w:rsidRPr="00D70C5A">
              <w:rPr>
                <w:rFonts w:cs="Arial"/>
              </w:rPr>
              <w:t>0,000)</w:t>
            </w:r>
          </w:p>
        </w:tc>
        <w:tc>
          <w:tcPr>
            <w:tcW w:w="1440"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3" w14:textId="77777777">
            <w:pPr>
              <w:autoSpaceDE/>
              <w:autoSpaceDN/>
              <w:adjustRightInd/>
              <w:jc w:val="center"/>
              <w:rPr>
                <w:rFonts w:cs="Arial"/>
                <w:color w:val="000000"/>
              </w:rPr>
            </w:pPr>
            <w:r>
              <w:rPr>
                <w:rFonts w:cs="Arial"/>
                <w:color w:val="000000"/>
              </w:rPr>
              <w:t xml:space="preserve">$5,500,000 </w:t>
            </w:r>
          </w:p>
        </w:tc>
      </w:tr>
      <w:tr w14:paraId="7F49347B" w14:textId="77777777" w:rsidTr="00D70C5A">
        <w:tblPrEx>
          <w:tblW w:w="8227" w:type="dxa"/>
          <w:jc w:val="center"/>
          <w:tblLook w:val="04A0"/>
        </w:tblPrEx>
        <w:trPr>
          <w:trHeight w:val="315"/>
          <w:jc w:val="center"/>
        </w:trPr>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28D1" w:rsidRPr="00E05218" w:rsidP="007628D1" w14:paraId="7F493475" w14:textId="77777777">
            <w:pPr>
              <w:autoSpaceDE/>
              <w:autoSpaceDN/>
              <w:adjustRightInd/>
              <w:rPr>
                <w:rFonts w:cs="Arial"/>
                <w:color w:val="000000"/>
              </w:rPr>
            </w:pPr>
            <w:r>
              <w:rPr>
                <w:rFonts w:cs="Arial"/>
                <w:color w:val="000000"/>
              </w:rPr>
              <w:t>NRC</w:t>
            </w:r>
          </w:p>
        </w:tc>
        <w:tc>
          <w:tcPr>
            <w:tcW w:w="1329"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6" w14:textId="77777777">
            <w:pPr>
              <w:autoSpaceDE/>
              <w:autoSpaceDN/>
              <w:adjustRightInd/>
              <w:jc w:val="center"/>
              <w:rPr>
                <w:rFonts w:cs="Arial"/>
                <w:color w:val="000000"/>
              </w:rPr>
            </w:pPr>
            <w:r>
              <w:rPr>
                <w:rFonts w:cs="Arial"/>
                <w:color w:val="000000"/>
              </w:rPr>
              <w:t xml:space="preserve">$1,300,000 </w:t>
            </w:r>
          </w:p>
        </w:tc>
        <w:tc>
          <w:tcPr>
            <w:tcW w:w="1329"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7" w14:textId="77777777">
            <w:pPr>
              <w:autoSpaceDE/>
              <w:autoSpaceDN/>
              <w:adjustRightInd/>
              <w:jc w:val="center"/>
              <w:rPr>
                <w:rFonts w:cs="Arial"/>
                <w:color w:val="000000"/>
              </w:rPr>
            </w:pPr>
            <w:r>
              <w:rPr>
                <w:rFonts w:cs="Arial"/>
                <w:color w:val="000000"/>
              </w:rPr>
              <w:t xml:space="preserve">$8,400,000 </w:t>
            </w:r>
          </w:p>
        </w:tc>
        <w:tc>
          <w:tcPr>
            <w:tcW w:w="1329"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8" w14:textId="77777777">
            <w:pPr>
              <w:autoSpaceDE/>
              <w:autoSpaceDN/>
              <w:adjustRightInd/>
              <w:jc w:val="center"/>
              <w:rPr>
                <w:rFonts w:cs="Arial"/>
                <w:color w:val="000000"/>
              </w:rPr>
            </w:pPr>
            <w:r>
              <w:rPr>
                <w:rFonts w:cs="Arial"/>
                <w:color w:val="000000"/>
              </w:rPr>
              <w:t xml:space="preserve">$1,900,000 </w:t>
            </w:r>
          </w:p>
        </w:tc>
        <w:tc>
          <w:tcPr>
            <w:tcW w:w="1572" w:type="dxa"/>
            <w:tcBorders>
              <w:top w:val="nil"/>
              <w:left w:val="nil"/>
              <w:bottom w:val="single" w:sz="8" w:space="0" w:color="auto"/>
              <w:right w:val="single" w:sz="8" w:space="0" w:color="auto"/>
            </w:tcBorders>
            <w:shd w:val="clear" w:color="000000" w:fill="FFFFFF"/>
            <w:noWrap/>
            <w:vAlign w:val="center"/>
          </w:tcPr>
          <w:p w:rsidR="007628D1" w:rsidRPr="00D70C5A" w:rsidP="00D70C5A" w14:paraId="7F493479" w14:textId="77777777">
            <w:pPr>
              <w:autoSpaceDE/>
              <w:autoSpaceDN/>
              <w:adjustRightInd/>
              <w:jc w:val="center"/>
              <w:rPr>
                <w:rFonts w:cs="Arial"/>
              </w:rPr>
            </w:pPr>
            <w:r w:rsidRPr="00D70C5A">
              <w:rPr>
                <w:rFonts w:cs="Arial"/>
              </w:rPr>
              <w:t>($</w:t>
            </w:r>
            <w:r>
              <w:rPr>
                <w:rFonts w:cs="Arial"/>
              </w:rPr>
              <w:t>8</w:t>
            </w:r>
            <w:r w:rsidRPr="00D70C5A">
              <w:rPr>
                <w:rFonts w:cs="Arial"/>
              </w:rPr>
              <w:t>0,000)</w:t>
            </w:r>
          </w:p>
        </w:tc>
        <w:tc>
          <w:tcPr>
            <w:tcW w:w="1440" w:type="dxa"/>
            <w:tcBorders>
              <w:top w:val="nil"/>
              <w:left w:val="nil"/>
              <w:bottom w:val="single" w:sz="8" w:space="0" w:color="auto"/>
              <w:right w:val="single" w:sz="8" w:space="0" w:color="auto"/>
            </w:tcBorders>
            <w:shd w:val="clear" w:color="000000" w:fill="FFFFFF"/>
            <w:noWrap/>
            <w:vAlign w:val="center"/>
          </w:tcPr>
          <w:p w:rsidR="007628D1" w:rsidRPr="00E05218" w:rsidP="007628D1" w14:paraId="7F49347A" w14:textId="77777777">
            <w:pPr>
              <w:autoSpaceDE/>
              <w:autoSpaceDN/>
              <w:adjustRightInd/>
              <w:jc w:val="center"/>
              <w:rPr>
                <w:rFonts w:cs="Arial"/>
                <w:color w:val="000000"/>
              </w:rPr>
            </w:pPr>
            <w:r>
              <w:rPr>
                <w:rFonts w:cs="Arial"/>
                <w:color w:val="000000"/>
              </w:rPr>
              <w:t xml:space="preserve">$12,000,000 </w:t>
            </w:r>
          </w:p>
        </w:tc>
      </w:tr>
    </w:tbl>
    <w:p w:rsidR="00E05218" w:rsidRPr="001F3201" w:rsidP="001F3201" w14:paraId="7F49347C" w14:textId="77777777">
      <w:pPr>
        <w:pStyle w:val="ListParagraph"/>
        <w:ind w:left="360"/>
        <w:rPr>
          <w:szCs w:val="22"/>
        </w:rPr>
      </w:pPr>
      <w:r w:rsidRPr="001F3201">
        <w:rPr>
          <w:szCs w:val="22"/>
        </w:rPr>
        <w:t xml:space="preserve">*NPUFs are categorized as Low, Medium, High, or Other NPUFs based on </w:t>
      </w:r>
      <w:r>
        <w:rPr>
          <w:szCs w:val="22"/>
        </w:rPr>
        <w:t xml:space="preserve">various characteristics </w:t>
      </w:r>
      <w:r w:rsidRPr="001F3201">
        <w:rPr>
          <w:rFonts w:cs="Arial"/>
          <w:szCs w:val="22"/>
        </w:rPr>
        <w:t>(e.g., power level of the NPUF, type of staff employed, and date of last license renewal).</w:t>
      </w:r>
      <w:r>
        <w:rPr>
          <w:rFonts w:cs="Arial"/>
          <w:szCs w:val="22"/>
        </w:rPr>
        <w:t xml:space="preserve"> See </w:t>
      </w:r>
      <w:r w:rsidR="003D07C5">
        <w:rPr>
          <w:rFonts w:cs="Arial"/>
          <w:szCs w:val="22"/>
        </w:rPr>
        <w:t>Section</w:t>
      </w:r>
      <w:r w:rsidR="00F345D6">
        <w:rPr>
          <w:rFonts w:cs="Arial"/>
          <w:szCs w:val="22"/>
        </w:rPr>
        <w:t> </w:t>
      </w:r>
      <w:r w:rsidR="003D07C5">
        <w:rPr>
          <w:rFonts w:cs="Arial"/>
          <w:szCs w:val="22"/>
        </w:rPr>
        <w:t xml:space="preserve">3.1.1, </w:t>
      </w:r>
      <w:r>
        <w:rPr>
          <w:rFonts w:cs="Arial"/>
          <w:szCs w:val="22"/>
        </w:rPr>
        <w:t>Affected Universe</w:t>
      </w:r>
      <w:r w:rsidR="003D07C5">
        <w:rPr>
          <w:rFonts w:cs="Arial"/>
          <w:szCs w:val="22"/>
        </w:rPr>
        <w:t>,</w:t>
      </w:r>
      <w:r>
        <w:rPr>
          <w:rFonts w:cs="Arial"/>
          <w:szCs w:val="22"/>
        </w:rPr>
        <w:t xml:space="preserve"> for more information.</w:t>
      </w:r>
    </w:p>
    <w:p w:rsidR="00E05218" w:rsidRPr="001F3201" w:rsidP="001F3201" w14:paraId="7F49347D" w14:textId="77777777">
      <w:pPr>
        <w:pStyle w:val="ListParagraph"/>
        <w:ind w:left="360"/>
        <w:rPr>
          <w:szCs w:val="22"/>
        </w:rPr>
      </w:pPr>
      <w:r w:rsidRPr="001F3201">
        <w:rPr>
          <w:szCs w:val="22"/>
        </w:rPr>
        <w:t>**Totals may not match due to rounding.</w:t>
      </w:r>
    </w:p>
    <w:p w:rsidR="006F213C" w:rsidRPr="001E41D8" w:rsidP="001E41D8" w14:paraId="7F49347E" w14:textId="77777777">
      <w:pPr>
        <w:rPr>
          <w:sz w:val="22"/>
          <w:szCs w:val="22"/>
        </w:rPr>
      </w:pPr>
    </w:p>
    <w:p w:rsidR="008225B6" w:rsidRPr="00EF1EB6" w:rsidP="008225B6" w14:paraId="7F49347F" w14:textId="77777777">
      <w:pPr>
        <w:pStyle w:val="ListParagraph"/>
        <w:numPr>
          <w:ilvl w:val="0"/>
          <w:numId w:val="25"/>
        </w:numPr>
        <w:rPr>
          <w:sz w:val="22"/>
          <w:szCs w:val="22"/>
        </w:rPr>
      </w:pPr>
      <w:r w:rsidRPr="00EF1EB6">
        <w:rPr>
          <w:sz w:val="22"/>
          <w:szCs w:val="22"/>
        </w:rPr>
        <w:t xml:space="preserve">Qualitative benefits. </w:t>
      </w:r>
      <w:r>
        <w:rPr>
          <w:sz w:val="22"/>
          <w:szCs w:val="22"/>
        </w:rPr>
        <w:t xml:space="preserve"> </w:t>
      </w:r>
      <w:r w:rsidRPr="00EF1EB6">
        <w:rPr>
          <w:sz w:val="22"/>
          <w:szCs w:val="22"/>
        </w:rPr>
        <w:t>The final rule’s qualitative benefits include enhanced regulatory efficienc</w:t>
      </w:r>
      <w:r>
        <w:rPr>
          <w:sz w:val="22"/>
          <w:szCs w:val="22"/>
        </w:rPr>
        <w:t>y</w:t>
      </w:r>
      <w:r w:rsidRPr="00EF1EB6">
        <w:rPr>
          <w:sz w:val="22"/>
          <w:szCs w:val="22"/>
        </w:rPr>
        <w:t xml:space="preserve"> for </w:t>
      </w:r>
      <w:r>
        <w:rPr>
          <w:sz w:val="22"/>
          <w:szCs w:val="22"/>
        </w:rPr>
        <w:t xml:space="preserve">the </w:t>
      </w:r>
      <w:r w:rsidRPr="00EF1EB6">
        <w:rPr>
          <w:sz w:val="22"/>
          <w:szCs w:val="22"/>
        </w:rPr>
        <w:t xml:space="preserve">NRC and licensees as well as public health and safety benefits. </w:t>
      </w:r>
    </w:p>
    <w:p w:rsidR="008225B6" w:rsidRPr="00EF1EB6" w:rsidP="008225B6" w14:paraId="7F493480" w14:textId="77777777">
      <w:pPr>
        <w:pStyle w:val="ListParagraph"/>
        <w:rPr>
          <w:sz w:val="22"/>
          <w:szCs w:val="22"/>
        </w:rPr>
      </w:pPr>
    </w:p>
    <w:p w:rsidR="008225B6" w:rsidRPr="00EF1EB6" w:rsidP="008225B6" w14:paraId="7F493481" w14:textId="77777777">
      <w:pPr>
        <w:pStyle w:val="ListParagraph"/>
        <w:ind w:left="360"/>
        <w:rPr>
          <w:sz w:val="22"/>
          <w:szCs w:val="22"/>
        </w:rPr>
      </w:pPr>
      <w:r>
        <w:rPr>
          <w:sz w:val="22"/>
          <w:szCs w:val="22"/>
        </w:rPr>
        <w:t>T</w:t>
      </w:r>
      <w:r w:rsidRPr="00EF1EB6">
        <w:rPr>
          <w:sz w:val="22"/>
          <w:szCs w:val="22"/>
        </w:rPr>
        <w:t xml:space="preserve">he final rule </w:t>
      </w:r>
      <w:r w:rsidRPr="00EF1EB6">
        <w:rPr>
          <w:sz w:val="22"/>
          <w:szCs w:val="22"/>
        </w:rPr>
        <w:t xml:space="preserve">provides stability, predictability, and clarity </w:t>
      </w:r>
      <w:r>
        <w:rPr>
          <w:sz w:val="22"/>
          <w:szCs w:val="22"/>
        </w:rPr>
        <w:t xml:space="preserve">by creating a license renewal framework for NPUFs </w:t>
      </w:r>
      <w:r w:rsidR="00977646">
        <w:rPr>
          <w:sz w:val="22"/>
          <w:szCs w:val="22"/>
        </w:rPr>
        <w:t>in regulation</w:t>
      </w:r>
      <w:r w:rsidRPr="00EF1EB6">
        <w:rPr>
          <w:sz w:val="22"/>
          <w:szCs w:val="22"/>
        </w:rPr>
        <w:t xml:space="preserve">, rather than </w:t>
      </w:r>
      <w:r>
        <w:rPr>
          <w:sz w:val="22"/>
          <w:szCs w:val="22"/>
        </w:rPr>
        <w:t xml:space="preserve">relying solely on the </w:t>
      </w:r>
      <w:r w:rsidRPr="00EF1EB6">
        <w:rPr>
          <w:sz w:val="22"/>
          <w:szCs w:val="22"/>
        </w:rPr>
        <w:t>guidance</w:t>
      </w:r>
      <w:r>
        <w:rPr>
          <w:sz w:val="22"/>
          <w:szCs w:val="22"/>
        </w:rPr>
        <w:t xml:space="preserve"> in </w:t>
      </w:r>
      <w:r w:rsidRPr="00EC79F7">
        <w:rPr>
          <w:sz w:val="22"/>
        </w:rPr>
        <w:t>NUREG</w:t>
      </w:r>
      <w:r w:rsidR="00263774">
        <w:rPr>
          <w:sz w:val="22"/>
        </w:rPr>
        <w:noBreakHyphen/>
      </w:r>
      <w:r w:rsidRPr="00EC79F7">
        <w:rPr>
          <w:sz w:val="22"/>
        </w:rPr>
        <w:t xml:space="preserve">1537, Parts 1 and 2, “Guidelines for Preparing and Reviewing Applications for the Licensing of Non-Power Reactors” </w:t>
      </w:r>
      <w:r w:rsidRPr="00C520D9" w:rsidR="00AD57EF">
        <w:rPr>
          <w:sz w:val="22"/>
          <w:szCs w:val="22"/>
        </w:rPr>
        <w:t>(Ref</w:t>
      </w:r>
      <w:r w:rsidRPr="00C520D9" w:rsidR="004800EA">
        <w:rPr>
          <w:sz w:val="22"/>
          <w:szCs w:val="22"/>
        </w:rPr>
        <w:t>.</w:t>
      </w:r>
      <w:r w:rsidR="00F345D6">
        <w:rPr>
          <w:sz w:val="22"/>
          <w:szCs w:val="22"/>
        </w:rPr>
        <w:t> </w:t>
      </w:r>
      <w:r w:rsidRPr="00C520D9" w:rsidR="00AD57EF">
        <w:rPr>
          <w:sz w:val="22"/>
          <w:szCs w:val="22"/>
        </w:rPr>
        <w:t>4)</w:t>
      </w:r>
      <w:r w:rsidRPr="00A4475E" w:rsidR="004800EA">
        <w:rPr>
          <w:sz w:val="22"/>
          <w:szCs w:val="22"/>
        </w:rPr>
        <w:t>.</w:t>
      </w:r>
      <w:r>
        <w:rPr>
          <w:sz w:val="22"/>
          <w:szCs w:val="22"/>
        </w:rPr>
        <w:t xml:space="preserve"> In addition, for NPUFs that will continue to undergo license renewal, the </w:t>
      </w:r>
      <w:r w:rsidRPr="00EF1EB6">
        <w:rPr>
          <w:sz w:val="22"/>
          <w:szCs w:val="22"/>
        </w:rPr>
        <w:t>requirement</w:t>
      </w:r>
      <w:r>
        <w:rPr>
          <w:sz w:val="22"/>
          <w:szCs w:val="22"/>
        </w:rPr>
        <w:t>s</w:t>
      </w:r>
      <w:r w:rsidRPr="00EF1EB6">
        <w:rPr>
          <w:sz w:val="22"/>
          <w:szCs w:val="22"/>
        </w:rPr>
        <w:t xml:space="preserve"> for </w:t>
      </w:r>
      <w:r w:rsidR="006479BD">
        <w:rPr>
          <w:sz w:val="22"/>
          <w:szCs w:val="22"/>
        </w:rPr>
        <w:t xml:space="preserve">submitting </w:t>
      </w:r>
      <w:r>
        <w:rPr>
          <w:sz w:val="22"/>
          <w:szCs w:val="22"/>
        </w:rPr>
        <w:t>updated</w:t>
      </w:r>
      <w:r w:rsidRPr="00EF1EB6">
        <w:rPr>
          <w:sz w:val="22"/>
          <w:szCs w:val="22"/>
        </w:rPr>
        <w:t xml:space="preserve"> FSAR</w:t>
      </w:r>
      <w:r>
        <w:rPr>
          <w:sz w:val="22"/>
          <w:szCs w:val="22"/>
        </w:rPr>
        <w:t>s</w:t>
      </w:r>
      <w:r w:rsidR="006479BD">
        <w:rPr>
          <w:sz w:val="22"/>
          <w:szCs w:val="22"/>
        </w:rPr>
        <w:t xml:space="preserve"> and </w:t>
      </w:r>
      <w:r>
        <w:rPr>
          <w:sz w:val="22"/>
          <w:szCs w:val="22"/>
        </w:rPr>
        <w:t>subsequent FSAR</w:t>
      </w:r>
      <w:r w:rsidRPr="00EF1EB6">
        <w:rPr>
          <w:sz w:val="22"/>
          <w:szCs w:val="22"/>
        </w:rPr>
        <w:t xml:space="preserve"> </w:t>
      </w:r>
      <w:r w:rsidR="00B56482">
        <w:rPr>
          <w:sz w:val="22"/>
          <w:szCs w:val="22"/>
        </w:rPr>
        <w:t>updates</w:t>
      </w:r>
      <w:r w:rsidRPr="00EF1EB6">
        <w:rPr>
          <w:sz w:val="22"/>
          <w:szCs w:val="22"/>
        </w:rPr>
        <w:t xml:space="preserve">, and </w:t>
      </w:r>
      <w:r>
        <w:rPr>
          <w:sz w:val="22"/>
          <w:szCs w:val="22"/>
        </w:rPr>
        <w:t xml:space="preserve">the </w:t>
      </w:r>
      <w:r w:rsidRPr="00EF1EB6">
        <w:rPr>
          <w:sz w:val="22"/>
          <w:szCs w:val="22"/>
        </w:rPr>
        <w:t>amend</w:t>
      </w:r>
      <w:r>
        <w:rPr>
          <w:sz w:val="22"/>
          <w:szCs w:val="22"/>
        </w:rPr>
        <w:t>ed</w:t>
      </w:r>
      <w:r w:rsidRPr="00EF1EB6">
        <w:rPr>
          <w:sz w:val="22"/>
          <w:szCs w:val="22"/>
        </w:rPr>
        <w:t xml:space="preserve"> timely renewal provision will </w:t>
      </w:r>
      <w:r>
        <w:rPr>
          <w:sz w:val="22"/>
          <w:szCs w:val="22"/>
        </w:rPr>
        <w:t xml:space="preserve">create efficiencies during the license renewal process by </w:t>
      </w:r>
      <w:r w:rsidRPr="00EF1EB6">
        <w:rPr>
          <w:sz w:val="22"/>
          <w:szCs w:val="22"/>
        </w:rPr>
        <w:t>reduc</w:t>
      </w:r>
      <w:r>
        <w:rPr>
          <w:sz w:val="22"/>
          <w:szCs w:val="22"/>
        </w:rPr>
        <w:t xml:space="preserve">ing the number and scope of requests for additional information and shortening the </w:t>
      </w:r>
      <w:r>
        <w:rPr>
          <w:sz w:val="22"/>
          <w:szCs w:val="22"/>
        </w:rPr>
        <w:t>review time for</w:t>
      </w:r>
      <w:r>
        <w:rPr>
          <w:sz w:val="22"/>
          <w:szCs w:val="22"/>
        </w:rPr>
        <w:t xml:space="preserve"> a license renewal application</w:t>
      </w:r>
      <w:r w:rsidRPr="00EF1EB6">
        <w:rPr>
          <w:sz w:val="22"/>
          <w:szCs w:val="22"/>
        </w:rPr>
        <w:t xml:space="preserve">. </w:t>
      </w:r>
      <w:r>
        <w:rPr>
          <w:sz w:val="22"/>
          <w:szCs w:val="22"/>
        </w:rPr>
        <w:t xml:space="preserve"> </w:t>
      </w:r>
      <w:r w:rsidRPr="00EF1EB6">
        <w:rPr>
          <w:sz w:val="22"/>
          <w:szCs w:val="22"/>
        </w:rPr>
        <w:t xml:space="preserve">As a result, the NRC and licensees will </w:t>
      </w:r>
      <w:r>
        <w:rPr>
          <w:sz w:val="22"/>
          <w:szCs w:val="22"/>
        </w:rPr>
        <w:t xml:space="preserve">expend </w:t>
      </w:r>
      <w:r w:rsidR="000A68E2">
        <w:rPr>
          <w:sz w:val="22"/>
          <w:szCs w:val="22"/>
        </w:rPr>
        <w:t>fewer</w:t>
      </w:r>
      <w:r w:rsidRPr="00EF1EB6" w:rsidR="000A68E2">
        <w:rPr>
          <w:sz w:val="22"/>
          <w:szCs w:val="22"/>
        </w:rPr>
        <w:t xml:space="preserve"> </w:t>
      </w:r>
      <w:r w:rsidRPr="00EF1EB6">
        <w:rPr>
          <w:sz w:val="22"/>
          <w:szCs w:val="22"/>
        </w:rPr>
        <w:t xml:space="preserve">resources </w:t>
      </w:r>
      <w:r>
        <w:rPr>
          <w:sz w:val="22"/>
          <w:szCs w:val="22"/>
        </w:rPr>
        <w:t>during</w:t>
      </w:r>
      <w:r w:rsidRPr="00EF1EB6">
        <w:rPr>
          <w:sz w:val="22"/>
          <w:szCs w:val="22"/>
        </w:rPr>
        <w:t xml:space="preserve"> the licens</w:t>
      </w:r>
      <w:r>
        <w:rPr>
          <w:sz w:val="22"/>
          <w:szCs w:val="22"/>
        </w:rPr>
        <w:t>e renewal</w:t>
      </w:r>
      <w:r w:rsidRPr="00EF1EB6">
        <w:rPr>
          <w:sz w:val="22"/>
          <w:szCs w:val="22"/>
        </w:rPr>
        <w:t xml:space="preserve"> process.</w:t>
      </w:r>
    </w:p>
    <w:p w:rsidR="008225B6" w:rsidRPr="00EF1EB6" w:rsidP="008225B6" w14:paraId="7F493482" w14:textId="77777777">
      <w:pPr>
        <w:pStyle w:val="ListParagraph"/>
        <w:rPr>
          <w:sz w:val="22"/>
          <w:szCs w:val="22"/>
        </w:rPr>
      </w:pPr>
    </w:p>
    <w:p w:rsidR="008225B6" w:rsidRPr="00151BDF" w14:paraId="7F493483" w14:textId="77777777">
      <w:pPr>
        <w:pStyle w:val="ListParagraph"/>
        <w:ind w:left="360"/>
        <w:rPr>
          <w:sz w:val="22"/>
          <w:szCs w:val="22"/>
        </w:rPr>
      </w:pPr>
      <w:r>
        <w:rPr>
          <w:sz w:val="22"/>
          <w:szCs w:val="22"/>
        </w:rPr>
        <w:t>The final rule will result in</w:t>
      </w:r>
      <w:r w:rsidRPr="00EF1EB6">
        <w:rPr>
          <w:sz w:val="22"/>
          <w:szCs w:val="22"/>
        </w:rPr>
        <w:t xml:space="preserve"> public health and safety benefits</w:t>
      </w:r>
      <w:r>
        <w:rPr>
          <w:sz w:val="22"/>
          <w:szCs w:val="22"/>
        </w:rPr>
        <w:t xml:space="preserve"> because </w:t>
      </w:r>
      <w:r w:rsidRPr="00EF1EB6">
        <w:rPr>
          <w:sz w:val="22"/>
          <w:szCs w:val="22"/>
        </w:rPr>
        <w:t>the final rule improve</w:t>
      </w:r>
      <w:r>
        <w:rPr>
          <w:sz w:val="22"/>
          <w:szCs w:val="22"/>
        </w:rPr>
        <w:t>s</w:t>
      </w:r>
      <w:r w:rsidRPr="00EF1EB6">
        <w:rPr>
          <w:sz w:val="22"/>
          <w:szCs w:val="22"/>
        </w:rPr>
        <w:t xml:space="preserve"> </w:t>
      </w:r>
      <w:r>
        <w:rPr>
          <w:sz w:val="22"/>
          <w:szCs w:val="22"/>
        </w:rPr>
        <w:t xml:space="preserve">the NRC’s </w:t>
      </w:r>
      <w:r w:rsidRPr="00EF1EB6">
        <w:rPr>
          <w:sz w:val="22"/>
          <w:szCs w:val="22"/>
        </w:rPr>
        <w:t xml:space="preserve">oversight </w:t>
      </w:r>
      <w:r>
        <w:rPr>
          <w:sz w:val="22"/>
          <w:szCs w:val="22"/>
        </w:rPr>
        <w:t>of NPUFs</w:t>
      </w:r>
      <w:r w:rsidRPr="00EF1EB6">
        <w:rPr>
          <w:sz w:val="22"/>
          <w:szCs w:val="22"/>
        </w:rPr>
        <w:t xml:space="preserve">. </w:t>
      </w:r>
      <w:r>
        <w:rPr>
          <w:sz w:val="22"/>
          <w:szCs w:val="22"/>
        </w:rPr>
        <w:t xml:space="preserve"> The</w:t>
      </w:r>
      <w:r w:rsidRPr="00EF1EB6">
        <w:rPr>
          <w:sz w:val="22"/>
          <w:szCs w:val="22"/>
        </w:rPr>
        <w:t xml:space="preserve"> FSAR submittals </w:t>
      </w:r>
      <w:r w:rsidR="009A793C">
        <w:rPr>
          <w:sz w:val="22"/>
          <w:szCs w:val="22"/>
        </w:rPr>
        <w:t xml:space="preserve">will increase </w:t>
      </w:r>
      <w:r>
        <w:rPr>
          <w:sz w:val="22"/>
          <w:szCs w:val="22"/>
        </w:rPr>
        <w:t>licensees</w:t>
      </w:r>
      <w:r w:rsidR="009A793C">
        <w:rPr>
          <w:sz w:val="22"/>
          <w:szCs w:val="22"/>
        </w:rPr>
        <w:t>’ focus on</w:t>
      </w:r>
      <w:r w:rsidRPr="00EF1EB6">
        <w:rPr>
          <w:sz w:val="22"/>
          <w:szCs w:val="22"/>
        </w:rPr>
        <w:t xml:space="preserve"> maint</w:t>
      </w:r>
      <w:r>
        <w:rPr>
          <w:sz w:val="22"/>
          <w:szCs w:val="22"/>
        </w:rPr>
        <w:t>ain</w:t>
      </w:r>
      <w:r w:rsidR="009A793C">
        <w:rPr>
          <w:sz w:val="22"/>
          <w:szCs w:val="22"/>
        </w:rPr>
        <w:t>ing</w:t>
      </w:r>
      <w:r w:rsidRPr="00EF1EB6">
        <w:rPr>
          <w:sz w:val="22"/>
          <w:szCs w:val="22"/>
        </w:rPr>
        <w:t xml:space="preserve"> </w:t>
      </w:r>
      <w:r w:rsidR="009A793C">
        <w:rPr>
          <w:sz w:val="22"/>
          <w:szCs w:val="22"/>
        </w:rPr>
        <w:t>their</w:t>
      </w:r>
      <w:r w:rsidRPr="00EF1EB6">
        <w:rPr>
          <w:sz w:val="22"/>
          <w:szCs w:val="22"/>
        </w:rPr>
        <w:t xml:space="preserve"> facilit</w:t>
      </w:r>
      <w:r w:rsidR="009A793C">
        <w:rPr>
          <w:sz w:val="22"/>
          <w:szCs w:val="22"/>
        </w:rPr>
        <w:t>ies’</w:t>
      </w:r>
      <w:r w:rsidRPr="00151BDF">
        <w:rPr>
          <w:sz w:val="22"/>
          <w:szCs w:val="22"/>
        </w:rPr>
        <w:t xml:space="preserve"> licensing bas</w:t>
      </w:r>
      <w:r w:rsidR="009A793C">
        <w:rPr>
          <w:sz w:val="22"/>
          <w:szCs w:val="22"/>
        </w:rPr>
        <w:t>e</w:t>
      </w:r>
      <w:r w:rsidRPr="00151BDF">
        <w:rPr>
          <w:sz w:val="22"/>
          <w:szCs w:val="22"/>
        </w:rPr>
        <w:t>s.  In addition, with a 5</w:t>
      </w:r>
      <w:r w:rsidRPr="00151BDF" w:rsidR="00F345D6">
        <w:rPr>
          <w:sz w:val="22"/>
          <w:szCs w:val="22"/>
        </w:rPr>
        <w:noBreakHyphen/>
      </w:r>
      <w:r w:rsidRPr="00151BDF">
        <w:rPr>
          <w:sz w:val="22"/>
          <w:szCs w:val="22"/>
        </w:rPr>
        <w:t>year interval between FSAR submittals, licensees will realize benefits in knowledge management as compared to the baseline.</w:t>
      </w:r>
    </w:p>
    <w:p w:rsidR="008225B6" w:rsidRPr="00D839EE" w:rsidP="008225B6" w14:paraId="7F493484" w14:textId="77777777">
      <w:pPr>
        <w:ind w:left="720"/>
        <w:contextualSpacing/>
        <w:rPr>
          <w:sz w:val="22"/>
          <w:szCs w:val="22"/>
        </w:rPr>
      </w:pPr>
    </w:p>
    <w:p w:rsidR="000B2076" w:rsidP="00934829" w14:paraId="7F493486" w14:textId="098EE494">
      <w:pPr>
        <w:pStyle w:val="ListParagraph"/>
        <w:numPr>
          <w:ilvl w:val="0"/>
          <w:numId w:val="42"/>
        </w:numPr>
        <w:rPr>
          <w:sz w:val="22"/>
          <w:szCs w:val="22"/>
        </w:rPr>
      </w:pPr>
      <w:r>
        <w:rPr>
          <w:sz w:val="22"/>
          <w:szCs w:val="22"/>
        </w:rPr>
        <w:t xml:space="preserve">Per Sections 104a and c of the </w:t>
      </w:r>
      <w:r w:rsidRPr="00EC79F7">
        <w:rPr>
          <w:sz w:val="22"/>
        </w:rPr>
        <w:t>Atomic Energy Act of 1954</w:t>
      </w:r>
      <w:r w:rsidR="009A793C">
        <w:rPr>
          <w:sz w:val="22"/>
        </w:rPr>
        <w:t>, as amended</w:t>
      </w:r>
      <w:r w:rsidRPr="00EC79F7" w:rsidR="00C86806">
        <w:rPr>
          <w:sz w:val="22"/>
        </w:rPr>
        <w:t xml:space="preserve"> </w:t>
      </w:r>
      <w:r w:rsidRPr="00C520D9" w:rsidR="00AD57EF">
        <w:rPr>
          <w:sz w:val="22"/>
          <w:szCs w:val="22"/>
        </w:rPr>
        <w:t>(Ref</w:t>
      </w:r>
      <w:r w:rsidRPr="00C520D9" w:rsidR="007A06CA">
        <w:rPr>
          <w:sz w:val="22"/>
          <w:szCs w:val="22"/>
        </w:rPr>
        <w:t>.</w:t>
      </w:r>
      <w:r w:rsidRPr="00C520D9" w:rsidR="00AD57EF">
        <w:rPr>
          <w:sz w:val="22"/>
          <w:szCs w:val="22"/>
        </w:rPr>
        <w:t xml:space="preserve"> 5</w:t>
      </w:r>
      <w:r w:rsidRPr="00EC79F7" w:rsidR="00C86806">
        <w:rPr>
          <w:sz w:val="22"/>
        </w:rPr>
        <w:t>)</w:t>
      </w:r>
      <w:r w:rsidRPr="00EC79F7">
        <w:rPr>
          <w:sz w:val="22"/>
        </w:rPr>
        <w:t>,</w:t>
      </w:r>
      <w:r>
        <w:rPr>
          <w:sz w:val="22"/>
          <w:szCs w:val="22"/>
        </w:rPr>
        <w:t xml:space="preserve"> the Commission is required to impose only the minimum amount of regulation </w:t>
      </w:r>
      <w:r w:rsidR="009A793C">
        <w:rPr>
          <w:sz w:val="22"/>
          <w:szCs w:val="22"/>
        </w:rPr>
        <w:t xml:space="preserve">on </w:t>
      </w:r>
      <w:r w:rsidR="009A793C">
        <w:rPr>
          <w:rFonts w:cs="Arial"/>
          <w:sz w:val="22"/>
          <w:szCs w:val="22"/>
        </w:rPr>
        <w:t xml:space="preserve">facilities used for medical therapy or research and development activities that is </w:t>
      </w:r>
      <w:r>
        <w:rPr>
          <w:sz w:val="22"/>
          <w:szCs w:val="22"/>
        </w:rPr>
        <w:t xml:space="preserve">needed to promote common defense and security, and protect the health and safety of the public.  </w:t>
      </w:r>
      <w:r w:rsidR="005E588D">
        <w:rPr>
          <w:sz w:val="22"/>
          <w:szCs w:val="22"/>
        </w:rPr>
        <w:t xml:space="preserve">Not all </w:t>
      </w:r>
      <w:r w:rsidR="00104DE8">
        <w:rPr>
          <w:sz w:val="22"/>
          <w:szCs w:val="22"/>
        </w:rPr>
        <w:t>licensees</w:t>
      </w:r>
      <w:r w:rsidR="005E588D">
        <w:rPr>
          <w:sz w:val="22"/>
          <w:szCs w:val="22"/>
        </w:rPr>
        <w:t xml:space="preserve"> will see </w:t>
      </w:r>
      <w:r w:rsidRPr="00894286" w:rsidR="005E588D">
        <w:rPr>
          <w:sz w:val="22"/>
          <w:szCs w:val="22"/>
        </w:rPr>
        <w:t xml:space="preserve">burden reduction as a result of this </w:t>
      </w:r>
      <w:r w:rsidR="00B851F4">
        <w:rPr>
          <w:sz w:val="22"/>
          <w:szCs w:val="22"/>
        </w:rPr>
        <w:t xml:space="preserve">final </w:t>
      </w:r>
      <w:r w:rsidRPr="00894286" w:rsidR="005E588D">
        <w:rPr>
          <w:sz w:val="22"/>
          <w:szCs w:val="22"/>
        </w:rPr>
        <w:t xml:space="preserve">rule.  </w:t>
      </w:r>
      <w:r w:rsidRPr="00894286">
        <w:rPr>
          <w:sz w:val="22"/>
          <w:szCs w:val="22"/>
        </w:rPr>
        <w:t>Commercial</w:t>
      </w:r>
      <w:r w:rsidRPr="00E91496">
        <w:rPr>
          <w:sz w:val="22"/>
          <w:szCs w:val="22"/>
        </w:rPr>
        <w:t xml:space="preserve"> </w:t>
      </w:r>
      <w:r w:rsidR="009A793C">
        <w:rPr>
          <w:sz w:val="22"/>
          <w:szCs w:val="22"/>
        </w:rPr>
        <w:t>NPUFs</w:t>
      </w:r>
      <w:r w:rsidRPr="00700DDB" w:rsidR="009A793C">
        <w:rPr>
          <w:sz w:val="22"/>
          <w:szCs w:val="22"/>
        </w:rPr>
        <w:t xml:space="preserve"> </w:t>
      </w:r>
      <w:r w:rsidRPr="00700DDB">
        <w:rPr>
          <w:sz w:val="22"/>
          <w:szCs w:val="22"/>
        </w:rPr>
        <w:t xml:space="preserve">(including </w:t>
      </w:r>
      <w:r w:rsidRPr="00054386">
        <w:rPr>
          <w:rFonts w:cs="Arial"/>
          <w:sz w:val="22"/>
          <w:szCs w:val="22"/>
        </w:rPr>
        <w:t>SHINE Medical Technologies, Inc.</w:t>
      </w:r>
      <w:r w:rsidR="009448A1">
        <w:rPr>
          <w:rFonts w:cs="Arial"/>
          <w:sz w:val="22"/>
          <w:szCs w:val="22"/>
        </w:rPr>
        <w:t xml:space="preserve"> </w:t>
      </w:r>
      <w:r w:rsidRPr="00894286">
        <w:rPr>
          <w:sz w:val="22"/>
          <w:szCs w:val="22"/>
        </w:rPr>
        <w:t xml:space="preserve">and </w:t>
      </w:r>
      <w:r w:rsidRPr="00054386">
        <w:rPr>
          <w:rFonts w:cs="Arial"/>
          <w:sz w:val="22"/>
          <w:szCs w:val="22"/>
        </w:rPr>
        <w:t>Northwest Medical Isotopes</w:t>
      </w:r>
      <w:r w:rsidR="009A793C">
        <w:rPr>
          <w:rFonts w:cs="Arial"/>
          <w:sz w:val="22"/>
          <w:szCs w:val="22"/>
        </w:rPr>
        <w:t>, LLC</w:t>
      </w:r>
      <w:r w:rsidRPr="00894286">
        <w:rPr>
          <w:sz w:val="22"/>
          <w:szCs w:val="22"/>
        </w:rPr>
        <w:t>)</w:t>
      </w:r>
      <w:r w:rsidR="009A793C">
        <w:rPr>
          <w:sz w:val="22"/>
          <w:szCs w:val="22"/>
        </w:rPr>
        <w:t>, as well as the testing facility at the</w:t>
      </w:r>
      <w:r w:rsidRPr="00894286">
        <w:rPr>
          <w:sz w:val="22"/>
          <w:szCs w:val="22"/>
        </w:rPr>
        <w:t xml:space="preserve"> </w:t>
      </w:r>
      <w:r w:rsidRPr="00054386">
        <w:rPr>
          <w:rFonts w:cs="Arial"/>
          <w:sz w:val="22"/>
          <w:szCs w:val="22"/>
        </w:rPr>
        <w:t>National Institute of Standards and Technology</w:t>
      </w:r>
      <w:r w:rsidR="009A793C">
        <w:rPr>
          <w:rFonts w:cs="Arial"/>
          <w:sz w:val="22"/>
          <w:szCs w:val="22"/>
        </w:rPr>
        <w:t>,</w:t>
      </w:r>
      <w:r w:rsidRPr="00054386">
        <w:rPr>
          <w:rFonts w:cs="Arial"/>
          <w:sz w:val="22"/>
          <w:szCs w:val="22"/>
        </w:rPr>
        <w:t xml:space="preserve"> </w:t>
      </w:r>
      <w:r w:rsidRPr="00894286">
        <w:rPr>
          <w:sz w:val="22"/>
          <w:szCs w:val="22"/>
        </w:rPr>
        <w:t>will experience</w:t>
      </w:r>
      <w:r>
        <w:rPr>
          <w:sz w:val="22"/>
          <w:szCs w:val="22"/>
        </w:rPr>
        <w:t xml:space="preserve"> net costs.  However, as discussed above, there are significant qualitative benefits, including </w:t>
      </w:r>
      <w:r w:rsidR="00A05E10">
        <w:rPr>
          <w:sz w:val="22"/>
          <w:szCs w:val="22"/>
        </w:rPr>
        <w:t xml:space="preserve">regulatory efficiency and </w:t>
      </w:r>
      <w:r w:rsidRPr="00EF1EB6">
        <w:rPr>
          <w:sz w:val="22"/>
          <w:szCs w:val="22"/>
        </w:rPr>
        <w:t xml:space="preserve">public health and safety </w:t>
      </w:r>
      <w:r w:rsidRPr="00EF1EB6" w:rsidR="00FE36BF">
        <w:rPr>
          <w:sz w:val="22"/>
          <w:szCs w:val="22"/>
        </w:rPr>
        <w:t>benefits</w:t>
      </w:r>
      <w:r w:rsidR="00FE36BF">
        <w:rPr>
          <w:sz w:val="22"/>
          <w:szCs w:val="22"/>
        </w:rPr>
        <w:t xml:space="preserve"> that</w:t>
      </w:r>
      <w:r>
        <w:rPr>
          <w:sz w:val="22"/>
          <w:szCs w:val="22"/>
        </w:rPr>
        <w:t xml:space="preserve"> will offset these costs.</w:t>
      </w:r>
    </w:p>
    <w:p w:rsidR="00E41970" w:rsidRPr="00934829" w:rsidP="00E41970" w14:paraId="174E09C7" w14:textId="77777777">
      <w:pPr>
        <w:pStyle w:val="ListParagraph"/>
        <w:ind w:left="360"/>
        <w:rPr>
          <w:sz w:val="22"/>
          <w:szCs w:val="22"/>
        </w:rPr>
      </w:pPr>
    </w:p>
    <w:p w:rsidR="000B2076" w:rsidP="00A10576" w14:paraId="7F493487" w14:textId="77777777">
      <w:pPr>
        <w:pStyle w:val="ListParagraph"/>
        <w:numPr>
          <w:ilvl w:val="0"/>
          <w:numId w:val="25"/>
        </w:numPr>
        <w:rPr>
          <w:sz w:val="22"/>
          <w:szCs w:val="22"/>
        </w:rPr>
      </w:pPr>
      <w:r w:rsidRPr="000B2076">
        <w:rPr>
          <w:sz w:val="22"/>
          <w:szCs w:val="22"/>
        </w:rPr>
        <w:t xml:space="preserve">According to </w:t>
      </w:r>
      <w:r w:rsidRPr="00EC79F7">
        <w:rPr>
          <w:sz w:val="22"/>
        </w:rPr>
        <w:t>Executive Order 12866, Regulatory Planning and Overview (58 FR 190</w:t>
      </w:r>
      <w:r w:rsidRPr="00C520D9">
        <w:rPr>
          <w:sz w:val="22"/>
          <w:szCs w:val="22"/>
        </w:rPr>
        <w:t>)</w:t>
      </w:r>
      <w:r w:rsidRPr="00C520D9" w:rsidR="008B47AE">
        <w:rPr>
          <w:sz w:val="22"/>
          <w:szCs w:val="22"/>
        </w:rPr>
        <w:t xml:space="preserve"> </w:t>
      </w:r>
      <w:r w:rsidRPr="00A4475E" w:rsidR="008B47AE">
        <w:rPr>
          <w:sz w:val="22"/>
          <w:szCs w:val="22"/>
        </w:rPr>
        <w:t>(Ref</w:t>
      </w:r>
      <w:r w:rsidRPr="008B47AE" w:rsidR="008B47AE">
        <w:rPr>
          <w:sz w:val="22"/>
          <w:szCs w:val="22"/>
        </w:rPr>
        <w:t>.</w:t>
      </w:r>
      <w:r w:rsidR="00F345D6">
        <w:rPr>
          <w:sz w:val="22"/>
          <w:szCs w:val="22"/>
        </w:rPr>
        <w:t> </w:t>
      </w:r>
      <w:r w:rsidRPr="008B47AE" w:rsidR="008B47AE">
        <w:rPr>
          <w:sz w:val="22"/>
          <w:szCs w:val="22"/>
        </w:rPr>
        <w:t>6)</w:t>
      </w:r>
      <w:r w:rsidRPr="00C520D9">
        <w:rPr>
          <w:sz w:val="22"/>
          <w:szCs w:val="22"/>
        </w:rPr>
        <w:t>,</w:t>
      </w:r>
      <w:r w:rsidR="00AD57EF">
        <w:rPr>
          <w:sz w:val="22"/>
          <w:szCs w:val="22"/>
        </w:rPr>
        <w:t xml:space="preserve"> </w:t>
      </w:r>
      <w:r w:rsidRPr="000B2076">
        <w:rPr>
          <w:sz w:val="22"/>
          <w:szCs w:val="22"/>
        </w:rPr>
        <w:t>an economically significant regulatory action is one that would have an annual effect on the economy of $100 million or more.  This final rule does not reach this threshold.</w:t>
      </w:r>
    </w:p>
    <w:p w:rsidR="00731534" w:rsidRPr="00731534" w:rsidP="00731534" w14:paraId="7F493489" w14:textId="77777777">
      <w:pPr>
        <w:pStyle w:val="ListParagraph"/>
        <w:numPr>
          <w:ilvl w:val="0"/>
          <w:numId w:val="25"/>
        </w:numPr>
        <w:rPr>
          <w:rFonts w:cs="Arial"/>
          <w:sz w:val="22"/>
        </w:rPr>
      </w:pPr>
      <w:r w:rsidRPr="00731534">
        <w:rPr>
          <w:rFonts w:cs="Arial"/>
          <w:sz w:val="22"/>
        </w:rPr>
        <w:t xml:space="preserve">The </w:t>
      </w:r>
      <w:r w:rsidRPr="00EC79F7">
        <w:rPr>
          <w:sz w:val="22"/>
        </w:rPr>
        <w:t>Regulatory Flexibility Act (RFA) of 1980, as amended (5 U.S.C</w:t>
      </w:r>
      <w:r w:rsidR="00F345D6">
        <w:rPr>
          <w:sz w:val="22"/>
        </w:rPr>
        <w:t>.</w:t>
      </w:r>
      <w:r w:rsidRPr="00EC79F7">
        <w:rPr>
          <w:sz w:val="22"/>
        </w:rPr>
        <w:t xml:space="preserve"> 601 et seq.)</w:t>
      </w:r>
      <w:r w:rsidRPr="00731534">
        <w:rPr>
          <w:rFonts w:cs="Arial"/>
          <w:sz w:val="22"/>
        </w:rPr>
        <w:t xml:space="preserve"> </w:t>
      </w:r>
      <w:r w:rsidR="00AD57EF">
        <w:rPr>
          <w:rFonts w:cs="Arial"/>
          <w:sz w:val="22"/>
        </w:rPr>
        <w:t>(Ref</w:t>
      </w:r>
      <w:r w:rsidR="009E54E9">
        <w:rPr>
          <w:rFonts w:cs="Arial"/>
          <w:sz w:val="22"/>
        </w:rPr>
        <w:t>.</w:t>
      </w:r>
      <w:r w:rsidR="00F345D6">
        <w:rPr>
          <w:rFonts w:cs="Arial"/>
          <w:sz w:val="22"/>
        </w:rPr>
        <w:t> </w:t>
      </w:r>
      <w:r w:rsidR="00AD57EF">
        <w:rPr>
          <w:rFonts w:cs="Arial"/>
          <w:sz w:val="22"/>
        </w:rPr>
        <w:t>7)</w:t>
      </w:r>
      <w:r w:rsidRPr="00731534">
        <w:rPr>
          <w:rFonts w:cs="Arial"/>
          <w:sz w:val="22"/>
        </w:rPr>
        <w:t xml:space="preserve"> requires that all Federal agencies review their regulations to ensure that they do not unduly inhibit the ability of small entities to compete</w:t>
      </w:r>
      <w:r w:rsidRPr="00731534">
        <w:rPr>
          <w:rFonts w:cs="Arial"/>
          <w:sz w:val="22"/>
          <w:szCs w:val="22"/>
        </w:rPr>
        <w:t xml:space="preserve">.  </w:t>
      </w:r>
      <w:r>
        <w:rPr>
          <w:rFonts w:cs="Arial"/>
          <w:sz w:val="22"/>
          <w:szCs w:val="22"/>
        </w:rPr>
        <w:t xml:space="preserve">The </w:t>
      </w:r>
      <w:r w:rsidRPr="00731534">
        <w:rPr>
          <w:sz w:val="22"/>
          <w:szCs w:val="22"/>
        </w:rPr>
        <w:t xml:space="preserve">NRC </w:t>
      </w:r>
      <w:r>
        <w:rPr>
          <w:sz w:val="22"/>
          <w:szCs w:val="22"/>
        </w:rPr>
        <w:t>concludes that this final</w:t>
      </w:r>
      <w:r w:rsidRPr="00731534">
        <w:rPr>
          <w:sz w:val="22"/>
          <w:szCs w:val="22"/>
        </w:rPr>
        <w:t xml:space="preserve"> rule </w:t>
      </w:r>
      <w:r w:rsidR="00145F36">
        <w:rPr>
          <w:sz w:val="22"/>
          <w:szCs w:val="22"/>
        </w:rPr>
        <w:t>would</w:t>
      </w:r>
      <w:r w:rsidRPr="00731534" w:rsidR="00145F36">
        <w:rPr>
          <w:sz w:val="22"/>
          <w:szCs w:val="22"/>
        </w:rPr>
        <w:t xml:space="preserve"> </w:t>
      </w:r>
      <w:r w:rsidRPr="00731534">
        <w:rPr>
          <w:sz w:val="22"/>
          <w:szCs w:val="22"/>
        </w:rPr>
        <w:t>not have a significant economic impact on</w:t>
      </w:r>
      <w:r w:rsidR="003D07C5">
        <w:rPr>
          <w:sz w:val="22"/>
          <w:szCs w:val="22"/>
        </w:rPr>
        <w:t xml:space="preserve"> a substantial number of</w:t>
      </w:r>
      <w:r w:rsidRPr="00731534">
        <w:rPr>
          <w:sz w:val="22"/>
          <w:szCs w:val="22"/>
        </w:rPr>
        <w:t xml:space="preserve"> small entities.</w:t>
      </w:r>
    </w:p>
    <w:p w:rsidR="00962E0C" w:rsidRPr="00D839EE" w:rsidP="00962E0C" w14:paraId="7F49348A" w14:textId="77777777">
      <w:pPr>
        <w:ind w:left="720"/>
        <w:contextualSpacing/>
        <w:rPr>
          <w:sz w:val="22"/>
          <w:szCs w:val="22"/>
        </w:rPr>
      </w:pPr>
    </w:p>
    <w:p w:rsidR="00962E0C" w:rsidRPr="00D96410" w:rsidP="00D96410" w14:paraId="7F49348B" w14:textId="77777777">
      <w:pPr>
        <w:pStyle w:val="ListParagraph"/>
        <w:numPr>
          <w:ilvl w:val="0"/>
          <w:numId w:val="25"/>
        </w:numPr>
        <w:rPr>
          <w:sz w:val="22"/>
          <w:szCs w:val="22"/>
        </w:rPr>
      </w:pPr>
      <w:r w:rsidRPr="00D96410">
        <w:rPr>
          <w:sz w:val="22"/>
          <w:szCs w:val="22"/>
        </w:rPr>
        <w:t>Decision Rationale.  Relative to the no</w:t>
      </w:r>
      <w:r w:rsidR="00E302A6">
        <w:rPr>
          <w:sz w:val="22"/>
          <w:szCs w:val="22"/>
        </w:rPr>
        <w:t>-</w:t>
      </w:r>
      <w:r w:rsidRPr="00D96410">
        <w:rPr>
          <w:sz w:val="22"/>
          <w:szCs w:val="22"/>
        </w:rPr>
        <w:t xml:space="preserve">action baseline, the NRC concludes that the </w:t>
      </w:r>
      <w:r w:rsidR="003D07C5">
        <w:rPr>
          <w:sz w:val="22"/>
          <w:szCs w:val="22"/>
        </w:rPr>
        <w:t xml:space="preserve">final rule’s </w:t>
      </w:r>
      <w:r w:rsidRPr="00D96410" w:rsidR="00494E31">
        <w:rPr>
          <w:sz w:val="22"/>
          <w:szCs w:val="22"/>
        </w:rPr>
        <w:t>averted costs</w:t>
      </w:r>
      <w:r w:rsidRPr="00D96410">
        <w:rPr>
          <w:sz w:val="22"/>
          <w:szCs w:val="22"/>
        </w:rPr>
        <w:t xml:space="preserve"> justify the </w:t>
      </w:r>
      <w:r w:rsidR="003D07C5">
        <w:rPr>
          <w:sz w:val="22"/>
          <w:szCs w:val="22"/>
        </w:rPr>
        <w:t xml:space="preserve">incremental </w:t>
      </w:r>
      <w:r w:rsidRPr="00D96410">
        <w:rPr>
          <w:sz w:val="22"/>
          <w:szCs w:val="22"/>
        </w:rPr>
        <w:t>costs</w:t>
      </w:r>
      <w:r w:rsidR="003D07C5">
        <w:rPr>
          <w:sz w:val="22"/>
          <w:szCs w:val="22"/>
        </w:rPr>
        <w:t>.  Further, the final rule</w:t>
      </w:r>
      <w:r w:rsidRPr="00D96410">
        <w:rPr>
          <w:sz w:val="22"/>
          <w:szCs w:val="22"/>
        </w:rPr>
        <w:t xml:space="preserve"> </w:t>
      </w:r>
      <w:r w:rsidRPr="00D96410" w:rsidR="00BC5E9F">
        <w:rPr>
          <w:sz w:val="22"/>
          <w:szCs w:val="22"/>
        </w:rPr>
        <w:t>will</w:t>
      </w:r>
      <w:r w:rsidRPr="00D96410">
        <w:rPr>
          <w:sz w:val="22"/>
          <w:szCs w:val="22"/>
        </w:rPr>
        <w:t xml:space="preserve"> address the inefficiencies and existing issues affecting the NPUF license renewal process.  </w:t>
      </w:r>
      <w:r w:rsidRPr="00D96410" w:rsidR="00EA1518">
        <w:rPr>
          <w:sz w:val="22"/>
          <w:szCs w:val="22"/>
        </w:rPr>
        <w:t xml:space="preserve">All estimated net benefits are dependent on economic assumptions holding true. </w:t>
      </w:r>
      <w:r w:rsidRPr="00D96410" w:rsidR="001B188A">
        <w:rPr>
          <w:sz w:val="22"/>
          <w:szCs w:val="22"/>
        </w:rPr>
        <w:t xml:space="preserve"> </w:t>
      </w:r>
      <w:r w:rsidRPr="00D96410" w:rsidR="00EA1518">
        <w:rPr>
          <w:sz w:val="22"/>
          <w:szCs w:val="22"/>
        </w:rPr>
        <w:t>For more discussion on the sensitivity of the analysis to changes to economic assumptions, see Section 3.6</w:t>
      </w:r>
      <w:r w:rsidR="005031F1">
        <w:rPr>
          <w:sz w:val="22"/>
          <w:szCs w:val="22"/>
        </w:rPr>
        <w:t>,</w:t>
      </w:r>
      <w:r w:rsidRPr="00D96410" w:rsidR="00EA1518">
        <w:rPr>
          <w:sz w:val="22"/>
          <w:szCs w:val="22"/>
        </w:rPr>
        <w:t xml:space="preserve"> Uncertainty Analysis.</w:t>
      </w:r>
    </w:p>
    <w:p w:rsidR="00962E0C" w:rsidRPr="004C69F1" w:rsidP="004C69F1" w14:paraId="7F49348C" w14:textId="77777777">
      <w:pPr>
        <w:ind w:left="720"/>
        <w:contextualSpacing/>
        <w:rPr>
          <w:sz w:val="22"/>
        </w:rPr>
      </w:pPr>
    </w:p>
    <w:p w:rsidR="00962E0C" w:rsidRPr="004C69F1" w:rsidP="004C69F1" w14:paraId="7F49348D" w14:textId="77777777">
      <w:pPr>
        <w:ind w:left="720"/>
        <w:contextualSpacing/>
        <w:rPr>
          <w:sz w:val="22"/>
        </w:rPr>
      </w:pPr>
    </w:p>
    <w:p w:rsidR="00422611" w:rsidRPr="00D839EE" w:rsidP="00CA6FFD" w14:paraId="7F49348E" w14:textId="77777777">
      <w:pPr>
        <w:rPr>
          <w:sz w:val="22"/>
          <w:szCs w:val="22"/>
        </w:rPr>
      </w:pPr>
      <w:r w:rsidRPr="00D839EE">
        <w:rPr>
          <w:sz w:val="22"/>
          <w:szCs w:val="22"/>
        </w:rPr>
        <w:br w:type="page"/>
      </w:r>
    </w:p>
    <w:p w:rsidR="004E3621" w:rsidRPr="00D839EE" w:rsidP="00346B95" w14:paraId="7F49348F" w14:textId="77777777">
      <w:pPr>
        <w:pStyle w:val="Heading1"/>
        <w:spacing w:after="240"/>
      </w:pPr>
      <w:bookmarkStart w:id="10" w:name="_Toc443852781"/>
      <w:bookmarkStart w:id="11" w:name="_Toc530073270"/>
      <w:bookmarkStart w:id="12" w:name="_Toc534037087"/>
      <w:bookmarkStart w:id="13" w:name="_Toc534699707"/>
      <w:bookmarkStart w:id="14" w:name="_Toc536603274"/>
      <w:r w:rsidRPr="00D839EE">
        <w:t>1.</w:t>
      </w:r>
      <w:r w:rsidRPr="00D839EE">
        <w:tab/>
        <w:t>Introduction</w:t>
      </w:r>
      <w:bookmarkEnd w:id="10"/>
      <w:bookmarkEnd w:id="11"/>
      <w:bookmarkEnd w:id="12"/>
      <w:bookmarkEnd w:id="13"/>
      <w:bookmarkEnd w:id="14"/>
    </w:p>
    <w:p w:rsidR="00491A3A" w:rsidRPr="00D839EE" w:rsidP="00EF5FD9" w14:paraId="7F493490" w14:textId="77777777">
      <w:pPr>
        <w:autoSpaceDE/>
        <w:autoSpaceDN/>
        <w:adjustRightInd/>
        <w:spacing w:after="200"/>
        <w:rPr>
          <w:sz w:val="22"/>
          <w:szCs w:val="22"/>
        </w:rPr>
      </w:pPr>
      <w:r w:rsidRPr="00D839EE">
        <w:rPr>
          <w:sz w:val="22"/>
          <w:szCs w:val="22"/>
        </w:rPr>
        <w:t>This document present</w:t>
      </w:r>
      <w:r w:rsidRPr="00D839EE" w:rsidR="00283414">
        <w:rPr>
          <w:sz w:val="22"/>
          <w:szCs w:val="22"/>
        </w:rPr>
        <w:t>s</w:t>
      </w:r>
      <w:r w:rsidRPr="00D839EE">
        <w:rPr>
          <w:sz w:val="22"/>
          <w:szCs w:val="22"/>
        </w:rPr>
        <w:t xml:space="preserve"> the regulatory analysis of the </w:t>
      </w:r>
      <w:r w:rsidRPr="00D839EE" w:rsidR="00BC5E9F">
        <w:rPr>
          <w:sz w:val="22"/>
          <w:szCs w:val="22"/>
        </w:rPr>
        <w:t>final</w:t>
      </w:r>
      <w:r w:rsidRPr="00D839EE">
        <w:rPr>
          <w:sz w:val="22"/>
          <w:szCs w:val="22"/>
        </w:rPr>
        <w:t xml:space="preserve"> </w:t>
      </w:r>
      <w:r w:rsidRPr="00D839EE" w:rsidR="00E5421D">
        <w:rPr>
          <w:sz w:val="22"/>
          <w:szCs w:val="22"/>
        </w:rPr>
        <w:t>r</w:t>
      </w:r>
      <w:r w:rsidRPr="00D839EE" w:rsidR="005815DD">
        <w:rPr>
          <w:sz w:val="22"/>
          <w:szCs w:val="22"/>
        </w:rPr>
        <w:t xml:space="preserve">ule to </w:t>
      </w:r>
      <w:r w:rsidRPr="00D839EE" w:rsidR="00E5421D">
        <w:rPr>
          <w:sz w:val="22"/>
          <w:szCs w:val="22"/>
        </w:rPr>
        <w:t>s</w:t>
      </w:r>
      <w:r w:rsidRPr="00D839EE" w:rsidR="004E2125">
        <w:rPr>
          <w:sz w:val="22"/>
          <w:szCs w:val="22"/>
        </w:rPr>
        <w:t xml:space="preserve">treamline the </w:t>
      </w:r>
      <w:r w:rsidRPr="00D839EE" w:rsidR="00E5421D">
        <w:rPr>
          <w:sz w:val="22"/>
          <w:szCs w:val="22"/>
        </w:rPr>
        <w:t>l</w:t>
      </w:r>
      <w:r w:rsidRPr="00D839EE" w:rsidR="005815DD">
        <w:rPr>
          <w:sz w:val="22"/>
          <w:szCs w:val="22"/>
        </w:rPr>
        <w:t xml:space="preserve">icense </w:t>
      </w:r>
      <w:r w:rsidRPr="00D839EE" w:rsidR="00E5421D">
        <w:rPr>
          <w:sz w:val="22"/>
          <w:szCs w:val="22"/>
        </w:rPr>
        <w:t>r</w:t>
      </w:r>
      <w:r w:rsidRPr="00D839EE" w:rsidR="005815DD">
        <w:rPr>
          <w:sz w:val="22"/>
          <w:szCs w:val="22"/>
        </w:rPr>
        <w:t xml:space="preserve">enewal </w:t>
      </w:r>
      <w:r w:rsidRPr="00D839EE" w:rsidR="00E5421D">
        <w:rPr>
          <w:sz w:val="22"/>
          <w:szCs w:val="22"/>
        </w:rPr>
        <w:t>p</w:t>
      </w:r>
      <w:r w:rsidRPr="00D839EE" w:rsidR="005815DD">
        <w:rPr>
          <w:sz w:val="22"/>
          <w:szCs w:val="22"/>
        </w:rPr>
        <w:t>rocess</w:t>
      </w:r>
      <w:r w:rsidR="009C3BD4">
        <w:rPr>
          <w:sz w:val="22"/>
          <w:szCs w:val="22"/>
        </w:rPr>
        <w:t xml:space="preserve"> for </w:t>
      </w:r>
      <w:r w:rsidRPr="009C3BD4" w:rsidR="009C3BD4">
        <w:rPr>
          <w:sz w:val="22"/>
          <w:szCs w:val="22"/>
        </w:rPr>
        <w:t>non-power production or utilization facilit</w:t>
      </w:r>
      <w:r w:rsidR="009C3BD4">
        <w:rPr>
          <w:sz w:val="22"/>
          <w:szCs w:val="22"/>
        </w:rPr>
        <w:t>ies (NPUFs)</w:t>
      </w:r>
      <w:r w:rsidRPr="00D839EE" w:rsidR="005815DD">
        <w:rPr>
          <w:sz w:val="22"/>
          <w:szCs w:val="22"/>
        </w:rPr>
        <w:t xml:space="preserve">.  </w:t>
      </w:r>
      <w:r w:rsidRPr="00D839EE">
        <w:rPr>
          <w:sz w:val="22"/>
          <w:szCs w:val="22"/>
        </w:rPr>
        <w:t xml:space="preserve">This </w:t>
      </w:r>
      <w:r w:rsidRPr="00D839EE" w:rsidR="00E5421D">
        <w:rPr>
          <w:sz w:val="22"/>
          <w:szCs w:val="22"/>
        </w:rPr>
        <w:t xml:space="preserve">section </w:t>
      </w:r>
      <w:r w:rsidRPr="00D839EE">
        <w:rPr>
          <w:sz w:val="22"/>
          <w:szCs w:val="22"/>
        </w:rPr>
        <w:t xml:space="preserve">is divided into two </w:t>
      </w:r>
      <w:r w:rsidRPr="00D839EE" w:rsidR="00E5421D">
        <w:rPr>
          <w:sz w:val="22"/>
          <w:szCs w:val="22"/>
        </w:rPr>
        <w:t>parts</w:t>
      </w:r>
      <w:r w:rsidRPr="00D839EE">
        <w:rPr>
          <w:sz w:val="22"/>
          <w:szCs w:val="22"/>
        </w:rPr>
        <w:t xml:space="preserve">: </w:t>
      </w:r>
      <w:r w:rsidRPr="00D839EE" w:rsidR="00226C55">
        <w:rPr>
          <w:sz w:val="22"/>
          <w:szCs w:val="22"/>
        </w:rPr>
        <w:t xml:space="preserve"> </w:t>
      </w:r>
      <w:r w:rsidRPr="00D839EE">
        <w:rPr>
          <w:sz w:val="22"/>
          <w:szCs w:val="22"/>
        </w:rPr>
        <w:t xml:space="preserve">Section 1.1 provides background information on the </w:t>
      </w:r>
      <w:r w:rsidR="00B851F4">
        <w:rPr>
          <w:sz w:val="22"/>
          <w:szCs w:val="22"/>
        </w:rPr>
        <w:t xml:space="preserve">final </w:t>
      </w:r>
      <w:r w:rsidRPr="00D839EE">
        <w:rPr>
          <w:sz w:val="22"/>
          <w:szCs w:val="22"/>
        </w:rPr>
        <w:t>rule</w:t>
      </w:r>
      <w:r w:rsidR="00364173">
        <w:rPr>
          <w:sz w:val="22"/>
          <w:szCs w:val="22"/>
        </w:rPr>
        <w:t>,</w:t>
      </w:r>
      <w:r w:rsidRPr="00D839EE">
        <w:rPr>
          <w:sz w:val="22"/>
          <w:szCs w:val="22"/>
        </w:rPr>
        <w:t xml:space="preserve"> and </w:t>
      </w:r>
      <w:r w:rsidRPr="00D839EE" w:rsidR="00E910B1">
        <w:rPr>
          <w:sz w:val="22"/>
          <w:szCs w:val="22"/>
        </w:rPr>
        <w:t>S</w:t>
      </w:r>
      <w:r w:rsidRPr="00D839EE">
        <w:rPr>
          <w:sz w:val="22"/>
          <w:szCs w:val="22"/>
        </w:rPr>
        <w:t xml:space="preserve">ection 1.2 </w:t>
      </w:r>
      <w:r w:rsidRPr="00D839EE" w:rsidR="00E5421D">
        <w:rPr>
          <w:sz w:val="22"/>
          <w:szCs w:val="22"/>
        </w:rPr>
        <w:t xml:space="preserve">identifies </w:t>
      </w:r>
      <w:r w:rsidRPr="00D839EE">
        <w:rPr>
          <w:sz w:val="22"/>
          <w:szCs w:val="22"/>
        </w:rPr>
        <w:t>the problem</w:t>
      </w:r>
      <w:r w:rsidRPr="00D839EE" w:rsidR="00CE3AE7">
        <w:rPr>
          <w:sz w:val="22"/>
          <w:szCs w:val="22"/>
        </w:rPr>
        <w:t xml:space="preserve">s that the </w:t>
      </w:r>
      <w:r w:rsidR="009C3BD4">
        <w:rPr>
          <w:sz w:val="22"/>
          <w:szCs w:val="22"/>
        </w:rPr>
        <w:t>U.S. Nuclear Regulatory Commission (</w:t>
      </w:r>
      <w:r w:rsidRPr="00D839EE" w:rsidR="004E2125">
        <w:rPr>
          <w:sz w:val="22"/>
          <w:szCs w:val="22"/>
        </w:rPr>
        <w:t>NRC</w:t>
      </w:r>
      <w:r w:rsidR="009C3BD4">
        <w:rPr>
          <w:sz w:val="22"/>
          <w:szCs w:val="22"/>
        </w:rPr>
        <w:t>)</w:t>
      </w:r>
      <w:r w:rsidRPr="00D839EE" w:rsidR="004E2125">
        <w:rPr>
          <w:sz w:val="22"/>
          <w:szCs w:val="22"/>
        </w:rPr>
        <w:t xml:space="preserve"> </w:t>
      </w:r>
      <w:r w:rsidRPr="00D839EE" w:rsidR="00E5421D">
        <w:rPr>
          <w:sz w:val="22"/>
          <w:szCs w:val="22"/>
        </w:rPr>
        <w:t>seeks to address, as well as</w:t>
      </w:r>
      <w:r w:rsidRPr="00D839EE">
        <w:rPr>
          <w:sz w:val="22"/>
          <w:szCs w:val="22"/>
        </w:rPr>
        <w:t xml:space="preserve"> the objectives for the </w:t>
      </w:r>
      <w:r w:rsidRPr="00D839EE" w:rsidR="00BC5E9F">
        <w:rPr>
          <w:sz w:val="22"/>
          <w:szCs w:val="22"/>
        </w:rPr>
        <w:t>final</w:t>
      </w:r>
      <w:r w:rsidRPr="00D839EE">
        <w:rPr>
          <w:sz w:val="22"/>
          <w:szCs w:val="22"/>
        </w:rPr>
        <w:t xml:space="preserve"> rule.</w:t>
      </w:r>
    </w:p>
    <w:p w:rsidR="00491A3A" w:rsidRPr="00D839EE" w:rsidP="00346B95" w14:paraId="7F493491" w14:textId="77777777">
      <w:pPr>
        <w:pStyle w:val="Heading2"/>
        <w:spacing w:after="240"/>
        <w:rPr>
          <w:b w:val="0"/>
          <w:i w:val="0"/>
        </w:rPr>
      </w:pPr>
      <w:bookmarkStart w:id="15" w:name="_Toc443852782"/>
      <w:bookmarkStart w:id="16" w:name="_Toc530073271"/>
      <w:bookmarkStart w:id="17" w:name="_Toc534037088"/>
      <w:bookmarkStart w:id="18" w:name="_Toc534699708"/>
      <w:bookmarkStart w:id="19" w:name="_Toc536603275"/>
      <w:r w:rsidRPr="00D839EE">
        <w:t>1.1</w:t>
      </w:r>
      <w:r w:rsidRPr="00D839EE">
        <w:tab/>
        <w:t>Background</w:t>
      </w:r>
      <w:bookmarkEnd w:id="15"/>
      <w:bookmarkEnd w:id="16"/>
      <w:bookmarkEnd w:id="17"/>
      <w:bookmarkEnd w:id="18"/>
      <w:bookmarkEnd w:id="19"/>
    </w:p>
    <w:p w:rsidR="009A793C" w:rsidP="00491A3A" w14:paraId="7F493492" w14:textId="77777777">
      <w:pPr>
        <w:rPr>
          <w:rFonts w:cs="Arial"/>
          <w:sz w:val="22"/>
          <w:szCs w:val="22"/>
        </w:rPr>
      </w:pPr>
      <w:bookmarkStart w:id="20" w:name="_Hlk597228"/>
      <w:r>
        <w:rPr>
          <w:rFonts w:cs="Arial"/>
          <w:sz w:val="22"/>
          <w:szCs w:val="22"/>
        </w:rPr>
        <w:t>The NRC licenses NPUFs under the authority granted in Sections 103 and 104 of the Atomic Energy Act of 1954, as amended (AEA).  Section 103 of the A</w:t>
      </w:r>
      <w:r w:rsidR="00FE36BF">
        <w:rPr>
          <w:rFonts w:cs="Arial"/>
          <w:sz w:val="22"/>
          <w:szCs w:val="22"/>
        </w:rPr>
        <w:t>EA</w:t>
      </w:r>
      <w:r>
        <w:rPr>
          <w:rFonts w:cs="Arial"/>
          <w:sz w:val="22"/>
          <w:szCs w:val="22"/>
        </w:rPr>
        <w:t xml:space="preserve"> applies to commercial </w:t>
      </w:r>
      <w:r w:rsidR="00145F36">
        <w:rPr>
          <w:rFonts w:cs="Arial"/>
          <w:sz w:val="22"/>
          <w:szCs w:val="22"/>
        </w:rPr>
        <w:t xml:space="preserve">or </w:t>
      </w:r>
      <w:r>
        <w:rPr>
          <w:rFonts w:cs="Arial"/>
          <w:sz w:val="22"/>
          <w:szCs w:val="22"/>
        </w:rPr>
        <w:t xml:space="preserve">industrial facilities, </w:t>
      </w:r>
      <w:r w:rsidR="00145F36">
        <w:rPr>
          <w:rFonts w:cs="Arial"/>
          <w:sz w:val="22"/>
          <w:szCs w:val="22"/>
        </w:rPr>
        <w:t>Section 104a of the AEA applies to facilities used for medical therapy, and Section 104c of the AEA applies to facilities useful in the conduct of research and development activities</w:t>
      </w:r>
      <w:r>
        <w:rPr>
          <w:rFonts w:cs="Arial"/>
          <w:sz w:val="22"/>
          <w:szCs w:val="22"/>
        </w:rPr>
        <w:t>.</w:t>
      </w:r>
      <w:bookmarkEnd w:id="20"/>
      <w:r>
        <w:rPr>
          <w:rFonts w:cs="Arial"/>
          <w:sz w:val="22"/>
          <w:szCs w:val="22"/>
        </w:rPr>
        <w:t xml:space="preserve">  Furthermore, Sections 104a and c of the AEA require that the Commission impose only the minimum amount of regulation needed to promote the common defense and security; protect public health and safety; and permit, under Section 104a, the widest possible amount of effective medical therapy and, under Section 104c, widespread and diverse research and development.</w:t>
      </w:r>
    </w:p>
    <w:p w:rsidR="009A793C" w:rsidP="00491A3A" w14:paraId="7F493493" w14:textId="77777777">
      <w:pPr>
        <w:rPr>
          <w:rFonts w:cs="Arial"/>
          <w:sz w:val="22"/>
          <w:szCs w:val="22"/>
        </w:rPr>
      </w:pPr>
    </w:p>
    <w:p w:rsidR="00491A3A" w:rsidRPr="00FE36BF" w:rsidP="00FE36BF" w14:paraId="7F493494" w14:textId="57263A91">
      <w:pPr>
        <w:autoSpaceDE/>
        <w:autoSpaceDN/>
        <w:adjustRightInd/>
        <w:rPr>
          <w:rFonts w:ascii="Times New Roman" w:hAnsi="Times New Roman" w:eastAsiaTheme="minorEastAsia"/>
        </w:rPr>
      </w:pPr>
      <w:r w:rsidRPr="00D839EE">
        <w:rPr>
          <w:sz w:val="22"/>
          <w:szCs w:val="22"/>
        </w:rPr>
        <w:t xml:space="preserve">The NRC regulates </w:t>
      </w:r>
      <w:r w:rsidRPr="00D839EE" w:rsidR="00274E8D">
        <w:rPr>
          <w:sz w:val="22"/>
          <w:szCs w:val="22"/>
        </w:rPr>
        <w:t>36</w:t>
      </w:r>
      <w:r w:rsidRPr="00D839EE">
        <w:rPr>
          <w:sz w:val="22"/>
          <w:szCs w:val="22"/>
        </w:rPr>
        <w:t xml:space="preserve"> </w:t>
      </w:r>
      <w:r w:rsidRPr="00D839EE" w:rsidR="00E5421D">
        <w:rPr>
          <w:sz w:val="22"/>
          <w:szCs w:val="22"/>
        </w:rPr>
        <w:t>NPUFs</w:t>
      </w:r>
      <w:r w:rsidRPr="00D839EE" w:rsidR="00274E8D">
        <w:rPr>
          <w:sz w:val="22"/>
          <w:szCs w:val="22"/>
        </w:rPr>
        <w:t>,</w:t>
      </w:r>
      <w:r w:rsidRPr="00D839EE" w:rsidR="00F04CC6">
        <w:rPr>
          <w:sz w:val="22"/>
          <w:szCs w:val="22"/>
        </w:rPr>
        <w:t xml:space="preserve"> </w:t>
      </w:r>
      <w:r w:rsidRPr="00D839EE">
        <w:rPr>
          <w:sz w:val="22"/>
          <w:szCs w:val="22"/>
        </w:rPr>
        <w:t xml:space="preserve">of which 31 are </w:t>
      </w:r>
      <w:r w:rsidR="009A793C">
        <w:rPr>
          <w:sz w:val="22"/>
          <w:szCs w:val="22"/>
        </w:rPr>
        <w:t>research reactors or testing facilities currently licensed to operate</w:t>
      </w:r>
      <w:r w:rsidR="00717728">
        <w:rPr>
          <w:sz w:val="22"/>
          <w:szCs w:val="22"/>
        </w:rPr>
        <w:t>.</w:t>
      </w:r>
      <w:r>
        <w:rPr>
          <w:rStyle w:val="FootnoteReference"/>
          <w:sz w:val="22"/>
          <w:szCs w:val="22"/>
        </w:rPr>
        <w:footnoteReference w:id="3"/>
      </w:r>
      <w:r w:rsidRPr="00D839EE" w:rsidR="000F215A">
        <w:rPr>
          <w:sz w:val="22"/>
          <w:szCs w:val="22"/>
        </w:rPr>
        <w:t xml:space="preserve"> </w:t>
      </w:r>
      <w:r w:rsidRPr="00D839EE">
        <w:rPr>
          <w:sz w:val="22"/>
          <w:szCs w:val="22"/>
        </w:rPr>
        <w:t xml:space="preserve"> </w:t>
      </w:r>
      <w:r w:rsidR="009736F8">
        <w:rPr>
          <w:sz w:val="22"/>
          <w:szCs w:val="22"/>
        </w:rPr>
        <w:t xml:space="preserve">Two of the five </w:t>
      </w:r>
      <w:r w:rsidR="009A793C">
        <w:rPr>
          <w:sz w:val="22"/>
          <w:szCs w:val="22"/>
        </w:rPr>
        <w:t>remaining</w:t>
      </w:r>
      <w:r w:rsidR="004A5A68">
        <w:rPr>
          <w:sz w:val="22"/>
          <w:szCs w:val="22"/>
        </w:rPr>
        <w:t xml:space="preserve"> </w:t>
      </w:r>
      <w:r w:rsidR="006377ED">
        <w:rPr>
          <w:sz w:val="22"/>
          <w:szCs w:val="22"/>
        </w:rPr>
        <w:t xml:space="preserve">facilities </w:t>
      </w:r>
      <w:r w:rsidR="009736F8">
        <w:rPr>
          <w:sz w:val="22"/>
          <w:szCs w:val="22"/>
        </w:rPr>
        <w:t xml:space="preserve">have </w:t>
      </w:r>
      <w:r w:rsidR="006377ED">
        <w:rPr>
          <w:sz w:val="22"/>
          <w:szCs w:val="22"/>
        </w:rPr>
        <w:t xml:space="preserve">been issued </w:t>
      </w:r>
      <w:r w:rsidR="009736F8">
        <w:rPr>
          <w:sz w:val="22"/>
          <w:szCs w:val="22"/>
        </w:rPr>
        <w:t>construction permits</w:t>
      </w:r>
      <w:r w:rsidR="009A793C">
        <w:rPr>
          <w:sz w:val="22"/>
          <w:szCs w:val="22"/>
        </w:rPr>
        <w:t xml:space="preserve"> </w:t>
      </w:r>
      <w:r w:rsidR="009A793C">
        <w:rPr>
          <w:rFonts w:cs="Arial"/>
          <w:sz w:val="22"/>
          <w:szCs w:val="22"/>
        </w:rPr>
        <w:t xml:space="preserve">(SHINE Medical Technologies, Inc. </w:t>
      </w:r>
      <w:r w:rsidR="002C0FA3">
        <w:rPr>
          <w:rFonts w:cs="Arial"/>
          <w:sz w:val="22"/>
          <w:szCs w:val="22"/>
        </w:rPr>
        <w:t xml:space="preserve">(SHINE) </w:t>
      </w:r>
      <w:r w:rsidR="009A793C">
        <w:rPr>
          <w:rFonts w:cs="Arial"/>
          <w:sz w:val="22"/>
          <w:szCs w:val="22"/>
        </w:rPr>
        <w:t>and Northwest Medical Isotopes, LLC</w:t>
      </w:r>
      <w:r w:rsidR="002C0FA3">
        <w:rPr>
          <w:rFonts w:cs="Arial"/>
          <w:sz w:val="22"/>
          <w:szCs w:val="22"/>
        </w:rPr>
        <w:t xml:space="preserve"> (NWMI</w:t>
      </w:r>
      <w:r w:rsidRPr="7D8DE724">
        <w:rPr>
          <w:rFonts w:cs="Arial"/>
          <w:sz w:val="22"/>
          <w:szCs w:val="22"/>
        </w:rPr>
        <w:t>)</w:t>
      </w:r>
      <w:r w:rsidRPr="4C2383FA" w:rsidR="009A793C">
        <w:rPr>
          <w:rFonts w:cs="Arial"/>
          <w:sz w:val="22"/>
          <w:szCs w:val="22"/>
        </w:rPr>
        <w:t>)</w:t>
      </w:r>
      <w:r w:rsidRPr="4C2383FA" w:rsidR="004A5A68">
        <w:rPr>
          <w:sz w:val="22"/>
          <w:szCs w:val="22"/>
        </w:rPr>
        <w:t>,</w:t>
      </w:r>
      <w:r w:rsidR="009736F8">
        <w:rPr>
          <w:sz w:val="22"/>
          <w:szCs w:val="22"/>
        </w:rPr>
        <w:t xml:space="preserve"> and the other three </w:t>
      </w:r>
      <w:r w:rsidR="006377ED">
        <w:rPr>
          <w:sz w:val="22"/>
          <w:szCs w:val="22"/>
        </w:rPr>
        <w:t xml:space="preserve">facilities </w:t>
      </w:r>
      <w:r w:rsidR="009736F8">
        <w:rPr>
          <w:sz w:val="22"/>
          <w:szCs w:val="22"/>
        </w:rPr>
        <w:t>are in the process of decommissioning</w:t>
      </w:r>
      <w:r w:rsidR="008F6C19">
        <w:rPr>
          <w:sz w:val="22"/>
          <w:szCs w:val="22"/>
        </w:rPr>
        <w:t>.</w:t>
      </w:r>
      <w:r w:rsidRPr="00D839EE" w:rsidR="006E24A1">
        <w:rPr>
          <w:sz w:val="22"/>
          <w:szCs w:val="22"/>
        </w:rPr>
        <w:t xml:space="preserve"> </w:t>
      </w:r>
      <w:r w:rsidRPr="00D839EE">
        <w:rPr>
          <w:sz w:val="22"/>
          <w:szCs w:val="22"/>
        </w:rPr>
        <w:t xml:space="preserve"> </w:t>
      </w:r>
      <w:r w:rsidR="009A793C">
        <w:rPr>
          <w:rFonts w:cs="Arial"/>
          <w:sz w:val="22"/>
          <w:szCs w:val="22"/>
        </w:rPr>
        <w:t>The NRC regulates one operating testing facility at the National Institute of Standards and Technology (NIST).</w:t>
      </w:r>
    </w:p>
    <w:p w:rsidR="00491A3A" w:rsidRPr="00D839EE" w:rsidP="00491A3A" w14:paraId="7F493495" w14:textId="77777777">
      <w:pPr>
        <w:rPr>
          <w:sz w:val="22"/>
          <w:szCs w:val="22"/>
        </w:rPr>
      </w:pPr>
    </w:p>
    <w:p w:rsidR="00DD52CD" w:rsidRPr="00D839EE" w:rsidP="00545C95" w14:paraId="7F493496" w14:textId="77777777">
      <w:pPr>
        <w:rPr>
          <w:sz w:val="22"/>
          <w:szCs w:val="22"/>
        </w:rPr>
      </w:pPr>
      <w:r w:rsidRPr="00D839EE">
        <w:rPr>
          <w:sz w:val="22"/>
          <w:szCs w:val="22"/>
        </w:rPr>
        <w:t xml:space="preserve">As part of its oversight of NPUFs, the NRC administers an initial licensing process, followed by a license renewal process for those </w:t>
      </w:r>
      <w:r w:rsidRPr="00D839EE" w:rsidR="00EB444E">
        <w:rPr>
          <w:sz w:val="22"/>
          <w:szCs w:val="22"/>
        </w:rPr>
        <w:t xml:space="preserve">NPUFs </w:t>
      </w:r>
      <w:r w:rsidRPr="00D839EE">
        <w:rPr>
          <w:sz w:val="22"/>
          <w:szCs w:val="22"/>
        </w:rPr>
        <w:t xml:space="preserve">that seek to continue operating beyond their initial license term.  </w:t>
      </w:r>
      <w:r w:rsidRPr="00D839EE" w:rsidR="00D71167">
        <w:rPr>
          <w:sz w:val="22"/>
          <w:szCs w:val="22"/>
        </w:rPr>
        <w:t xml:space="preserve">In 2008, the NRC identified a need to identify and implement efficiencies in the NPUF license renewal process to streamline the process while ensuring that adequate protection of public health and safety </w:t>
      </w:r>
      <w:r w:rsidRPr="00D839EE" w:rsidR="00BC6BEC">
        <w:rPr>
          <w:sz w:val="22"/>
          <w:szCs w:val="22"/>
        </w:rPr>
        <w:t>is</w:t>
      </w:r>
      <w:r w:rsidRPr="00D839EE" w:rsidR="00D71167">
        <w:rPr>
          <w:sz w:val="22"/>
          <w:szCs w:val="22"/>
        </w:rPr>
        <w:t xml:space="preserve"> maintained.  This need </w:t>
      </w:r>
      <w:r w:rsidR="00E352EF">
        <w:rPr>
          <w:sz w:val="22"/>
          <w:szCs w:val="22"/>
        </w:rPr>
        <w:t>to</w:t>
      </w:r>
      <w:r w:rsidRPr="00D839EE" w:rsidR="00D71167">
        <w:rPr>
          <w:sz w:val="22"/>
          <w:szCs w:val="22"/>
        </w:rPr>
        <w:t xml:space="preserve"> improve the reliability and efficiency of the process was primarily driven by four issues:</w:t>
      </w:r>
    </w:p>
    <w:p w:rsidR="00DD52CD" w:rsidRPr="00D839EE" w:rsidP="00545C95" w14:paraId="7F493497" w14:textId="77777777">
      <w:pPr>
        <w:rPr>
          <w:sz w:val="22"/>
          <w:szCs w:val="22"/>
        </w:rPr>
      </w:pPr>
    </w:p>
    <w:p w:rsidR="00AC1C19" w:rsidRPr="00D839EE" w:rsidP="00053430" w14:paraId="7F493498" w14:textId="4D076740">
      <w:pPr>
        <w:pStyle w:val="ListParagraph"/>
        <w:numPr>
          <w:ilvl w:val="0"/>
          <w:numId w:val="30"/>
        </w:numPr>
        <w:ind w:hanging="720"/>
        <w:rPr>
          <w:sz w:val="22"/>
          <w:szCs w:val="22"/>
        </w:rPr>
      </w:pPr>
      <w:r>
        <w:rPr>
          <w:sz w:val="22"/>
          <w:szCs w:val="22"/>
        </w:rPr>
        <w:t>A</w:t>
      </w:r>
      <w:r w:rsidRPr="009A793C" w:rsidR="009A793C">
        <w:rPr>
          <w:sz w:val="22"/>
          <w:szCs w:val="22"/>
        </w:rPr>
        <w:t>s a result of the NRC’s response to the events of September</w:t>
      </w:r>
      <w:r w:rsidR="009A793C">
        <w:rPr>
          <w:sz w:val="22"/>
          <w:szCs w:val="22"/>
        </w:rPr>
        <w:t> </w:t>
      </w:r>
      <w:r w:rsidRPr="009A793C" w:rsidR="009A793C">
        <w:rPr>
          <w:sz w:val="22"/>
          <w:szCs w:val="22"/>
        </w:rPr>
        <w:t>11, 2001, the NRC deferred work on a number of NPUF license renewal applications.</w:t>
      </w:r>
      <w:r w:rsidRPr="00D839EE" w:rsidR="00330376">
        <w:rPr>
          <w:sz w:val="22"/>
          <w:szCs w:val="22"/>
        </w:rPr>
        <w:t xml:space="preserve"> </w:t>
      </w:r>
      <w:r w:rsidRPr="00D839EE">
        <w:rPr>
          <w:sz w:val="22"/>
          <w:szCs w:val="22"/>
        </w:rPr>
        <w:t xml:space="preserve"> In addition, the NRC</w:t>
      </w:r>
      <w:r w:rsidR="009A793C">
        <w:rPr>
          <w:sz w:val="22"/>
          <w:szCs w:val="22"/>
        </w:rPr>
        <w:t>’s</w:t>
      </w:r>
      <w:r w:rsidRPr="00D839EE">
        <w:rPr>
          <w:sz w:val="22"/>
          <w:szCs w:val="22"/>
        </w:rPr>
        <w:t xml:space="preserve"> </w:t>
      </w:r>
      <w:r w:rsidRPr="009A793C" w:rsidR="009A793C">
        <w:rPr>
          <w:sz w:val="22"/>
          <w:szCs w:val="22"/>
        </w:rPr>
        <w:t xml:space="preserve">NPUF licensing activities focused on the higher-priority activity of </w:t>
      </w:r>
      <w:r w:rsidRPr="00D839EE">
        <w:rPr>
          <w:sz w:val="22"/>
          <w:szCs w:val="22"/>
        </w:rPr>
        <w:t xml:space="preserve">implementing </w:t>
      </w:r>
      <w:r w:rsidR="00383292">
        <w:rPr>
          <w:sz w:val="22"/>
          <w:szCs w:val="22"/>
        </w:rPr>
        <w:t>10</w:t>
      </w:r>
      <w:r w:rsidR="00DC2696">
        <w:rPr>
          <w:sz w:val="22"/>
          <w:szCs w:val="22"/>
        </w:rPr>
        <w:t> </w:t>
      </w:r>
      <w:r w:rsidRPr="00D839EE" w:rsidR="00242158">
        <w:rPr>
          <w:sz w:val="22"/>
          <w:szCs w:val="22"/>
        </w:rPr>
        <w:t>CFR</w:t>
      </w:r>
      <w:r w:rsidR="00AD6B15">
        <w:rPr>
          <w:sz w:val="22"/>
          <w:szCs w:val="22"/>
        </w:rPr>
        <w:t> </w:t>
      </w:r>
      <w:r w:rsidRPr="00D839EE">
        <w:rPr>
          <w:sz w:val="22"/>
          <w:szCs w:val="22"/>
        </w:rPr>
        <w:t>50.64</w:t>
      </w:r>
      <w:r w:rsidR="00E54B94">
        <w:rPr>
          <w:sz w:val="22"/>
          <w:szCs w:val="22"/>
        </w:rPr>
        <w:t>, “</w:t>
      </w:r>
      <w:r w:rsidRPr="00E54B94" w:rsidR="00E54B94">
        <w:rPr>
          <w:sz w:val="22"/>
          <w:szCs w:val="22"/>
        </w:rPr>
        <w:t xml:space="preserve">Limitations on the </w:t>
      </w:r>
      <w:r w:rsidR="009A793C">
        <w:rPr>
          <w:sz w:val="22"/>
          <w:szCs w:val="22"/>
        </w:rPr>
        <w:t>u</w:t>
      </w:r>
      <w:r w:rsidRPr="00E54B94" w:rsidR="00E54B94">
        <w:rPr>
          <w:sz w:val="22"/>
          <w:szCs w:val="22"/>
        </w:rPr>
        <w:t xml:space="preserve">se of </w:t>
      </w:r>
      <w:r w:rsidR="009A793C">
        <w:rPr>
          <w:sz w:val="22"/>
          <w:szCs w:val="22"/>
        </w:rPr>
        <w:t>h</w:t>
      </w:r>
      <w:r w:rsidRPr="00E54B94" w:rsidR="00E54B94">
        <w:rPr>
          <w:sz w:val="22"/>
          <w:szCs w:val="22"/>
        </w:rPr>
        <w:t xml:space="preserve">ighly </w:t>
      </w:r>
      <w:r w:rsidR="009A793C">
        <w:rPr>
          <w:sz w:val="22"/>
          <w:szCs w:val="22"/>
        </w:rPr>
        <w:t>e</w:t>
      </w:r>
      <w:r w:rsidRPr="00E54B94" w:rsidR="00E54B94">
        <w:rPr>
          <w:sz w:val="22"/>
          <w:szCs w:val="22"/>
        </w:rPr>
        <w:t xml:space="preserve">nriched </w:t>
      </w:r>
      <w:r w:rsidR="009A793C">
        <w:rPr>
          <w:sz w:val="22"/>
          <w:szCs w:val="22"/>
        </w:rPr>
        <w:t>u</w:t>
      </w:r>
      <w:r w:rsidRPr="00E54B94" w:rsidR="00E54B94">
        <w:rPr>
          <w:sz w:val="22"/>
          <w:szCs w:val="22"/>
        </w:rPr>
        <w:t xml:space="preserve">ranium (HEU) in </w:t>
      </w:r>
      <w:r w:rsidR="009A793C">
        <w:rPr>
          <w:sz w:val="22"/>
          <w:szCs w:val="22"/>
        </w:rPr>
        <w:t>d</w:t>
      </w:r>
      <w:r w:rsidRPr="00E54B94" w:rsidR="00E54B94">
        <w:rPr>
          <w:sz w:val="22"/>
          <w:szCs w:val="22"/>
        </w:rPr>
        <w:t xml:space="preserve">omestic </w:t>
      </w:r>
      <w:r w:rsidR="009A793C">
        <w:rPr>
          <w:sz w:val="22"/>
          <w:szCs w:val="22"/>
        </w:rPr>
        <w:t>n</w:t>
      </w:r>
      <w:r w:rsidRPr="00E54B94" w:rsidR="00E54B94">
        <w:rPr>
          <w:sz w:val="22"/>
          <w:szCs w:val="22"/>
        </w:rPr>
        <w:t>on</w:t>
      </w:r>
      <w:r w:rsidR="00E54B94">
        <w:rPr>
          <w:sz w:val="22"/>
          <w:szCs w:val="22"/>
        </w:rPr>
        <w:noBreakHyphen/>
      </w:r>
      <w:r w:rsidR="009A793C">
        <w:rPr>
          <w:sz w:val="22"/>
          <w:szCs w:val="22"/>
        </w:rPr>
        <w:t>p</w:t>
      </w:r>
      <w:r w:rsidRPr="00E54B94" w:rsidR="00E54B94">
        <w:rPr>
          <w:sz w:val="22"/>
          <w:szCs w:val="22"/>
        </w:rPr>
        <w:t xml:space="preserve">ower </w:t>
      </w:r>
      <w:r w:rsidR="009A793C">
        <w:rPr>
          <w:sz w:val="22"/>
          <w:szCs w:val="22"/>
        </w:rPr>
        <w:t>r</w:t>
      </w:r>
      <w:r w:rsidRPr="00E54B94" w:rsidR="00E54B94">
        <w:rPr>
          <w:sz w:val="22"/>
          <w:szCs w:val="22"/>
        </w:rPr>
        <w:t>eactors</w:t>
      </w:r>
      <w:r w:rsidR="00E54B94">
        <w:rPr>
          <w:sz w:val="22"/>
          <w:szCs w:val="22"/>
        </w:rPr>
        <w:t>,”</w:t>
      </w:r>
      <w:r w:rsidRPr="00D839EE">
        <w:rPr>
          <w:sz w:val="22"/>
          <w:szCs w:val="22"/>
        </w:rPr>
        <w:t xml:space="preserve"> to convert </w:t>
      </w:r>
      <w:r w:rsidR="00C62654">
        <w:rPr>
          <w:sz w:val="22"/>
          <w:szCs w:val="22"/>
        </w:rPr>
        <w:t>non-power reactor</w:t>
      </w:r>
      <w:r>
        <w:rPr>
          <w:sz w:val="22"/>
          <w:szCs w:val="22"/>
        </w:rPr>
        <w:t>s</w:t>
      </w:r>
      <w:r w:rsidRPr="00D839EE">
        <w:rPr>
          <w:sz w:val="22"/>
          <w:szCs w:val="22"/>
        </w:rPr>
        <w:t xml:space="preserve"> to the use of low-enriched uranium.</w:t>
      </w:r>
      <w:r w:rsidR="00CC7CA8">
        <w:rPr>
          <w:sz w:val="22"/>
          <w:szCs w:val="22"/>
        </w:rPr>
        <w:t xml:space="preserve">  </w:t>
      </w:r>
      <w:r w:rsidRPr="007E67E5" w:rsidR="00CC7CA8">
        <w:rPr>
          <w:sz w:val="22"/>
          <w:szCs w:val="22"/>
        </w:rPr>
        <w:t xml:space="preserve">Therefore, reviews of these license renewal applications extended for many years. </w:t>
      </w:r>
      <w:r w:rsidR="007D42D6">
        <w:rPr>
          <w:sz w:val="22"/>
          <w:szCs w:val="22"/>
        </w:rPr>
        <w:t xml:space="preserve"> </w:t>
      </w:r>
      <w:r w:rsidRPr="007E67E5" w:rsidR="00CC7CA8">
        <w:rPr>
          <w:sz w:val="22"/>
          <w:szCs w:val="22"/>
        </w:rPr>
        <w:t>In all cases, the timely renewal provision enabled these NPUFs to continue operating during the NRC’s review period</w:t>
      </w:r>
      <w:r w:rsidR="007D42D6">
        <w:rPr>
          <w:sz w:val="22"/>
          <w:szCs w:val="22"/>
        </w:rPr>
        <w:t>.</w:t>
      </w:r>
    </w:p>
    <w:p w:rsidR="00BE158D" w:rsidRPr="00D839EE" w:rsidP="00DD52CD" w14:paraId="7F493499" w14:textId="77777777">
      <w:pPr>
        <w:ind w:hanging="720"/>
        <w:rPr>
          <w:sz w:val="22"/>
          <w:szCs w:val="22"/>
        </w:rPr>
      </w:pPr>
    </w:p>
    <w:p w:rsidR="00D778D4" w:rsidRPr="00D839EE" w:rsidP="00053430" w14:paraId="7F49349A" w14:textId="77777777">
      <w:pPr>
        <w:pStyle w:val="ListParagraph"/>
        <w:numPr>
          <w:ilvl w:val="0"/>
          <w:numId w:val="30"/>
        </w:numPr>
        <w:ind w:hanging="720"/>
        <w:rPr>
          <w:sz w:val="22"/>
          <w:szCs w:val="22"/>
        </w:rPr>
      </w:pPr>
      <w:r>
        <w:rPr>
          <w:sz w:val="22"/>
          <w:szCs w:val="22"/>
        </w:rPr>
        <w:t>Many NPUF</w:t>
      </w:r>
      <w:r w:rsidRPr="00D839EE">
        <w:rPr>
          <w:sz w:val="22"/>
          <w:szCs w:val="22"/>
        </w:rPr>
        <w:t xml:space="preserve"> </w:t>
      </w:r>
      <w:r w:rsidR="0023192D">
        <w:rPr>
          <w:sz w:val="22"/>
          <w:szCs w:val="22"/>
        </w:rPr>
        <w:t>licensee</w:t>
      </w:r>
      <w:r w:rsidRPr="00D839EE" w:rsidR="000F215A">
        <w:rPr>
          <w:sz w:val="22"/>
          <w:szCs w:val="22"/>
        </w:rPr>
        <w:t xml:space="preserve">s have limited staff resources available </w:t>
      </w:r>
      <w:r>
        <w:rPr>
          <w:sz w:val="22"/>
          <w:szCs w:val="22"/>
        </w:rPr>
        <w:t>for licensing support</w:t>
      </w:r>
      <w:r w:rsidRPr="00D839EE" w:rsidR="000F215A">
        <w:rPr>
          <w:sz w:val="22"/>
          <w:szCs w:val="22"/>
        </w:rPr>
        <w:t xml:space="preserve">.  The number of </w:t>
      </w:r>
      <w:r>
        <w:rPr>
          <w:sz w:val="22"/>
          <w:szCs w:val="22"/>
        </w:rPr>
        <w:t>NPUF staff</w:t>
      </w:r>
      <w:r w:rsidRPr="00D839EE" w:rsidR="000F215A">
        <w:rPr>
          <w:sz w:val="22"/>
          <w:szCs w:val="22"/>
        </w:rPr>
        <w:t xml:space="preserve"> can range from one part-time employee </w:t>
      </w:r>
      <w:r>
        <w:rPr>
          <w:sz w:val="22"/>
          <w:szCs w:val="22"/>
        </w:rPr>
        <w:t>for some</w:t>
      </w:r>
      <w:r w:rsidRPr="00D839EE" w:rsidR="000F215A">
        <w:rPr>
          <w:sz w:val="22"/>
          <w:szCs w:val="22"/>
        </w:rPr>
        <w:t xml:space="preserve"> low</w:t>
      </w:r>
      <w:r w:rsidRPr="00D839EE" w:rsidR="00FD16D5">
        <w:rPr>
          <w:sz w:val="22"/>
          <w:szCs w:val="22"/>
        </w:rPr>
        <w:noBreakHyphen/>
      </w:r>
      <w:r w:rsidRPr="00D839EE" w:rsidR="000F215A">
        <w:rPr>
          <w:sz w:val="22"/>
          <w:szCs w:val="22"/>
        </w:rPr>
        <w:t xml:space="preserve">power </w:t>
      </w:r>
      <w:r>
        <w:rPr>
          <w:sz w:val="22"/>
          <w:szCs w:val="22"/>
        </w:rPr>
        <w:t>facilities</w:t>
      </w:r>
      <w:r w:rsidRPr="00D839EE">
        <w:rPr>
          <w:sz w:val="22"/>
          <w:szCs w:val="22"/>
        </w:rPr>
        <w:t xml:space="preserve"> </w:t>
      </w:r>
      <w:r w:rsidRPr="00D839EE" w:rsidR="000F215A">
        <w:rPr>
          <w:sz w:val="22"/>
          <w:szCs w:val="22"/>
        </w:rPr>
        <w:t xml:space="preserve">to as many as four or five full-time employees </w:t>
      </w:r>
      <w:r>
        <w:rPr>
          <w:sz w:val="22"/>
          <w:szCs w:val="22"/>
        </w:rPr>
        <w:t>for</w:t>
      </w:r>
      <w:r w:rsidRPr="00D839EE" w:rsidR="000F215A">
        <w:rPr>
          <w:sz w:val="22"/>
          <w:szCs w:val="22"/>
        </w:rPr>
        <w:t xml:space="preserve"> high</w:t>
      </w:r>
      <w:r>
        <w:rPr>
          <w:sz w:val="22"/>
          <w:szCs w:val="22"/>
        </w:rPr>
        <w:t>er</w:t>
      </w:r>
      <w:r w:rsidRPr="00D839EE" w:rsidR="000F215A">
        <w:rPr>
          <w:sz w:val="22"/>
          <w:szCs w:val="22"/>
        </w:rPr>
        <w:t xml:space="preserve">-power </w:t>
      </w:r>
      <w:r>
        <w:rPr>
          <w:sz w:val="22"/>
          <w:szCs w:val="22"/>
        </w:rPr>
        <w:t>facilities</w:t>
      </w:r>
      <w:r w:rsidRPr="00D839EE" w:rsidR="000F215A">
        <w:rPr>
          <w:sz w:val="22"/>
          <w:szCs w:val="22"/>
        </w:rPr>
        <w:t>.</w:t>
      </w:r>
      <w:r w:rsidRPr="00D839EE" w:rsidR="00226C55">
        <w:rPr>
          <w:sz w:val="22"/>
          <w:szCs w:val="22"/>
        </w:rPr>
        <w:t xml:space="preserve">  </w:t>
      </w:r>
      <w:r>
        <w:rPr>
          <w:sz w:val="22"/>
          <w:szCs w:val="22"/>
        </w:rPr>
        <w:t>The NPUF staff that perform the licensing function typically</w:t>
      </w:r>
      <w:r w:rsidRPr="00D839EE" w:rsidR="00F43A81">
        <w:rPr>
          <w:sz w:val="22"/>
          <w:szCs w:val="22"/>
        </w:rPr>
        <w:t xml:space="preserve"> do so in addition to their normal </w:t>
      </w:r>
      <w:r>
        <w:rPr>
          <w:sz w:val="22"/>
          <w:szCs w:val="22"/>
        </w:rPr>
        <w:t>organizational</w:t>
      </w:r>
      <w:r w:rsidRPr="00D839EE">
        <w:rPr>
          <w:sz w:val="22"/>
          <w:szCs w:val="22"/>
        </w:rPr>
        <w:t xml:space="preserve"> </w:t>
      </w:r>
      <w:r w:rsidRPr="00D839EE" w:rsidR="00F43A81">
        <w:rPr>
          <w:sz w:val="22"/>
          <w:szCs w:val="22"/>
        </w:rPr>
        <w:t xml:space="preserve">responsibilities, </w:t>
      </w:r>
      <w:r>
        <w:rPr>
          <w:sz w:val="22"/>
          <w:szCs w:val="22"/>
        </w:rPr>
        <w:t>which often results in delays</w:t>
      </w:r>
      <w:r w:rsidRPr="00D839EE" w:rsidR="00F43A81">
        <w:rPr>
          <w:sz w:val="22"/>
          <w:szCs w:val="22"/>
        </w:rPr>
        <w:t xml:space="preserve"> </w:t>
      </w:r>
      <w:r>
        <w:rPr>
          <w:sz w:val="22"/>
          <w:szCs w:val="22"/>
        </w:rPr>
        <w:t>(</w:t>
      </w:r>
      <w:r w:rsidRPr="00D839EE" w:rsidR="00F43A81">
        <w:rPr>
          <w:sz w:val="22"/>
          <w:szCs w:val="22"/>
        </w:rPr>
        <w:t xml:space="preserve">particularly in responding to </w:t>
      </w:r>
      <w:r>
        <w:rPr>
          <w:sz w:val="22"/>
          <w:szCs w:val="22"/>
        </w:rPr>
        <w:t xml:space="preserve">the NRC’s </w:t>
      </w:r>
      <w:r w:rsidRPr="00D839EE" w:rsidR="00F43A81">
        <w:rPr>
          <w:sz w:val="22"/>
          <w:szCs w:val="22"/>
        </w:rPr>
        <w:t>requests for additional information</w:t>
      </w:r>
      <w:r>
        <w:rPr>
          <w:sz w:val="22"/>
          <w:szCs w:val="22"/>
        </w:rPr>
        <w:t>) in the license renewal process</w:t>
      </w:r>
      <w:r w:rsidRPr="00D839EE" w:rsidR="00F43A81">
        <w:rPr>
          <w:sz w:val="22"/>
          <w:szCs w:val="22"/>
        </w:rPr>
        <w:t>.</w:t>
      </w:r>
    </w:p>
    <w:p w:rsidR="00D778D4" w:rsidRPr="00D839EE" w:rsidP="00DD52CD" w14:paraId="7F49349B" w14:textId="77777777">
      <w:pPr>
        <w:ind w:hanging="720"/>
        <w:rPr>
          <w:sz w:val="22"/>
          <w:szCs w:val="22"/>
        </w:rPr>
      </w:pPr>
    </w:p>
    <w:p w:rsidR="00BE158D" w:rsidRPr="00D839EE" w:rsidP="00053430" w14:paraId="7F49349C" w14:textId="77777777">
      <w:pPr>
        <w:pStyle w:val="ListParagraph"/>
        <w:numPr>
          <w:ilvl w:val="0"/>
          <w:numId w:val="30"/>
        </w:numPr>
        <w:ind w:hanging="720"/>
        <w:rPr>
          <w:sz w:val="22"/>
          <w:szCs w:val="22"/>
        </w:rPr>
      </w:pPr>
      <w:r w:rsidRPr="00C62654">
        <w:rPr>
          <w:sz w:val="22"/>
          <w:szCs w:val="22"/>
        </w:rPr>
        <w:t xml:space="preserve">The NPUFs licensed under § 50.21(a) or (c) are primarily at college and university sites.  Staff turnover and limited staffing resources at an NPUF often contribute to a lack of historical knowledge of the development of the licensee’s FSAR and changes to the FSAR.  During the most recent round of license renewals, the NRC found that some of the submitted FSARs did not adequately reflect the current licensing basis for the respective licensees.  Because the only required FSAR submission comes at license renewal, which can be at 20-year or greater intervals, submitted FSARs often contain varying levels of completeness and accuracy.  Consequently, the NRC has issued </w:t>
      </w:r>
      <w:r w:rsidR="00CC7CA8">
        <w:rPr>
          <w:sz w:val="22"/>
          <w:szCs w:val="22"/>
        </w:rPr>
        <w:t>requests for additional information</w:t>
      </w:r>
      <w:r w:rsidRPr="00C62654" w:rsidR="00CC7CA8">
        <w:rPr>
          <w:sz w:val="22"/>
          <w:szCs w:val="22"/>
        </w:rPr>
        <w:t xml:space="preserve"> </w:t>
      </w:r>
      <w:r w:rsidRPr="00C62654">
        <w:rPr>
          <w:sz w:val="22"/>
          <w:szCs w:val="22"/>
        </w:rPr>
        <w:t>to obtain missing information, seek clarifications and corrections, and document the current licensing bases.</w:t>
      </w:r>
    </w:p>
    <w:p w:rsidR="00BE158D" w:rsidRPr="00D839EE" w:rsidP="00DD52CD" w14:paraId="7F49349D" w14:textId="77777777">
      <w:pPr>
        <w:ind w:hanging="720"/>
        <w:rPr>
          <w:sz w:val="22"/>
          <w:szCs w:val="22"/>
        </w:rPr>
      </w:pPr>
    </w:p>
    <w:p w:rsidR="00EB5D06" w:rsidRPr="00D839EE" w:rsidP="00053430" w14:paraId="7F49349E" w14:textId="45BBF738">
      <w:pPr>
        <w:pStyle w:val="ListParagraph"/>
        <w:numPr>
          <w:ilvl w:val="0"/>
          <w:numId w:val="30"/>
        </w:numPr>
        <w:ind w:hanging="720"/>
        <w:rPr>
          <w:sz w:val="22"/>
          <w:szCs w:val="22"/>
        </w:rPr>
      </w:pPr>
      <w:r w:rsidRPr="00D839EE">
        <w:rPr>
          <w:sz w:val="22"/>
          <w:szCs w:val="22"/>
        </w:rPr>
        <w:t>For power reactors, license renewal reviews have a defined scope, primarily focused on aging management</w:t>
      </w:r>
      <w:r w:rsidR="00787967">
        <w:rPr>
          <w:sz w:val="22"/>
          <w:szCs w:val="22"/>
        </w:rPr>
        <w:t xml:space="preserve"> for passive, long-lived systems, structures, and components</w:t>
      </w:r>
      <w:r w:rsidRPr="00D839EE">
        <w:rPr>
          <w:sz w:val="22"/>
          <w:szCs w:val="22"/>
        </w:rPr>
        <w:t xml:space="preserve">, as described in 10 CFR </w:t>
      </w:r>
      <w:r w:rsidR="000176DC">
        <w:rPr>
          <w:sz w:val="22"/>
          <w:szCs w:val="22"/>
        </w:rPr>
        <w:t>P</w:t>
      </w:r>
      <w:r w:rsidRPr="00D839EE">
        <w:rPr>
          <w:sz w:val="22"/>
          <w:szCs w:val="22"/>
        </w:rPr>
        <w:t>art 54</w:t>
      </w:r>
      <w:r w:rsidR="00533159">
        <w:rPr>
          <w:sz w:val="22"/>
          <w:szCs w:val="22"/>
        </w:rPr>
        <w:t>, “</w:t>
      </w:r>
      <w:r w:rsidRPr="00533159" w:rsidR="00533159">
        <w:rPr>
          <w:sz w:val="22"/>
          <w:szCs w:val="22"/>
        </w:rPr>
        <w:t xml:space="preserve">Requirements </w:t>
      </w:r>
      <w:r w:rsidR="00533159">
        <w:rPr>
          <w:sz w:val="22"/>
          <w:szCs w:val="22"/>
        </w:rPr>
        <w:t>f</w:t>
      </w:r>
      <w:r w:rsidRPr="00533159" w:rsidR="00533159">
        <w:rPr>
          <w:sz w:val="22"/>
          <w:szCs w:val="22"/>
        </w:rPr>
        <w:t xml:space="preserve">or Renewal </w:t>
      </w:r>
      <w:r w:rsidR="00533159">
        <w:rPr>
          <w:sz w:val="22"/>
          <w:szCs w:val="22"/>
        </w:rPr>
        <w:t>o</w:t>
      </w:r>
      <w:r w:rsidRPr="00533159" w:rsidR="00533159">
        <w:rPr>
          <w:sz w:val="22"/>
          <w:szCs w:val="22"/>
        </w:rPr>
        <w:t xml:space="preserve">f Operating Licenses </w:t>
      </w:r>
      <w:r w:rsidR="00533159">
        <w:rPr>
          <w:sz w:val="22"/>
          <w:szCs w:val="22"/>
        </w:rPr>
        <w:t>f</w:t>
      </w:r>
      <w:r w:rsidRPr="00533159" w:rsidR="00533159">
        <w:rPr>
          <w:sz w:val="22"/>
          <w:szCs w:val="22"/>
        </w:rPr>
        <w:t>or Nuclear Power Plants</w:t>
      </w:r>
      <w:r w:rsidR="00533159">
        <w:rPr>
          <w:sz w:val="22"/>
          <w:szCs w:val="22"/>
        </w:rPr>
        <w:t>”</w:t>
      </w:r>
      <w:r w:rsidRPr="00D839EE">
        <w:rPr>
          <w:sz w:val="22"/>
          <w:szCs w:val="22"/>
        </w:rPr>
        <w:t xml:space="preserve"> </w:t>
      </w:r>
      <w:r w:rsidRPr="004F7678" w:rsidR="00AD57EF">
        <w:rPr>
          <w:sz w:val="22"/>
          <w:szCs w:val="22"/>
        </w:rPr>
        <w:t>(Ref</w:t>
      </w:r>
      <w:r w:rsidR="003756E3">
        <w:rPr>
          <w:sz w:val="22"/>
          <w:szCs w:val="22"/>
        </w:rPr>
        <w:t>.</w:t>
      </w:r>
      <w:r w:rsidRPr="004F7678" w:rsidR="00AD57EF">
        <w:rPr>
          <w:sz w:val="22"/>
          <w:szCs w:val="22"/>
        </w:rPr>
        <w:t xml:space="preserve"> 8)</w:t>
      </w:r>
      <w:r w:rsidRPr="00A4475E" w:rsidR="003756E3">
        <w:rPr>
          <w:sz w:val="22"/>
          <w:szCs w:val="22"/>
        </w:rPr>
        <w:t>.</w:t>
      </w:r>
      <w:r w:rsidRPr="00D839EE">
        <w:rPr>
          <w:sz w:val="22"/>
          <w:szCs w:val="22"/>
        </w:rPr>
        <w:t xml:space="preserve"> </w:t>
      </w:r>
      <w:r w:rsidR="00AD6B15">
        <w:rPr>
          <w:sz w:val="22"/>
          <w:szCs w:val="22"/>
        </w:rPr>
        <w:t xml:space="preserve"> </w:t>
      </w:r>
      <w:r w:rsidRPr="00D839EE">
        <w:rPr>
          <w:sz w:val="22"/>
          <w:szCs w:val="22"/>
        </w:rPr>
        <w:t xml:space="preserve">For NPUFs, </w:t>
      </w:r>
      <w:r w:rsidR="00CC7CA8">
        <w:rPr>
          <w:sz w:val="22"/>
          <w:szCs w:val="22"/>
        </w:rPr>
        <w:t>the</w:t>
      </w:r>
      <w:r w:rsidR="002C0FA3">
        <w:rPr>
          <w:sz w:val="22"/>
          <w:szCs w:val="22"/>
        </w:rPr>
        <w:t xml:space="preserve"> </w:t>
      </w:r>
      <w:r w:rsidR="00D40DBC">
        <w:rPr>
          <w:sz w:val="22"/>
          <w:szCs w:val="22"/>
        </w:rPr>
        <w:t>scope of issues</w:t>
      </w:r>
      <w:r w:rsidRPr="00D839EE" w:rsidR="00D40DBC">
        <w:rPr>
          <w:sz w:val="22"/>
          <w:szCs w:val="22"/>
        </w:rPr>
        <w:t xml:space="preserve"> </w:t>
      </w:r>
      <w:r w:rsidRPr="00D839EE">
        <w:rPr>
          <w:sz w:val="22"/>
          <w:szCs w:val="22"/>
        </w:rPr>
        <w:t>to be addressed during license renewal</w:t>
      </w:r>
      <w:r w:rsidR="00787967">
        <w:rPr>
          <w:sz w:val="22"/>
          <w:szCs w:val="22"/>
        </w:rPr>
        <w:t xml:space="preserve"> is not similarly limited</w:t>
      </w:r>
      <w:r w:rsidRPr="00D839EE">
        <w:rPr>
          <w:sz w:val="22"/>
          <w:szCs w:val="22"/>
        </w:rPr>
        <w:t xml:space="preserve">.  Therefore, the scope of review for license renewal </w:t>
      </w:r>
      <w:r w:rsidR="00C62654">
        <w:rPr>
          <w:sz w:val="22"/>
          <w:szCs w:val="22"/>
        </w:rPr>
        <w:t>was initially treated</w:t>
      </w:r>
      <w:r w:rsidRPr="00D839EE" w:rsidR="00C62654">
        <w:rPr>
          <w:sz w:val="22"/>
          <w:szCs w:val="22"/>
        </w:rPr>
        <w:t xml:space="preserve"> </w:t>
      </w:r>
      <w:r w:rsidRPr="00D839EE">
        <w:rPr>
          <w:sz w:val="22"/>
          <w:szCs w:val="22"/>
        </w:rPr>
        <w:t>the same as that for an original license.</w:t>
      </w:r>
      <w:r w:rsidRPr="00D839EE" w:rsidR="00AC1C19">
        <w:rPr>
          <w:sz w:val="22"/>
          <w:szCs w:val="22"/>
        </w:rPr>
        <w:t xml:space="preserve">  In </w:t>
      </w:r>
      <w:r w:rsidRPr="00D839EE" w:rsidR="00211984">
        <w:rPr>
          <w:sz w:val="22"/>
          <w:szCs w:val="22"/>
        </w:rPr>
        <w:t xml:space="preserve">response to Commission direction in </w:t>
      </w:r>
      <w:r w:rsidR="00C62654">
        <w:rPr>
          <w:sz w:val="22"/>
          <w:szCs w:val="22"/>
        </w:rPr>
        <w:t>the s</w:t>
      </w:r>
      <w:r w:rsidRPr="00D839EE" w:rsidR="004E7B12">
        <w:rPr>
          <w:sz w:val="22"/>
          <w:szCs w:val="22"/>
        </w:rPr>
        <w:t xml:space="preserve">taff </w:t>
      </w:r>
      <w:r w:rsidR="00C62654">
        <w:rPr>
          <w:sz w:val="22"/>
          <w:szCs w:val="22"/>
        </w:rPr>
        <w:t>r</w:t>
      </w:r>
      <w:r w:rsidRPr="00D839EE" w:rsidR="004E7B12">
        <w:rPr>
          <w:sz w:val="22"/>
          <w:szCs w:val="22"/>
        </w:rPr>
        <w:t xml:space="preserve">equirements </w:t>
      </w:r>
      <w:r w:rsidR="00C62654">
        <w:rPr>
          <w:sz w:val="22"/>
          <w:szCs w:val="22"/>
        </w:rPr>
        <w:t>m</w:t>
      </w:r>
      <w:r w:rsidRPr="00D839EE" w:rsidR="004E7B12">
        <w:rPr>
          <w:sz w:val="22"/>
          <w:szCs w:val="22"/>
        </w:rPr>
        <w:t>emorandum (</w:t>
      </w:r>
      <w:r w:rsidRPr="00D839EE" w:rsidR="00E9263B">
        <w:rPr>
          <w:sz w:val="22"/>
          <w:szCs w:val="22"/>
        </w:rPr>
        <w:t>SRM</w:t>
      </w:r>
      <w:r w:rsidRPr="00D839EE" w:rsidR="004E7B12">
        <w:rPr>
          <w:sz w:val="22"/>
          <w:szCs w:val="22"/>
        </w:rPr>
        <w:t>)</w:t>
      </w:r>
      <w:r w:rsidR="00C62654">
        <w:rPr>
          <w:sz w:val="22"/>
          <w:szCs w:val="22"/>
        </w:rPr>
        <w:t xml:space="preserve"> </w:t>
      </w:r>
      <w:r w:rsidR="00CC7CA8">
        <w:rPr>
          <w:sz w:val="22"/>
          <w:szCs w:val="22"/>
        </w:rPr>
        <w:t>to</w:t>
      </w:r>
      <w:r w:rsidR="00C62654">
        <w:rPr>
          <w:sz w:val="22"/>
          <w:szCs w:val="22"/>
        </w:rPr>
        <w:t xml:space="preserve"> </w:t>
      </w:r>
      <w:r w:rsidRPr="00D839EE" w:rsidR="00211984">
        <w:rPr>
          <w:sz w:val="22"/>
          <w:szCs w:val="22"/>
        </w:rPr>
        <w:t>SECY-91-061, “</w:t>
      </w:r>
      <w:r w:rsidR="00BD2BFD">
        <w:rPr>
          <w:sz w:val="22"/>
          <w:szCs w:val="22"/>
        </w:rPr>
        <w:t>SEC</w:t>
      </w:r>
      <w:r w:rsidR="00EC4F83">
        <w:rPr>
          <w:sz w:val="22"/>
          <w:szCs w:val="22"/>
        </w:rPr>
        <w:t>Y</w:t>
      </w:r>
      <w:r w:rsidR="00BD2BFD">
        <w:rPr>
          <w:sz w:val="22"/>
          <w:szCs w:val="22"/>
        </w:rPr>
        <w:t>-91-061—</w:t>
      </w:r>
      <w:r w:rsidRPr="00D839EE" w:rsidR="00211984">
        <w:rPr>
          <w:sz w:val="22"/>
          <w:szCs w:val="22"/>
        </w:rPr>
        <w:t>Separation of Non-Reactor and Non-Power Reactor Licensing Activities from Power Reactor Licensing Activities in 10</w:t>
      </w:r>
      <w:r w:rsidR="00BD2BFD">
        <w:rPr>
          <w:sz w:val="22"/>
          <w:szCs w:val="22"/>
        </w:rPr>
        <w:t> </w:t>
      </w:r>
      <w:r w:rsidRPr="00D839EE" w:rsidR="00211984">
        <w:rPr>
          <w:sz w:val="22"/>
          <w:szCs w:val="22"/>
        </w:rPr>
        <w:t>CFR</w:t>
      </w:r>
      <w:r w:rsidR="00BD2BFD">
        <w:rPr>
          <w:sz w:val="22"/>
          <w:szCs w:val="22"/>
        </w:rPr>
        <w:t> </w:t>
      </w:r>
      <w:r w:rsidRPr="00D839EE" w:rsidR="00211984">
        <w:rPr>
          <w:sz w:val="22"/>
          <w:szCs w:val="22"/>
        </w:rPr>
        <w:t>Part</w:t>
      </w:r>
      <w:r w:rsidR="00BD2BFD">
        <w:rPr>
          <w:sz w:val="22"/>
          <w:szCs w:val="22"/>
        </w:rPr>
        <w:t> </w:t>
      </w:r>
      <w:r w:rsidRPr="00D839EE" w:rsidR="00211984">
        <w:rPr>
          <w:sz w:val="22"/>
          <w:szCs w:val="22"/>
        </w:rPr>
        <w:t xml:space="preserve">50,” </w:t>
      </w:r>
      <w:r w:rsidR="00B955F2">
        <w:rPr>
          <w:sz w:val="22"/>
          <w:szCs w:val="22"/>
        </w:rPr>
        <w:t>dated April </w:t>
      </w:r>
      <w:r w:rsidR="00262151">
        <w:rPr>
          <w:sz w:val="22"/>
          <w:szCs w:val="22"/>
        </w:rPr>
        <w:t>11</w:t>
      </w:r>
      <w:r w:rsidR="00B955F2">
        <w:rPr>
          <w:sz w:val="22"/>
          <w:szCs w:val="22"/>
        </w:rPr>
        <w:t>, 1991 (Ref. </w:t>
      </w:r>
      <w:r w:rsidRPr="004F7678" w:rsidR="00AD57EF">
        <w:rPr>
          <w:sz w:val="22"/>
          <w:szCs w:val="22"/>
        </w:rPr>
        <w:t>9</w:t>
      </w:r>
      <w:r w:rsidR="00B955F2">
        <w:rPr>
          <w:sz w:val="22"/>
          <w:szCs w:val="22"/>
        </w:rPr>
        <w:t xml:space="preserve">), </w:t>
      </w:r>
      <w:r w:rsidRPr="00D839EE" w:rsidR="00AC1C19">
        <w:rPr>
          <w:sz w:val="22"/>
          <w:szCs w:val="22"/>
        </w:rPr>
        <w:t xml:space="preserve">the </w:t>
      </w:r>
      <w:r w:rsidR="009940DE">
        <w:rPr>
          <w:sz w:val="22"/>
          <w:szCs w:val="22"/>
        </w:rPr>
        <w:t>NRC</w:t>
      </w:r>
      <w:r w:rsidRPr="00D839EE" w:rsidR="009940DE">
        <w:rPr>
          <w:sz w:val="22"/>
          <w:szCs w:val="22"/>
        </w:rPr>
        <w:t xml:space="preserve"> </w:t>
      </w:r>
      <w:r w:rsidRPr="00D839EE" w:rsidR="00AC1C19">
        <w:rPr>
          <w:sz w:val="22"/>
          <w:szCs w:val="22"/>
        </w:rPr>
        <w:t xml:space="preserve">developed </w:t>
      </w:r>
      <w:r w:rsidRPr="00D839EE" w:rsidR="004E7B12">
        <w:rPr>
          <w:sz w:val="22"/>
          <w:szCs w:val="22"/>
        </w:rPr>
        <w:t xml:space="preserve">licensing </w:t>
      </w:r>
      <w:r w:rsidRPr="00D839EE" w:rsidR="00AC1C19">
        <w:rPr>
          <w:sz w:val="22"/>
          <w:szCs w:val="22"/>
        </w:rPr>
        <w:t xml:space="preserve">guidance.  </w:t>
      </w:r>
      <w:r w:rsidRPr="00D839EE" w:rsidR="00DA5409">
        <w:rPr>
          <w:sz w:val="22"/>
          <w:szCs w:val="22"/>
        </w:rPr>
        <w:t xml:space="preserve">In </w:t>
      </w:r>
      <w:r w:rsidRPr="00D839EE" w:rsidR="004E7B12">
        <w:rPr>
          <w:sz w:val="22"/>
          <w:szCs w:val="22"/>
        </w:rPr>
        <w:t>that guidance (</w:t>
      </w:r>
      <w:r w:rsidRPr="00D839EE" w:rsidR="00AC1C19">
        <w:rPr>
          <w:sz w:val="22"/>
          <w:szCs w:val="22"/>
        </w:rPr>
        <w:t>NUREG-1537</w:t>
      </w:r>
      <w:r w:rsidRPr="00D839EE" w:rsidR="00DA5409">
        <w:rPr>
          <w:sz w:val="22"/>
          <w:szCs w:val="22"/>
        </w:rPr>
        <w:t xml:space="preserve">, </w:t>
      </w:r>
      <w:r w:rsidR="00D40DBC">
        <w:rPr>
          <w:sz w:val="22"/>
          <w:szCs w:val="22"/>
        </w:rPr>
        <w:t>Parts</w:t>
      </w:r>
      <w:r w:rsidR="00BD2BFD">
        <w:rPr>
          <w:sz w:val="22"/>
          <w:szCs w:val="22"/>
        </w:rPr>
        <w:t> </w:t>
      </w:r>
      <w:r w:rsidR="00D40DBC">
        <w:rPr>
          <w:sz w:val="22"/>
          <w:szCs w:val="22"/>
        </w:rPr>
        <w:t>1 and 2</w:t>
      </w:r>
      <w:r w:rsidRPr="00D839EE" w:rsidR="00DA5409">
        <w:rPr>
          <w:sz w:val="22"/>
          <w:szCs w:val="22"/>
        </w:rPr>
        <w:t xml:space="preserve">, </w:t>
      </w:r>
      <w:r w:rsidRPr="00D839EE" w:rsidR="00C43BD1">
        <w:rPr>
          <w:sz w:val="22"/>
          <w:szCs w:val="22"/>
        </w:rPr>
        <w:t>“Guidelines for Preparing and Reviewing Applications for the Licensing of Non</w:t>
      </w:r>
      <w:r w:rsidR="00BD2BFD">
        <w:rPr>
          <w:sz w:val="22"/>
          <w:szCs w:val="22"/>
        </w:rPr>
        <w:noBreakHyphen/>
      </w:r>
      <w:r w:rsidRPr="00D839EE" w:rsidR="00C43BD1">
        <w:rPr>
          <w:sz w:val="22"/>
          <w:szCs w:val="22"/>
        </w:rPr>
        <w:t>Power Reactors</w:t>
      </w:r>
      <w:r w:rsidR="005152B9">
        <w:rPr>
          <w:sz w:val="22"/>
          <w:szCs w:val="22"/>
        </w:rPr>
        <w:t>,</w:t>
      </w:r>
      <w:r w:rsidRPr="00D839EE" w:rsidR="00C43BD1">
        <w:rPr>
          <w:sz w:val="22"/>
          <w:szCs w:val="22"/>
        </w:rPr>
        <w:t>”</w:t>
      </w:r>
      <w:r w:rsidR="005152B9">
        <w:rPr>
          <w:sz w:val="22"/>
          <w:szCs w:val="22"/>
        </w:rPr>
        <w:t xml:space="preserve"> issued February 1996</w:t>
      </w:r>
      <w:r w:rsidRPr="00D839EE" w:rsidR="00C43BD1">
        <w:rPr>
          <w:sz w:val="22"/>
          <w:szCs w:val="22"/>
        </w:rPr>
        <w:t xml:space="preserve"> </w:t>
      </w:r>
      <w:r w:rsidR="00297869">
        <w:rPr>
          <w:sz w:val="22"/>
          <w:szCs w:val="22"/>
        </w:rPr>
        <w:t>(Ref. </w:t>
      </w:r>
      <w:r w:rsidRPr="004F7678" w:rsidR="00AD57EF">
        <w:rPr>
          <w:sz w:val="22"/>
          <w:szCs w:val="22"/>
        </w:rPr>
        <w:t>4</w:t>
      </w:r>
      <w:r w:rsidRPr="00D839EE" w:rsidR="00C43BD1">
        <w:rPr>
          <w:sz w:val="22"/>
          <w:szCs w:val="22"/>
        </w:rPr>
        <w:t>)</w:t>
      </w:r>
      <w:r w:rsidRPr="00D839EE" w:rsidR="004E7B12">
        <w:rPr>
          <w:sz w:val="22"/>
          <w:szCs w:val="22"/>
        </w:rPr>
        <w:t>)</w:t>
      </w:r>
      <w:r w:rsidRPr="00D839EE" w:rsidR="00082C90">
        <w:rPr>
          <w:sz w:val="22"/>
          <w:szCs w:val="22"/>
        </w:rPr>
        <w:t>,</w:t>
      </w:r>
      <w:r w:rsidRPr="00D839EE" w:rsidR="00C43BD1">
        <w:rPr>
          <w:sz w:val="22"/>
          <w:szCs w:val="22"/>
        </w:rPr>
        <w:t xml:space="preserve"> </w:t>
      </w:r>
      <w:r w:rsidRPr="00D839EE" w:rsidR="00DA5409">
        <w:rPr>
          <w:sz w:val="22"/>
          <w:szCs w:val="22"/>
        </w:rPr>
        <w:t>the NRC</w:t>
      </w:r>
      <w:r w:rsidRPr="00D839EE" w:rsidR="00AC1C19">
        <w:rPr>
          <w:sz w:val="22"/>
          <w:szCs w:val="22"/>
        </w:rPr>
        <w:t xml:space="preserve"> provides detailed descriptions of the scope, content, and format of FSARs and the NRC’s process for reviewing initial license applications and license renewal applications.  However, the </w:t>
      </w:r>
      <w:r w:rsidRPr="00D839EE" w:rsidR="004E7B12">
        <w:rPr>
          <w:sz w:val="22"/>
          <w:szCs w:val="22"/>
        </w:rPr>
        <w:t xml:space="preserve">first </w:t>
      </w:r>
      <w:r w:rsidRPr="00D839EE" w:rsidR="00AC1C19">
        <w:rPr>
          <w:sz w:val="22"/>
          <w:szCs w:val="22"/>
        </w:rPr>
        <w:t>license renewal</w:t>
      </w:r>
      <w:r w:rsidR="00C57F82">
        <w:rPr>
          <w:sz w:val="22"/>
          <w:szCs w:val="22"/>
        </w:rPr>
        <w:t xml:space="preserve"> </w:t>
      </w:r>
      <w:r w:rsidR="00297869">
        <w:rPr>
          <w:sz w:val="22"/>
          <w:szCs w:val="22"/>
        </w:rPr>
        <w:t>using NUREG</w:t>
      </w:r>
      <w:r w:rsidR="00297869">
        <w:rPr>
          <w:sz w:val="22"/>
          <w:szCs w:val="22"/>
        </w:rPr>
        <w:noBreakHyphen/>
      </w:r>
      <w:r w:rsidRPr="00D839EE" w:rsidR="004E7B12">
        <w:rPr>
          <w:sz w:val="22"/>
          <w:szCs w:val="22"/>
        </w:rPr>
        <w:t>1537</w:t>
      </w:r>
      <w:r w:rsidR="00C62654">
        <w:rPr>
          <w:sz w:val="22"/>
          <w:szCs w:val="22"/>
        </w:rPr>
        <w:t xml:space="preserve"> had varying levels of consistency </w:t>
      </w:r>
      <w:r w:rsidR="00787967">
        <w:rPr>
          <w:sz w:val="22"/>
          <w:szCs w:val="22"/>
        </w:rPr>
        <w:t>without</w:t>
      </w:r>
      <w:r w:rsidR="00C62654">
        <w:rPr>
          <w:sz w:val="22"/>
          <w:szCs w:val="22"/>
        </w:rPr>
        <w:t xml:space="preserve"> </w:t>
      </w:r>
      <w:r w:rsidR="00CF7ADC">
        <w:rPr>
          <w:sz w:val="22"/>
          <w:szCs w:val="22"/>
        </w:rPr>
        <w:t>propos</w:t>
      </w:r>
      <w:r w:rsidR="00787967">
        <w:rPr>
          <w:sz w:val="22"/>
          <w:szCs w:val="22"/>
        </w:rPr>
        <w:t>ing</w:t>
      </w:r>
      <w:r w:rsidR="00604851">
        <w:rPr>
          <w:sz w:val="22"/>
          <w:szCs w:val="22"/>
        </w:rPr>
        <w:t xml:space="preserve"> acceptable alternative</w:t>
      </w:r>
      <w:r w:rsidR="00787967">
        <w:rPr>
          <w:sz w:val="22"/>
          <w:szCs w:val="22"/>
        </w:rPr>
        <w:t>s</w:t>
      </w:r>
      <w:r w:rsidR="00C62654">
        <w:rPr>
          <w:sz w:val="22"/>
          <w:szCs w:val="22"/>
        </w:rPr>
        <w:t xml:space="preserve"> to the guidance</w:t>
      </w:r>
      <w:r w:rsidR="00604851">
        <w:rPr>
          <w:sz w:val="22"/>
          <w:szCs w:val="22"/>
        </w:rPr>
        <w:t>.</w:t>
      </w:r>
      <w:r w:rsidRPr="008F54FF" w:rsidR="008F54FF">
        <w:rPr>
          <w:rFonts w:eastAsiaTheme="minorHAnsi" w:cs="Arial"/>
          <w:sz w:val="22"/>
          <w:szCs w:val="22"/>
        </w:rPr>
        <w:t xml:space="preserve"> </w:t>
      </w:r>
      <w:r w:rsidR="00B83023">
        <w:rPr>
          <w:rFonts w:eastAsiaTheme="minorHAnsi" w:cs="Arial"/>
          <w:sz w:val="22"/>
          <w:szCs w:val="22"/>
        </w:rPr>
        <w:t xml:space="preserve"> </w:t>
      </w:r>
      <w:r w:rsidRPr="008F54FF" w:rsidR="008F54FF">
        <w:rPr>
          <w:sz w:val="22"/>
          <w:szCs w:val="22"/>
        </w:rPr>
        <w:t xml:space="preserve">This resulted in the NRC issuing requests for additional information and some of the issues described </w:t>
      </w:r>
      <w:r w:rsidR="008F54FF">
        <w:rPr>
          <w:sz w:val="22"/>
          <w:szCs w:val="22"/>
        </w:rPr>
        <w:t>above</w:t>
      </w:r>
      <w:r w:rsidRPr="008F54FF" w:rsidR="008F54FF">
        <w:rPr>
          <w:sz w:val="22"/>
          <w:szCs w:val="22"/>
        </w:rPr>
        <w:t>.</w:t>
      </w:r>
    </w:p>
    <w:p w:rsidR="00EB5D06" w:rsidRPr="00D839EE" w:rsidP="00491A3A" w14:paraId="7F49349F" w14:textId="77777777">
      <w:pPr>
        <w:rPr>
          <w:sz w:val="22"/>
          <w:szCs w:val="22"/>
        </w:rPr>
      </w:pPr>
    </w:p>
    <w:p w:rsidR="00491A3A" w:rsidRPr="00D839EE" w:rsidP="00491A3A" w14:paraId="7F4934A0" w14:textId="77777777">
      <w:pPr>
        <w:rPr>
          <w:sz w:val="22"/>
          <w:szCs w:val="22"/>
        </w:rPr>
      </w:pPr>
      <w:r>
        <w:rPr>
          <w:sz w:val="22"/>
          <w:szCs w:val="22"/>
        </w:rPr>
        <w:t xml:space="preserve">As a result of these issues, </w:t>
      </w:r>
      <w:r w:rsidRPr="00D839EE" w:rsidR="00E95140">
        <w:rPr>
          <w:sz w:val="22"/>
          <w:szCs w:val="22"/>
        </w:rPr>
        <w:t xml:space="preserve">a </w:t>
      </w:r>
      <w:r w:rsidRPr="00D839EE">
        <w:rPr>
          <w:sz w:val="22"/>
          <w:szCs w:val="22"/>
        </w:rPr>
        <w:t xml:space="preserve">backlog </w:t>
      </w:r>
      <w:r w:rsidRPr="00D839EE" w:rsidR="00E95140">
        <w:rPr>
          <w:sz w:val="22"/>
          <w:szCs w:val="22"/>
        </w:rPr>
        <w:t xml:space="preserve">of NPUF license renewal applications </w:t>
      </w:r>
      <w:r w:rsidRPr="00D839EE">
        <w:rPr>
          <w:sz w:val="22"/>
          <w:szCs w:val="22"/>
        </w:rPr>
        <w:t>developed and persisted</w:t>
      </w:r>
      <w:r>
        <w:rPr>
          <w:sz w:val="22"/>
          <w:szCs w:val="22"/>
        </w:rPr>
        <w:t>.  The Commission and other</w:t>
      </w:r>
      <w:r w:rsidRPr="00D839EE">
        <w:rPr>
          <w:sz w:val="22"/>
          <w:szCs w:val="22"/>
        </w:rPr>
        <w:t xml:space="preserve"> stakeholders voiced concerns not only about the backlog but also about the burdensome nature of the license renewal process itself.  </w:t>
      </w:r>
      <w:r w:rsidR="00C05E44">
        <w:rPr>
          <w:sz w:val="22"/>
          <w:szCs w:val="22"/>
        </w:rPr>
        <w:t>In April 2008, t</w:t>
      </w:r>
      <w:r w:rsidRPr="00D839EE">
        <w:rPr>
          <w:sz w:val="22"/>
          <w:szCs w:val="22"/>
        </w:rPr>
        <w:t>he Commission issued SRM</w:t>
      </w:r>
      <w:r w:rsidRPr="00D839EE" w:rsidR="00A66474">
        <w:rPr>
          <w:sz w:val="22"/>
          <w:szCs w:val="22"/>
        </w:rPr>
        <w:noBreakHyphen/>
      </w:r>
      <w:r w:rsidRPr="007C6079" w:rsidR="00297869">
        <w:rPr>
          <w:sz w:val="22"/>
          <w:szCs w:val="22"/>
        </w:rPr>
        <w:t>M080317B</w:t>
      </w:r>
      <w:r w:rsidRPr="00E46644">
        <w:rPr>
          <w:sz w:val="22"/>
          <w:szCs w:val="22"/>
        </w:rPr>
        <w:t xml:space="preserve">, </w:t>
      </w:r>
      <w:r w:rsidRPr="00317B18" w:rsidR="007C6079">
        <w:rPr>
          <w:sz w:val="22"/>
          <w:szCs w:val="22"/>
        </w:rPr>
        <w:t xml:space="preserve">“Briefing on the State of NRC Technical Programs,” </w:t>
      </w:r>
      <w:r w:rsidRPr="007C6079" w:rsidR="00C05E44">
        <w:rPr>
          <w:sz w:val="22"/>
          <w:szCs w:val="22"/>
        </w:rPr>
        <w:t>(Ref. </w:t>
      </w:r>
      <w:r w:rsidRPr="004F7678" w:rsidR="005C0DA2">
        <w:rPr>
          <w:sz w:val="22"/>
          <w:szCs w:val="22"/>
        </w:rPr>
        <w:t>10</w:t>
      </w:r>
      <w:r w:rsidRPr="007C6079" w:rsidR="00C05E44">
        <w:rPr>
          <w:sz w:val="22"/>
          <w:szCs w:val="22"/>
        </w:rPr>
        <w:t xml:space="preserve">), </w:t>
      </w:r>
      <w:r w:rsidR="00787967">
        <w:rPr>
          <w:sz w:val="22"/>
          <w:szCs w:val="22"/>
        </w:rPr>
        <w:t xml:space="preserve">in </w:t>
      </w:r>
      <w:r w:rsidRPr="007C6079">
        <w:rPr>
          <w:sz w:val="22"/>
          <w:szCs w:val="22"/>
        </w:rPr>
        <w:t xml:space="preserve">which </w:t>
      </w:r>
      <w:r w:rsidR="00787967">
        <w:rPr>
          <w:sz w:val="22"/>
          <w:szCs w:val="22"/>
        </w:rPr>
        <w:t xml:space="preserve">the Commission </w:t>
      </w:r>
      <w:r w:rsidRPr="007C6079">
        <w:rPr>
          <w:sz w:val="22"/>
          <w:szCs w:val="22"/>
        </w:rPr>
        <w:t>directed</w:t>
      </w:r>
      <w:r w:rsidRPr="00D839EE">
        <w:rPr>
          <w:sz w:val="22"/>
          <w:szCs w:val="22"/>
        </w:rPr>
        <w:t xml:space="preserve"> the staff to </w:t>
      </w:r>
      <w:r w:rsidRPr="00C62654">
        <w:rPr>
          <w:sz w:val="22"/>
          <w:szCs w:val="22"/>
        </w:rPr>
        <w:t>“examine the license renewal process for non-power reactors and identify and implement efficiencies to streamline this process while ensuring that adequate protection of public health and safety are maintained.”</w:t>
      </w:r>
    </w:p>
    <w:p w:rsidR="00491A3A" w:rsidRPr="00D839EE" w:rsidP="00491A3A" w14:paraId="7F4934A1" w14:textId="77777777">
      <w:pPr>
        <w:rPr>
          <w:sz w:val="22"/>
          <w:szCs w:val="22"/>
        </w:rPr>
      </w:pPr>
    </w:p>
    <w:p w:rsidR="00491A3A" w:rsidRPr="00D839EE" w:rsidP="00491A3A" w14:paraId="7F4934A2" w14:textId="77777777">
      <w:pPr>
        <w:rPr>
          <w:sz w:val="22"/>
          <w:szCs w:val="22"/>
        </w:rPr>
      </w:pPr>
      <w:r>
        <w:rPr>
          <w:sz w:val="22"/>
          <w:szCs w:val="22"/>
        </w:rPr>
        <w:t>In October 2008, t</w:t>
      </w:r>
      <w:r w:rsidRPr="00D839EE">
        <w:rPr>
          <w:sz w:val="22"/>
          <w:szCs w:val="22"/>
        </w:rPr>
        <w:t>he staff provided the Commission with plans to improve the review of</w:t>
      </w:r>
      <w:r w:rsidRPr="00D839EE" w:rsidR="00964AA4">
        <w:rPr>
          <w:sz w:val="22"/>
          <w:szCs w:val="22"/>
        </w:rPr>
        <w:t xml:space="preserve"> NPUF</w:t>
      </w:r>
      <w:r w:rsidRPr="00D839EE">
        <w:rPr>
          <w:sz w:val="22"/>
          <w:szCs w:val="22"/>
        </w:rPr>
        <w:t xml:space="preserve"> license renewal applications in SECY-08-0161, “Review of Research and Test Reactor License Renewal Applications” </w:t>
      </w:r>
      <w:r w:rsidRPr="00D839EE" w:rsidR="00301136">
        <w:rPr>
          <w:sz w:val="22"/>
          <w:szCs w:val="22"/>
        </w:rPr>
        <w:t xml:space="preserve">(Ref. </w:t>
      </w:r>
      <w:r w:rsidRPr="004F7678" w:rsidR="005C0DA2">
        <w:rPr>
          <w:sz w:val="22"/>
          <w:szCs w:val="22"/>
        </w:rPr>
        <w:t>11</w:t>
      </w:r>
      <w:r w:rsidRPr="00D839EE" w:rsidR="00301136">
        <w:rPr>
          <w:sz w:val="22"/>
          <w:szCs w:val="22"/>
        </w:rPr>
        <w:t>)</w:t>
      </w:r>
      <w:r w:rsidRPr="00D839EE">
        <w:rPr>
          <w:sz w:val="22"/>
          <w:szCs w:val="22"/>
        </w:rPr>
        <w:t xml:space="preserve">.  In SECY-08-0161, the </w:t>
      </w:r>
      <w:r w:rsidR="00CC7CA8">
        <w:rPr>
          <w:sz w:val="22"/>
          <w:szCs w:val="22"/>
        </w:rPr>
        <w:t xml:space="preserve">NRC </w:t>
      </w:r>
      <w:r w:rsidRPr="00D839EE">
        <w:rPr>
          <w:sz w:val="22"/>
          <w:szCs w:val="22"/>
        </w:rPr>
        <w:t xml:space="preserve">staff </w:t>
      </w:r>
      <w:bookmarkStart w:id="21" w:name="_Hlk852520"/>
      <w:r w:rsidR="00C57F82">
        <w:rPr>
          <w:sz w:val="22"/>
          <w:szCs w:val="22"/>
        </w:rPr>
        <w:t>summarized</w:t>
      </w:r>
      <w:r w:rsidRPr="00D839EE">
        <w:rPr>
          <w:sz w:val="22"/>
          <w:szCs w:val="22"/>
        </w:rPr>
        <w:t xml:space="preserve"> a public meeting held with stakeholders to gather feedback on the current process, ways </w:t>
      </w:r>
      <w:r w:rsidR="00C57F82">
        <w:rPr>
          <w:sz w:val="22"/>
          <w:szCs w:val="22"/>
        </w:rPr>
        <w:t>the process</w:t>
      </w:r>
      <w:r w:rsidRPr="00D839EE">
        <w:rPr>
          <w:sz w:val="22"/>
          <w:szCs w:val="22"/>
        </w:rPr>
        <w:t xml:space="preserve"> could be improved, and options for improving the review process</w:t>
      </w:r>
      <w:bookmarkEnd w:id="21"/>
      <w:r w:rsidRPr="00D839EE">
        <w:rPr>
          <w:sz w:val="22"/>
          <w:szCs w:val="22"/>
        </w:rPr>
        <w:t>.  The Commission issued SRM-SECY-08-0161 in March 2009</w:t>
      </w:r>
      <w:r w:rsidR="000D5C76">
        <w:rPr>
          <w:sz w:val="22"/>
          <w:szCs w:val="22"/>
        </w:rPr>
        <w:t xml:space="preserve"> (Ref. </w:t>
      </w:r>
      <w:r w:rsidRPr="004F7678" w:rsidR="005C0DA2">
        <w:rPr>
          <w:sz w:val="22"/>
          <w:szCs w:val="22"/>
        </w:rPr>
        <w:t>12</w:t>
      </w:r>
      <w:r w:rsidR="000D5C76">
        <w:rPr>
          <w:sz w:val="22"/>
          <w:szCs w:val="22"/>
        </w:rPr>
        <w:t>)</w:t>
      </w:r>
      <w:r w:rsidRPr="00D839EE">
        <w:rPr>
          <w:sz w:val="22"/>
          <w:szCs w:val="22"/>
        </w:rPr>
        <w:t xml:space="preserve">, </w:t>
      </w:r>
      <w:r w:rsidR="00787967">
        <w:rPr>
          <w:sz w:val="22"/>
          <w:szCs w:val="22"/>
        </w:rPr>
        <w:t xml:space="preserve">in </w:t>
      </w:r>
      <w:r w:rsidRPr="00D839EE">
        <w:rPr>
          <w:sz w:val="22"/>
          <w:szCs w:val="22"/>
        </w:rPr>
        <w:t>which</w:t>
      </w:r>
      <w:r w:rsidR="00787967">
        <w:rPr>
          <w:sz w:val="22"/>
          <w:szCs w:val="22"/>
        </w:rPr>
        <w:t xml:space="preserve"> it</w:t>
      </w:r>
      <w:r w:rsidRPr="00D839EE">
        <w:rPr>
          <w:sz w:val="22"/>
          <w:szCs w:val="22"/>
        </w:rPr>
        <w:t xml:space="preserve"> </w:t>
      </w:r>
      <w:r>
        <w:rPr>
          <w:sz w:val="22"/>
          <w:szCs w:val="22"/>
        </w:rPr>
        <w:t>directed</w:t>
      </w:r>
      <w:r w:rsidRPr="00D839EE">
        <w:rPr>
          <w:sz w:val="22"/>
          <w:szCs w:val="22"/>
        </w:rPr>
        <w:t xml:space="preserve"> </w:t>
      </w:r>
      <w:r w:rsidRPr="00D839EE">
        <w:rPr>
          <w:sz w:val="22"/>
          <w:szCs w:val="22"/>
        </w:rPr>
        <w:t>the staff to develop program initiatives</w:t>
      </w:r>
      <w:r w:rsidRPr="00D839EE" w:rsidR="003B2C9E">
        <w:rPr>
          <w:sz w:val="22"/>
          <w:szCs w:val="22"/>
        </w:rPr>
        <w:t xml:space="preserve"> to address the backlog of existing </w:t>
      </w:r>
      <w:r w:rsidRPr="00D839EE" w:rsidR="003C0564">
        <w:rPr>
          <w:sz w:val="22"/>
          <w:szCs w:val="22"/>
        </w:rPr>
        <w:t xml:space="preserve">NPUF </w:t>
      </w:r>
      <w:r w:rsidRPr="00D839EE" w:rsidR="003B2C9E">
        <w:rPr>
          <w:sz w:val="22"/>
          <w:szCs w:val="22"/>
        </w:rPr>
        <w:t>license renewal applications</w:t>
      </w:r>
      <w:r w:rsidRPr="00D839EE">
        <w:rPr>
          <w:sz w:val="22"/>
          <w:szCs w:val="22"/>
        </w:rPr>
        <w:t xml:space="preserve">.  </w:t>
      </w:r>
      <w:r w:rsidRPr="00D839EE" w:rsidR="003B2C9E">
        <w:rPr>
          <w:sz w:val="22"/>
          <w:szCs w:val="22"/>
        </w:rPr>
        <w:t>In addition</w:t>
      </w:r>
      <w:r w:rsidRPr="00D839EE">
        <w:rPr>
          <w:sz w:val="22"/>
          <w:szCs w:val="22"/>
        </w:rPr>
        <w:t>, the Commission directed the staff to submit a long</w:t>
      </w:r>
      <w:r w:rsidR="00721453">
        <w:rPr>
          <w:sz w:val="22"/>
          <w:szCs w:val="22"/>
        </w:rPr>
        <w:noBreakHyphen/>
      </w:r>
      <w:r w:rsidRPr="00D839EE">
        <w:rPr>
          <w:sz w:val="22"/>
          <w:szCs w:val="22"/>
        </w:rPr>
        <w:t xml:space="preserve">term plan for an enhanced </w:t>
      </w:r>
      <w:r w:rsidRPr="00D839EE" w:rsidR="003B2C9E">
        <w:rPr>
          <w:sz w:val="22"/>
          <w:szCs w:val="22"/>
        </w:rPr>
        <w:t>NPUF</w:t>
      </w:r>
      <w:r w:rsidRPr="00D839EE">
        <w:rPr>
          <w:sz w:val="22"/>
          <w:szCs w:val="22"/>
        </w:rPr>
        <w:t xml:space="preserve"> license renewal process.  The Commission </w:t>
      </w:r>
      <w:r>
        <w:rPr>
          <w:sz w:val="22"/>
          <w:szCs w:val="22"/>
        </w:rPr>
        <w:t>directed</w:t>
      </w:r>
      <w:r w:rsidRPr="00D839EE">
        <w:rPr>
          <w:sz w:val="22"/>
          <w:szCs w:val="22"/>
        </w:rPr>
        <w:t xml:space="preserve"> </w:t>
      </w:r>
      <w:r w:rsidRPr="00D839EE">
        <w:rPr>
          <w:sz w:val="22"/>
          <w:szCs w:val="22"/>
        </w:rPr>
        <w:t xml:space="preserve">that the plan include development of a basis for redefining the scope of the </w:t>
      </w:r>
      <w:r w:rsidRPr="00D839EE" w:rsidR="003B2C9E">
        <w:rPr>
          <w:sz w:val="22"/>
          <w:szCs w:val="22"/>
        </w:rPr>
        <w:t xml:space="preserve">license renewal </w:t>
      </w:r>
      <w:r w:rsidRPr="00D839EE">
        <w:rPr>
          <w:sz w:val="22"/>
          <w:szCs w:val="22"/>
        </w:rPr>
        <w:t xml:space="preserve">process as well as a recommendation </w:t>
      </w:r>
      <w:r w:rsidR="00721453">
        <w:rPr>
          <w:sz w:val="22"/>
          <w:szCs w:val="22"/>
        </w:rPr>
        <w:t>on</w:t>
      </w:r>
      <w:r w:rsidRPr="00D839EE">
        <w:rPr>
          <w:sz w:val="22"/>
          <w:szCs w:val="22"/>
        </w:rPr>
        <w:t xml:space="preserve"> the need for rulemaking and guidance development.</w:t>
      </w:r>
    </w:p>
    <w:p w:rsidR="00491A3A" w:rsidRPr="00D839EE" w:rsidP="00346B95" w14:paraId="7F4934A4" w14:textId="77777777">
      <w:pPr>
        <w:spacing w:after="220"/>
        <w:rPr>
          <w:sz w:val="22"/>
          <w:szCs w:val="22"/>
        </w:rPr>
      </w:pPr>
      <w:r w:rsidRPr="00D839EE">
        <w:rPr>
          <w:sz w:val="22"/>
          <w:szCs w:val="22"/>
        </w:rPr>
        <w:t>The staff issued SECY-09-0095</w:t>
      </w:r>
      <w:r w:rsidR="004F45AD">
        <w:rPr>
          <w:sz w:val="22"/>
          <w:szCs w:val="22"/>
        </w:rPr>
        <w:t xml:space="preserve">, </w:t>
      </w:r>
      <w:r w:rsidRPr="004F45AD" w:rsidR="004F45AD">
        <w:rPr>
          <w:sz w:val="22"/>
          <w:szCs w:val="22"/>
        </w:rPr>
        <w:t>“Long-Term Plan for Enhancing the Research and Test Reactor License Renewal Process and Status of the Development and Use of the Interim Staff Guidance”</w:t>
      </w:r>
      <w:r w:rsidRPr="00D839EE">
        <w:rPr>
          <w:sz w:val="22"/>
          <w:szCs w:val="22"/>
        </w:rPr>
        <w:t xml:space="preserve"> </w:t>
      </w:r>
      <w:r w:rsidRPr="00307344" w:rsidR="003D3FBA">
        <w:rPr>
          <w:sz w:val="22"/>
          <w:szCs w:val="22"/>
        </w:rPr>
        <w:t>(Ref. 13)</w:t>
      </w:r>
      <w:r w:rsidR="003D3FBA">
        <w:rPr>
          <w:sz w:val="22"/>
          <w:szCs w:val="22"/>
        </w:rPr>
        <w:t xml:space="preserve">, </w:t>
      </w:r>
      <w:r w:rsidRPr="00D839EE">
        <w:rPr>
          <w:sz w:val="22"/>
          <w:szCs w:val="22"/>
        </w:rPr>
        <w:t>in June 2009</w:t>
      </w:r>
      <w:r w:rsidR="00703BB1">
        <w:rPr>
          <w:sz w:val="22"/>
          <w:szCs w:val="22"/>
        </w:rPr>
        <w:t xml:space="preserve"> </w:t>
      </w:r>
      <w:r w:rsidRPr="00D839EE">
        <w:rPr>
          <w:sz w:val="22"/>
          <w:szCs w:val="22"/>
        </w:rPr>
        <w:t xml:space="preserve">to provide the Commission with a long-term plan for enhancing the </w:t>
      </w:r>
      <w:r w:rsidRPr="00D839EE" w:rsidR="003B2C9E">
        <w:rPr>
          <w:sz w:val="22"/>
          <w:szCs w:val="22"/>
        </w:rPr>
        <w:t>NPUF</w:t>
      </w:r>
      <w:r w:rsidRPr="00D839EE">
        <w:rPr>
          <w:sz w:val="22"/>
          <w:szCs w:val="22"/>
        </w:rPr>
        <w:t xml:space="preserve"> license renewal pro</w:t>
      </w:r>
      <w:r w:rsidRPr="00D839EE" w:rsidR="00980DC6">
        <w:rPr>
          <w:sz w:val="22"/>
          <w:szCs w:val="22"/>
        </w:rPr>
        <w:t>cess</w:t>
      </w:r>
      <w:r w:rsidRPr="00D839EE">
        <w:rPr>
          <w:sz w:val="22"/>
          <w:szCs w:val="22"/>
        </w:rPr>
        <w:t xml:space="preserve">.  In the long-term plan, the staff proposed to develop a draft regulatory basis to support proceeding with rulemaking to streamline and enhance the </w:t>
      </w:r>
      <w:r w:rsidRPr="00D839EE" w:rsidR="003B2C9E">
        <w:rPr>
          <w:sz w:val="22"/>
          <w:szCs w:val="22"/>
        </w:rPr>
        <w:t>NPUF</w:t>
      </w:r>
      <w:r w:rsidRPr="00D839EE">
        <w:rPr>
          <w:sz w:val="22"/>
          <w:szCs w:val="22"/>
        </w:rPr>
        <w:t xml:space="preserve"> license renewal process.  The Commission issued SRM</w:t>
      </w:r>
      <w:r w:rsidR="009940DE">
        <w:rPr>
          <w:sz w:val="22"/>
          <w:szCs w:val="22"/>
        </w:rPr>
        <w:t>-</w:t>
      </w:r>
      <w:r w:rsidRPr="00D839EE">
        <w:rPr>
          <w:sz w:val="22"/>
          <w:szCs w:val="22"/>
        </w:rPr>
        <w:t>M090811, “Staff Requirements Memorandum</w:t>
      </w:r>
      <w:r w:rsidR="006D4FA5">
        <w:rPr>
          <w:sz w:val="22"/>
          <w:szCs w:val="22"/>
        </w:rPr>
        <w:t>—</w:t>
      </w:r>
      <w:r w:rsidRPr="00D839EE">
        <w:rPr>
          <w:sz w:val="22"/>
          <w:szCs w:val="22"/>
        </w:rPr>
        <w:t xml:space="preserve">Briefing on Research and Test Reactor (RTR) Challenges” </w:t>
      </w:r>
      <w:r w:rsidRPr="004F7678" w:rsidR="003D3FBA">
        <w:rPr>
          <w:sz w:val="22"/>
          <w:szCs w:val="22"/>
        </w:rPr>
        <w:t>(Ref. 14),</w:t>
      </w:r>
      <w:r w:rsidRPr="00A4475E" w:rsidR="003D3FBA">
        <w:rPr>
          <w:sz w:val="22"/>
          <w:szCs w:val="22"/>
        </w:rPr>
        <w:t xml:space="preserve"> </w:t>
      </w:r>
      <w:r w:rsidRPr="00D839EE">
        <w:rPr>
          <w:sz w:val="22"/>
          <w:szCs w:val="22"/>
        </w:rPr>
        <w:t>in August 2009</w:t>
      </w:r>
      <w:r w:rsidRPr="004F7678" w:rsidR="003D3FBA">
        <w:rPr>
          <w:sz w:val="22"/>
          <w:szCs w:val="22"/>
        </w:rPr>
        <w:t>,</w:t>
      </w:r>
      <w:r w:rsidR="006D4FA5">
        <w:rPr>
          <w:sz w:val="22"/>
          <w:szCs w:val="22"/>
        </w:rPr>
        <w:t xml:space="preserve"> </w:t>
      </w:r>
      <w:r w:rsidRPr="00D839EE">
        <w:rPr>
          <w:sz w:val="22"/>
          <w:szCs w:val="22"/>
        </w:rPr>
        <w:t xml:space="preserve">which directed </w:t>
      </w:r>
      <w:r w:rsidRPr="00D839EE" w:rsidR="0063220A">
        <w:rPr>
          <w:sz w:val="22"/>
          <w:szCs w:val="22"/>
        </w:rPr>
        <w:t xml:space="preserve">the </w:t>
      </w:r>
      <w:r w:rsidRPr="00D839EE">
        <w:rPr>
          <w:sz w:val="22"/>
          <w:szCs w:val="22"/>
        </w:rPr>
        <w:t>staff to accelerate the rulemaking to establish a more efficient, effective and focused regulatory framework</w:t>
      </w:r>
      <w:r w:rsidRPr="00D839EE" w:rsidR="003B2C9E">
        <w:rPr>
          <w:sz w:val="22"/>
          <w:szCs w:val="22"/>
        </w:rPr>
        <w:t xml:space="preserve"> for NPUF license renewal</w:t>
      </w:r>
      <w:r w:rsidRPr="00D839EE">
        <w:rPr>
          <w:sz w:val="22"/>
          <w:szCs w:val="22"/>
        </w:rPr>
        <w:t>.</w:t>
      </w:r>
    </w:p>
    <w:p w:rsidR="00690954" w:rsidP="00491A3A" w14:paraId="7F4934A5" w14:textId="77777777">
      <w:pPr>
        <w:rPr>
          <w:sz w:val="22"/>
          <w:szCs w:val="22"/>
        </w:rPr>
      </w:pPr>
      <w:r w:rsidRPr="00D839EE">
        <w:rPr>
          <w:sz w:val="22"/>
          <w:szCs w:val="22"/>
        </w:rPr>
        <w:t xml:space="preserve">The </w:t>
      </w:r>
      <w:r w:rsidRPr="00D839EE" w:rsidR="0063220A">
        <w:rPr>
          <w:sz w:val="22"/>
          <w:szCs w:val="22"/>
        </w:rPr>
        <w:t xml:space="preserve">NRC </w:t>
      </w:r>
      <w:r w:rsidRPr="00D839EE">
        <w:rPr>
          <w:sz w:val="22"/>
          <w:szCs w:val="22"/>
        </w:rPr>
        <w:t>completed the regulatory basis in August 2012</w:t>
      </w:r>
      <w:r w:rsidRPr="00D839EE" w:rsidR="00AD79FB">
        <w:rPr>
          <w:sz w:val="22"/>
          <w:szCs w:val="22"/>
        </w:rPr>
        <w:t xml:space="preserve"> (Ref. </w:t>
      </w:r>
      <w:r w:rsidRPr="004F7678" w:rsidR="005C0DA2">
        <w:rPr>
          <w:sz w:val="22"/>
          <w:szCs w:val="22"/>
        </w:rPr>
        <w:t>15</w:t>
      </w:r>
      <w:r w:rsidRPr="00D839EE" w:rsidR="00AD79FB">
        <w:rPr>
          <w:sz w:val="22"/>
          <w:szCs w:val="22"/>
        </w:rPr>
        <w:t>)</w:t>
      </w:r>
      <w:r w:rsidRPr="00D839EE">
        <w:rPr>
          <w:sz w:val="22"/>
          <w:szCs w:val="22"/>
        </w:rPr>
        <w:t xml:space="preserve">.  The regulatory basis analyzed the </w:t>
      </w:r>
      <w:r w:rsidRPr="008F54FF" w:rsidR="008F54FF">
        <w:rPr>
          <w:sz w:val="22"/>
          <w:szCs w:val="22"/>
        </w:rPr>
        <w:t xml:space="preserve">NPUF license renewal process’s </w:t>
      </w:r>
      <w:r w:rsidRPr="00D839EE">
        <w:rPr>
          <w:sz w:val="22"/>
          <w:szCs w:val="22"/>
        </w:rPr>
        <w:t xml:space="preserve">technical, legal, and policy issues; impacts on public health, safety, and security; impacts on licensees; impacts on the NRC; stakeholder feedback; </w:t>
      </w:r>
      <w:r w:rsidR="00571824">
        <w:rPr>
          <w:sz w:val="22"/>
          <w:szCs w:val="22"/>
        </w:rPr>
        <w:t>and</w:t>
      </w:r>
      <w:r w:rsidRPr="00D839EE">
        <w:rPr>
          <w:sz w:val="22"/>
          <w:szCs w:val="22"/>
        </w:rPr>
        <w:t xml:space="preserve"> other considerations</w:t>
      </w:r>
      <w:r w:rsidR="009940DE">
        <w:rPr>
          <w:sz w:val="22"/>
          <w:szCs w:val="22"/>
        </w:rPr>
        <w:t xml:space="preserve">.  The NRC </w:t>
      </w:r>
      <w:r w:rsidRPr="00D839EE">
        <w:rPr>
          <w:sz w:val="22"/>
          <w:szCs w:val="22"/>
        </w:rPr>
        <w:t>concluded that a rulemaking was warranted.</w:t>
      </w:r>
    </w:p>
    <w:p w:rsidR="00E51377" w:rsidP="00491A3A" w14:paraId="7F4934A6" w14:textId="77777777">
      <w:pPr>
        <w:rPr>
          <w:sz w:val="22"/>
          <w:szCs w:val="22"/>
        </w:rPr>
      </w:pPr>
    </w:p>
    <w:p w:rsidR="00383292" w:rsidRPr="00D839EE" w:rsidP="00346B95" w14:paraId="7F4934A7" w14:textId="77777777">
      <w:pPr>
        <w:spacing w:after="220"/>
        <w:rPr>
          <w:sz w:val="22"/>
          <w:szCs w:val="22"/>
        </w:rPr>
      </w:pPr>
      <w:r w:rsidRPr="00383292">
        <w:rPr>
          <w:sz w:val="22"/>
          <w:szCs w:val="22"/>
        </w:rPr>
        <w:t xml:space="preserve">On March 30, 2017, the NRC published a proposed rule, “Non-Power Production or Utilization Facility License Renewal” </w:t>
      </w:r>
      <w:r w:rsidR="00D02BF5">
        <w:rPr>
          <w:sz w:val="22"/>
          <w:szCs w:val="22"/>
        </w:rPr>
        <w:t>(Volume 82 of</w:t>
      </w:r>
      <w:r w:rsidRPr="00383292">
        <w:rPr>
          <w:sz w:val="22"/>
          <w:szCs w:val="22"/>
        </w:rPr>
        <w:t xml:space="preserve"> the </w:t>
      </w:r>
      <w:r w:rsidRPr="0053647B">
        <w:rPr>
          <w:i/>
          <w:sz w:val="22"/>
        </w:rPr>
        <w:t>Federal Register</w:t>
      </w:r>
      <w:r w:rsidRPr="00383292">
        <w:rPr>
          <w:sz w:val="22"/>
          <w:szCs w:val="22"/>
        </w:rPr>
        <w:t xml:space="preserve"> </w:t>
      </w:r>
      <w:r w:rsidR="00D02BF5">
        <w:rPr>
          <w:sz w:val="22"/>
          <w:szCs w:val="22"/>
        </w:rPr>
        <w:t>(FR), page 15643</w:t>
      </w:r>
      <w:r w:rsidR="006C3C05">
        <w:rPr>
          <w:sz w:val="22"/>
          <w:szCs w:val="22"/>
        </w:rPr>
        <w:t>, March</w:t>
      </w:r>
      <w:r w:rsidR="00F345D6">
        <w:rPr>
          <w:sz w:val="22"/>
          <w:szCs w:val="22"/>
        </w:rPr>
        <w:t> </w:t>
      </w:r>
      <w:r w:rsidR="006C3C05">
        <w:rPr>
          <w:sz w:val="22"/>
          <w:szCs w:val="22"/>
        </w:rPr>
        <w:t>30,</w:t>
      </w:r>
      <w:r w:rsidR="00F345D6">
        <w:rPr>
          <w:sz w:val="22"/>
          <w:szCs w:val="22"/>
        </w:rPr>
        <w:t> </w:t>
      </w:r>
      <w:r w:rsidR="006C3C05">
        <w:rPr>
          <w:sz w:val="22"/>
          <w:szCs w:val="22"/>
        </w:rPr>
        <w:t>2017</w:t>
      </w:r>
      <w:r w:rsidR="00D02BF5">
        <w:rPr>
          <w:sz w:val="22"/>
          <w:szCs w:val="22"/>
        </w:rPr>
        <w:t xml:space="preserve"> </w:t>
      </w:r>
      <w:r w:rsidRPr="00383292">
        <w:rPr>
          <w:sz w:val="22"/>
          <w:szCs w:val="22"/>
        </w:rPr>
        <w:t>(82 FR 15643)</w:t>
      </w:r>
      <w:r w:rsidR="00D02BF5">
        <w:rPr>
          <w:sz w:val="22"/>
          <w:szCs w:val="22"/>
        </w:rPr>
        <w:t>)</w:t>
      </w:r>
      <w:r>
        <w:rPr>
          <w:sz w:val="22"/>
          <w:szCs w:val="22"/>
        </w:rPr>
        <w:t xml:space="preserve"> (Ref. </w:t>
      </w:r>
      <w:r w:rsidRPr="004F7678" w:rsidR="005C0DA2">
        <w:rPr>
          <w:sz w:val="22"/>
          <w:szCs w:val="22"/>
        </w:rPr>
        <w:t>16</w:t>
      </w:r>
      <w:r>
        <w:rPr>
          <w:sz w:val="22"/>
          <w:szCs w:val="22"/>
        </w:rPr>
        <w:t>)</w:t>
      </w:r>
      <w:r w:rsidRPr="00383292">
        <w:rPr>
          <w:sz w:val="22"/>
          <w:szCs w:val="22"/>
        </w:rPr>
        <w:t xml:space="preserve">.  The </w:t>
      </w:r>
      <w:r w:rsidR="00E20799">
        <w:rPr>
          <w:sz w:val="22"/>
          <w:szCs w:val="22"/>
        </w:rPr>
        <w:t xml:space="preserve">agency </w:t>
      </w:r>
      <w:r w:rsidR="00422156">
        <w:rPr>
          <w:sz w:val="22"/>
          <w:szCs w:val="22"/>
        </w:rPr>
        <w:t xml:space="preserve">provided </w:t>
      </w:r>
      <w:r w:rsidR="00E20799">
        <w:rPr>
          <w:sz w:val="22"/>
          <w:szCs w:val="22"/>
        </w:rPr>
        <w:t xml:space="preserve">a </w:t>
      </w:r>
      <w:r w:rsidRPr="00383292">
        <w:rPr>
          <w:sz w:val="22"/>
          <w:szCs w:val="22"/>
        </w:rPr>
        <w:t xml:space="preserve">public comment period </w:t>
      </w:r>
      <w:r w:rsidR="00E20799">
        <w:rPr>
          <w:sz w:val="22"/>
          <w:szCs w:val="22"/>
        </w:rPr>
        <w:t xml:space="preserve">of 75 days </w:t>
      </w:r>
      <w:r w:rsidR="00C57F82">
        <w:rPr>
          <w:sz w:val="22"/>
          <w:szCs w:val="22"/>
        </w:rPr>
        <w:t>for</w:t>
      </w:r>
      <w:r w:rsidRPr="00383292">
        <w:rPr>
          <w:sz w:val="22"/>
          <w:szCs w:val="22"/>
        </w:rPr>
        <w:t xml:space="preserve"> review and comment on the proposed rule and associated guidance</w:t>
      </w:r>
      <w:r>
        <w:rPr>
          <w:sz w:val="22"/>
          <w:szCs w:val="22"/>
        </w:rPr>
        <w:t xml:space="preserve"> </w:t>
      </w:r>
      <w:r w:rsidR="00136638">
        <w:rPr>
          <w:sz w:val="22"/>
          <w:szCs w:val="22"/>
        </w:rPr>
        <w:t>(including the proposed rule’s regulatory analysis)</w:t>
      </w:r>
      <w:r>
        <w:rPr>
          <w:sz w:val="22"/>
          <w:szCs w:val="22"/>
        </w:rPr>
        <w:t>.</w:t>
      </w:r>
    </w:p>
    <w:p w:rsidR="005815DD" w:rsidRPr="00D839EE" w:rsidP="00346B95" w14:paraId="7F4934A8" w14:textId="77777777">
      <w:pPr>
        <w:pStyle w:val="Heading2"/>
        <w:spacing w:after="240"/>
        <w:ind w:left="720" w:hanging="720"/>
        <w:rPr>
          <w:b w:val="0"/>
          <w:i w:val="0"/>
        </w:rPr>
      </w:pPr>
      <w:bookmarkStart w:id="22" w:name="_Toc443852783"/>
      <w:bookmarkStart w:id="23" w:name="_Toc530073272"/>
      <w:bookmarkStart w:id="24" w:name="_Toc534037089"/>
      <w:bookmarkStart w:id="25" w:name="_Toc534699709"/>
      <w:bookmarkStart w:id="26" w:name="_Toc536603276"/>
      <w:r w:rsidRPr="00D839EE">
        <w:t>1.2</w:t>
      </w:r>
      <w:r w:rsidRPr="00D839EE" w:rsidR="00F60387">
        <w:tab/>
        <w:t xml:space="preserve">Statement of the Problem and </w:t>
      </w:r>
      <w:r w:rsidR="00E20799">
        <w:t>NRC</w:t>
      </w:r>
      <w:r w:rsidRPr="00D839EE" w:rsidR="00F60387">
        <w:t xml:space="preserve"> Objectives for the Rulemaking</w:t>
      </w:r>
      <w:bookmarkEnd w:id="22"/>
      <w:bookmarkEnd w:id="23"/>
      <w:bookmarkEnd w:id="24"/>
      <w:bookmarkEnd w:id="25"/>
      <w:bookmarkEnd w:id="26"/>
    </w:p>
    <w:p w:rsidR="00E11609" w:rsidRPr="00D839EE" w:rsidP="00491A3A" w14:paraId="7F4934A9" w14:textId="77777777">
      <w:pPr>
        <w:rPr>
          <w:sz w:val="22"/>
          <w:szCs w:val="22"/>
        </w:rPr>
      </w:pPr>
      <w:r w:rsidRPr="00D839EE">
        <w:rPr>
          <w:sz w:val="22"/>
          <w:szCs w:val="22"/>
        </w:rPr>
        <w:t xml:space="preserve">The NRC has developed this </w:t>
      </w:r>
      <w:r w:rsidRPr="00D839EE" w:rsidR="00BC5E9F">
        <w:rPr>
          <w:sz w:val="22"/>
          <w:szCs w:val="22"/>
        </w:rPr>
        <w:t>final</w:t>
      </w:r>
      <w:r w:rsidRPr="00D839EE">
        <w:rPr>
          <w:sz w:val="22"/>
          <w:szCs w:val="22"/>
        </w:rPr>
        <w:t xml:space="preserve"> rule to addre</w:t>
      </w:r>
      <w:r w:rsidRPr="00D839EE" w:rsidR="00D5029F">
        <w:rPr>
          <w:sz w:val="22"/>
          <w:szCs w:val="22"/>
        </w:rPr>
        <w:t>ss gaps</w:t>
      </w:r>
      <w:r w:rsidRPr="00D839EE" w:rsidR="00C06929">
        <w:rPr>
          <w:sz w:val="22"/>
          <w:szCs w:val="22"/>
        </w:rPr>
        <w:t xml:space="preserve"> and issues</w:t>
      </w:r>
      <w:r w:rsidRPr="00D839EE" w:rsidR="00D5029F">
        <w:rPr>
          <w:sz w:val="22"/>
          <w:szCs w:val="22"/>
        </w:rPr>
        <w:t xml:space="preserve"> in current regulations.  </w:t>
      </w:r>
      <w:r w:rsidR="00E20799">
        <w:rPr>
          <w:sz w:val="22"/>
          <w:szCs w:val="22"/>
        </w:rPr>
        <w:t>T</w:t>
      </w:r>
      <w:r w:rsidRPr="00D839EE" w:rsidR="00D5029F">
        <w:rPr>
          <w:sz w:val="22"/>
          <w:szCs w:val="22"/>
        </w:rPr>
        <w:t>he</w:t>
      </w:r>
      <w:r w:rsidRPr="00D839EE" w:rsidR="008D7A49">
        <w:rPr>
          <w:sz w:val="22"/>
          <w:szCs w:val="22"/>
        </w:rPr>
        <w:t xml:space="preserve"> Commission directed the staff to develop a streamlined license renewal process for NPUFs</w:t>
      </w:r>
      <w:r w:rsidRPr="00D839EE" w:rsidR="00EB1E74">
        <w:rPr>
          <w:sz w:val="22"/>
          <w:szCs w:val="22"/>
        </w:rPr>
        <w:t xml:space="preserve">.  </w:t>
      </w:r>
      <w:r w:rsidR="00C57F82">
        <w:rPr>
          <w:sz w:val="22"/>
          <w:szCs w:val="22"/>
        </w:rPr>
        <w:t xml:space="preserve">The </w:t>
      </w:r>
      <w:r w:rsidRPr="00D839EE" w:rsidR="008D7A49">
        <w:rPr>
          <w:sz w:val="22"/>
          <w:szCs w:val="22"/>
        </w:rPr>
        <w:t xml:space="preserve">staff identified four areas of concern </w:t>
      </w:r>
      <w:r w:rsidR="00E20799">
        <w:rPr>
          <w:sz w:val="22"/>
          <w:szCs w:val="22"/>
        </w:rPr>
        <w:t>with</w:t>
      </w:r>
      <w:r w:rsidRPr="00D839EE" w:rsidR="008D7A49">
        <w:rPr>
          <w:sz w:val="22"/>
          <w:szCs w:val="22"/>
        </w:rPr>
        <w:t xml:space="preserve"> </w:t>
      </w:r>
      <w:r w:rsidR="00422156">
        <w:rPr>
          <w:sz w:val="22"/>
          <w:szCs w:val="22"/>
        </w:rPr>
        <w:t xml:space="preserve">respect to </w:t>
      </w:r>
      <w:r w:rsidRPr="00D839EE" w:rsidR="008D7A49">
        <w:rPr>
          <w:sz w:val="22"/>
          <w:szCs w:val="22"/>
        </w:rPr>
        <w:t>the curr</w:t>
      </w:r>
      <w:r w:rsidRPr="00D839EE" w:rsidR="00C06929">
        <w:rPr>
          <w:sz w:val="22"/>
          <w:szCs w:val="22"/>
        </w:rPr>
        <w:t>ent license renewal process</w:t>
      </w:r>
      <w:r w:rsidRPr="00D839EE" w:rsidR="008D7A49">
        <w:rPr>
          <w:sz w:val="22"/>
          <w:szCs w:val="22"/>
        </w:rPr>
        <w:t>:</w:t>
      </w:r>
      <w:r w:rsidR="00E65B12">
        <w:rPr>
          <w:sz w:val="22"/>
          <w:szCs w:val="22"/>
        </w:rPr>
        <w:t xml:space="preserve"> </w:t>
      </w:r>
      <w:r w:rsidRPr="00D839EE" w:rsidR="008D7A49">
        <w:rPr>
          <w:sz w:val="22"/>
          <w:szCs w:val="22"/>
        </w:rPr>
        <w:t>(1)</w:t>
      </w:r>
      <w:r w:rsidR="00F345D6">
        <w:rPr>
          <w:sz w:val="22"/>
          <w:szCs w:val="22"/>
        </w:rPr>
        <w:t> </w:t>
      </w:r>
      <w:r w:rsidRPr="00D839EE" w:rsidR="008D7A49">
        <w:rPr>
          <w:sz w:val="22"/>
          <w:szCs w:val="22"/>
        </w:rPr>
        <w:t>the current reliance on initial licensing regulations for license renewal</w:t>
      </w:r>
      <w:r w:rsidR="00E20799">
        <w:rPr>
          <w:sz w:val="22"/>
          <w:szCs w:val="22"/>
        </w:rPr>
        <w:t>,</w:t>
      </w:r>
      <w:r w:rsidRPr="00D839EE" w:rsidR="008D7A49">
        <w:rPr>
          <w:sz w:val="22"/>
          <w:szCs w:val="22"/>
        </w:rPr>
        <w:t xml:space="preserve"> (2)</w:t>
      </w:r>
      <w:r w:rsidR="00F345D6">
        <w:rPr>
          <w:sz w:val="22"/>
          <w:szCs w:val="22"/>
        </w:rPr>
        <w:t> </w:t>
      </w:r>
      <w:r w:rsidRPr="00D839EE" w:rsidR="00A43ED1">
        <w:rPr>
          <w:sz w:val="22"/>
          <w:szCs w:val="22"/>
        </w:rPr>
        <w:t xml:space="preserve">the </w:t>
      </w:r>
      <w:r w:rsidR="00422156">
        <w:rPr>
          <w:sz w:val="22"/>
          <w:szCs w:val="22"/>
        </w:rPr>
        <w:t>need for</w:t>
      </w:r>
      <w:r w:rsidRPr="00D839EE" w:rsidR="008D7A49">
        <w:rPr>
          <w:sz w:val="22"/>
          <w:szCs w:val="22"/>
        </w:rPr>
        <w:t xml:space="preserve"> periodic updates to the FSAR</w:t>
      </w:r>
      <w:r w:rsidR="00E20799">
        <w:rPr>
          <w:sz w:val="22"/>
          <w:szCs w:val="22"/>
        </w:rPr>
        <w:t>,</w:t>
      </w:r>
      <w:r w:rsidRPr="00D839EE" w:rsidR="008D7A49">
        <w:rPr>
          <w:sz w:val="22"/>
          <w:szCs w:val="22"/>
        </w:rPr>
        <w:t xml:space="preserve"> (3) the constraints related to the current “timely renewal” provision in </w:t>
      </w:r>
      <w:r w:rsidR="00E20799">
        <w:rPr>
          <w:sz w:val="22"/>
          <w:szCs w:val="22"/>
        </w:rPr>
        <w:t>10 CFR </w:t>
      </w:r>
      <w:r w:rsidRPr="00D839EE" w:rsidR="008D7A49">
        <w:rPr>
          <w:sz w:val="22"/>
          <w:szCs w:val="22"/>
        </w:rPr>
        <w:t>2.109</w:t>
      </w:r>
      <w:r w:rsidR="00E20799">
        <w:rPr>
          <w:sz w:val="22"/>
          <w:szCs w:val="22"/>
        </w:rPr>
        <w:t>,</w:t>
      </w:r>
      <w:r w:rsidRPr="00D839EE" w:rsidR="008D7A49">
        <w:rPr>
          <w:sz w:val="22"/>
          <w:szCs w:val="22"/>
        </w:rPr>
        <w:t xml:space="preserve"> </w:t>
      </w:r>
      <w:r w:rsidR="00ED4C42">
        <w:rPr>
          <w:sz w:val="22"/>
          <w:szCs w:val="22"/>
        </w:rPr>
        <w:t xml:space="preserve">“Effect of Timely Renewal Application,” </w:t>
      </w:r>
      <w:r w:rsidRPr="00D839EE" w:rsidR="008D7A49">
        <w:rPr>
          <w:sz w:val="22"/>
          <w:szCs w:val="22"/>
        </w:rPr>
        <w:t xml:space="preserve">and </w:t>
      </w:r>
      <w:r w:rsidRPr="00D839EE" w:rsidR="00AD500C">
        <w:rPr>
          <w:sz w:val="22"/>
          <w:szCs w:val="22"/>
        </w:rPr>
        <w:t>(4)</w:t>
      </w:r>
      <w:r w:rsidR="00ED4C42">
        <w:rPr>
          <w:sz w:val="22"/>
          <w:szCs w:val="22"/>
        </w:rPr>
        <w:t> </w:t>
      </w:r>
      <w:r w:rsidRPr="00D839EE" w:rsidR="00384DDD">
        <w:rPr>
          <w:sz w:val="22"/>
          <w:szCs w:val="22"/>
        </w:rPr>
        <w:t xml:space="preserve">other </w:t>
      </w:r>
      <w:r w:rsidRPr="00D839EE" w:rsidR="00AD500C">
        <w:rPr>
          <w:sz w:val="22"/>
          <w:szCs w:val="22"/>
        </w:rPr>
        <w:t xml:space="preserve">issues in the existing rule language.  </w:t>
      </w:r>
      <w:r w:rsidRPr="00D839EE" w:rsidR="006B0DBA">
        <w:rPr>
          <w:sz w:val="22"/>
          <w:szCs w:val="22"/>
        </w:rPr>
        <w:t>T</w:t>
      </w:r>
      <w:r w:rsidR="00A824D8">
        <w:rPr>
          <w:sz w:val="22"/>
          <w:szCs w:val="22"/>
        </w:rPr>
        <w:t>o address these areas of concern, t</w:t>
      </w:r>
      <w:r w:rsidRPr="00D839EE" w:rsidR="006B0DBA">
        <w:rPr>
          <w:sz w:val="22"/>
          <w:szCs w:val="22"/>
        </w:rPr>
        <w:t xml:space="preserve">he </w:t>
      </w:r>
      <w:r w:rsidRPr="00D839EE" w:rsidR="00BC5E9F">
        <w:rPr>
          <w:sz w:val="22"/>
          <w:szCs w:val="22"/>
        </w:rPr>
        <w:t>final</w:t>
      </w:r>
      <w:r w:rsidRPr="00D839EE" w:rsidR="00D5029F">
        <w:rPr>
          <w:sz w:val="22"/>
          <w:szCs w:val="22"/>
        </w:rPr>
        <w:t xml:space="preserve"> rule</w:t>
      </w:r>
      <w:r w:rsidRPr="00D839EE">
        <w:rPr>
          <w:sz w:val="22"/>
          <w:szCs w:val="22"/>
        </w:rPr>
        <w:t xml:space="preserve">:  </w:t>
      </w:r>
    </w:p>
    <w:p w:rsidR="00DB7B19" w:rsidRPr="00D839EE" w:rsidP="00491A3A" w14:paraId="7F4934AA" w14:textId="77777777">
      <w:pPr>
        <w:rPr>
          <w:sz w:val="22"/>
          <w:szCs w:val="22"/>
        </w:rPr>
      </w:pPr>
    </w:p>
    <w:p w:rsidR="00A824D8" w:rsidP="00346B95" w14:paraId="7F4934AB" w14:textId="1401D904">
      <w:pPr>
        <w:pStyle w:val="ListParagraph"/>
        <w:numPr>
          <w:ilvl w:val="0"/>
          <w:numId w:val="6"/>
        </w:numPr>
        <w:autoSpaceDE/>
        <w:autoSpaceDN/>
        <w:adjustRightInd/>
        <w:ind w:hanging="720"/>
        <w:rPr>
          <w:rFonts w:cs="Arial"/>
          <w:sz w:val="22"/>
          <w:szCs w:val="22"/>
        </w:rPr>
      </w:pPr>
      <w:r>
        <w:rPr>
          <w:rFonts w:cs="Arial"/>
          <w:sz w:val="22"/>
          <w:szCs w:val="22"/>
          <w:u w:val="single"/>
        </w:rPr>
        <w:t>R</w:t>
      </w:r>
      <w:r w:rsidRPr="006D025D" w:rsidR="006D025D">
        <w:rPr>
          <w:rFonts w:cs="Arial"/>
          <w:sz w:val="22"/>
          <w:szCs w:val="22"/>
          <w:u w:val="single"/>
        </w:rPr>
        <w:t>evises the definitions for “non-power reactor,” “research reactor,” and “testing facility</w:t>
      </w:r>
      <w:r w:rsidRPr="00346B95">
        <w:rPr>
          <w:sz w:val="22"/>
        </w:rPr>
        <w:t>.”</w:t>
      </w:r>
      <w:r w:rsidRPr="00D839EE" w:rsidR="003B617B">
        <w:rPr>
          <w:rFonts w:cs="Arial"/>
          <w:sz w:val="22"/>
          <w:szCs w:val="22"/>
        </w:rPr>
        <w:t xml:space="preserve">  </w:t>
      </w:r>
      <w:r w:rsidR="00E0127B">
        <w:rPr>
          <w:rFonts w:cs="Arial"/>
          <w:sz w:val="22"/>
          <w:szCs w:val="22"/>
        </w:rPr>
        <w:t>The final rule addresses inconsistencies in definitions an</w:t>
      </w:r>
      <w:r w:rsidR="009A3D27">
        <w:rPr>
          <w:rFonts w:cs="Arial"/>
          <w:sz w:val="22"/>
          <w:szCs w:val="22"/>
        </w:rPr>
        <w:t>d terminology throughout 10 CFR </w:t>
      </w:r>
      <w:r w:rsidR="00E0127B">
        <w:rPr>
          <w:rFonts w:cs="Arial"/>
          <w:sz w:val="22"/>
          <w:szCs w:val="22"/>
        </w:rPr>
        <w:t>Chapter I to improve clarity in determining the applicability of regulations associated with NPUFs</w:t>
      </w:r>
      <w:r w:rsidR="00EE6B28">
        <w:rPr>
          <w:rFonts w:cs="Arial"/>
          <w:sz w:val="22"/>
          <w:szCs w:val="22"/>
        </w:rPr>
        <w:t xml:space="preserve"> as defined in </w:t>
      </w:r>
      <w:r w:rsidRPr="00D839EE" w:rsidR="003D4F2B">
        <w:rPr>
          <w:rFonts w:cs="Arial"/>
          <w:sz w:val="22"/>
          <w:szCs w:val="22"/>
        </w:rPr>
        <w:t xml:space="preserve">10 CFR </w:t>
      </w:r>
      <w:r w:rsidRPr="00D839EE" w:rsidR="003B617B">
        <w:rPr>
          <w:rFonts w:cs="Arial"/>
          <w:sz w:val="22"/>
          <w:szCs w:val="22"/>
        </w:rPr>
        <w:t>50.2</w:t>
      </w:r>
      <w:r w:rsidR="00E07AF5">
        <w:rPr>
          <w:rFonts w:cs="Arial"/>
          <w:sz w:val="22"/>
          <w:szCs w:val="22"/>
        </w:rPr>
        <w:t>, “Definitions</w:t>
      </w:r>
      <w:r w:rsidR="00EE6B28">
        <w:rPr>
          <w:rFonts w:cs="Arial"/>
          <w:sz w:val="22"/>
          <w:szCs w:val="22"/>
        </w:rPr>
        <w:t>.</w:t>
      </w:r>
      <w:r w:rsidR="00E07AF5">
        <w:rPr>
          <w:rFonts w:cs="Arial"/>
          <w:sz w:val="22"/>
          <w:szCs w:val="22"/>
        </w:rPr>
        <w:t>”</w:t>
      </w:r>
      <w:r w:rsidRPr="00D839EE" w:rsidR="003B617B">
        <w:rPr>
          <w:rFonts w:cs="Arial"/>
          <w:sz w:val="22"/>
          <w:szCs w:val="22"/>
        </w:rPr>
        <w:t xml:space="preserve"> </w:t>
      </w:r>
      <w:r w:rsidR="00EE6B28">
        <w:rPr>
          <w:rFonts w:cs="Arial"/>
          <w:sz w:val="22"/>
          <w:szCs w:val="22"/>
        </w:rPr>
        <w:t xml:space="preserve"> </w:t>
      </w:r>
      <w:r w:rsidR="00662FCD">
        <w:rPr>
          <w:rFonts w:cs="Arial"/>
          <w:sz w:val="22"/>
          <w:szCs w:val="22"/>
        </w:rPr>
        <w:t>Although</w:t>
      </w:r>
      <w:r w:rsidRPr="00D839EE" w:rsidR="00DA006D">
        <w:rPr>
          <w:rFonts w:cs="Arial"/>
          <w:sz w:val="22"/>
          <w:szCs w:val="22"/>
        </w:rPr>
        <w:t xml:space="preserve"> these licensees </w:t>
      </w:r>
      <w:r w:rsidRPr="00D839EE" w:rsidR="00C57F82">
        <w:rPr>
          <w:rFonts w:cs="Arial"/>
          <w:sz w:val="22"/>
          <w:szCs w:val="22"/>
        </w:rPr>
        <w:t>currently</w:t>
      </w:r>
      <w:r w:rsidRPr="00D839EE" w:rsidR="00DA006D">
        <w:rPr>
          <w:rFonts w:cs="Arial"/>
          <w:sz w:val="22"/>
          <w:szCs w:val="22"/>
        </w:rPr>
        <w:t xml:space="preserve"> are subject to existing regulations, a more inclusive definition </w:t>
      </w:r>
      <w:r w:rsidR="009940DE">
        <w:rPr>
          <w:rFonts w:cs="Arial"/>
          <w:sz w:val="22"/>
          <w:szCs w:val="22"/>
        </w:rPr>
        <w:t xml:space="preserve">clarifies </w:t>
      </w:r>
      <w:r w:rsidR="009C5F7E">
        <w:rPr>
          <w:rFonts w:cs="Arial"/>
          <w:sz w:val="22"/>
          <w:szCs w:val="22"/>
        </w:rPr>
        <w:t>that not all NPUFs are non-power reactors and</w:t>
      </w:r>
      <w:r w:rsidRPr="00D839EE" w:rsidR="00DA006D">
        <w:rPr>
          <w:rFonts w:cs="Arial"/>
          <w:sz w:val="22"/>
          <w:szCs w:val="22"/>
        </w:rPr>
        <w:t xml:space="preserve"> </w:t>
      </w:r>
      <w:r w:rsidRPr="00D839EE" w:rsidR="00BC5E9F">
        <w:rPr>
          <w:rFonts w:cs="Arial"/>
          <w:sz w:val="22"/>
          <w:szCs w:val="22"/>
        </w:rPr>
        <w:t>will</w:t>
      </w:r>
      <w:r w:rsidRPr="00D839EE" w:rsidR="00DA006D">
        <w:rPr>
          <w:rFonts w:cs="Arial"/>
          <w:sz w:val="22"/>
          <w:szCs w:val="22"/>
        </w:rPr>
        <w:t xml:space="preserve"> alleviate any ambiguity surrounding applicability </w:t>
      </w:r>
      <w:r w:rsidR="00C57F82">
        <w:rPr>
          <w:rFonts w:cs="Arial"/>
          <w:sz w:val="22"/>
          <w:szCs w:val="22"/>
        </w:rPr>
        <w:t>to</w:t>
      </w:r>
      <w:r w:rsidRPr="00D839EE" w:rsidR="00C57F82">
        <w:rPr>
          <w:rFonts w:cs="Arial"/>
          <w:sz w:val="22"/>
          <w:szCs w:val="22"/>
        </w:rPr>
        <w:t xml:space="preserve"> </w:t>
      </w:r>
      <w:r w:rsidRPr="00D839EE" w:rsidR="00DA006D">
        <w:rPr>
          <w:rFonts w:cs="Arial"/>
          <w:sz w:val="22"/>
          <w:szCs w:val="22"/>
        </w:rPr>
        <w:t>new licensees</w:t>
      </w:r>
      <w:r w:rsidRPr="00D839EE" w:rsidR="00BC7680">
        <w:rPr>
          <w:rFonts w:cs="Arial"/>
          <w:sz w:val="22"/>
          <w:szCs w:val="22"/>
        </w:rPr>
        <w:t xml:space="preserve">.  </w:t>
      </w:r>
      <w:r w:rsidRPr="00D839EE" w:rsidR="00DA006D">
        <w:rPr>
          <w:rFonts w:cs="Arial"/>
          <w:sz w:val="22"/>
          <w:szCs w:val="22"/>
        </w:rPr>
        <w:t>This administrative change</w:t>
      </w:r>
      <w:r w:rsidR="00662FCD">
        <w:rPr>
          <w:rFonts w:cs="Arial"/>
          <w:sz w:val="22"/>
          <w:szCs w:val="22"/>
        </w:rPr>
        <w:t>, discussed further in Section 3.3,</w:t>
      </w:r>
      <w:r w:rsidRPr="00D839EE" w:rsidR="00DA006D">
        <w:rPr>
          <w:rFonts w:cs="Arial"/>
          <w:sz w:val="22"/>
          <w:szCs w:val="22"/>
        </w:rPr>
        <w:t xml:space="preserve"> </w:t>
      </w:r>
      <w:r w:rsidRPr="00D839EE" w:rsidR="00BC5E9F">
        <w:rPr>
          <w:rFonts w:cs="Arial"/>
          <w:sz w:val="22"/>
          <w:szCs w:val="22"/>
        </w:rPr>
        <w:t>will</w:t>
      </w:r>
      <w:r w:rsidRPr="00D839EE" w:rsidR="00DA006D">
        <w:rPr>
          <w:rFonts w:cs="Arial"/>
          <w:sz w:val="22"/>
          <w:szCs w:val="22"/>
        </w:rPr>
        <w:t xml:space="preserve"> not impose any additional cost.</w:t>
      </w:r>
    </w:p>
    <w:p w:rsidR="00A824D8" w:rsidRPr="004C69F1" w:rsidP="004C69F1" w14:paraId="7F4934AC" w14:textId="77777777">
      <w:pPr>
        <w:pStyle w:val="ListParagraph"/>
        <w:autoSpaceDE/>
        <w:autoSpaceDN/>
        <w:adjustRightInd/>
        <w:rPr>
          <w:sz w:val="22"/>
          <w:u w:val="single"/>
        </w:rPr>
      </w:pPr>
    </w:p>
    <w:p w:rsidR="00CC6574" w:rsidP="00CC6574" w14:paraId="7F4934AD" w14:textId="25EF2707">
      <w:pPr>
        <w:pStyle w:val="ListParagraph"/>
        <w:rPr>
          <w:rFonts w:cs="Arial"/>
          <w:sz w:val="22"/>
          <w:szCs w:val="22"/>
        </w:rPr>
      </w:pPr>
      <w:r>
        <w:rPr>
          <w:rFonts w:cs="Arial"/>
          <w:sz w:val="22"/>
          <w:szCs w:val="22"/>
        </w:rPr>
        <w:t>In response to public comment, t</w:t>
      </w:r>
      <w:r w:rsidRPr="00A824D8">
        <w:rPr>
          <w:rFonts w:cs="Arial"/>
          <w:sz w:val="22"/>
          <w:szCs w:val="22"/>
        </w:rPr>
        <w:t xml:space="preserve">he NRC </w:t>
      </w:r>
      <w:r>
        <w:rPr>
          <w:rFonts w:cs="Arial"/>
          <w:sz w:val="22"/>
          <w:szCs w:val="22"/>
        </w:rPr>
        <w:t>is revising</w:t>
      </w:r>
      <w:r w:rsidRPr="00A824D8">
        <w:rPr>
          <w:rFonts w:cs="Arial"/>
          <w:sz w:val="22"/>
          <w:szCs w:val="22"/>
        </w:rPr>
        <w:t xml:space="preserve"> the definition</w:t>
      </w:r>
      <w:r>
        <w:rPr>
          <w:rFonts w:cs="Arial"/>
          <w:sz w:val="22"/>
          <w:szCs w:val="22"/>
        </w:rPr>
        <w:t xml:space="preserve">s of “testing facility” in </w:t>
      </w:r>
      <w:r w:rsidR="0078094C">
        <w:rPr>
          <w:rFonts w:cs="Arial"/>
          <w:sz w:val="22"/>
          <w:szCs w:val="22"/>
        </w:rPr>
        <w:t>10 CFR </w:t>
      </w:r>
      <w:r w:rsidRPr="00A824D8">
        <w:rPr>
          <w:rFonts w:cs="Arial"/>
          <w:sz w:val="22"/>
          <w:szCs w:val="22"/>
        </w:rPr>
        <w:t xml:space="preserve">50.2 and “research reactor” in </w:t>
      </w:r>
      <w:r w:rsidR="0078094C">
        <w:rPr>
          <w:rFonts w:cs="Arial"/>
          <w:sz w:val="22"/>
          <w:szCs w:val="22"/>
        </w:rPr>
        <w:t>10 CFR </w:t>
      </w:r>
      <w:r w:rsidRPr="00A824D8">
        <w:rPr>
          <w:rFonts w:cs="Arial"/>
          <w:sz w:val="22"/>
          <w:szCs w:val="22"/>
        </w:rPr>
        <w:t>17</w:t>
      </w:r>
      <w:r w:rsidR="000E70E2">
        <w:rPr>
          <w:rFonts w:cs="Arial"/>
          <w:sz w:val="22"/>
          <w:szCs w:val="22"/>
        </w:rPr>
        <w:t>0.3</w:t>
      </w:r>
      <w:r w:rsidRPr="004F7678" w:rsidR="005C0DA2">
        <w:rPr>
          <w:rFonts w:cs="Arial"/>
          <w:sz w:val="22"/>
          <w:szCs w:val="22"/>
        </w:rPr>
        <w:t xml:space="preserve"> (Ref</w:t>
      </w:r>
      <w:r w:rsidRPr="004F7678" w:rsidR="00AC466A">
        <w:rPr>
          <w:rFonts w:cs="Arial"/>
          <w:sz w:val="22"/>
          <w:szCs w:val="22"/>
        </w:rPr>
        <w:t>.</w:t>
      </w:r>
      <w:r w:rsidRPr="004F7678" w:rsidR="005C0DA2">
        <w:rPr>
          <w:rFonts w:cs="Arial"/>
          <w:sz w:val="22"/>
          <w:szCs w:val="22"/>
        </w:rPr>
        <w:t xml:space="preserve"> 17)</w:t>
      </w:r>
      <w:r w:rsidRPr="004F7678">
        <w:rPr>
          <w:rFonts w:cs="Arial"/>
          <w:sz w:val="22"/>
          <w:szCs w:val="22"/>
        </w:rPr>
        <w:t>.</w:t>
      </w:r>
      <w:r w:rsidRPr="00A824D8">
        <w:rPr>
          <w:rFonts w:cs="Arial"/>
          <w:sz w:val="22"/>
          <w:szCs w:val="22"/>
        </w:rPr>
        <w:t xml:space="preserve">  </w:t>
      </w:r>
      <w:r w:rsidRPr="00CC6574">
        <w:rPr>
          <w:sz w:val="22"/>
          <w:szCs w:val="22"/>
        </w:rPr>
        <w:t>The technical basis associated with the 10 MW(t) threshold, while generally based on safety significance, is not documented.  Similarly, the technical basis for the 1 MW(t) threshold under the current definition for “testing facility” is also not documented.  These prescriptive</w:t>
      </w:r>
      <w:r w:rsidRPr="00B42814" w:rsidR="00B42814">
        <w:rPr>
          <w:rFonts w:cs="Arial"/>
          <w:sz w:val="22"/>
          <w:szCs w:val="22"/>
        </w:rPr>
        <w:t xml:space="preserve"> power thresholds do not account for the safety features that are engineered into </w:t>
      </w:r>
      <w:r w:rsidR="00C57F82">
        <w:rPr>
          <w:rFonts w:cs="Arial"/>
          <w:sz w:val="22"/>
          <w:szCs w:val="22"/>
        </w:rPr>
        <w:t>a</w:t>
      </w:r>
      <w:r w:rsidRPr="00B42814" w:rsidR="00C57F82">
        <w:rPr>
          <w:rFonts w:cs="Arial"/>
          <w:sz w:val="22"/>
          <w:szCs w:val="22"/>
        </w:rPr>
        <w:t xml:space="preserve"> </w:t>
      </w:r>
      <w:r w:rsidRPr="00B42814" w:rsidR="00B42814">
        <w:rPr>
          <w:rFonts w:cs="Arial"/>
          <w:sz w:val="22"/>
          <w:szCs w:val="22"/>
        </w:rPr>
        <w:t xml:space="preserve">facility design and </w:t>
      </w:r>
      <w:r w:rsidRPr="00CC6574">
        <w:rPr>
          <w:sz w:val="22"/>
          <w:szCs w:val="22"/>
        </w:rPr>
        <w:t>th</w:t>
      </w:r>
      <w:r w:rsidR="00C57F82">
        <w:rPr>
          <w:sz w:val="22"/>
          <w:szCs w:val="22"/>
        </w:rPr>
        <w:t>e</w:t>
      </w:r>
      <w:r w:rsidRPr="00B42814" w:rsidR="00B42814">
        <w:rPr>
          <w:rFonts w:cs="Arial"/>
          <w:sz w:val="22"/>
          <w:szCs w:val="22"/>
        </w:rPr>
        <w:t xml:space="preserve"> barriers that must be breached during an accident before a release of radioactive material to the environment can occur</w:t>
      </w:r>
      <w:r w:rsidR="005F14E7">
        <w:rPr>
          <w:rFonts w:cs="Arial"/>
          <w:sz w:val="22"/>
          <w:szCs w:val="22"/>
        </w:rPr>
        <w:t>.</w:t>
      </w:r>
      <w:r w:rsidR="00A761D4">
        <w:rPr>
          <w:rFonts w:cs="Arial"/>
          <w:sz w:val="22"/>
          <w:szCs w:val="22"/>
        </w:rPr>
        <w:t xml:space="preserve"> </w:t>
      </w:r>
      <w:r>
        <w:rPr>
          <w:rFonts w:cs="Arial"/>
          <w:sz w:val="22"/>
          <w:szCs w:val="22"/>
        </w:rPr>
        <w:t xml:space="preserve"> </w:t>
      </w:r>
      <w:r w:rsidRPr="00CC6574">
        <w:rPr>
          <w:sz w:val="22"/>
          <w:szCs w:val="22"/>
        </w:rPr>
        <w:t xml:space="preserve">Therefore, these thresholds do not accurately represent the risk associated with a particular facility.  For these reasons, the use of a postulated accident dose </w:t>
      </w:r>
      <w:r>
        <w:rPr>
          <w:sz w:val="22"/>
          <w:szCs w:val="22"/>
        </w:rPr>
        <w:t>(</w:t>
      </w:r>
      <w:r w:rsidRPr="00CC6574">
        <w:rPr>
          <w:sz w:val="22"/>
          <w:szCs w:val="22"/>
        </w:rPr>
        <w:t xml:space="preserve">1 rem (0.01 </w:t>
      </w:r>
      <w:r w:rsidR="00AE779E">
        <w:rPr>
          <w:sz w:val="22"/>
          <w:szCs w:val="22"/>
        </w:rPr>
        <w:t>Sv</w:t>
      </w:r>
      <w:r w:rsidRPr="00CC6574">
        <w:rPr>
          <w:sz w:val="22"/>
          <w:szCs w:val="22"/>
        </w:rPr>
        <w:t>)</w:t>
      </w:r>
      <w:r>
        <w:rPr>
          <w:sz w:val="22"/>
          <w:szCs w:val="22"/>
        </w:rPr>
        <w:t>)</w:t>
      </w:r>
      <w:r w:rsidRPr="00CC6574">
        <w:rPr>
          <w:sz w:val="22"/>
          <w:szCs w:val="22"/>
        </w:rPr>
        <w:t xml:space="preserve"> is a more risk-informed, performance-based approach </w:t>
      </w:r>
      <w:r w:rsidR="00EE6B28">
        <w:rPr>
          <w:sz w:val="22"/>
          <w:szCs w:val="22"/>
        </w:rPr>
        <w:t>compared to</w:t>
      </w:r>
      <w:r w:rsidRPr="00CC6574">
        <w:rPr>
          <w:sz w:val="22"/>
          <w:szCs w:val="22"/>
        </w:rPr>
        <w:t xml:space="preserve"> using the power level of </w:t>
      </w:r>
      <w:r w:rsidR="00C57F82">
        <w:rPr>
          <w:sz w:val="22"/>
          <w:szCs w:val="22"/>
        </w:rPr>
        <w:t>a</w:t>
      </w:r>
      <w:r w:rsidRPr="00CC6574" w:rsidR="00C57F82">
        <w:rPr>
          <w:sz w:val="22"/>
          <w:szCs w:val="22"/>
        </w:rPr>
        <w:t xml:space="preserve"> </w:t>
      </w:r>
      <w:r w:rsidRPr="00CC6574">
        <w:rPr>
          <w:sz w:val="22"/>
          <w:szCs w:val="22"/>
        </w:rPr>
        <w:t xml:space="preserve">reactor for distinguishing between types of NPUFs, such as </w:t>
      </w:r>
      <w:r w:rsidR="00C57F82">
        <w:rPr>
          <w:sz w:val="22"/>
          <w:szCs w:val="22"/>
        </w:rPr>
        <w:t xml:space="preserve">a </w:t>
      </w:r>
      <w:r w:rsidRPr="00CC6574">
        <w:rPr>
          <w:sz w:val="22"/>
          <w:szCs w:val="22"/>
        </w:rPr>
        <w:t xml:space="preserve">research reactor and </w:t>
      </w:r>
      <w:r w:rsidR="00C57F82">
        <w:rPr>
          <w:sz w:val="22"/>
          <w:szCs w:val="22"/>
        </w:rPr>
        <w:t xml:space="preserve">a </w:t>
      </w:r>
      <w:r w:rsidRPr="00CC6574">
        <w:rPr>
          <w:sz w:val="22"/>
          <w:szCs w:val="22"/>
        </w:rPr>
        <w:t>testing facilit</w:t>
      </w:r>
      <w:r w:rsidR="00C57F82">
        <w:rPr>
          <w:sz w:val="22"/>
          <w:szCs w:val="22"/>
        </w:rPr>
        <w:t>y</w:t>
      </w:r>
      <w:r w:rsidRPr="00CC6574">
        <w:rPr>
          <w:sz w:val="22"/>
          <w:szCs w:val="22"/>
        </w:rPr>
        <w:t>.  As a result of this public comment, the NRC revised the definitions of “testing facility” and “research reactor” to reflect this risk-informed approach.</w:t>
      </w:r>
      <w:r w:rsidRPr="00CC6574">
        <w:rPr>
          <w:rFonts w:cs="Arial"/>
          <w:sz w:val="22"/>
          <w:szCs w:val="22"/>
        </w:rPr>
        <w:t xml:space="preserve"> </w:t>
      </w:r>
      <w:r w:rsidRPr="00CC6574">
        <w:rPr>
          <w:rFonts w:cs="Arial"/>
          <w:sz w:val="22"/>
          <w:szCs w:val="22"/>
        </w:rPr>
        <w:t xml:space="preserve"> </w:t>
      </w:r>
    </w:p>
    <w:p w:rsidR="00CC6574" w:rsidP="00CC6574" w14:paraId="7F4934AE" w14:textId="77777777">
      <w:pPr>
        <w:pStyle w:val="ListParagraph"/>
        <w:rPr>
          <w:rFonts w:cs="Arial"/>
          <w:sz w:val="22"/>
          <w:szCs w:val="22"/>
        </w:rPr>
      </w:pPr>
    </w:p>
    <w:p w:rsidR="003B617B" w:rsidRPr="00D839EE" w:rsidP="00346B95" w14:paraId="7F4934AF" w14:textId="77777777">
      <w:pPr>
        <w:pStyle w:val="ListParagraph"/>
        <w:rPr>
          <w:rFonts w:cs="Arial"/>
          <w:sz w:val="22"/>
          <w:szCs w:val="22"/>
        </w:rPr>
      </w:pPr>
      <w:r w:rsidRPr="00A824D8">
        <w:rPr>
          <w:rFonts w:cs="Arial"/>
          <w:sz w:val="22"/>
          <w:szCs w:val="22"/>
        </w:rPr>
        <w:t>Additionally, the NRC made conforming changes to the definitions of “testing facility,” “research reactor,” and “non-power reactor” wherever these definitions appear throughout 10 CFR Chapter I</w:t>
      </w:r>
      <w:r w:rsidRPr="00CC6574">
        <w:rPr>
          <w:rFonts w:cs="Arial"/>
          <w:sz w:val="22"/>
          <w:szCs w:val="22"/>
        </w:rPr>
        <w:t>.</w:t>
      </w:r>
      <w:r w:rsidR="00CC6574">
        <w:rPr>
          <w:rFonts w:cs="Arial"/>
          <w:sz w:val="22"/>
          <w:szCs w:val="22"/>
        </w:rPr>
        <w:t xml:space="preserve">  Also, w</w:t>
      </w:r>
      <w:r w:rsidRPr="00CC6574" w:rsidR="00CC6574">
        <w:rPr>
          <w:rFonts w:cs="Arial"/>
          <w:sz w:val="22"/>
          <w:szCs w:val="22"/>
        </w:rPr>
        <w:t>here appropriate, th</w:t>
      </w:r>
      <w:r w:rsidR="00CC6574">
        <w:rPr>
          <w:rFonts w:cs="Arial"/>
          <w:sz w:val="22"/>
          <w:szCs w:val="22"/>
        </w:rPr>
        <w:t>e NRC</w:t>
      </w:r>
      <w:r w:rsidRPr="00CC6574" w:rsidR="00CC6574">
        <w:rPr>
          <w:rFonts w:cs="Arial"/>
          <w:sz w:val="22"/>
          <w:szCs w:val="22"/>
        </w:rPr>
        <w:t xml:space="preserve"> standardize</w:t>
      </w:r>
      <w:r w:rsidR="00CC6574">
        <w:rPr>
          <w:rFonts w:cs="Arial"/>
          <w:sz w:val="22"/>
          <w:szCs w:val="22"/>
        </w:rPr>
        <w:t>d</w:t>
      </w:r>
      <w:r w:rsidRPr="00CC6574" w:rsidR="00CC6574">
        <w:rPr>
          <w:rFonts w:cs="Arial"/>
          <w:sz w:val="22"/>
          <w:szCs w:val="22"/>
        </w:rPr>
        <w:t xml:space="preserve"> the terminology in other parts of the regulations to modify the intended scope of regulations citing “research and test reactors” to be either “non-power reactors” or “non-power production or utilization facilities.”  Th</w:t>
      </w:r>
      <w:r w:rsidR="00CC6574">
        <w:rPr>
          <w:rFonts w:cs="Arial"/>
          <w:sz w:val="22"/>
          <w:szCs w:val="22"/>
        </w:rPr>
        <w:t>e NRC</w:t>
      </w:r>
      <w:r w:rsidRPr="00CC6574" w:rsidR="00CC6574">
        <w:rPr>
          <w:rFonts w:cs="Arial"/>
          <w:sz w:val="22"/>
          <w:szCs w:val="22"/>
        </w:rPr>
        <w:t xml:space="preserve"> also revise</w:t>
      </w:r>
      <w:r w:rsidR="00CC6574">
        <w:rPr>
          <w:rFonts w:cs="Arial"/>
          <w:sz w:val="22"/>
          <w:szCs w:val="22"/>
        </w:rPr>
        <w:t>d</w:t>
      </w:r>
      <w:r w:rsidRPr="00CC6574" w:rsidR="00CC6574">
        <w:rPr>
          <w:rFonts w:cs="Arial"/>
          <w:sz w:val="22"/>
          <w:szCs w:val="22"/>
        </w:rPr>
        <w:t xml:space="preserve"> the definition of “non-power reactor” to clarify the nomenclature used to distinguish between non-power reactors used for research and development activities and non-power reactors used for commercial or industrial purposes</w:t>
      </w:r>
      <w:r w:rsidRPr="00A824D8">
        <w:rPr>
          <w:rFonts w:cs="Arial"/>
          <w:sz w:val="22"/>
          <w:szCs w:val="22"/>
        </w:rPr>
        <w:t>.</w:t>
      </w:r>
    </w:p>
    <w:p w:rsidR="003B617B" w:rsidRPr="00D839EE" w:rsidP="003B617B" w14:paraId="7F4934B0" w14:textId="77777777">
      <w:pPr>
        <w:pStyle w:val="ListParagraph"/>
        <w:rPr>
          <w:rFonts w:cs="Arial"/>
          <w:sz w:val="22"/>
          <w:szCs w:val="22"/>
        </w:rPr>
      </w:pPr>
    </w:p>
    <w:p w:rsidR="006C3C05" w:rsidRPr="002A0714" w:rsidP="00EC79F7" w14:paraId="7F4934B1" w14:textId="1A16AE47">
      <w:pPr>
        <w:pStyle w:val="ListParagraph"/>
        <w:numPr>
          <w:ilvl w:val="0"/>
          <w:numId w:val="6"/>
        </w:numPr>
        <w:autoSpaceDE/>
        <w:autoSpaceDN/>
        <w:adjustRightInd/>
        <w:spacing w:after="220"/>
        <w:ind w:hanging="720"/>
        <w:contextualSpacing w:val="0"/>
        <w:rPr>
          <w:rFonts w:cs="Arial"/>
          <w:sz w:val="22"/>
          <w:szCs w:val="22"/>
        </w:rPr>
      </w:pPr>
      <w:r w:rsidRPr="002A0714">
        <w:rPr>
          <w:rFonts w:cs="Arial"/>
          <w:sz w:val="22"/>
          <w:szCs w:val="22"/>
          <w:u w:val="single"/>
        </w:rPr>
        <w:t>Eliminate</w:t>
      </w:r>
      <w:r w:rsidRPr="002A0714" w:rsidR="00CC7A2D">
        <w:rPr>
          <w:rFonts w:cs="Arial"/>
          <w:sz w:val="22"/>
          <w:szCs w:val="22"/>
          <w:u w:val="single"/>
        </w:rPr>
        <w:t>s</w:t>
      </w:r>
      <w:r w:rsidRPr="002A0714">
        <w:rPr>
          <w:rFonts w:cs="Arial"/>
          <w:sz w:val="22"/>
          <w:szCs w:val="22"/>
          <w:u w:val="single"/>
        </w:rPr>
        <w:t xml:space="preserve"> license terms for facilities</w:t>
      </w:r>
      <w:r w:rsidRPr="002A0714" w:rsidR="009C5F7E">
        <w:rPr>
          <w:rFonts w:cs="Arial"/>
          <w:sz w:val="22"/>
          <w:szCs w:val="22"/>
          <w:u w:val="single"/>
        </w:rPr>
        <w:t>,</w:t>
      </w:r>
      <w:r w:rsidRPr="002A0714" w:rsidR="0007510D">
        <w:rPr>
          <w:rFonts w:cs="Arial"/>
          <w:sz w:val="22"/>
          <w:szCs w:val="22"/>
          <w:u w:val="single"/>
        </w:rPr>
        <w:t xml:space="preserve"> </w:t>
      </w:r>
      <w:r w:rsidRPr="002A0714" w:rsidR="009C5F7E">
        <w:rPr>
          <w:rFonts w:cs="Arial"/>
          <w:sz w:val="22"/>
          <w:szCs w:val="22"/>
          <w:u w:val="single"/>
        </w:rPr>
        <w:t>other than testing facilities,</w:t>
      </w:r>
      <w:r w:rsidRPr="002A0714" w:rsidR="0007510D">
        <w:rPr>
          <w:rFonts w:cs="Arial"/>
          <w:sz w:val="22"/>
          <w:szCs w:val="22"/>
          <w:u w:val="single"/>
        </w:rPr>
        <w:t xml:space="preserve"> licensed under 10 CFR 50.21(a) or (c)</w:t>
      </w:r>
      <w:r w:rsidRPr="002A0714">
        <w:rPr>
          <w:rFonts w:cs="Arial"/>
          <w:sz w:val="22"/>
          <w:szCs w:val="22"/>
          <w:u w:val="single"/>
        </w:rPr>
        <w:t>.</w:t>
      </w:r>
      <w:r w:rsidRPr="002A0714">
        <w:rPr>
          <w:rFonts w:cs="Arial"/>
          <w:sz w:val="22"/>
          <w:szCs w:val="22"/>
        </w:rPr>
        <w:t xml:space="preserve">  By issuing non</w:t>
      </w:r>
      <w:r w:rsidRPr="002A0714" w:rsidR="00D66301">
        <w:rPr>
          <w:rFonts w:cs="Arial"/>
          <w:sz w:val="22"/>
          <w:szCs w:val="22"/>
        </w:rPr>
        <w:t>-</w:t>
      </w:r>
      <w:r w:rsidRPr="002A0714">
        <w:rPr>
          <w:rFonts w:cs="Arial"/>
          <w:sz w:val="22"/>
          <w:szCs w:val="22"/>
        </w:rPr>
        <w:t>expiring licenses for facilities</w:t>
      </w:r>
      <w:r w:rsidR="009940DE">
        <w:rPr>
          <w:rFonts w:cs="Arial"/>
          <w:sz w:val="22"/>
          <w:szCs w:val="22"/>
        </w:rPr>
        <w:t xml:space="preserve"> </w:t>
      </w:r>
      <w:r w:rsidRPr="002A0714" w:rsidR="00CD2981">
        <w:rPr>
          <w:rFonts w:cs="Arial"/>
          <w:sz w:val="22"/>
          <w:szCs w:val="22"/>
        </w:rPr>
        <w:t xml:space="preserve">licensed under </w:t>
      </w:r>
      <w:r w:rsidRPr="002A0714" w:rsidR="00820172">
        <w:rPr>
          <w:rFonts w:cs="Arial"/>
          <w:sz w:val="22"/>
          <w:szCs w:val="22"/>
        </w:rPr>
        <w:t>10 CFR </w:t>
      </w:r>
      <w:r w:rsidRPr="002A0714" w:rsidR="0007510D">
        <w:rPr>
          <w:rFonts w:cs="Arial"/>
          <w:sz w:val="22"/>
          <w:szCs w:val="22"/>
        </w:rPr>
        <w:t>50.21(a) or (c)</w:t>
      </w:r>
      <w:r w:rsidRPr="002A0714" w:rsidR="009940DE">
        <w:rPr>
          <w:rFonts w:cs="Arial"/>
          <w:sz w:val="22"/>
          <w:szCs w:val="22"/>
        </w:rPr>
        <w:t xml:space="preserve">, other than testing facilities, </w:t>
      </w:r>
      <w:r w:rsidRPr="002A0714">
        <w:rPr>
          <w:rFonts w:cs="Arial"/>
          <w:sz w:val="22"/>
          <w:szCs w:val="22"/>
        </w:rPr>
        <w:t xml:space="preserve">the NRC </w:t>
      </w:r>
      <w:r w:rsidRPr="002A0714" w:rsidR="00BC5E9F">
        <w:rPr>
          <w:rFonts w:cs="Arial"/>
          <w:sz w:val="22"/>
          <w:szCs w:val="22"/>
        </w:rPr>
        <w:t>will</w:t>
      </w:r>
      <w:r w:rsidRPr="002A0714">
        <w:rPr>
          <w:rFonts w:cs="Arial"/>
          <w:sz w:val="22"/>
          <w:szCs w:val="22"/>
        </w:rPr>
        <w:t xml:space="preserve"> reduce the burden on </w:t>
      </w:r>
      <w:r w:rsidR="009940DE">
        <w:rPr>
          <w:rFonts w:cs="Arial"/>
          <w:sz w:val="22"/>
          <w:szCs w:val="22"/>
        </w:rPr>
        <w:t>qualifying</w:t>
      </w:r>
      <w:r w:rsidRPr="002A0714" w:rsidR="009940DE">
        <w:rPr>
          <w:rFonts w:cs="Arial"/>
          <w:sz w:val="22"/>
          <w:szCs w:val="22"/>
        </w:rPr>
        <w:t xml:space="preserve"> </w:t>
      </w:r>
      <w:r w:rsidRPr="002A0714">
        <w:rPr>
          <w:rFonts w:cs="Arial"/>
          <w:sz w:val="22"/>
          <w:szCs w:val="22"/>
        </w:rPr>
        <w:t>NPUFs</w:t>
      </w:r>
      <w:r w:rsidRPr="002A0714" w:rsidR="00967C78">
        <w:rPr>
          <w:rFonts w:cs="Arial"/>
          <w:sz w:val="22"/>
          <w:szCs w:val="22"/>
        </w:rPr>
        <w:t xml:space="preserve"> (i.e., research reactors</w:t>
      </w:r>
      <w:r w:rsidR="009940DE">
        <w:rPr>
          <w:rFonts w:cs="Arial"/>
          <w:sz w:val="22"/>
          <w:szCs w:val="22"/>
        </w:rPr>
        <w:t xml:space="preserve"> currently licensed to operate</w:t>
      </w:r>
      <w:r w:rsidRPr="002A0714" w:rsidR="00967C78">
        <w:rPr>
          <w:rFonts w:cs="Arial"/>
          <w:sz w:val="22"/>
          <w:szCs w:val="22"/>
        </w:rPr>
        <w:t>)</w:t>
      </w:r>
      <w:r w:rsidRPr="002A0714">
        <w:rPr>
          <w:rFonts w:cs="Arial"/>
          <w:sz w:val="22"/>
          <w:szCs w:val="22"/>
        </w:rPr>
        <w:t xml:space="preserve"> while </w:t>
      </w:r>
      <w:r w:rsidRPr="002A0714" w:rsidR="00F22694">
        <w:rPr>
          <w:rFonts w:cs="Arial"/>
          <w:sz w:val="22"/>
          <w:szCs w:val="22"/>
        </w:rPr>
        <w:t>continuing to protect public health and safety</w:t>
      </w:r>
      <w:r w:rsidRPr="002A0714" w:rsidR="00AE613D">
        <w:rPr>
          <w:rFonts w:cs="Arial"/>
          <w:sz w:val="22"/>
          <w:szCs w:val="22"/>
        </w:rPr>
        <w:t>,</w:t>
      </w:r>
      <w:r w:rsidRPr="002A0714" w:rsidR="00F22694">
        <w:rPr>
          <w:rFonts w:cs="Arial"/>
          <w:sz w:val="22"/>
          <w:szCs w:val="22"/>
        </w:rPr>
        <w:t xml:space="preserve"> promote </w:t>
      </w:r>
      <w:r w:rsidRPr="002A0714" w:rsidR="00820172">
        <w:rPr>
          <w:rFonts w:cs="Arial"/>
          <w:sz w:val="22"/>
          <w:szCs w:val="22"/>
        </w:rPr>
        <w:t xml:space="preserve">the </w:t>
      </w:r>
      <w:r w:rsidRPr="002A0714" w:rsidR="00F22694">
        <w:rPr>
          <w:rFonts w:cs="Arial"/>
          <w:sz w:val="22"/>
          <w:szCs w:val="22"/>
        </w:rPr>
        <w:t>common defense and security, and protect the environment</w:t>
      </w:r>
      <w:r w:rsidRPr="002A0714">
        <w:rPr>
          <w:rFonts w:cs="Arial"/>
          <w:sz w:val="22"/>
          <w:szCs w:val="22"/>
        </w:rPr>
        <w:t xml:space="preserve"> through regular, existing oversight activities and the addition of FSAR update</w:t>
      </w:r>
      <w:r w:rsidRPr="002A0714" w:rsidR="00A364EF">
        <w:rPr>
          <w:rFonts w:cs="Arial"/>
          <w:sz w:val="22"/>
          <w:szCs w:val="22"/>
        </w:rPr>
        <w:t xml:space="preserve"> submittal</w:t>
      </w:r>
      <w:r w:rsidRPr="002A0714">
        <w:rPr>
          <w:rFonts w:cs="Arial"/>
          <w:sz w:val="22"/>
          <w:szCs w:val="22"/>
        </w:rPr>
        <w:t xml:space="preserve">s.  </w:t>
      </w:r>
      <w:r w:rsidRPr="002A0714" w:rsidR="00DE36EC">
        <w:rPr>
          <w:rFonts w:cs="Arial"/>
          <w:sz w:val="22"/>
          <w:szCs w:val="22"/>
        </w:rPr>
        <w:t xml:space="preserve">The AEA does not establish specific license terms nor the need for license terms for facilities, other than testing facilities, licensed under </w:t>
      </w:r>
      <w:r w:rsidR="00F345D6">
        <w:rPr>
          <w:rFonts w:cs="Arial"/>
          <w:sz w:val="22"/>
          <w:szCs w:val="22"/>
        </w:rPr>
        <w:t>10 CFR </w:t>
      </w:r>
      <w:r w:rsidRPr="002A0714" w:rsidR="00DE36EC">
        <w:rPr>
          <w:rFonts w:cs="Arial"/>
          <w:sz w:val="22"/>
          <w:szCs w:val="22"/>
        </w:rPr>
        <w:t xml:space="preserve">50.21(a) or (c).  Historically, license renewal </w:t>
      </w:r>
      <w:r w:rsidR="00422156">
        <w:rPr>
          <w:rFonts w:cs="Arial"/>
          <w:sz w:val="22"/>
          <w:szCs w:val="22"/>
        </w:rPr>
        <w:t xml:space="preserve">has </w:t>
      </w:r>
      <w:r w:rsidRPr="002A0714" w:rsidR="00DE36EC">
        <w:rPr>
          <w:rFonts w:cs="Arial"/>
          <w:sz w:val="22"/>
          <w:szCs w:val="22"/>
        </w:rPr>
        <w:t xml:space="preserve">afforded both the NRC and the public the opportunity to re-evaluate the licensing basis of the NPUF.  The purpose of </w:t>
      </w:r>
      <w:r w:rsidR="00422156">
        <w:rPr>
          <w:rFonts w:cs="Arial"/>
          <w:sz w:val="22"/>
          <w:szCs w:val="22"/>
        </w:rPr>
        <w:t xml:space="preserve">the </w:t>
      </w:r>
      <w:r w:rsidRPr="002A0714" w:rsidR="00DE36EC">
        <w:rPr>
          <w:rFonts w:cs="Arial"/>
          <w:sz w:val="22"/>
          <w:szCs w:val="22"/>
        </w:rPr>
        <w:t xml:space="preserve">license renewal </w:t>
      </w:r>
      <w:r w:rsidR="00422156">
        <w:rPr>
          <w:rFonts w:cs="Arial"/>
          <w:sz w:val="22"/>
          <w:szCs w:val="22"/>
        </w:rPr>
        <w:t xml:space="preserve">review </w:t>
      </w:r>
      <w:r w:rsidRPr="002A0714" w:rsidR="00DE36EC">
        <w:rPr>
          <w:rFonts w:cs="Arial"/>
          <w:sz w:val="22"/>
          <w:szCs w:val="22"/>
        </w:rPr>
        <w:t>was to assess the likelihood of continued safe operation of the facility</w:t>
      </w:r>
      <w:r w:rsidR="009940DE">
        <w:rPr>
          <w:rFonts w:cs="Arial"/>
          <w:sz w:val="22"/>
          <w:szCs w:val="22"/>
        </w:rPr>
        <w:t>, such that</w:t>
      </w:r>
      <w:r w:rsidRPr="002A0714" w:rsidR="00DE36EC">
        <w:rPr>
          <w:rFonts w:cs="Arial"/>
          <w:sz w:val="22"/>
          <w:szCs w:val="22"/>
        </w:rPr>
        <w:t xml:space="preserve"> radioactive materials </w:t>
      </w:r>
      <w:r w:rsidR="009940DE">
        <w:rPr>
          <w:rFonts w:cs="Arial"/>
          <w:sz w:val="22"/>
          <w:szCs w:val="22"/>
        </w:rPr>
        <w:t xml:space="preserve">can be used </w:t>
      </w:r>
      <w:r w:rsidRPr="002A0714" w:rsidR="00DE36EC">
        <w:rPr>
          <w:rFonts w:cs="Arial"/>
          <w:sz w:val="22"/>
          <w:szCs w:val="22"/>
        </w:rPr>
        <w:t xml:space="preserve">for beneficial civilian purposes </w:t>
      </w:r>
      <w:r w:rsidR="009940DE">
        <w:rPr>
          <w:rFonts w:cs="Arial"/>
          <w:sz w:val="22"/>
          <w:szCs w:val="22"/>
        </w:rPr>
        <w:t>in a safe and secure manner</w:t>
      </w:r>
      <w:r w:rsidRPr="002A0714" w:rsidR="00DE36EC">
        <w:rPr>
          <w:rFonts w:cs="Arial"/>
          <w:sz w:val="22"/>
          <w:szCs w:val="22"/>
        </w:rPr>
        <w:t>.  For several reasons that are unique to NPUFs, this objective can be achieved through existing oversight activities</w:t>
      </w:r>
      <w:r w:rsidRPr="002A0714" w:rsidR="00E02B8B">
        <w:rPr>
          <w:rFonts w:cs="Arial"/>
          <w:sz w:val="22"/>
          <w:szCs w:val="22"/>
        </w:rPr>
        <w:t xml:space="preserve"> and </w:t>
      </w:r>
      <w:r w:rsidRPr="002A0714" w:rsidR="00DE36EC">
        <w:rPr>
          <w:rFonts w:cs="Arial"/>
          <w:sz w:val="22"/>
          <w:szCs w:val="22"/>
        </w:rPr>
        <w:t xml:space="preserve">review of updated FSARs and subsequent FSAR updates submitted pursuant to the new requirements in </w:t>
      </w:r>
      <w:r w:rsidR="00F345D6">
        <w:rPr>
          <w:rFonts w:cs="Arial"/>
          <w:sz w:val="22"/>
          <w:szCs w:val="22"/>
        </w:rPr>
        <w:t>10 CFR </w:t>
      </w:r>
      <w:r w:rsidRPr="002A0714" w:rsidR="00DE36EC">
        <w:rPr>
          <w:rFonts w:cs="Arial"/>
          <w:sz w:val="22"/>
          <w:szCs w:val="22"/>
        </w:rPr>
        <w:t xml:space="preserve">50.71(e) of the final rule (see Section II.4. of the final rule </w:t>
      </w:r>
      <w:r w:rsidRPr="002A0714" w:rsidR="00DE36EC">
        <w:rPr>
          <w:rFonts w:cs="Arial"/>
          <w:i/>
          <w:sz w:val="22"/>
          <w:szCs w:val="22"/>
        </w:rPr>
        <w:t>Federal Register</w:t>
      </w:r>
      <w:r w:rsidRPr="002A0714" w:rsidR="00DE36EC">
        <w:rPr>
          <w:rFonts w:cs="Arial"/>
          <w:sz w:val="22"/>
          <w:szCs w:val="22"/>
        </w:rPr>
        <w:t xml:space="preserve"> document).  This approach is consistent</w:t>
      </w:r>
      <w:r w:rsidRPr="002A0714" w:rsidR="00E02B8B">
        <w:rPr>
          <w:rFonts w:cs="Arial"/>
          <w:sz w:val="22"/>
          <w:szCs w:val="22"/>
        </w:rPr>
        <w:t xml:space="preserve"> with </w:t>
      </w:r>
      <w:r w:rsidRPr="002A0714" w:rsidR="00DE36EC">
        <w:rPr>
          <w:rFonts w:cs="Arial"/>
          <w:sz w:val="22"/>
          <w:szCs w:val="22"/>
        </w:rPr>
        <w:t xml:space="preserve">the NRC’s </w:t>
      </w:r>
      <w:r w:rsidR="009940DE">
        <w:rPr>
          <w:rFonts w:cs="Arial"/>
          <w:sz w:val="22"/>
          <w:szCs w:val="22"/>
        </w:rPr>
        <w:t>goal of</w:t>
      </w:r>
      <w:r w:rsidRPr="002A0714" w:rsidR="00DE36EC">
        <w:rPr>
          <w:rFonts w:cs="Arial"/>
          <w:sz w:val="22"/>
          <w:szCs w:val="22"/>
        </w:rPr>
        <w:t xml:space="preserve"> efficient and effective </w:t>
      </w:r>
      <w:r w:rsidR="009940DE">
        <w:rPr>
          <w:rFonts w:cs="Arial"/>
          <w:sz w:val="22"/>
          <w:szCs w:val="22"/>
        </w:rPr>
        <w:t xml:space="preserve">licensing </w:t>
      </w:r>
      <w:r w:rsidRPr="002A0714" w:rsidR="00DE36EC">
        <w:rPr>
          <w:rFonts w:cs="Arial"/>
          <w:sz w:val="22"/>
          <w:szCs w:val="22"/>
        </w:rPr>
        <w:t>and will implement and reflect lessons learned from decades of processing license renewal applications.</w:t>
      </w:r>
      <w:r w:rsidRPr="002A0714">
        <w:rPr>
          <w:rFonts w:cs="Arial"/>
          <w:sz w:val="22"/>
          <w:szCs w:val="22"/>
        </w:rPr>
        <w:t xml:space="preserve">  The </w:t>
      </w:r>
      <w:r w:rsidRPr="002A0714" w:rsidR="00BC5E9F">
        <w:rPr>
          <w:rFonts w:cs="Arial"/>
          <w:sz w:val="22"/>
          <w:szCs w:val="22"/>
        </w:rPr>
        <w:t>final</w:t>
      </w:r>
      <w:r w:rsidRPr="002A0714">
        <w:rPr>
          <w:rFonts w:cs="Arial"/>
          <w:sz w:val="22"/>
          <w:szCs w:val="22"/>
        </w:rPr>
        <w:t xml:space="preserve"> rule also </w:t>
      </w:r>
      <w:r w:rsidRPr="002A0714" w:rsidR="00BC5E9F">
        <w:rPr>
          <w:rFonts w:cs="Arial"/>
          <w:sz w:val="22"/>
          <w:szCs w:val="22"/>
        </w:rPr>
        <w:t>will</w:t>
      </w:r>
      <w:r w:rsidRPr="002A0714">
        <w:rPr>
          <w:rFonts w:cs="Arial"/>
          <w:sz w:val="22"/>
          <w:szCs w:val="22"/>
        </w:rPr>
        <w:t xml:space="preserve"> make conforming changes </w:t>
      </w:r>
      <w:r w:rsidRPr="002A0714" w:rsidR="000C1F23">
        <w:rPr>
          <w:rFonts w:cs="Arial"/>
          <w:sz w:val="22"/>
          <w:szCs w:val="22"/>
        </w:rPr>
        <w:t xml:space="preserve">to </w:t>
      </w:r>
      <w:r w:rsidRPr="002A0714" w:rsidR="000848D0">
        <w:rPr>
          <w:rFonts w:cs="Arial"/>
          <w:sz w:val="22"/>
          <w:szCs w:val="22"/>
        </w:rPr>
        <w:t>requirements for facilities that are</w:t>
      </w:r>
      <w:r w:rsidRPr="002A0714" w:rsidR="00457780">
        <w:rPr>
          <w:rFonts w:cs="Arial"/>
          <w:sz w:val="22"/>
          <w:szCs w:val="22"/>
        </w:rPr>
        <w:t xml:space="preserve"> </w:t>
      </w:r>
      <w:r w:rsidRPr="002A0714" w:rsidR="000848D0">
        <w:rPr>
          <w:rFonts w:cs="Arial"/>
          <w:sz w:val="22"/>
          <w:szCs w:val="22"/>
        </w:rPr>
        <w:t xml:space="preserve">decommissioning by revising </w:t>
      </w:r>
      <w:r w:rsidRPr="002A0714">
        <w:rPr>
          <w:rFonts w:cs="Arial"/>
          <w:sz w:val="22"/>
          <w:szCs w:val="22"/>
        </w:rPr>
        <w:t>10 CFR</w:t>
      </w:r>
      <w:r w:rsidRPr="002A0714" w:rsidR="000C1F23">
        <w:rPr>
          <w:rFonts w:cs="Arial"/>
          <w:sz w:val="22"/>
          <w:szCs w:val="22"/>
        </w:rPr>
        <w:t xml:space="preserve"> 50.82(b) and (c),</w:t>
      </w:r>
      <w:r w:rsidRPr="002A0714">
        <w:rPr>
          <w:rFonts w:cs="Arial"/>
          <w:sz w:val="22"/>
          <w:szCs w:val="22"/>
        </w:rPr>
        <w:t xml:space="preserve"> where license expiration is used as a reference point</w:t>
      </w:r>
      <w:r w:rsidRPr="002A0714" w:rsidR="00843633">
        <w:rPr>
          <w:rFonts w:cs="Arial"/>
          <w:sz w:val="22"/>
          <w:szCs w:val="22"/>
        </w:rPr>
        <w:t xml:space="preserve"> (see Section 3.6.3 for a sensitivity analysis on the costs and benefits relating to decommissioning NPUFs)</w:t>
      </w:r>
      <w:r w:rsidRPr="002A0714">
        <w:rPr>
          <w:rFonts w:cs="Arial"/>
          <w:sz w:val="22"/>
          <w:szCs w:val="22"/>
        </w:rPr>
        <w:t xml:space="preserve">.  The </w:t>
      </w:r>
      <w:r w:rsidRPr="002A0714" w:rsidR="0063220A">
        <w:rPr>
          <w:rFonts w:cs="Arial"/>
          <w:sz w:val="22"/>
          <w:szCs w:val="22"/>
        </w:rPr>
        <w:t xml:space="preserve">NRC </w:t>
      </w:r>
      <w:r w:rsidRPr="002A0714" w:rsidR="00BC5E9F">
        <w:rPr>
          <w:rFonts w:cs="Arial"/>
          <w:sz w:val="22"/>
          <w:szCs w:val="22"/>
        </w:rPr>
        <w:t>will</w:t>
      </w:r>
      <w:r w:rsidRPr="002A0714">
        <w:rPr>
          <w:rFonts w:cs="Arial"/>
          <w:sz w:val="22"/>
          <w:szCs w:val="22"/>
        </w:rPr>
        <w:t xml:space="preserve"> issue orders following the publication of the final rule to remove license terms from each license.</w:t>
      </w:r>
      <w:r w:rsidRPr="002A0714" w:rsidR="00571D97">
        <w:rPr>
          <w:rFonts w:cs="Arial"/>
          <w:sz w:val="22"/>
          <w:szCs w:val="22"/>
        </w:rPr>
        <w:t xml:space="preserve">  </w:t>
      </w:r>
      <w:r w:rsidRPr="002A0714">
        <w:rPr>
          <w:rFonts w:cs="Arial"/>
          <w:sz w:val="22"/>
          <w:szCs w:val="22"/>
        </w:rPr>
        <w:t xml:space="preserve">In addition, the orders </w:t>
      </w:r>
      <w:r w:rsidRPr="002A0714" w:rsidR="00BC5E9F">
        <w:rPr>
          <w:rFonts w:cs="Arial"/>
          <w:sz w:val="22"/>
          <w:szCs w:val="22"/>
        </w:rPr>
        <w:t>will</w:t>
      </w:r>
      <w:r w:rsidRPr="002A0714">
        <w:rPr>
          <w:rFonts w:cs="Arial"/>
          <w:sz w:val="22"/>
          <w:szCs w:val="22"/>
        </w:rPr>
        <w:t xml:space="preserve"> establish when the respective licensee’s initial FSAR update </w:t>
      </w:r>
      <w:r w:rsidRPr="002A0714" w:rsidR="00BC5E9F">
        <w:rPr>
          <w:rFonts w:cs="Arial"/>
          <w:sz w:val="22"/>
          <w:szCs w:val="22"/>
        </w:rPr>
        <w:t>will</w:t>
      </w:r>
      <w:r w:rsidRPr="002A0714">
        <w:rPr>
          <w:rFonts w:cs="Arial"/>
          <w:sz w:val="22"/>
          <w:szCs w:val="22"/>
        </w:rPr>
        <w:t xml:space="preserve"> be due to the NRC.</w:t>
      </w:r>
      <w:r w:rsidRPr="002A0714" w:rsidR="00571D97">
        <w:rPr>
          <w:rFonts w:cs="Arial"/>
          <w:sz w:val="22"/>
          <w:szCs w:val="22"/>
        </w:rPr>
        <w:t xml:space="preserve"> </w:t>
      </w:r>
      <w:r w:rsidRPr="002A0714" w:rsidR="008B12F0">
        <w:rPr>
          <w:rFonts w:cs="Arial"/>
          <w:sz w:val="22"/>
          <w:szCs w:val="22"/>
        </w:rPr>
        <w:t xml:space="preserve"> In total, there will be 27 orders issued by the NRC</w:t>
      </w:r>
      <w:r w:rsidRPr="002A0714" w:rsidR="000E70E2">
        <w:rPr>
          <w:rFonts w:cs="Arial"/>
          <w:sz w:val="22"/>
          <w:szCs w:val="22"/>
        </w:rPr>
        <w:t>.  The recipients of the orders include those facilities identified in</w:t>
      </w:r>
      <w:r w:rsidRPr="002A0714" w:rsidR="008B12F0">
        <w:rPr>
          <w:rFonts w:cs="Arial"/>
          <w:sz w:val="22"/>
          <w:szCs w:val="22"/>
        </w:rPr>
        <w:t xml:space="preserve"> </w:t>
      </w:r>
      <w:r w:rsidRPr="002A0714" w:rsidR="00B2415B">
        <w:rPr>
          <w:rFonts w:cs="Arial"/>
          <w:sz w:val="22"/>
          <w:szCs w:val="22"/>
        </w:rPr>
        <w:t>G</w:t>
      </w:r>
      <w:r w:rsidRPr="002A0714" w:rsidR="008B12F0">
        <w:rPr>
          <w:rFonts w:cs="Arial"/>
          <w:sz w:val="22"/>
          <w:szCs w:val="22"/>
        </w:rPr>
        <w:t xml:space="preserve">roup 1 and </w:t>
      </w:r>
      <w:r w:rsidRPr="002A0714" w:rsidR="00B2415B">
        <w:rPr>
          <w:rFonts w:cs="Arial"/>
          <w:sz w:val="22"/>
          <w:szCs w:val="22"/>
        </w:rPr>
        <w:t>G</w:t>
      </w:r>
      <w:r w:rsidRPr="002A0714" w:rsidR="008B12F0">
        <w:rPr>
          <w:rFonts w:cs="Arial"/>
          <w:sz w:val="22"/>
          <w:szCs w:val="22"/>
        </w:rPr>
        <w:t xml:space="preserve">roup 2 </w:t>
      </w:r>
      <w:r w:rsidRPr="002A0714" w:rsidR="000E70E2">
        <w:rPr>
          <w:rFonts w:cs="Arial"/>
          <w:sz w:val="22"/>
          <w:szCs w:val="22"/>
        </w:rPr>
        <w:t xml:space="preserve">of </w:t>
      </w:r>
      <w:r w:rsidRPr="002A0714" w:rsidR="00642562">
        <w:rPr>
          <w:rFonts w:cs="Arial"/>
          <w:sz w:val="22"/>
          <w:szCs w:val="22"/>
        </w:rPr>
        <w:fldChar w:fldCharType="begin"/>
      </w:r>
      <w:r w:rsidRPr="002A0714" w:rsidR="00642562">
        <w:rPr>
          <w:rFonts w:cs="Arial"/>
          <w:sz w:val="22"/>
          <w:szCs w:val="22"/>
        </w:rPr>
        <w:instrText xml:space="preserve"> REF _Ref534034774 \h  \* MERGEFORMAT </w:instrText>
      </w:r>
      <w:r w:rsidRPr="002A0714" w:rsidR="00642562">
        <w:rPr>
          <w:rFonts w:cs="Arial"/>
          <w:sz w:val="22"/>
          <w:szCs w:val="22"/>
        </w:rPr>
        <w:fldChar w:fldCharType="separate"/>
      </w:r>
      <w:r w:rsidRPr="00977795" w:rsidR="00977795">
        <w:rPr>
          <w:sz w:val="22"/>
          <w:szCs w:val="22"/>
        </w:rPr>
        <w:t>Exhibit 3</w:t>
      </w:r>
      <w:r w:rsidRPr="00977795" w:rsidR="00977795">
        <w:rPr>
          <w:sz w:val="22"/>
          <w:szCs w:val="22"/>
        </w:rPr>
        <w:noBreakHyphen/>
        <w:t>2</w:t>
      </w:r>
      <w:r w:rsidRPr="002A0714" w:rsidR="00642562">
        <w:rPr>
          <w:rFonts w:cs="Arial"/>
          <w:sz w:val="22"/>
          <w:szCs w:val="22"/>
        </w:rPr>
        <w:fldChar w:fldCharType="end"/>
      </w:r>
      <w:r w:rsidRPr="002A0714" w:rsidR="008B12F0">
        <w:rPr>
          <w:rFonts w:cs="Arial"/>
          <w:sz w:val="22"/>
          <w:szCs w:val="22"/>
        </w:rPr>
        <w:t xml:space="preserve"> </w:t>
      </w:r>
      <w:r w:rsidRPr="002A0714" w:rsidR="008B12F0">
        <w:rPr>
          <w:rFonts w:cs="Arial"/>
          <w:sz w:val="22"/>
          <w:szCs w:val="22"/>
        </w:rPr>
        <w:t xml:space="preserve">plus </w:t>
      </w:r>
      <w:r w:rsidRPr="002A0714" w:rsidR="006F7FCF">
        <w:rPr>
          <w:rFonts w:cs="Arial"/>
          <w:sz w:val="22"/>
          <w:szCs w:val="22"/>
        </w:rPr>
        <w:t xml:space="preserve">the </w:t>
      </w:r>
      <w:r w:rsidRPr="002A0714" w:rsidR="008B12F0">
        <w:rPr>
          <w:rFonts w:cs="Arial"/>
          <w:sz w:val="22"/>
          <w:szCs w:val="22"/>
        </w:rPr>
        <w:t>NIST</w:t>
      </w:r>
      <w:r w:rsidR="009A793C">
        <w:rPr>
          <w:rFonts w:cs="Arial"/>
          <w:sz w:val="22"/>
          <w:szCs w:val="22"/>
        </w:rPr>
        <w:t xml:space="preserve"> testing facility</w:t>
      </w:r>
      <w:r w:rsidRPr="002A0714" w:rsidR="008B12F0">
        <w:rPr>
          <w:rFonts w:cs="Arial"/>
          <w:sz w:val="22"/>
          <w:szCs w:val="22"/>
        </w:rPr>
        <w:t>.</w:t>
      </w:r>
    </w:p>
    <w:p w:rsidR="003B617B" w:rsidRPr="00D839EE" w:rsidP="00B634DF" w14:paraId="7F4934B2" w14:textId="77777777">
      <w:pPr>
        <w:pStyle w:val="ListParagraph"/>
        <w:numPr>
          <w:ilvl w:val="0"/>
          <w:numId w:val="6"/>
        </w:numPr>
        <w:autoSpaceDE/>
        <w:autoSpaceDN/>
        <w:adjustRightInd/>
        <w:ind w:hanging="720"/>
        <w:rPr>
          <w:rFonts w:cs="Arial"/>
          <w:sz w:val="22"/>
          <w:szCs w:val="22"/>
        </w:rPr>
      </w:pPr>
      <w:r w:rsidRPr="00D839EE">
        <w:rPr>
          <w:rFonts w:cs="Arial"/>
          <w:sz w:val="22"/>
          <w:szCs w:val="22"/>
          <w:u w:val="single"/>
        </w:rPr>
        <w:t>Define</w:t>
      </w:r>
      <w:r w:rsidR="00CC7A2D">
        <w:rPr>
          <w:rFonts w:cs="Arial"/>
          <w:sz w:val="22"/>
          <w:szCs w:val="22"/>
          <w:u w:val="single"/>
        </w:rPr>
        <w:t>s</w:t>
      </w:r>
      <w:r w:rsidRPr="00D839EE">
        <w:rPr>
          <w:rFonts w:cs="Arial"/>
          <w:sz w:val="22"/>
          <w:szCs w:val="22"/>
          <w:u w:val="single"/>
        </w:rPr>
        <w:t xml:space="preserve"> the license renewal process for </w:t>
      </w:r>
      <w:r w:rsidRPr="00B2040D" w:rsidR="00B2040D">
        <w:rPr>
          <w:rFonts w:cs="Arial"/>
          <w:sz w:val="22"/>
          <w:szCs w:val="22"/>
          <w:u w:val="single"/>
        </w:rPr>
        <w:t xml:space="preserve">NPUFs (including testing facilities) licensed under </w:t>
      </w:r>
      <w:r w:rsidR="00B2040D">
        <w:rPr>
          <w:rFonts w:cs="Arial"/>
          <w:sz w:val="22"/>
          <w:szCs w:val="22"/>
          <w:u w:val="single"/>
        </w:rPr>
        <w:t>10 CFR </w:t>
      </w:r>
      <w:r w:rsidRPr="00B2040D" w:rsidR="00B2040D">
        <w:rPr>
          <w:rFonts w:cs="Arial"/>
          <w:sz w:val="22"/>
          <w:szCs w:val="22"/>
          <w:u w:val="single"/>
        </w:rPr>
        <w:t xml:space="preserve">50.22 and testing facilities licensed under </w:t>
      </w:r>
      <w:r w:rsidR="00B2040D">
        <w:rPr>
          <w:rFonts w:cs="Arial"/>
          <w:sz w:val="22"/>
          <w:szCs w:val="22"/>
          <w:u w:val="single"/>
        </w:rPr>
        <w:t>10 CFR </w:t>
      </w:r>
      <w:r w:rsidRPr="00B2040D" w:rsidR="00B2040D">
        <w:rPr>
          <w:rFonts w:cs="Arial"/>
          <w:sz w:val="22"/>
          <w:szCs w:val="22"/>
          <w:u w:val="single"/>
        </w:rPr>
        <w:t>50.21(c)</w:t>
      </w:r>
      <w:r w:rsidR="00571D97">
        <w:rPr>
          <w:rFonts w:cs="Arial"/>
          <w:sz w:val="22"/>
          <w:szCs w:val="22"/>
          <w:u w:val="single"/>
        </w:rPr>
        <w:t>.</w:t>
      </w:r>
      <w:r w:rsidR="00571D97">
        <w:rPr>
          <w:rFonts w:cs="Arial"/>
          <w:sz w:val="22"/>
          <w:szCs w:val="22"/>
        </w:rPr>
        <w:t xml:space="preserve">  </w:t>
      </w:r>
      <w:r w:rsidRPr="00977646" w:rsidR="00977646">
        <w:rPr>
          <w:rFonts w:cs="Arial"/>
          <w:sz w:val="22"/>
          <w:szCs w:val="22"/>
        </w:rPr>
        <w:t xml:space="preserve">Section 103 of the AEA establishes a license term of no more than 40 years for commercial facilities licensed under </w:t>
      </w:r>
      <w:r w:rsidR="00977646">
        <w:rPr>
          <w:rFonts w:cs="Arial"/>
          <w:sz w:val="22"/>
          <w:szCs w:val="22"/>
        </w:rPr>
        <w:t>10 CFR</w:t>
      </w:r>
      <w:r w:rsidRPr="00977646" w:rsidR="00977646">
        <w:rPr>
          <w:rFonts w:cs="Arial"/>
          <w:sz w:val="22"/>
          <w:szCs w:val="22"/>
        </w:rPr>
        <w:t> 50.22.</w:t>
      </w:r>
      <w:r w:rsidRPr="00F474BF" w:rsidR="00F474BF">
        <w:rPr>
          <w:rFonts w:cs="Arial"/>
          <w:sz w:val="22"/>
          <w:szCs w:val="22"/>
        </w:rPr>
        <w:t xml:space="preserve">  </w:t>
      </w:r>
      <w:r w:rsidR="00977646">
        <w:rPr>
          <w:rFonts w:cs="Arial"/>
          <w:sz w:val="22"/>
          <w:szCs w:val="22"/>
        </w:rPr>
        <w:t>Although</w:t>
      </w:r>
      <w:r w:rsidRPr="00F474BF" w:rsidR="00F474BF">
        <w:rPr>
          <w:rFonts w:cs="Arial"/>
          <w:sz w:val="22"/>
          <w:szCs w:val="22"/>
        </w:rPr>
        <w:t xml:space="preserve"> the AEA does not establish a fixed license term for testing facilities, </w:t>
      </w:r>
      <w:r w:rsidR="0016321A">
        <w:rPr>
          <w:rFonts w:cs="Arial"/>
          <w:sz w:val="22"/>
          <w:szCs w:val="22"/>
        </w:rPr>
        <w:t xml:space="preserve">licensees for </w:t>
      </w:r>
      <w:r w:rsidRPr="00F474BF" w:rsidR="00F474BF">
        <w:rPr>
          <w:rFonts w:cs="Arial"/>
          <w:sz w:val="22"/>
          <w:szCs w:val="22"/>
        </w:rPr>
        <w:t xml:space="preserve">these facilities </w:t>
      </w:r>
      <w:r w:rsidRPr="00F474BF" w:rsidR="00C57F82">
        <w:rPr>
          <w:rFonts w:cs="Arial"/>
          <w:sz w:val="22"/>
          <w:szCs w:val="22"/>
        </w:rPr>
        <w:t xml:space="preserve">currently </w:t>
      </w:r>
      <w:r w:rsidRPr="00F474BF" w:rsidR="00F474BF">
        <w:rPr>
          <w:rFonts w:cs="Arial"/>
          <w:sz w:val="22"/>
          <w:szCs w:val="22"/>
        </w:rPr>
        <w:t xml:space="preserve">are subject to additional regulatory requirements (e.g., </w:t>
      </w:r>
      <w:r w:rsidRPr="00977646" w:rsidR="00977646">
        <w:rPr>
          <w:rFonts w:cs="Arial"/>
          <w:sz w:val="22"/>
          <w:szCs w:val="22"/>
        </w:rPr>
        <w:t xml:space="preserve">siting subject to 10 CFR </w:t>
      </w:r>
      <w:r w:rsidR="00F40C76">
        <w:rPr>
          <w:rFonts w:cs="Arial"/>
          <w:sz w:val="22"/>
          <w:szCs w:val="22"/>
        </w:rPr>
        <w:t>P</w:t>
      </w:r>
      <w:r w:rsidRPr="00977646" w:rsidR="00F40C76">
        <w:rPr>
          <w:rFonts w:cs="Arial"/>
          <w:sz w:val="22"/>
          <w:szCs w:val="22"/>
        </w:rPr>
        <w:t xml:space="preserve">art </w:t>
      </w:r>
      <w:r w:rsidRPr="00977646" w:rsidR="00977646">
        <w:rPr>
          <w:rFonts w:cs="Arial"/>
          <w:sz w:val="22"/>
          <w:szCs w:val="22"/>
        </w:rPr>
        <w:t>100</w:t>
      </w:r>
      <w:r w:rsidR="000662E2">
        <w:rPr>
          <w:rFonts w:cs="Arial"/>
          <w:sz w:val="22"/>
          <w:szCs w:val="22"/>
        </w:rPr>
        <w:t>, “Reactor Site Criteria” (Ref. 18)</w:t>
      </w:r>
      <w:r w:rsidRPr="00F474BF" w:rsidR="00F474BF">
        <w:rPr>
          <w:rFonts w:cs="Arial"/>
          <w:sz w:val="22"/>
          <w:szCs w:val="22"/>
        </w:rPr>
        <w:t xml:space="preserve">, </w:t>
      </w:r>
      <w:r w:rsidR="00977646">
        <w:rPr>
          <w:rFonts w:cs="Arial"/>
          <w:sz w:val="22"/>
          <w:szCs w:val="22"/>
        </w:rPr>
        <w:t>Advisory Committee on Reactor Safeguards review</w:t>
      </w:r>
      <w:r w:rsidRPr="00F474BF" w:rsidR="00F474BF">
        <w:rPr>
          <w:rFonts w:cs="Arial"/>
          <w:sz w:val="22"/>
          <w:szCs w:val="22"/>
        </w:rPr>
        <w:t>, and environmental impact statements)</w:t>
      </w:r>
      <w:r w:rsidR="00977646">
        <w:rPr>
          <w:rFonts w:cs="Arial"/>
          <w:sz w:val="22"/>
          <w:szCs w:val="22"/>
        </w:rPr>
        <w:t xml:space="preserve"> </w:t>
      </w:r>
      <w:r w:rsidRPr="00977646" w:rsidR="00977646">
        <w:rPr>
          <w:rFonts w:cs="Arial"/>
          <w:sz w:val="22"/>
          <w:szCs w:val="22"/>
        </w:rPr>
        <w:t xml:space="preserve">because of </w:t>
      </w:r>
      <w:r w:rsidRPr="0016321A" w:rsidR="0016321A">
        <w:rPr>
          <w:rFonts w:cs="Arial"/>
          <w:sz w:val="22"/>
          <w:szCs w:val="22"/>
        </w:rPr>
        <w:t xml:space="preserve">higher radiological risks associated with </w:t>
      </w:r>
      <w:r w:rsidRPr="00977646" w:rsidR="00977646">
        <w:rPr>
          <w:rFonts w:cs="Arial"/>
          <w:sz w:val="22"/>
          <w:szCs w:val="22"/>
        </w:rPr>
        <w:t>their design, operation, or use as compared to other class</w:t>
      </w:r>
      <w:r w:rsidR="00977646">
        <w:rPr>
          <w:rFonts w:cs="Arial"/>
          <w:sz w:val="22"/>
          <w:szCs w:val="22"/>
        </w:rPr>
        <w:t> </w:t>
      </w:r>
      <w:r w:rsidRPr="00977646" w:rsidR="00977646">
        <w:rPr>
          <w:rFonts w:cs="Arial"/>
          <w:sz w:val="22"/>
          <w:szCs w:val="22"/>
        </w:rPr>
        <w:t>104a or c licensees</w:t>
      </w:r>
      <w:r w:rsidRPr="00F474BF" w:rsidR="00F474BF">
        <w:rPr>
          <w:rFonts w:cs="Arial"/>
          <w:sz w:val="22"/>
          <w:szCs w:val="22"/>
        </w:rPr>
        <w:t>.</w:t>
      </w:r>
      <w:r w:rsidR="00F474BF">
        <w:rPr>
          <w:rFonts w:cs="Arial"/>
          <w:sz w:val="22"/>
          <w:szCs w:val="22"/>
        </w:rPr>
        <w:t xml:space="preserve">  </w:t>
      </w:r>
      <w:r w:rsidRPr="00977646" w:rsidR="00977646">
        <w:rPr>
          <w:rFonts w:cs="Arial"/>
          <w:sz w:val="22"/>
          <w:szCs w:val="22"/>
        </w:rPr>
        <w:t>Therefore, all commercial NPUF facilities (including testing facilities) licensed under § 50.22 and testing facilities licensed under § 50.21(c) will continue to have fixed license terms and undergo license renewal.</w:t>
      </w:r>
      <w:r w:rsidRPr="00D839EE">
        <w:rPr>
          <w:rFonts w:cs="Arial"/>
          <w:sz w:val="22"/>
          <w:szCs w:val="22"/>
        </w:rPr>
        <w:t xml:space="preserve">  By defining a license renewal process </w:t>
      </w:r>
      <w:r w:rsidRPr="00D839EE" w:rsidR="00D86E0B">
        <w:rPr>
          <w:rFonts w:cs="Arial"/>
          <w:sz w:val="22"/>
          <w:szCs w:val="22"/>
        </w:rPr>
        <w:t xml:space="preserve">in </w:t>
      </w:r>
      <w:r w:rsidR="001A43B0">
        <w:rPr>
          <w:rFonts w:cs="Arial"/>
          <w:sz w:val="22"/>
          <w:szCs w:val="22"/>
        </w:rPr>
        <w:t xml:space="preserve">the </w:t>
      </w:r>
      <w:r w:rsidRPr="00D839EE" w:rsidR="00BA017C">
        <w:rPr>
          <w:rFonts w:cs="Arial"/>
          <w:sz w:val="22"/>
          <w:szCs w:val="22"/>
        </w:rPr>
        <w:t>new</w:t>
      </w:r>
      <w:r w:rsidRPr="00D839EE" w:rsidR="00D86E0B">
        <w:rPr>
          <w:rFonts w:cs="Arial"/>
          <w:sz w:val="22"/>
          <w:szCs w:val="22"/>
        </w:rPr>
        <w:t xml:space="preserve"> </w:t>
      </w:r>
      <w:r w:rsidR="001A43B0">
        <w:rPr>
          <w:rFonts w:cs="Arial"/>
          <w:sz w:val="22"/>
          <w:szCs w:val="22"/>
        </w:rPr>
        <w:t>10 CFR </w:t>
      </w:r>
      <w:r w:rsidRPr="00D839EE" w:rsidR="00D86E0B">
        <w:rPr>
          <w:rFonts w:cs="Arial"/>
          <w:sz w:val="22"/>
          <w:szCs w:val="22"/>
        </w:rPr>
        <w:t>50.135</w:t>
      </w:r>
      <w:r w:rsidR="00E525E8">
        <w:rPr>
          <w:rFonts w:cs="Arial"/>
          <w:sz w:val="22"/>
          <w:szCs w:val="22"/>
        </w:rPr>
        <w:t>, “</w:t>
      </w:r>
      <w:r w:rsidRPr="00033E9D" w:rsidR="00033E9D">
        <w:rPr>
          <w:rFonts w:cs="Arial"/>
          <w:sz w:val="22"/>
          <w:szCs w:val="22"/>
        </w:rPr>
        <w:t xml:space="preserve">Renewal of non-power production or utilization facility licenses issued under </w:t>
      </w:r>
      <w:r w:rsidR="00C95889">
        <w:rPr>
          <w:rFonts w:cs="Arial"/>
          <w:sz w:val="22"/>
          <w:szCs w:val="22"/>
        </w:rPr>
        <w:t>10 CFR </w:t>
      </w:r>
      <w:r w:rsidRPr="00033E9D" w:rsidR="00033E9D">
        <w:rPr>
          <w:rFonts w:cs="Arial"/>
          <w:sz w:val="22"/>
          <w:szCs w:val="22"/>
        </w:rPr>
        <w:t>50.22 and testing facility licenses</w:t>
      </w:r>
      <w:r w:rsidRPr="00CC5D66" w:rsidR="00E525E8">
        <w:rPr>
          <w:rFonts w:cs="Arial"/>
          <w:sz w:val="22"/>
          <w:szCs w:val="22"/>
        </w:rPr>
        <w:t>,”</w:t>
      </w:r>
      <w:r w:rsidRPr="00D839EE" w:rsidR="00D86E0B">
        <w:rPr>
          <w:rFonts w:cs="Arial"/>
          <w:sz w:val="22"/>
          <w:szCs w:val="22"/>
        </w:rPr>
        <w:t xml:space="preserve"> </w:t>
      </w:r>
      <w:r w:rsidRPr="00D839EE">
        <w:rPr>
          <w:rFonts w:cs="Arial"/>
          <w:sz w:val="22"/>
          <w:szCs w:val="22"/>
        </w:rPr>
        <w:t xml:space="preserve">specific to </w:t>
      </w:r>
      <w:r w:rsidRPr="00B2040D" w:rsidR="00B2040D">
        <w:rPr>
          <w:rFonts w:cs="Arial"/>
          <w:sz w:val="22"/>
          <w:szCs w:val="22"/>
        </w:rPr>
        <w:t xml:space="preserve">NPUFs (including testing facilities) licensed under </w:t>
      </w:r>
      <w:r w:rsidR="00C95889">
        <w:rPr>
          <w:rFonts w:cs="Arial"/>
          <w:sz w:val="22"/>
          <w:szCs w:val="22"/>
        </w:rPr>
        <w:t>10 CFR </w:t>
      </w:r>
      <w:r w:rsidRPr="00B2040D" w:rsidR="00B2040D">
        <w:rPr>
          <w:rFonts w:cs="Arial"/>
          <w:sz w:val="22"/>
          <w:szCs w:val="22"/>
        </w:rPr>
        <w:t xml:space="preserve">50.22 and testing facilities licensed under </w:t>
      </w:r>
      <w:r w:rsidR="00B2040D">
        <w:rPr>
          <w:rFonts w:cs="Arial"/>
          <w:sz w:val="22"/>
          <w:szCs w:val="22"/>
        </w:rPr>
        <w:t>10 CFR </w:t>
      </w:r>
      <w:r w:rsidRPr="00B2040D" w:rsidR="00B2040D">
        <w:rPr>
          <w:rFonts w:cs="Arial"/>
          <w:sz w:val="22"/>
          <w:szCs w:val="22"/>
        </w:rPr>
        <w:t>50.21(c)</w:t>
      </w:r>
      <w:r w:rsidRPr="00D839EE">
        <w:rPr>
          <w:rFonts w:cs="Arial"/>
          <w:sz w:val="22"/>
          <w:szCs w:val="22"/>
        </w:rPr>
        <w:t xml:space="preserve">, the NRC </w:t>
      </w:r>
      <w:r w:rsidRPr="00D839EE" w:rsidR="00BC5E9F">
        <w:rPr>
          <w:rFonts w:cs="Arial"/>
          <w:sz w:val="22"/>
          <w:szCs w:val="22"/>
        </w:rPr>
        <w:t>will</w:t>
      </w:r>
      <w:r w:rsidRPr="00D839EE">
        <w:rPr>
          <w:rFonts w:cs="Arial"/>
          <w:sz w:val="22"/>
          <w:szCs w:val="22"/>
        </w:rPr>
        <w:t xml:space="preserve"> </w:t>
      </w:r>
      <w:r w:rsidRPr="00D839EE" w:rsidR="002746A0">
        <w:rPr>
          <w:rFonts w:cs="Arial"/>
          <w:sz w:val="22"/>
          <w:szCs w:val="22"/>
        </w:rPr>
        <w:t>consolidate</w:t>
      </w:r>
      <w:r w:rsidRPr="00D839EE">
        <w:rPr>
          <w:rFonts w:cs="Arial"/>
          <w:sz w:val="22"/>
          <w:szCs w:val="22"/>
        </w:rPr>
        <w:t xml:space="preserve"> existing requirements for current and </w:t>
      </w:r>
      <w:r w:rsidR="00457083">
        <w:rPr>
          <w:rFonts w:cs="Arial"/>
          <w:sz w:val="22"/>
          <w:szCs w:val="22"/>
        </w:rPr>
        <w:t xml:space="preserve">potential </w:t>
      </w:r>
      <w:r w:rsidRPr="00D839EE">
        <w:rPr>
          <w:rFonts w:cs="Arial"/>
          <w:sz w:val="22"/>
          <w:szCs w:val="22"/>
        </w:rPr>
        <w:t>future licensees</w:t>
      </w:r>
      <w:r w:rsidRPr="00D839EE" w:rsidR="00D86E0B">
        <w:rPr>
          <w:rFonts w:cs="Arial"/>
          <w:sz w:val="22"/>
          <w:szCs w:val="22"/>
        </w:rPr>
        <w:t xml:space="preserve"> in one section</w:t>
      </w:r>
      <w:r w:rsidRPr="00D839EE">
        <w:rPr>
          <w:rFonts w:cs="Arial"/>
          <w:sz w:val="22"/>
          <w:szCs w:val="22"/>
        </w:rPr>
        <w:t>.</w:t>
      </w:r>
    </w:p>
    <w:p w:rsidR="003B617B" w:rsidRPr="00D839EE" w:rsidP="00346B95" w14:paraId="7F4934B3" w14:textId="77777777">
      <w:pPr>
        <w:pStyle w:val="ListParagraph"/>
        <w:ind w:hanging="720"/>
        <w:rPr>
          <w:rFonts w:cs="Arial"/>
          <w:sz w:val="22"/>
          <w:szCs w:val="22"/>
        </w:rPr>
      </w:pPr>
    </w:p>
    <w:p w:rsidR="003B617B" w:rsidRPr="00D839EE" w:rsidP="00F749B4" w14:paraId="7F4934B4" w14:textId="77777777">
      <w:pPr>
        <w:pStyle w:val="ListParagraph"/>
        <w:numPr>
          <w:ilvl w:val="0"/>
          <w:numId w:val="6"/>
        </w:numPr>
        <w:autoSpaceDE/>
        <w:autoSpaceDN/>
        <w:adjustRightInd/>
        <w:rPr>
          <w:rFonts w:cs="Arial"/>
          <w:sz w:val="22"/>
          <w:szCs w:val="22"/>
        </w:rPr>
      </w:pPr>
      <w:r w:rsidRPr="00D839EE">
        <w:rPr>
          <w:rFonts w:cs="Arial"/>
          <w:sz w:val="22"/>
          <w:szCs w:val="22"/>
          <w:u w:val="single"/>
        </w:rPr>
        <w:t>Require</w:t>
      </w:r>
      <w:r w:rsidR="00CC7A2D">
        <w:rPr>
          <w:rFonts w:cs="Arial"/>
          <w:sz w:val="22"/>
          <w:szCs w:val="22"/>
          <w:u w:val="single"/>
        </w:rPr>
        <w:t>s</w:t>
      </w:r>
      <w:r w:rsidRPr="00D839EE">
        <w:rPr>
          <w:rFonts w:cs="Arial"/>
          <w:sz w:val="22"/>
          <w:szCs w:val="22"/>
          <w:u w:val="single"/>
        </w:rPr>
        <w:t xml:space="preserve"> all NPUF licensees to submit </w:t>
      </w:r>
      <w:r w:rsidR="004A2B71">
        <w:rPr>
          <w:rFonts w:cs="Arial"/>
          <w:sz w:val="22"/>
          <w:szCs w:val="22"/>
          <w:u w:val="single"/>
        </w:rPr>
        <w:t xml:space="preserve">updated </w:t>
      </w:r>
      <w:r w:rsidRPr="00D839EE">
        <w:rPr>
          <w:rFonts w:cs="Arial"/>
          <w:sz w:val="22"/>
          <w:szCs w:val="22"/>
          <w:u w:val="single"/>
        </w:rPr>
        <w:t>FSAR</w:t>
      </w:r>
      <w:r w:rsidR="004A2B71">
        <w:rPr>
          <w:rFonts w:cs="Arial"/>
          <w:sz w:val="22"/>
          <w:szCs w:val="22"/>
          <w:u w:val="single"/>
        </w:rPr>
        <w:t xml:space="preserve">s and subsequent </w:t>
      </w:r>
      <w:r w:rsidRPr="00D839EE">
        <w:rPr>
          <w:rFonts w:cs="Arial"/>
          <w:sz w:val="22"/>
          <w:szCs w:val="22"/>
          <w:u w:val="single"/>
        </w:rPr>
        <w:t xml:space="preserve">FSAR updates to the NRC </w:t>
      </w:r>
      <w:r w:rsidR="004A2B71">
        <w:rPr>
          <w:rFonts w:cs="Arial"/>
          <w:sz w:val="22"/>
          <w:szCs w:val="22"/>
          <w:u w:val="single"/>
        </w:rPr>
        <w:t>at intervals not to exceed</w:t>
      </w:r>
      <w:r w:rsidRPr="00D839EE">
        <w:rPr>
          <w:rFonts w:cs="Arial"/>
          <w:sz w:val="22"/>
          <w:szCs w:val="22"/>
          <w:u w:val="single"/>
        </w:rPr>
        <w:t xml:space="preserve"> </w:t>
      </w:r>
      <w:r w:rsidR="006046A1">
        <w:rPr>
          <w:rFonts w:cs="Arial"/>
          <w:sz w:val="22"/>
          <w:szCs w:val="22"/>
          <w:u w:val="single"/>
        </w:rPr>
        <w:t>5</w:t>
      </w:r>
      <w:r w:rsidRPr="00D839EE">
        <w:rPr>
          <w:rFonts w:cs="Arial"/>
          <w:sz w:val="22"/>
          <w:szCs w:val="22"/>
          <w:u w:val="single"/>
        </w:rPr>
        <w:t xml:space="preserve"> years</w:t>
      </w:r>
      <w:r w:rsidRPr="00D839EE">
        <w:rPr>
          <w:rFonts w:cs="Arial"/>
          <w:sz w:val="22"/>
          <w:szCs w:val="22"/>
        </w:rPr>
        <w:t xml:space="preserve">.  By requiring periodic </w:t>
      </w:r>
      <w:r w:rsidR="009C4A90">
        <w:rPr>
          <w:rFonts w:cs="Arial"/>
          <w:sz w:val="22"/>
          <w:szCs w:val="22"/>
        </w:rPr>
        <w:t>submittals of subsequent</w:t>
      </w:r>
      <w:r w:rsidRPr="00D839EE">
        <w:rPr>
          <w:rFonts w:cs="Arial"/>
          <w:sz w:val="22"/>
          <w:szCs w:val="22"/>
        </w:rPr>
        <w:t xml:space="preserve"> FSAR</w:t>
      </w:r>
      <w:r w:rsidR="009C4A90">
        <w:rPr>
          <w:rFonts w:cs="Arial"/>
          <w:sz w:val="22"/>
          <w:szCs w:val="22"/>
        </w:rPr>
        <w:t xml:space="preserve"> updates</w:t>
      </w:r>
      <w:r w:rsidRPr="00D839EE">
        <w:rPr>
          <w:rFonts w:cs="Arial"/>
          <w:sz w:val="22"/>
          <w:szCs w:val="22"/>
        </w:rPr>
        <w:t xml:space="preserve">, </w:t>
      </w:r>
      <w:r w:rsidRPr="00D839EE" w:rsidR="00D0656D">
        <w:rPr>
          <w:rFonts w:cs="Arial"/>
          <w:sz w:val="22"/>
          <w:szCs w:val="22"/>
        </w:rPr>
        <w:t xml:space="preserve">the NRC anticipates that licensees </w:t>
      </w:r>
      <w:r w:rsidRPr="00D839EE" w:rsidR="00BC5E9F">
        <w:rPr>
          <w:rFonts w:cs="Arial"/>
          <w:sz w:val="22"/>
          <w:szCs w:val="22"/>
        </w:rPr>
        <w:t>will</w:t>
      </w:r>
      <w:r w:rsidRPr="00D839EE" w:rsidR="00A364EF">
        <w:rPr>
          <w:rFonts w:cs="Arial"/>
          <w:sz w:val="22"/>
          <w:szCs w:val="22"/>
        </w:rPr>
        <w:t xml:space="preserve"> </w:t>
      </w:r>
      <w:r w:rsidRPr="00D839EE" w:rsidR="00D0656D">
        <w:rPr>
          <w:rFonts w:cs="Arial"/>
          <w:sz w:val="22"/>
          <w:szCs w:val="22"/>
        </w:rPr>
        <w:t xml:space="preserve">document changes in licensing bases as they occur, which </w:t>
      </w:r>
      <w:r w:rsidRPr="00D839EE" w:rsidR="00BC5E9F">
        <w:rPr>
          <w:rFonts w:cs="Arial"/>
          <w:sz w:val="22"/>
          <w:szCs w:val="22"/>
        </w:rPr>
        <w:t>will</w:t>
      </w:r>
      <w:r w:rsidRPr="00D839EE" w:rsidR="00D0656D">
        <w:rPr>
          <w:rFonts w:cs="Arial"/>
          <w:sz w:val="22"/>
          <w:szCs w:val="22"/>
        </w:rPr>
        <w:t xml:space="preserve"> maintain the continuity of knowledge both for the licensee and the NRC and the understanding of changes and </w:t>
      </w:r>
      <w:r w:rsidR="00EA4EAA">
        <w:rPr>
          <w:rFonts w:cs="Arial"/>
          <w:sz w:val="22"/>
          <w:szCs w:val="22"/>
        </w:rPr>
        <w:t xml:space="preserve">the </w:t>
      </w:r>
      <w:r w:rsidRPr="00D839EE" w:rsidR="00D0656D">
        <w:rPr>
          <w:rFonts w:cs="Arial"/>
          <w:sz w:val="22"/>
          <w:szCs w:val="22"/>
        </w:rPr>
        <w:t xml:space="preserve">effects of changes on the </w:t>
      </w:r>
      <w:r w:rsidR="00B36291">
        <w:rPr>
          <w:rFonts w:cs="Arial"/>
          <w:sz w:val="22"/>
          <w:szCs w:val="22"/>
        </w:rPr>
        <w:t>licensee</w:t>
      </w:r>
      <w:r w:rsidRPr="00D839EE" w:rsidR="00D0656D">
        <w:rPr>
          <w:rFonts w:cs="Arial"/>
          <w:sz w:val="22"/>
          <w:szCs w:val="22"/>
        </w:rPr>
        <w:t xml:space="preserve">.  </w:t>
      </w:r>
      <w:r w:rsidRPr="00520983" w:rsidR="00520983">
        <w:rPr>
          <w:rFonts w:cs="Arial"/>
          <w:sz w:val="22"/>
          <w:szCs w:val="22"/>
        </w:rPr>
        <w:t>From a safety perspective, an updated FSAR is</w:t>
      </w:r>
      <w:r w:rsidRPr="009653AD" w:rsidR="00520983">
        <w:rPr>
          <w:rFonts w:cs="Arial"/>
          <w:sz w:val="22"/>
          <w:szCs w:val="22"/>
        </w:rPr>
        <w:t xml:space="preserve"> important for the NRC’s inspection program and for effective licensee</w:t>
      </w:r>
      <w:r w:rsidR="00520983">
        <w:rPr>
          <w:rFonts w:cs="Arial"/>
          <w:sz w:val="22"/>
          <w:szCs w:val="22"/>
        </w:rPr>
        <w:t xml:space="preserve"> </w:t>
      </w:r>
      <w:r w:rsidRPr="00520983" w:rsidR="00520983">
        <w:rPr>
          <w:rFonts w:cs="Arial"/>
          <w:sz w:val="22"/>
          <w:szCs w:val="22"/>
        </w:rPr>
        <w:t>operator training and examination.</w:t>
      </w:r>
      <w:r w:rsidRPr="00D839EE" w:rsidR="00D0656D">
        <w:rPr>
          <w:rFonts w:cs="Arial"/>
          <w:sz w:val="22"/>
          <w:szCs w:val="22"/>
        </w:rPr>
        <w:t xml:space="preserve">  </w:t>
      </w:r>
      <w:r w:rsidRPr="00F749B4" w:rsidR="00F749B4">
        <w:rPr>
          <w:rFonts w:cs="Arial"/>
          <w:sz w:val="22"/>
          <w:szCs w:val="22"/>
        </w:rPr>
        <w:t>The NRC decided on a 5-year periodicity for FSAR submittals for two reasons.  First, 5 years is less frequent than what is required of power reactors, reflecting the “minimum re</w:t>
      </w:r>
      <w:r w:rsidR="00F749B4">
        <w:rPr>
          <w:rFonts w:cs="Arial"/>
          <w:sz w:val="22"/>
          <w:szCs w:val="22"/>
        </w:rPr>
        <w:t>gulation” standard applied to most</w:t>
      </w:r>
      <w:r w:rsidRPr="00F749B4" w:rsidR="00F749B4">
        <w:rPr>
          <w:rFonts w:cs="Arial"/>
          <w:sz w:val="22"/>
          <w:szCs w:val="22"/>
        </w:rPr>
        <w:t xml:space="preserve"> NPUF </w:t>
      </w:r>
      <w:r w:rsidR="00F749B4">
        <w:rPr>
          <w:rFonts w:cs="Arial"/>
          <w:sz w:val="22"/>
          <w:szCs w:val="22"/>
        </w:rPr>
        <w:t>licensees</w:t>
      </w:r>
      <w:r w:rsidRPr="00F749B4" w:rsidR="00F749B4">
        <w:rPr>
          <w:rFonts w:cs="Arial"/>
          <w:sz w:val="22"/>
          <w:szCs w:val="22"/>
        </w:rPr>
        <w:t>.  Second, the design bases of these facilities evolve slowly over time</w:t>
      </w:r>
      <w:r w:rsidR="00F749B4">
        <w:rPr>
          <w:rFonts w:cs="Arial"/>
          <w:sz w:val="22"/>
          <w:szCs w:val="22"/>
        </w:rPr>
        <w:t xml:space="preserve">.  </w:t>
      </w:r>
      <w:r w:rsidR="00977646">
        <w:rPr>
          <w:rFonts w:cs="Arial"/>
          <w:sz w:val="22"/>
          <w:szCs w:val="22"/>
        </w:rPr>
        <w:t>The NRC has received</w:t>
      </w:r>
      <w:r w:rsidRPr="009653AD" w:rsidR="009653AD">
        <w:rPr>
          <w:rFonts w:cs="Arial"/>
          <w:sz w:val="22"/>
          <w:szCs w:val="22"/>
        </w:rPr>
        <w:t xml:space="preserve"> approximately five license amendment requests from all NPUF licensees combined each ye</w:t>
      </w:r>
      <w:r w:rsidR="009653AD">
        <w:rPr>
          <w:rFonts w:cs="Arial"/>
          <w:sz w:val="22"/>
          <w:szCs w:val="22"/>
        </w:rPr>
        <w:t xml:space="preserve">ar and, on average, only five </w:t>
      </w:r>
      <w:r w:rsidR="00C95889">
        <w:rPr>
          <w:rFonts w:cs="Arial"/>
          <w:sz w:val="22"/>
          <w:szCs w:val="22"/>
        </w:rPr>
        <w:t>10 CFR </w:t>
      </w:r>
      <w:r w:rsidRPr="009653AD" w:rsidR="009653AD">
        <w:rPr>
          <w:rFonts w:cs="Arial"/>
          <w:sz w:val="22"/>
          <w:szCs w:val="22"/>
        </w:rPr>
        <w:t>50.59 evaluations per facility per year for changes that do not require prior NRC approval</w:t>
      </w:r>
      <w:r w:rsidRPr="00520983" w:rsidR="009E2351">
        <w:rPr>
          <w:rFonts w:cs="Arial"/>
          <w:sz w:val="22"/>
          <w:szCs w:val="22"/>
        </w:rPr>
        <w:t xml:space="preserve">.  </w:t>
      </w:r>
      <w:r w:rsidR="009653AD">
        <w:rPr>
          <w:rFonts w:cs="Arial"/>
          <w:sz w:val="22"/>
          <w:szCs w:val="22"/>
        </w:rPr>
        <w:t xml:space="preserve">Should </w:t>
      </w:r>
      <w:r w:rsidRPr="009653AD" w:rsidR="002F2E58">
        <w:rPr>
          <w:rFonts w:cs="Arial"/>
          <w:sz w:val="22"/>
          <w:szCs w:val="22"/>
        </w:rPr>
        <w:t>the NRC</w:t>
      </w:r>
      <w:r w:rsidRPr="002F2E58" w:rsidR="002F2E58">
        <w:rPr>
          <w:rFonts w:cs="Arial"/>
          <w:sz w:val="22"/>
          <w:szCs w:val="22"/>
        </w:rPr>
        <w:t xml:space="preserve"> identify any potential issues with the facility’s continued safe operation</w:t>
      </w:r>
      <w:r w:rsidR="009653AD">
        <w:rPr>
          <w:rFonts w:cs="Arial"/>
          <w:sz w:val="22"/>
          <w:szCs w:val="22"/>
        </w:rPr>
        <w:t>, the Commission</w:t>
      </w:r>
      <w:r w:rsidRPr="002F2E58" w:rsidR="002F2E58">
        <w:rPr>
          <w:rFonts w:cs="Arial"/>
          <w:sz w:val="22"/>
          <w:szCs w:val="22"/>
        </w:rPr>
        <w:t xml:space="preserve"> can undertake re</w:t>
      </w:r>
      <w:r w:rsidR="00C95889">
        <w:rPr>
          <w:rFonts w:cs="Arial"/>
          <w:sz w:val="22"/>
          <w:szCs w:val="22"/>
        </w:rPr>
        <w:t>gulatory actions specified in 10 CFR </w:t>
      </w:r>
      <w:r w:rsidRPr="002F2E58" w:rsidR="002F2E58">
        <w:rPr>
          <w:rFonts w:cs="Arial"/>
          <w:sz w:val="22"/>
          <w:szCs w:val="22"/>
        </w:rPr>
        <w:t>2.202 to modify, suspend, or revoke a license.</w:t>
      </w:r>
      <w:r w:rsidR="002828F7">
        <w:rPr>
          <w:rFonts w:cs="Arial"/>
          <w:sz w:val="22"/>
          <w:szCs w:val="22"/>
        </w:rPr>
        <w:t xml:space="preserve"> </w:t>
      </w:r>
      <w:r w:rsidRPr="002F2E58" w:rsidR="002F2E58">
        <w:rPr>
          <w:rFonts w:cs="Arial"/>
          <w:sz w:val="22"/>
          <w:szCs w:val="22"/>
        </w:rPr>
        <w:t xml:space="preserve"> In addition, </w:t>
      </w:r>
      <w:r w:rsidR="00977646">
        <w:rPr>
          <w:rFonts w:cs="Arial"/>
          <w:sz w:val="22"/>
          <w:szCs w:val="22"/>
        </w:rPr>
        <w:t xml:space="preserve">the public will remain informed about facility operations through the </w:t>
      </w:r>
      <w:r w:rsidRPr="002F2E58" w:rsidR="002F2E58">
        <w:rPr>
          <w:rFonts w:cs="Arial"/>
          <w:sz w:val="22"/>
          <w:szCs w:val="22"/>
        </w:rPr>
        <w:t xml:space="preserve">publicly available FSAR updates and will continue to have opportunities </w:t>
      </w:r>
      <w:r w:rsidR="00977646">
        <w:rPr>
          <w:rFonts w:cs="Arial"/>
          <w:sz w:val="22"/>
          <w:szCs w:val="22"/>
        </w:rPr>
        <w:t>to</w:t>
      </w:r>
      <w:r w:rsidRPr="002F2E58" w:rsidR="00977646">
        <w:rPr>
          <w:rFonts w:cs="Arial"/>
          <w:sz w:val="22"/>
          <w:szCs w:val="22"/>
        </w:rPr>
        <w:t xml:space="preserve"> </w:t>
      </w:r>
      <w:r w:rsidRPr="002F2E58" w:rsidR="002F2E58">
        <w:rPr>
          <w:rFonts w:cs="Arial"/>
          <w:sz w:val="22"/>
          <w:szCs w:val="22"/>
        </w:rPr>
        <w:t>participat</w:t>
      </w:r>
      <w:r w:rsidR="00977646">
        <w:rPr>
          <w:rFonts w:cs="Arial"/>
          <w:sz w:val="22"/>
          <w:szCs w:val="22"/>
        </w:rPr>
        <w:t>e in the regulatory process</w:t>
      </w:r>
      <w:r w:rsidRPr="002F2E58" w:rsidR="002F2E58">
        <w:rPr>
          <w:rFonts w:cs="Arial"/>
          <w:sz w:val="22"/>
          <w:szCs w:val="22"/>
        </w:rPr>
        <w:t xml:space="preserve"> thro</w:t>
      </w:r>
      <w:r w:rsidR="00C95889">
        <w:rPr>
          <w:rFonts w:cs="Arial"/>
          <w:sz w:val="22"/>
          <w:szCs w:val="22"/>
        </w:rPr>
        <w:t>ugh licensing actions and the 10 CFR </w:t>
      </w:r>
      <w:r w:rsidRPr="002F2E58" w:rsidR="002F2E58">
        <w:rPr>
          <w:rFonts w:cs="Arial"/>
          <w:sz w:val="22"/>
          <w:szCs w:val="22"/>
        </w:rPr>
        <w:t>2.206 petition process.</w:t>
      </w:r>
      <w:r w:rsidRPr="00D839EE" w:rsidR="00D0656D">
        <w:rPr>
          <w:rFonts w:cs="Arial"/>
          <w:sz w:val="22"/>
          <w:szCs w:val="22"/>
        </w:rPr>
        <w:t xml:space="preserve">  </w:t>
      </w:r>
      <w:r w:rsidR="00B66741">
        <w:rPr>
          <w:rFonts w:cs="Arial"/>
          <w:sz w:val="22"/>
          <w:szCs w:val="22"/>
        </w:rPr>
        <w:t xml:space="preserve">As a result, </w:t>
      </w:r>
      <w:r w:rsidRPr="00D839EE" w:rsidR="00D0656D">
        <w:rPr>
          <w:rFonts w:cs="Arial"/>
          <w:sz w:val="22"/>
          <w:szCs w:val="22"/>
        </w:rPr>
        <w:t xml:space="preserve">updated FSAR submittals </w:t>
      </w:r>
      <w:r w:rsidRPr="00D839EE" w:rsidR="00BC5E9F">
        <w:rPr>
          <w:rFonts w:cs="Arial"/>
          <w:sz w:val="22"/>
          <w:szCs w:val="22"/>
        </w:rPr>
        <w:t>will</w:t>
      </w:r>
      <w:r w:rsidRPr="00D839EE" w:rsidR="00A364EF">
        <w:rPr>
          <w:rFonts w:cs="Arial"/>
          <w:sz w:val="22"/>
          <w:szCs w:val="22"/>
        </w:rPr>
        <w:t xml:space="preserve"> </w:t>
      </w:r>
      <w:r w:rsidRPr="00D839EE" w:rsidR="00D0656D">
        <w:rPr>
          <w:rFonts w:cs="Arial"/>
          <w:sz w:val="22"/>
          <w:szCs w:val="22"/>
        </w:rPr>
        <w:t>enhance the NRC’s continuous oversight of facilities during their operation</w:t>
      </w:r>
      <w:r w:rsidR="00EA4EAA">
        <w:rPr>
          <w:rFonts w:cs="Arial"/>
          <w:sz w:val="22"/>
          <w:szCs w:val="22"/>
        </w:rPr>
        <w:t>,</w:t>
      </w:r>
      <w:r w:rsidRPr="00D839EE">
        <w:rPr>
          <w:rFonts w:cs="Arial"/>
          <w:sz w:val="22"/>
          <w:szCs w:val="22"/>
        </w:rPr>
        <w:t xml:space="preserve"> while imposing a minimal amount of regulation needed to promote </w:t>
      </w:r>
      <w:r w:rsidR="00EA4EAA">
        <w:rPr>
          <w:rFonts w:cs="Arial"/>
          <w:sz w:val="22"/>
          <w:szCs w:val="22"/>
        </w:rPr>
        <w:t xml:space="preserve">the </w:t>
      </w:r>
      <w:r w:rsidRPr="00D839EE">
        <w:rPr>
          <w:rFonts w:cs="Arial"/>
          <w:sz w:val="22"/>
          <w:szCs w:val="22"/>
        </w:rPr>
        <w:t xml:space="preserve">common defense and security, protect </w:t>
      </w:r>
      <w:r w:rsidR="00EA4EAA">
        <w:rPr>
          <w:rFonts w:cs="Arial"/>
          <w:sz w:val="22"/>
          <w:szCs w:val="22"/>
        </w:rPr>
        <w:t>public</w:t>
      </w:r>
      <w:r w:rsidRPr="00D839EE">
        <w:rPr>
          <w:rFonts w:cs="Arial"/>
          <w:sz w:val="22"/>
          <w:szCs w:val="22"/>
        </w:rPr>
        <w:t xml:space="preserve"> health and safety, and permit widespread and diverse research and development</w:t>
      </w:r>
      <w:r w:rsidRPr="00D839EE" w:rsidR="00A364EF">
        <w:rPr>
          <w:rFonts w:cs="Arial"/>
          <w:sz w:val="22"/>
          <w:szCs w:val="22"/>
        </w:rPr>
        <w:t xml:space="preserve"> and the widest possible amount of effective medical therapy</w:t>
      </w:r>
      <w:r w:rsidRPr="00D839EE">
        <w:rPr>
          <w:rFonts w:cs="Arial"/>
          <w:sz w:val="22"/>
          <w:szCs w:val="22"/>
        </w:rPr>
        <w:t>.</w:t>
      </w:r>
    </w:p>
    <w:p w:rsidR="003B617B" w:rsidRPr="00D839EE" w:rsidP="003B617B" w14:paraId="7F4934B5" w14:textId="77777777">
      <w:pPr>
        <w:pStyle w:val="ListParagraph"/>
        <w:rPr>
          <w:rFonts w:cs="Arial"/>
          <w:sz w:val="22"/>
          <w:szCs w:val="22"/>
        </w:rPr>
      </w:pPr>
    </w:p>
    <w:p w:rsidR="003B617B" w:rsidRPr="00D839EE" w:rsidP="00B2040D" w14:paraId="7F4934B6" w14:textId="77777777">
      <w:pPr>
        <w:pStyle w:val="ListParagraph"/>
        <w:numPr>
          <w:ilvl w:val="0"/>
          <w:numId w:val="6"/>
        </w:numPr>
        <w:autoSpaceDE/>
        <w:autoSpaceDN/>
        <w:adjustRightInd/>
        <w:ind w:hanging="720"/>
        <w:rPr>
          <w:rFonts w:cs="Arial"/>
          <w:sz w:val="22"/>
          <w:szCs w:val="22"/>
        </w:rPr>
      </w:pPr>
      <w:r w:rsidRPr="00D839EE">
        <w:rPr>
          <w:rFonts w:cs="Arial"/>
          <w:sz w:val="22"/>
          <w:szCs w:val="22"/>
          <w:u w:val="single"/>
        </w:rPr>
        <w:t>Amend</w:t>
      </w:r>
      <w:r w:rsidR="00CC7A2D">
        <w:rPr>
          <w:rFonts w:cs="Arial"/>
          <w:sz w:val="22"/>
          <w:szCs w:val="22"/>
          <w:u w:val="single"/>
        </w:rPr>
        <w:t>s</w:t>
      </w:r>
      <w:r w:rsidRPr="00D839EE">
        <w:rPr>
          <w:rFonts w:cs="Arial"/>
          <w:sz w:val="22"/>
          <w:szCs w:val="22"/>
          <w:u w:val="single"/>
        </w:rPr>
        <w:t xml:space="preserve"> the current timely renewal </w:t>
      </w:r>
      <w:r w:rsidRPr="00C95889">
        <w:rPr>
          <w:rFonts w:cs="Arial"/>
          <w:sz w:val="22"/>
          <w:szCs w:val="22"/>
          <w:u w:val="single"/>
        </w:rPr>
        <w:t xml:space="preserve">provision under </w:t>
      </w:r>
      <w:r w:rsidRPr="00C95889" w:rsidR="00EA5E34">
        <w:rPr>
          <w:rFonts w:cs="Arial"/>
          <w:sz w:val="22"/>
          <w:szCs w:val="22"/>
          <w:u w:val="single"/>
        </w:rPr>
        <w:t>10 CFR</w:t>
      </w:r>
      <w:r w:rsidRPr="00C95889">
        <w:rPr>
          <w:rFonts w:cs="Arial"/>
          <w:sz w:val="22"/>
          <w:szCs w:val="22"/>
          <w:u w:val="single"/>
        </w:rPr>
        <w:t xml:space="preserve"> 2.109, allowing </w:t>
      </w:r>
      <w:r w:rsidRPr="00C95889" w:rsidR="00655C2C">
        <w:rPr>
          <w:rFonts w:cs="Arial"/>
          <w:sz w:val="22"/>
          <w:szCs w:val="22"/>
          <w:u w:val="single"/>
        </w:rPr>
        <w:t xml:space="preserve">an </w:t>
      </w:r>
      <w:r w:rsidRPr="00C95889" w:rsidR="003C0564">
        <w:rPr>
          <w:rFonts w:cs="Arial"/>
          <w:sz w:val="22"/>
          <w:szCs w:val="22"/>
          <w:u w:val="single"/>
        </w:rPr>
        <w:t>NPUF</w:t>
      </w:r>
      <w:r w:rsidRPr="00C95889" w:rsidR="00A46BD4">
        <w:rPr>
          <w:rFonts w:cs="Arial"/>
          <w:sz w:val="22"/>
          <w:szCs w:val="22"/>
          <w:u w:val="single"/>
        </w:rPr>
        <w:t xml:space="preserve"> </w:t>
      </w:r>
      <w:r w:rsidR="008C642C">
        <w:rPr>
          <w:rFonts w:cs="Arial"/>
          <w:sz w:val="22"/>
          <w:szCs w:val="22"/>
          <w:u w:val="single"/>
        </w:rPr>
        <w:t>subject to license renewal</w:t>
      </w:r>
      <w:r w:rsidRPr="00C95889" w:rsidR="003C0564">
        <w:rPr>
          <w:rFonts w:cs="Arial"/>
          <w:sz w:val="22"/>
          <w:szCs w:val="22"/>
          <w:u w:val="single"/>
        </w:rPr>
        <w:t xml:space="preserve"> </w:t>
      </w:r>
      <w:r w:rsidRPr="00C95889">
        <w:rPr>
          <w:rFonts w:cs="Arial"/>
          <w:sz w:val="22"/>
          <w:szCs w:val="22"/>
          <w:u w:val="single"/>
        </w:rPr>
        <w:t>to continue opera</w:t>
      </w:r>
      <w:r w:rsidRPr="00D839EE">
        <w:rPr>
          <w:rFonts w:cs="Arial"/>
          <w:sz w:val="22"/>
          <w:szCs w:val="22"/>
          <w:u w:val="single"/>
        </w:rPr>
        <w:t xml:space="preserve">ting under an existing license past its expiration date if the </w:t>
      </w:r>
      <w:r w:rsidR="00655C2C">
        <w:rPr>
          <w:rFonts w:cs="Arial"/>
          <w:sz w:val="22"/>
          <w:szCs w:val="22"/>
          <w:u w:val="single"/>
        </w:rPr>
        <w:t>licensee</w:t>
      </w:r>
      <w:r w:rsidRPr="00D839EE" w:rsidR="00655C2C">
        <w:rPr>
          <w:rFonts w:cs="Arial"/>
          <w:sz w:val="22"/>
          <w:szCs w:val="22"/>
          <w:u w:val="single"/>
        </w:rPr>
        <w:t xml:space="preserve"> </w:t>
      </w:r>
      <w:r w:rsidRPr="00D839EE">
        <w:rPr>
          <w:rFonts w:cs="Arial"/>
          <w:sz w:val="22"/>
          <w:szCs w:val="22"/>
          <w:u w:val="single"/>
        </w:rPr>
        <w:t xml:space="preserve">submits a license renewal application at least </w:t>
      </w:r>
      <w:r w:rsidR="00EA4EAA">
        <w:rPr>
          <w:rFonts w:cs="Arial"/>
          <w:sz w:val="22"/>
          <w:szCs w:val="22"/>
          <w:u w:val="single"/>
        </w:rPr>
        <w:t>2</w:t>
      </w:r>
      <w:r w:rsidRPr="00D839EE">
        <w:rPr>
          <w:rFonts w:cs="Arial"/>
          <w:sz w:val="22"/>
          <w:szCs w:val="22"/>
          <w:u w:val="single"/>
        </w:rPr>
        <w:t xml:space="preserve"> years before the current license expiration date</w:t>
      </w:r>
      <w:r w:rsidRPr="00D839EE">
        <w:rPr>
          <w:rFonts w:cs="Arial"/>
          <w:sz w:val="22"/>
          <w:szCs w:val="22"/>
        </w:rPr>
        <w:t xml:space="preserve">.  Under the </w:t>
      </w:r>
      <w:r w:rsidRPr="00D839EE" w:rsidR="00BC5E9F">
        <w:rPr>
          <w:rFonts w:cs="Arial"/>
          <w:sz w:val="22"/>
          <w:szCs w:val="22"/>
        </w:rPr>
        <w:t>final</w:t>
      </w:r>
      <w:r w:rsidRPr="00D839EE">
        <w:rPr>
          <w:rFonts w:cs="Arial"/>
          <w:sz w:val="22"/>
          <w:szCs w:val="22"/>
        </w:rPr>
        <w:t xml:space="preserve"> rule, if an NPUF </w:t>
      </w:r>
      <w:r w:rsidRPr="00D839EE" w:rsidR="004734FC">
        <w:rPr>
          <w:rFonts w:cs="Arial"/>
          <w:sz w:val="22"/>
          <w:szCs w:val="22"/>
        </w:rPr>
        <w:t xml:space="preserve">subject to license renewal (i.e., </w:t>
      </w:r>
      <w:r w:rsidR="00B2040D">
        <w:rPr>
          <w:rFonts w:cs="Arial"/>
          <w:sz w:val="22"/>
          <w:szCs w:val="22"/>
        </w:rPr>
        <w:t xml:space="preserve">NPUFs </w:t>
      </w:r>
      <w:r w:rsidRPr="00B2040D" w:rsidR="00B2040D">
        <w:rPr>
          <w:rFonts w:cs="Arial"/>
          <w:sz w:val="22"/>
          <w:szCs w:val="22"/>
        </w:rPr>
        <w:t xml:space="preserve">(including testing facilities) licensed under </w:t>
      </w:r>
      <w:r w:rsidR="00B4757F">
        <w:rPr>
          <w:rFonts w:cs="Arial"/>
          <w:sz w:val="22"/>
          <w:szCs w:val="22"/>
        </w:rPr>
        <w:t>10</w:t>
      </w:r>
      <w:r w:rsidR="008C642C">
        <w:rPr>
          <w:rFonts w:cs="Arial"/>
          <w:sz w:val="22"/>
          <w:szCs w:val="22"/>
        </w:rPr>
        <w:t> </w:t>
      </w:r>
      <w:r w:rsidR="00B4757F">
        <w:rPr>
          <w:rFonts w:cs="Arial"/>
          <w:sz w:val="22"/>
          <w:szCs w:val="22"/>
        </w:rPr>
        <w:t>CFR</w:t>
      </w:r>
      <w:r w:rsidRPr="00B2040D" w:rsidR="00B2040D">
        <w:rPr>
          <w:rFonts w:cs="Arial"/>
          <w:sz w:val="22"/>
          <w:szCs w:val="22"/>
        </w:rPr>
        <w:t xml:space="preserve"> 50.22 and testing facilities licensed under </w:t>
      </w:r>
      <w:r w:rsidR="00B2040D">
        <w:rPr>
          <w:rFonts w:cs="Arial"/>
          <w:sz w:val="22"/>
          <w:szCs w:val="22"/>
        </w:rPr>
        <w:t>10 CFR </w:t>
      </w:r>
      <w:r w:rsidRPr="00B2040D" w:rsidR="00B2040D">
        <w:rPr>
          <w:rFonts w:cs="Arial"/>
          <w:sz w:val="22"/>
          <w:szCs w:val="22"/>
        </w:rPr>
        <w:t>50.21(c)</w:t>
      </w:r>
      <w:r w:rsidRPr="00D839EE" w:rsidR="004734FC">
        <w:rPr>
          <w:rFonts w:cs="Arial"/>
          <w:sz w:val="22"/>
          <w:szCs w:val="22"/>
        </w:rPr>
        <w:t xml:space="preserve">) </w:t>
      </w:r>
      <w:r w:rsidRPr="00D839EE">
        <w:rPr>
          <w:rFonts w:cs="Arial"/>
          <w:sz w:val="22"/>
          <w:szCs w:val="22"/>
        </w:rPr>
        <w:t xml:space="preserve">files a sufficient application for license renewal at least </w:t>
      </w:r>
      <w:r w:rsidR="00EA4EAA">
        <w:rPr>
          <w:rFonts w:cs="Arial"/>
          <w:sz w:val="22"/>
          <w:szCs w:val="22"/>
        </w:rPr>
        <w:t>2</w:t>
      </w:r>
      <w:r w:rsidR="00C95889">
        <w:rPr>
          <w:rFonts w:cs="Arial"/>
          <w:sz w:val="22"/>
          <w:szCs w:val="22"/>
        </w:rPr>
        <w:t> </w:t>
      </w:r>
      <w:r w:rsidRPr="00D839EE">
        <w:rPr>
          <w:rFonts w:cs="Arial"/>
          <w:sz w:val="22"/>
          <w:szCs w:val="22"/>
        </w:rPr>
        <w:t xml:space="preserve">years (rather than </w:t>
      </w:r>
      <w:r>
        <w:rPr>
          <w:rFonts w:cs="Arial"/>
          <w:sz w:val="22"/>
          <w:szCs w:val="22"/>
        </w:rPr>
        <w:t xml:space="preserve">the current </w:t>
      </w:r>
      <w:r w:rsidRPr="00D839EE">
        <w:rPr>
          <w:rFonts w:cs="Arial"/>
          <w:sz w:val="22"/>
          <w:szCs w:val="22"/>
        </w:rPr>
        <w:t>30 days</w:t>
      </w:r>
      <w:r>
        <w:rPr>
          <w:rStyle w:val="FootnoteReference"/>
          <w:rFonts w:cs="Arial"/>
          <w:sz w:val="22"/>
          <w:szCs w:val="22"/>
        </w:rPr>
        <w:footnoteReference w:id="4"/>
      </w:r>
      <w:r w:rsidRPr="00D839EE">
        <w:rPr>
          <w:rFonts w:cs="Arial"/>
          <w:sz w:val="22"/>
          <w:szCs w:val="22"/>
        </w:rPr>
        <w:t xml:space="preserve">) before the expiration of the existing license, then the existing license </w:t>
      </w:r>
      <w:r w:rsidRPr="00D839EE" w:rsidR="00BC5E9F">
        <w:rPr>
          <w:rFonts w:cs="Arial"/>
          <w:sz w:val="22"/>
          <w:szCs w:val="22"/>
        </w:rPr>
        <w:t>will</w:t>
      </w:r>
      <w:r w:rsidRPr="00D839EE" w:rsidR="00A364EF">
        <w:rPr>
          <w:rFonts w:cs="Arial"/>
          <w:sz w:val="22"/>
          <w:szCs w:val="22"/>
        </w:rPr>
        <w:t xml:space="preserve"> </w:t>
      </w:r>
      <w:r w:rsidRPr="00D839EE">
        <w:rPr>
          <w:rFonts w:cs="Arial"/>
          <w:sz w:val="22"/>
          <w:szCs w:val="22"/>
        </w:rPr>
        <w:t xml:space="preserve">not be deemed to have expired until </w:t>
      </w:r>
      <w:r w:rsidR="00EA4EAA">
        <w:rPr>
          <w:rFonts w:cs="Arial"/>
          <w:sz w:val="22"/>
          <w:szCs w:val="22"/>
        </w:rPr>
        <w:t xml:space="preserve">the NRC has made a final determination on </w:t>
      </w:r>
      <w:r w:rsidRPr="00D839EE">
        <w:rPr>
          <w:rFonts w:cs="Arial"/>
          <w:sz w:val="22"/>
          <w:szCs w:val="22"/>
        </w:rPr>
        <w:t xml:space="preserve">the application.  The revision </w:t>
      </w:r>
      <w:r w:rsidRPr="00D839EE" w:rsidR="00BC5E9F">
        <w:rPr>
          <w:rFonts w:cs="Arial"/>
          <w:sz w:val="22"/>
          <w:szCs w:val="22"/>
        </w:rPr>
        <w:t>will</w:t>
      </w:r>
      <w:r w:rsidRPr="00D839EE">
        <w:rPr>
          <w:rFonts w:cs="Arial"/>
          <w:sz w:val="22"/>
          <w:szCs w:val="22"/>
        </w:rPr>
        <w:t xml:space="preserve"> ensure that the NRC has adequate time to review the sufficiency of </w:t>
      </w:r>
      <w:r w:rsidRPr="00D839EE" w:rsidR="003C0564">
        <w:rPr>
          <w:rFonts w:cs="Arial"/>
          <w:sz w:val="22"/>
          <w:szCs w:val="22"/>
        </w:rPr>
        <w:t xml:space="preserve">NPUF </w:t>
      </w:r>
      <w:r w:rsidRPr="00D839EE">
        <w:rPr>
          <w:rFonts w:cs="Arial"/>
          <w:sz w:val="22"/>
          <w:szCs w:val="22"/>
        </w:rPr>
        <w:t xml:space="preserve">license renewal applications while the </w:t>
      </w:r>
      <w:r w:rsidR="00B36291">
        <w:rPr>
          <w:rFonts w:cs="Arial"/>
          <w:sz w:val="22"/>
          <w:szCs w:val="22"/>
        </w:rPr>
        <w:t>licensee</w:t>
      </w:r>
      <w:r w:rsidRPr="00D839EE">
        <w:rPr>
          <w:rFonts w:cs="Arial"/>
          <w:sz w:val="22"/>
          <w:szCs w:val="22"/>
        </w:rPr>
        <w:t xml:space="preserve"> continues to operate under the terms of its current license.</w:t>
      </w:r>
      <w:r w:rsidR="00230802">
        <w:rPr>
          <w:rFonts w:cs="Arial"/>
          <w:sz w:val="22"/>
          <w:szCs w:val="22"/>
        </w:rPr>
        <w:t xml:space="preserve">  </w:t>
      </w:r>
      <w:r w:rsidR="00E91496">
        <w:rPr>
          <w:rFonts w:cs="Arial"/>
          <w:sz w:val="22"/>
          <w:szCs w:val="22"/>
        </w:rPr>
        <w:t xml:space="preserve">This provision </w:t>
      </w:r>
      <w:r w:rsidR="001A0B80">
        <w:rPr>
          <w:rFonts w:cs="Arial"/>
          <w:sz w:val="22"/>
          <w:szCs w:val="22"/>
        </w:rPr>
        <w:t xml:space="preserve">will apply </w:t>
      </w:r>
      <w:r w:rsidR="00E91496">
        <w:rPr>
          <w:rFonts w:cs="Arial"/>
          <w:sz w:val="22"/>
          <w:szCs w:val="22"/>
        </w:rPr>
        <w:t xml:space="preserve">to </w:t>
      </w:r>
      <w:r w:rsidR="00D01039">
        <w:rPr>
          <w:rFonts w:cs="Arial"/>
          <w:sz w:val="22"/>
          <w:szCs w:val="22"/>
        </w:rPr>
        <w:t>NIST</w:t>
      </w:r>
      <w:r w:rsidR="001A0B80">
        <w:rPr>
          <w:rFonts w:cs="Arial"/>
          <w:sz w:val="22"/>
          <w:szCs w:val="22"/>
        </w:rPr>
        <w:t>,</w:t>
      </w:r>
      <w:r w:rsidR="009448A1">
        <w:rPr>
          <w:rFonts w:cs="Arial"/>
          <w:sz w:val="22"/>
          <w:szCs w:val="22"/>
        </w:rPr>
        <w:t xml:space="preserve"> </w:t>
      </w:r>
      <w:r w:rsidRPr="00E56DF2" w:rsidR="00CC7CA8">
        <w:rPr>
          <w:rFonts w:cs="Arial"/>
          <w:sz w:val="22"/>
          <w:szCs w:val="22"/>
        </w:rPr>
        <w:t>SHI</w:t>
      </w:r>
      <w:r w:rsidRPr="00CC7CA8" w:rsidR="00CC7CA8">
        <w:rPr>
          <w:rFonts w:cs="Arial"/>
          <w:sz w:val="22"/>
          <w:szCs w:val="22"/>
        </w:rPr>
        <w:t>NE</w:t>
      </w:r>
      <w:r w:rsidRPr="00CC7CA8" w:rsidR="001A0B80">
        <w:rPr>
          <w:rFonts w:cs="Arial"/>
          <w:sz w:val="22"/>
          <w:szCs w:val="22"/>
        </w:rPr>
        <w:t xml:space="preserve">, </w:t>
      </w:r>
      <w:r w:rsidRPr="00CC7CA8" w:rsidR="00E91496">
        <w:rPr>
          <w:sz w:val="22"/>
          <w:szCs w:val="22"/>
        </w:rPr>
        <w:t xml:space="preserve">and </w:t>
      </w:r>
      <w:r w:rsidRPr="00CC7CA8" w:rsidR="00D01039">
        <w:rPr>
          <w:rFonts w:cs="Arial"/>
          <w:sz w:val="22"/>
          <w:szCs w:val="22"/>
        </w:rPr>
        <w:t>NWMI</w:t>
      </w:r>
      <w:r w:rsidRPr="00CC7CA8" w:rsidR="00E91496">
        <w:rPr>
          <w:rFonts w:cs="Arial"/>
          <w:sz w:val="22"/>
          <w:szCs w:val="22"/>
        </w:rPr>
        <w:t>.</w:t>
      </w:r>
      <w:r>
        <w:rPr>
          <w:rStyle w:val="FootnoteReference"/>
          <w:rFonts w:cs="Arial"/>
          <w:sz w:val="22"/>
          <w:szCs w:val="22"/>
        </w:rPr>
        <w:footnoteReference w:id="5"/>
      </w:r>
    </w:p>
    <w:p w:rsidR="003B617B" w:rsidRPr="00D839EE" w:rsidP="00346B95" w14:paraId="7F4934B7" w14:textId="77777777">
      <w:pPr>
        <w:pStyle w:val="ListParagraph"/>
        <w:ind w:hanging="720"/>
        <w:rPr>
          <w:rFonts w:cs="Arial"/>
          <w:sz w:val="22"/>
          <w:szCs w:val="22"/>
        </w:rPr>
      </w:pPr>
    </w:p>
    <w:p w:rsidR="003B617B" w:rsidRPr="00D839EE" w:rsidP="00346B95" w14:paraId="7F4934B8" w14:textId="77777777">
      <w:pPr>
        <w:pStyle w:val="ListParagraph"/>
        <w:numPr>
          <w:ilvl w:val="0"/>
          <w:numId w:val="6"/>
        </w:numPr>
        <w:autoSpaceDE/>
        <w:autoSpaceDN/>
        <w:adjustRightInd/>
        <w:ind w:hanging="720"/>
        <w:rPr>
          <w:rFonts w:cs="Arial"/>
          <w:sz w:val="22"/>
          <w:szCs w:val="22"/>
        </w:rPr>
      </w:pPr>
      <w:r w:rsidRPr="00D839EE">
        <w:rPr>
          <w:rFonts w:cs="Arial"/>
          <w:sz w:val="22"/>
          <w:szCs w:val="22"/>
          <w:u w:val="single"/>
        </w:rPr>
        <w:t>Provide</w:t>
      </w:r>
      <w:r w:rsidR="00CC7A2D">
        <w:rPr>
          <w:rFonts w:cs="Arial"/>
          <w:sz w:val="22"/>
          <w:szCs w:val="22"/>
          <w:u w:val="single"/>
        </w:rPr>
        <w:t>s</w:t>
      </w:r>
      <w:r w:rsidRPr="00D839EE">
        <w:rPr>
          <w:rFonts w:cs="Arial"/>
          <w:sz w:val="22"/>
          <w:szCs w:val="22"/>
          <w:u w:val="single"/>
        </w:rPr>
        <w:t xml:space="preserve"> </w:t>
      </w:r>
      <w:r w:rsidRPr="00D839EE" w:rsidR="00447F80">
        <w:rPr>
          <w:rFonts w:cs="Arial"/>
          <w:sz w:val="22"/>
          <w:szCs w:val="22"/>
          <w:u w:val="single"/>
        </w:rPr>
        <w:t xml:space="preserve">an </w:t>
      </w:r>
      <w:r w:rsidRPr="00D839EE">
        <w:rPr>
          <w:rFonts w:cs="Arial"/>
          <w:sz w:val="22"/>
          <w:szCs w:val="22"/>
          <w:u w:val="single"/>
        </w:rPr>
        <w:t>accident dose criteri</w:t>
      </w:r>
      <w:r w:rsidRPr="00D839EE" w:rsidR="00447F80">
        <w:rPr>
          <w:rFonts w:cs="Arial"/>
          <w:sz w:val="22"/>
          <w:szCs w:val="22"/>
          <w:u w:val="single"/>
        </w:rPr>
        <w:t>on</w:t>
      </w:r>
      <w:r w:rsidRPr="00D839EE">
        <w:rPr>
          <w:rFonts w:cs="Arial"/>
          <w:sz w:val="22"/>
          <w:szCs w:val="22"/>
          <w:u w:val="single"/>
        </w:rPr>
        <w:t xml:space="preserve"> of 1 rem (0.01 </w:t>
      </w:r>
      <w:r w:rsidR="00AE779E">
        <w:rPr>
          <w:rFonts w:cs="Arial"/>
          <w:sz w:val="22"/>
          <w:szCs w:val="22"/>
          <w:u w:val="single"/>
        </w:rPr>
        <w:t>Sv</w:t>
      </w:r>
      <w:r w:rsidRPr="00D839EE">
        <w:rPr>
          <w:rFonts w:cs="Arial"/>
          <w:sz w:val="22"/>
          <w:szCs w:val="22"/>
          <w:u w:val="single"/>
        </w:rPr>
        <w:t xml:space="preserve">) </w:t>
      </w:r>
      <w:r w:rsidR="00621002">
        <w:rPr>
          <w:rFonts w:cs="Arial"/>
          <w:sz w:val="22"/>
          <w:szCs w:val="22"/>
          <w:u w:val="single"/>
        </w:rPr>
        <w:t>total effective dose equivalent</w:t>
      </w:r>
      <w:r w:rsidRPr="00D839EE">
        <w:rPr>
          <w:rFonts w:cs="Arial"/>
          <w:sz w:val="22"/>
          <w:szCs w:val="22"/>
          <w:u w:val="single"/>
        </w:rPr>
        <w:t xml:space="preserve"> for NPUFs other than testing facilities</w:t>
      </w:r>
      <w:r w:rsidRPr="00D839EE">
        <w:rPr>
          <w:rFonts w:cs="Arial"/>
          <w:sz w:val="22"/>
          <w:szCs w:val="22"/>
        </w:rPr>
        <w:t xml:space="preserve">.  </w:t>
      </w:r>
      <w:r w:rsidR="00EB15A8">
        <w:rPr>
          <w:rFonts w:cs="Arial"/>
          <w:sz w:val="22"/>
          <w:szCs w:val="22"/>
        </w:rPr>
        <w:t xml:space="preserve">Before </w:t>
      </w:r>
      <w:r w:rsidR="008C642C">
        <w:rPr>
          <w:rFonts w:cs="Arial"/>
          <w:sz w:val="22"/>
          <w:szCs w:val="22"/>
        </w:rPr>
        <w:t xml:space="preserve">this </w:t>
      </w:r>
      <w:r w:rsidR="00F70AB6">
        <w:rPr>
          <w:rFonts w:cs="Arial"/>
          <w:sz w:val="22"/>
          <w:szCs w:val="22"/>
        </w:rPr>
        <w:t xml:space="preserve">final </w:t>
      </w:r>
      <w:r w:rsidR="008C642C">
        <w:rPr>
          <w:rFonts w:cs="Arial"/>
          <w:sz w:val="22"/>
          <w:szCs w:val="22"/>
        </w:rPr>
        <w:t>rule</w:t>
      </w:r>
      <w:r w:rsidRPr="00F56CB8" w:rsidR="00447F80">
        <w:rPr>
          <w:rFonts w:cs="Arial"/>
          <w:sz w:val="22"/>
          <w:szCs w:val="22"/>
        </w:rPr>
        <w:t xml:space="preserve">, the NRC </w:t>
      </w:r>
      <w:r w:rsidRPr="00F56CB8" w:rsidR="00F56CB8">
        <w:rPr>
          <w:color w:val="000000" w:themeColor="text1"/>
          <w:sz w:val="22"/>
          <w:szCs w:val="22"/>
        </w:rPr>
        <w:t xml:space="preserve">compared the results from the accident analyses submitted in initial or renewed license applications with the standards </w:t>
      </w:r>
      <w:r w:rsidR="008C642C">
        <w:rPr>
          <w:color w:val="000000" w:themeColor="text1"/>
          <w:sz w:val="22"/>
          <w:szCs w:val="22"/>
        </w:rPr>
        <w:t xml:space="preserve">for doses to members of the public </w:t>
      </w:r>
      <w:r w:rsidRPr="00F56CB8" w:rsidR="00F56CB8">
        <w:rPr>
          <w:color w:val="000000" w:themeColor="text1"/>
          <w:sz w:val="22"/>
          <w:szCs w:val="22"/>
        </w:rPr>
        <w:t>in 10</w:t>
      </w:r>
      <w:r w:rsidR="00CD2981">
        <w:rPr>
          <w:color w:val="000000" w:themeColor="text1"/>
          <w:sz w:val="22"/>
          <w:szCs w:val="22"/>
        </w:rPr>
        <w:t> </w:t>
      </w:r>
      <w:r w:rsidRPr="00F56CB8" w:rsidR="00F56CB8">
        <w:rPr>
          <w:color w:val="000000" w:themeColor="text1"/>
          <w:sz w:val="22"/>
          <w:szCs w:val="22"/>
        </w:rPr>
        <w:t>CFR</w:t>
      </w:r>
      <w:r w:rsidR="00CD2981">
        <w:rPr>
          <w:color w:val="000000" w:themeColor="text1"/>
          <w:sz w:val="22"/>
          <w:szCs w:val="22"/>
        </w:rPr>
        <w:t> </w:t>
      </w:r>
      <w:r w:rsidR="00EB15A8">
        <w:rPr>
          <w:color w:val="000000" w:themeColor="text1"/>
          <w:sz w:val="22"/>
          <w:szCs w:val="22"/>
        </w:rPr>
        <w:t>P</w:t>
      </w:r>
      <w:r w:rsidRPr="00F56CB8" w:rsidR="00F56CB8">
        <w:rPr>
          <w:color w:val="000000" w:themeColor="text1"/>
          <w:sz w:val="22"/>
          <w:szCs w:val="22"/>
        </w:rPr>
        <w:t>art 20</w:t>
      </w:r>
      <w:r w:rsidR="007439A9">
        <w:rPr>
          <w:color w:val="000000" w:themeColor="text1"/>
          <w:sz w:val="22"/>
          <w:szCs w:val="22"/>
        </w:rPr>
        <w:t>, “Standards for Protection against Radiation</w:t>
      </w:r>
      <w:r w:rsidR="007439A9">
        <w:rPr>
          <w:rFonts w:cs="Arial"/>
          <w:sz w:val="22"/>
          <w:szCs w:val="22"/>
        </w:rPr>
        <w:t>”</w:t>
      </w:r>
      <w:r w:rsidRPr="00F56CB8" w:rsidR="00447F80">
        <w:rPr>
          <w:rFonts w:cs="Arial"/>
          <w:sz w:val="22"/>
          <w:szCs w:val="22"/>
        </w:rPr>
        <w:t> </w:t>
      </w:r>
      <w:r w:rsidR="00536E60">
        <w:rPr>
          <w:rFonts w:cs="Arial"/>
          <w:sz w:val="22"/>
          <w:szCs w:val="22"/>
        </w:rPr>
        <w:t>(Ref.</w:t>
      </w:r>
      <w:r w:rsidR="008C642C">
        <w:rPr>
          <w:rFonts w:cs="Arial"/>
          <w:sz w:val="22"/>
          <w:szCs w:val="22"/>
        </w:rPr>
        <w:t> </w:t>
      </w:r>
      <w:r w:rsidR="000662E2">
        <w:rPr>
          <w:rFonts w:cs="Arial"/>
          <w:sz w:val="22"/>
          <w:szCs w:val="22"/>
        </w:rPr>
        <w:t>19</w:t>
      </w:r>
      <w:r w:rsidR="00536E60">
        <w:rPr>
          <w:rFonts w:cs="Arial"/>
          <w:sz w:val="22"/>
          <w:szCs w:val="22"/>
        </w:rPr>
        <w:t>).</w:t>
      </w:r>
      <w:r w:rsidRPr="00F56CB8" w:rsidR="00447F80">
        <w:rPr>
          <w:rFonts w:cs="Arial"/>
          <w:sz w:val="22"/>
          <w:szCs w:val="22"/>
        </w:rPr>
        <w:t xml:space="preserve"> </w:t>
      </w:r>
      <w:r w:rsidR="008C642C">
        <w:rPr>
          <w:rFonts w:cs="Arial"/>
          <w:sz w:val="22"/>
          <w:szCs w:val="22"/>
        </w:rPr>
        <w:t xml:space="preserve"> </w:t>
      </w:r>
      <w:r w:rsidRPr="00D839EE" w:rsidR="00840DDC">
        <w:rPr>
          <w:rFonts w:cs="Arial"/>
          <w:sz w:val="22"/>
          <w:szCs w:val="22"/>
        </w:rPr>
        <w:t>B</w:t>
      </w:r>
      <w:r w:rsidRPr="00D839EE" w:rsidR="00447F80">
        <w:rPr>
          <w:rFonts w:cs="Arial"/>
          <w:sz w:val="22"/>
          <w:szCs w:val="22"/>
        </w:rPr>
        <w:t xml:space="preserve">ecause </w:t>
      </w:r>
      <w:r w:rsidRPr="00D839EE" w:rsidR="00840DDC">
        <w:rPr>
          <w:rFonts w:cs="Arial"/>
          <w:sz w:val="22"/>
          <w:szCs w:val="22"/>
        </w:rPr>
        <w:t xml:space="preserve">of </w:t>
      </w:r>
      <w:r w:rsidR="0026225E">
        <w:rPr>
          <w:rFonts w:cs="Arial"/>
          <w:sz w:val="22"/>
          <w:szCs w:val="22"/>
        </w:rPr>
        <w:t>the</w:t>
      </w:r>
      <w:r w:rsidRPr="00D839EE" w:rsidR="0026225E">
        <w:rPr>
          <w:rFonts w:cs="Arial"/>
          <w:sz w:val="22"/>
          <w:szCs w:val="22"/>
        </w:rPr>
        <w:t xml:space="preserve"> </w:t>
      </w:r>
      <w:r w:rsidRPr="00D839EE" w:rsidR="00840DDC">
        <w:rPr>
          <w:rFonts w:cs="Arial"/>
          <w:sz w:val="22"/>
          <w:szCs w:val="22"/>
        </w:rPr>
        <w:t>low potential radiological risk</w:t>
      </w:r>
      <w:r w:rsidR="0026225E">
        <w:rPr>
          <w:rFonts w:cs="Arial"/>
          <w:sz w:val="22"/>
          <w:szCs w:val="22"/>
        </w:rPr>
        <w:t xml:space="preserve"> posed by NPUFs</w:t>
      </w:r>
      <w:r w:rsidRPr="00D839EE" w:rsidR="00840DDC">
        <w:rPr>
          <w:rFonts w:cs="Arial"/>
          <w:sz w:val="22"/>
          <w:szCs w:val="22"/>
        </w:rPr>
        <w:t xml:space="preserve"> to the environment and the public, </w:t>
      </w:r>
      <w:r w:rsidR="00AE779E">
        <w:rPr>
          <w:rFonts w:cs="Arial"/>
          <w:sz w:val="22"/>
          <w:szCs w:val="22"/>
        </w:rPr>
        <w:t xml:space="preserve">these dose </w:t>
      </w:r>
      <w:r w:rsidR="006E3E57">
        <w:rPr>
          <w:rFonts w:cs="Arial"/>
          <w:sz w:val="22"/>
          <w:szCs w:val="22"/>
        </w:rPr>
        <w:t>limits</w:t>
      </w:r>
      <w:r w:rsidR="00AE779E">
        <w:rPr>
          <w:rFonts w:cs="Arial"/>
          <w:sz w:val="22"/>
          <w:szCs w:val="22"/>
        </w:rPr>
        <w:t xml:space="preserve"> are unnecessarily restrictive for use </w:t>
      </w:r>
      <w:r w:rsidR="006E3E57">
        <w:rPr>
          <w:rFonts w:cs="Arial"/>
          <w:sz w:val="22"/>
          <w:szCs w:val="22"/>
        </w:rPr>
        <w:t xml:space="preserve">as accident dose criteria </w:t>
      </w:r>
      <w:r w:rsidRPr="00D839EE" w:rsidR="00447F80">
        <w:rPr>
          <w:rFonts w:cs="Arial"/>
          <w:sz w:val="22"/>
          <w:szCs w:val="22"/>
        </w:rPr>
        <w:t xml:space="preserve">in NPUF license </w:t>
      </w:r>
      <w:r w:rsidR="00AE779E">
        <w:rPr>
          <w:rFonts w:cs="Arial"/>
          <w:sz w:val="22"/>
          <w:szCs w:val="22"/>
        </w:rPr>
        <w:t>reviews</w:t>
      </w:r>
      <w:r w:rsidRPr="00D839EE" w:rsidR="00447F80">
        <w:rPr>
          <w:rFonts w:cs="Arial"/>
          <w:sz w:val="22"/>
          <w:szCs w:val="22"/>
        </w:rPr>
        <w:t>.</w:t>
      </w:r>
      <w:r>
        <w:rPr>
          <w:rStyle w:val="FootnoteReference"/>
          <w:rFonts w:cs="Arial"/>
          <w:sz w:val="22"/>
          <w:szCs w:val="22"/>
        </w:rPr>
        <w:footnoteReference w:id="6"/>
      </w:r>
      <w:r w:rsidRPr="00D839EE" w:rsidR="00447F80">
        <w:rPr>
          <w:rFonts w:cs="Arial"/>
          <w:sz w:val="22"/>
          <w:szCs w:val="22"/>
        </w:rPr>
        <w:t xml:space="preserve">  </w:t>
      </w:r>
      <w:r w:rsidRPr="00D839EE" w:rsidR="00A75959">
        <w:rPr>
          <w:rFonts w:cs="Arial"/>
          <w:sz w:val="22"/>
          <w:szCs w:val="22"/>
        </w:rPr>
        <w:t>T</w:t>
      </w:r>
      <w:r w:rsidRPr="00D839EE" w:rsidR="00447F80">
        <w:rPr>
          <w:rFonts w:cs="Arial"/>
          <w:sz w:val="22"/>
          <w:szCs w:val="22"/>
        </w:rPr>
        <w:t>he NRC is amend</w:t>
      </w:r>
      <w:r w:rsidRPr="00D839EE" w:rsidR="00BC5E9F">
        <w:rPr>
          <w:rFonts w:cs="Arial"/>
          <w:sz w:val="22"/>
          <w:szCs w:val="22"/>
        </w:rPr>
        <w:t>ing</w:t>
      </w:r>
      <w:r w:rsidRPr="00D839EE" w:rsidR="00447F80">
        <w:rPr>
          <w:rFonts w:cs="Arial"/>
          <w:sz w:val="22"/>
          <w:szCs w:val="22"/>
        </w:rPr>
        <w:t xml:space="preserve"> its regulations in </w:t>
      </w:r>
      <w:r w:rsidR="00B07665">
        <w:rPr>
          <w:rFonts w:cs="Arial"/>
          <w:sz w:val="22"/>
          <w:szCs w:val="22"/>
        </w:rPr>
        <w:t>10 CFR </w:t>
      </w:r>
      <w:r w:rsidRPr="00D839EE" w:rsidR="00447F80">
        <w:rPr>
          <w:rFonts w:cs="Arial"/>
          <w:sz w:val="22"/>
          <w:szCs w:val="22"/>
        </w:rPr>
        <w:t>50.34</w:t>
      </w:r>
      <w:r w:rsidR="00892A82">
        <w:rPr>
          <w:rFonts w:cs="Arial"/>
          <w:sz w:val="22"/>
          <w:szCs w:val="22"/>
        </w:rPr>
        <w:t xml:space="preserve">, “Contents of </w:t>
      </w:r>
      <w:r w:rsidR="00AE779E">
        <w:rPr>
          <w:rFonts w:cs="Arial"/>
          <w:sz w:val="22"/>
          <w:szCs w:val="22"/>
        </w:rPr>
        <w:t>a</w:t>
      </w:r>
      <w:r w:rsidR="00892A82">
        <w:rPr>
          <w:rFonts w:cs="Arial"/>
          <w:sz w:val="22"/>
          <w:szCs w:val="22"/>
        </w:rPr>
        <w:t xml:space="preserve">pplications; Technical </w:t>
      </w:r>
      <w:r w:rsidR="00AE779E">
        <w:rPr>
          <w:rFonts w:cs="Arial"/>
          <w:sz w:val="22"/>
          <w:szCs w:val="22"/>
        </w:rPr>
        <w:t>i</w:t>
      </w:r>
      <w:r w:rsidR="00892A82">
        <w:rPr>
          <w:rFonts w:cs="Arial"/>
          <w:sz w:val="22"/>
          <w:szCs w:val="22"/>
        </w:rPr>
        <w:t>nformation,”</w:t>
      </w:r>
      <w:r w:rsidRPr="00D839EE" w:rsidR="00447F80">
        <w:rPr>
          <w:rFonts w:cs="Arial"/>
          <w:sz w:val="22"/>
          <w:szCs w:val="22"/>
        </w:rPr>
        <w:t xml:space="preserve"> to add </w:t>
      </w:r>
      <w:r w:rsidR="0020309B">
        <w:rPr>
          <w:rFonts w:cs="Arial"/>
          <w:sz w:val="22"/>
          <w:szCs w:val="22"/>
        </w:rPr>
        <w:t xml:space="preserve">an </w:t>
      </w:r>
      <w:r w:rsidRPr="00D839EE" w:rsidR="00447F80">
        <w:rPr>
          <w:rFonts w:cs="Arial"/>
          <w:sz w:val="22"/>
          <w:szCs w:val="22"/>
        </w:rPr>
        <w:t xml:space="preserve">accident dose criterion for NPUFs not subject to </w:t>
      </w:r>
      <w:r w:rsidR="00B07665">
        <w:rPr>
          <w:rFonts w:cs="Arial"/>
          <w:sz w:val="22"/>
          <w:szCs w:val="22"/>
        </w:rPr>
        <w:t>10 CFR P</w:t>
      </w:r>
      <w:r w:rsidRPr="00D839EE" w:rsidR="00447F80">
        <w:rPr>
          <w:rFonts w:cs="Arial"/>
          <w:sz w:val="22"/>
          <w:szCs w:val="22"/>
        </w:rPr>
        <w:t>art 100.</w:t>
      </w:r>
      <w:r w:rsidRPr="00D839EE" w:rsidR="00883969">
        <w:rPr>
          <w:rFonts w:cs="Arial"/>
          <w:sz w:val="22"/>
          <w:szCs w:val="22"/>
        </w:rPr>
        <w:t xml:space="preserve"> </w:t>
      </w:r>
      <w:r w:rsidRPr="00D839EE" w:rsidR="00447F80">
        <w:rPr>
          <w:rFonts w:cs="Arial"/>
          <w:sz w:val="22"/>
          <w:szCs w:val="22"/>
        </w:rPr>
        <w:t xml:space="preserve"> </w:t>
      </w:r>
      <w:r w:rsidRPr="00AE779E" w:rsidR="00AE779E">
        <w:rPr>
          <w:rFonts w:cs="Arial"/>
          <w:sz w:val="22"/>
          <w:szCs w:val="22"/>
        </w:rPr>
        <w:t>For testing facilities, accident dos</w:t>
      </w:r>
      <w:r w:rsidR="00AE779E">
        <w:rPr>
          <w:rFonts w:cs="Arial"/>
          <w:sz w:val="22"/>
          <w:szCs w:val="22"/>
        </w:rPr>
        <w:t>e criteria are found in 10 CFR P</w:t>
      </w:r>
      <w:r w:rsidRPr="00AE779E" w:rsidR="00AE779E">
        <w:rPr>
          <w:rFonts w:cs="Arial"/>
          <w:sz w:val="22"/>
          <w:szCs w:val="22"/>
        </w:rPr>
        <w:t xml:space="preserve">art 100:  25 rem (0.25 </w:t>
      </w:r>
      <w:r w:rsidR="00AE779E">
        <w:rPr>
          <w:rFonts w:cs="Arial"/>
          <w:sz w:val="22"/>
          <w:szCs w:val="22"/>
        </w:rPr>
        <w:t>Sv</w:t>
      </w:r>
      <w:r w:rsidRPr="00AE779E" w:rsidR="00AE779E">
        <w:rPr>
          <w:rFonts w:cs="Arial"/>
          <w:sz w:val="22"/>
          <w:szCs w:val="22"/>
        </w:rPr>
        <w:t>) to the whole body and 300 rem (3 Sv) to the thyroid.</w:t>
      </w:r>
      <w:r w:rsidR="00AE779E">
        <w:rPr>
          <w:rFonts w:cs="Arial"/>
          <w:sz w:val="22"/>
          <w:szCs w:val="22"/>
        </w:rPr>
        <w:t xml:space="preserve">  </w:t>
      </w:r>
      <w:r w:rsidRPr="00D839EE" w:rsidR="007714E2">
        <w:rPr>
          <w:rFonts w:cs="Arial"/>
          <w:sz w:val="22"/>
          <w:szCs w:val="22"/>
        </w:rPr>
        <w:t xml:space="preserve">The addition of </w:t>
      </w:r>
      <w:r w:rsidRPr="00D839EE" w:rsidR="00447F80">
        <w:rPr>
          <w:rFonts w:cs="Arial"/>
          <w:sz w:val="22"/>
          <w:szCs w:val="22"/>
        </w:rPr>
        <w:t xml:space="preserve">an </w:t>
      </w:r>
      <w:r w:rsidRPr="00D839EE" w:rsidR="007714E2">
        <w:rPr>
          <w:rFonts w:cs="Arial"/>
          <w:sz w:val="22"/>
          <w:szCs w:val="22"/>
        </w:rPr>
        <w:t>accident do</w:t>
      </w:r>
      <w:r w:rsidRPr="00D839EE" w:rsidR="007627A2">
        <w:rPr>
          <w:rFonts w:cs="Arial"/>
          <w:sz w:val="22"/>
          <w:szCs w:val="22"/>
        </w:rPr>
        <w:t>s</w:t>
      </w:r>
      <w:r w:rsidRPr="00D839EE" w:rsidR="007714E2">
        <w:rPr>
          <w:rFonts w:cs="Arial"/>
          <w:sz w:val="22"/>
          <w:szCs w:val="22"/>
        </w:rPr>
        <w:t>e criteri</w:t>
      </w:r>
      <w:r w:rsidRPr="00D839EE" w:rsidR="00447F80">
        <w:rPr>
          <w:rFonts w:cs="Arial"/>
          <w:sz w:val="22"/>
          <w:szCs w:val="22"/>
        </w:rPr>
        <w:t>on</w:t>
      </w:r>
      <w:r w:rsidRPr="00D839EE" w:rsidR="007714E2">
        <w:rPr>
          <w:rFonts w:cs="Arial"/>
          <w:sz w:val="22"/>
          <w:szCs w:val="22"/>
        </w:rPr>
        <w:t xml:space="preserve"> for NPUFs </w:t>
      </w:r>
      <w:r w:rsidRPr="00D839EE" w:rsidR="00BC5E9F">
        <w:rPr>
          <w:rFonts w:cs="Arial"/>
          <w:sz w:val="22"/>
          <w:szCs w:val="22"/>
        </w:rPr>
        <w:t>will</w:t>
      </w:r>
      <w:r w:rsidRPr="00D839EE" w:rsidR="007714E2">
        <w:rPr>
          <w:rFonts w:cs="Arial"/>
          <w:sz w:val="22"/>
          <w:szCs w:val="22"/>
        </w:rPr>
        <w:t xml:space="preserve"> not require any changes to current licensee practices and th</w:t>
      </w:r>
      <w:r w:rsidRPr="00D839EE" w:rsidR="00AB4683">
        <w:rPr>
          <w:rFonts w:cs="Arial"/>
          <w:sz w:val="22"/>
          <w:szCs w:val="22"/>
        </w:rPr>
        <w:t>erefore</w:t>
      </w:r>
      <w:r w:rsidRPr="00D839EE" w:rsidR="007714E2">
        <w:rPr>
          <w:rFonts w:cs="Arial"/>
          <w:sz w:val="22"/>
          <w:szCs w:val="22"/>
        </w:rPr>
        <w:t xml:space="preserve"> </w:t>
      </w:r>
      <w:r w:rsidRPr="00D839EE" w:rsidR="00BC5E9F">
        <w:rPr>
          <w:rFonts w:cs="Arial"/>
          <w:sz w:val="22"/>
          <w:szCs w:val="22"/>
        </w:rPr>
        <w:t>will</w:t>
      </w:r>
      <w:r w:rsidRPr="00D839EE" w:rsidR="007714E2">
        <w:rPr>
          <w:rFonts w:cs="Arial"/>
          <w:sz w:val="22"/>
          <w:szCs w:val="22"/>
        </w:rPr>
        <w:t xml:space="preserve"> not result in any incremental costs.</w:t>
      </w:r>
    </w:p>
    <w:p w:rsidR="003B617B" w:rsidRPr="00D839EE" w:rsidP="003B617B" w14:paraId="7F4934B9" w14:textId="77777777">
      <w:pPr>
        <w:pStyle w:val="ListParagraph"/>
        <w:rPr>
          <w:rFonts w:cs="Arial"/>
          <w:sz w:val="22"/>
          <w:szCs w:val="22"/>
        </w:rPr>
      </w:pPr>
    </w:p>
    <w:p w:rsidR="003B617B" w:rsidRPr="00D839EE" w:rsidP="00346B95" w14:paraId="7F4934BA" w14:textId="77777777">
      <w:pPr>
        <w:pStyle w:val="ListParagraph"/>
        <w:numPr>
          <w:ilvl w:val="0"/>
          <w:numId w:val="6"/>
        </w:numPr>
        <w:autoSpaceDE/>
        <w:autoSpaceDN/>
        <w:adjustRightInd/>
        <w:ind w:hanging="720"/>
        <w:rPr>
          <w:rFonts w:cs="Arial"/>
          <w:sz w:val="22"/>
          <w:szCs w:val="22"/>
        </w:rPr>
      </w:pPr>
      <w:r w:rsidRPr="00D839EE">
        <w:rPr>
          <w:rFonts w:cs="Arial"/>
          <w:sz w:val="22"/>
          <w:szCs w:val="22"/>
          <w:u w:val="single"/>
        </w:rPr>
        <w:t>Extend</w:t>
      </w:r>
      <w:r w:rsidR="00CC7A2D">
        <w:rPr>
          <w:rFonts w:cs="Arial"/>
          <w:sz w:val="22"/>
          <w:szCs w:val="22"/>
          <w:u w:val="single"/>
        </w:rPr>
        <w:t>s</w:t>
      </w:r>
      <w:r w:rsidRPr="00D839EE">
        <w:rPr>
          <w:rFonts w:cs="Arial"/>
          <w:sz w:val="22"/>
          <w:szCs w:val="22"/>
          <w:u w:val="single"/>
        </w:rPr>
        <w:t xml:space="preserve"> the applicability of </w:t>
      </w:r>
      <w:r w:rsidRPr="00D839EE" w:rsidR="00EA5E34">
        <w:rPr>
          <w:rFonts w:cs="Arial"/>
          <w:sz w:val="22"/>
          <w:szCs w:val="22"/>
          <w:u w:val="single"/>
        </w:rPr>
        <w:t>10 CFR</w:t>
      </w:r>
      <w:r w:rsidRPr="00D839EE">
        <w:rPr>
          <w:rFonts w:cs="Arial"/>
          <w:sz w:val="22"/>
          <w:szCs w:val="22"/>
          <w:u w:val="single"/>
        </w:rPr>
        <w:t xml:space="preserve"> 50.59</w:t>
      </w:r>
      <w:r w:rsidR="00B21927">
        <w:rPr>
          <w:rFonts w:cs="Arial"/>
          <w:sz w:val="22"/>
          <w:szCs w:val="22"/>
          <w:u w:val="single"/>
        </w:rPr>
        <w:t xml:space="preserve">, </w:t>
      </w:r>
      <w:r w:rsidRPr="00B21927" w:rsidR="00B21927">
        <w:rPr>
          <w:rFonts w:cs="Arial"/>
          <w:sz w:val="22"/>
          <w:szCs w:val="22"/>
          <w:u w:val="single"/>
        </w:rPr>
        <w:t xml:space="preserve">“Changes, </w:t>
      </w:r>
      <w:r w:rsidR="00AE779E">
        <w:rPr>
          <w:rFonts w:cs="Arial"/>
          <w:sz w:val="22"/>
          <w:szCs w:val="22"/>
          <w:u w:val="single"/>
        </w:rPr>
        <w:t>t</w:t>
      </w:r>
      <w:r w:rsidRPr="00B21927" w:rsidR="00B21927">
        <w:rPr>
          <w:rFonts w:cs="Arial"/>
          <w:sz w:val="22"/>
          <w:szCs w:val="22"/>
          <w:u w:val="single"/>
        </w:rPr>
        <w:t xml:space="preserve">ests and </w:t>
      </w:r>
      <w:r w:rsidR="00AE779E">
        <w:rPr>
          <w:rFonts w:cs="Arial"/>
          <w:sz w:val="22"/>
          <w:szCs w:val="22"/>
          <w:u w:val="single"/>
        </w:rPr>
        <w:t>e</w:t>
      </w:r>
      <w:r w:rsidRPr="00B21927" w:rsidR="00B21927">
        <w:rPr>
          <w:rFonts w:cs="Arial"/>
          <w:sz w:val="22"/>
          <w:szCs w:val="22"/>
          <w:u w:val="single"/>
        </w:rPr>
        <w:t>xperiments,”</w:t>
      </w:r>
      <w:r w:rsidRPr="00D839EE">
        <w:rPr>
          <w:rFonts w:cs="Arial"/>
          <w:sz w:val="22"/>
          <w:szCs w:val="22"/>
          <w:u w:val="single"/>
        </w:rPr>
        <w:t xml:space="preserve"> to NPUFs regardless of their decommissioning status</w:t>
      </w:r>
      <w:r w:rsidRPr="00D839EE">
        <w:rPr>
          <w:rFonts w:cs="Arial"/>
          <w:sz w:val="22"/>
          <w:szCs w:val="22"/>
        </w:rPr>
        <w:t xml:space="preserve">.  The </w:t>
      </w:r>
      <w:r w:rsidRPr="00D839EE" w:rsidR="00BC5E9F">
        <w:rPr>
          <w:rFonts w:cs="Arial"/>
          <w:sz w:val="22"/>
          <w:szCs w:val="22"/>
        </w:rPr>
        <w:t>final</w:t>
      </w:r>
      <w:r w:rsidRPr="00D839EE">
        <w:rPr>
          <w:rFonts w:cs="Arial"/>
          <w:sz w:val="22"/>
          <w:szCs w:val="22"/>
        </w:rPr>
        <w:t xml:space="preserve"> rule revise</w:t>
      </w:r>
      <w:r w:rsidR="00CC7A2D">
        <w:rPr>
          <w:rFonts w:cs="Arial"/>
          <w:sz w:val="22"/>
          <w:szCs w:val="22"/>
        </w:rPr>
        <w:t>s</w:t>
      </w:r>
      <w:r w:rsidRPr="00D839EE">
        <w:rPr>
          <w:rFonts w:cs="Arial"/>
          <w:sz w:val="22"/>
          <w:szCs w:val="22"/>
        </w:rPr>
        <w:t xml:space="preserve"> </w:t>
      </w:r>
      <w:r w:rsidR="00892A82">
        <w:rPr>
          <w:rFonts w:cs="Arial"/>
          <w:sz w:val="22"/>
          <w:szCs w:val="22"/>
        </w:rPr>
        <w:t>10 CFR </w:t>
      </w:r>
      <w:r w:rsidRPr="00D839EE">
        <w:rPr>
          <w:rFonts w:cs="Arial"/>
          <w:sz w:val="22"/>
          <w:szCs w:val="22"/>
        </w:rPr>
        <w:t>50.59(b)</w:t>
      </w:r>
      <w:r w:rsidR="00C55A2E">
        <w:rPr>
          <w:rFonts w:cs="Arial"/>
          <w:sz w:val="22"/>
          <w:szCs w:val="22"/>
        </w:rPr>
        <w:t xml:space="preserve">; the </w:t>
      </w:r>
      <w:r w:rsidR="00CE6C34">
        <w:rPr>
          <w:rFonts w:cs="Arial"/>
          <w:sz w:val="22"/>
          <w:szCs w:val="22"/>
        </w:rPr>
        <w:t>regulation</w:t>
      </w:r>
      <w:r w:rsidR="00CC7A2D">
        <w:rPr>
          <w:rFonts w:cs="Arial"/>
          <w:sz w:val="22"/>
          <w:szCs w:val="22"/>
        </w:rPr>
        <w:t xml:space="preserve"> currently does not apply </w:t>
      </w:r>
      <w:r w:rsidR="00892A82">
        <w:rPr>
          <w:rFonts w:cs="Arial"/>
          <w:sz w:val="22"/>
          <w:szCs w:val="22"/>
        </w:rPr>
        <w:t>10 CFR </w:t>
      </w:r>
      <w:r w:rsidRPr="00D839EE">
        <w:rPr>
          <w:rFonts w:cs="Arial"/>
          <w:sz w:val="22"/>
          <w:szCs w:val="22"/>
        </w:rPr>
        <w:t>50.59 to NPUFs whose licenses have been amended to cease operations and</w:t>
      </w:r>
      <w:r w:rsidR="00CB1EF0">
        <w:rPr>
          <w:rFonts w:cs="Arial"/>
          <w:sz w:val="22"/>
          <w:szCs w:val="22"/>
        </w:rPr>
        <w:t xml:space="preserve"> that</w:t>
      </w:r>
      <w:r w:rsidRPr="00D839EE">
        <w:rPr>
          <w:rFonts w:cs="Arial"/>
          <w:sz w:val="22"/>
          <w:szCs w:val="22"/>
        </w:rPr>
        <w:t xml:space="preserve"> </w:t>
      </w:r>
      <w:r w:rsidRPr="00D839EE" w:rsidR="007D7AEB">
        <w:rPr>
          <w:rFonts w:cs="Arial"/>
          <w:sz w:val="22"/>
          <w:szCs w:val="22"/>
        </w:rPr>
        <w:t xml:space="preserve">no longer have fuel </w:t>
      </w:r>
      <w:r w:rsidRPr="00D839EE" w:rsidR="00A364EF">
        <w:rPr>
          <w:rFonts w:cs="Arial"/>
          <w:sz w:val="22"/>
          <w:szCs w:val="22"/>
        </w:rPr>
        <w:t>on</w:t>
      </w:r>
      <w:r w:rsidR="00CB1EF0">
        <w:rPr>
          <w:rFonts w:cs="Arial"/>
          <w:sz w:val="22"/>
          <w:szCs w:val="22"/>
        </w:rPr>
        <w:t xml:space="preserve"> </w:t>
      </w:r>
      <w:r w:rsidRPr="00D839EE" w:rsidR="00A364EF">
        <w:rPr>
          <w:rFonts w:cs="Arial"/>
          <w:sz w:val="22"/>
          <w:szCs w:val="22"/>
        </w:rPr>
        <w:t xml:space="preserve">site </w:t>
      </w:r>
      <w:r w:rsidRPr="00D839EE" w:rsidR="007D7AEB">
        <w:rPr>
          <w:rFonts w:cs="Arial"/>
          <w:sz w:val="22"/>
          <w:szCs w:val="22"/>
        </w:rPr>
        <w:t xml:space="preserve">(e.g., </w:t>
      </w:r>
      <w:r w:rsidRPr="00D839EE">
        <w:rPr>
          <w:rFonts w:cs="Arial"/>
          <w:sz w:val="22"/>
          <w:szCs w:val="22"/>
        </w:rPr>
        <w:t>have returned all of their fuel to the U.S.</w:t>
      </w:r>
      <w:r w:rsidR="00CB1EF0">
        <w:rPr>
          <w:rFonts w:cs="Arial"/>
          <w:sz w:val="22"/>
          <w:szCs w:val="22"/>
        </w:rPr>
        <w:t> </w:t>
      </w:r>
      <w:r w:rsidRPr="00D839EE">
        <w:rPr>
          <w:rFonts w:cs="Arial"/>
          <w:sz w:val="22"/>
          <w:szCs w:val="22"/>
        </w:rPr>
        <w:t>Department of Energy</w:t>
      </w:r>
      <w:r w:rsidRPr="00D839EE" w:rsidR="007D7AEB">
        <w:rPr>
          <w:rFonts w:cs="Arial"/>
          <w:sz w:val="22"/>
          <w:szCs w:val="22"/>
        </w:rPr>
        <w:t>)</w:t>
      </w:r>
      <w:r w:rsidRPr="00D839EE">
        <w:rPr>
          <w:rFonts w:cs="Arial"/>
          <w:sz w:val="22"/>
          <w:szCs w:val="22"/>
        </w:rPr>
        <w:t xml:space="preserve">.  For </w:t>
      </w:r>
      <w:r w:rsidR="00AE779E">
        <w:rPr>
          <w:rFonts w:cs="Arial"/>
          <w:sz w:val="22"/>
          <w:szCs w:val="22"/>
        </w:rPr>
        <w:t>these licensees</w:t>
      </w:r>
      <w:r w:rsidRPr="00D839EE">
        <w:rPr>
          <w:rFonts w:cs="Arial"/>
          <w:sz w:val="22"/>
          <w:szCs w:val="22"/>
        </w:rPr>
        <w:t xml:space="preserve">, the NRC </w:t>
      </w:r>
      <w:r w:rsidR="00AE779E">
        <w:rPr>
          <w:rFonts w:cs="Arial"/>
          <w:sz w:val="22"/>
          <w:szCs w:val="22"/>
        </w:rPr>
        <w:t>has typically</w:t>
      </w:r>
      <w:r w:rsidRPr="00D839EE" w:rsidR="00AE779E">
        <w:rPr>
          <w:rFonts w:cs="Arial"/>
          <w:sz w:val="22"/>
          <w:szCs w:val="22"/>
        </w:rPr>
        <w:t xml:space="preserve"> </w:t>
      </w:r>
      <w:r w:rsidRPr="00D839EE">
        <w:rPr>
          <w:rFonts w:cs="Arial"/>
          <w:sz w:val="22"/>
          <w:szCs w:val="22"/>
        </w:rPr>
        <w:t>add</w:t>
      </w:r>
      <w:r w:rsidR="00AE779E">
        <w:rPr>
          <w:rFonts w:cs="Arial"/>
          <w:sz w:val="22"/>
          <w:szCs w:val="22"/>
        </w:rPr>
        <w:t>ed</w:t>
      </w:r>
      <w:r w:rsidRPr="00D839EE">
        <w:rPr>
          <w:rFonts w:cs="Arial"/>
          <w:sz w:val="22"/>
          <w:szCs w:val="22"/>
        </w:rPr>
        <w:t xml:space="preserve"> license conditions identical to those of </w:t>
      </w:r>
      <w:r w:rsidR="000933E4">
        <w:rPr>
          <w:rFonts w:cs="Arial"/>
          <w:sz w:val="22"/>
          <w:szCs w:val="22"/>
        </w:rPr>
        <w:t>10 CFR </w:t>
      </w:r>
      <w:r w:rsidRPr="00D839EE">
        <w:rPr>
          <w:rFonts w:cs="Arial"/>
          <w:sz w:val="22"/>
          <w:szCs w:val="22"/>
        </w:rPr>
        <w:t xml:space="preserve">50.59 to allow the licensee to make changes in </w:t>
      </w:r>
      <w:r w:rsidR="000933E4">
        <w:rPr>
          <w:rFonts w:cs="Arial"/>
          <w:sz w:val="22"/>
          <w:szCs w:val="22"/>
        </w:rPr>
        <w:t>its</w:t>
      </w:r>
      <w:r w:rsidRPr="00D839EE">
        <w:rPr>
          <w:rFonts w:cs="Arial"/>
          <w:sz w:val="22"/>
          <w:szCs w:val="22"/>
        </w:rPr>
        <w:t xml:space="preserve"> facility or procedures that would not otherwise require obtaining a license amendment pursuant to </w:t>
      </w:r>
      <w:r w:rsidR="000933E4">
        <w:rPr>
          <w:rFonts w:cs="Arial"/>
          <w:sz w:val="22"/>
          <w:szCs w:val="22"/>
        </w:rPr>
        <w:t>10 CFR </w:t>
      </w:r>
      <w:r w:rsidRPr="00D839EE">
        <w:rPr>
          <w:rFonts w:cs="Arial"/>
          <w:sz w:val="22"/>
          <w:szCs w:val="22"/>
        </w:rPr>
        <w:t>50.90</w:t>
      </w:r>
      <w:r w:rsidR="00782D25">
        <w:rPr>
          <w:rFonts w:cs="Arial"/>
          <w:sz w:val="22"/>
          <w:szCs w:val="22"/>
        </w:rPr>
        <w:t>, “</w:t>
      </w:r>
      <w:r w:rsidRPr="00782D25" w:rsidR="00782D25">
        <w:rPr>
          <w:rFonts w:cs="Arial"/>
          <w:sz w:val="22"/>
          <w:szCs w:val="22"/>
        </w:rPr>
        <w:t xml:space="preserve">Application for </w:t>
      </w:r>
      <w:r w:rsidR="00AE779E">
        <w:rPr>
          <w:rFonts w:cs="Arial"/>
          <w:sz w:val="22"/>
          <w:szCs w:val="22"/>
        </w:rPr>
        <w:t>a</w:t>
      </w:r>
      <w:r w:rsidRPr="00782D25" w:rsidR="00782D25">
        <w:rPr>
          <w:rFonts w:cs="Arial"/>
          <w:sz w:val="22"/>
          <w:szCs w:val="22"/>
        </w:rPr>
        <w:t xml:space="preserve">mendment of </w:t>
      </w:r>
      <w:r w:rsidR="00AE779E">
        <w:rPr>
          <w:rFonts w:cs="Arial"/>
          <w:sz w:val="22"/>
          <w:szCs w:val="22"/>
        </w:rPr>
        <w:t>l</w:t>
      </w:r>
      <w:r w:rsidRPr="00782D25" w:rsidR="00782D25">
        <w:rPr>
          <w:rFonts w:cs="Arial"/>
          <w:sz w:val="22"/>
          <w:szCs w:val="22"/>
        </w:rPr>
        <w:t xml:space="preserve">icense, </w:t>
      </w:r>
      <w:r w:rsidR="00AE779E">
        <w:rPr>
          <w:rFonts w:cs="Arial"/>
          <w:sz w:val="22"/>
          <w:szCs w:val="22"/>
        </w:rPr>
        <w:t>c</w:t>
      </w:r>
      <w:r w:rsidRPr="00782D25" w:rsidR="00782D25">
        <w:rPr>
          <w:rFonts w:cs="Arial"/>
          <w:sz w:val="22"/>
          <w:szCs w:val="22"/>
        </w:rPr>
        <w:t xml:space="preserve">onstruction </w:t>
      </w:r>
      <w:r w:rsidR="00AE779E">
        <w:rPr>
          <w:rFonts w:cs="Arial"/>
          <w:sz w:val="22"/>
          <w:szCs w:val="22"/>
        </w:rPr>
        <w:t>p</w:t>
      </w:r>
      <w:r w:rsidRPr="00782D25" w:rsidR="00782D25">
        <w:rPr>
          <w:rFonts w:cs="Arial"/>
          <w:sz w:val="22"/>
          <w:szCs w:val="22"/>
        </w:rPr>
        <w:t xml:space="preserve">ermit, or </w:t>
      </w:r>
      <w:r w:rsidR="00AE779E">
        <w:rPr>
          <w:rFonts w:cs="Arial"/>
          <w:sz w:val="22"/>
          <w:szCs w:val="22"/>
        </w:rPr>
        <w:t>e</w:t>
      </w:r>
      <w:r w:rsidRPr="00782D25" w:rsidR="00782D25">
        <w:rPr>
          <w:rFonts w:cs="Arial"/>
          <w:sz w:val="22"/>
          <w:szCs w:val="22"/>
        </w:rPr>
        <w:t xml:space="preserve">arly </w:t>
      </w:r>
      <w:r w:rsidR="00AE779E">
        <w:rPr>
          <w:rFonts w:cs="Arial"/>
          <w:sz w:val="22"/>
          <w:szCs w:val="22"/>
        </w:rPr>
        <w:t>s</w:t>
      </w:r>
      <w:r w:rsidRPr="00782D25" w:rsidR="00782D25">
        <w:rPr>
          <w:rFonts w:cs="Arial"/>
          <w:sz w:val="22"/>
          <w:szCs w:val="22"/>
        </w:rPr>
        <w:t xml:space="preserve">ite </w:t>
      </w:r>
      <w:r w:rsidR="00AE779E">
        <w:rPr>
          <w:rFonts w:cs="Arial"/>
          <w:sz w:val="22"/>
          <w:szCs w:val="22"/>
        </w:rPr>
        <w:t>p</w:t>
      </w:r>
      <w:r w:rsidRPr="00782D25" w:rsidR="00782D25">
        <w:rPr>
          <w:rFonts w:cs="Arial"/>
          <w:sz w:val="22"/>
          <w:szCs w:val="22"/>
        </w:rPr>
        <w:t>ermit</w:t>
      </w:r>
      <w:r w:rsidRPr="00D839EE">
        <w:rPr>
          <w:rFonts w:cs="Arial"/>
          <w:sz w:val="22"/>
          <w:szCs w:val="22"/>
        </w:rPr>
        <w:t>.</w:t>
      </w:r>
      <w:r w:rsidR="00782D25">
        <w:rPr>
          <w:rFonts w:cs="Arial"/>
          <w:sz w:val="22"/>
          <w:szCs w:val="22"/>
        </w:rPr>
        <w:t>”</w:t>
      </w:r>
      <w:r w:rsidRPr="00D839EE">
        <w:rPr>
          <w:rFonts w:cs="Arial"/>
          <w:sz w:val="22"/>
          <w:szCs w:val="22"/>
        </w:rPr>
        <w:t xml:space="preserve">  The license amendment process imposes an administrative burden on the </w:t>
      </w:r>
      <w:r w:rsidRPr="00D839EE" w:rsidR="00521BDD">
        <w:rPr>
          <w:rFonts w:cs="Arial"/>
          <w:sz w:val="22"/>
          <w:szCs w:val="22"/>
        </w:rPr>
        <w:t>licensees</w:t>
      </w:r>
      <w:r w:rsidRPr="00D839EE">
        <w:rPr>
          <w:rFonts w:cs="Arial"/>
          <w:sz w:val="22"/>
          <w:szCs w:val="22"/>
        </w:rPr>
        <w:t xml:space="preserve"> and the </w:t>
      </w:r>
      <w:r w:rsidRPr="00D839EE" w:rsidR="00521BDD">
        <w:rPr>
          <w:rFonts w:cs="Arial"/>
          <w:sz w:val="22"/>
          <w:szCs w:val="22"/>
        </w:rPr>
        <w:t>NRC</w:t>
      </w:r>
      <w:r w:rsidRPr="00D839EE">
        <w:rPr>
          <w:rFonts w:cs="Arial"/>
          <w:sz w:val="22"/>
          <w:szCs w:val="22"/>
        </w:rPr>
        <w:t xml:space="preserve">, which </w:t>
      </w:r>
      <w:r w:rsidRPr="00D839EE" w:rsidR="00600AF0">
        <w:rPr>
          <w:rFonts w:cs="Arial"/>
          <w:sz w:val="22"/>
          <w:szCs w:val="22"/>
        </w:rPr>
        <w:t>will be alleviated</w:t>
      </w:r>
      <w:r w:rsidRPr="00D839EE">
        <w:rPr>
          <w:rFonts w:cs="Arial"/>
          <w:sz w:val="22"/>
          <w:szCs w:val="22"/>
        </w:rPr>
        <w:t xml:space="preserve"> with the regulatory change.</w:t>
      </w:r>
    </w:p>
    <w:p w:rsidR="003B617B" w:rsidRPr="00D839EE" w:rsidP="00346B95" w14:paraId="7F4934BB" w14:textId="77777777">
      <w:pPr>
        <w:pStyle w:val="ListParagraph"/>
        <w:ind w:hanging="720"/>
        <w:rPr>
          <w:rFonts w:cs="Arial"/>
          <w:sz w:val="22"/>
          <w:szCs w:val="22"/>
        </w:rPr>
      </w:pPr>
    </w:p>
    <w:p w:rsidR="003B617B" w:rsidRPr="00D839EE" w:rsidP="00346B95" w14:paraId="7F4934BC" w14:textId="77777777">
      <w:pPr>
        <w:pStyle w:val="ListParagraph"/>
        <w:numPr>
          <w:ilvl w:val="0"/>
          <w:numId w:val="6"/>
        </w:numPr>
        <w:autoSpaceDE/>
        <w:autoSpaceDN/>
        <w:adjustRightInd/>
        <w:ind w:hanging="720"/>
        <w:rPr>
          <w:rFonts w:cs="Arial"/>
          <w:sz w:val="22"/>
          <w:szCs w:val="22"/>
        </w:rPr>
      </w:pPr>
      <w:r>
        <w:rPr>
          <w:sz w:val="22"/>
          <w:szCs w:val="22"/>
          <w:u w:val="single"/>
        </w:rPr>
        <w:t>Clarifies</w:t>
      </w:r>
      <w:r w:rsidRPr="00D839EE" w:rsidR="00390875">
        <w:rPr>
          <w:sz w:val="22"/>
          <w:szCs w:val="22"/>
          <w:u w:val="single"/>
        </w:rPr>
        <w:t xml:space="preserve"> an applicant’s requirements for meeting the existing provisions of </w:t>
      </w:r>
      <w:r>
        <w:rPr>
          <w:rFonts w:cs="Arial"/>
          <w:sz w:val="22"/>
          <w:szCs w:val="22"/>
          <w:u w:val="single"/>
        </w:rPr>
        <w:t>10 </w:t>
      </w:r>
      <w:r w:rsidRPr="00D839EE" w:rsidR="003D4F2B">
        <w:rPr>
          <w:rFonts w:cs="Arial"/>
          <w:sz w:val="22"/>
          <w:szCs w:val="22"/>
          <w:u w:val="single"/>
        </w:rPr>
        <w:t>CFR</w:t>
      </w:r>
      <w:r>
        <w:rPr>
          <w:rFonts w:cs="Arial"/>
          <w:sz w:val="22"/>
          <w:szCs w:val="22"/>
          <w:u w:val="single"/>
        </w:rPr>
        <w:t> </w:t>
      </w:r>
      <w:r w:rsidRPr="00D839EE" w:rsidR="00390875">
        <w:rPr>
          <w:sz w:val="22"/>
          <w:szCs w:val="22"/>
          <w:u w:val="single"/>
        </w:rPr>
        <w:t>51.45</w:t>
      </w:r>
      <w:r w:rsidR="00B21927">
        <w:rPr>
          <w:sz w:val="22"/>
          <w:szCs w:val="22"/>
          <w:u w:val="single"/>
        </w:rPr>
        <w:t xml:space="preserve">, “Environmental </w:t>
      </w:r>
      <w:r w:rsidR="00AE779E">
        <w:rPr>
          <w:sz w:val="22"/>
          <w:szCs w:val="22"/>
          <w:u w:val="single"/>
        </w:rPr>
        <w:t>r</w:t>
      </w:r>
      <w:r w:rsidR="00B21927">
        <w:rPr>
          <w:sz w:val="22"/>
          <w:szCs w:val="22"/>
          <w:u w:val="single"/>
        </w:rPr>
        <w:t>eport</w:t>
      </w:r>
      <w:r w:rsidRPr="00D839EE">
        <w:rPr>
          <w:rFonts w:cs="Arial"/>
          <w:sz w:val="22"/>
          <w:szCs w:val="22"/>
        </w:rPr>
        <w:t>.</w:t>
      </w:r>
      <w:r w:rsidR="00B21927">
        <w:rPr>
          <w:rFonts w:cs="Arial"/>
          <w:sz w:val="22"/>
          <w:szCs w:val="22"/>
        </w:rPr>
        <w:t>”</w:t>
      </w:r>
      <w:r w:rsidRPr="00D839EE">
        <w:rPr>
          <w:rFonts w:cs="Arial"/>
          <w:sz w:val="22"/>
          <w:szCs w:val="22"/>
        </w:rPr>
        <w:t xml:space="preserve">  This change clarif</w:t>
      </w:r>
      <w:r>
        <w:rPr>
          <w:rFonts w:cs="Arial"/>
          <w:sz w:val="22"/>
          <w:szCs w:val="22"/>
        </w:rPr>
        <w:t>ies</w:t>
      </w:r>
      <w:r w:rsidRPr="00D839EE">
        <w:rPr>
          <w:rFonts w:cs="Arial"/>
          <w:sz w:val="22"/>
          <w:szCs w:val="22"/>
        </w:rPr>
        <w:t xml:space="preserve"> an applicant’s requirements for meeting the existing provisions of </w:t>
      </w:r>
      <w:r w:rsidR="006D361A">
        <w:rPr>
          <w:rFonts w:cs="Arial"/>
          <w:sz w:val="22"/>
          <w:szCs w:val="22"/>
        </w:rPr>
        <w:t>10 CFR </w:t>
      </w:r>
      <w:r w:rsidRPr="00D839EE">
        <w:rPr>
          <w:rFonts w:cs="Arial"/>
          <w:sz w:val="22"/>
          <w:szCs w:val="22"/>
        </w:rPr>
        <w:t>51.45 and improve</w:t>
      </w:r>
      <w:r>
        <w:rPr>
          <w:rFonts w:cs="Arial"/>
          <w:sz w:val="22"/>
          <w:szCs w:val="22"/>
        </w:rPr>
        <w:t>s</w:t>
      </w:r>
      <w:r w:rsidRPr="00D839EE">
        <w:rPr>
          <w:rFonts w:cs="Arial"/>
          <w:sz w:val="22"/>
          <w:szCs w:val="22"/>
        </w:rPr>
        <w:t xml:space="preserve"> consistency throughout </w:t>
      </w:r>
      <w:r w:rsidRPr="00D839EE" w:rsidR="003D4F2B">
        <w:rPr>
          <w:rFonts w:cs="Arial"/>
          <w:sz w:val="22"/>
          <w:szCs w:val="22"/>
        </w:rPr>
        <w:t>10</w:t>
      </w:r>
      <w:r w:rsidR="006D361A">
        <w:rPr>
          <w:rFonts w:cs="Arial"/>
          <w:sz w:val="22"/>
          <w:szCs w:val="22"/>
        </w:rPr>
        <w:t> </w:t>
      </w:r>
      <w:r w:rsidRPr="00D839EE" w:rsidR="003D4F2B">
        <w:rPr>
          <w:rFonts w:cs="Arial"/>
          <w:sz w:val="22"/>
          <w:szCs w:val="22"/>
        </w:rPr>
        <w:t>CFR</w:t>
      </w:r>
      <w:r w:rsidR="00BF080E">
        <w:rPr>
          <w:rFonts w:cs="Arial"/>
          <w:sz w:val="22"/>
          <w:szCs w:val="22"/>
        </w:rPr>
        <w:t xml:space="preserve"> </w:t>
      </w:r>
      <w:r w:rsidR="00F603A2">
        <w:rPr>
          <w:rFonts w:cs="Arial"/>
          <w:sz w:val="22"/>
          <w:szCs w:val="22"/>
        </w:rPr>
        <w:t>P</w:t>
      </w:r>
      <w:r w:rsidRPr="00D839EE">
        <w:rPr>
          <w:rFonts w:cs="Arial"/>
          <w:sz w:val="22"/>
          <w:szCs w:val="22"/>
        </w:rPr>
        <w:t>art</w:t>
      </w:r>
      <w:r w:rsidR="006D361A">
        <w:rPr>
          <w:rFonts w:cs="Arial"/>
          <w:sz w:val="22"/>
          <w:szCs w:val="22"/>
        </w:rPr>
        <w:t> </w:t>
      </w:r>
      <w:r w:rsidRPr="00D839EE">
        <w:rPr>
          <w:rFonts w:cs="Arial"/>
          <w:sz w:val="22"/>
          <w:szCs w:val="22"/>
        </w:rPr>
        <w:t>51</w:t>
      </w:r>
      <w:r w:rsidR="00D005CA">
        <w:rPr>
          <w:rFonts w:cs="Arial"/>
          <w:sz w:val="22"/>
          <w:szCs w:val="22"/>
        </w:rPr>
        <w:t>, “</w:t>
      </w:r>
      <w:r w:rsidRPr="00D005CA" w:rsidR="00D005CA">
        <w:rPr>
          <w:rFonts w:cs="Arial"/>
          <w:sz w:val="22"/>
          <w:szCs w:val="22"/>
        </w:rPr>
        <w:t xml:space="preserve">Environmental Protection Regulations </w:t>
      </w:r>
      <w:r w:rsidR="00D005CA">
        <w:rPr>
          <w:rFonts w:cs="Arial"/>
          <w:sz w:val="22"/>
          <w:szCs w:val="22"/>
        </w:rPr>
        <w:t>f</w:t>
      </w:r>
      <w:r w:rsidRPr="00D005CA" w:rsidR="00D005CA">
        <w:rPr>
          <w:rFonts w:cs="Arial"/>
          <w:sz w:val="22"/>
          <w:szCs w:val="22"/>
        </w:rPr>
        <w:t xml:space="preserve">or Domestic Licensing </w:t>
      </w:r>
      <w:r w:rsidR="00D005CA">
        <w:rPr>
          <w:rFonts w:cs="Arial"/>
          <w:sz w:val="22"/>
          <w:szCs w:val="22"/>
        </w:rPr>
        <w:t>a</w:t>
      </w:r>
      <w:r w:rsidRPr="00D005CA" w:rsidR="00D005CA">
        <w:rPr>
          <w:rFonts w:cs="Arial"/>
          <w:sz w:val="22"/>
          <w:szCs w:val="22"/>
        </w:rPr>
        <w:t>nd Related Regulatory Functions</w:t>
      </w:r>
      <w:r w:rsidR="00D005CA">
        <w:rPr>
          <w:rFonts w:cs="Arial"/>
          <w:sz w:val="22"/>
          <w:szCs w:val="22"/>
        </w:rPr>
        <w:t>,”</w:t>
      </w:r>
      <w:r w:rsidRPr="00D839EE">
        <w:rPr>
          <w:rFonts w:cs="Arial"/>
          <w:sz w:val="22"/>
          <w:szCs w:val="22"/>
        </w:rPr>
        <w:t xml:space="preserve"> with respect to environmental report submissions required </w:t>
      </w:r>
      <w:r w:rsidR="00D005CA">
        <w:rPr>
          <w:rFonts w:cs="Arial"/>
          <w:sz w:val="22"/>
          <w:szCs w:val="22"/>
        </w:rPr>
        <w:t>of</w:t>
      </w:r>
      <w:r w:rsidRPr="00D839EE">
        <w:rPr>
          <w:rFonts w:cs="Arial"/>
          <w:sz w:val="22"/>
          <w:szCs w:val="22"/>
        </w:rPr>
        <w:t xml:space="preserve"> applicants.  The </w:t>
      </w:r>
      <w:r w:rsidRPr="00D839EE" w:rsidR="00BC5E9F">
        <w:rPr>
          <w:rFonts w:cs="Arial"/>
          <w:sz w:val="22"/>
          <w:szCs w:val="22"/>
        </w:rPr>
        <w:t>final</w:t>
      </w:r>
      <w:r w:rsidRPr="00D839EE">
        <w:rPr>
          <w:rFonts w:cs="Arial"/>
          <w:sz w:val="22"/>
          <w:szCs w:val="22"/>
        </w:rPr>
        <w:t xml:space="preserve"> regulatory requirements help to ensure that the NRC effectively and efficiently meets its environmental review requirements consistent with </w:t>
      </w:r>
      <w:r w:rsidRPr="00D839EE" w:rsidR="00F668E9">
        <w:rPr>
          <w:rFonts w:cs="Arial"/>
          <w:sz w:val="22"/>
          <w:szCs w:val="22"/>
        </w:rPr>
        <w:t xml:space="preserve">the </w:t>
      </w:r>
      <w:r w:rsidRPr="00EC79F7">
        <w:rPr>
          <w:color w:val="191919"/>
          <w:sz w:val="22"/>
          <w:shd w:val="clear" w:color="auto" w:fill="FFFFFF"/>
        </w:rPr>
        <w:t>National Environmental Policy Act</w:t>
      </w:r>
      <w:r w:rsidRPr="00EC79F7" w:rsidR="00D005CA">
        <w:rPr>
          <w:color w:val="191919"/>
          <w:sz w:val="22"/>
          <w:shd w:val="clear" w:color="auto" w:fill="FFFFFF"/>
        </w:rPr>
        <w:t xml:space="preserve"> of 1969</w:t>
      </w:r>
      <w:r w:rsidR="00AE779E">
        <w:rPr>
          <w:color w:val="191919"/>
          <w:sz w:val="22"/>
          <w:shd w:val="clear" w:color="auto" w:fill="FFFFFF"/>
        </w:rPr>
        <w:t>, as amended</w:t>
      </w:r>
      <w:r w:rsidRPr="00EC79F7">
        <w:rPr>
          <w:color w:val="191919"/>
          <w:sz w:val="22"/>
          <w:shd w:val="clear" w:color="auto" w:fill="FFFFFF"/>
        </w:rPr>
        <w:t xml:space="preserve"> </w:t>
      </w:r>
      <w:r w:rsidRPr="00C520D9" w:rsidR="005C0DA2">
        <w:rPr>
          <w:rFonts w:cs="Arial"/>
          <w:sz w:val="22"/>
          <w:szCs w:val="22"/>
        </w:rPr>
        <w:t>(Ref</w:t>
      </w:r>
      <w:r w:rsidRPr="00C520D9" w:rsidR="00536E60">
        <w:rPr>
          <w:rFonts w:cs="Arial"/>
          <w:sz w:val="22"/>
          <w:szCs w:val="22"/>
        </w:rPr>
        <w:t>.</w:t>
      </w:r>
      <w:r w:rsidRPr="00C520D9" w:rsidR="005C0DA2">
        <w:rPr>
          <w:rFonts w:cs="Arial"/>
          <w:sz w:val="22"/>
          <w:szCs w:val="22"/>
        </w:rPr>
        <w:t xml:space="preserve"> </w:t>
      </w:r>
      <w:r w:rsidRPr="00C520D9" w:rsidR="00536E60">
        <w:rPr>
          <w:rFonts w:cs="Arial"/>
          <w:sz w:val="22"/>
          <w:szCs w:val="22"/>
        </w:rPr>
        <w:t>20</w:t>
      </w:r>
      <w:r w:rsidRPr="00C520D9" w:rsidR="005C0DA2">
        <w:rPr>
          <w:rFonts w:cs="Arial"/>
          <w:sz w:val="22"/>
          <w:szCs w:val="22"/>
        </w:rPr>
        <w:t>)</w:t>
      </w:r>
      <w:r w:rsidR="005C0DA2">
        <w:rPr>
          <w:rFonts w:cs="Arial"/>
          <w:sz w:val="22"/>
          <w:szCs w:val="22"/>
        </w:rPr>
        <w:t xml:space="preserve"> </w:t>
      </w:r>
      <w:r w:rsidRPr="00D839EE">
        <w:rPr>
          <w:rFonts w:cs="Arial"/>
          <w:sz w:val="22"/>
          <w:szCs w:val="22"/>
        </w:rPr>
        <w:t xml:space="preserve">and the NRC’s </w:t>
      </w:r>
      <w:r w:rsidR="00AE779E">
        <w:rPr>
          <w:rFonts w:cs="Arial"/>
          <w:sz w:val="22"/>
          <w:szCs w:val="22"/>
        </w:rPr>
        <w:t xml:space="preserve">implementing </w:t>
      </w:r>
      <w:r w:rsidRPr="00D839EE">
        <w:rPr>
          <w:rFonts w:cs="Arial"/>
          <w:sz w:val="22"/>
          <w:szCs w:val="22"/>
        </w:rPr>
        <w:t>regulations.</w:t>
      </w:r>
    </w:p>
    <w:p w:rsidR="003B617B" w:rsidRPr="00D839EE" w:rsidP="00346B95" w14:paraId="7F4934BD" w14:textId="77777777">
      <w:pPr>
        <w:pStyle w:val="ListParagraph"/>
        <w:ind w:hanging="720"/>
        <w:rPr>
          <w:rFonts w:cs="Arial"/>
          <w:sz w:val="22"/>
          <w:szCs w:val="22"/>
        </w:rPr>
      </w:pPr>
    </w:p>
    <w:p w:rsidR="00B84EB0" w:rsidRPr="00555CF5" w:rsidP="003A7F24" w14:paraId="7F4934BE" w14:textId="77777777">
      <w:pPr>
        <w:pStyle w:val="ListParagraph"/>
        <w:numPr>
          <w:ilvl w:val="0"/>
          <w:numId w:val="6"/>
        </w:numPr>
        <w:autoSpaceDE/>
        <w:autoSpaceDN/>
        <w:adjustRightInd/>
        <w:rPr>
          <w:sz w:val="22"/>
          <w:szCs w:val="22"/>
        </w:rPr>
      </w:pPr>
      <w:r w:rsidRPr="00063063">
        <w:rPr>
          <w:rFonts w:cs="Arial"/>
          <w:sz w:val="22"/>
          <w:szCs w:val="22"/>
          <w:u w:val="single"/>
        </w:rPr>
        <w:t>Eliminate</w:t>
      </w:r>
      <w:r w:rsidRPr="00063063" w:rsidR="00CC7A2D">
        <w:rPr>
          <w:rFonts w:cs="Arial"/>
          <w:sz w:val="22"/>
          <w:szCs w:val="22"/>
          <w:u w:val="single"/>
        </w:rPr>
        <w:t>s</w:t>
      </w:r>
      <w:r w:rsidRPr="00063063">
        <w:rPr>
          <w:rFonts w:cs="Arial"/>
          <w:sz w:val="22"/>
          <w:szCs w:val="22"/>
          <w:u w:val="single"/>
        </w:rPr>
        <w:t xml:space="preserve"> the requirement for NPUFs to submit financial qualification information with license renewal applications under </w:t>
      </w:r>
      <w:r w:rsidRPr="00063063" w:rsidR="00EA5E34">
        <w:rPr>
          <w:rFonts w:cs="Arial"/>
          <w:sz w:val="22"/>
          <w:szCs w:val="22"/>
          <w:u w:val="single"/>
        </w:rPr>
        <w:t>10 CFR</w:t>
      </w:r>
      <w:r w:rsidRPr="00063063">
        <w:rPr>
          <w:rFonts w:cs="Arial"/>
          <w:sz w:val="22"/>
          <w:szCs w:val="22"/>
          <w:u w:val="single"/>
        </w:rPr>
        <w:t xml:space="preserve"> 50.33(f)(2)</w:t>
      </w:r>
      <w:r w:rsidRPr="00063063">
        <w:rPr>
          <w:rFonts w:cs="Arial"/>
          <w:sz w:val="22"/>
          <w:szCs w:val="22"/>
        </w:rPr>
        <w:t xml:space="preserve">.  </w:t>
      </w:r>
      <w:r w:rsidRPr="0009727C" w:rsidR="0009727C">
        <w:rPr>
          <w:rFonts w:cs="Arial"/>
          <w:sz w:val="22"/>
          <w:szCs w:val="22"/>
        </w:rPr>
        <w:t>On January 30, 2004, the NRC published the final rule, “Financial Information Requirements for Applications to Renew or Extend the Term of an Operating License for a Power Reactor” (69 FR 4439)</w:t>
      </w:r>
      <w:r w:rsidR="0009727C">
        <w:rPr>
          <w:rFonts w:cs="Arial"/>
          <w:sz w:val="22"/>
          <w:szCs w:val="22"/>
        </w:rPr>
        <w:t xml:space="preserve"> (Ref. 22)</w:t>
      </w:r>
      <w:r w:rsidRPr="0009727C" w:rsidR="0009727C">
        <w:rPr>
          <w:rFonts w:cs="Arial"/>
          <w:sz w:val="22"/>
          <w:szCs w:val="22"/>
        </w:rPr>
        <w:t xml:space="preserve">.  This final rule </w:t>
      </w:r>
      <w:r w:rsidR="00AE779E">
        <w:rPr>
          <w:rFonts w:cs="Arial"/>
          <w:sz w:val="22"/>
          <w:szCs w:val="22"/>
        </w:rPr>
        <w:t>eliminated</w:t>
      </w:r>
      <w:r w:rsidRPr="007D1A06">
        <w:rPr>
          <w:rFonts w:cs="Arial"/>
          <w:sz w:val="22"/>
          <w:szCs w:val="22"/>
        </w:rPr>
        <w:t xml:space="preserve"> financial qualification requirements </w:t>
      </w:r>
      <w:r w:rsidRPr="007D1A06" w:rsidR="001503D9">
        <w:rPr>
          <w:rFonts w:cs="Arial"/>
          <w:sz w:val="22"/>
          <w:szCs w:val="22"/>
        </w:rPr>
        <w:t>f</w:t>
      </w:r>
      <w:r w:rsidRPr="007D1A06">
        <w:rPr>
          <w:rFonts w:cs="Arial"/>
          <w:sz w:val="22"/>
          <w:szCs w:val="22"/>
        </w:rPr>
        <w:t>o</w:t>
      </w:r>
      <w:r w:rsidRPr="007D1A06" w:rsidR="001503D9">
        <w:rPr>
          <w:rFonts w:cs="Arial"/>
          <w:sz w:val="22"/>
          <w:szCs w:val="22"/>
        </w:rPr>
        <w:t>r</w:t>
      </w:r>
      <w:r w:rsidRPr="007D1A06">
        <w:rPr>
          <w:rFonts w:cs="Arial"/>
          <w:sz w:val="22"/>
          <w:szCs w:val="22"/>
        </w:rPr>
        <w:t xml:space="preserve"> power reactor licensees</w:t>
      </w:r>
      <w:r w:rsidR="001A0B80">
        <w:rPr>
          <w:rFonts w:cs="Arial"/>
          <w:sz w:val="22"/>
          <w:szCs w:val="22"/>
        </w:rPr>
        <w:t xml:space="preserve"> </w:t>
      </w:r>
      <w:r w:rsidRPr="001A0B80" w:rsidR="001A0B80">
        <w:rPr>
          <w:rFonts w:cs="Arial"/>
          <w:sz w:val="22"/>
          <w:szCs w:val="22"/>
        </w:rPr>
        <w:t>at the time of license renewal</w:t>
      </w:r>
      <w:r w:rsidR="00AE779E">
        <w:rPr>
          <w:rFonts w:cs="Arial"/>
          <w:sz w:val="22"/>
          <w:szCs w:val="22"/>
        </w:rPr>
        <w:t>, except in very limited circumstances</w:t>
      </w:r>
      <w:r w:rsidRPr="001A0B80" w:rsidR="001A0B80">
        <w:rPr>
          <w:rFonts w:cs="Arial"/>
          <w:sz w:val="22"/>
          <w:szCs w:val="22"/>
        </w:rPr>
        <w:t>.</w:t>
      </w:r>
      <w:r w:rsidRPr="00AE779E" w:rsidR="00AE779E">
        <w:t xml:space="preserve"> </w:t>
      </w:r>
      <w:r w:rsidR="00AE779E">
        <w:t xml:space="preserve"> </w:t>
      </w:r>
      <w:r w:rsidRPr="00AE779E" w:rsidR="00AE779E">
        <w:rPr>
          <w:rFonts w:cs="Arial"/>
          <w:sz w:val="22"/>
          <w:szCs w:val="22"/>
        </w:rPr>
        <w:t>The same basis for the NRC’s elimination of financial qualification requirements for power reactor licensees at the time of license renewal supports the NRC’s elimination of NPUF financial qualification requirements at the time of license renewal.</w:t>
      </w:r>
      <w:r w:rsidRPr="001A0B80" w:rsidR="001A0B80">
        <w:rPr>
          <w:rFonts w:cs="Arial"/>
          <w:sz w:val="22"/>
          <w:szCs w:val="22"/>
        </w:rPr>
        <w:t xml:space="preserve">  The NRC is not aware of any connection between an NPUF’s financial qualifications at license renewal and safe operation of the facility.  Moreover, because NPUFs have significantly smaller fission product inventory and potential for radiological consequences than do power reactors, the NPUF financial qualification reviews are of less value in ensuring safety than reviews previously required of power reactors</w:t>
      </w:r>
      <w:r w:rsidR="001A0B80">
        <w:rPr>
          <w:rFonts w:cs="Arial"/>
          <w:sz w:val="22"/>
          <w:szCs w:val="22"/>
        </w:rPr>
        <w:t>.</w:t>
      </w:r>
      <w:r w:rsidR="00894F3A">
        <w:rPr>
          <w:rFonts w:cs="Arial"/>
          <w:sz w:val="22"/>
          <w:szCs w:val="22"/>
        </w:rPr>
        <w:t xml:space="preserve">  Nevertheless, </w:t>
      </w:r>
      <w:r w:rsidR="00625CF1">
        <w:rPr>
          <w:rFonts w:cs="Arial"/>
          <w:sz w:val="22"/>
          <w:szCs w:val="22"/>
        </w:rPr>
        <w:t xml:space="preserve">the NRC can request financial </w:t>
      </w:r>
      <w:r w:rsidR="00894F3A">
        <w:rPr>
          <w:rFonts w:cs="Arial"/>
          <w:sz w:val="22"/>
          <w:szCs w:val="22"/>
        </w:rPr>
        <w:t xml:space="preserve">information </w:t>
      </w:r>
      <w:r w:rsidR="00625CF1">
        <w:rPr>
          <w:rFonts w:cs="Arial"/>
          <w:sz w:val="22"/>
          <w:szCs w:val="22"/>
        </w:rPr>
        <w:t>from licensees, as needed</w:t>
      </w:r>
      <w:r w:rsidR="00894F3A">
        <w:rPr>
          <w:rFonts w:cs="Arial"/>
          <w:sz w:val="22"/>
          <w:szCs w:val="22"/>
        </w:rPr>
        <w:t>.</w:t>
      </w:r>
    </w:p>
    <w:p w:rsidR="000E0A96" w:rsidRPr="00555CF5" w:rsidP="00555CF5" w14:paraId="7F4934BF" w14:textId="77777777">
      <w:pPr>
        <w:pStyle w:val="ListParagraph"/>
        <w:rPr>
          <w:sz w:val="22"/>
          <w:szCs w:val="22"/>
        </w:rPr>
      </w:pPr>
    </w:p>
    <w:p w:rsidR="000E0A96" w:rsidRPr="00555CF5" w:rsidP="00555CF5" w14:paraId="7F4934C0" w14:textId="77777777"/>
    <w:p w:rsidR="00833116" w:rsidRPr="00D839EE" w:rsidP="00346B95" w14:paraId="7F4934C1" w14:textId="77777777">
      <w:pPr>
        <w:pStyle w:val="Heading1"/>
        <w:spacing w:before="0" w:after="240"/>
        <w:rPr>
          <w:b w:val="0"/>
        </w:rPr>
      </w:pPr>
      <w:bookmarkStart w:id="27" w:name="_Toc443852784"/>
      <w:bookmarkStart w:id="28" w:name="_Toc530073273"/>
      <w:bookmarkStart w:id="29" w:name="_Toc534037090"/>
      <w:bookmarkStart w:id="30" w:name="_Toc534699710"/>
      <w:bookmarkStart w:id="31" w:name="_Toc536603277"/>
      <w:r w:rsidRPr="00D839EE">
        <w:t xml:space="preserve">2. </w:t>
      </w:r>
      <w:r w:rsidRPr="00D839EE">
        <w:tab/>
        <w:t>Identification and Preliminary Analysis of Alternative</w:t>
      </w:r>
      <w:r w:rsidRPr="00D839EE" w:rsidR="00F518A6">
        <w:t xml:space="preserve"> </w:t>
      </w:r>
      <w:r w:rsidRPr="00D839EE">
        <w:t>Approaches</w:t>
      </w:r>
      <w:bookmarkEnd w:id="27"/>
      <w:bookmarkEnd w:id="28"/>
      <w:bookmarkEnd w:id="29"/>
      <w:bookmarkEnd w:id="30"/>
      <w:bookmarkEnd w:id="31"/>
    </w:p>
    <w:p w:rsidR="00C5427A" w:rsidRPr="00D839EE" w:rsidP="00491A3A" w14:paraId="7F4934C2" w14:textId="77777777">
      <w:pPr>
        <w:rPr>
          <w:sz w:val="22"/>
          <w:szCs w:val="22"/>
        </w:rPr>
      </w:pPr>
      <w:r w:rsidRPr="00D839EE">
        <w:rPr>
          <w:sz w:val="22"/>
          <w:szCs w:val="22"/>
        </w:rPr>
        <w:t xml:space="preserve">In addition to the </w:t>
      </w:r>
      <w:r w:rsidRPr="00D839EE" w:rsidR="00BC5E9F">
        <w:rPr>
          <w:sz w:val="22"/>
          <w:szCs w:val="22"/>
        </w:rPr>
        <w:t>final</w:t>
      </w:r>
      <w:r w:rsidRPr="00D839EE">
        <w:rPr>
          <w:sz w:val="22"/>
          <w:szCs w:val="22"/>
        </w:rPr>
        <w:t xml:space="preserve"> rule (iden</w:t>
      </w:r>
      <w:r w:rsidRPr="00D839EE" w:rsidR="005F0976">
        <w:rPr>
          <w:sz w:val="22"/>
          <w:szCs w:val="22"/>
        </w:rPr>
        <w:t>tified as Option 3), the NRC identified three</w:t>
      </w:r>
      <w:r w:rsidRPr="00D839EE">
        <w:rPr>
          <w:sz w:val="22"/>
          <w:szCs w:val="22"/>
        </w:rPr>
        <w:t xml:space="preserve"> alternatives for consideration</w:t>
      </w:r>
      <w:r w:rsidR="007D1A06">
        <w:rPr>
          <w:sz w:val="22"/>
          <w:szCs w:val="22"/>
        </w:rPr>
        <w:t>:</w:t>
      </w:r>
      <w:r w:rsidRPr="00D839EE">
        <w:rPr>
          <w:sz w:val="22"/>
          <w:szCs w:val="22"/>
        </w:rPr>
        <w:t xml:space="preserve"> </w:t>
      </w:r>
    </w:p>
    <w:p w:rsidR="00C5427A" w:rsidRPr="00D839EE" w:rsidP="00491A3A" w14:paraId="7F4934C3" w14:textId="77777777">
      <w:pPr>
        <w:rPr>
          <w:sz w:val="22"/>
          <w:szCs w:val="22"/>
        </w:rPr>
      </w:pPr>
    </w:p>
    <w:p w:rsidR="00C5427A" w:rsidRPr="00D839EE" w:rsidP="00346B95" w14:paraId="7F4934C4" w14:textId="77777777">
      <w:pPr>
        <w:pStyle w:val="ListParagraph"/>
        <w:numPr>
          <w:ilvl w:val="0"/>
          <w:numId w:val="4"/>
        </w:numPr>
        <w:ind w:hanging="720"/>
        <w:rPr>
          <w:sz w:val="22"/>
          <w:szCs w:val="22"/>
        </w:rPr>
      </w:pPr>
      <w:r w:rsidRPr="00D839EE">
        <w:rPr>
          <w:sz w:val="22"/>
          <w:szCs w:val="22"/>
        </w:rPr>
        <w:t xml:space="preserve">Option 1: </w:t>
      </w:r>
      <w:r w:rsidRPr="00D839EE" w:rsidR="00AB4683">
        <w:rPr>
          <w:sz w:val="22"/>
          <w:szCs w:val="22"/>
        </w:rPr>
        <w:t xml:space="preserve"> </w:t>
      </w:r>
      <w:r w:rsidRPr="00D839EE">
        <w:rPr>
          <w:sz w:val="22"/>
          <w:szCs w:val="22"/>
        </w:rPr>
        <w:t>Take No Action</w:t>
      </w:r>
      <w:r w:rsidRPr="00D839EE" w:rsidR="00AD4D0A">
        <w:rPr>
          <w:sz w:val="22"/>
          <w:szCs w:val="22"/>
        </w:rPr>
        <w:t xml:space="preserve"> </w:t>
      </w:r>
      <w:r w:rsidR="007D1A06">
        <w:rPr>
          <w:sz w:val="22"/>
          <w:szCs w:val="22"/>
        </w:rPr>
        <w:t>(n</w:t>
      </w:r>
      <w:r w:rsidRPr="00D839EE" w:rsidR="00AD4D0A">
        <w:rPr>
          <w:sz w:val="22"/>
          <w:szCs w:val="22"/>
        </w:rPr>
        <w:t xml:space="preserve">ot </w:t>
      </w:r>
      <w:r w:rsidR="007D1A06">
        <w:rPr>
          <w:sz w:val="22"/>
          <w:szCs w:val="22"/>
        </w:rPr>
        <w:t>s</w:t>
      </w:r>
      <w:r w:rsidRPr="00D839EE" w:rsidR="00AD4D0A">
        <w:rPr>
          <w:sz w:val="22"/>
          <w:szCs w:val="22"/>
        </w:rPr>
        <w:t>elected</w:t>
      </w:r>
      <w:r w:rsidR="007D1A06">
        <w:rPr>
          <w:sz w:val="22"/>
          <w:szCs w:val="22"/>
        </w:rPr>
        <w:t>)</w:t>
      </w:r>
    </w:p>
    <w:p w:rsidR="00C5427A" w:rsidRPr="00D839EE" w:rsidP="00346B95" w14:paraId="7F4934C5" w14:textId="77777777">
      <w:pPr>
        <w:pStyle w:val="ListParagraph"/>
        <w:ind w:hanging="720"/>
        <w:rPr>
          <w:sz w:val="22"/>
          <w:szCs w:val="22"/>
        </w:rPr>
      </w:pPr>
    </w:p>
    <w:p w:rsidR="00C5427A" w:rsidRPr="00D839EE" w:rsidP="00346B95" w14:paraId="7F4934C6" w14:textId="77777777">
      <w:pPr>
        <w:pStyle w:val="ListParagraph"/>
        <w:numPr>
          <w:ilvl w:val="0"/>
          <w:numId w:val="4"/>
        </w:numPr>
        <w:ind w:hanging="720"/>
        <w:rPr>
          <w:sz w:val="22"/>
          <w:szCs w:val="22"/>
        </w:rPr>
      </w:pPr>
      <w:r w:rsidRPr="00D839EE">
        <w:rPr>
          <w:sz w:val="22"/>
          <w:szCs w:val="22"/>
        </w:rPr>
        <w:t xml:space="preserve">Option 2: </w:t>
      </w:r>
      <w:r w:rsidRPr="00D839EE" w:rsidR="00AB4683">
        <w:rPr>
          <w:sz w:val="22"/>
          <w:szCs w:val="22"/>
        </w:rPr>
        <w:t xml:space="preserve"> </w:t>
      </w:r>
      <w:r w:rsidRPr="00D839EE">
        <w:rPr>
          <w:sz w:val="22"/>
          <w:szCs w:val="22"/>
        </w:rPr>
        <w:t xml:space="preserve">Undertake Rulemaking to Require Final Safety </w:t>
      </w:r>
      <w:r w:rsidRPr="00D839EE" w:rsidR="00F10A31">
        <w:rPr>
          <w:sz w:val="22"/>
          <w:szCs w:val="22"/>
        </w:rPr>
        <w:t>Analysis</w:t>
      </w:r>
      <w:r w:rsidRPr="00D839EE">
        <w:rPr>
          <w:sz w:val="22"/>
          <w:szCs w:val="22"/>
        </w:rPr>
        <w:t xml:space="preserve"> Report Updates and Revise the Timely Renewal Provision</w:t>
      </w:r>
      <w:r w:rsidRPr="00D839EE" w:rsidR="00AD4D0A">
        <w:rPr>
          <w:sz w:val="22"/>
          <w:szCs w:val="22"/>
        </w:rPr>
        <w:t xml:space="preserve"> </w:t>
      </w:r>
      <w:r w:rsidR="007D1A06">
        <w:rPr>
          <w:sz w:val="22"/>
          <w:szCs w:val="22"/>
        </w:rPr>
        <w:t>(n</w:t>
      </w:r>
      <w:r w:rsidRPr="00D839EE" w:rsidR="00AD4D0A">
        <w:rPr>
          <w:sz w:val="22"/>
          <w:szCs w:val="22"/>
        </w:rPr>
        <w:t xml:space="preserve">ot </w:t>
      </w:r>
      <w:r w:rsidR="007D1A06">
        <w:rPr>
          <w:sz w:val="22"/>
          <w:szCs w:val="22"/>
        </w:rPr>
        <w:t>s</w:t>
      </w:r>
      <w:r w:rsidRPr="00D839EE" w:rsidR="00AD4D0A">
        <w:rPr>
          <w:sz w:val="22"/>
          <w:szCs w:val="22"/>
        </w:rPr>
        <w:t>elected</w:t>
      </w:r>
      <w:r w:rsidR="007D1A06">
        <w:rPr>
          <w:sz w:val="22"/>
          <w:szCs w:val="22"/>
        </w:rPr>
        <w:t>)</w:t>
      </w:r>
    </w:p>
    <w:p w:rsidR="00C5427A" w:rsidRPr="00D839EE" w:rsidP="00C5427A" w14:paraId="7F4934C7" w14:textId="77777777">
      <w:pPr>
        <w:pStyle w:val="ListParagraph"/>
        <w:rPr>
          <w:sz w:val="22"/>
          <w:szCs w:val="22"/>
        </w:rPr>
      </w:pPr>
    </w:p>
    <w:p w:rsidR="00C5427A" w:rsidRPr="00D839EE" w:rsidP="00346B95" w14:paraId="7F4934C8" w14:textId="77777777">
      <w:pPr>
        <w:pStyle w:val="ListParagraph"/>
        <w:numPr>
          <w:ilvl w:val="0"/>
          <w:numId w:val="4"/>
        </w:numPr>
        <w:ind w:hanging="720"/>
        <w:rPr>
          <w:sz w:val="22"/>
          <w:szCs w:val="22"/>
        </w:rPr>
      </w:pPr>
      <w:r w:rsidRPr="00D839EE">
        <w:rPr>
          <w:sz w:val="22"/>
          <w:szCs w:val="22"/>
        </w:rPr>
        <w:t xml:space="preserve">Option 3: </w:t>
      </w:r>
      <w:r w:rsidRPr="00D839EE" w:rsidR="00AB4683">
        <w:rPr>
          <w:sz w:val="22"/>
          <w:szCs w:val="22"/>
        </w:rPr>
        <w:t xml:space="preserve"> </w:t>
      </w:r>
      <w:r w:rsidRPr="00D839EE">
        <w:rPr>
          <w:sz w:val="22"/>
          <w:szCs w:val="22"/>
        </w:rPr>
        <w:t>Undertake Rulemaking to Require Final Safety Analysis Report Updates, Revise the Timely Renewal Provision, and Eliminate License Terms for Class</w:t>
      </w:r>
      <w:r w:rsidR="00C95889">
        <w:rPr>
          <w:sz w:val="22"/>
          <w:szCs w:val="22"/>
        </w:rPr>
        <w:t> </w:t>
      </w:r>
      <w:r w:rsidRPr="00D839EE">
        <w:rPr>
          <w:sz w:val="22"/>
          <w:szCs w:val="22"/>
        </w:rPr>
        <w:t>104a</w:t>
      </w:r>
      <w:r w:rsidR="00C95889">
        <w:rPr>
          <w:sz w:val="22"/>
          <w:szCs w:val="22"/>
        </w:rPr>
        <w:t> </w:t>
      </w:r>
      <w:r w:rsidRPr="00D839EE" w:rsidR="001274DB">
        <w:rPr>
          <w:sz w:val="22"/>
          <w:szCs w:val="22"/>
        </w:rPr>
        <w:t>or</w:t>
      </w:r>
      <w:r w:rsidR="00C95889">
        <w:rPr>
          <w:sz w:val="22"/>
          <w:szCs w:val="22"/>
        </w:rPr>
        <w:t> </w:t>
      </w:r>
      <w:r w:rsidRPr="00D839EE">
        <w:rPr>
          <w:sz w:val="22"/>
          <w:szCs w:val="22"/>
        </w:rPr>
        <w:t>c Licensees</w:t>
      </w:r>
      <w:r w:rsidRPr="00D839EE" w:rsidR="00F43DE1">
        <w:rPr>
          <w:sz w:val="22"/>
          <w:szCs w:val="22"/>
        </w:rPr>
        <w:t xml:space="preserve"> </w:t>
      </w:r>
      <w:r w:rsidR="005300BA">
        <w:rPr>
          <w:sz w:val="22"/>
          <w:szCs w:val="22"/>
        </w:rPr>
        <w:t xml:space="preserve">Other Than </w:t>
      </w:r>
      <w:r w:rsidRPr="00D839EE" w:rsidR="00940C64">
        <w:rPr>
          <w:sz w:val="22"/>
          <w:szCs w:val="22"/>
        </w:rPr>
        <w:t>T</w:t>
      </w:r>
      <w:r w:rsidRPr="00D839EE" w:rsidR="00F43DE1">
        <w:rPr>
          <w:sz w:val="22"/>
          <w:szCs w:val="22"/>
        </w:rPr>
        <w:t xml:space="preserve">esting </w:t>
      </w:r>
      <w:r w:rsidRPr="00D839EE" w:rsidR="00940C64">
        <w:rPr>
          <w:sz w:val="22"/>
          <w:szCs w:val="22"/>
        </w:rPr>
        <w:t>F</w:t>
      </w:r>
      <w:r w:rsidRPr="00D839EE" w:rsidR="00F43DE1">
        <w:rPr>
          <w:sz w:val="22"/>
          <w:szCs w:val="22"/>
        </w:rPr>
        <w:t>acilities</w:t>
      </w:r>
      <w:r w:rsidRPr="00D839EE" w:rsidR="00AD4D0A">
        <w:rPr>
          <w:sz w:val="22"/>
          <w:szCs w:val="22"/>
        </w:rPr>
        <w:t xml:space="preserve"> </w:t>
      </w:r>
      <w:r w:rsidR="007D1A06">
        <w:rPr>
          <w:sz w:val="22"/>
          <w:szCs w:val="22"/>
        </w:rPr>
        <w:t>(s</w:t>
      </w:r>
      <w:r w:rsidRPr="00D839EE" w:rsidR="00AD4D0A">
        <w:rPr>
          <w:sz w:val="22"/>
          <w:szCs w:val="22"/>
        </w:rPr>
        <w:t>elected</w:t>
      </w:r>
      <w:r w:rsidR="007D1A06">
        <w:rPr>
          <w:sz w:val="22"/>
          <w:szCs w:val="22"/>
        </w:rPr>
        <w:t>—f</w:t>
      </w:r>
      <w:r w:rsidRPr="00D839EE" w:rsidR="00BC5E9F">
        <w:rPr>
          <w:sz w:val="22"/>
          <w:szCs w:val="22"/>
        </w:rPr>
        <w:t>inal</w:t>
      </w:r>
      <w:r w:rsidRPr="00D839EE" w:rsidR="00676FCD">
        <w:rPr>
          <w:sz w:val="22"/>
          <w:szCs w:val="22"/>
        </w:rPr>
        <w:t xml:space="preserve"> </w:t>
      </w:r>
      <w:r w:rsidR="007D1A06">
        <w:rPr>
          <w:sz w:val="22"/>
          <w:szCs w:val="22"/>
        </w:rPr>
        <w:t>r</w:t>
      </w:r>
      <w:r w:rsidRPr="00D839EE" w:rsidR="00676FCD">
        <w:rPr>
          <w:sz w:val="22"/>
          <w:szCs w:val="22"/>
        </w:rPr>
        <w:t>ule</w:t>
      </w:r>
      <w:r w:rsidR="007D1A06">
        <w:rPr>
          <w:sz w:val="22"/>
          <w:szCs w:val="22"/>
        </w:rPr>
        <w:t>)</w:t>
      </w:r>
    </w:p>
    <w:p w:rsidR="005F0976" w:rsidRPr="00D839EE" w:rsidP="00346B95" w14:paraId="7F4934C9" w14:textId="77777777">
      <w:pPr>
        <w:pStyle w:val="ListParagraph"/>
        <w:ind w:hanging="720"/>
        <w:rPr>
          <w:sz w:val="22"/>
          <w:szCs w:val="22"/>
        </w:rPr>
      </w:pPr>
    </w:p>
    <w:p w:rsidR="005F0976" w:rsidRPr="00D839EE" w:rsidP="00346B95" w14:paraId="7F4934CA" w14:textId="77777777">
      <w:pPr>
        <w:pStyle w:val="ListParagraph"/>
        <w:numPr>
          <w:ilvl w:val="0"/>
          <w:numId w:val="4"/>
        </w:numPr>
        <w:ind w:hanging="720"/>
        <w:rPr>
          <w:sz w:val="22"/>
          <w:szCs w:val="22"/>
        </w:rPr>
      </w:pPr>
      <w:r w:rsidRPr="00D839EE">
        <w:rPr>
          <w:sz w:val="22"/>
          <w:szCs w:val="22"/>
        </w:rPr>
        <w:t xml:space="preserve">Option 4: </w:t>
      </w:r>
      <w:r w:rsidRPr="00D839EE" w:rsidR="00AB4683">
        <w:rPr>
          <w:sz w:val="22"/>
          <w:szCs w:val="22"/>
        </w:rPr>
        <w:t xml:space="preserve"> </w:t>
      </w:r>
      <w:r w:rsidRPr="00D839EE">
        <w:rPr>
          <w:sz w:val="22"/>
          <w:szCs w:val="22"/>
        </w:rPr>
        <w:t xml:space="preserve">No </w:t>
      </w:r>
      <w:r w:rsidRPr="00D839EE" w:rsidR="00265761">
        <w:rPr>
          <w:sz w:val="22"/>
          <w:szCs w:val="22"/>
        </w:rPr>
        <w:t>R</w:t>
      </w:r>
      <w:r w:rsidRPr="00D839EE">
        <w:rPr>
          <w:sz w:val="22"/>
          <w:szCs w:val="22"/>
        </w:rPr>
        <w:t xml:space="preserve">ulemaking for </w:t>
      </w:r>
      <w:r w:rsidRPr="00D839EE" w:rsidR="00265761">
        <w:rPr>
          <w:sz w:val="22"/>
          <w:szCs w:val="22"/>
        </w:rPr>
        <w:t>L</w:t>
      </w:r>
      <w:r w:rsidRPr="00D839EE">
        <w:rPr>
          <w:sz w:val="22"/>
          <w:szCs w:val="22"/>
        </w:rPr>
        <w:t xml:space="preserve">icense </w:t>
      </w:r>
      <w:r w:rsidRPr="00D839EE" w:rsidR="00265761">
        <w:rPr>
          <w:sz w:val="22"/>
          <w:szCs w:val="22"/>
        </w:rPr>
        <w:t>R</w:t>
      </w:r>
      <w:r w:rsidRPr="00D839EE">
        <w:rPr>
          <w:sz w:val="22"/>
          <w:szCs w:val="22"/>
        </w:rPr>
        <w:t>enewal</w:t>
      </w:r>
      <w:r w:rsidR="007D1A06">
        <w:rPr>
          <w:sz w:val="22"/>
          <w:szCs w:val="22"/>
        </w:rPr>
        <w:t>;</w:t>
      </w:r>
      <w:r w:rsidRPr="00D839EE">
        <w:rPr>
          <w:sz w:val="22"/>
          <w:szCs w:val="22"/>
        </w:rPr>
        <w:t xml:space="preserve"> </w:t>
      </w:r>
      <w:r w:rsidRPr="00D839EE" w:rsidR="00652293">
        <w:rPr>
          <w:sz w:val="22"/>
          <w:szCs w:val="22"/>
        </w:rPr>
        <w:t xml:space="preserve">Issue a </w:t>
      </w:r>
      <w:r w:rsidRPr="00D839EE" w:rsidR="00265761">
        <w:rPr>
          <w:sz w:val="22"/>
          <w:szCs w:val="22"/>
        </w:rPr>
        <w:t>N</w:t>
      </w:r>
      <w:r w:rsidRPr="00D839EE" w:rsidR="00652293">
        <w:rPr>
          <w:sz w:val="22"/>
          <w:szCs w:val="22"/>
        </w:rPr>
        <w:t xml:space="preserve">ew Regulatory Guide and </w:t>
      </w:r>
      <w:r w:rsidRPr="00D839EE">
        <w:rPr>
          <w:sz w:val="22"/>
          <w:szCs w:val="22"/>
        </w:rPr>
        <w:t>Update NUREG</w:t>
      </w:r>
      <w:r w:rsidRPr="00D839EE" w:rsidR="00F254DC">
        <w:rPr>
          <w:sz w:val="22"/>
          <w:szCs w:val="22"/>
        </w:rPr>
        <w:t>-</w:t>
      </w:r>
      <w:r w:rsidRPr="00D839EE">
        <w:rPr>
          <w:sz w:val="22"/>
          <w:szCs w:val="22"/>
        </w:rPr>
        <w:t>1537</w:t>
      </w:r>
      <w:r w:rsidR="007B4840">
        <w:rPr>
          <w:sz w:val="22"/>
          <w:szCs w:val="22"/>
        </w:rPr>
        <w:t xml:space="preserve"> </w:t>
      </w:r>
      <w:r w:rsidRPr="00D839EE">
        <w:rPr>
          <w:sz w:val="22"/>
          <w:szCs w:val="22"/>
        </w:rPr>
        <w:t xml:space="preserve">to </w:t>
      </w:r>
      <w:r w:rsidRPr="00D839EE" w:rsidR="00265761">
        <w:rPr>
          <w:sz w:val="22"/>
          <w:szCs w:val="22"/>
        </w:rPr>
        <w:t>I</w:t>
      </w:r>
      <w:r w:rsidRPr="00D839EE">
        <w:rPr>
          <w:sz w:val="22"/>
          <w:szCs w:val="22"/>
        </w:rPr>
        <w:t xml:space="preserve">ncorporate a </w:t>
      </w:r>
      <w:r w:rsidRPr="00D839EE" w:rsidR="00265761">
        <w:rPr>
          <w:sz w:val="22"/>
          <w:szCs w:val="22"/>
        </w:rPr>
        <w:t>S</w:t>
      </w:r>
      <w:r w:rsidRPr="00D839EE">
        <w:rPr>
          <w:sz w:val="22"/>
          <w:szCs w:val="22"/>
        </w:rPr>
        <w:t xml:space="preserve">treamlined </w:t>
      </w:r>
      <w:r w:rsidRPr="00D839EE" w:rsidR="00265761">
        <w:rPr>
          <w:sz w:val="22"/>
          <w:szCs w:val="22"/>
        </w:rPr>
        <w:t>L</w:t>
      </w:r>
      <w:r w:rsidRPr="00D839EE">
        <w:rPr>
          <w:sz w:val="22"/>
          <w:szCs w:val="22"/>
        </w:rPr>
        <w:t xml:space="preserve">icense </w:t>
      </w:r>
      <w:r w:rsidRPr="00D839EE" w:rsidR="00265761">
        <w:rPr>
          <w:sz w:val="22"/>
          <w:szCs w:val="22"/>
        </w:rPr>
        <w:t>R</w:t>
      </w:r>
      <w:r w:rsidRPr="00D839EE">
        <w:rPr>
          <w:sz w:val="22"/>
          <w:szCs w:val="22"/>
        </w:rPr>
        <w:t xml:space="preserve">enewal </w:t>
      </w:r>
      <w:r w:rsidRPr="00D839EE" w:rsidR="00265761">
        <w:rPr>
          <w:sz w:val="22"/>
          <w:szCs w:val="22"/>
        </w:rPr>
        <w:t>P</w:t>
      </w:r>
      <w:r w:rsidRPr="00D839EE">
        <w:rPr>
          <w:sz w:val="22"/>
          <w:szCs w:val="22"/>
        </w:rPr>
        <w:t>rocess</w:t>
      </w:r>
      <w:r w:rsidRPr="00D839EE" w:rsidR="00AD4D0A">
        <w:rPr>
          <w:sz w:val="22"/>
          <w:szCs w:val="22"/>
        </w:rPr>
        <w:t xml:space="preserve"> </w:t>
      </w:r>
      <w:r w:rsidR="007D1A06">
        <w:rPr>
          <w:sz w:val="22"/>
          <w:szCs w:val="22"/>
        </w:rPr>
        <w:t>(n</w:t>
      </w:r>
      <w:r w:rsidRPr="00D839EE" w:rsidR="00AD4D0A">
        <w:rPr>
          <w:sz w:val="22"/>
          <w:szCs w:val="22"/>
        </w:rPr>
        <w:t xml:space="preserve">ot </w:t>
      </w:r>
      <w:r w:rsidR="007D1A06">
        <w:rPr>
          <w:sz w:val="22"/>
          <w:szCs w:val="22"/>
        </w:rPr>
        <w:t>s</w:t>
      </w:r>
      <w:r w:rsidRPr="00D839EE" w:rsidR="00AD4D0A">
        <w:rPr>
          <w:sz w:val="22"/>
          <w:szCs w:val="22"/>
        </w:rPr>
        <w:t>elected</w:t>
      </w:r>
      <w:r w:rsidR="007D1A06">
        <w:rPr>
          <w:sz w:val="22"/>
          <w:szCs w:val="22"/>
        </w:rPr>
        <w:t>)</w:t>
      </w:r>
      <w:r w:rsidRPr="00D839EE">
        <w:rPr>
          <w:sz w:val="22"/>
          <w:szCs w:val="22"/>
        </w:rPr>
        <w:t xml:space="preserve"> </w:t>
      </w:r>
    </w:p>
    <w:p w:rsidR="00C5427A" w:rsidRPr="00346B95" w:rsidP="00346B95" w14:paraId="7F4934CB" w14:textId="77777777">
      <w:pPr>
        <w:pStyle w:val="Heading2"/>
      </w:pPr>
      <w:bookmarkStart w:id="32" w:name="_Toc443852785"/>
      <w:bookmarkStart w:id="33" w:name="_Toc530073274"/>
      <w:bookmarkStart w:id="34" w:name="_Toc534037091"/>
      <w:bookmarkStart w:id="35" w:name="_Toc534699711"/>
      <w:bookmarkStart w:id="36" w:name="_Toc536603278"/>
      <w:r w:rsidRPr="00346B95">
        <w:t>2.1</w:t>
      </w:r>
      <w:r w:rsidRPr="00346B95">
        <w:tab/>
        <w:t xml:space="preserve">Option 1: </w:t>
      </w:r>
      <w:r w:rsidRPr="00346B95" w:rsidR="00AB4683">
        <w:t xml:space="preserve"> </w:t>
      </w:r>
      <w:r w:rsidRPr="00346B95">
        <w:t xml:space="preserve">Take No Action </w:t>
      </w:r>
      <w:r w:rsidR="002844A2">
        <w:t>(</w:t>
      </w:r>
      <w:r w:rsidRPr="00346B95" w:rsidR="000D0068">
        <w:t>Not Selected</w:t>
      </w:r>
      <w:r w:rsidR="002844A2">
        <w:t>)</w:t>
      </w:r>
      <w:bookmarkEnd w:id="32"/>
      <w:bookmarkEnd w:id="33"/>
      <w:bookmarkEnd w:id="34"/>
      <w:bookmarkEnd w:id="35"/>
      <w:bookmarkEnd w:id="36"/>
    </w:p>
    <w:p w:rsidR="00DA1D68" w:rsidRPr="00D839EE" w:rsidP="00346B95" w14:paraId="7F4934CC" w14:textId="77777777">
      <w:pPr>
        <w:rPr>
          <w:sz w:val="22"/>
          <w:szCs w:val="22"/>
        </w:rPr>
      </w:pPr>
    </w:p>
    <w:p w:rsidR="00283414" w:rsidRPr="00D839EE" w:rsidP="00491A3A" w14:paraId="7F4934CD" w14:textId="77777777">
      <w:pPr>
        <w:rPr>
          <w:sz w:val="22"/>
          <w:szCs w:val="22"/>
        </w:rPr>
      </w:pPr>
      <w:r w:rsidRPr="00D839EE">
        <w:rPr>
          <w:sz w:val="22"/>
          <w:szCs w:val="22"/>
        </w:rPr>
        <w:t>Under Option 1</w:t>
      </w:r>
      <w:r w:rsidRPr="00D839EE" w:rsidR="000D0068">
        <w:rPr>
          <w:sz w:val="22"/>
          <w:szCs w:val="22"/>
        </w:rPr>
        <w:t xml:space="preserve"> (not selected)</w:t>
      </w:r>
      <w:r w:rsidRPr="00D839EE">
        <w:rPr>
          <w:sz w:val="22"/>
          <w:szCs w:val="22"/>
        </w:rPr>
        <w:t>, the NRC would not</w:t>
      </w:r>
      <w:r w:rsidRPr="00D839EE" w:rsidR="0069196F">
        <w:rPr>
          <w:sz w:val="22"/>
          <w:szCs w:val="22"/>
        </w:rPr>
        <w:t xml:space="preserve"> have</w:t>
      </w:r>
      <w:r w:rsidRPr="00D839EE">
        <w:rPr>
          <w:sz w:val="22"/>
          <w:szCs w:val="22"/>
        </w:rPr>
        <w:t xml:space="preserve"> change</w:t>
      </w:r>
      <w:r w:rsidRPr="00D839EE" w:rsidR="0069196F">
        <w:rPr>
          <w:sz w:val="22"/>
          <w:szCs w:val="22"/>
        </w:rPr>
        <w:t>d</w:t>
      </w:r>
      <w:r w:rsidRPr="00D839EE">
        <w:rPr>
          <w:sz w:val="22"/>
          <w:szCs w:val="22"/>
        </w:rPr>
        <w:t xml:space="preserve"> </w:t>
      </w:r>
      <w:r w:rsidRPr="00D839EE">
        <w:rPr>
          <w:sz w:val="22"/>
          <w:szCs w:val="22"/>
        </w:rPr>
        <w:t xml:space="preserve">existing license </w:t>
      </w:r>
      <w:r w:rsidRPr="00D839EE">
        <w:rPr>
          <w:sz w:val="22"/>
          <w:szCs w:val="22"/>
        </w:rPr>
        <w:t xml:space="preserve">terms or </w:t>
      </w:r>
      <w:r w:rsidR="00AE779E">
        <w:rPr>
          <w:sz w:val="22"/>
          <w:szCs w:val="22"/>
        </w:rPr>
        <w:t xml:space="preserve">licensees’ responsibilities under </w:t>
      </w:r>
      <w:r w:rsidRPr="00D839EE">
        <w:rPr>
          <w:sz w:val="22"/>
          <w:szCs w:val="22"/>
        </w:rPr>
        <w:t xml:space="preserve">the license </w:t>
      </w:r>
      <w:r w:rsidRPr="00D839EE">
        <w:rPr>
          <w:sz w:val="22"/>
          <w:szCs w:val="22"/>
        </w:rPr>
        <w:t>renewal process</w:t>
      </w:r>
      <w:r w:rsidR="00E37306">
        <w:rPr>
          <w:sz w:val="22"/>
          <w:szCs w:val="22"/>
        </w:rPr>
        <w:t xml:space="preserve"> (including drafting narrative and technical chapters of the application, reviewing RAIs, drafting RAI responses, conducting additional analyses, and revising the application)</w:t>
      </w:r>
      <w:r w:rsidRPr="00D839EE">
        <w:rPr>
          <w:sz w:val="22"/>
          <w:szCs w:val="22"/>
        </w:rPr>
        <w:t xml:space="preserve"> as described in current regulations and guidance. </w:t>
      </w:r>
      <w:r w:rsidRPr="00D839EE" w:rsidR="00EE6B85">
        <w:rPr>
          <w:sz w:val="22"/>
          <w:szCs w:val="22"/>
        </w:rPr>
        <w:t xml:space="preserve"> This alternative serves as </w:t>
      </w:r>
      <w:r w:rsidRPr="00D839EE">
        <w:rPr>
          <w:sz w:val="22"/>
          <w:szCs w:val="22"/>
        </w:rPr>
        <w:t>the</w:t>
      </w:r>
      <w:r w:rsidRPr="00D839EE" w:rsidR="00EE6B85">
        <w:rPr>
          <w:sz w:val="22"/>
          <w:szCs w:val="22"/>
        </w:rPr>
        <w:t xml:space="preserve"> baseline </w:t>
      </w:r>
      <w:r w:rsidRPr="00D839EE" w:rsidR="00AB4683">
        <w:rPr>
          <w:sz w:val="22"/>
          <w:szCs w:val="22"/>
        </w:rPr>
        <w:t xml:space="preserve">against which </w:t>
      </w:r>
      <w:r w:rsidRPr="00D839EE">
        <w:rPr>
          <w:sz w:val="22"/>
          <w:szCs w:val="22"/>
        </w:rPr>
        <w:t xml:space="preserve">the impacts of the </w:t>
      </w:r>
      <w:r w:rsidRPr="00D839EE" w:rsidR="00EE6B85">
        <w:rPr>
          <w:sz w:val="22"/>
          <w:szCs w:val="22"/>
        </w:rPr>
        <w:t>other identified alternatives</w:t>
      </w:r>
      <w:r w:rsidRPr="00D839EE" w:rsidR="007627A2">
        <w:rPr>
          <w:sz w:val="22"/>
          <w:szCs w:val="22"/>
        </w:rPr>
        <w:t xml:space="preserve"> are measured</w:t>
      </w:r>
      <w:r w:rsidRPr="00D839EE" w:rsidR="00EE6B85">
        <w:rPr>
          <w:sz w:val="22"/>
          <w:szCs w:val="22"/>
        </w:rPr>
        <w:t xml:space="preserve">. </w:t>
      </w:r>
    </w:p>
    <w:p w:rsidR="00EE6B85" w:rsidRPr="00D839EE" w:rsidP="00491A3A" w14:paraId="7F4934CE" w14:textId="77777777">
      <w:pPr>
        <w:rPr>
          <w:sz w:val="22"/>
          <w:szCs w:val="22"/>
        </w:rPr>
      </w:pPr>
    </w:p>
    <w:p w:rsidR="00833116" w:rsidRPr="00D839EE" w:rsidP="00491A3A" w14:paraId="7F4934CF" w14:textId="77777777">
      <w:pPr>
        <w:rPr>
          <w:sz w:val="22"/>
          <w:szCs w:val="22"/>
        </w:rPr>
      </w:pPr>
      <w:r w:rsidRPr="00D839EE">
        <w:rPr>
          <w:sz w:val="22"/>
          <w:szCs w:val="22"/>
        </w:rPr>
        <w:t>This option would</w:t>
      </w:r>
      <w:r w:rsidRPr="00D839EE" w:rsidR="0069196F">
        <w:rPr>
          <w:sz w:val="22"/>
          <w:szCs w:val="22"/>
        </w:rPr>
        <w:t xml:space="preserve"> have</w:t>
      </w:r>
      <w:r w:rsidRPr="00D839EE">
        <w:rPr>
          <w:sz w:val="22"/>
          <w:szCs w:val="22"/>
        </w:rPr>
        <w:t xml:space="preserve"> pose</w:t>
      </w:r>
      <w:r w:rsidRPr="00D839EE" w:rsidR="0069196F">
        <w:rPr>
          <w:sz w:val="22"/>
          <w:szCs w:val="22"/>
        </w:rPr>
        <w:t>d</w:t>
      </w:r>
      <w:r w:rsidRPr="00D839EE">
        <w:rPr>
          <w:sz w:val="22"/>
          <w:szCs w:val="22"/>
        </w:rPr>
        <w:t xml:space="preserve"> no incremental burden on licensees or on </w:t>
      </w:r>
      <w:r w:rsidRPr="00D839EE" w:rsidR="00AB4683">
        <w:rPr>
          <w:sz w:val="22"/>
          <w:szCs w:val="22"/>
        </w:rPr>
        <w:t xml:space="preserve">the </w:t>
      </w:r>
      <w:r w:rsidRPr="00D839EE">
        <w:rPr>
          <w:sz w:val="22"/>
          <w:szCs w:val="22"/>
        </w:rPr>
        <w:t>NRC.  Howeve</w:t>
      </w:r>
      <w:r w:rsidRPr="00D839EE" w:rsidR="004021A0">
        <w:rPr>
          <w:sz w:val="22"/>
          <w:szCs w:val="22"/>
        </w:rPr>
        <w:t>r, this option</w:t>
      </w:r>
      <w:r w:rsidR="00263B2F">
        <w:rPr>
          <w:sz w:val="22"/>
          <w:szCs w:val="22"/>
        </w:rPr>
        <w:t xml:space="preserve"> </w:t>
      </w:r>
      <w:r w:rsidRPr="00D839EE" w:rsidR="00EE6B85">
        <w:rPr>
          <w:sz w:val="22"/>
          <w:szCs w:val="22"/>
        </w:rPr>
        <w:t>would not</w:t>
      </w:r>
      <w:r w:rsidRPr="00D839EE" w:rsidR="0069196F">
        <w:rPr>
          <w:sz w:val="22"/>
          <w:szCs w:val="22"/>
        </w:rPr>
        <w:t xml:space="preserve"> have</w:t>
      </w:r>
      <w:r w:rsidRPr="00D839EE" w:rsidR="00EE6B85">
        <w:rPr>
          <w:sz w:val="22"/>
          <w:szCs w:val="22"/>
        </w:rPr>
        <w:t xml:space="preserve"> </w:t>
      </w:r>
      <w:r w:rsidRPr="00D839EE" w:rsidR="00DA1D68">
        <w:rPr>
          <w:sz w:val="22"/>
          <w:szCs w:val="22"/>
        </w:rPr>
        <w:t>be</w:t>
      </w:r>
      <w:r w:rsidRPr="00D839EE" w:rsidR="0069196F">
        <w:rPr>
          <w:sz w:val="22"/>
          <w:szCs w:val="22"/>
        </w:rPr>
        <w:t>en</w:t>
      </w:r>
      <w:r w:rsidRPr="00D839EE" w:rsidR="00DA1D68">
        <w:rPr>
          <w:sz w:val="22"/>
          <w:szCs w:val="22"/>
        </w:rPr>
        <w:t xml:space="preserve"> responsive to the Co</w:t>
      </w:r>
      <w:r w:rsidRPr="00D839EE" w:rsidR="00F04CC6">
        <w:rPr>
          <w:sz w:val="22"/>
          <w:szCs w:val="22"/>
        </w:rPr>
        <w:t>mmission’s direction in SRM</w:t>
      </w:r>
      <w:r w:rsidRPr="00D839EE" w:rsidR="007627A2">
        <w:rPr>
          <w:sz w:val="22"/>
          <w:szCs w:val="22"/>
        </w:rPr>
        <w:noBreakHyphen/>
      </w:r>
      <w:r w:rsidRPr="00D839EE" w:rsidR="00F04CC6">
        <w:rPr>
          <w:sz w:val="22"/>
          <w:szCs w:val="22"/>
        </w:rPr>
        <w:t>M080317B</w:t>
      </w:r>
      <w:r w:rsidR="007B4840">
        <w:rPr>
          <w:sz w:val="22"/>
          <w:szCs w:val="22"/>
        </w:rPr>
        <w:t xml:space="preserve"> </w:t>
      </w:r>
      <w:r w:rsidRPr="00A4475E" w:rsidR="007B4840">
        <w:rPr>
          <w:sz w:val="22"/>
          <w:szCs w:val="22"/>
        </w:rPr>
        <w:t>(</w:t>
      </w:r>
      <w:r w:rsidRPr="00C520D9" w:rsidR="007B4840">
        <w:rPr>
          <w:sz w:val="22"/>
          <w:szCs w:val="22"/>
        </w:rPr>
        <w:t>Ref</w:t>
      </w:r>
      <w:r w:rsidR="00536E60">
        <w:rPr>
          <w:sz w:val="22"/>
          <w:szCs w:val="22"/>
        </w:rPr>
        <w:t>.</w:t>
      </w:r>
      <w:r w:rsidRPr="00C520D9" w:rsidR="007B4840">
        <w:rPr>
          <w:sz w:val="22"/>
          <w:szCs w:val="22"/>
        </w:rPr>
        <w:t xml:space="preserve"> 10</w:t>
      </w:r>
      <w:r w:rsidR="007B4840">
        <w:rPr>
          <w:sz w:val="22"/>
          <w:szCs w:val="22"/>
        </w:rPr>
        <w:t>)</w:t>
      </w:r>
      <w:r w:rsidRPr="00D839EE" w:rsidR="00F04CC6">
        <w:rPr>
          <w:sz w:val="22"/>
          <w:szCs w:val="22"/>
        </w:rPr>
        <w:t>.</w:t>
      </w:r>
      <w:r w:rsidRPr="00D839EE">
        <w:rPr>
          <w:sz w:val="22"/>
          <w:szCs w:val="22"/>
        </w:rPr>
        <w:t xml:space="preserve">  </w:t>
      </w:r>
      <w:r w:rsidR="00BF42F9">
        <w:rPr>
          <w:sz w:val="22"/>
          <w:szCs w:val="22"/>
        </w:rPr>
        <w:t xml:space="preserve">This option does not address </w:t>
      </w:r>
      <w:r w:rsidR="00C503D4">
        <w:rPr>
          <w:sz w:val="22"/>
          <w:szCs w:val="22"/>
        </w:rPr>
        <w:t>issues identified with</w:t>
      </w:r>
      <w:r w:rsidR="00BF42F9">
        <w:rPr>
          <w:sz w:val="22"/>
          <w:szCs w:val="22"/>
        </w:rPr>
        <w:t xml:space="preserve"> timely renewal or the lack of periodic FSAR updates.  </w:t>
      </w:r>
      <w:r w:rsidRPr="00D839EE" w:rsidR="00EE6B85">
        <w:rPr>
          <w:sz w:val="22"/>
          <w:szCs w:val="22"/>
        </w:rPr>
        <w:t xml:space="preserve">Stakeholders voiced opposition to </w:t>
      </w:r>
      <w:r w:rsidRPr="00D839EE" w:rsidR="00346714">
        <w:rPr>
          <w:sz w:val="22"/>
          <w:szCs w:val="22"/>
        </w:rPr>
        <w:t>the status quo</w:t>
      </w:r>
      <w:r w:rsidRPr="00D839EE" w:rsidR="00EE6B85">
        <w:rPr>
          <w:sz w:val="22"/>
          <w:szCs w:val="22"/>
        </w:rPr>
        <w:t xml:space="preserve"> during </w:t>
      </w:r>
      <w:r w:rsidR="00205038">
        <w:rPr>
          <w:sz w:val="22"/>
          <w:szCs w:val="22"/>
        </w:rPr>
        <w:t>a public meeting on</w:t>
      </w:r>
      <w:r w:rsidRPr="00D839EE" w:rsidR="00EE6B85">
        <w:rPr>
          <w:sz w:val="22"/>
          <w:szCs w:val="22"/>
        </w:rPr>
        <w:t xml:space="preserve"> December</w:t>
      </w:r>
      <w:r w:rsidR="002844A2">
        <w:rPr>
          <w:sz w:val="22"/>
          <w:szCs w:val="22"/>
        </w:rPr>
        <w:t> </w:t>
      </w:r>
      <w:r w:rsidRPr="00D839EE" w:rsidR="00EE6B85">
        <w:rPr>
          <w:sz w:val="22"/>
          <w:szCs w:val="22"/>
        </w:rPr>
        <w:t>19,</w:t>
      </w:r>
      <w:r w:rsidR="002844A2">
        <w:rPr>
          <w:sz w:val="22"/>
          <w:szCs w:val="22"/>
        </w:rPr>
        <w:t> </w:t>
      </w:r>
      <w:r w:rsidRPr="00D839EE" w:rsidR="00EE6B85">
        <w:rPr>
          <w:sz w:val="22"/>
          <w:szCs w:val="22"/>
        </w:rPr>
        <w:t>2011</w:t>
      </w:r>
      <w:r w:rsidRPr="00D839EE" w:rsidR="00DA1D68">
        <w:rPr>
          <w:sz w:val="22"/>
          <w:szCs w:val="22"/>
        </w:rPr>
        <w:t>,</w:t>
      </w:r>
      <w:r w:rsidRPr="00D839EE" w:rsidR="00EE6B85">
        <w:rPr>
          <w:sz w:val="22"/>
          <w:szCs w:val="22"/>
        </w:rPr>
        <w:t xml:space="preserve"> because it would not</w:t>
      </w:r>
      <w:r w:rsidRPr="00D839EE" w:rsidR="0069196F">
        <w:rPr>
          <w:sz w:val="22"/>
          <w:szCs w:val="22"/>
        </w:rPr>
        <w:t xml:space="preserve"> have</w:t>
      </w:r>
      <w:r w:rsidRPr="00D839EE" w:rsidR="00EE6B85">
        <w:rPr>
          <w:sz w:val="22"/>
          <w:szCs w:val="22"/>
        </w:rPr>
        <w:t xml:space="preserve"> </w:t>
      </w:r>
      <w:r w:rsidRPr="00D839EE" w:rsidR="004021A0">
        <w:rPr>
          <w:sz w:val="22"/>
          <w:szCs w:val="22"/>
        </w:rPr>
        <w:t>incorporate</w:t>
      </w:r>
      <w:r w:rsidRPr="00D839EE" w:rsidR="0069196F">
        <w:rPr>
          <w:sz w:val="22"/>
          <w:szCs w:val="22"/>
        </w:rPr>
        <w:t>d</w:t>
      </w:r>
      <w:r w:rsidRPr="00D839EE" w:rsidR="004021A0">
        <w:rPr>
          <w:sz w:val="22"/>
          <w:szCs w:val="22"/>
        </w:rPr>
        <w:t xml:space="preserve"> </w:t>
      </w:r>
      <w:r w:rsidRPr="00D839EE" w:rsidR="00EE6B85">
        <w:rPr>
          <w:sz w:val="22"/>
          <w:szCs w:val="22"/>
        </w:rPr>
        <w:t xml:space="preserve">lessons learned from </w:t>
      </w:r>
      <w:r w:rsidRPr="00D839EE" w:rsidR="00DA1D68">
        <w:rPr>
          <w:sz w:val="22"/>
          <w:szCs w:val="22"/>
        </w:rPr>
        <w:t xml:space="preserve">the recent </w:t>
      </w:r>
      <w:r w:rsidRPr="00D839EE" w:rsidR="003C0564">
        <w:rPr>
          <w:sz w:val="22"/>
          <w:szCs w:val="22"/>
        </w:rPr>
        <w:t xml:space="preserve">NPUF </w:t>
      </w:r>
      <w:r w:rsidRPr="00D839EE" w:rsidR="00EE6B85">
        <w:rPr>
          <w:sz w:val="22"/>
          <w:szCs w:val="22"/>
        </w:rPr>
        <w:t>license renewal application reviews.  As a result, this option would not</w:t>
      </w:r>
      <w:r w:rsidRPr="00D839EE" w:rsidR="0069196F">
        <w:rPr>
          <w:sz w:val="22"/>
          <w:szCs w:val="22"/>
        </w:rPr>
        <w:t xml:space="preserve"> have</w:t>
      </w:r>
      <w:r w:rsidRPr="00D839EE" w:rsidR="00EE6B85">
        <w:rPr>
          <w:sz w:val="22"/>
          <w:szCs w:val="22"/>
        </w:rPr>
        <w:t xml:space="preserve"> achieve</w:t>
      </w:r>
      <w:r w:rsidRPr="00D839EE" w:rsidR="0069196F">
        <w:rPr>
          <w:sz w:val="22"/>
          <w:szCs w:val="22"/>
        </w:rPr>
        <w:t>d</w:t>
      </w:r>
      <w:r w:rsidRPr="00D839EE" w:rsidR="00EE6B85">
        <w:rPr>
          <w:sz w:val="22"/>
          <w:szCs w:val="22"/>
        </w:rPr>
        <w:t xml:space="preserve"> the NRC’s objectives.</w:t>
      </w:r>
    </w:p>
    <w:p w:rsidR="00833116" w:rsidRPr="00D839EE" w:rsidP="00346B95" w14:paraId="7F4934D0" w14:textId="77777777">
      <w:pPr>
        <w:pStyle w:val="Heading2"/>
        <w:spacing w:after="240"/>
        <w:ind w:left="720" w:hanging="720"/>
        <w:rPr>
          <w:b w:val="0"/>
          <w:i w:val="0"/>
        </w:rPr>
      </w:pPr>
      <w:bookmarkStart w:id="37" w:name="_Toc530073275"/>
      <w:bookmarkStart w:id="38" w:name="_Toc443852786"/>
      <w:bookmarkStart w:id="39" w:name="_Toc534037092"/>
      <w:bookmarkStart w:id="40" w:name="_Toc534699712"/>
      <w:bookmarkStart w:id="41" w:name="_Toc536603279"/>
      <w:r w:rsidRPr="00D839EE">
        <w:t>2.2</w:t>
      </w:r>
      <w:r w:rsidRPr="00D839EE">
        <w:tab/>
        <w:t xml:space="preserve">Option 2: </w:t>
      </w:r>
      <w:r w:rsidRPr="00D839EE" w:rsidR="00AB4683">
        <w:t xml:space="preserve"> </w:t>
      </w:r>
      <w:r w:rsidRPr="00D839EE">
        <w:t xml:space="preserve">Undertake Rulemaking to Require </w:t>
      </w:r>
      <w:r w:rsidR="00C55A2E">
        <w:t xml:space="preserve">Submission of </w:t>
      </w:r>
      <w:r w:rsidRPr="00D839EE">
        <w:t>Final Safety Analysis Report Updates and Revise the Timely Renewal Provision</w:t>
      </w:r>
      <w:r w:rsidRPr="00D839EE" w:rsidR="000D0068">
        <w:t xml:space="preserve"> </w:t>
      </w:r>
      <w:r w:rsidR="002844A2">
        <w:t>(</w:t>
      </w:r>
      <w:r w:rsidRPr="00D839EE" w:rsidR="000D0068">
        <w:t>Not Selected</w:t>
      </w:r>
      <w:bookmarkEnd w:id="37"/>
      <w:r w:rsidR="002844A2">
        <w:t>)</w:t>
      </w:r>
      <w:bookmarkEnd w:id="38"/>
      <w:bookmarkEnd w:id="39"/>
      <w:bookmarkEnd w:id="40"/>
      <w:bookmarkEnd w:id="41"/>
    </w:p>
    <w:p w:rsidR="00F05893" w:rsidRPr="00D839EE" w:rsidP="00491A3A" w14:paraId="7F4934D1" w14:textId="77777777">
      <w:pPr>
        <w:rPr>
          <w:sz w:val="22"/>
          <w:szCs w:val="22"/>
        </w:rPr>
      </w:pPr>
      <w:r w:rsidRPr="00D839EE">
        <w:rPr>
          <w:sz w:val="22"/>
          <w:szCs w:val="22"/>
        </w:rPr>
        <w:t>Under Option 2</w:t>
      </w:r>
      <w:r w:rsidRPr="00D839EE" w:rsidR="000D0068">
        <w:rPr>
          <w:sz w:val="22"/>
          <w:szCs w:val="22"/>
        </w:rPr>
        <w:t xml:space="preserve"> (not selected)</w:t>
      </w:r>
      <w:r w:rsidRPr="00D839EE">
        <w:rPr>
          <w:sz w:val="22"/>
          <w:szCs w:val="22"/>
        </w:rPr>
        <w:t>, the NRC would</w:t>
      </w:r>
      <w:r w:rsidRPr="00D839EE" w:rsidR="00207C2E">
        <w:rPr>
          <w:sz w:val="22"/>
          <w:szCs w:val="22"/>
        </w:rPr>
        <w:t xml:space="preserve"> have</w:t>
      </w:r>
      <w:r w:rsidRPr="00D839EE">
        <w:rPr>
          <w:sz w:val="22"/>
          <w:szCs w:val="22"/>
        </w:rPr>
        <w:t xml:space="preserve"> revise</w:t>
      </w:r>
      <w:r w:rsidRPr="00D839EE" w:rsidR="00207C2E">
        <w:rPr>
          <w:sz w:val="22"/>
          <w:szCs w:val="22"/>
        </w:rPr>
        <w:t>d</w:t>
      </w:r>
      <w:r w:rsidRPr="00D839EE">
        <w:rPr>
          <w:sz w:val="22"/>
          <w:szCs w:val="22"/>
        </w:rPr>
        <w:t xml:space="preserve"> its regulations to require all </w:t>
      </w:r>
      <w:r w:rsidR="0021485B">
        <w:rPr>
          <w:sz w:val="22"/>
          <w:szCs w:val="22"/>
        </w:rPr>
        <w:t>licensee</w:t>
      </w:r>
      <w:r w:rsidRPr="00D839EE">
        <w:rPr>
          <w:sz w:val="22"/>
          <w:szCs w:val="22"/>
        </w:rPr>
        <w:t xml:space="preserve">s to </w:t>
      </w:r>
      <w:r w:rsidRPr="00D839EE" w:rsidR="0007722A">
        <w:rPr>
          <w:sz w:val="22"/>
          <w:szCs w:val="22"/>
        </w:rPr>
        <w:t xml:space="preserve">submit (1) license renewal applications </w:t>
      </w:r>
      <w:r w:rsidR="00FF530B">
        <w:rPr>
          <w:sz w:val="22"/>
          <w:szCs w:val="22"/>
        </w:rPr>
        <w:t>2</w:t>
      </w:r>
      <w:r w:rsidRPr="00D839EE" w:rsidR="0007722A">
        <w:rPr>
          <w:sz w:val="22"/>
          <w:szCs w:val="22"/>
        </w:rPr>
        <w:t xml:space="preserve"> years in advance of license expiration (</w:t>
      </w:r>
      <w:r w:rsidRPr="00D839EE" w:rsidR="00471334">
        <w:rPr>
          <w:sz w:val="22"/>
          <w:szCs w:val="22"/>
        </w:rPr>
        <w:t>rather than</w:t>
      </w:r>
      <w:r w:rsidRPr="00D839EE" w:rsidR="0007722A">
        <w:rPr>
          <w:sz w:val="22"/>
          <w:szCs w:val="22"/>
        </w:rPr>
        <w:t xml:space="preserve"> the current 30 days) and (2) </w:t>
      </w:r>
      <w:r w:rsidRPr="0012580F" w:rsidR="00CE78EA">
        <w:rPr>
          <w:sz w:val="22"/>
          <w:szCs w:val="22"/>
        </w:rPr>
        <w:t>updated FSARs and subsequent FSAR updates to the NRC at intervals not to exceed 5 years</w:t>
      </w:r>
      <w:r w:rsidRPr="00D839EE">
        <w:rPr>
          <w:sz w:val="22"/>
          <w:szCs w:val="22"/>
        </w:rPr>
        <w:t>.</w:t>
      </w:r>
    </w:p>
    <w:p w:rsidR="00F05893" w:rsidRPr="00D839EE" w:rsidP="00491A3A" w14:paraId="7F4934D2" w14:textId="77777777">
      <w:pPr>
        <w:rPr>
          <w:sz w:val="22"/>
          <w:szCs w:val="22"/>
        </w:rPr>
      </w:pPr>
    </w:p>
    <w:p w:rsidR="00177194" w:rsidRPr="00D839EE" w:rsidP="00491A3A" w14:paraId="7F4934D3" w14:textId="77777777">
      <w:pPr>
        <w:rPr>
          <w:sz w:val="22"/>
          <w:szCs w:val="22"/>
        </w:rPr>
      </w:pPr>
      <w:r w:rsidRPr="00D839EE">
        <w:rPr>
          <w:sz w:val="22"/>
          <w:szCs w:val="22"/>
        </w:rPr>
        <w:t>The current timely renewal provision in 10 CFR 2.109(a) allows a</w:t>
      </w:r>
      <w:r w:rsidR="00203952">
        <w:rPr>
          <w:sz w:val="22"/>
          <w:szCs w:val="22"/>
        </w:rPr>
        <w:t xml:space="preserve"> </w:t>
      </w:r>
      <w:r w:rsidRPr="00D839EE" w:rsidR="004243F1">
        <w:rPr>
          <w:sz w:val="22"/>
          <w:szCs w:val="22"/>
        </w:rPr>
        <w:t xml:space="preserve">licensee </w:t>
      </w:r>
      <w:r w:rsidRPr="00D839EE">
        <w:rPr>
          <w:sz w:val="22"/>
          <w:szCs w:val="22"/>
        </w:rPr>
        <w:t xml:space="preserve">to continue operation as long as </w:t>
      </w:r>
      <w:r w:rsidRPr="00D839EE" w:rsidR="001503D9">
        <w:rPr>
          <w:sz w:val="22"/>
          <w:szCs w:val="22"/>
        </w:rPr>
        <w:t>it has</w:t>
      </w:r>
      <w:r w:rsidRPr="00D839EE">
        <w:rPr>
          <w:sz w:val="22"/>
          <w:szCs w:val="22"/>
        </w:rPr>
        <w:t xml:space="preserve"> submitted </w:t>
      </w:r>
      <w:r w:rsidRPr="00D839EE" w:rsidR="001503D9">
        <w:rPr>
          <w:sz w:val="22"/>
          <w:szCs w:val="22"/>
        </w:rPr>
        <w:t xml:space="preserve">its </w:t>
      </w:r>
      <w:r w:rsidRPr="00D839EE">
        <w:rPr>
          <w:sz w:val="22"/>
          <w:szCs w:val="22"/>
        </w:rPr>
        <w:t xml:space="preserve">license renewal application </w:t>
      </w:r>
      <w:r w:rsidR="00FF530B">
        <w:rPr>
          <w:sz w:val="22"/>
          <w:szCs w:val="22"/>
        </w:rPr>
        <w:t>more than</w:t>
      </w:r>
      <w:r w:rsidRPr="00D839EE">
        <w:rPr>
          <w:sz w:val="22"/>
          <w:szCs w:val="22"/>
        </w:rPr>
        <w:t xml:space="preserve"> 30 days before the expiration of </w:t>
      </w:r>
      <w:r w:rsidRPr="00D839EE" w:rsidR="001503D9">
        <w:rPr>
          <w:sz w:val="22"/>
          <w:szCs w:val="22"/>
        </w:rPr>
        <w:t xml:space="preserve">its </w:t>
      </w:r>
      <w:r w:rsidRPr="00D839EE">
        <w:rPr>
          <w:sz w:val="22"/>
          <w:szCs w:val="22"/>
        </w:rPr>
        <w:t xml:space="preserve">existing license.  </w:t>
      </w:r>
      <w:r w:rsidRPr="00444D3F" w:rsidR="00444D3F">
        <w:rPr>
          <w:sz w:val="22"/>
          <w:szCs w:val="22"/>
        </w:rPr>
        <w:t xml:space="preserve">Historical precedent indicates that 30 days is not a sufficient period of time for the NRC to adequately assess the sufficiency of a license renewal application for review.  As a result, the NRC accepted license renewal applications and addressed their deficiencies in the license renewal process through issuing </w:t>
      </w:r>
      <w:r w:rsidRPr="00444D3F" w:rsidR="00C5422F">
        <w:rPr>
          <w:sz w:val="22"/>
          <w:szCs w:val="22"/>
        </w:rPr>
        <w:t xml:space="preserve">to the licensee </w:t>
      </w:r>
      <w:r w:rsidRPr="00444D3F" w:rsidR="00444D3F">
        <w:rPr>
          <w:sz w:val="22"/>
          <w:szCs w:val="22"/>
        </w:rPr>
        <w:t>requests for additional information.  This approach increased the duration of the license renewal process and resulted in multiple facilities operating many years into a “timely renewal” period without renewed licenses.</w:t>
      </w:r>
      <w:r w:rsidRPr="00D839EE">
        <w:rPr>
          <w:sz w:val="22"/>
          <w:szCs w:val="22"/>
        </w:rPr>
        <w:t xml:space="preserve"> </w:t>
      </w:r>
      <w:r w:rsidR="00444D3F">
        <w:rPr>
          <w:sz w:val="22"/>
          <w:szCs w:val="22"/>
        </w:rPr>
        <w:t xml:space="preserve"> </w:t>
      </w:r>
      <w:r w:rsidRPr="00D839EE" w:rsidR="00B746F8">
        <w:rPr>
          <w:sz w:val="22"/>
          <w:szCs w:val="22"/>
        </w:rPr>
        <w:t>U</w:t>
      </w:r>
      <w:r w:rsidRPr="00D839EE">
        <w:rPr>
          <w:sz w:val="22"/>
          <w:szCs w:val="22"/>
        </w:rPr>
        <w:t xml:space="preserve">nder this option, </w:t>
      </w:r>
      <w:r w:rsidR="00437F1F">
        <w:rPr>
          <w:sz w:val="22"/>
          <w:szCs w:val="22"/>
        </w:rPr>
        <w:t xml:space="preserve">the NRC would have modified </w:t>
      </w:r>
      <w:r w:rsidR="0038097E">
        <w:rPr>
          <w:sz w:val="22"/>
          <w:szCs w:val="22"/>
        </w:rPr>
        <w:t>10 CFR </w:t>
      </w:r>
      <w:r w:rsidRPr="00D839EE">
        <w:rPr>
          <w:sz w:val="22"/>
          <w:szCs w:val="22"/>
        </w:rPr>
        <w:t xml:space="preserve">2.109(a) to require </w:t>
      </w:r>
      <w:r w:rsidR="0021485B">
        <w:rPr>
          <w:sz w:val="22"/>
          <w:szCs w:val="22"/>
        </w:rPr>
        <w:t>licensee</w:t>
      </w:r>
      <w:r w:rsidRPr="00D839EE" w:rsidR="003C0564">
        <w:rPr>
          <w:sz w:val="22"/>
          <w:szCs w:val="22"/>
        </w:rPr>
        <w:t>s</w:t>
      </w:r>
      <w:r w:rsidRPr="00D839EE">
        <w:rPr>
          <w:sz w:val="22"/>
          <w:szCs w:val="22"/>
        </w:rPr>
        <w:t xml:space="preserve"> to submit their license renewal applications </w:t>
      </w:r>
      <w:r w:rsidR="0038097E">
        <w:rPr>
          <w:sz w:val="22"/>
          <w:szCs w:val="22"/>
        </w:rPr>
        <w:t>2</w:t>
      </w:r>
      <w:r w:rsidR="00437F1F">
        <w:rPr>
          <w:sz w:val="22"/>
          <w:szCs w:val="22"/>
        </w:rPr>
        <w:t> </w:t>
      </w:r>
      <w:r w:rsidRPr="00D839EE">
        <w:rPr>
          <w:sz w:val="22"/>
          <w:szCs w:val="22"/>
        </w:rPr>
        <w:t xml:space="preserve">years </w:t>
      </w:r>
      <w:r w:rsidRPr="00D839EE" w:rsidR="00471334">
        <w:rPr>
          <w:sz w:val="22"/>
          <w:szCs w:val="22"/>
        </w:rPr>
        <w:t>(rather than the current 30</w:t>
      </w:r>
      <w:r w:rsidR="00C503D4">
        <w:rPr>
          <w:sz w:val="22"/>
          <w:szCs w:val="22"/>
        </w:rPr>
        <w:t> </w:t>
      </w:r>
      <w:r w:rsidRPr="00D839EE" w:rsidR="00471334">
        <w:rPr>
          <w:sz w:val="22"/>
          <w:szCs w:val="22"/>
        </w:rPr>
        <w:t xml:space="preserve">days) </w:t>
      </w:r>
      <w:r w:rsidRPr="00D839EE">
        <w:rPr>
          <w:sz w:val="22"/>
          <w:szCs w:val="22"/>
        </w:rPr>
        <w:t>before their license is set to expire</w:t>
      </w:r>
      <w:r w:rsidRPr="00D839EE" w:rsidR="009E159B">
        <w:rPr>
          <w:sz w:val="22"/>
          <w:szCs w:val="22"/>
        </w:rPr>
        <w:t xml:space="preserve">.  </w:t>
      </w:r>
      <w:r w:rsidRPr="00D839EE" w:rsidR="00017A13">
        <w:rPr>
          <w:sz w:val="22"/>
          <w:szCs w:val="22"/>
        </w:rPr>
        <w:t>This would</w:t>
      </w:r>
      <w:r w:rsidRPr="00D839EE" w:rsidR="00207C2E">
        <w:rPr>
          <w:sz w:val="22"/>
          <w:szCs w:val="22"/>
        </w:rPr>
        <w:t xml:space="preserve"> have</w:t>
      </w:r>
      <w:r w:rsidRPr="00D839EE" w:rsidR="00017A13">
        <w:rPr>
          <w:sz w:val="22"/>
          <w:szCs w:val="22"/>
        </w:rPr>
        <w:t xml:space="preserve"> grant</w:t>
      </w:r>
      <w:r w:rsidRPr="00D839EE" w:rsidR="00207C2E">
        <w:rPr>
          <w:sz w:val="22"/>
          <w:szCs w:val="22"/>
        </w:rPr>
        <w:t>ed</w:t>
      </w:r>
      <w:r w:rsidRPr="00D839EE" w:rsidR="00017A13">
        <w:rPr>
          <w:sz w:val="22"/>
          <w:szCs w:val="22"/>
        </w:rPr>
        <w:t xml:space="preserve"> </w:t>
      </w:r>
      <w:r w:rsidRPr="00D839EE" w:rsidR="00AB4683">
        <w:rPr>
          <w:sz w:val="22"/>
          <w:szCs w:val="22"/>
        </w:rPr>
        <w:t xml:space="preserve">the </w:t>
      </w:r>
      <w:r w:rsidRPr="00D839EE">
        <w:rPr>
          <w:sz w:val="22"/>
          <w:szCs w:val="22"/>
        </w:rPr>
        <w:t>NRC time to thoroughly revi</w:t>
      </w:r>
      <w:r w:rsidRPr="00D839EE" w:rsidR="00D40ADC">
        <w:rPr>
          <w:sz w:val="22"/>
          <w:szCs w:val="22"/>
        </w:rPr>
        <w:t xml:space="preserve">ew an application and address any missing elements without having to </w:t>
      </w:r>
      <w:r w:rsidRPr="00D839EE" w:rsidR="00B746F8">
        <w:rPr>
          <w:sz w:val="22"/>
          <w:szCs w:val="22"/>
        </w:rPr>
        <w:t>prolong the full review of the license renewal application</w:t>
      </w:r>
      <w:r w:rsidRPr="00D839EE" w:rsidR="00D40ADC">
        <w:rPr>
          <w:sz w:val="22"/>
          <w:szCs w:val="22"/>
        </w:rPr>
        <w:t>.</w:t>
      </w:r>
    </w:p>
    <w:p w:rsidR="00B06DF8" w:rsidRPr="00D839EE" w:rsidP="00491A3A" w14:paraId="7F4934D4" w14:textId="77777777">
      <w:pPr>
        <w:rPr>
          <w:sz w:val="22"/>
          <w:szCs w:val="22"/>
        </w:rPr>
      </w:pPr>
    </w:p>
    <w:p w:rsidR="00B06DF8" w:rsidRPr="00D839EE" w:rsidP="00491A3A" w14:paraId="7F4934D5" w14:textId="77777777">
      <w:pPr>
        <w:rPr>
          <w:sz w:val="22"/>
          <w:szCs w:val="22"/>
        </w:rPr>
      </w:pPr>
      <w:r w:rsidRPr="00D839EE">
        <w:rPr>
          <w:sz w:val="22"/>
          <w:szCs w:val="22"/>
        </w:rPr>
        <w:t>This option also would</w:t>
      </w:r>
      <w:r w:rsidRPr="00D839EE" w:rsidR="00207C2E">
        <w:rPr>
          <w:sz w:val="22"/>
          <w:szCs w:val="22"/>
        </w:rPr>
        <w:t xml:space="preserve"> have</w:t>
      </w:r>
      <w:r w:rsidRPr="00D839EE">
        <w:rPr>
          <w:sz w:val="22"/>
          <w:szCs w:val="22"/>
        </w:rPr>
        <w:t xml:space="preserve"> require</w:t>
      </w:r>
      <w:r w:rsidRPr="00D839EE" w:rsidR="00207C2E">
        <w:rPr>
          <w:sz w:val="22"/>
          <w:szCs w:val="22"/>
        </w:rPr>
        <w:t>d</w:t>
      </w:r>
      <w:r w:rsidRPr="00D839EE">
        <w:rPr>
          <w:sz w:val="22"/>
          <w:szCs w:val="22"/>
        </w:rPr>
        <w:t xml:space="preserve"> licensees to </w:t>
      </w:r>
      <w:r w:rsidRPr="0012580F" w:rsidR="0012580F">
        <w:rPr>
          <w:sz w:val="22"/>
          <w:szCs w:val="22"/>
        </w:rPr>
        <w:t>submit updated FSARs and subsequent FSAR updates to the NRC at intervals not to exceed 5 years</w:t>
      </w:r>
      <w:r w:rsidRPr="00D839EE" w:rsidR="002F4356">
        <w:rPr>
          <w:sz w:val="22"/>
          <w:szCs w:val="22"/>
        </w:rPr>
        <w:t xml:space="preserve">.  </w:t>
      </w:r>
      <w:r w:rsidRPr="00D839EE" w:rsidR="00D9244F">
        <w:rPr>
          <w:sz w:val="22"/>
          <w:szCs w:val="22"/>
        </w:rPr>
        <w:t>Under current regulations, licensees are not required to</w:t>
      </w:r>
      <w:r w:rsidRPr="00D839EE">
        <w:rPr>
          <w:sz w:val="22"/>
          <w:szCs w:val="22"/>
        </w:rPr>
        <w:t xml:space="preserve"> submit</w:t>
      </w:r>
      <w:r w:rsidRPr="00D839EE" w:rsidR="00D9244F">
        <w:rPr>
          <w:sz w:val="22"/>
          <w:szCs w:val="22"/>
        </w:rPr>
        <w:t xml:space="preserve"> update</w:t>
      </w:r>
      <w:r w:rsidRPr="00D839EE">
        <w:rPr>
          <w:sz w:val="22"/>
          <w:szCs w:val="22"/>
        </w:rPr>
        <w:t>d</w:t>
      </w:r>
      <w:r w:rsidRPr="00D839EE" w:rsidR="00D9244F">
        <w:rPr>
          <w:sz w:val="22"/>
          <w:szCs w:val="22"/>
        </w:rPr>
        <w:t xml:space="preserve"> </w:t>
      </w:r>
      <w:r w:rsidRPr="00D839EE">
        <w:rPr>
          <w:sz w:val="22"/>
          <w:szCs w:val="22"/>
        </w:rPr>
        <w:t>F</w:t>
      </w:r>
      <w:r w:rsidRPr="00D839EE" w:rsidR="00D9244F">
        <w:rPr>
          <w:sz w:val="22"/>
          <w:szCs w:val="22"/>
        </w:rPr>
        <w:t>SARs</w:t>
      </w:r>
      <w:r w:rsidRPr="00D839EE">
        <w:rPr>
          <w:sz w:val="22"/>
          <w:szCs w:val="22"/>
        </w:rPr>
        <w:t xml:space="preserve"> on a periodic basis</w:t>
      </w:r>
      <w:r w:rsidRPr="00D839EE" w:rsidR="0007722A">
        <w:rPr>
          <w:sz w:val="22"/>
          <w:szCs w:val="22"/>
        </w:rPr>
        <w:t xml:space="preserve">.  </w:t>
      </w:r>
      <w:r w:rsidRPr="00D839EE">
        <w:rPr>
          <w:sz w:val="22"/>
          <w:szCs w:val="22"/>
        </w:rPr>
        <w:t>D</w:t>
      </w:r>
      <w:r w:rsidRPr="00D839EE" w:rsidR="0007722A">
        <w:rPr>
          <w:sz w:val="22"/>
          <w:szCs w:val="22"/>
        </w:rPr>
        <w:t>uring the most recent round of license renewal</w:t>
      </w:r>
      <w:r w:rsidR="00964AA1">
        <w:rPr>
          <w:sz w:val="22"/>
          <w:szCs w:val="22"/>
        </w:rPr>
        <w:t>s</w:t>
      </w:r>
      <w:r w:rsidRPr="00D839EE" w:rsidR="0007722A">
        <w:rPr>
          <w:sz w:val="22"/>
          <w:szCs w:val="22"/>
        </w:rPr>
        <w:t xml:space="preserve">, the NRC found that </w:t>
      </w:r>
      <w:r w:rsidRPr="00C503D4" w:rsidR="00C503D4">
        <w:rPr>
          <w:sz w:val="22"/>
          <w:szCs w:val="22"/>
        </w:rPr>
        <w:t>some of the submitted FSARs did not adequately reflect the current licensing basis for the respective licensees</w:t>
      </w:r>
      <w:r w:rsidRPr="00D839EE" w:rsidR="005B54E9">
        <w:rPr>
          <w:sz w:val="22"/>
          <w:szCs w:val="22"/>
        </w:rPr>
        <w:t>.</w:t>
      </w:r>
      <w:r w:rsidRPr="00D839EE" w:rsidR="007959CA">
        <w:rPr>
          <w:sz w:val="22"/>
          <w:szCs w:val="22"/>
        </w:rPr>
        <w:t xml:space="preserve">  </w:t>
      </w:r>
      <w:r w:rsidRPr="00D839EE">
        <w:rPr>
          <w:sz w:val="22"/>
          <w:szCs w:val="22"/>
        </w:rPr>
        <w:t xml:space="preserve">As a result, licensees </w:t>
      </w:r>
      <w:r w:rsidRPr="00D839EE" w:rsidR="007959CA">
        <w:rPr>
          <w:sz w:val="22"/>
          <w:szCs w:val="22"/>
        </w:rPr>
        <w:t xml:space="preserve">had to reconstitute </w:t>
      </w:r>
      <w:r w:rsidRPr="00D839EE">
        <w:rPr>
          <w:sz w:val="22"/>
          <w:szCs w:val="22"/>
        </w:rPr>
        <w:t xml:space="preserve">their </w:t>
      </w:r>
      <w:r w:rsidRPr="00D839EE" w:rsidR="007959CA">
        <w:rPr>
          <w:sz w:val="22"/>
          <w:szCs w:val="22"/>
        </w:rPr>
        <w:t>licensing bas</w:t>
      </w:r>
      <w:r w:rsidR="00AC4EE1">
        <w:rPr>
          <w:sz w:val="22"/>
          <w:szCs w:val="22"/>
        </w:rPr>
        <w:t>i</w:t>
      </w:r>
      <w:r w:rsidRPr="00D839EE" w:rsidR="007959CA">
        <w:rPr>
          <w:sz w:val="22"/>
          <w:szCs w:val="22"/>
        </w:rPr>
        <w:t xml:space="preserve">s through the license renewal process. </w:t>
      </w:r>
      <w:r w:rsidRPr="00D839EE" w:rsidR="00CD69DA">
        <w:rPr>
          <w:sz w:val="22"/>
          <w:szCs w:val="22"/>
        </w:rPr>
        <w:t xml:space="preserve"> </w:t>
      </w:r>
      <w:r w:rsidRPr="00D839EE">
        <w:rPr>
          <w:sz w:val="22"/>
          <w:szCs w:val="22"/>
        </w:rPr>
        <w:t>T</w:t>
      </w:r>
      <w:r w:rsidRPr="00D839EE" w:rsidR="007959CA">
        <w:rPr>
          <w:sz w:val="22"/>
          <w:szCs w:val="22"/>
        </w:rPr>
        <w:t xml:space="preserve">he </w:t>
      </w:r>
      <w:r w:rsidRPr="00D839EE">
        <w:rPr>
          <w:sz w:val="22"/>
          <w:szCs w:val="22"/>
        </w:rPr>
        <w:t>reconstitution of licensing bas</w:t>
      </w:r>
      <w:r w:rsidR="005A2837">
        <w:rPr>
          <w:sz w:val="22"/>
          <w:szCs w:val="22"/>
        </w:rPr>
        <w:t>i</w:t>
      </w:r>
      <w:r w:rsidRPr="00D839EE">
        <w:rPr>
          <w:sz w:val="22"/>
          <w:szCs w:val="22"/>
        </w:rPr>
        <w:t xml:space="preserve">s added </w:t>
      </w:r>
      <w:r w:rsidRPr="00D839EE" w:rsidR="007959CA">
        <w:rPr>
          <w:sz w:val="22"/>
          <w:szCs w:val="22"/>
        </w:rPr>
        <w:t>burden on both licensees and the NRC</w:t>
      </w:r>
      <w:r w:rsidRPr="00D839EE">
        <w:rPr>
          <w:sz w:val="22"/>
          <w:szCs w:val="22"/>
        </w:rPr>
        <w:t xml:space="preserve"> and prolonged the license renewal process</w:t>
      </w:r>
      <w:r w:rsidRPr="00D839EE" w:rsidR="007959CA">
        <w:rPr>
          <w:sz w:val="22"/>
          <w:szCs w:val="22"/>
        </w:rPr>
        <w:t xml:space="preserve">. </w:t>
      </w:r>
      <w:r w:rsidRPr="00D839EE" w:rsidR="0007722A">
        <w:rPr>
          <w:sz w:val="22"/>
          <w:szCs w:val="22"/>
        </w:rPr>
        <w:t xml:space="preserve"> </w:t>
      </w:r>
      <w:r w:rsidRPr="00D839EE">
        <w:rPr>
          <w:sz w:val="22"/>
          <w:szCs w:val="22"/>
        </w:rPr>
        <w:t>T</w:t>
      </w:r>
      <w:r w:rsidRPr="00D839EE" w:rsidR="007959CA">
        <w:rPr>
          <w:sz w:val="22"/>
          <w:szCs w:val="22"/>
        </w:rPr>
        <w:t xml:space="preserve">his </w:t>
      </w:r>
      <w:r w:rsidRPr="00D839EE" w:rsidR="00476502">
        <w:rPr>
          <w:sz w:val="22"/>
          <w:szCs w:val="22"/>
        </w:rPr>
        <w:t xml:space="preserve">option </w:t>
      </w:r>
      <w:r w:rsidRPr="00D839EE" w:rsidR="002F4356">
        <w:rPr>
          <w:sz w:val="22"/>
          <w:szCs w:val="22"/>
        </w:rPr>
        <w:t>would</w:t>
      </w:r>
      <w:r w:rsidRPr="00D839EE" w:rsidR="00207C2E">
        <w:rPr>
          <w:sz w:val="22"/>
          <w:szCs w:val="22"/>
        </w:rPr>
        <w:t xml:space="preserve"> have</w:t>
      </w:r>
      <w:r w:rsidRPr="00D839EE" w:rsidR="002F4356">
        <w:rPr>
          <w:sz w:val="22"/>
          <w:szCs w:val="22"/>
        </w:rPr>
        <w:t xml:space="preserve"> </w:t>
      </w:r>
      <w:r w:rsidRPr="00D839EE">
        <w:rPr>
          <w:sz w:val="22"/>
          <w:szCs w:val="22"/>
        </w:rPr>
        <w:t>require</w:t>
      </w:r>
      <w:r w:rsidRPr="00D839EE" w:rsidR="00207C2E">
        <w:rPr>
          <w:sz w:val="22"/>
          <w:szCs w:val="22"/>
        </w:rPr>
        <w:t>d</w:t>
      </w:r>
      <w:r w:rsidRPr="00D839EE">
        <w:rPr>
          <w:sz w:val="22"/>
          <w:szCs w:val="22"/>
        </w:rPr>
        <w:t xml:space="preserve"> </w:t>
      </w:r>
      <w:r w:rsidRPr="00D839EE" w:rsidR="002F4356">
        <w:rPr>
          <w:sz w:val="22"/>
          <w:szCs w:val="22"/>
        </w:rPr>
        <w:t>that licensees submit</w:t>
      </w:r>
      <w:r w:rsidRPr="00D839EE" w:rsidR="0007722A">
        <w:rPr>
          <w:sz w:val="22"/>
          <w:szCs w:val="22"/>
        </w:rPr>
        <w:t xml:space="preserve"> </w:t>
      </w:r>
      <w:r w:rsidRPr="00D839EE" w:rsidR="002F4356">
        <w:rPr>
          <w:sz w:val="22"/>
          <w:szCs w:val="22"/>
        </w:rPr>
        <w:t>updates to their FSAR</w:t>
      </w:r>
      <w:r w:rsidRPr="00D839EE" w:rsidR="00AB4683">
        <w:rPr>
          <w:sz w:val="22"/>
          <w:szCs w:val="22"/>
        </w:rPr>
        <w:t>s</w:t>
      </w:r>
      <w:r w:rsidRPr="00D839EE" w:rsidR="002F4356">
        <w:rPr>
          <w:sz w:val="22"/>
          <w:szCs w:val="22"/>
        </w:rPr>
        <w:t xml:space="preserve"> </w:t>
      </w:r>
      <w:r w:rsidRPr="00D839EE" w:rsidR="007959CA">
        <w:rPr>
          <w:sz w:val="22"/>
          <w:szCs w:val="22"/>
        </w:rPr>
        <w:t xml:space="preserve">to the NRC </w:t>
      </w:r>
      <w:r w:rsidRPr="00D839EE" w:rsidR="002F4356">
        <w:rPr>
          <w:sz w:val="22"/>
          <w:szCs w:val="22"/>
        </w:rPr>
        <w:t xml:space="preserve">every </w:t>
      </w:r>
      <w:r w:rsidR="00DD30BA">
        <w:rPr>
          <w:sz w:val="22"/>
          <w:szCs w:val="22"/>
        </w:rPr>
        <w:t>5</w:t>
      </w:r>
      <w:r w:rsidRPr="00D839EE" w:rsidR="002F4356">
        <w:rPr>
          <w:sz w:val="22"/>
          <w:szCs w:val="22"/>
        </w:rPr>
        <w:t xml:space="preserve"> years</w:t>
      </w:r>
      <w:r w:rsidRPr="00D839EE" w:rsidR="00D9244F">
        <w:rPr>
          <w:sz w:val="22"/>
          <w:szCs w:val="22"/>
        </w:rPr>
        <w:t>.</w:t>
      </w:r>
      <w:r w:rsidR="00833711">
        <w:rPr>
          <w:sz w:val="22"/>
          <w:szCs w:val="22"/>
        </w:rPr>
        <w:t xml:space="preserve">  The submittal would have kept their licensing basis current and the NRC aware of any modifications.</w:t>
      </w:r>
    </w:p>
    <w:p w:rsidR="00F66C04" w:rsidRPr="00D839EE" w:rsidP="00491A3A" w14:paraId="7F4934D6" w14:textId="77777777">
      <w:pPr>
        <w:rPr>
          <w:sz w:val="22"/>
          <w:szCs w:val="22"/>
        </w:rPr>
      </w:pPr>
    </w:p>
    <w:p w:rsidR="005C31B4" w:rsidRPr="00D839EE" w:rsidP="00491A3A" w14:paraId="7F4934D7" w14:textId="77777777">
      <w:pPr>
        <w:rPr>
          <w:sz w:val="22"/>
          <w:szCs w:val="22"/>
        </w:rPr>
      </w:pPr>
      <w:r w:rsidRPr="00D839EE">
        <w:rPr>
          <w:sz w:val="22"/>
          <w:szCs w:val="22"/>
        </w:rPr>
        <w:t>The NRC expects that t</w:t>
      </w:r>
      <w:r w:rsidRPr="00D839EE" w:rsidR="00F66C04">
        <w:rPr>
          <w:sz w:val="22"/>
          <w:szCs w:val="22"/>
        </w:rPr>
        <w:t>his option would</w:t>
      </w:r>
      <w:r w:rsidRPr="00D839EE" w:rsidR="003E36D9">
        <w:rPr>
          <w:sz w:val="22"/>
          <w:szCs w:val="22"/>
        </w:rPr>
        <w:t xml:space="preserve"> have</w:t>
      </w:r>
      <w:r w:rsidRPr="00D839EE" w:rsidR="00F66C04">
        <w:rPr>
          <w:sz w:val="22"/>
          <w:szCs w:val="22"/>
        </w:rPr>
        <w:t xml:space="preserve"> reduce</w:t>
      </w:r>
      <w:r w:rsidRPr="00D839EE" w:rsidR="003E36D9">
        <w:rPr>
          <w:sz w:val="22"/>
          <w:szCs w:val="22"/>
        </w:rPr>
        <w:t>d</w:t>
      </w:r>
      <w:r w:rsidRPr="00D839EE" w:rsidR="00F66C04">
        <w:rPr>
          <w:sz w:val="22"/>
          <w:szCs w:val="22"/>
        </w:rPr>
        <w:t xml:space="preserve"> the burden </w:t>
      </w:r>
      <w:r w:rsidRPr="00D839EE">
        <w:rPr>
          <w:sz w:val="22"/>
          <w:szCs w:val="22"/>
        </w:rPr>
        <w:t xml:space="preserve">of the license renewal process on </w:t>
      </w:r>
      <w:r w:rsidRPr="00D839EE" w:rsidR="00F66C04">
        <w:rPr>
          <w:sz w:val="22"/>
          <w:szCs w:val="22"/>
        </w:rPr>
        <w:t xml:space="preserve">licensees and </w:t>
      </w:r>
      <w:r w:rsidRPr="00D839EE" w:rsidR="00AB4683">
        <w:rPr>
          <w:sz w:val="22"/>
          <w:szCs w:val="22"/>
        </w:rPr>
        <w:t xml:space="preserve">the </w:t>
      </w:r>
      <w:r w:rsidRPr="00D839EE" w:rsidR="00F66C04">
        <w:rPr>
          <w:sz w:val="22"/>
          <w:szCs w:val="22"/>
        </w:rPr>
        <w:t xml:space="preserve">NRC </w:t>
      </w:r>
      <w:r w:rsidR="00DD30BA">
        <w:rPr>
          <w:sz w:val="22"/>
          <w:szCs w:val="22"/>
        </w:rPr>
        <w:t>for</w:t>
      </w:r>
      <w:r w:rsidRPr="00D839EE">
        <w:rPr>
          <w:sz w:val="22"/>
          <w:szCs w:val="22"/>
        </w:rPr>
        <w:t xml:space="preserve"> the following</w:t>
      </w:r>
      <w:r w:rsidR="00DD30BA">
        <w:rPr>
          <w:sz w:val="22"/>
          <w:szCs w:val="22"/>
        </w:rPr>
        <w:t xml:space="preserve"> </w:t>
      </w:r>
      <w:r w:rsidR="004D77CD">
        <w:rPr>
          <w:sz w:val="22"/>
          <w:szCs w:val="22"/>
        </w:rPr>
        <w:t xml:space="preserve">two </w:t>
      </w:r>
      <w:r w:rsidR="00DD30BA">
        <w:rPr>
          <w:sz w:val="22"/>
          <w:szCs w:val="22"/>
        </w:rPr>
        <w:t>reasons</w:t>
      </w:r>
      <w:r w:rsidRPr="00D839EE">
        <w:rPr>
          <w:sz w:val="22"/>
          <w:szCs w:val="22"/>
        </w:rPr>
        <w:t>:</w:t>
      </w:r>
    </w:p>
    <w:p w:rsidR="005C31B4" w:rsidRPr="00D839EE" w:rsidP="00491A3A" w14:paraId="7F4934D8" w14:textId="77777777">
      <w:pPr>
        <w:rPr>
          <w:sz w:val="22"/>
          <w:szCs w:val="22"/>
        </w:rPr>
      </w:pPr>
    </w:p>
    <w:p w:rsidR="005C31B4" w:rsidRPr="00D839EE" w:rsidP="00346B95" w14:paraId="7F4934D9" w14:textId="77777777">
      <w:pPr>
        <w:pStyle w:val="ListParagraph"/>
        <w:numPr>
          <w:ilvl w:val="0"/>
          <w:numId w:val="5"/>
        </w:numPr>
        <w:ind w:hanging="720"/>
        <w:rPr>
          <w:sz w:val="22"/>
          <w:szCs w:val="22"/>
        </w:rPr>
      </w:pPr>
      <w:r w:rsidRPr="00D839EE">
        <w:rPr>
          <w:sz w:val="22"/>
          <w:szCs w:val="22"/>
        </w:rPr>
        <w:t xml:space="preserve">The current regulatory framework of 30 days is not sufficient for the NRC to complete a comprehensive acceptance review.  </w:t>
      </w:r>
      <w:r w:rsidRPr="00D839EE">
        <w:rPr>
          <w:sz w:val="22"/>
          <w:szCs w:val="22"/>
        </w:rPr>
        <w:t>A</w:t>
      </w:r>
      <w:r w:rsidRPr="00D839EE" w:rsidR="0007722A">
        <w:rPr>
          <w:sz w:val="22"/>
          <w:szCs w:val="22"/>
        </w:rPr>
        <w:t xml:space="preserve">dditional time </w:t>
      </w:r>
      <w:r w:rsidRPr="00D839EE" w:rsidR="00AE613D">
        <w:rPr>
          <w:sz w:val="22"/>
          <w:szCs w:val="22"/>
        </w:rPr>
        <w:t>would</w:t>
      </w:r>
      <w:r w:rsidRPr="00D839EE" w:rsidR="003E36D9">
        <w:rPr>
          <w:sz w:val="22"/>
          <w:szCs w:val="22"/>
        </w:rPr>
        <w:t xml:space="preserve"> have</w:t>
      </w:r>
      <w:r w:rsidRPr="00D839EE" w:rsidR="00AE613D">
        <w:rPr>
          <w:sz w:val="22"/>
          <w:szCs w:val="22"/>
        </w:rPr>
        <w:t xml:space="preserve"> </w:t>
      </w:r>
      <w:r w:rsidRPr="00D839EE" w:rsidR="001B31D6">
        <w:rPr>
          <w:sz w:val="22"/>
          <w:szCs w:val="22"/>
        </w:rPr>
        <w:t>streamline</w:t>
      </w:r>
      <w:r w:rsidRPr="00D839EE" w:rsidR="003E36D9">
        <w:rPr>
          <w:sz w:val="22"/>
          <w:szCs w:val="22"/>
        </w:rPr>
        <w:t>d</w:t>
      </w:r>
      <w:r w:rsidRPr="00D839EE" w:rsidR="001B31D6">
        <w:rPr>
          <w:sz w:val="22"/>
          <w:szCs w:val="22"/>
        </w:rPr>
        <w:t xml:space="preserve"> the overall license renewal process</w:t>
      </w:r>
      <w:r w:rsidRPr="00D839EE" w:rsidR="0070489B">
        <w:rPr>
          <w:sz w:val="22"/>
          <w:szCs w:val="22"/>
        </w:rPr>
        <w:t xml:space="preserve"> by addressing the adequacy of an application </w:t>
      </w:r>
      <w:r w:rsidR="00CD7DDE">
        <w:rPr>
          <w:sz w:val="22"/>
          <w:szCs w:val="22"/>
        </w:rPr>
        <w:t>before</w:t>
      </w:r>
      <w:r w:rsidRPr="00D839EE" w:rsidR="0070489B">
        <w:rPr>
          <w:sz w:val="22"/>
          <w:szCs w:val="22"/>
        </w:rPr>
        <w:t xml:space="preserve"> addressing the technical content of the application</w:t>
      </w:r>
      <w:r w:rsidRPr="00D839EE" w:rsidR="001B31D6">
        <w:rPr>
          <w:sz w:val="22"/>
          <w:szCs w:val="22"/>
        </w:rPr>
        <w:t>.</w:t>
      </w:r>
      <w:r w:rsidRPr="00D839EE">
        <w:rPr>
          <w:sz w:val="22"/>
          <w:szCs w:val="22"/>
        </w:rPr>
        <w:t xml:space="preserve"> </w:t>
      </w:r>
      <w:r w:rsidRPr="00D839EE" w:rsidR="00CA106E">
        <w:rPr>
          <w:sz w:val="22"/>
          <w:szCs w:val="22"/>
        </w:rPr>
        <w:t xml:space="preserve"> This </w:t>
      </w:r>
      <w:r w:rsidRPr="00D839EE" w:rsidR="004B1DC9">
        <w:rPr>
          <w:sz w:val="22"/>
          <w:szCs w:val="22"/>
        </w:rPr>
        <w:t>would</w:t>
      </w:r>
      <w:r w:rsidRPr="00D839EE" w:rsidR="003E36D9">
        <w:rPr>
          <w:sz w:val="22"/>
          <w:szCs w:val="22"/>
        </w:rPr>
        <w:t xml:space="preserve"> have</w:t>
      </w:r>
      <w:r w:rsidRPr="00D839EE" w:rsidR="004B1DC9">
        <w:rPr>
          <w:sz w:val="22"/>
          <w:szCs w:val="22"/>
        </w:rPr>
        <w:t xml:space="preserve"> </w:t>
      </w:r>
      <w:r w:rsidRPr="00D839EE" w:rsidR="00CA106E">
        <w:rPr>
          <w:sz w:val="22"/>
          <w:szCs w:val="22"/>
        </w:rPr>
        <w:t>result</w:t>
      </w:r>
      <w:r w:rsidRPr="00D839EE" w:rsidR="003E36D9">
        <w:rPr>
          <w:sz w:val="22"/>
          <w:szCs w:val="22"/>
        </w:rPr>
        <w:t>ed</w:t>
      </w:r>
      <w:r w:rsidRPr="00D839EE" w:rsidR="00CA106E">
        <w:rPr>
          <w:sz w:val="22"/>
          <w:szCs w:val="22"/>
        </w:rPr>
        <w:t xml:space="preserve"> in a decreased burden to </w:t>
      </w:r>
      <w:r w:rsidRPr="00D839EE" w:rsidR="00AB4683">
        <w:rPr>
          <w:sz w:val="22"/>
          <w:szCs w:val="22"/>
        </w:rPr>
        <w:t xml:space="preserve">the </w:t>
      </w:r>
      <w:r w:rsidRPr="00D839EE" w:rsidR="00CA106E">
        <w:rPr>
          <w:sz w:val="22"/>
          <w:szCs w:val="22"/>
        </w:rPr>
        <w:t xml:space="preserve">NRC and licensees and </w:t>
      </w:r>
      <w:r w:rsidRPr="00D839EE" w:rsidR="004B1DC9">
        <w:rPr>
          <w:sz w:val="22"/>
          <w:szCs w:val="22"/>
        </w:rPr>
        <w:t>would</w:t>
      </w:r>
      <w:r w:rsidRPr="00D839EE" w:rsidR="003E36D9">
        <w:rPr>
          <w:sz w:val="22"/>
          <w:szCs w:val="22"/>
        </w:rPr>
        <w:t xml:space="preserve"> have</w:t>
      </w:r>
      <w:r w:rsidRPr="00D839EE" w:rsidR="004B1DC9">
        <w:rPr>
          <w:sz w:val="22"/>
          <w:szCs w:val="22"/>
        </w:rPr>
        <w:t xml:space="preserve"> </w:t>
      </w:r>
      <w:r w:rsidRPr="00D839EE" w:rsidR="007525CF">
        <w:rPr>
          <w:sz w:val="22"/>
          <w:szCs w:val="22"/>
        </w:rPr>
        <w:t>create</w:t>
      </w:r>
      <w:r w:rsidRPr="00D839EE" w:rsidR="003E36D9">
        <w:rPr>
          <w:sz w:val="22"/>
          <w:szCs w:val="22"/>
        </w:rPr>
        <w:t>d</w:t>
      </w:r>
      <w:r w:rsidRPr="00D839EE" w:rsidR="007525CF">
        <w:rPr>
          <w:sz w:val="22"/>
          <w:szCs w:val="22"/>
        </w:rPr>
        <w:t xml:space="preserve"> </w:t>
      </w:r>
      <w:r w:rsidRPr="00D839EE" w:rsidR="006F6BE9">
        <w:rPr>
          <w:sz w:val="22"/>
          <w:szCs w:val="22"/>
        </w:rPr>
        <w:t>efficiencies in</w:t>
      </w:r>
      <w:r w:rsidRPr="00D839EE" w:rsidR="00CA106E">
        <w:rPr>
          <w:sz w:val="22"/>
          <w:szCs w:val="22"/>
        </w:rPr>
        <w:t xml:space="preserve"> the license renewal process.</w:t>
      </w:r>
    </w:p>
    <w:p w:rsidR="007525CF" w:rsidRPr="00D839EE" w:rsidP="00346B95" w14:paraId="7F4934DA" w14:textId="77777777">
      <w:pPr>
        <w:pStyle w:val="ListParagraph"/>
        <w:ind w:hanging="720"/>
        <w:rPr>
          <w:sz w:val="22"/>
          <w:szCs w:val="22"/>
        </w:rPr>
      </w:pPr>
    </w:p>
    <w:p w:rsidR="008A70D8" w:rsidRPr="00D839EE" w:rsidP="00346B95" w14:paraId="7F4934DB" w14:textId="77777777">
      <w:pPr>
        <w:pStyle w:val="ListParagraph"/>
        <w:numPr>
          <w:ilvl w:val="0"/>
          <w:numId w:val="5"/>
        </w:numPr>
        <w:ind w:hanging="720"/>
        <w:rPr>
          <w:sz w:val="22"/>
          <w:szCs w:val="22"/>
        </w:rPr>
      </w:pPr>
      <w:r w:rsidRPr="00D839EE">
        <w:rPr>
          <w:sz w:val="22"/>
          <w:szCs w:val="22"/>
        </w:rPr>
        <w:t xml:space="preserve">Requiring licensees to </w:t>
      </w:r>
      <w:r w:rsidRPr="0012580F" w:rsidR="0012580F">
        <w:rPr>
          <w:sz w:val="22"/>
          <w:szCs w:val="22"/>
        </w:rPr>
        <w:t>submit updated FSARs and subsequent FSAR updates to the NRC at intervals not to exceed 5 years</w:t>
      </w:r>
      <w:r w:rsidRPr="00D839EE" w:rsidR="00E239FD">
        <w:rPr>
          <w:sz w:val="22"/>
          <w:szCs w:val="22"/>
        </w:rPr>
        <w:t xml:space="preserve"> would</w:t>
      </w:r>
      <w:r w:rsidRPr="00D839EE" w:rsidR="003E36D9">
        <w:rPr>
          <w:sz w:val="22"/>
          <w:szCs w:val="22"/>
        </w:rPr>
        <w:t xml:space="preserve"> have</w:t>
      </w:r>
      <w:r w:rsidRPr="00D839EE" w:rsidR="00E239FD">
        <w:rPr>
          <w:sz w:val="22"/>
          <w:szCs w:val="22"/>
        </w:rPr>
        <w:t xml:space="preserve"> </w:t>
      </w:r>
      <w:r w:rsidR="00C503D4">
        <w:rPr>
          <w:sz w:val="22"/>
          <w:szCs w:val="22"/>
        </w:rPr>
        <w:t>led</w:t>
      </w:r>
      <w:r w:rsidRPr="00D839EE" w:rsidR="00C503D4">
        <w:rPr>
          <w:sz w:val="22"/>
          <w:szCs w:val="22"/>
        </w:rPr>
        <w:t xml:space="preserve"> </w:t>
      </w:r>
      <w:r w:rsidRPr="00D839EE" w:rsidR="00F13D1D">
        <w:rPr>
          <w:sz w:val="22"/>
          <w:szCs w:val="22"/>
        </w:rPr>
        <w:t xml:space="preserve">licensees to integrate changes to their facility operations and design into their licensing basis as they occur, ensuring that their </w:t>
      </w:r>
      <w:r w:rsidRPr="00D839EE">
        <w:rPr>
          <w:sz w:val="22"/>
          <w:szCs w:val="22"/>
        </w:rPr>
        <w:t xml:space="preserve">licensing </w:t>
      </w:r>
      <w:r w:rsidRPr="00D839EE" w:rsidR="00F13D1D">
        <w:rPr>
          <w:sz w:val="22"/>
          <w:szCs w:val="22"/>
        </w:rPr>
        <w:t xml:space="preserve">basis </w:t>
      </w:r>
      <w:r w:rsidRPr="00D839EE">
        <w:rPr>
          <w:sz w:val="22"/>
          <w:szCs w:val="22"/>
        </w:rPr>
        <w:t xml:space="preserve">remains </w:t>
      </w:r>
      <w:r w:rsidRPr="00D839EE" w:rsidR="00F13D1D">
        <w:rPr>
          <w:sz w:val="22"/>
          <w:szCs w:val="22"/>
        </w:rPr>
        <w:t>up</w:t>
      </w:r>
      <w:r w:rsidRPr="00D839EE" w:rsidR="00AB4683">
        <w:rPr>
          <w:sz w:val="22"/>
          <w:szCs w:val="22"/>
        </w:rPr>
        <w:t xml:space="preserve"> </w:t>
      </w:r>
      <w:r w:rsidRPr="00D839EE" w:rsidR="00F13D1D">
        <w:rPr>
          <w:sz w:val="22"/>
          <w:szCs w:val="22"/>
        </w:rPr>
        <w:t>to</w:t>
      </w:r>
      <w:r w:rsidRPr="00D839EE" w:rsidR="00AB4683">
        <w:rPr>
          <w:sz w:val="22"/>
          <w:szCs w:val="22"/>
        </w:rPr>
        <w:t xml:space="preserve"> </w:t>
      </w:r>
      <w:r w:rsidRPr="00D839EE" w:rsidR="00F13D1D">
        <w:rPr>
          <w:sz w:val="22"/>
          <w:szCs w:val="22"/>
        </w:rPr>
        <w:t xml:space="preserve">date.  </w:t>
      </w:r>
      <w:r w:rsidRPr="00D839EE">
        <w:rPr>
          <w:sz w:val="22"/>
          <w:szCs w:val="22"/>
        </w:rPr>
        <w:t>Therefore</w:t>
      </w:r>
      <w:r w:rsidRPr="00D839EE" w:rsidR="00C2523E">
        <w:rPr>
          <w:sz w:val="22"/>
          <w:szCs w:val="22"/>
        </w:rPr>
        <w:t xml:space="preserve">, the burden </w:t>
      </w:r>
      <w:r w:rsidRPr="00D839EE">
        <w:rPr>
          <w:sz w:val="22"/>
          <w:szCs w:val="22"/>
        </w:rPr>
        <w:t xml:space="preserve">on </w:t>
      </w:r>
      <w:r w:rsidRPr="00D839EE" w:rsidR="00AB4683">
        <w:rPr>
          <w:sz w:val="22"/>
          <w:szCs w:val="22"/>
        </w:rPr>
        <w:t xml:space="preserve">the </w:t>
      </w:r>
      <w:r w:rsidRPr="00D839EE">
        <w:rPr>
          <w:sz w:val="22"/>
          <w:szCs w:val="22"/>
        </w:rPr>
        <w:t xml:space="preserve">NRC and licensees </w:t>
      </w:r>
      <w:r w:rsidRPr="00D839EE" w:rsidR="00C2523E">
        <w:rPr>
          <w:sz w:val="22"/>
          <w:szCs w:val="22"/>
        </w:rPr>
        <w:t xml:space="preserve">associated with reconstituting each licensee’s licensing basis </w:t>
      </w:r>
      <w:r w:rsidRPr="00D839EE">
        <w:rPr>
          <w:sz w:val="22"/>
          <w:szCs w:val="22"/>
        </w:rPr>
        <w:t xml:space="preserve">during license renewal </w:t>
      </w:r>
      <w:r w:rsidR="00B8228B">
        <w:rPr>
          <w:sz w:val="22"/>
          <w:szCs w:val="22"/>
        </w:rPr>
        <w:t>w</w:t>
      </w:r>
      <w:r w:rsidRPr="00D839EE">
        <w:rPr>
          <w:sz w:val="22"/>
          <w:szCs w:val="22"/>
        </w:rPr>
        <w:t>ould</w:t>
      </w:r>
      <w:r w:rsidRPr="00D839EE" w:rsidR="009C5A90">
        <w:rPr>
          <w:sz w:val="22"/>
          <w:szCs w:val="22"/>
        </w:rPr>
        <w:t xml:space="preserve"> have</w:t>
      </w:r>
      <w:r w:rsidRPr="00D839EE">
        <w:rPr>
          <w:sz w:val="22"/>
          <w:szCs w:val="22"/>
        </w:rPr>
        <w:t xml:space="preserve"> be</w:t>
      </w:r>
      <w:r w:rsidRPr="00D839EE" w:rsidR="009C5A90">
        <w:rPr>
          <w:sz w:val="22"/>
          <w:szCs w:val="22"/>
        </w:rPr>
        <w:t>en</w:t>
      </w:r>
      <w:r w:rsidRPr="00D839EE">
        <w:rPr>
          <w:sz w:val="22"/>
          <w:szCs w:val="22"/>
        </w:rPr>
        <w:t xml:space="preserve"> avoided, resulting in decreased burden for both parties.</w:t>
      </w:r>
    </w:p>
    <w:p w:rsidR="00833116" w:rsidRPr="00D839EE" w:rsidP="00405AF8" w14:paraId="7F4934DD" w14:textId="77777777">
      <w:pPr>
        <w:rPr>
          <w:sz w:val="22"/>
          <w:szCs w:val="22"/>
        </w:rPr>
      </w:pPr>
      <w:r w:rsidRPr="00D839EE">
        <w:rPr>
          <w:sz w:val="22"/>
          <w:szCs w:val="22"/>
        </w:rPr>
        <w:t xml:space="preserve">Although </w:t>
      </w:r>
      <w:r w:rsidRPr="00D839EE" w:rsidR="00676FCD">
        <w:rPr>
          <w:sz w:val="22"/>
          <w:szCs w:val="22"/>
        </w:rPr>
        <w:t>this option</w:t>
      </w:r>
      <w:r w:rsidRPr="00D839EE">
        <w:rPr>
          <w:sz w:val="22"/>
          <w:szCs w:val="22"/>
        </w:rPr>
        <w:t xml:space="preserve"> would</w:t>
      </w:r>
      <w:r w:rsidRPr="00D839EE" w:rsidR="00E30E3D">
        <w:rPr>
          <w:sz w:val="22"/>
          <w:szCs w:val="22"/>
        </w:rPr>
        <w:t xml:space="preserve"> have</w:t>
      </w:r>
      <w:r w:rsidRPr="00D839EE">
        <w:rPr>
          <w:sz w:val="22"/>
          <w:szCs w:val="22"/>
        </w:rPr>
        <w:t xml:space="preserve"> provide</w:t>
      </w:r>
      <w:r w:rsidRPr="00D839EE" w:rsidR="00E30E3D">
        <w:rPr>
          <w:sz w:val="22"/>
          <w:szCs w:val="22"/>
        </w:rPr>
        <w:t>d</w:t>
      </w:r>
      <w:r w:rsidRPr="00D839EE">
        <w:rPr>
          <w:sz w:val="22"/>
          <w:szCs w:val="22"/>
        </w:rPr>
        <w:t xml:space="preserve"> some streamlining to the license renewal process</w:t>
      </w:r>
      <w:r w:rsidRPr="00D839EE" w:rsidR="00A360CC">
        <w:rPr>
          <w:sz w:val="22"/>
          <w:szCs w:val="22"/>
        </w:rPr>
        <w:t xml:space="preserve"> by allowing additional time for acceptance reviews and requiring more </w:t>
      </w:r>
      <w:r w:rsidRPr="00D839EE" w:rsidR="007714E2">
        <w:rPr>
          <w:sz w:val="22"/>
          <w:szCs w:val="22"/>
        </w:rPr>
        <w:t>frequent</w:t>
      </w:r>
      <w:r w:rsidRPr="00D839EE" w:rsidR="00A360CC">
        <w:rPr>
          <w:sz w:val="22"/>
          <w:szCs w:val="22"/>
        </w:rPr>
        <w:t xml:space="preserve"> submittals of FSAR</w:t>
      </w:r>
      <w:r w:rsidRPr="00D839EE" w:rsidR="00DE413F">
        <w:rPr>
          <w:sz w:val="22"/>
          <w:szCs w:val="22"/>
        </w:rPr>
        <w:t xml:space="preserve"> update</w:t>
      </w:r>
      <w:r w:rsidRPr="00D839EE" w:rsidR="00A360CC">
        <w:rPr>
          <w:sz w:val="22"/>
          <w:szCs w:val="22"/>
        </w:rPr>
        <w:t>s</w:t>
      </w:r>
      <w:r w:rsidRPr="00D839EE" w:rsidR="00B17A2D">
        <w:rPr>
          <w:sz w:val="22"/>
          <w:szCs w:val="22"/>
        </w:rPr>
        <w:t xml:space="preserve">, </w:t>
      </w:r>
      <w:r w:rsidRPr="00D839EE" w:rsidR="00C20464">
        <w:rPr>
          <w:sz w:val="22"/>
          <w:szCs w:val="22"/>
        </w:rPr>
        <w:t xml:space="preserve">all NPUF </w:t>
      </w:r>
      <w:r w:rsidRPr="00D839EE" w:rsidR="00F66C04">
        <w:rPr>
          <w:sz w:val="22"/>
          <w:szCs w:val="22"/>
        </w:rPr>
        <w:t>licensees would still have</w:t>
      </w:r>
      <w:r w:rsidRPr="00D839EE" w:rsidR="00E30E3D">
        <w:rPr>
          <w:sz w:val="22"/>
          <w:szCs w:val="22"/>
        </w:rPr>
        <w:t xml:space="preserve"> had</w:t>
      </w:r>
      <w:r w:rsidRPr="00D839EE" w:rsidR="00F66C04">
        <w:rPr>
          <w:sz w:val="22"/>
          <w:szCs w:val="22"/>
        </w:rPr>
        <w:t xml:space="preserve"> to </w:t>
      </w:r>
      <w:r w:rsidR="00C55A2E">
        <w:rPr>
          <w:sz w:val="22"/>
          <w:szCs w:val="22"/>
        </w:rPr>
        <w:t>undertake</w:t>
      </w:r>
      <w:r w:rsidRPr="00D839EE" w:rsidR="00F66C04">
        <w:rPr>
          <w:sz w:val="22"/>
          <w:szCs w:val="22"/>
        </w:rPr>
        <w:t xml:space="preserve"> a license renewal </w:t>
      </w:r>
      <w:r w:rsidRPr="00D839EE" w:rsidR="00B17A2D">
        <w:rPr>
          <w:sz w:val="22"/>
          <w:szCs w:val="22"/>
        </w:rPr>
        <w:t>application process</w:t>
      </w:r>
      <w:r w:rsidRPr="00D839EE" w:rsidR="00DE413F">
        <w:rPr>
          <w:sz w:val="22"/>
          <w:szCs w:val="22"/>
        </w:rPr>
        <w:t>,</w:t>
      </w:r>
      <w:r w:rsidRPr="00D839EE" w:rsidR="00B17A2D">
        <w:rPr>
          <w:sz w:val="22"/>
          <w:szCs w:val="22"/>
        </w:rPr>
        <w:t xml:space="preserve"> which would</w:t>
      </w:r>
      <w:r w:rsidRPr="00D839EE" w:rsidR="00E30E3D">
        <w:rPr>
          <w:sz w:val="22"/>
          <w:szCs w:val="22"/>
        </w:rPr>
        <w:t xml:space="preserve"> have</w:t>
      </w:r>
      <w:r w:rsidRPr="00D839EE" w:rsidR="00B17A2D">
        <w:rPr>
          <w:sz w:val="22"/>
          <w:szCs w:val="22"/>
        </w:rPr>
        <w:t xml:space="preserve"> continue</w:t>
      </w:r>
      <w:r w:rsidRPr="00D839EE" w:rsidR="00E30E3D">
        <w:rPr>
          <w:sz w:val="22"/>
          <w:szCs w:val="22"/>
        </w:rPr>
        <w:t>d</w:t>
      </w:r>
      <w:r w:rsidRPr="00D839EE" w:rsidR="00B17A2D">
        <w:rPr>
          <w:sz w:val="22"/>
          <w:szCs w:val="22"/>
        </w:rPr>
        <w:t xml:space="preserve"> to impose burden on these licensees</w:t>
      </w:r>
      <w:r w:rsidR="00C55A2E">
        <w:rPr>
          <w:sz w:val="22"/>
          <w:szCs w:val="22"/>
        </w:rPr>
        <w:t xml:space="preserve"> without corresponding benefits to public health and safety</w:t>
      </w:r>
      <w:r w:rsidRPr="00D839EE" w:rsidR="00B17A2D">
        <w:rPr>
          <w:sz w:val="22"/>
          <w:szCs w:val="22"/>
        </w:rPr>
        <w:t xml:space="preserve">.  </w:t>
      </w:r>
      <w:r w:rsidR="00845B07">
        <w:rPr>
          <w:sz w:val="22"/>
          <w:szCs w:val="22"/>
        </w:rPr>
        <w:t>Section 3.3 outlines t</w:t>
      </w:r>
      <w:r w:rsidRPr="00D839EE" w:rsidR="00A360CC">
        <w:rPr>
          <w:sz w:val="22"/>
          <w:szCs w:val="22"/>
        </w:rPr>
        <w:t>he costs</w:t>
      </w:r>
      <w:r w:rsidRPr="00D839EE" w:rsidR="00E30E3D">
        <w:rPr>
          <w:sz w:val="22"/>
          <w:szCs w:val="22"/>
        </w:rPr>
        <w:t xml:space="preserve"> that </w:t>
      </w:r>
      <w:r w:rsidR="00845B07">
        <w:rPr>
          <w:sz w:val="22"/>
          <w:szCs w:val="22"/>
        </w:rPr>
        <w:t xml:space="preserve">this option </w:t>
      </w:r>
      <w:r w:rsidRPr="00D839EE" w:rsidR="00E30E3D">
        <w:rPr>
          <w:sz w:val="22"/>
          <w:szCs w:val="22"/>
        </w:rPr>
        <w:t>would have</w:t>
      </w:r>
      <w:r w:rsidRPr="00D839EE" w:rsidR="00A360CC">
        <w:rPr>
          <w:sz w:val="22"/>
          <w:szCs w:val="22"/>
        </w:rPr>
        <w:t xml:space="preserve"> </w:t>
      </w:r>
      <w:r w:rsidRPr="00D839EE" w:rsidR="007714E2">
        <w:rPr>
          <w:sz w:val="22"/>
          <w:szCs w:val="22"/>
        </w:rPr>
        <w:t>imposed</w:t>
      </w:r>
      <w:r w:rsidRPr="00D839EE" w:rsidR="00A360CC">
        <w:rPr>
          <w:sz w:val="22"/>
          <w:szCs w:val="22"/>
        </w:rPr>
        <w:t xml:space="preserve">.  Even </w:t>
      </w:r>
      <w:r w:rsidRPr="00D839EE" w:rsidR="007714E2">
        <w:rPr>
          <w:sz w:val="22"/>
          <w:szCs w:val="22"/>
        </w:rPr>
        <w:t>though this option would</w:t>
      </w:r>
      <w:r w:rsidRPr="00D839EE" w:rsidR="00E30E3D">
        <w:rPr>
          <w:sz w:val="22"/>
          <w:szCs w:val="22"/>
        </w:rPr>
        <w:t xml:space="preserve"> have</w:t>
      </w:r>
      <w:r w:rsidRPr="00D839EE" w:rsidR="007714E2">
        <w:rPr>
          <w:sz w:val="22"/>
          <w:szCs w:val="22"/>
        </w:rPr>
        <w:t xml:space="preserve"> result</w:t>
      </w:r>
      <w:r w:rsidRPr="00D839EE" w:rsidR="00E30E3D">
        <w:rPr>
          <w:sz w:val="22"/>
          <w:szCs w:val="22"/>
        </w:rPr>
        <w:t>ed</w:t>
      </w:r>
      <w:r w:rsidRPr="00D839EE" w:rsidR="007714E2">
        <w:rPr>
          <w:sz w:val="22"/>
          <w:szCs w:val="22"/>
        </w:rPr>
        <w:t xml:space="preserve"> in some </w:t>
      </w:r>
      <w:r w:rsidRPr="00D839EE" w:rsidR="00A360CC">
        <w:rPr>
          <w:sz w:val="22"/>
          <w:szCs w:val="22"/>
        </w:rPr>
        <w:t xml:space="preserve">efficiencies, </w:t>
      </w:r>
      <w:r w:rsidRPr="00D839EE" w:rsidR="00676FCD">
        <w:rPr>
          <w:sz w:val="22"/>
          <w:szCs w:val="22"/>
        </w:rPr>
        <w:t>this option</w:t>
      </w:r>
      <w:r w:rsidRPr="00D839EE" w:rsidR="00A360CC">
        <w:rPr>
          <w:sz w:val="22"/>
          <w:szCs w:val="22"/>
        </w:rPr>
        <w:t xml:space="preserve"> </w:t>
      </w:r>
      <w:r w:rsidRPr="00D839EE" w:rsidR="00E30E3D">
        <w:rPr>
          <w:sz w:val="22"/>
          <w:szCs w:val="22"/>
        </w:rPr>
        <w:t>was</w:t>
      </w:r>
      <w:r w:rsidRPr="00D839EE" w:rsidR="00A360CC">
        <w:rPr>
          <w:sz w:val="22"/>
          <w:szCs w:val="22"/>
        </w:rPr>
        <w:t xml:space="preserve"> not cost-beneficial.</w:t>
      </w:r>
    </w:p>
    <w:p w:rsidR="00833116" w:rsidRPr="00D839EE" w:rsidP="00346B95" w14:paraId="7F4934DE" w14:textId="77777777">
      <w:pPr>
        <w:pStyle w:val="Heading2"/>
        <w:keepLines/>
        <w:spacing w:after="240"/>
        <w:ind w:left="720" w:hanging="720"/>
        <w:rPr>
          <w:b w:val="0"/>
          <w:i w:val="0"/>
        </w:rPr>
      </w:pPr>
      <w:bookmarkStart w:id="42" w:name="_Toc443852787"/>
      <w:bookmarkStart w:id="43" w:name="_Toc530073276"/>
      <w:bookmarkStart w:id="44" w:name="_Toc534037093"/>
      <w:bookmarkStart w:id="45" w:name="_Toc534699713"/>
      <w:bookmarkStart w:id="46" w:name="_Toc536603280"/>
      <w:r w:rsidRPr="00D839EE">
        <w:t>2.3</w:t>
      </w:r>
      <w:r w:rsidRPr="00D839EE">
        <w:tab/>
        <w:t xml:space="preserve">Option 3: </w:t>
      </w:r>
      <w:r w:rsidRPr="00D839EE" w:rsidR="00AB4683">
        <w:t xml:space="preserve"> </w:t>
      </w:r>
      <w:r w:rsidRPr="00D839EE">
        <w:t>Undertake Rulemaking to Require Final Safety Analysis Report Updates, Revise the Timely Renewal Provision, and Eliminate License Terms for Class 104a</w:t>
      </w:r>
      <w:r w:rsidRPr="00D839EE" w:rsidR="001274DB">
        <w:t xml:space="preserve"> or</w:t>
      </w:r>
      <w:r w:rsidRPr="00D839EE" w:rsidR="00A00A10">
        <w:t xml:space="preserve"> </w:t>
      </w:r>
      <w:r w:rsidRPr="00D839EE">
        <w:t>c Licensees</w:t>
      </w:r>
      <w:r w:rsidRPr="00D839EE" w:rsidR="006677A0">
        <w:t>, Other than Testing Facilities</w:t>
      </w:r>
      <w:r w:rsidRPr="00D839EE" w:rsidR="000D0068">
        <w:t xml:space="preserve"> </w:t>
      </w:r>
      <w:r w:rsidR="00D918C5">
        <w:t>(</w:t>
      </w:r>
      <w:r w:rsidRPr="00D839EE" w:rsidR="000D0068">
        <w:t>Selected</w:t>
      </w:r>
      <w:r w:rsidR="00D918C5">
        <w:t>—</w:t>
      </w:r>
      <w:r w:rsidRPr="00D839EE" w:rsidR="00BC5E9F">
        <w:t>Final</w:t>
      </w:r>
      <w:r w:rsidRPr="00D839EE" w:rsidR="000D0068">
        <w:t xml:space="preserve"> Rule</w:t>
      </w:r>
      <w:r w:rsidR="00D918C5">
        <w:t>)</w:t>
      </w:r>
      <w:bookmarkEnd w:id="42"/>
      <w:bookmarkEnd w:id="43"/>
      <w:bookmarkEnd w:id="44"/>
      <w:bookmarkEnd w:id="45"/>
      <w:bookmarkEnd w:id="46"/>
    </w:p>
    <w:p w:rsidR="00FC6F35" w:rsidRPr="00D839EE" w:rsidP="007A0014" w14:paraId="7F4934DF" w14:textId="77777777">
      <w:pPr>
        <w:keepNext/>
        <w:keepLines/>
        <w:rPr>
          <w:sz w:val="22"/>
          <w:szCs w:val="22"/>
        </w:rPr>
      </w:pPr>
      <w:r w:rsidRPr="00D839EE">
        <w:rPr>
          <w:sz w:val="22"/>
          <w:szCs w:val="22"/>
        </w:rPr>
        <w:t xml:space="preserve">Under </w:t>
      </w:r>
      <w:r w:rsidRPr="00D839EE" w:rsidR="00676FCD">
        <w:rPr>
          <w:sz w:val="22"/>
          <w:szCs w:val="22"/>
        </w:rPr>
        <w:t xml:space="preserve">Option 3 (the </w:t>
      </w:r>
      <w:r w:rsidRPr="00D839EE" w:rsidR="00BC5E9F">
        <w:rPr>
          <w:sz w:val="22"/>
          <w:szCs w:val="22"/>
        </w:rPr>
        <w:t>final</w:t>
      </w:r>
      <w:r w:rsidRPr="00D839EE" w:rsidR="00676FCD">
        <w:rPr>
          <w:sz w:val="22"/>
          <w:szCs w:val="22"/>
        </w:rPr>
        <w:t xml:space="preserve"> rule)</w:t>
      </w:r>
      <w:r w:rsidRPr="00D839EE">
        <w:rPr>
          <w:sz w:val="22"/>
          <w:szCs w:val="22"/>
        </w:rPr>
        <w:t>, the</w:t>
      </w:r>
      <w:r w:rsidRPr="00D839EE" w:rsidR="008711AD">
        <w:rPr>
          <w:sz w:val="22"/>
          <w:szCs w:val="22"/>
        </w:rPr>
        <w:t xml:space="preserve"> NRC </w:t>
      </w:r>
      <w:r w:rsidRPr="00D839EE" w:rsidR="00BC5E9F">
        <w:rPr>
          <w:sz w:val="22"/>
          <w:szCs w:val="22"/>
        </w:rPr>
        <w:t>will</w:t>
      </w:r>
      <w:r w:rsidRPr="00D839EE" w:rsidR="008711AD">
        <w:rPr>
          <w:sz w:val="22"/>
          <w:szCs w:val="22"/>
        </w:rPr>
        <w:t xml:space="preserve"> eliminate</w:t>
      </w:r>
      <w:r w:rsidRPr="00D839EE">
        <w:rPr>
          <w:sz w:val="22"/>
          <w:szCs w:val="22"/>
        </w:rPr>
        <w:t xml:space="preserve"> license terms for </w:t>
      </w:r>
      <w:r w:rsidRPr="00D839EE" w:rsidR="00471334">
        <w:rPr>
          <w:sz w:val="22"/>
          <w:szCs w:val="22"/>
        </w:rPr>
        <w:t>facilities</w:t>
      </w:r>
      <w:r w:rsidRPr="00D839EE" w:rsidR="007B2E8C">
        <w:rPr>
          <w:sz w:val="22"/>
          <w:szCs w:val="22"/>
        </w:rPr>
        <w:t>, other than testing facilities</w:t>
      </w:r>
      <w:r w:rsidR="007B2E8C">
        <w:rPr>
          <w:sz w:val="22"/>
          <w:szCs w:val="22"/>
        </w:rPr>
        <w:t>,</w:t>
      </w:r>
      <w:r w:rsidRPr="00D839EE" w:rsidR="00471334">
        <w:rPr>
          <w:sz w:val="22"/>
          <w:szCs w:val="22"/>
        </w:rPr>
        <w:t xml:space="preserve"> licensed under </w:t>
      </w:r>
      <w:r w:rsidRPr="00D839EE" w:rsidR="003D4F2B">
        <w:rPr>
          <w:rFonts w:cs="Arial"/>
          <w:sz w:val="22"/>
          <w:szCs w:val="22"/>
        </w:rPr>
        <w:t xml:space="preserve">10 CFR </w:t>
      </w:r>
      <w:r w:rsidRPr="00D839EE" w:rsidR="00471334">
        <w:rPr>
          <w:rFonts w:cs="Arial"/>
          <w:sz w:val="22"/>
          <w:szCs w:val="22"/>
        </w:rPr>
        <w:t xml:space="preserve">50.21(a) </w:t>
      </w:r>
      <w:r w:rsidRPr="00D839EE" w:rsidR="003D4C7B">
        <w:rPr>
          <w:rFonts w:cs="Arial"/>
          <w:sz w:val="22"/>
          <w:szCs w:val="22"/>
        </w:rPr>
        <w:t xml:space="preserve">or </w:t>
      </w:r>
      <w:r w:rsidRPr="00D839EE" w:rsidR="00471334">
        <w:rPr>
          <w:rFonts w:cs="Arial"/>
          <w:sz w:val="22"/>
          <w:szCs w:val="22"/>
        </w:rPr>
        <w:t>(c)</w:t>
      </w:r>
      <w:r w:rsidRPr="00D839EE" w:rsidR="008711AD">
        <w:rPr>
          <w:sz w:val="22"/>
          <w:szCs w:val="22"/>
        </w:rPr>
        <w:t xml:space="preserve">.  As a result, these licensees </w:t>
      </w:r>
      <w:r w:rsidRPr="00D839EE" w:rsidR="00BC5E9F">
        <w:rPr>
          <w:sz w:val="22"/>
          <w:szCs w:val="22"/>
        </w:rPr>
        <w:t>will</w:t>
      </w:r>
      <w:r w:rsidRPr="00D839EE" w:rsidR="008711AD">
        <w:rPr>
          <w:sz w:val="22"/>
          <w:szCs w:val="22"/>
        </w:rPr>
        <w:t xml:space="preserve"> not be subject to a </w:t>
      </w:r>
      <w:r w:rsidRPr="00D839EE">
        <w:rPr>
          <w:sz w:val="22"/>
          <w:szCs w:val="22"/>
        </w:rPr>
        <w:t>license renewal process.</w:t>
      </w:r>
      <w:r w:rsidRPr="00D839EE" w:rsidR="008711AD">
        <w:rPr>
          <w:sz w:val="22"/>
          <w:szCs w:val="22"/>
        </w:rPr>
        <w:t xml:space="preserve">  </w:t>
      </w:r>
      <w:r w:rsidRPr="00D839EE">
        <w:rPr>
          <w:sz w:val="22"/>
          <w:szCs w:val="22"/>
        </w:rPr>
        <w:t xml:space="preserve">However, to </w:t>
      </w:r>
      <w:r w:rsidR="00C503D4">
        <w:rPr>
          <w:sz w:val="22"/>
          <w:szCs w:val="22"/>
        </w:rPr>
        <w:t>provide assurance</w:t>
      </w:r>
      <w:r w:rsidRPr="00D839EE" w:rsidR="00C503D4">
        <w:rPr>
          <w:sz w:val="22"/>
          <w:szCs w:val="22"/>
        </w:rPr>
        <w:t xml:space="preserve"> </w:t>
      </w:r>
      <w:r w:rsidRPr="00D839EE">
        <w:rPr>
          <w:sz w:val="22"/>
          <w:szCs w:val="22"/>
        </w:rPr>
        <w:t xml:space="preserve">that </w:t>
      </w:r>
      <w:r w:rsidRPr="00D839EE" w:rsidR="008711AD">
        <w:rPr>
          <w:sz w:val="22"/>
          <w:szCs w:val="22"/>
        </w:rPr>
        <w:t xml:space="preserve">these </w:t>
      </w:r>
      <w:r w:rsidRPr="00D839EE">
        <w:rPr>
          <w:sz w:val="22"/>
          <w:szCs w:val="22"/>
        </w:rPr>
        <w:t xml:space="preserve">NPUFs </w:t>
      </w:r>
      <w:r w:rsidRPr="00D839EE" w:rsidR="008711AD">
        <w:rPr>
          <w:sz w:val="22"/>
          <w:szCs w:val="22"/>
        </w:rPr>
        <w:t xml:space="preserve">continue to </w:t>
      </w:r>
      <w:r w:rsidRPr="00D839EE">
        <w:rPr>
          <w:sz w:val="22"/>
          <w:szCs w:val="22"/>
        </w:rPr>
        <w:t>operat</w:t>
      </w:r>
      <w:r w:rsidRPr="00D839EE" w:rsidR="008711AD">
        <w:rPr>
          <w:sz w:val="22"/>
          <w:szCs w:val="22"/>
        </w:rPr>
        <w:t>e</w:t>
      </w:r>
      <w:r w:rsidRPr="00D839EE">
        <w:rPr>
          <w:sz w:val="22"/>
          <w:szCs w:val="22"/>
        </w:rPr>
        <w:t xml:space="preserve"> safely, this option </w:t>
      </w:r>
      <w:r w:rsidRPr="00D839EE" w:rsidR="00BC5E9F">
        <w:rPr>
          <w:sz w:val="22"/>
          <w:szCs w:val="22"/>
        </w:rPr>
        <w:t>will</w:t>
      </w:r>
      <w:r w:rsidRPr="00D839EE">
        <w:rPr>
          <w:sz w:val="22"/>
          <w:szCs w:val="22"/>
        </w:rPr>
        <w:t xml:space="preserve"> implement </w:t>
      </w:r>
      <w:r w:rsidRPr="00D839EE" w:rsidR="008711AD">
        <w:rPr>
          <w:sz w:val="22"/>
          <w:szCs w:val="22"/>
        </w:rPr>
        <w:t>additional provisions</w:t>
      </w:r>
      <w:r w:rsidRPr="00D839EE" w:rsidR="008D1D33">
        <w:rPr>
          <w:sz w:val="22"/>
          <w:szCs w:val="22"/>
        </w:rPr>
        <w:t xml:space="preserve"> for licensees and </w:t>
      </w:r>
      <w:r w:rsidRPr="00D839EE" w:rsidR="00AB4683">
        <w:rPr>
          <w:sz w:val="22"/>
          <w:szCs w:val="22"/>
        </w:rPr>
        <w:t xml:space="preserve">the </w:t>
      </w:r>
      <w:r w:rsidRPr="00D839EE" w:rsidR="008D1D33">
        <w:rPr>
          <w:sz w:val="22"/>
          <w:szCs w:val="22"/>
        </w:rPr>
        <w:t>NRC</w:t>
      </w:r>
      <w:r w:rsidRPr="00D839EE" w:rsidR="00EB1E74">
        <w:rPr>
          <w:sz w:val="22"/>
          <w:szCs w:val="22"/>
        </w:rPr>
        <w:t xml:space="preserve">.  </w:t>
      </w:r>
      <w:r w:rsidRPr="00D839EE" w:rsidR="00A368CD">
        <w:rPr>
          <w:sz w:val="22"/>
          <w:szCs w:val="22"/>
        </w:rPr>
        <w:t>Further, under this option</w:t>
      </w:r>
      <w:r w:rsidRPr="00D839EE" w:rsidR="00AB4683">
        <w:rPr>
          <w:sz w:val="22"/>
          <w:szCs w:val="22"/>
        </w:rPr>
        <w:t>,</w:t>
      </w:r>
      <w:r w:rsidRPr="00D839EE" w:rsidR="00A368CD">
        <w:rPr>
          <w:sz w:val="22"/>
          <w:szCs w:val="22"/>
        </w:rPr>
        <w:t xml:space="preserve"> the NRC </w:t>
      </w:r>
      <w:r w:rsidRPr="00D839EE" w:rsidR="00BC5E9F">
        <w:rPr>
          <w:sz w:val="22"/>
          <w:szCs w:val="22"/>
        </w:rPr>
        <w:t>will</w:t>
      </w:r>
      <w:r w:rsidRPr="00D839EE" w:rsidR="005363BA">
        <w:rPr>
          <w:sz w:val="22"/>
          <w:szCs w:val="22"/>
        </w:rPr>
        <w:t xml:space="preserve"> define </w:t>
      </w:r>
      <w:r w:rsidRPr="00D839EE" w:rsidR="002746A0">
        <w:rPr>
          <w:sz w:val="22"/>
          <w:szCs w:val="22"/>
        </w:rPr>
        <w:t xml:space="preserve">a </w:t>
      </w:r>
      <w:r w:rsidRPr="00D839EE" w:rsidR="00A368CD">
        <w:rPr>
          <w:sz w:val="22"/>
          <w:szCs w:val="22"/>
        </w:rPr>
        <w:t xml:space="preserve">license renewal process for </w:t>
      </w:r>
      <w:r w:rsidR="00C503D4">
        <w:rPr>
          <w:sz w:val="22"/>
          <w:szCs w:val="22"/>
        </w:rPr>
        <w:t xml:space="preserve">commercial </w:t>
      </w:r>
      <w:r w:rsidR="00F86E75">
        <w:rPr>
          <w:sz w:val="22"/>
          <w:szCs w:val="22"/>
        </w:rPr>
        <w:t xml:space="preserve">or industrial </w:t>
      </w:r>
      <w:r w:rsidR="00C503D4">
        <w:rPr>
          <w:sz w:val="22"/>
          <w:szCs w:val="22"/>
        </w:rPr>
        <w:t>NPUFs</w:t>
      </w:r>
      <w:r w:rsidRPr="00D839EE" w:rsidR="005363BA">
        <w:rPr>
          <w:sz w:val="22"/>
          <w:szCs w:val="22"/>
        </w:rPr>
        <w:t xml:space="preserve"> and testing facilities</w:t>
      </w:r>
      <w:r w:rsidRPr="00D839EE" w:rsidR="00A368CD">
        <w:rPr>
          <w:sz w:val="22"/>
          <w:szCs w:val="22"/>
        </w:rPr>
        <w:t xml:space="preserve"> </w:t>
      </w:r>
      <w:r w:rsidRPr="00D839EE" w:rsidR="00D86E0B">
        <w:rPr>
          <w:sz w:val="22"/>
          <w:szCs w:val="22"/>
        </w:rPr>
        <w:t xml:space="preserve">in </w:t>
      </w:r>
      <w:r w:rsidR="00C03F04">
        <w:rPr>
          <w:sz w:val="22"/>
          <w:szCs w:val="22"/>
        </w:rPr>
        <w:t xml:space="preserve">the </w:t>
      </w:r>
      <w:r w:rsidRPr="00D839EE" w:rsidR="00E30E3D">
        <w:rPr>
          <w:sz w:val="22"/>
          <w:szCs w:val="22"/>
        </w:rPr>
        <w:t>new</w:t>
      </w:r>
      <w:r w:rsidRPr="00D839EE" w:rsidR="00D86E0B">
        <w:rPr>
          <w:sz w:val="22"/>
          <w:szCs w:val="22"/>
        </w:rPr>
        <w:t xml:space="preserve"> </w:t>
      </w:r>
      <w:r w:rsidR="00C03F04">
        <w:rPr>
          <w:sz w:val="22"/>
          <w:szCs w:val="22"/>
        </w:rPr>
        <w:t>10 CFR </w:t>
      </w:r>
      <w:r w:rsidRPr="00D839EE" w:rsidR="00D86E0B">
        <w:rPr>
          <w:rFonts w:cs="Arial"/>
          <w:sz w:val="22"/>
          <w:szCs w:val="22"/>
        </w:rPr>
        <w:t>50.135,</w:t>
      </w:r>
      <w:r w:rsidRPr="00D839EE" w:rsidR="00D86E0B">
        <w:rPr>
          <w:sz w:val="22"/>
          <w:szCs w:val="22"/>
        </w:rPr>
        <w:t xml:space="preserve"> consolidating</w:t>
      </w:r>
      <w:r w:rsidRPr="00D839EE" w:rsidR="002746A0">
        <w:rPr>
          <w:sz w:val="22"/>
          <w:szCs w:val="22"/>
        </w:rPr>
        <w:t xml:space="preserve"> existing requirements for current and </w:t>
      </w:r>
      <w:r w:rsidR="0040587D">
        <w:rPr>
          <w:sz w:val="22"/>
          <w:szCs w:val="22"/>
        </w:rPr>
        <w:t xml:space="preserve">potential </w:t>
      </w:r>
      <w:r w:rsidRPr="00D839EE" w:rsidR="002746A0">
        <w:rPr>
          <w:sz w:val="22"/>
          <w:szCs w:val="22"/>
        </w:rPr>
        <w:t>future licensees</w:t>
      </w:r>
      <w:r w:rsidRPr="00D839EE" w:rsidR="00D86E0B">
        <w:rPr>
          <w:sz w:val="22"/>
          <w:szCs w:val="22"/>
        </w:rPr>
        <w:t xml:space="preserve"> in one section</w:t>
      </w:r>
      <w:r w:rsidRPr="00D839EE" w:rsidR="002746A0">
        <w:rPr>
          <w:sz w:val="22"/>
          <w:szCs w:val="22"/>
        </w:rPr>
        <w:t>.</w:t>
      </w:r>
      <w:r w:rsidRPr="00D839EE" w:rsidR="00A368CD">
        <w:rPr>
          <w:sz w:val="22"/>
          <w:szCs w:val="22"/>
        </w:rPr>
        <w:t xml:space="preserve"> </w:t>
      </w:r>
    </w:p>
    <w:p w:rsidR="008D1D33" w:rsidRPr="00D839EE" w:rsidP="00491A3A" w14:paraId="7F4934E0" w14:textId="77777777">
      <w:pPr>
        <w:rPr>
          <w:sz w:val="22"/>
          <w:szCs w:val="22"/>
        </w:rPr>
      </w:pPr>
    </w:p>
    <w:p w:rsidR="00D71E07" w:rsidRPr="00D839EE" w:rsidP="00491A3A" w14:paraId="7F4934E1" w14:textId="77777777">
      <w:pPr>
        <w:rPr>
          <w:sz w:val="22"/>
          <w:szCs w:val="22"/>
        </w:rPr>
      </w:pPr>
      <w:r>
        <w:rPr>
          <w:sz w:val="22"/>
          <w:szCs w:val="22"/>
        </w:rPr>
        <w:t>T</w:t>
      </w:r>
      <w:r w:rsidRPr="00D839EE" w:rsidR="00676FCD">
        <w:rPr>
          <w:sz w:val="22"/>
          <w:szCs w:val="22"/>
        </w:rPr>
        <w:t xml:space="preserve">his option </w:t>
      </w:r>
      <w:r w:rsidRPr="00D839EE" w:rsidR="00BC5E9F">
        <w:rPr>
          <w:sz w:val="22"/>
          <w:szCs w:val="22"/>
        </w:rPr>
        <w:t>will</w:t>
      </w:r>
      <w:r w:rsidRPr="00D839EE" w:rsidR="008D1D33">
        <w:rPr>
          <w:sz w:val="22"/>
          <w:szCs w:val="22"/>
        </w:rPr>
        <w:t xml:space="preserve"> </w:t>
      </w:r>
      <w:r w:rsidRPr="00D839EE" w:rsidR="005363BA">
        <w:rPr>
          <w:sz w:val="22"/>
          <w:szCs w:val="22"/>
        </w:rPr>
        <w:t>require licensees to</w:t>
      </w:r>
      <w:r w:rsidR="0012580F">
        <w:rPr>
          <w:sz w:val="22"/>
          <w:szCs w:val="22"/>
        </w:rPr>
        <w:t xml:space="preserve"> </w:t>
      </w:r>
      <w:r w:rsidRPr="0012580F" w:rsidR="0012580F">
        <w:rPr>
          <w:sz w:val="22"/>
          <w:szCs w:val="22"/>
        </w:rPr>
        <w:t>submit updated FSARs and subsequent FSAR updates to the NRC at intervals not to exceed 5 years</w:t>
      </w:r>
      <w:r w:rsidRPr="00D839EE" w:rsidR="004021A0">
        <w:rPr>
          <w:sz w:val="22"/>
          <w:szCs w:val="22"/>
        </w:rPr>
        <w:t xml:space="preserve">. </w:t>
      </w:r>
      <w:r w:rsidRPr="00D839EE" w:rsidR="00D61329">
        <w:rPr>
          <w:sz w:val="22"/>
          <w:szCs w:val="22"/>
        </w:rPr>
        <w:t xml:space="preserve"> </w:t>
      </w:r>
      <w:r w:rsidRPr="00D839EE" w:rsidR="00F76D61">
        <w:rPr>
          <w:sz w:val="22"/>
          <w:szCs w:val="22"/>
        </w:rPr>
        <w:t xml:space="preserve">This </w:t>
      </w:r>
      <w:r w:rsidRPr="00D839EE" w:rsidR="005363BA">
        <w:rPr>
          <w:sz w:val="22"/>
          <w:szCs w:val="22"/>
        </w:rPr>
        <w:t xml:space="preserve">requirement </w:t>
      </w:r>
      <w:r w:rsidRPr="00D839EE" w:rsidR="00BC5E9F">
        <w:rPr>
          <w:sz w:val="22"/>
          <w:szCs w:val="22"/>
        </w:rPr>
        <w:t>will</w:t>
      </w:r>
      <w:r w:rsidRPr="00D839EE" w:rsidR="00F76D61">
        <w:rPr>
          <w:sz w:val="22"/>
          <w:szCs w:val="22"/>
        </w:rPr>
        <w:t xml:space="preserve"> </w:t>
      </w:r>
      <w:r w:rsidR="00F86E75">
        <w:rPr>
          <w:sz w:val="22"/>
          <w:szCs w:val="22"/>
        </w:rPr>
        <w:t>result in</w:t>
      </w:r>
      <w:r w:rsidRPr="00D839EE" w:rsidR="00F76D61">
        <w:rPr>
          <w:sz w:val="22"/>
          <w:szCs w:val="22"/>
        </w:rPr>
        <w:t xml:space="preserve"> licensees</w:t>
      </w:r>
      <w:r w:rsidR="00C503D4">
        <w:rPr>
          <w:sz w:val="22"/>
          <w:szCs w:val="22"/>
        </w:rPr>
        <w:t xml:space="preserve"> </w:t>
      </w:r>
      <w:r w:rsidRPr="00D839EE" w:rsidR="005363BA">
        <w:rPr>
          <w:sz w:val="22"/>
          <w:szCs w:val="22"/>
        </w:rPr>
        <w:t>reflect</w:t>
      </w:r>
      <w:r w:rsidR="00F86E75">
        <w:rPr>
          <w:sz w:val="22"/>
          <w:szCs w:val="22"/>
        </w:rPr>
        <w:t>ing</w:t>
      </w:r>
      <w:r w:rsidRPr="00D839EE" w:rsidR="00F76D61">
        <w:rPr>
          <w:sz w:val="22"/>
          <w:szCs w:val="22"/>
        </w:rPr>
        <w:t xml:space="preserve"> operation or design changes in their FSAR</w:t>
      </w:r>
      <w:r w:rsidRPr="00D839EE" w:rsidR="008719BD">
        <w:rPr>
          <w:sz w:val="22"/>
          <w:szCs w:val="22"/>
        </w:rPr>
        <w:t>s</w:t>
      </w:r>
      <w:r w:rsidRPr="00D839EE" w:rsidR="00F76D61">
        <w:rPr>
          <w:sz w:val="22"/>
          <w:szCs w:val="22"/>
        </w:rPr>
        <w:t>, ensuring that their licensing basis is kept current.</w:t>
      </w:r>
    </w:p>
    <w:p w:rsidR="00871801" w:rsidRPr="00D839EE" w:rsidP="00491A3A" w14:paraId="7F4934E2" w14:textId="77777777">
      <w:pPr>
        <w:rPr>
          <w:sz w:val="22"/>
          <w:szCs w:val="22"/>
        </w:rPr>
      </w:pPr>
    </w:p>
    <w:p w:rsidR="00D71E07" w:rsidRPr="00D839EE" w:rsidP="00491A3A" w14:paraId="7F4934E3" w14:textId="77777777">
      <w:pPr>
        <w:rPr>
          <w:sz w:val="22"/>
          <w:szCs w:val="22"/>
        </w:rPr>
      </w:pPr>
      <w:r w:rsidRPr="00D839EE">
        <w:rPr>
          <w:sz w:val="22"/>
          <w:szCs w:val="22"/>
        </w:rPr>
        <w:t xml:space="preserve">For </w:t>
      </w:r>
      <w:r w:rsidR="00C503D4">
        <w:rPr>
          <w:sz w:val="22"/>
          <w:szCs w:val="22"/>
        </w:rPr>
        <w:t xml:space="preserve">commercial </w:t>
      </w:r>
      <w:r w:rsidR="00AA2D39">
        <w:rPr>
          <w:sz w:val="22"/>
          <w:szCs w:val="22"/>
        </w:rPr>
        <w:t xml:space="preserve">or industrial </w:t>
      </w:r>
      <w:r w:rsidR="00C503D4">
        <w:rPr>
          <w:sz w:val="22"/>
          <w:szCs w:val="22"/>
        </w:rPr>
        <w:t>NPUFs</w:t>
      </w:r>
      <w:r w:rsidRPr="00D839EE" w:rsidR="005363BA">
        <w:rPr>
          <w:sz w:val="22"/>
          <w:szCs w:val="22"/>
        </w:rPr>
        <w:t xml:space="preserve"> and testing facilities</w:t>
      </w:r>
      <w:r w:rsidRPr="00D839EE">
        <w:rPr>
          <w:sz w:val="22"/>
          <w:szCs w:val="22"/>
        </w:rPr>
        <w:t xml:space="preserve">, this option </w:t>
      </w:r>
      <w:r w:rsidRPr="00D839EE" w:rsidR="00BC5E9F">
        <w:rPr>
          <w:sz w:val="22"/>
          <w:szCs w:val="22"/>
        </w:rPr>
        <w:t>will</w:t>
      </w:r>
      <w:r w:rsidRPr="00D839EE">
        <w:rPr>
          <w:sz w:val="22"/>
          <w:szCs w:val="22"/>
        </w:rPr>
        <w:t xml:space="preserve"> still require licensees</w:t>
      </w:r>
      <w:r w:rsidR="007B2E8C">
        <w:rPr>
          <w:sz w:val="22"/>
          <w:szCs w:val="22"/>
        </w:rPr>
        <w:t xml:space="preserve"> that wish to continue operating</w:t>
      </w:r>
      <w:r w:rsidRPr="00D839EE">
        <w:rPr>
          <w:sz w:val="22"/>
          <w:szCs w:val="22"/>
        </w:rPr>
        <w:t xml:space="preserve"> to submit a license renewal application</w:t>
      </w:r>
      <w:r w:rsidRPr="00D839EE" w:rsidR="005363BA">
        <w:rPr>
          <w:sz w:val="22"/>
          <w:szCs w:val="22"/>
        </w:rPr>
        <w:t xml:space="preserve">.  </w:t>
      </w:r>
      <w:r w:rsidR="00B54A73">
        <w:rPr>
          <w:sz w:val="22"/>
          <w:szCs w:val="22"/>
        </w:rPr>
        <w:t>However,</w:t>
      </w:r>
      <w:r w:rsidRPr="00D839EE" w:rsidR="005363BA">
        <w:rPr>
          <w:sz w:val="22"/>
          <w:szCs w:val="22"/>
        </w:rPr>
        <w:t xml:space="preserve"> this option also </w:t>
      </w:r>
      <w:r w:rsidRPr="00D839EE" w:rsidR="00BC5E9F">
        <w:rPr>
          <w:sz w:val="22"/>
          <w:szCs w:val="22"/>
        </w:rPr>
        <w:t>will</w:t>
      </w:r>
      <w:r w:rsidRPr="00D839EE" w:rsidR="005363BA">
        <w:rPr>
          <w:sz w:val="22"/>
          <w:szCs w:val="22"/>
        </w:rPr>
        <w:t xml:space="preserve"> include the </w:t>
      </w:r>
      <w:r w:rsidR="007B2E8C">
        <w:rPr>
          <w:sz w:val="22"/>
          <w:szCs w:val="22"/>
        </w:rPr>
        <w:t xml:space="preserve">license renewal </w:t>
      </w:r>
      <w:r w:rsidRPr="00D839EE" w:rsidR="005363BA">
        <w:rPr>
          <w:sz w:val="22"/>
          <w:szCs w:val="22"/>
        </w:rPr>
        <w:t>streamlining features described under Option 2</w:t>
      </w:r>
      <w:r w:rsidRPr="00D839EE" w:rsidR="00676FCD">
        <w:rPr>
          <w:sz w:val="22"/>
          <w:szCs w:val="22"/>
        </w:rPr>
        <w:t xml:space="preserve"> (not selected)</w:t>
      </w:r>
      <w:r w:rsidRPr="00D839EE" w:rsidR="005363BA">
        <w:rPr>
          <w:sz w:val="22"/>
          <w:szCs w:val="22"/>
        </w:rPr>
        <w:t xml:space="preserve"> (</w:t>
      </w:r>
      <w:r w:rsidR="00B54A73">
        <w:rPr>
          <w:sz w:val="22"/>
          <w:szCs w:val="22"/>
        </w:rPr>
        <w:t>i.e., </w:t>
      </w:r>
      <w:r w:rsidRPr="00D839EE">
        <w:rPr>
          <w:sz w:val="22"/>
          <w:szCs w:val="22"/>
        </w:rPr>
        <w:t xml:space="preserve">modify the timely renewal provision in </w:t>
      </w:r>
      <w:r w:rsidRPr="00D839EE" w:rsidR="003D4F2B">
        <w:rPr>
          <w:sz w:val="22"/>
          <w:szCs w:val="22"/>
        </w:rPr>
        <w:t>10 CFR</w:t>
      </w:r>
      <w:r w:rsidRPr="00D839EE" w:rsidR="005363BA">
        <w:rPr>
          <w:sz w:val="22"/>
          <w:szCs w:val="22"/>
        </w:rPr>
        <w:t> </w:t>
      </w:r>
      <w:r w:rsidRPr="00D839EE">
        <w:rPr>
          <w:sz w:val="22"/>
          <w:szCs w:val="22"/>
        </w:rPr>
        <w:t>2.109</w:t>
      </w:r>
      <w:r w:rsidRPr="00D839EE" w:rsidR="005363BA">
        <w:rPr>
          <w:sz w:val="22"/>
          <w:szCs w:val="22"/>
        </w:rPr>
        <w:t xml:space="preserve"> and require licensees to </w:t>
      </w:r>
      <w:r w:rsidRPr="00AB4604" w:rsidR="00AB4604">
        <w:rPr>
          <w:sz w:val="22"/>
          <w:szCs w:val="22"/>
        </w:rPr>
        <w:t>submit updated FSARs and subsequent FSAR updates to the NRC at intervals not to exceed 5 years</w:t>
      </w:r>
      <w:r w:rsidRPr="00D839EE" w:rsidR="005363BA">
        <w:rPr>
          <w:sz w:val="22"/>
          <w:szCs w:val="22"/>
        </w:rPr>
        <w:t>)</w:t>
      </w:r>
      <w:r w:rsidRPr="00D839EE">
        <w:rPr>
          <w:sz w:val="22"/>
          <w:szCs w:val="22"/>
        </w:rPr>
        <w:t>.</w:t>
      </w:r>
    </w:p>
    <w:p w:rsidR="0056044E" w:rsidRPr="00D839EE" w:rsidP="00491A3A" w14:paraId="7F4934E4" w14:textId="77777777">
      <w:pPr>
        <w:rPr>
          <w:sz w:val="22"/>
          <w:szCs w:val="22"/>
        </w:rPr>
      </w:pPr>
    </w:p>
    <w:p w:rsidR="004B7EE9" w:rsidRPr="00D839EE" w:rsidP="00491A3A" w14:paraId="7F4934E5" w14:textId="77777777">
      <w:pPr>
        <w:rPr>
          <w:sz w:val="22"/>
          <w:szCs w:val="22"/>
        </w:rPr>
      </w:pPr>
      <w:r>
        <w:rPr>
          <w:sz w:val="22"/>
          <w:szCs w:val="22"/>
        </w:rPr>
        <w:t>Option 3</w:t>
      </w:r>
      <w:r w:rsidRPr="00D839EE" w:rsidR="00D03206">
        <w:rPr>
          <w:sz w:val="22"/>
          <w:szCs w:val="22"/>
        </w:rPr>
        <w:t xml:space="preserve"> </w:t>
      </w:r>
      <w:r w:rsidRPr="00D839EE" w:rsidR="00BC5E9F">
        <w:rPr>
          <w:sz w:val="22"/>
          <w:szCs w:val="22"/>
        </w:rPr>
        <w:t>will</w:t>
      </w:r>
      <w:r w:rsidRPr="00D839EE">
        <w:rPr>
          <w:sz w:val="22"/>
          <w:szCs w:val="22"/>
        </w:rPr>
        <w:t xml:space="preserve"> </w:t>
      </w:r>
      <w:r w:rsidRPr="00D839EE" w:rsidR="005363BA">
        <w:rPr>
          <w:sz w:val="22"/>
          <w:szCs w:val="22"/>
        </w:rPr>
        <w:t>eliminate the</w:t>
      </w:r>
      <w:r w:rsidRPr="00D839EE" w:rsidR="000B2563">
        <w:rPr>
          <w:sz w:val="22"/>
          <w:szCs w:val="22"/>
        </w:rPr>
        <w:t xml:space="preserve"> burden associated</w:t>
      </w:r>
      <w:r w:rsidRPr="00D839EE" w:rsidR="00EA6FF3">
        <w:rPr>
          <w:sz w:val="22"/>
          <w:szCs w:val="22"/>
        </w:rPr>
        <w:t xml:space="preserve"> with</w:t>
      </w:r>
      <w:r w:rsidRPr="00D839EE" w:rsidR="000B2563">
        <w:rPr>
          <w:sz w:val="22"/>
          <w:szCs w:val="22"/>
        </w:rPr>
        <w:t xml:space="preserve"> </w:t>
      </w:r>
      <w:r w:rsidRPr="00D839EE" w:rsidR="005363BA">
        <w:rPr>
          <w:sz w:val="22"/>
          <w:szCs w:val="22"/>
        </w:rPr>
        <w:t xml:space="preserve">the license renewal process for all but </w:t>
      </w:r>
      <w:r w:rsidR="00AB4604">
        <w:rPr>
          <w:sz w:val="22"/>
          <w:szCs w:val="22"/>
        </w:rPr>
        <w:t>one</w:t>
      </w:r>
      <w:r w:rsidRPr="00D839EE" w:rsidR="005363BA">
        <w:rPr>
          <w:sz w:val="22"/>
          <w:szCs w:val="22"/>
        </w:rPr>
        <w:t xml:space="preserve"> of the NPUFs</w:t>
      </w:r>
      <w:r w:rsidR="007B2E8C">
        <w:rPr>
          <w:sz w:val="22"/>
          <w:szCs w:val="22"/>
        </w:rPr>
        <w:t xml:space="preserve"> </w:t>
      </w:r>
      <w:r w:rsidR="00C503D4">
        <w:rPr>
          <w:sz w:val="22"/>
          <w:szCs w:val="22"/>
        </w:rPr>
        <w:t xml:space="preserve">currently licensed to operate </w:t>
      </w:r>
      <w:r w:rsidR="007B2E8C">
        <w:rPr>
          <w:sz w:val="22"/>
          <w:szCs w:val="22"/>
        </w:rPr>
        <w:t>(</w:t>
      </w:r>
      <w:r w:rsidR="007B2E8C">
        <w:rPr>
          <w:rFonts w:cs="Arial"/>
          <w:sz w:val="22"/>
          <w:szCs w:val="22"/>
        </w:rPr>
        <w:t>NIST)</w:t>
      </w:r>
      <w:r w:rsidR="003210A7">
        <w:rPr>
          <w:sz w:val="22"/>
          <w:szCs w:val="22"/>
        </w:rPr>
        <w:t xml:space="preserve">.  </w:t>
      </w:r>
      <w:r w:rsidRPr="00D839EE" w:rsidR="005363BA">
        <w:rPr>
          <w:sz w:val="22"/>
          <w:szCs w:val="22"/>
        </w:rPr>
        <w:t xml:space="preserve">This large reduction in burden </w:t>
      </w:r>
      <w:r w:rsidRPr="00D839EE" w:rsidR="00BC5E9F">
        <w:rPr>
          <w:sz w:val="22"/>
          <w:szCs w:val="22"/>
        </w:rPr>
        <w:t>will</w:t>
      </w:r>
      <w:r w:rsidRPr="00D839EE" w:rsidR="005363BA">
        <w:rPr>
          <w:sz w:val="22"/>
          <w:szCs w:val="22"/>
        </w:rPr>
        <w:t xml:space="preserve"> be slightly offset by the minimal burden associated </w:t>
      </w:r>
      <w:r w:rsidRPr="00D839EE" w:rsidR="000B2563">
        <w:rPr>
          <w:sz w:val="22"/>
          <w:szCs w:val="22"/>
        </w:rPr>
        <w:t xml:space="preserve">with </w:t>
      </w:r>
      <w:r w:rsidRPr="00D839EE" w:rsidR="005363BA">
        <w:rPr>
          <w:sz w:val="22"/>
          <w:szCs w:val="22"/>
        </w:rPr>
        <w:t xml:space="preserve">submitting </w:t>
      </w:r>
      <w:r w:rsidRPr="00D839EE" w:rsidR="00E64B63">
        <w:rPr>
          <w:sz w:val="22"/>
          <w:szCs w:val="22"/>
        </w:rPr>
        <w:t>F</w:t>
      </w:r>
      <w:r w:rsidRPr="00D839EE" w:rsidR="000B2563">
        <w:rPr>
          <w:sz w:val="22"/>
          <w:szCs w:val="22"/>
        </w:rPr>
        <w:t xml:space="preserve">SARs </w:t>
      </w:r>
      <w:r w:rsidRPr="00D839EE" w:rsidR="005363BA">
        <w:rPr>
          <w:sz w:val="22"/>
          <w:szCs w:val="22"/>
        </w:rPr>
        <w:t xml:space="preserve">to the NRC </w:t>
      </w:r>
      <w:r w:rsidRPr="00D839EE" w:rsidR="000B2563">
        <w:rPr>
          <w:sz w:val="22"/>
          <w:szCs w:val="22"/>
        </w:rPr>
        <w:t>on an ongoing basis.</w:t>
      </w:r>
    </w:p>
    <w:p w:rsidR="00700DDB" w:rsidP="00491A3A" w14:paraId="7F4934E6" w14:textId="77777777">
      <w:pPr>
        <w:rPr>
          <w:sz w:val="22"/>
          <w:szCs w:val="22"/>
        </w:rPr>
      </w:pPr>
    </w:p>
    <w:p w:rsidR="00700DDB" w:rsidP="00491A3A" w14:paraId="7F4934E7" w14:textId="35B810DE">
      <w:pPr>
        <w:rPr>
          <w:sz w:val="22"/>
          <w:szCs w:val="22"/>
        </w:rPr>
      </w:pPr>
      <w:r>
        <w:rPr>
          <w:sz w:val="22"/>
          <w:szCs w:val="22"/>
        </w:rPr>
        <w:t>In addition to NIST, t</w:t>
      </w:r>
      <w:r>
        <w:rPr>
          <w:sz w:val="22"/>
          <w:szCs w:val="22"/>
        </w:rPr>
        <w:t xml:space="preserve">here will be additional burden for the two NPUFs anticipated to be licensed within the next </w:t>
      </w:r>
      <w:r w:rsidR="00323315">
        <w:rPr>
          <w:sz w:val="22"/>
          <w:szCs w:val="22"/>
        </w:rPr>
        <w:t>5</w:t>
      </w:r>
      <w:r>
        <w:rPr>
          <w:sz w:val="22"/>
          <w:szCs w:val="22"/>
        </w:rPr>
        <w:t xml:space="preserve"> years (</w:t>
      </w:r>
      <w:r w:rsidRPr="004019F7">
        <w:rPr>
          <w:rFonts w:cs="Arial"/>
          <w:sz w:val="22"/>
          <w:szCs w:val="22"/>
        </w:rPr>
        <w:t xml:space="preserve">SHINE </w:t>
      </w:r>
      <w:r w:rsidRPr="00894286">
        <w:rPr>
          <w:sz w:val="22"/>
          <w:szCs w:val="22"/>
        </w:rPr>
        <w:t xml:space="preserve">and </w:t>
      </w:r>
      <w:r w:rsidRPr="004019F7">
        <w:rPr>
          <w:rFonts w:cs="Arial"/>
          <w:sz w:val="22"/>
          <w:szCs w:val="22"/>
        </w:rPr>
        <w:t>N</w:t>
      </w:r>
      <w:r w:rsidR="008C13D8">
        <w:rPr>
          <w:rFonts w:cs="Arial"/>
          <w:sz w:val="22"/>
          <w:szCs w:val="22"/>
        </w:rPr>
        <w:t>WMI</w:t>
      </w:r>
      <w:r>
        <w:rPr>
          <w:rFonts w:cs="Arial"/>
          <w:sz w:val="22"/>
          <w:szCs w:val="22"/>
        </w:rPr>
        <w:t>)</w:t>
      </w:r>
      <w:r w:rsidR="00883D28">
        <w:rPr>
          <w:rFonts w:cs="Arial"/>
          <w:sz w:val="22"/>
          <w:szCs w:val="22"/>
        </w:rPr>
        <w:t xml:space="preserve"> (see </w:t>
      </w:r>
      <w:r>
        <w:rPr>
          <w:rFonts w:cs="Arial"/>
          <w:sz w:val="22"/>
          <w:szCs w:val="22"/>
        </w:rPr>
        <w:t>S</w:t>
      </w:r>
      <w:r w:rsidR="00883D28">
        <w:rPr>
          <w:rFonts w:cs="Arial"/>
          <w:sz w:val="22"/>
          <w:szCs w:val="22"/>
        </w:rPr>
        <w:t>ection 3.3 for a breakout of these differing costs)</w:t>
      </w:r>
      <w:r w:rsidRPr="00D839EE">
        <w:rPr>
          <w:sz w:val="22"/>
          <w:szCs w:val="22"/>
        </w:rPr>
        <w:t xml:space="preserve">.  </w:t>
      </w:r>
      <w:r w:rsidR="00C503D4">
        <w:rPr>
          <w:sz w:val="22"/>
          <w:szCs w:val="22"/>
        </w:rPr>
        <w:t>T</w:t>
      </w:r>
      <w:r>
        <w:rPr>
          <w:sz w:val="22"/>
          <w:szCs w:val="22"/>
        </w:rPr>
        <w:t xml:space="preserve">he final rule imposes an Option 2 framework on </w:t>
      </w:r>
      <w:r w:rsidR="00883D28">
        <w:rPr>
          <w:sz w:val="22"/>
          <w:szCs w:val="22"/>
        </w:rPr>
        <w:t xml:space="preserve">these facilities.  </w:t>
      </w:r>
      <w:r>
        <w:rPr>
          <w:sz w:val="22"/>
          <w:szCs w:val="22"/>
        </w:rPr>
        <w:t xml:space="preserve">For these NPUFs that expect additional burden, the qualitative benefits associated with </w:t>
      </w:r>
      <w:r>
        <w:rPr>
          <w:sz w:val="22"/>
          <w:szCs w:val="22"/>
        </w:rPr>
        <w:t xml:space="preserve">regulatory efficiency and </w:t>
      </w:r>
      <w:r>
        <w:rPr>
          <w:sz w:val="22"/>
          <w:szCs w:val="22"/>
        </w:rPr>
        <w:t xml:space="preserve">public health and safety offset these costs.  See </w:t>
      </w:r>
      <w:r>
        <w:rPr>
          <w:sz w:val="22"/>
          <w:szCs w:val="22"/>
        </w:rPr>
        <w:t>S</w:t>
      </w:r>
      <w:r>
        <w:rPr>
          <w:sz w:val="22"/>
          <w:szCs w:val="22"/>
        </w:rPr>
        <w:t xml:space="preserve">ection 3.4 for </w:t>
      </w:r>
      <w:r w:rsidR="00D414F4">
        <w:rPr>
          <w:sz w:val="22"/>
          <w:szCs w:val="22"/>
        </w:rPr>
        <w:t>a discussion of these qualitative benefits</w:t>
      </w:r>
      <w:r>
        <w:rPr>
          <w:sz w:val="22"/>
          <w:szCs w:val="22"/>
        </w:rPr>
        <w:t>.</w:t>
      </w:r>
      <w:r w:rsidR="00883D28">
        <w:rPr>
          <w:sz w:val="22"/>
          <w:szCs w:val="22"/>
        </w:rPr>
        <w:t xml:space="preserve">  </w:t>
      </w:r>
    </w:p>
    <w:p w:rsidR="0087517A" w:rsidP="00491A3A" w14:paraId="7F4934E8" w14:textId="77777777">
      <w:pPr>
        <w:rPr>
          <w:sz w:val="22"/>
          <w:szCs w:val="22"/>
        </w:rPr>
      </w:pPr>
    </w:p>
    <w:p w:rsidR="0087517A" w:rsidRPr="00D839EE" w:rsidP="00491A3A" w14:paraId="7F4934E9" w14:textId="77777777">
      <w:pPr>
        <w:rPr>
          <w:sz w:val="22"/>
          <w:szCs w:val="22"/>
        </w:rPr>
      </w:pPr>
      <w:r>
        <w:rPr>
          <w:sz w:val="22"/>
          <w:szCs w:val="22"/>
        </w:rPr>
        <w:t>The staff plan</w:t>
      </w:r>
      <w:r w:rsidR="0006126E">
        <w:rPr>
          <w:sz w:val="22"/>
          <w:szCs w:val="22"/>
        </w:rPr>
        <w:t>s</w:t>
      </w:r>
      <w:r>
        <w:rPr>
          <w:sz w:val="22"/>
          <w:szCs w:val="22"/>
        </w:rPr>
        <w:t xml:space="preserve"> to update </w:t>
      </w:r>
      <w:r>
        <w:rPr>
          <w:sz w:val="22"/>
          <w:szCs w:val="22"/>
        </w:rPr>
        <w:t>NUREG-1537</w:t>
      </w:r>
      <w:r w:rsidRPr="00D839EE">
        <w:rPr>
          <w:sz w:val="22"/>
          <w:szCs w:val="22"/>
        </w:rPr>
        <w:t xml:space="preserve"> </w:t>
      </w:r>
      <w:r>
        <w:rPr>
          <w:sz w:val="22"/>
          <w:szCs w:val="22"/>
        </w:rPr>
        <w:t xml:space="preserve">following the publication of this </w:t>
      </w:r>
      <w:r w:rsidR="00B851F4">
        <w:rPr>
          <w:sz w:val="22"/>
          <w:szCs w:val="22"/>
        </w:rPr>
        <w:t xml:space="preserve">final </w:t>
      </w:r>
      <w:r>
        <w:rPr>
          <w:sz w:val="22"/>
          <w:szCs w:val="22"/>
        </w:rPr>
        <w:t>rule</w:t>
      </w:r>
      <w:r>
        <w:rPr>
          <w:sz w:val="22"/>
          <w:szCs w:val="22"/>
        </w:rPr>
        <w:t xml:space="preserve"> to incorporate interim staff guidance that was produced outside of this </w:t>
      </w:r>
      <w:r w:rsidR="00B851F4">
        <w:rPr>
          <w:sz w:val="22"/>
          <w:szCs w:val="22"/>
        </w:rPr>
        <w:t xml:space="preserve">final </w:t>
      </w:r>
      <w:r>
        <w:rPr>
          <w:sz w:val="22"/>
          <w:szCs w:val="22"/>
        </w:rPr>
        <w:t xml:space="preserve">rule.  </w:t>
      </w:r>
    </w:p>
    <w:p w:rsidR="00E64B63" w:rsidRPr="00D839EE" w:rsidP="00491A3A" w14:paraId="7F4934EA" w14:textId="77777777">
      <w:pPr>
        <w:rPr>
          <w:sz w:val="22"/>
          <w:szCs w:val="22"/>
        </w:rPr>
      </w:pPr>
    </w:p>
    <w:p w:rsidR="00AB6845" w:rsidRPr="00D839EE" w:rsidP="004A23AD" w14:paraId="7F4934EB" w14:textId="77777777">
      <w:pPr>
        <w:rPr>
          <w:sz w:val="22"/>
          <w:szCs w:val="22"/>
        </w:rPr>
      </w:pPr>
      <w:r w:rsidRPr="00D839EE">
        <w:rPr>
          <w:sz w:val="22"/>
          <w:szCs w:val="22"/>
        </w:rPr>
        <w:t>T</w:t>
      </w:r>
      <w:r w:rsidRPr="00D839EE" w:rsidR="003A5AAC">
        <w:rPr>
          <w:sz w:val="22"/>
          <w:szCs w:val="22"/>
        </w:rPr>
        <w:t xml:space="preserve">his option </w:t>
      </w:r>
      <w:r w:rsidRPr="00D839EE" w:rsidR="00BC5E9F">
        <w:rPr>
          <w:sz w:val="22"/>
          <w:szCs w:val="22"/>
        </w:rPr>
        <w:t>will</w:t>
      </w:r>
      <w:r w:rsidRPr="00D839EE" w:rsidR="00AF178B">
        <w:rPr>
          <w:sz w:val="22"/>
          <w:szCs w:val="22"/>
        </w:rPr>
        <w:t xml:space="preserve"> establish a</w:t>
      </w:r>
      <w:r w:rsidRPr="00D839EE" w:rsidR="00DB2C01">
        <w:rPr>
          <w:sz w:val="22"/>
          <w:szCs w:val="22"/>
        </w:rPr>
        <w:t>n overall</w:t>
      </w:r>
      <w:r w:rsidRPr="00D839EE" w:rsidR="00AF178B">
        <w:rPr>
          <w:sz w:val="22"/>
          <w:szCs w:val="22"/>
        </w:rPr>
        <w:t xml:space="preserve"> streamlined approach to </w:t>
      </w:r>
      <w:r w:rsidRPr="00D839EE" w:rsidR="005363BA">
        <w:rPr>
          <w:sz w:val="22"/>
          <w:szCs w:val="22"/>
        </w:rPr>
        <w:t>license renewal that</w:t>
      </w:r>
      <w:r w:rsidRPr="00D839EE" w:rsidR="00AF178B">
        <w:rPr>
          <w:sz w:val="22"/>
          <w:szCs w:val="22"/>
        </w:rPr>
        <w:t xml:space="preserve"> </w:t>
      </w:r>
      <w:r w:rsidRPr="00D839EE" w:rsidR="00BC5E9F">
        <w:rPr>
          <w:sz w:val="22"/>
          <w:szCs w:val="22"/>
        </w:rPr>
        <w:t>will</w:t>
      </w:r>
      <w:r w:rsidRPr="00D839EE" w:rsidR="005363BA">
        <w:rPr>
          <w:sz w:val="22"/>
          <w:szCs w:val="22"/>
        </w:rPr>
        <w:t xml:space="preserve"> </w:t>
      </w:r>
      <w:r w:rsidRPr="00D839EE" w:rsidR="00AF178B">
        <w:rPr>
          <w:sz w:val="22"/>
          <w:szCs w:val="22"/>
        </w:rPr>
        <w:t xml:space="preserve">result in a net </w:t>
      </w:r>
      <w:r w:rsidRPr="00D839EE">
        <w:rPr>
          <w:sz w:val="22"/>
          <w:szCs w:val="22"/>
        </w:rPr>
        <w:t xml:space="preserve">burden reduction </w:t>
      </w:r>
      <w:r w:rsidRPr="00D839EE" w:rsidR="00AF178B">
        <w:rPr>
          <w:sz w:val="22"/>
          <w:szCs w:val="22"/>
        </w:rPr>
        <w:t xml:space="preserve">for both licensees and </w:t>
      </w:r>
      <w:r w:rsidRPr="00D839EE" w:rsidR="008719BD">
        <w:rPr>
          <w:sz w:val="22"/>
          <w:szCs w:val="22"/>
        </w:rPr>
        <w:t xml:space="preserve">the </w:t>
      </w:r>
      <w:r w:rsidRPr="00D839EE" w:rsidR="00AF178B">
        <w:rPr>
          <w:sz w:val="22"/>
          <w:szCs w:val="22"/>
        </w:rPr>
        <w:t>NRC</w:t>
      </w:r>
      <w:r w:rsidR="004C4F50">
        <w:rPr>
          <w:sz w:val="22"/>
          <w:szCs w:val="22"/>
        </w:rPr>
        <w:t>, while enhancing regulatory efficiency and public health and</w:t>
      </w:r>
      <w:r w:rsidRPr="00D839EE">
        <w:rPr>
          <w:sz w:val="22"/>
          <w:szCs w:val="22"/>
        </w:rPr>
        <w:t xml:space="preserve"> safety</w:t>
      </w:r>
      <w:r w:rsidRPr="00D839EE" w:rsidR="00AF178B">
        <w:rPr>
          <w:sz w:val="22"/>
          <w:szCs w:val="22"/>
        </w:rPr>
        <w:t>.  Therefore, Option</w:t>
      </w:r>
      <w:r w:rsidR="001854F5">
        <w:rPr>
          <w:sz w:val="22"/>
          <w:szCs w:val="22"/>
        </w:rPr>
        <w:t> </w:t>
      </w:r>
      <w:r w:rsidRPr="00D839EE" w:rsidR="00AF178B">
        <w:rPr>
          <w:sz w:val="22"/>
          <w:szCs w:val="22"/>
        </w:rPr>
        <w:t>3</w:t>
      </w:r>
      <w:r w:rsidRPr="00D839EE" w:rsidR="005363BA">
        <w:rPr>
          <w:sz w:val="22"/>
          <w:szCs w:val="22"/>
        </w:rPr>
        <w:t xml:space="preserve"> </w:t>
      </w:r>
      <w:r w:rsidRPr="00D839EE" w:rsidR="00BC5E9F">
        <w:rPr>
          <w:sz w:val="22"/>
          <w:szCs w:val="22"/>
        </w:rPr>
        <w:t>will</w:t>
      </w:r>
      <w:r w:rsidRPr="00D839EE">
        <w:rPr>
          <w:sz w:val="22"/>
          <w:szCs w:val="22"/>
        </w:rPr>
        <w:t xml:space="preserve"> best</w:t>
      </w:r>
      <w:r w:rsidRPr="00D839EE" w:rsidR="00AF178B">
        <w:rPr>
          <w:sz w:val="22"/>
          <w:szCs w:val="22"/>
        </w:rPr>
        <w:t xml:space="preserve"> address the NRC’s regulatory objectives</w:t>
      </w:r>
      <w:r w:rsidRPr="00D839EE" w:rsidR="00DB2C01">
        <w:rPr>
          <w:sz w:val="22"/>
          <w:szCs w:val="22"/>
        </w:rPr>
        <w:t xml:space="preserve"> and is the </w:t>
      </w:r>
      <w:r w:rsidR="009A11D4">
        <w:rPr>
          <w:sz w:val="22"/>
          <w:szCs w:val="22"/>
        </w:rPr>
        <w:t>selected</w:t>
      </w:r>
      <w:r w:rsidRPr="00D839EE" w:rsidR="00DB2C01">
        <w:rPr>
          <w:sz w:val="22"/>
          <w:szCs w:val="22"/>
        </w:rPr>
        <w:t xml:space="preserve"> option</w:t>
      </w:r>
      <w:r w:rsidRPr="00D839EE" w:rsidR="00AF178B">
        <w:rPr>
          <w:sz w:val="22"/>
          <w:szCs w:val="22"/>
        </w:rPr>
        <w:t>.</w:t>
      </w:r>
    </w:p>
    <w:p w:rsidR="00833116" w:rsidRPr="00D839EE" w:rsidP="00346B95" w14:paraId="7F4934EC" w14:textId="77777777">
      <w:pPr>
        <w:pStyle w:val="Heading2"/>
        <w:spacing w:after="240"/>
        <w:rPr>
          <w:b w:val="0"/>
          <w:i w:val="0"/>
        </w:rPr>
      </w:pPr>
      <w:bookmarkStart w:id="47" w:name="_Toc443852788"/>
      <w:bookmarkStart w:id="48" w:name="_Toc530073277"/>
      <w:bookmarkStart w:id="49" w:name="_Toc534037094"/>
      <w:bookmarkStart w:id="50" w:name="_Toc534699714"/>
      <w:bookmarkStart w:id="51" w:name="_Toc536603281"/>
      <w:r w:rsidRPr="00D839EE">
        <w:t>2.4</w:t>
      </w:r>
      <w:r w:rsidRPr="00D839EE">
        <w:tab/>
      </w:r>
      <w:r w:rsidRPr="00D839EE" w:rsidR="005F0976">
        <w:t xml:space="preserve">Option 4: </w:t>
      </w:r>
      <w:r w:rsidRPr="00D839EE" w:rsidR="008719BD">
        <w:t xml:space="preserve"> </w:t>
      </w:r>
      <w:r w:rsidRPr="00D839EE">
        <w:t>Non</w:t>
      </w:r>
      <w:r w:rsidR="00AE0BB8">
        <w:t>-</w:t>
      </w:r>
      <w:r w:rsidRPr="00D839EE">
        <w:t>rulemaking Alternatives</w:t>
      </w:r>
      <w:r w:rsidRPr="00D839EE" w:rsidR="000D0068">
        <w:t xml:space="preserve"> </w:t>
      </w:r>
      <w:r w:rsidR="001854F5">
        <w:t>(</w:t>
      </w:r>
      <w:r w:rsidRPr="00D839EE" w:rsidR="000D0068">
        <w:t>Not Selected</w:t>
      </w:r>
      <w:r w:rsidR="001854F5">
        <w:t>)</w:t>
      </w:r>
      <w:bookmarkEnd w:id="47"/>
      <w:bookmarkEnd w:id="48"/>
      <w:bookmarkEnd w:id="49"/>
      <w:bookmarkEnd w:id="50"/>
      <w:bookmarkEnd w:id="51"/>
    </w:p>
    <w:p w:rsidR="00AE0BB8" w:rsidP="00346B95" w14:paraId="7F4934ED" w14:textId="77777777">
      <w:pPr>
        <w:rPr>
          <w:sz w:val="22"/>
          <w:szCs w:val="22"/>
        </w:rPr>
      </w:pPr>
      <w:r w:rsidRPr="00D839EE">
        <w:rPr>
          <w:sz w:val="22"/>
          <w:szCs w:val="22"/>
        </w:rPr>
        <w:t xml:space="preserve">The NRC considered </w:t>
      </w:r>
      <w:r w:rsidRPr="00D839EE" w:rsidR="00FA6985">
        <w:rPr>
          <w:sz w:val="22"/>
          <w:szCs w:val="22"/>
        </w:rPr>
        <w:t xml:space="preserve">other </w:t>
      </w:r>
      <w:r w:rsidRPr="00D839EE">
        <w:rPr>
          <w:sz w:val="22"/>
          <w:szCs w:val="22"/>
        </w:rPr>
        <w:t>non</w:t>
      </w:r>
      <w:r>
        <w:rPr>
          <w:sz w:val="22"/>
          <w:szCs w:val="22"/>
        </w:rPr>
        <w:t>-</w:t>
      </w:r>
      <w:r w:rsidRPr="00D839EE">
        <w:rPr>
          <w:sz w:val="22"/>
          <w:szCs w:val="22"/>
        </w:rPr>
        <w:t>rulemaking approach</w:t>
      </w:r>
      <w:r w:rsidRPr="00D839EE" w:rsidR="00FA6985">
        <w:rPr>
          <w:sz w:val="22"/>
          <w:szCs w:val="22"/>
        </w:rPr>
        <w:t>es</w:t>
      </w:r>
      <w:r w:rsidRPr="00D839EE">
        <w:rPr>
          <w:sz w:val="22"/>
          <w:szCs w:val="22"/>
        </w:rPr>
        <w:t xml:space="preserve"> </w:t>
      </w:r>
      <w:r w:rsidRPr="00D839EE" w:rsidR="00FA6985">
        <w:rPr>
          <w:sz w:val="22"/>
          <w:szCs w:val="22"/>
        </w:rPr>
        <w:t>such as</w:t>
      </w:r>
      <w:r w:rsidRPr="00D839EE">
        <w:rPr>
          <w:sz w:val="22"/>
          <w:szCs w:val="22"/>
        </w:rPr>
        <w:t xml:space="preserve"> </w:t>
      </w:r>
      <w:r w:rsidRPr="00D839EE" w:rsidR="00652293">
        <w:rPr>
          <w:sz w:val="22"/>
          <w:szCs w:val="22"/>
        </w:rPr>
        <w:t xml:space="preserve">issuing a new </w:t>
      </w:r>
      <w:r w:rsidRPr="00D839EE" w:rsidR="008719BD">
        <w:rPr>
          <w:sz w:val="22"/>
          <w:szCs w:val="22"/>
        </w:rPr>
        <w:t>r</w:t>
      </w:r>
      <w:r w:rsidRPr="00D839EE" w:rsidR="00652293">
        <w:rPr>
          <w:sz w:val="22"/>
          <w:szCs w:val="22"/>
        </w:rPr>
        <w:t xml:space="preserve">egulatory </w:t>
      </w:r>
      <w:r w:rsidRPr="00D839EE" w:rsidR="008719BD">
        <w:rPr>
          <w:sz w:val="22"/>
          <w:szCs w:val="22"/>
        </w:rPr>
        <w:t>g</w:t>
      </w:r>
      <w:r w:rsidRPr="00D839EE" w:rsidR="00652293">
        <w:rPr>
          <w:sz w:val="22"/>
          <w:szCs w:val="22"/>
        </w:rPr>
        <w:t xml:space="preserve">uide and </w:t>
      </w:r>
      <w:r w:rsidRPr="00D839EE">
        <w:rPr>
          <w:sz w:val="22"/>
          <w:szCs w:val="22"/>
        </w:rPr>
        <w:t>updating N</w:t>
      </w:r>
      <w:r w:rsidRPr="00D839EE" w:rsidR="00983232">
        <w:rPr>
          <w:sz w:val="22"/>
          <w:szCs w:val="22"/>
        </w:rPr>
        <w:t>UREG</w:t>
      </w:r>
      <w:r w:rsidRPr="00D839EE" w:rsidR="002F68E5">
        <w:rPr>
          <w:sz w:val="22"/>
          <w:szCs w:val="22"/>
        </w:rPr>
        <w:t>-</w:t>
      </w:r>
      <w:r w:rsidRPr="00D839EE" w:rsidR="00983232">
        <w:rPr>
          <w:sz w:val="22"/>
          <w:szCs w:val="22"/>
        </w:rPr>
        <w:t>1537</w:t>
      </w:r>
      <w:r w:rsidRPr="00D839EE" w:rsidR="007A5606">
        <w:rPr>
          <w:sz w:val="22"/>
          <w:szCs w:val="22"/>
        </w:rPr>
        <w:t xml:space="preserve"> </w:t>
      </w:r>
      <w:r w:rsidRPr="00D839EE" w:rsidR="00983232">
        <w:rPr>
          <w:sz w:val="22"/>
          <w:szCs w:val="22"/>
        </w:rPr>
        <w:t>to include a streamlined licen</w:t>
      </w:r>
      <w:r w:rsidRPr="00D839EE" w:rsidR="00EB030F">
        <w:rPr>
          <w:sz w:val="22"/>
          <w:szCs w:val="22"/>
        </w:rPr>
        <w:t>se rene</w:t>
      </w:r>
      <w:r w:rsidRPr="00D839EE" w:rsidR="006C565D">
        <w:rPr>
          <w:sz w:val="22"/>
          <w:szCs w:val="22"/>
        </w:rPr>
        <w:t xml:space="preserve">wal process.  Under </w:t>
      </w:r>
      <w:r w:rsidRPr="00D839EE" w:rsidR="00676FCD">
        <w:rPr>
          <w:sz w:val="22"/>
          <w:szCs w:val="22"/>
        </w:rPr>
        <w:t>Option</w:t>
      </w:r>
      <w:r w:rsidR="005C35FE">
        <w:rPr>
          <w:sz w:val="22"/>
          <w:szCs w:val="22"/>
        </w:rPr>
        <w:t> </w:t>
      </w:r>
      <w:r w:rsidRPr="00D839EE" w:rsidR="00676FCD">
        <w:rPr>
          <w:sz w:val="22"/>
          <w:szCs w:val="22"/>
        </w:rPr>
        <w:t>4 (not selected)</w:t>
      </w:r>
      <w:r w:rsidR="005C35FE">
        <w:rPr>
          <w:sz w:val="22"/>
          <w:szCs w:val="22"/>
        </w:rPr>
        <w:t>,</w:t>
      </w:r>
      <w:r w:rsidRPr="00D839EE" w:rsidR="00676FCD">
        <w:rPr>
          <w:sz w:val="22"/>
          <w:szCs w:val="22"/>
        </w:rPr>
        <w:t xml:space="preserve"> </w:t>
      </w:r>
      <w:r w:rsidRPr="00D839EE" w:rsidR="00EB030F">
        <w:rPr>
          <w:sz w:val="22"/>
          <w:szCs w:val="22"/>
        </w:rPr>
        <w:t>the NRC would</w:t>
      </w:r>
      <w:r w:rsidRPr="00D839EE" w:rsidR="008F098B">
        <w:rPr>
          <w:sz w:val="22"/>
          <w:szCs w:val="22"/>
        </w:rPr>
        <w:t xml:space="preserve"> have</w:t>
      </w:r>
      <w:r w:rsidRPr="00D839EE" w:rsidR="00EB030F">
        <w:rPr>
          <w:sz w:val="22"/>
          <w:szCs w:val="22"/>
        </w:rPr>
        <w:t xml:space="preserve"> update</w:t>
      </w:r>
      <w:r w:rsidRPr="00D839EE" w:rsidR="008F098B">
        <w:rPr>
          <w:sz w:val="22"/>
          <w:szCs w:val="22"/>
        </w:rPr>
        <w:t>d</w:t>
      </w:r>
      <w:r w:rsidRPr="00D839EE" w:rsidR="00EB030F">
        <w:rPr>
          <w:sz w:val="22"/>
          <w:szCs w:val="22"/>
        </w:rPr>
        <w:t xml:space="preserve"> NUREG</w:t>
      </w:r>
      <w:r w:rsidRPr="00D839EE" w:rsidR="004E3276">
        <w:rPr>
          <w:sz w:val="22"/>
          <w:szCs w:val="22"/>
        </w:rPr>
        <w:t>-</w:t>
      </w:r>
      <w:r w:rsidRPr="00D839EE" w:rsidR="00EB030F">
        <w:rPr>
          <w:sz w:val="22"/>
          <w:szCs w:val="22"/>
        </w:rPr>
        <w:t xml:space="preserve">1537 to include lessons learned </w:t>
      </w:r>
      <w:r w:rsidRPr="00D839EE" w:rsidR="004E3276">
        <w:rPr>
          <w:sz w:val="22"/>
          <w:szCs w:val="22"/>
        </w:rPr>
        <w:t>from the</w:t>
      </w:r>
      <w:r w:rsidRPr="00D839EE" w:rsidR="00EB030F">
        <w:rPr>
          <w:sz w:val="22"/>
          <w:szCs w:val="22"/>
        </w:rPr>
        <w:t xml:space="preserve"> </w:t>
      </w:r>
      <w:r w:rsidRPr="00D839EE" w:rsidR="006C565D">
        <w:rPr>
          <w:sz w:val="22"/>
          <w:szCs w:val="22"/>
        </w:rPr>
        <w:t xml:space="preserve">license renewal </w:t>
      </w:r>
      <w:r w:rsidRPr="00D839EE" w:rsidR="009F3497">
        <w:rPr>
          <w:sz w:val="22"/>
          <w:szCs w:val="22"/>
        </w:rPr>
        <w:t>process</w:t>
      </w:r>
      <w:r w:rsidRPr="00D839EE" w:rsidR="004E3276">
        <w:rPr>
          <w:sz w:val="22"/>
          <w:szCs w:val="22"/>
        </w:rPr>
        <w:t>, including from application of the</w:t>
      </w:r>
      <w:r w:rsidRPr="00D839EE" w:rsidR="00D97DF4">
        <w:rPr>
          <w:sz w:val="22"/>
          <w:szCs w:val="22"/>
        </w:rPr>
        <w:t xml:space="preserve"> </w:t>
      </w:r>
      <w:r w:rsidRPr="00EC79F7" w:rsidR="00466689">
        <w:rPr>
          <w:sz w:val="22"/>
        </w:rPr>
        <w:t>“Interim Staff Guidance on the Streamlined Review Process for License Renewal for Research Reactors</w:t>
      </w:r>
      <w:r w:rsidRPr="00EC79F7" w:rsidR="000560A4">
        <w:rPr>
          <w:sz w:val="22"/>
        </w:rPr>
        <w:t>,</w:t>
      </w:r>
      <w:r w:rsidRPr="00EC79F7" w:rsidR="00466689">
        <w:rPr>
          <w:sz w:val="22"/>
        </w:rPr>
        <w:t>”</w:t>
      </w:r>
      <w:r w:rsidRPr="00EC79F7" w:rsidR="000560A4">
        <w:rPr>
          <w:sz w:val="22"/>
        </w:rPr>
        <w:t xml:space="preserve"> issued October 2009</w:t>
      </w:r>
      <w:r w:rsidRPr="00EC79F7" w:rsidR="00466689">
        <w:rPr>
          <w:sz w:val="22"/>
        </w:rPr>
        <w:t xml:space="preserve"> </w:t>
      </w:r>
      <w:r w:rsidRPr="00EC79F7" w:rsidR="00D97DF4">
        <w:rPr>
          <w:sz w:val="22"/>
        </w:rPr>
        <w:t>(</w:t>
      </w:r>
      <w:r w:rsidRPr="00EC79F7" w:rsidR="00EB030F">
        <w:rPr>
          <w:sz w:val="22"/>
        </w:rPr>
        <w:t>ISG</w:t>
      </w:r>
      <w:r w:rsidRPr="00EC79F7" w:rsidR="000A689F">
        <w:rPr>
          <w:sz w:val="22"/>
        </w:rPr>
        <w:t xml:space="preserve">) (Ref. </w:t>
      </w:r>
      <w:r w:rsidR="0009727C">
        <w:rPr>
          <w:sz w:val="22"/>
          <w:szCs w:val="22"/>
        </w:rPr>
        <w:t>23</w:t>
      </w:r>
      <w:r w:rsidRPr="00EC79F7" w:rsidR="00D97DF4">
        <w:rPr>
          <w:sz w:val="22"/>
        </w:rPr>
        <w:t>)</w:t>
      </w:r>
      <w:r w:rsidRPr="00EC79F7" w:rsidR="00EB030F">
        <w:rPr>
          <w:sz w:val="22"/>
        </w:rPr>
        <w:t>.</w:t>
      </w:r>
      <w:r w:rsidRPr="00D839EE" w:rsidR="00EB030F">
        <w:rPr>
          <w:sz w:val="22"/>
          <w:szCs w:val="22"/>
        </w:rPr>
        <w:t xml:space="preserve">  </w:t>
      </w:r>
      <w:r w:rsidRPr="00D839EE" w:rsidR="00EA65B4">
        <w:rPr>
          <w:sz w:val="22"/>
          <w:szCs w:val="22"/>
        </w:rPr>
        <w:t>Although this option would</w:t>
      </w:r>
      <w:r w:rsidRPr="00D839EE" w:rsidR="008F098B">
        <w:rPr>
          <w:sz w:val="22"/>
          <w:szCs w:val="22"/>
        </w:rPr>
        <w:t xml:space="preserve"> have</w:t>
      </w:r>
      <w:r w:rsidRPr="00D839EE" w:rsidR="00EA65B4">
        <w:rPr>
          <w:sz w:val="22"/>
          <w:szCs w:val="22"/>
        </w:rPr>
        <w:t xml:space="preserve"> update</w:t>
      </w:r>
      <w:r w:rsidRPr="00D839EE" w:rsidR="008F098B">
        <w:rPr>
          <w:sz w:val="22"/>
          <w:szCs w:val="22"/>
        </w:rPr>
        <w:t>d</w:t>
      </w:r>
      <w:r w:rsidRPr="00D839EE" w:rsidR="00EA65B4">
        <w:rPr>
          <w:sz w:val="22"/>
          <w:szCs w:val="22"/>
        </w:rPr>
        <w:t xml:space="preserve"> NUREG-1537 </w:t>
      </w:r>
      <w:r w:rsidRPr="00D839EE" w:rsidR="002F68E5">
        <w:rPr>
          <w:sz w:val="22"/>
          <w:szCs w:val="22"/>
        </w:rPr>
        <w:t xml:space="preserve">to </w:t>
      </w:r>
      <w:r w:rsidRPr="00D839EE" w:rsidR="00EA65B4">
        <w:rPr>
          <w:sz w:val="22"/>
          <w:szCs w:val="22"/>
        </w:rPr>
        <w:t>incorporate lessons learned from past license renewal</w:t>
      </w:r>
      <w:r w:rsidRPr="00D839EE" w:rsidR="00505996">
        <w:rPr>
          <w:sz w:val="22"/>
          <w:szCs w:val="22"/>
        </w:rPr>
        <w:t>s</w:t>
      </w:r>
      <w:r w:rsidRPr="00D839EE" w:rsidR="00EA65B4">
        <w:rPr>
          <w:sz w:val="22"/>
          <w:szCs w:val="22"/>
        </w:rPr>
        <w:t>, these changes would</w:t>
      </w:r>
      <w:r w:rsidRPr="00D839EE" w:rsidR="008F098B">
        <w:rPr>
          <w:sz w:val="22"/>
          <w:szCs w:val="22"/>
        </w:rPr>
        <w:t xml:space="preserve"> have</w:t>
      </w:r>
      <w:r w:rsidRPr="00D839EE" w:rsidR="00EA65B4">
        <w:rPr>
          <w:sz w:val="22"/>
          <w:szCs w:val="22"/>
        </w:rPr>
        <w:t xml:space="preserve"> be</w:t>
      </w:r>
      <w:r w:rsidRPr="00D839EE" w:rsidR="008F098B">
        <w:rPr>
          <w:sz w:val="22"/>
          <w:szCs w:val="22"/>
        </w:rPr>
        <w:t>en</w:t>
      </w:r>
      <w:r w:rsidRPr="00D839EE" w:rsidR="00EA65B4">
        <w:rPr>
          <w:sz w:val="22"/>
          <w:szCs w:val="22"/>
        </w:rPr>
        <w:t xml:space="preserve"> made to guidance documents and would not have</w:t>
      </w:r>
      <w:r w:rsidRPr="00D839EE" w:rsidR="008F098B">
        <w:rPr>
          <w:sz w:val="22"/>
          <w:szCs w:val="22"/>
        </w:rPr>
        <w:t xml:space="preserve"> had</w:t>
      </w:r>
      <w:r w:rsidRPr="00D839EE" w:rsidR="00EA65B4">
        <w:rPr>
          <w:sz w:val="22"/>
          <w:szCs w:val="22"/>
        </w:rPr>
        <w:t xml:space="preserve"> the force of regulation</w:t>
      </w:r>
      <w:r w:rsidRPr="00D839EE" w:rsidR="002F68E5">
        <w:rPr>
          <w:sz w:val="22"/>
          <w:szCs w:val="22"/>
        </w:rPr>
        <w:t>.  As a result</w:t>
      </w:r>
      <w:r w:rsidRPr="00D839EE" w:rsidR="00EA65B4">
        <w:rPr>
          <w:sz w:val="22"/>
          <w:szCs w:val="22"/>
        </w:rPr>
        <w:t>, licensees would not have</w:t>
      </w:r>
      <w:r w:rsidRPr="00D839EE" w:rsidR="008F098B">
        <w:rPr>
          <w:sz w:val="22"/>
          <w:szCs w:val="22"/>
        </w:rPr>
        <w:t xml:space="preserve"> had</w:t>
      </w:r>
      <w:r w:rsidRPr="00D839EE" w:rsidR="00EA65B4">
        <w:rPr>
          <w:sz w:val="22"/>
          <w:szCs w:val="22"/>
        </w:rPr>
        <w:t xml:space="preserve"> to comply with the changes</w:t>
      </w:r>
      <w:r w:rsidRPr="00D839EE" w:rsidR="008719BD">
        <w:rPr>
          <w:sz w:val="22"/>
          <w:szCs w:val="22"/>
        </w:rPr>
        <w:t>,</w:t>
      </w:r>
      <w:r w:rsidRPr="00D839EE" w:rsidR="00505996">
        <w:rPr>
          <w:sz w:val="22"/>
          <w:szCs w:val="22"/>
        </w:rPr>
        <w:t xml:space="preserve"> and there may</w:t>
      </w:r>
      <w:r w:rsidRPr="00D839EE" w:rsidR="008F098B">
        <w:rPr>
          <w:sz w:val="22"/>
          <w:szCs w:val="22"/>
        </w:rPr>
        <w:t xml:space="preserve"> have</w:t>
      </w:r>
      <w:r w:rsidRPr="00D839EE" w:rsidR="00505996">
        <w:rPr>
          <w:sz w:val="22"/>
          <w:szCs w:val="22"/>
        </w:rPr>
        <w:t xml:space="preserve"> be</w:t>
      </w:r>
      <w:r w:rsidRPr="00D839EE" w:rsidR="008F098B">
        <w:rPr>
          <w:sz w:val="22"/>
          <w:szCs w:val="22"/>
        </w:rPr>
        <w:t>en</w:t>
      </w:r>
      <w:r w:rsidRPr="00D839EE" w:rsidR="00505996">
        <w:rPr>
          <w:sz w:val="22"/>
          <w:szCs w:val="22"/>
        </w:rPr>
        <w:t xml:space="preserve"> no </w:t>
      </w:r>
      <w:r w:rsidRPr="00D839EE" w:rsidR="00EA6FF3">
        <w:rPr>
          <w:sz w:val="22"/>
          <w:szCs w:val="22"/>
        </w:rPr>
        <w:t xml:space="preserve">ensuing </w:t>
      </w:r>
      <w:r w:rsidR="00494E31">
        <w:rPr>
          <w:sz w:val="22"/>
          <w:szCs w:val="22"/>
        </w:rPr>
        <w:t>benefit or averted costs</w:t>
      </w:r>
      <w:r w:rsidRPr="00D839EE" w:rsidR="00EA65B4">
        <w:rPr>
          <w:sz w:val="22"/>
          <w:szCs w:val="22"/>
        </w:rPr>
        <w:t>.</w:t>
      </w:r>
      <w:r w:rsidR="0087517A">
        <w:rPr>
          <w:sz w:val="22"/>
          <w:szCs w:val="22"/>
        </w:rPr>
        <w:t xml:space="preserve">  </w:t>
      </w:r>
    </w:p>
    <w:p w:rsidR="00AC2E83" w:rsidRPr="00D839EE" w:rsidP="00346B95" w14:paraId="7F4934EE" w14:textId="77777777">
      <w:pPr>
        <w:rPr>
          <w:sz w:val="22"/>
          <w:szCs w:val="22"/>
        </w:rPr>
      </w:pPr>
    </w:p>
    <w:p w:rsidR="00690954" w:rsidRPr="00D839EE" w:rsidP="003B2E5E" w14:paraId="7F4934EF" w14:textId="77777777">
      <w:pPr>
        <w:autoSpaceDE/>
        <w:autoSpaceDN/>
        <w:adjustRightInd/>
        <w:spacing w:after="160"/>
        <w:rPr>
          <w:rFonts w:cs="Arial"/>
          <w:sz w:val="22"/>
          <w:szCs w:val="22"/>
        </w:rPr>
      </w:pPr>
      <w:r w:rsidRPr="00D839EE">
        <w:rPr>
          <w:sz w:val="22"/>
          <w:szCs w:val="22"/>
        </w:rPr>
        <w:t>Although</w:t>
      </w:r>
      <w:r w:rsidRPr="00D839EE" w:rsidR="00BB28F0">
        <w:rPr>
          <w:sz w:val="22"/>
          <w:szCs w:val="22"/>
        </w:rPr>
        <w:t xml:space="preserve"> this option could</w:t>
      </w:r>
      <w:r w:rsidRPr="00D839EE" w:rsidR="008F098B">
        <w:rPr>
          <w:sz w:val="22"/>
          <w:szCs w:val="22"/>
        </w:rPr>
        <w:t xml:space="preserve"> have</w:t>
      </w:r>
      <w:r w:rsidRPr="00D839EE" w:rsidR="00BB28F0">
        <w:rPr>
          <w:sz w:val="22"/>
          <w:szCs w:val="22"/>
        </w:rPr>
        <w:t xml:space="preserve"> result</w:t>
      </w:r>
      <w:r w:rsidRPr="00D839EE" w:rsidR="008F098B">
        <w:rPr>
          <w:sz w:val="22"/>
          <w:szCs w:val="22"/>
        </w:rPr>
        <w:t>ed</w:t>
      </w:r>
      <w:r w:rsidRPr="00D839EE" w:rsidR="00BB28F0">
        <w:rPr>
          <w:sz w:val="22"/>
          <w:szCs w:val="22"/>
        </w:rPr>
        <w:t xml:space="preserve"> in increased efficiency for licensees </w:t>
      </w:r>
      <w:r w:rsidRPr="00D839EE" w:rsidR="009F3497">
        <w:rPr>
          <w:sz w:val="22"/>
          <w:szCs w:val="22"/>
        </w:rPr>
        <w:t xml:space="preserve">and </w:t>
      </w:r>
      <w:r w:rsidR="00D868AB">
        <w:rPr>
          <w:sz w:val="22"/>
          <w:szCs w:val="22"/>
        </w:rPr>
        <w:t xml:space="preserve">the </w:t>
      </w:r>
      <w:r w:rsidRPr="00D839EE" w:rsidR="009F3497">
        <w:rPr>
          <w:sz w:val="22"/>
          <w:szCs w:val="22"/>
        </w:rPr>
        <w:t xml:space="preserve">NRC </w:t>
      </w:r>
      <w:r w:rsidR="0022584C">
        <w:rPr>
          <w:sz w:val="22"/>
          <w:szCs w:val="22"/>
        </w:rPr>
        <w:t>because of</w:t>
      </w:r>
      <w:r w:rsidRPr="00D839EE" w:rsidR="00BB28F0">
        <w:rPr>
          <w:sz w:val="22"/>
          <w:szCs w:val="22"/>
        </w:rPr>
        <w:t xml:space="preserve"> the incorporation of lessons learned, this option </w:t>
      </w:r>
      <w:r w:rsidRPr="00D839EE" w:rsidR="008F098B">
        <w:rPr>
          <w:sz w:val="22"/>
          <w:szCs w:val="22"/>
        </w:rPr>
        <w:t>would</w:t>
      </w:r>
      <w:r w:rsidRPr="00D839EE" w:rsidR="00BB28F0">
        <w:rPr>
          <w:sz w:val="22"/>
          <w:szCs w:val="22"/>
        </w:rPr>
        <w:t xml:space="preserve"> not</w:t>
      </w:r>
      <w:r w:rsidRPr="00D839EE" w:rsidR="008F098B">
        <w:rPr>
          <w:sz w:val="22"/>
          <w:szCs w:val="22"/>
        </w:rPr>
        <w:t xml:space="preserve"> have</w:t>
      </w:r>
      <w:r w:rsidRPr="00D839EE" w:rsidR="00BB28F0">
        <w:rPr>
          <w:sz w:val="22"/>
          <w:szCs w:val="22"/>
        </w:rPr>
        <w:t xml:space="preserve"> fully address</w:t>
      </w:r>
      <w:r w:rsidRPr="00D839EE" w:rsidR="008F098B">
        <w:rPr>
          <w:sz w:val="22"/>
          <w:szCs w:val="22"/>
        </w:rPr>
        <w:t>ed</w:t>
      </w:r>
      <w:r w:rsidRPr="00D839EE" w:rsidR="00BB28F0">
        <w:rPr>
          <w:sz w:val="22"/>
          <w:szCs w:val="22"/>
        </w:rPr>
        <w:t xml:space="preserve"> any of the</w:t>
      </w:r>
      <w:r w:rsidRPr="00D839EE" w:rsidR="00EA65B4">
        <w:rPr>
          <w:sz w:val="22"/>
          <w:szCs w:val="22"/>
        </w:rPr>
        <w:t xml:space="preserve"> issues that formed the basis of the Commission’s </w:t>
      </w:r>
      <w:r w:rsidRPr="00D839EE" w:rsidR="00A628DF">
        <w:rPr>
          <w:sz w:val="22"/>
          <w:szCs w:val="22"/>
        </w:rPr>
        <w:t xml:space="preserve">direction </w:t>
      </w:r>
      <w:r w:rsidRPr="00D839EE" w:rsidR="00505996">
        <w:rPr>
          <w:sz w:val="22"/>
          <w:szCs w:val="22"/>
        </w:rPr>
        <w:t>and the staff’s objectives</w:t>
      </w:r>
      <w:r w:rsidRPr="00D839EE" w:rsidR="00BB28F0">
        <w:rPr>
          <w:sz w:val="22"/>
          <w:szCs w:val="22"/>
        </w:rPr>
        <w:t xml:space="preserve">.  </w:t>
      </w:r>
      <w:r w:rsidRPr="00D839EE" w:rsidR="00EA65B4">
        <w:rPr>
          <w:sz w:val="22"/>
          <w:szCs w:val="22"/>
        </w:rPr>
        <w:t>Specifically, t</w:t>
      </w:r>
      <w:r w:rsidRPr="00D839EE" w:rsidR="009C58B0">
        <w:rPr>
          <w:sz w:val="22"/>
          <w:szCs w:val="22"/>
        </w:rPr>
        <w:t>his option would not</w:t>
      </w:r>
      <w:r w:rsidRPr="00D839EE" w:rsidR="008F098B">
        <w:rPr>
          <w:sz w:val="22"/>
          <w:szCs w:val="22"/>
        </w:rPr>
        <w:t xml:space="preserve"> have</w:t>
      </w:r>
      <w:r w:rsidRPr="00D839EE" w:rsidR="009C58B0">
        <w:rPr>
          <w:sz w:val="22"/>
          <w:szCs w:val="22"/>
        </w:rPr>
        <w:t xml:space="preserve"> address</w:t>
      </w:r>
      <w:r w:rsidRPr="00D839EE" w:rsidR="008F098B">
        <w:rPr>
          <w:sz w:val="22"/>
          <w:szCs w:val="22"/>
        </w:rPr>
        <w:t>ed</w:t>
      </w:r>
      <w:r w:rsidRPr="00D839EE" w:rsidR="009C58B0">
        <w:rPr>
          <w:sz w:val="22"/>
          <w:szCs w:val="22"/>
        </w:rPr>
        <w:t xml:space="preserve"> lack of regulation</w:t>
      </w:r>
      <w:r w:rsidRPr="00D839EE" w:rsidR="009F3497">
        <w:rPr>
          <w:sz w:val="22"/>
          <w:szCs w:val="22"/>
        </w:rPr>
        <w:t>s</w:t>
      </w:r>
      <w:r w:rsidRPr="00D839EE" w:rsidR="009C58B0">
        <w:rPr>
          <w:sz w:val="22"/>
          <w:szCs w:val="22"/>
        </w:rPr>
        <w:t xml:space="preserve"> specific to the license renewal process for NPUFs</w:t>
      </w:r>
      <w:r w:rsidR="009756F3">
        <w:rPr>
          <w:sz w:val="22"/>
          <w:szCs w:val="22"/>
        </w:rPr>
        <w:t xml:space="preserve"> </w:t>
      </w:r>
      <w:r w:rsidR="00D66ECE">
        <w:rPr>
          <w:sz w:val="22"/>
          <w:szCs w:val="22"/>
        </w:rPr>
        <w:t>or</w:t>
      </w:r>
      <w:r w:rsidRPr="00D839EE" w:rsidR="00006772">
        <w:rPr>
          <w:sz w:val="22"/>
          <w:szCs w:val="22"/>
        </w:rPr>
        <w:t xml:space="preserve"> </w:t>
      </w:r>
      <w:r w:rsidRPr="00D839EE" w:rsidR="00EA65B4">
        <w:rPr>
          <w:sz w:val="22"/>
          <w:szCs w:val="22"/>
        </w:rPr>
        <w:t xml:space="preserve">issues associated with the current </w:t>
      </w:r>
      <w:r w:rsidRPr="00D839EE" w:rsidR="00006772">
        <w:rPr>
          <w:sz w:val="22"/>
          <w:szCs w:val="22"/>
        </w:rPr>
        <w:t>timely renewal provision</w:t>
      </w:r>
      <w:r w:rsidRPr="00D839EE" w:rsidR="00EA65B4">
        <w:rPr>
          <w:sz w:val="22"/>
          <w:szCs w:val="22"/>
        </w:rPr>
        <w:t>.</w:t>
      </w:r>
      <w:r w:rsidRPr="00D839EE" w:rsidR="00006772">
        <w:rPr>
          <w:sz w:val="22"/>
          <w:szCs w:val="22"/>
        </w:rPr>
        <w:t xml:space="preserve"> </w:t>
      </w:r>
      <w:r w:rsidRPr="00D839EE" w:rsidR="00C1619B">
        <w:rPr>
          <w:sz w:val="22"/>
          <w:szCs w:val="22"/>
        </w:rPr>
        <w:t xml:space="preserve"> </w:t>
      </w:r>
      <w:r w:rsidR="00D66ECE">
        <w:rPr>
          <w:rFonts w:cs="Arial"/>
          <w:sz w:val="22"/>
          <w:szCs w:val="22"/>
        </w:rPr>
        <w:t>Further</w:t>
      </w:r>
      <w:r w:rsidRPr="00D839EE" w:rsidR="009F3497">
        <w:rPr>
          <w:rFonts w:cs="Arial"/>
          <w:sz w:val="22"/>
          <w:szCs w:val="22"/>
        </w:rPr>
        <w:t xml:space="preserve">, </w:t>
      </w:r>
      <w:r w:rsidR="00C503D4">
        <w:rPr>
          <w:rFonts w:cs="Arial"/>
          <w:sz w:val="22"/>
          <w:szCs w:val="22"/>
        </w:rPr>
        <w:t>licensees’ application of the updated guidance</w:t>
      </w:r>
      <w:r w:rsidRPr="00D839EE" w:rsidR="00EA65B4">
        <w:rPr>
          <w:rFonts w:cs="Arial"/>
          <w:sz w:val="22"/>
          <w:szCs w:val="22"/>
        </w:rPr>
        <w:t xml:space="preserve"> would</w:t>
      </w:r>
      <w:r w:rsidRPr="00D839EE" w:rsidR="008F098B">
        <w:rPr>
          <w:rFonts w:cs="Arial"/>
          <w:sz w:val="22"/>
          <w:szCs w:val="22"/>
        </w:rPr>
        <w:t xml:space="preserve"> have</w:t>
      </w:r>
      <w:r w:rsidR="00137D42">
        <w:rPr>
          <w:rFonts w:cs="Arial"/>
          <w:sz w:val="22"/>
          <w:szCs w:val="22"/>
        </w:rPr>
        <w:t xml:space="preserve"> </w:t>
      </w:r>
      <w:r w:rsidRPr="00D839EE" w:rsidR="00EA65B4">
        <w:rPr>
          <w:rFonts w:cs="Arial"/>
          <w:sz w:val="22"/>
          <w:szCs w:val="22"/>
        </w:rPr>
        <w:t>be</w:t>
      </w:r>
      <w:r w:rsidRPr="00D839EE" w:rsidR="008F098B">
        <w:rPr>
          <w:rFonts w:cs="Arial"/>
          <w:sz w:val="22"/>
          <w:szCs w:val="22"/>
        </w:rPr>
        <w:t>en</w:t>
      </w:r>
      <w:r w:rsidRPr="00D839EE" w:rsidR="00EA65B4">
        <w:rPr>
          <w:rFonts w:cs="Arial"/>
          <w:sz w:val="22"/>
          <w:szCs w:val="22"/>
        </w:rPr>
        <w:t xml:space="preserve"> voluntary</w:t>
      </w:r>
      <w:r w:rsidR="000F5547">
        <w:rPr>
          <w:rFonts w:cs="Arial"/>
          <w:sz w:val="22"/>
          <w:szCs w:val="22"/>
        </w:rPr>
        <w:t xml:space="preserve"> and</w:t>
      </w:r>
      <w:r w:rsidRPr="00D839EE" w:rsidR="00EA65B4">
        <w:rPr>
          <w:rFonts w:cs="Arial"/>
          <w:sz w:val="22"/>
          <w:szCs w:val="22"/>
        </w:rPr>
        <w:t xml:space="preserve"> </w:t>
      </w:r>
      <w:r w:rsidRPr="00D839EE" w:rsidR="009F3497">
        <w:rPr>
          <w:rFonts w:cs="Arial"/>
          <w:sz w:val="22"/>
          <w:szCs w:val="22"/>
        </w:rPr>
        <w:t>would not</w:t>
      </w:r>
      <w:r w:rsidRPr="00D839EE" w:rsidR="008F098B">
        <w:rPr>
          <w:rFonts w:cs="Arial"/>
          <w:sz w:val="22"/>
          <w:szCs w:val="22"/>
        </w:rPr>
        <w:t xml:space="preserve"> have</w:t>
      </w:r>
      <w:r w:rsidRPr="00D839EE" w:rsidR="009F3497">
        <w:rPr>
          <w:rFonts w:cs="Arial"/>
          <w:sz w:val="22"/>
          <w:szCs w:val="22"/>
        </w:rPr>
        <w:t xml:space="preserve"> achieve</w:t>
      </w:r>
      <w:r w:rsidRPr="00D839EE" w:rsidR="008F098B">
        <w:rPr>
          <w:rFonts w:cs="Arial"/>
          <w:sz w:val="22"/>
          <w:szCs w:val="22"/>
        </w:rPr>
        <w:t>d</w:t>
      </w:r>
      <w:r w:rsidRPr="00D839EE" w:rsidR="009F3497">
        <w:rPr>
          <w:rFonts w:cs="Arial"/>
          <w:sz w:val="22"/>
          <w:szCs w:val="22"/>
        </w:rPr>
        <w:t xml:space="preserve"> the bro</w:t>
      </w:r>
      <w:r w:rsidRPr="00D839EE" w:rsidR="00505996">
        <w:rPr>
          <w:rFonts w:cs="Arial"/>
          <w:sz w:val="22"/>
          <w:szCs w:val="22"/>
        </w:rPr>
        <w:t xml:space="preserve">ad </w:t>
      </w:r>
      <w:r w:rsidR="006A6D58">
        <w:rPr>
          <w:rFonts w:cs="Arial"/>
          <w:sz w:val="22"/>
          <w:szCs w:val="22"/>
        </w:rPr>
        <w:t>effects</w:t>
      </w:r>
      <w:r w:rsidRPr="00D839EE" w:rsidR="006A6D58">
        <w:rPr>
          <w:rFonts w:cs="Arial"/>
          <w:sz w:val="22"/>
          <w:szCs w:val="22"/>
        </w:rPr>
        <w:t xml:space="preserve"> </w:t>
      </w:r>
      <w:r w:rsidRPr="00D839EE" w:rsidR="00505996">
        <w:rPr>
          <w:rFonts w:cs="Arial"/>
          <w:sz w:val="22"/>
          <w:szCs w:val="22"/>
        </w:rPr>
        <w:t>of a rulemaking</w:t>
      </w:r>
      <w:r w:rsidRPr="00D839EE" w:rsidR="009F3497">
        <w:rPr>
          <w:rFonts w:cs="Arial"/>
          <w:sz w:val="22"/>
          <w:szCs w:val="22"/>
        </w:rPr>
        <w:t>.</w:t>
      </w:r>
    </w:p>
    <w:p w:rsidR="00BF5AC4" w:rsidRPr="00346B95" w:rsidP="00346B95" w14:paraId="7F4934F0" w14:textId="77777777">
      <w:pPr>
        <w:pStyle w:val="Heading1"/>
        <w:spacing w:after="220"/>
      </w:pPr>
      <w:bookmarkStart w:id="52" w:name="_Toc434330223"/>
      <w:bookmarkStart w:id="53" w:name="_Toc443852789"/>
      <w:bookmarkStart w:id="54" w:name="_Toc530073278"/>
      <w:bookmarkStart w:id="55" w:name="_Toc534037095"/>
      <w:bookmarkStart w:id="56" w:name="_Toc534699715"/>
      <w:bookmarkStart w:id="57" w:name="_Toc536603282"/>
      <w:r w:rsidRPr="00346B95">
        <w:t>3.</w:t>
      </w:r>
      <w:r w:rsidRPr="00346B95">
        <w:tab/>
        <w:t xml:space="preserve">Estimation and Evaluation of </w:t>
      </w:r>
      <w:r w:rsidR="009A11D4">
        <w:t xml:space="preserve">Costs, Averted Costs, and </w:t>
      </w:r>
      <w:r w:rsidRPr="00346B95">
        <w:t>Benefits:</w:t>
      </w:r>
      <w:r w:rsidR="00B86BB4">
        <w:t xml:space="preserve"> </w:t>
      </w:r>
      <w:r w:rsidRPr="00346B95">
        <w:t>Presentation of Results</w:t>
      </w:r>
      <w:bookmarkEnd w:id="52"/>
      <w:bookmarkEnd w:id="53"/>
      <w:bookmarkEnd w:id="54"/>
      <w:bookmarkEnd w:id="55"/>
      <w:bookmarkEnd w:id="56"/>
      <w:bookmarkEnd w:id="57"/>
    </w:p>
    <w:p w:rsidR="00BF5AC4" w:rsidRPr="00D839EE" w:rsidP="00BF5AC4" w14:paraId="7F4934F1" w14:textId="77777777">
      <w:pPr>
        <w:rPr>
          <w:rFonts w:cs="Arial"/>
          <w:sz w:val="22"/>
          <w:szCs w:val="22"/>
        </w:rPr>
      </w:pPr>
      <w:r w:rsidRPr="00D839EE">
        <w:rPr>
          <w:rFonts w:cs="Arial"/>
          <w:sz w:val="22"/>
          <w:szCs w:val="22"/>
        </w:rPr>
        <w:t xml:space="preserve">This section details the NRC’s approach to estimating the costs and benefits of the </w:t>
      </w:r>
      <w:r w:rsidRPr="00D839EE" w:rsidR="00BC5E9F">
        <w:rPr>
          <w:rFonts w:cs="Arial"/>
          <w:sz w:val="22"/>
          <w:szCs w:val="22"/>
        </w:rPr>
        <w:t>final</w:t>
      </w:r>
      <w:r w:rsidRPr="00D839EE">
        <w:rPr>
          <w:rFonts w:cs="Arial"/>
          <w:sz w:val="22"/>
          <w:szCs w:val="22"/>
        </w:rPr>
        <w:t xml:space="preserve"> rule and presents the results of the analysis:</w:t>
      </w:r>
    </w:p>
    <w:p w:rsidR="00BF5AC4" w:rsidRPr="00D839EE" w:rsidP="00BF5AC4" w14:paraId="7F4934F2" w14:textId="77777777">
      <w:pPr>
        <w:rPr>
          <w:rFonts w:cs="Arial"/>
          <w:sz w:val="22"/>
          <w:szCs w:val="22"/>
        </w:rPr>
      </w:pPr>
    </w:p>
    <w:p w:rsidR="00BF5AC4" w:rsidRPr="00D839EE" w:rsidP="00346B95" w14:paraId="7F4934F3" w14:textId="77777777">
      <w:pPr>
        <w:numPr>
          <w:ilvl w:val="0"/>
          <w:numId w:val="7"/>
        </w:numPr>
        <w:spacing w:after="220"/>
        <w:ind w:hanging="720"/>
        <w:rPr>
          <w:rFonts w:cs="Arial"/>
          <w:sz w:val="22"/>
          <w:szCs w:val="22"/>
        </w:rPr>
      </w:pPr>
      <w:r w:rsidRPr="00D839EE">
        <w:rPr>
          <w:rFonts w:cs="Arial"/>
          <w:sz w:val="22"/>
          <w:szCs w:val="22"/>
        </w:rPr>
        <w:t>Section 3.1 details the methodology, assumptions, and baseline used to evaluate the costs</w:t>
      </w:r>
      <w:r w:rsidR="00494E31">
        <w:rPr>
          <w:rFonts w:cs="Arial"/>
          <w:sz w:val="22"/>
          <w:szCs w:val="22"/>
        </w:rPr>
        <w:t>, averted costs,</w:t>
      </w:r>
      <w:r w:rsidRPr="00D839EE">
        <w:rPr>
          <w:rFonts w:cs="Arial"/>
          <w:sz w:val="22"/>
          <w:szCs w:val="22"/>
        </w:rPr>
        <w:t xml:space="preserve"> and benefits associated with the options considered in the regulatory analysis.</w:t>
      </w:r>
    </w:p>
    <w:p w:rsidR="00BF5AC4" w:rsidRPr="00D839EE" w:rsidP="00346B95" w14:paraId="7F4934F4" w14:textId="77777777">
      <w:pPr>
        <w:numPr>
          <w:ilvl w:val="0"/>
          <w:numId w:val="7"/>
        </w:numPr>
        <w:spacing w:after="220"/>
        <w:ind w:hanging="720"/>
        <w:rPr>
          <w:rFonts w:cs="Arial"/>
          <w:sz w:val="22"/>
          <w:szCs w:val="22"/>
        </w:rPr>
      </w:pPr>
      <w:r w:rsidRPr="00D839EE">
        <w:rPr>
          <w:rFonts w:cs="Arial"/>
          <w:sz w:val="22"/>
          <w:szCs w:val="22"/>
        </w:rPr>
        <w:t>Section 3.2 summarizes the costs</w:t>
      </w:r>
      <w:r w:rsidR="00494E31">
        <w:rPr>
          <w:rFonts w:cs="Arial"/>
          <w:sz w:val="22"/>
          <w:szCs w:val="22"/>
        </w:rPr>
        <w:t>, averted costs,</w:t>
      </w:r>
      <w:r w:rsidRPr="00D839EE">
        <w:rPr>
          <w:rFonts w:cs="Arial"/>
          <w:sz w:val="22"/>
          <w:szCs w:val="22"/>
        </w:rPr>
        <w:t xml:space="preserve"> and benefits associated with the options.</w:t>
      </w:r>
    </w:p>
    <w:p w:rsidR="00BF5AC4" w:rsidRPr="00D839EE" w:rsidP="00346B95" w14:paraId="7F4934F5" w14:textId="77777777">
      <w:pPr>
        <w:numPr>
          <w:ilvl w:val="0"/>
          <w:numId w:val="7"/>
        </w:numPr>
        <w:spacing w:after="220"/>
        <w:ind w:hanging="720"/>
        <w:rPr>
          <w:rFonts w:cs="Arial"/>
          <w:sz w:val="22"/>
          <w:szCs w:val="22"/>
        </w:rPr>
      </w:pPr>
      <w:r w:rsidRPr="00D839EE">
        <w:rPr>
          <w:rFonts w:cs="Arial"/>
          <w:sz w:val="22"/>
          <w:szCs w:val="22"/>
        </w:rPr>
        <w:t xml:space="preserve">Section 3.3 presents the details of the costs </w:t>
      </w:r>
      <w:r w:rsidR="00F542E5">
        <w:rPr>
          <w:rFonts w:cs="Arial"/>
          <w:sz w:val="22"/>
          <w:szCs w:val="22"/>
        </w:rPr>
        <w:t xml:space="preserve">and averted costs </w:t>
      </w:r>
      <w:r w:rsidRPr="00D839EE">
        <w:rPr>
          <w:rFonts w:cs="Arial"/>
          <w:sz w:val="22"/>
          <w:szCs w:val="22"/>
        </w:rPr>
        <w:t xml:space="preserve">associated with the </w:t>
      </w:r>
      <w:r w:rsidRPr="00D839EE" w:rsidR="00BC5E9F">
        <w:rPr>
          <w:rFonts w:cs="Arial"/>
          <w:sz w:val="22"/>
          <w:szCs w:val="22"/>
        </w:rPr>
        <w:t>final</w:t>
      </w:r>
      <w:r w:rsidRPr="00D839EE">
        <w:rPr>
          <w:rFonts w:cs="Arial"/>
          <w:sz w:val="22"/>
          <w:szCs w:val="22"/>
        </w:rPr>
        <w:t xml:space="preserve"> rule.</w:t>
      </w:r>
    </w:p>
    <w:p w:rsidR="00BF5AC4" w:rsidRPr="00D839EE" w:rsidP="00346B95" w14:paraId="7F4934F6" w14:textId="77777777">
      <w:pPr>
        <w:numPr>
          <w:ilvl w:val="0"/>
          <w:numId w:val="7"/>
        </w:numPr>
        <w:spacing w:after="220"/>
        <w:ind w:hanging="720"/>
        <w:rPr>
          <w:rFonts w:cs="Arial"/>
          <w:sz w:val="22"/>
          <w:szCs w:val="22"/>
        </w:rPr>
      </w:pPr>
      <w:r w:rsidRPr="00D839EE">
        <w:rPr>
          <w:rFonts w:cs="Arial"/>
          <w:sz w:val="22"/>
          <w:szCs w:val="22"/>
        </w:rPr>
        <w:t xml:space="preserve">Section 3.4 discusses the </w:t>
      </w:r>
      <w:r w:rsidR="00F542E5">
        <w:rPr>
          <w:rFonts w:cs="Arial"/>
          <w:sz w:val="22"/>
          <w:szCs w:val="22"/>
        </w:rPr>
        <w:t>benefits</w:t>
      </w:r>
      <w:r w:rsidRPr="00D839EE" w:rsidR="00494E31">
        <w:rPr>
          <w:rFonts w:cs="Arial"/>
          <w:sz w:val="22"/>
          <w:szCs w:val="22"/>
        </w:rPr>
        <w:t xml:space="preserve"> </w:t>
      </w:r>
      <w:r w:rsidRPr="00D839EE">
        <w:rPr>
          <w:rFonts w:cs="Arial"/>
          <w:sz w:val="22"/>
          <w:szCs w:val="22"/>
        </w:rPr>
        <w:t xml:space="preserve">of the </w:t>
      </w:r>
      <w:r w:rsidRPr="00D839EE" w:rsidR="00BC5E9F">
        <w:rPr>
          <w:rFonts w:cs="Arial"/>
          <w:sz w:val="22"/>
          <w:szCs w:val="22"/>
        </w:rPr>
        <w:t>final</w:t>
      </w:r>
      <w:r w:rsidRPr="00D839EE">
        <w:rPr>
          <w:rFonts w:cs="Arial"/>
          <w:sz w:val="22"/>
          <w:szCs w:val="22"/>
        </w:rPr>
        <w:t xml:space="preserve"> rule.</w:t>
      </w:r>
    </w:p>
    <w:p w:rsidR="00BF5AC4" w:rsidRPr="00D839EE" w:rsidP="00346B95" w14:paraId="7F4934F7" w14:textId="77777777">
      <w:pPr>
        <w:numPr>
          <w:ilvl w:val="0"/>
          <w:numId w:val="7"/>
        </w:numPr>
        <w:spacing w:after="220"/>
        <w:ind w:hanging="720"/>
        <w:rPr>
          <w:rFonts w:cs="Arial"/>
          <w:sz w:val="22"/>
          <w:szCs w:val="22"/>
        </w:rPr>
      </w:pPr>
      <w:r w:rsidRPr="00D839EE">
        <w:rPr>
          <w:rFonts w:cs="Arial"/>
          <w:sz w:val="22"/>
          <w:szCs w:val="22"/>
        </w:rPr>
        <w:t>Section 3.5 discuss</w:t>
      </w:r>
      <w:r w:rsidR="0043202E">
        <w:rPr>
          <w:rFonts w:cs="Arial"/>
          <w:sz w:val="22"/>
          <w:szCs w:val="22"/>
        </w:rPr>
        <w:t>es</w:t>
      </w:r>
      <w:r w:rsidRPr="00D839EE">
        <w:rPr>
          <w:rFonts w:cs="Arial"/>
          <w:sz w:val="22"/>
          <w:szCs w:val="22"/>
        </w:rPr>
        <w:t xml:space="preserve"> the disaggregated results.</w:t>
      </w:r>
    </w:p>
    <w:p w:rsidR="00BF5AC4" w:rsidRPr="00D839EE" w:rsidP="00346B95" w14:paraId="7F4934F8" w14:textId="77777777">
      <w:pPr>
        <w:numPr>
          <w:ilvl w:val="0"/>
          <w:numId w:val="7"/>
        </w:numPr>
        <w:spacing w:after="220"/>
        <w:ind w:hanging="720"/>
        <w:rPr>
          <w:rFonts w:cs="Arial"/>
          <w:sz w:val="22"/>
          <w:szCs w:val="22"/>
        </w:rPr>
      </w:pPr>
      <w:r w:rsidRPr="00D839EE">
        <w:rPr>
          <w:rFonts w:cs="Arial"/>
          <w:sz w:val="22"/>
          <w:szCs w:val="22"/>
        </w:rPr>
        <w:t>Section 3.6 discusses the uncertainty analysis.</w:t>
      </w:r>
    </w:p>
    <w:p w:rsidR="00BF5AC4" w:rsidRPr="00346B95" w:rsidP="00346B95" w14:paraId="7F4934F9" w14:textId="77777777">
      <w:pPr>
        <w:pStyle w:val="Heading2"/>
        <w:spacing w:after="220"/>
      </w:pPr>
      <w:bookmarkStart w:id="58" w:name="_Toc434330224"/>
      <w:bookmarkStart w:id="59" w:name="_Toc443852790"/>
      <w:bookmarkStart w:id="60" w:name="_Toc530073279"/>
      <w:bookmarkStart w:id="61" w:name="_Toc534037096"/>
      <w:bookmarkStart w:id="62" w:name="_Toc534699716"/>
      <w:bookmarkStart w:id="63" w:name="_Toc536603283"/>
      <w:r w:rsidRPr="00346B95">
        <w:t>3.1</w:t>
      </w:r>
      <w:r w:rsidRPr="00346B95">
        <w:tab/>
        <w:t>Methodology and Assumptions</w:t>
      </w:r>
      <w:bookmarkEnd w:id="58"/>
      <w:bookmarkEnd w:id="59"/>
      <w:bookmarkEnd w:id="60"/>
      <w:bookmarkEnd w:id="61"/>
      <w:bookmarkEnd w:id="62"/>
      <w:bookmarkEnd w:id="63"/>
    </w:p>
    <w:p w:rsidR="00BF5AC4" w:rsidRPr="00D839EE" w:rsidP="00BF5AC4" w14:paraId="7F4934FA" w14:textId="77777777">
      <w:pPr>
        <w:rPr>
          <w:rFonts w:cs="Arial"/>
          <w:sz w:val="22"/>
          <w:szCs w:val="22"/>
        </w:rPr>
      </w:pPr>
      <w:r w:rsidRPr="00D839EE">
        <w:rPr>
          <w:rFonts w:cs="Arial"/>
          <w:sz w:val="22"/>
          <w:szCs w:val="22"/>
        </w:rPr>
        <w:t>This section explains the process used to evaluate the costs</w:t>
      </w:r>
      <w:r w:rsidR="00494E31">
        <w:rPr>
          <w:rFonts w:cs="Arial"/>
          <w:sz w:val="22"/>
          <w:szCs w:val="22"/>
        </w:rPr>
        <w:t>, averted costs,</w:t>
      </w:r>
      <w:r w:rsidRPr="00D839EE">
        <w:rPr>
          <w:rFonts w:cs="Arial"/>
          <w:sz w:val="22"/>
          <w:szCs w:val="22"/>
        </w:rPr>
        <w:t xml:space="preserve"> and benefits associated with the rulemaking options, consistent with the guidance in </w:t>
      </w:r>
      <w:r w:rsidR="006A6D58">
        <w:rPr>
          <w:rFonts w:cs="Arial"/>
          <w:sz w:val="22"/>
          <w:szCs w:val="22"/>
        </w:rPr>
        <w:t xml:space="preserve">draft final </w:t>
      </w:r>
      <w:r w:rsidRPr="00EC79F7">
        <w:rPr>
          <w:sz w:val="22"/>
        </w:rPr>
        <w:t>NUREG/BR</w:t>
      </w:r>
      <w:r w:rsidR="006A6D58">
        <w:rPr>
          <w:sz w:val="22"/>
        </w:rPr>
        <w:noBreakHyphen/>
      </w:r>
      <w:r w:rsidRPr="00EC79F7">
        <w:rPr>
          <w:sz w:val="22"/>
        </w:rPr>
        <w:t xml:space="preserve">0058, </w:t>
      </w:r>
      <w:r w:rsidRPr="00EC79F7" w:rsidR="002F4B47">
        <w:rPr>
          <w:sz w:val="22"/>
        </w:rPr>
        <w:t>Revision </w:t>
      </w:r>
      <w:r w:rsidRPr="00EC79F7" w:rsidR="00CA0075">
        <w:rPr>
          <w:sz w:val="22"/>
        </w:rPr>
        <w:t>5</w:t>
      </w:r>
      <w:r w:rsidRPr="00EC79F7" w:rsidR="002F4B47">
        <w:rPr>
          <w:sz w:val="22"/>
        </w:rPr>
        <w:t xml:space="preserve">, </w:t>
      </w:r>
      <w:r w:rsidRPr="00EC79F7" w:rsidR="00444DC7">
        <w:rPr>
          <w:sz w:val="22"/>
        </w:rPr>
        <w:t>“</w:t>
      </w:r>
      <w:r w:rsidRPr="00EC79F7">
        <w:rPr>
          <w:sz w:val="22"/>
        </w:rPr>
        <w:t>Regulatory Analysis Guidelines of the U.S. Nuclear Regulatory Commission</w:t>
      </w:r>
      <w:r w:rsidRPr="00EC79F7" w:rsidR="00C70F10">
        <w:rPr>
          <w:sz w:val="22"/>
        </w:rPr>
        <w:t>,</w:t>
      </w:r>
      <w:r w:rsidRPr="00EC79F7" w:rsidR="00444DC7">
        <w:rPr>
          <w:sz w:val="22"/>
        </w:rPr>
        <w:t>”</w:t>
      </w:r>
      <w:r w:rsidRPr="00EC79F7" w:rsidR="00C70F10">
        <w:rPr>
          <w:sz w:val="22"/>
        </w:rPr>
        <w:t xml:space="preserve"> </w:t>
      </w:r>
      <w:r w:rsidR="00C95889">
        <w:rPr>
          <w:sz w:val="22"/>
        </w:rPr>
        <w:t>April </w:t>
      </w:r>
      <w:r w:rsidRPr="00EC79F7" w:rsidR="00CA0075">
        <w:rPr>
          <w:sz w:val="22"/>
        </w:rPr>
        <w:t>2017</w:t>
      </w:r>
      <w:r w:rsidRPr="00EC79F7">
        <w:rPr>
          <w:sz w:val="22"/>
        </w:rPr>
        <w:t xml:space="preserve"> (Ref.</w:t>
      </w:r>
      <w:r w:rsidRPr="00C520D9" w:rsidR="00536E60">
        <w:rPr>
          <w:rFonts w:cs="Arial"/>
          <w:sz w:val="22"/>
          <w:szCs w:val="22"/>
        </w:rPr>
        <w:t xml:space="preserve"> </w:t>
      </w:r>
      <w:r w:rsidRPr="00C520D9" w:rsidR="0009727C">
        <w:rPr>
          <w:rFonts w:cs="Arial"/>
          <w:sz w:val="22"/>
          <w:szCs w:val="22"/>
        </w:rPr>
        <w:t>2</w:t>
      </w:r>
      <w:r w:rsidR="0009727C">
        <w:rPr>
          <w:rFonts w:cs="Arial"/>
          <w:sz w:val="22"/>
          <w:szCs w:val="22"/>
        </w:rPr>
        <w:t>4</w:t>
      </w:r>
      <w:r w:rsidRPr="00D839EE">
        <w:rPr>
          <w:rFonts w:cs="Arial"/>
          <w:sz w:val="22"/>
          <w:szCs w:val="22"/>
        </w:rPr>
        <w:t>).</w:t>
      </w:r>
      <w:r>
        <w:rPr>
          <w:rStyle w:val="FootnoteReference"/>
          <w:rFonts w:cs="Arial"/>
          <w:sz w:val="22"/>
          <w:szCs w:val="22"/>
        </w:rPr>
        <w:footnoteReference w:id="7"/>
      </w:r>
      <w:r w:rsidRPr="00D839EE">
        <w:rPr>
          <w:rFonts w:cs="Arial"/>
          <w:sz w:val="22"/>
          <w:szCs w:val="22"/>
        </w:rPr>
        <w:t xml:space="preserve">  The benefits include</w:t>
      </w:r>
      <w:r w:rsidR="004A0141">
        <w:rPr>
          <w:rFonts w:cs="Arial"/>
          <w:sz w:val="22"/>
          <w:szCs w:val="22"/>
        </w:rPr>
        <w:t xml:space="preserve"> improved </w:t>
      </w:r>
      <w:r w:rsidR="00057577">
        <w:rPr>
          <w:rFonts w:cs="Arial"/>
          <w:sz w:val="22"/>
          <w:szCs w:val="22"/>
        </w:rPr>
        <w:t xml:space="preserve">regulatory efficiency and </w:t>
      </w:r>
      <w:r w:rsidR="004A0141">
        <w:rPr>
          <w:rFonts w:cs="Arial"/>
          <w:sz w:val="22"/>
          <w:szCs w:val="22"/>
        </w:rPr>
        <w:t xml:space="preserve">public health and safety, </w:t>
      </w:r>
      <w:r w:rsidR="00494E31">
        <w:rPr>
          <w:rFonts w:cs="Arial"/>
          <w:sz w:val="22"/>
          <w:szCs w:val="22"/>
        </w:rPr>
        <w:t>averted costs</w:t>
      </w:r>
      <w:r w:rsidRPr="00D839EE">
        <w:rPr>
          <w:rFonts w:cs="Arial"/>
          <w:sz w:val="22"/>
          <w:szCs w:val="22"/>
        </w:rPr>
        <w:t xml:space="preserve"> include </w:t>
      </w:r>
      <w:r w:rsidR="004A0141">
        <w:rPr>
          <w:rFonts w:cs="Arial"/>
          <w:sz w:val="22"/>
          <w:szCs w:val="22"/>
        </w:rPr>
        <w:t>other</w:t>
      </w:r>
      <w:r w:rsidRPr="00D839EE">
        <w:rPr>
          <w:rFonts w:cs="Arial"/>
          <w:sz w:val="22"/>
          <w:szCs w:val="22"/>
        </w:rPr>
        <w:t xml:space="preserve"> desirable changes in affected attributes (e.g., monetary savings, reduced burden on licensees), while costs include any undesirable changes in affected attributes (e.g., monetary costs).</w:t>
      </w:r>
    </w:p>
    <w:p w:rsidR="00BF5AC4" w:rsidRPr="00D839EE" w:rsidP="00BF5AC4" w14:paraId="7F4934FB" w14:textId="77777777">
      <w:pPr>
        <w:rPr>
          <w:rFonts w:cs="Arial"/>
          <w:sz w:val="22"/>
          <w:szCs w:val="22"/>
        </w:rPr>
      </w:pPr>
    </w:p>
    <w:p w:rsidR="00BF5AC4" w:rsidRPr="00D839EE" w:rsidP="00BF5AC4" w14:paraId="7F4934FC" w14:textId="77777777">
      <w:pPr>
        <w:rPr>
          <w:rFonts w:cs="Arial"/>
          <w:sz w:val="22"/>
          <w:szCs w:val="22"/>
        </w:rPr>
      </w:pPr>
      <w:r w:rsidRPr="00D839EE">
        <w:rPr>
          <w:rFonts w:cs="Arial"/>
          <w:sz w:val="22"/>
          <w:szCs w:val="22"/>
        </w:rPr>
        <w:t>The NRC estimated the</w:t>
      </w:r>
      <w:r w:rsidR="00680739">
        <w:rPr>
          <w:rFonts w:cs="Arial"/>
          <w:sz w:val="22"/>
          <w:szCs w:val="22"/>
        </w:rPr>
        <w:t xml:space="preserve"> incremental</w:t>
      </w:r>
      <w:r w:rsidRPr="00D839EE">
        <w:rPr>
          <w:rFonts w:cs="Arial"/>
          <w:sz w:val="22"/>
          <w:szCs w:val="22"/>
        </w:rPr>
        <w:t xml:space="preserve"> costs and </w:t>
      </w:r>
      <w:r w:rsidR="00494E31">
        <w:rPr>
          <w:rFonts w:cs="Arial"/>
          <w:sz w:val="22"/>
          <w:szCs w:val="22"/>
        </w:rPr>
        <w:t>averted costs</w:t>
      </w:r>
      <w:r w:rsidRPr="00D839EE" w:rsidR="00494E31">
        <w:rPr>
          <w:rFonts w:cs="Arial"/>
          <w:sz w:val="22"/>
          <w:szCs w:val="22"/>
        </w:rPr>
        <w:t xml:space="preserve"> </w:t>
      </w:r>
      <w:r w:rsidRPr="00D839EE">
        <w:rPr>
          <w:rFonts w:cs="Arial"/>
          <w:sz w:val="22"/>
          <w:szCs w:val="22"/>
        </w:rPr>
        <w:t xml:space="preserve">of the </w:t>
      </w:r>
      <w:r w:rsidRPr="00D839EE" w:rsidR="00BC5E9F">
        <w:rPr>
          <w:rFonts w:cs="Arial"/>
          <w:sz w:val="22"/>
          <w:szCs w:val="22"/>
        </w:rPr>
        <w:t>final</w:t>
      </w:r>
      <w:r w:rsidRPr="00D839EE">
        <w:rPr>
          <w:rFonts w:cs="Arial"/>
          <w:sz w:val="22"/>
          <w:szCs w:val="22"/>
        </w:rPr>
        <w:t xml:space="preserve"> rule compared to a “no</w:t>
      </w:r>
      <w:r w:rsidR="006A6D58">
        <w:rPr>
          <w:rFonts w:cs="Arial"/>
          <w:sz w:val="22"/>
          <w:szCs w:val="22"/>
        </w:rPr>
        <w:noBreakHyphen/>
      </w:r>
      <w:r w:rsidRPr="00D839EE">
        <w:rPr>
          <w:rFonts w:cs="Arial"/>
          <w:sz w:val="22"/>
          <w:szCs w:val="22"/>
        </w:rPr>
        <w:t>action” baseline.  The no</w:t>
      </w:r>
      <w:r w:rsidR="00E302A6">
        <w:rPr>
          <w:rFonts w:cs="Arial"/>
          <w:sz w:val="22"/>
          <w:szCs w:val="22"/>
        </w:rPr>
        <w:t>-</w:t>
      </w:r>
      <w:r w:rsidRPr="00D839EE">
        <w:rPr>
          <w:rFonts w:cs="Arial"/>
          <w:sz w:val="22"/>
          <w:szCs w:val="22"/>
        </w:rPr>
        <w:t xml:space="preserve">action baseline includes the historical costs incurred by </w:t>
      </w:r>
      <w:r w:rsidR="0021485B">
        <w:rPr>
          <w:rFonts w:cs="Arial"/>
          <w:sz w:val="22"/>
          <w:szCs w:val="22"/>
        </w:rPr>
        <w:t>licensees</w:t>
      </w:r>
      <w:r w:rsidRPr="00D839EE">
        <w:rPr>
          <w:rFonts w:cs="Arial"/>
          <w:sz w:val="22"/>
          <w:szCs w:val="22"/>
        </w:rPr>
        <w:t xml:space="preserve"> and the NRC during the license renewal process.  The NRC estimated all of the incremental costs and </w:t>
      </w:r>
      <w:r w:rsidR="00D96F2F">
        <w:rPr>
          <w:rFonts w:cs="Arial"/>
          <w:sz w:val="22"/>
          <w:szCs w:val="22"/>
        </w:rPr>
        <w:t>averted cos</w:t>
      </w:r>
      <w:r w:rsidR="008D0034">
        <w:rPr>
          <w:rFonts w:cs="Arial"/>
          <w:sz w:val="22"/>
          <w:szCs w:val="22"/>
        </w:rPr>
        <w:t>t</w:t>
      </w:r>
      <w:r w:rsidR="00D96F2F">
        <w:rPr>
          <w:rFonts w:cs="Arial"/>
          <w:sz w:val="22"/>
          <w:szCs w:val="22"/>
        </w:rPr>
        <w:t>s</w:t>
      </w:r>
      <w:r w:rsidRPr="00D839EE">
        <w:rPr>
          <w:rFonts w:cs="Arial"/>
          <w:sz w:val="22"/>
          <w:szCs w:val="22"/>
        </w:rPr>
        <w:t xml:space="preserve"> resulting from the </w:t>
      </w:r>
      <w:r w:rsidRPr="00D839EE" w:rsidR="00BC5E9F">
        <w:rPr>
          <w:rFonts w:cs="Arial"/>
          <w:sz w:val="22"/>
          <w:szCs w:val="22"/>
        </w:rPr>
        <w:t>final</w:t>
      </w:r>
      <w:r w:rsidRPr="00D839EE">
        <w:rPr>
          <w:rFonts w:cs="Arial"/>
          <w:sz w:val="22"/>
          <w:szCs w:val="22"/>
        </w:rPr>
        <w:t xml:space="preserve"> requirements that </w:t>
      </w:r>
      <w:r w:rsidRPr="00D839EE" w:rsidR="00BC5E9F">
        <w:rPr>
          <w:rFonts w:cs="Arial"/>
          <w:sz w:val="22"/>
          <w:szCs w:val="22"/>
        </w:rPr>
        <w:t>will</w:t>
      </w:r>
      <w:r w:rsidRPr="00D839EE">
        <w:rPr>
          <w:rFonts w:cs="Arial"/>
          <w:sz w:val="22"/>
          <w:szCs w:val="22"/>
        </w:rPr>
        <w:t xml:space="preserve"> be incurred beginning in 20</w:t>
      </w:r>
      <w:r w:rsidRPr="00D839EE" w:rsidR="00047E23">
        <w:rPr>
          <w:rFonts w:cs="Arial"/>
          <w:sz w:val="22"/>
          <w:szCs w:val="22"/>
        </w:rPr>
        <w:t>20</w:t>
      </w:r>
      <w:r w:rsidRPr="00D839EE">
        <w:rPr>
          <w:rFonts w:cs="Arial"/>
          <w:sz w:val="22"/>
          <w:szCs w:val="22"/>
        </w:rPr>
        <w:t>, which is the year the</w:t>
      </w:r>
      <w:r w:rsidRPr="00D839EE" w:rsidR="00CC6371">
        <w:rPr>
          <w:rFonts w:cs="Arial"/>
          <w:sz w:val="22"/>
          <w:szCs w:val="22"/>
        </w:rPr>
        <w:t xml:space="preserve"> final</w:t>
      </w:r>
      <w:r w:rsidRPr="00D839EE">
        <w:rPr>
          <w:rFonts w:cs="Arial"/>
          <w:sz w:val="22"/>
          <w:szCs w:val="22"/>
        </w:rPr>
        <w:t xml:space="preserve"> rule is assumed to come into effect.  All costs and </w:t>
      </w:r>
      <w:r w:rsidR="00D96F2F">
        <w:rPr>
          <w:rFonts w:cs="Arial"/>
          <w:sz w:val="22"/>
          <w:szCs w:val="22"/>
        </w:rPr>
        <w:t>averted costs</w:t>
      </w:r>
      <w:r w:rsidRPr="00D839EE" w:rsidR="00D96F2F">
        <w:rPr>
          <w:rFonts w:cs="Arial"/>
          <w:sz w:val="22"/>
          <w:szCs w:val="22"/>
        </w:rPr>
        <w:t xml:space="preserve"> </w:t>
      </w:r>
      <w:r w:rsidRPr="00D839EE">
        <w:rPr>
          <w:rFonts w:cs="Arial"/>
          <w:sz w:val="22"/>
          <w:szCs w:val="22"/>
        </w:rPr>
        <w:t xml:space="preserve">presented in this analysis are in </w:t>
      </w:r>
      <w:r w:rsidR="00494E31">
        <w:rPr>
          <w:rFonts w:cs="Arial"/>
          <w:sz w:val="22"/>
          <w:szCs w:val="22"/>
        </w:rPr>
        <w:t>2020</w:t>
      </w:r>
      <w:r w:rsidRPr="00D839EE" w:rsidR="00494E31">
        <w:rPr>
          <w:rFonts w:cs="Arial"/>
          <w:sz w:val="22"/>
          <w:szCs w:val="22"/>
        </w:rPr>
        <w:t xml:space="preserve"> </w:t>
      </w:r>
      <w:r w:rsidRPr="00D839EE">
        <w:rPr>
          <w:rFonts w:cs="Arial"/>
          <w:sz w:val="22"/>
          <w:szCs w:val="22"/>
        </w:rPr>
        <w:t>dollars</w:t>
      </w:r>
      <w:r w:rsidRPr="00D839EE" w:rsidR="00D84B49">
        <w:rPr>
          <w:rFonts w:cs="Arial"/>
          <w:sz w:val="22"/>
          <w:szCs w:val="22"/>
        </w:rPr>
        <w:t>.</w:t>
      </w:r>
      <w:r>
        <w:rPr>
          <w:rStyle w:val="FootnoteReference"/>
          <w:rFonts w:cs="Arial"/>
          <w:sz w:val="22"/>
          <w:szCs w:val="22"/>
        </w:rPr>
        <w:footnoteReference w:id="8"/>
      </w:r>
      <w:r w:rsidR="003D2AD4">
        <w:rPr>
          <w:rFonts w:cs="Arial"/>
          <w:sz w:val="22"/>
          <w:szCs w:val="22"/>
        </w:rPr>
        <w:t xml:space="preserve"> </w:t>
      </w:r>
      <w:r w:rsidR="00EE2EB1">
        <w:rPr>
          <w:rFonts w:cs="Arial"/>
          <w:sz w:val="22"/>
          <w:szCs w:val="22"/>
        </w:rPr>
        <w:t xml:space="preserve"> </w:t>
      </w:r>
      <w:r w:rsidR="00FE4BF7">
        <w:rPr>
          <w:rFonts w:cs="Arial"/>
          <w:sz w:val="22"/>
          <w:szCs w:val="22"/>
        </w:rPr>
        <w:t>All</w:t>
      </w:r>
      <w:r w:rsidR="00FE4BF7">
        <w:rPr>
          <w:sz w:val="22"/>
          <w:szCs w:val="22"/>
        </w:rPr>
        <w:t xml:space="preserve"> estimated net benefits are dependent on economic assumptions holding true.</w:t>
      </w:r>
      <w:r w:rsidR="00B86BB4">
        <w:rPr>
          <w:sz w:val="22"/>
          <w:szCs w:val="22"/>
        </w:rPr>
        <w:t xml:space="preserve"> </w:t>
      </w:r>
      <w:r w:rsidR="00FE4BF7">
        <w:rPr>
          <w:sz w:val="22"/>
          <w:szCs w:val="22"/>
        </w:rPr>
        <w:t xml:space="preserve">For more discussion on the sensitivity of the analysis to changes to economic assumptions, see </w:t>
      </w:r>
      <w:r w:rsidR="00024694">
        <w:rPr>
          <w:sz w:val="22"/>
          <w:szCs w:val="22"/>
        </w:rPr>
        <w:t>Section 3.6</w:t>
      </w:r>
      <w:r w:rsidR="00FE4BF7">
        <w:rPr>
          <w:sz w:val="22"/>
          <w:szCs w:val="22"/>
        </w:rPr>
        <w:t>.</w:t>
      </w:r>
      <w:r w:rsidR="00EE2EB1">
        <w:rPr>
          <w:sz w:val="22"/>
          <w:szCs w:val="22"/>
        </w:rPr>
        <w:t xml:space="preserve"> </w:t>
      </w:r>
      <w:r w:rsidRPr="00FF7FE1" w:rsidR="00FF7FE1">
        <w:rPr>
          <w:sz w:val="22"/>
          <w:szCs w:val="22"/>
        </w:rPr>
        <w:t xml:space="preserve"> The regulatory baseline assumes full compliance with existing NRC</w:t>
      </w:r>
      <w:r w:rsidR="00FF7FE1">
        <w:rPr>
          <w:sz w:val="22"/>
          <w:szCs w:val="22"/>
        </w:rPr>
        <w:t xml:space="preserve"> </w:t>
      </w:r>
      <w:r w:rsidRPr="00FF7FE1" w:rsidR="00FF7FE1">
        <w:rPr>
          <w:sz w:val="22"/>
          <w:szCs w:val="22"/>
        </w:rPr>
        <w:t>requirements</w:t>
      </w:r>
      <w:r w:rsidR="00FF7FE1">
        <w:rPr>
          <w:sz w:val="22"/>
          <w:szCs w:val="22"/>
        </w:rPr>
        <w:t xml:space="preserve"> and guidance</w:t>
      </w:r>
      <w:r w:rsidR="00680739">
        <w:rPr>
          <w:sz w:val="22"/>
          <w:szCs w:val="22"/>
        </w:rPr>
        <w:t xml:space="preserve">.  However, in the absence of rulemaking, the NRC expects </w:t>
      </w:r>
      <w:r w:rsidR="00AA3136">
        <w:rPr>
          <w:sz w:val="22"/>
          <w:szCs w:val="22"/>
        </w:rPr>
        <w:t xml:space="preserve">that </w:t>
      </w:r>
      <w:r w:rsidR="004352A1">
        <w:rPr>
          <w:sz w:val="22"/>
          <w:szCs w:val="22"/>
        </w:rPr>
        <w:t>many of the recent challenges with license renewals would continue to be experienced</w:t>
      </w:r>
      <w:r w:rsidR="00FF7FE1">
        <w:rPr>
          <w:sz w:val="22"/>
          <w:szCs w:val="22"/>
        </w:rPr>
        <w:t>.</w:t>
      </w:r>
    </w:p>
    <w:p w:rsidR="00BF5AC4" w:rsidRPr="00346B95" w:rsidP="00346B95" w14:paraId="7F4934FD" w14:textId="77777777">
      <w:pPr>
        <w:pStyle w:val="Heading3"/>
        <w:tabs>
          <w:tab w:val="left" w:pos="720"/>
        </w:tabs>
      </w:pPr>
      <w:bookmarkStart w:id="64" w:name="_Toc434330225"/>
      <w:bookmarkStart w:id="65" w:name="_Toc436836902"/>
      <w:bookmarkStart w:id="66" w:name="_Toc437178536"/>
      <w:bookmarkStart w:id="67" w:name="_Toc437271131"/>
      <w:bookmarkStart w:id="68" w:name="_Toc440458417"/>
      <w:bookmarkStart w:id="69" w:name="_Toc443852791"/>
      <w:bookmarkStart w:id="70" w:name="_Toc536603284"/>
      <w:r>
        <w:t>3.1.1</w:t>
      </w:r>
      <w:r>
        <w:tab/>
      </w:r>
      <w:bookmarkStart w:id="71" w:name="_Toc530073280"/>
      <w:bookmarkStart w:id="72" w:name="_Toc534037097"/>
      <w:bookmarkStart w:id="73" w:name="_Toc534699717"/>
      <w:r w:rsidRPr="00346B95">
        <w:t>Affected Universe</w:t>
      </w:r>
      <w:bookmarkEnd w:id="64"/>
      <w:bookmarkEnd w:id="65"/>
      <w:bookmarkEnd w:id="66"/>
      <w:bookmarkEnd w:id="67"/>
      <w:bookmarkEnd w:id="68"/>
      <w:bookmarkEnd w:id="69"/>
      <w:bookmarkEnd w:id="70"/>
      <w:bookmarkEnd w:id="71"/>
      <w:bookmarkEnd w:id="72"/>
      <w:bookmarkEnd w:id="73"/>
    </w:p>
    <w:p w:rsidR="00BF5AC4" w:rsidRPr="00D839EE" w:rsidP="00BF5AC4" w14:paraId="7F4934FE" w14:textId="77777777">
      <w:pPr>
        <w:rPr>
          <w:rFonts w:cs="Arial"/>
          <w:sz w:val="22"/>
          <w:szCs w:val="22"/>
        </w:rPr>
      </w:pPr>
      <w:r w:rsidRPr="00D839EE">
        <w:rPr>
          <w:rFonts w:cs="Arial"/>
          <w:sz w:val="22"/>
          <w:szCs w:val="22"/>
        </w:rPr>
        <w:t xml:space="preserve">The </w:t>
      </w:r>
      <w:r w:rsidR="008F5B48">
        <w:rPr>
          <w:rFonts w:cs="Arial"/>
          <w:sz w:val="22"/>
          <w:szCs w:val="22"/>
        </w:rPr>
        <w:t>final rule</w:t>
      </w:r>
      <w:r w:rsidRPr="00D839EE">
        <w:rPr>
          <w:rFonts w:cs="Arial"/>
          <w:sz w:val="22"/>
          <w:szCs w:val="22"/>
        </w:rPr>
        <w:t xml:space="preserve"> </w:t>
      </w:r>
      <w:r w:rsidRPr="00D839EE" w:rsidR="00BC5E9F">
        <w:rPr>
          <w:rFonts w:cs="Arial"/>
          <w:sz w:val="22"/>
          <w:szCs w:val="22"/>
        </w:rPr>
        <w:t>will</w:t>
      </w:r>
      <w:r w:rsidRPr="00D839EE">
        <w:rPr>
          <w:rFonts w:cs="Arial"/>
          <w:sz w:val="22"/>
          <w:szCs w:val="22"/>
        </w:rPr>
        <w:t xml:space="preserve"> affect all </w:t>
      </w:r>
      <w:r w:rsidR="008F5B48">
        <w:rPr>
          <w:rFonts w:cs="Arial"/>
          <w:sz w:val="22"/>
          <w:szCs w:val="22"/>
        </w:rPr>
        <w:t xml:space="preserve">NPUF </w:t>
      </w:r>
      <w:r w:rsidR="0021485B">
        <w:rPr>
          <w:rFonts w:cs="Arial"/>
          <w:sz w:val="22"/>
          <w:szCs w:val="22"/>
        </w:rPr>
        <w:t>licensee</w:t>
      </w:r>
      <w:r w:rsidRPr="00D839EE">
        <w:rPr>
          <w:rFonts w:cs="Arial"/>
          <w:sz w:val="22"/>
          <w:szCs w:val="22"/>
        </w:rPr>
        <w:t xml:space="preserve">s.  </w:t>
      </w:r>
      <w:r w:rsidR="003C19D3">
        <w:rPr>
          <w:rFonts w:cs="Arial"/>
          <w:sz w:val="22"/>
          <w:szCs w:val="22"/>
        </w:rPr>
        <w:t>However, t</w:t>
      </w:r>
      <w:r w:rsidRPr="00D839EE">
        <w:rPr>
          <w:rFonts w:cs="Arial"/>
          <w:sz w:val="22"/>
          <w:szCs w:val="22"/>
        </w:rPr>
        <w:t>he costs</w:t>
      </w:r>
      <w:r w:rsidR="00D96F2F">
        <w:rPr>
          <w:rFonts w:cs="Arial"/>
          <w:sz w:val="22"/>
          <w:szCs w:val="22"/>
        </w:rPr>
        <w:t>, averted costs,</w:t>
      </w:r>
      <w:r w:rsidRPr="00D839EE">
        <w:rPr>
          <w:rFonts w:cs="Arial"/>
          <w:sz w:val="22"/>
          <w:szCs w:val="22"/>
        </w:rPr>
        <w:t xml:space="preserve"> and benefits affecting individual </w:t>
      </w:r>
      <w:r w:rsidR="00403440">
        <w:rPr>
          <w:rFonts w:cs="Arial"/>
          <w:sz w:val="22"/>
          <w:szCs w:val="22"/>
        </w:rPr>
        <w:t>licensees</w:t>
      </w:r>
      <w:r w:rsidRPr="00D839EE">
        <w:rPr>
          <w:rFonts w:cs="Arial"/>
          <w:sz w:val="22"/>
          <w:szCs w:val="22"/>
        </w:rPr>
        <w:t xml:space="preserve"> differ depending on various characteristics (e.g., power level of the NPUF, type of staff employed, and date of last license renewal)</w:t>
      </w:r>
      <w:r w:rsidRPr="00D839EE" w:rsidR="00D31A25">
        <w:rPr>
          <w:rFonts w:cs="Arial"/>
          <w:sz w:val="22"/>
          <w:szCs w:val="22"/>
        </w:rPr>
        <w:t xml:space="preserve">. </w:t>
      </w:r>
    </w:p>
    <w:p w:rsidR="008734D0" w:rsidRPr="00D839EE" w:rsidP="00BF5AC4" w14:paraId="7F4934FF" w14:textId="77777777">
      <w:pPr>
        <w:rPr>
          <w:rFonts w:cs="Arial"/>
          <w:sz w:val="22"/>
          <w:szCs w:val="22"/>
        </w:rPr>
      </w:pPr>
    </w:p>
    <w:p w:rsidR="00BF5AC4" w:rsidRPr="00D839EE" w:rsidP="00BF5AC4" w14:paraId="7F493500" w14:textId="77777777">
      <w:pPr>
        <w:rPr>
          <w:rFonts w:cs="Arial"/>
          <w:sz w:val="22"/>
          <w:szCs w:val="22"/>
        </w:rPr>
      </w:pPr>
      <w:r w:rsidRPr="00D839EE">
        <w:rPr>
          <w:rFonts w:cs="Arial"/>
          <w:sz w:val="22"/>
          <w:szCs w:val="22"/>
        </w:rPr>
        <w:t xml:space="preserve">The NRC estimated the costs and </w:t>
      </w:r>
      <w:r w:rsidR="00D96F2F">
        <w:rPr>
          <w:rFonts w:cs="Arial"/>
          <w:sz w:val="22"/>
          <w:szCs w:val="22"/>
        </w:rPr>
        <w:t>averted costs</w:t>
      </w:r>
      <w:r w:rsidRPr="00D839EE" w:rsidR="00D96F2F">
        <w:rPr>
          <w:rFonts w:cs="Arial"/>
          <w:sz w:val="22"/>
          <w:szCs w:val="22"/>
        </w:rPr>
        <w:t xml:space="preserve"> </w:t>
      </w:r>
      <w:r w:rsidRPr="00D839EE">
        <w:rPr>
          <w:rFonts w:cs="Arial"/>
          <w:sz w:val="22"/>
          <w:szCs w:val="22"/>
        </w:rPr>
        <w:t xml:space="preserve">incurred by the </w:t>
      </w:r>
      <w:r w:rsidR="0025429B">
        <w:rPr>
          <w:rFonts w:cs="Arial"/>
          <w:sz w:val="22"/>
          <w:szCs w:val="22"/>
        </w:rPr>
        <w:t xml:space="preserve">31 </w:t>
      </w:r>
      <w:r w:rsidRPr="00D839EE">
        <w:rPr>
          <w:rFonts w:cs="Arial"/>
          <w:sz w:val="22"/>
          <w:szCs w:val="22"/>
        </w:rPr>
        <w:t>NPUFs</w:t>
      </w:r>
      <w:r w:rsidR="004352A1">
        <w:rPr>
          <w:rFonts w:cs="Arial"/>
          <w:sz w:val="22"/>
          <w:szCs w:val="22"/>
        </w:rPr>
        <w:t xml:space="preserve"> currently licensed to operate</w:t>
      </w:r>
      <w:r w:rsidR="003C19D3">
        <w:rPr>
          <w:rFonts w:cs="Arial"/>
          <w:sz w:val="22"/>
          <w:szCs w:val="22"/>
        </w:rPr>
        <w:t>,</w:t>
      </w:r>
      <w:r w:rsidR="0025429B">
        <w:rPr>
          <w:rFonts w:cs="Arial"/>
          <w:sz w:val="22"/>
          <w:szCs w:val="22"/>
        </w:rPr>
        <w:t xml:space="preserve"> as well as two NPUFs anticipated to be </w:t>
      </w:r>
      <w:r w:rsidR="004352A1">
        <w:rPr>
          <w:rFonts w:cs="Arial"/>
          <w:sz w:val="22"/>
          <w:szCs w:val="22"/>
        </w:rPr>
        <w:t xml:space="preserve">licensed to operate </w:t>
      </w:r>
      <w:r w:rsidR="0025429B">
        <w:rPr>
          <w:rFonts w:cs="Arial"/>
          <w:sz w:val="22"/>
          <w:szCs w:val="22"/>
        </w:rPr>
        <w:t xml:space="preserve">within the next </w:t>
      </w:r>
      <w:r w:rsidR="003C19D3">
        <w:rPr>
          <w:rFonts w:cs="Arial"/>
          <w:sz w:val="22"/>
          <w:szCs w:val="22"/>
        </w:rPr>
        <w:t>5</w:t>
      </w:r>
      <w:r w:rsidR="0025429B">
        <w:rPr>
          <w:rFonts w:cs="Arial"/>
          <w:sz w:val="22"/>
          <w:szCs w:val="22"/>
        </w:rPr>
        <w:t xml:space="preserve"> years</w:t>
      </w:r>
      <w:r w:rsidRPr="00D839EE">
        <w:rPr>
          <w:rFonts w:cs="Arial"/>
          <w:sz w:val="22"/>
          <w:szCs w:val="22"/>
        </w:rPr>
        <w:t xml:space="preserve">.  </w:t>
      </w:r>
      <w:r w:rsidR="009C6A2A">
        <w:rPr>
          <w:rFonts w:cs="Arial"/>
          <w:sz w:val="22"/>
          <w:szCs w:val="22"/>
        </w:rPr>
        <w:t xml:space="preserve">The incremental costs of one of the other three regulated NPUFs </w:t>
      </w:r>
      <w:r w:rsidRPr="00D839EE" w:rsidR="001828BA">
        <w:rPr>
          <w:rFonts w:cs="Arial"/>
          <w:sz w:val="22"/>
          <w:szCs w:val="22"/>
        </w:rPr>
        <w:t>that are in the process of decommissioning</w:t>
      </w:r>
      <w:r w:rsidRPr="00D839EE" w:rsidR="0099354E">
        <w:rPr>
          <w:rFonts w:cs="Arial"/>
          <w:sz w:val="22"/>
          <w:szCs w:val="22"/>
        </w:rPr>
        <w:t>,</w:t>
      </w:r>
      <w:r w:rsidRPr="00D839EE" w:rsidR="001828BA">
        <w:rPr>
          <w:rFonts w:cs="Arial"/>
          <w:sz w:val="22"/>
          <w:szCs w:val="22"/>
        </w:rPr>
        <w:t xml:space="preserve"> have possession-only licenses</w:t>
      </w:r>
      <w:r w:rsidRPr="00D839EE" w:rsidR="0099354E">
        <w:rPr>
          <w:rFonts w:cs="Arial"/>
          <w:sz w:val="22"/>
          <w:szCs w:val="22"/>
        </w:rPr>
        <w:t>,</w:t>
      </w:r>
      <w:r w:rsidRPr="00D839EE" w:rsidR="001828BA">
        <w:rPr>
          <w:rFonts w:cs="Arial"/>
          <w:sz w:val="22"/>
          <w:szCs w:val="22"/>
        </w:rPr>
        <w:t xml:space="preserve"> or are permanently shut down</w:t>
      </w:r>
      <w:r w:rsidR="009C6A2A">
        <w:rPr>
          <w:rFonts w:cs="Arial"/>
          <w:sz w:val="22"/>
          <w:szCs w:val="22"/>
        </w:rPr>
        <w:t xml:space="preserve"> are considered </w:t>
      </w:r>
      <w:r w:rsidR="00517EAA">
        <w:rPr>
          <w:rFonts w:cs="Arial"/>
          <w:sz w:val="22"/>
          <w:szCs w:val="22"/>
        </w:rPr>
        <w:t xml:space="preserve">separately </w:t>
      </w:r>
      <w:r w:rsidR="009C6A2A">
        <w:rPr>
          <w:rFonts w:cs="Arial"/>
          <w:sz w:val="22"/>
          <w:szCs w:val="22"/>
        </w:rPr>
        <w:t xml:space="preserve">in </w:t>
      </w:r>
      <w:r w:rsidRPr="004113F3" w:rsidR="004113F3">
        <w:rPr>
          <w:rFonts w:cs="Arial"/>
          <w:sz w:val="22"/>
          <w:szCs w:val="22"/>
        </w:rPr>
        <w:t>Section 3.6.4</w:t>
      </w:r>
      <w:r w:rsidRPr="00D839EE">
        <w:rPr>
          <w:rFonts w:cs="Arial"/>
          <w:sz w:val="22"/>
          <w:szCs w:val="22"/>
        </w:rPr>
        <w:t>.</w:t>
      </w:r>
      <w:r>
        <w:rPr>
          <w:rStyle w:val="FootnoteReference"/>
          <w:rFonts w:cs="Arial"/>
          <w:sz w:val="22"/>
          <w:szCs w:val="22"/>
        </w:rPr>
        <w:footnoteReference w:id="9"/>
      </w:r>
      <w:r w:rsidRPr="00D839EE">
        <w:rPr>
          <w:rFonts w:cs="Arial"/>
          <w:sz w:val="22"/>
          <w:szCs w:val="22"/>
        </w:rPr>
        <w:t xml:space="preserve"> Appendix </w:t>
      </w:r>
      <w:r w:rsidR="00A002D2">
        <w:rPr>
          <w:rFonts w:cs="Arial"/>
          <w:sz w:val="22"/>
          <w:szCs w:val="22"/>
        </w:rPr>
        <w:t>A</w:t>
      </w:r>
      <w:r w:rsidRPr="00D839EE">
        <w:rPr>
          <w:rFonts w:cs="Arial"/>
          <w:sz w:val="22"/>
          <w:szCs w:val="22"/>
        </w:rPr>
        <w:t xml:space="preserve"> details the cost and savings buildup.</w:t>
      </w:r>
    </w:p>
    <w:p w:rsidR="00BF5AC4" w:rsidRPr="00D839EE" w:rsidP="00BF5AC4" w14:paraId="7F493501" w14:textId="77777777">
      <w:pPr>
        <w:rPr>
          <w:rFonts w:cs="Arial"/>
          <w:sz w:val="22"/>
          <w:szCs w:val="22"/>
        </w:rPr>
      </w:pPr>
    </w:p>
    <w:p w:rsidR="003679D4" w:rsidP="54629D4C" w14:paraId="76A42E00" w14:textId="77777777">
      <w:pPr>
        <w:rPr>
          <w:rFonts w:cs="Arial"/>
          <w:sz w:val="22"/>
          <w:szCs w:val="22"/>
        </w:rPr>
      </w:pPr>
      <w:r w:rsidRPr="00A64763">
        <w:rPr>
          <w:rFonts w:cs="Arial"/>
          <w:sz w:val="22"/>
          <w:szCs w:val="22"/>
        </w:rPr>
        <w:t>For the purposes of estimating the costs</w:t>
      </w:r>
      <w:r w:rsidR="00594142">
        <w:rPr>
          <w:rFonts w:cs="Arial"/>
          <w:sz w:val="22"/>
          <w:szCs w:val="22"/>
        </w:rPr>
        <w:t>, averted costs,</w:t>
      </w:r>
      <w:r w:rsidRPr="00A64763">
        <w:rPr>
          <w:rFonts w:cs="Arial"/>
          <w:sz w:val="22"/>
          <w:szCs w:val="22"/>
        </w:rPr>
        <w:t xml:space="preserve"> and benefits of the </w:t>
      </w:r>
      <w:r w:rsidRPr="00A64763" w:rsidR="00BC5E9F">
        <w:rPr>
          <w:rFonts w:cs="Arial"/>
          <w:sz w:val="22"/>
          <w:szCs w:val="22"/>
        </w:rPr>
        <w:t>final</w:t>
      </w:r>
      <w:r w:rsidRPr="00A64763">
        <w:rPr>
          <w:rFonts w:cs="Arial"/>
          <w:sz w:val="22"/>
          <w:szCs w:val="22"/>
        </w:rPr>
        <w:t xml:space="preserve"> rule, the 3</w:t>
      </w:r>
      <w:r w:rsidRPr="00A64763" w:rsidR="00486892">
        <w:rPr>
          <w:rFonts w:cs="Arial"/>
          <w:sz w:val="22"/>
          <w:szCs w:val="22"/>
        </w:rPr>
        <w:t>3</w:t>
      </w:r>
      <w:r w:rsidR="004352A1">
        <w:rPr>
          <w:rFonts w:cs="Arial"/>
          <w:sz w:val="22"/>
          <w:szCs w:val="22"/>
        </w:rPr>
        <w:t> </w:t>
      </w:r>
      <w:r w:rsidR="00517EAA">
        <w:rPr>
          <w:rFonts w:cs="Arial"/>
          <w:sz w:val="22"/>
          <w:szCs w:val="22"/>
        </w:rPr>
        <w:t xml:space="preserve">analyzed </w:t>
      </w:r>
      <w:r w:rsidRPr="00A64763">
        <w:rPr>
          <w:rFonts w:cs="Arial"/>
          <w:sz w:val="22"/>
          <w:szCs w:val="22"/>
        </w:rPr>
        <w:t xml:space="preserve">NPUFs are broken into </w:t>
      </w:r>
      <w:r w:rsidRPr="00A64763" w:rsidR="00964CA5">
        <w:rPr>
          <w:rFonts w:cs="Arial"/>
          <w:sz w:val="22"/>
          <w:szCs w:val="22"/>
        </w:rPr>
        <w:t>four</w:t>
      </w:r>
      <w:r w:rsidRPr="00A64763">
        <w:rPr>
          <w:rFonts w:cs="Arial"/>
          <w:sz w:val="22"/>
          <w:szCs w:val="22"/>
        </w:rPr>
        <w:t xml:space="preserve"> categories based on the power of the facility</w:t>
      </w:r>
      <w:r w:rsidRPr="00A64763" w:rsidR="00E63A5E">
        <w:rPr>
          <w:rFonts w:cs="Arial"/>
          <w:sz w:val="22"/>
          <w:szCs w:val="22"/>
        </w:rPr>
        <w:t xml:space="preserve"> or facility type</w:t>
      </w:r>
      <w:r w:rsidRPr="00A64763">
        <w:rPr>
          <w:rFonts w:cs="Arial"/>
          <w:sz w:val="22"/>
          <w:szCs w:val="22"/>
        </w:rPr>
        <w:t xml:space="preserve">: </w:t>
      </w:r>
      <w:r w:rsidRPr="00A64763" w:rsidR="00444DC7">
        <w:rPr>
          <w:rFonts w:cs="Arial"/>
          <w:sz w:val="22"/>
          <w:szCs w:val="22"/>
        </w:rPr>
        <w:t xml:space="preserve"> </w:t>
      </w:r>
      <w:r w:rsidRPr="00A64763">
        <w:rPr>
          <w:rFonts w:cs="Arial"/>
          <w:sz w:val="22"/>
          <w:szCs w:val="22"/>
        </w:rPr>
        <w:t>Low (&lt;100 kW), Medium (≥100 and &lt;</w:t>
      </w:r>
      <w:r w:rsidRPr="00A64763" w:rsidR="00315A3E">
        <w:rPr>
          <w:rFonts w:cs="Arial"/>
          <w:sz w:val="22"/>
          <w:szCs w:val="22"/>
        </w:rPr>
        <w:t>2</w:t>
      </w:r>
      <w:r w:rsidRPr="00A64763">
        <w:rPr>
          <w:rFonts w:cs="Arial"/>
          <w:sz w:val="22"/>
          <w:szCs w:val="22"/>
        </w:rPr>
        <w:t xml:space="preserve">000 kW), </w:t>
      </w:r>
      <w:r w:rsidRPr="00A64763" w:rsidR="00052167">
        <w:rPr>
          <w:rFonts w:cs="Arial"/>
          <w:sz w:val="22"/>
          <w:szCs w:val="22"/>
        </w:rPr>
        <w:t>H</w:t>
      </w:r>
      <w:r w:rsidRPr="00A64763">
        <w:rPr>
          <w:rFonts w:cs="Arial"/>
          <w:sz w:val="22"/>
          <w:szCs w:val="22"/>
        </w:rPr>
        <w:t>igh (≥</w:t>
      </w:r>
      <w:r w:rsidRPr="00A64763" w:rsidR="00315A3E">
        <w:rPr>
          <w:rFonts w:cs="Arial"/>
          <w:sz w:val="22"/>
          <w:szCs w:val="22"/>
        </w:rPr>
        <w:t>2</w:t>
      </w:r>
      <w:r w:rsidRPr="00A64763" w:rsidR="00281D40">
        <w:rPr>
          <w:rFonts w:cs="Arial"/>
          <w:sz w:val="22"/>
          <w:szCs w:val="22"/>
        </w:rPr>
        <w:t>,</w:t>
      </w:r>
      <w:r w:rsidRPr="00A64763">
        <w:rPr>
          <w:rFonts w:cs="Arial"/>
          <w:sz w:val="22"/>
          <w:szCs w:val="22"/>
        </w:rPr>
        <w:t>000 kW)</w:t>
      </w:r>
      <w:r w:rsidRPr="00A64763" w:rsidR="00315A3E">
        <w:rPr>
          <w:rFonts w:cs="Arial"/>
          <w:sz w:val="22"/>
          <w:szCs w:val="22"/>
        </w:rPr>
        <w:t>, and Other NPUFs</w:t>
      </w:r>
      <w:r w:rsidRPr="00A64763" w:rsidR="00F82150">
        <w:rPr>
          <w:rFonts w:cs="Arial"/>
          <w:sz w:val="22"/>
          <w:szCs w:val="22"/>
        </w:rPr>
        <w:t xml:space="preserve"> (</w:t>
      </w:r>
      <w:r w:rsidRPr="00A64763" w:rsidR="0025429B">
        <w:rPr>
          <w:rFonts w:cs="Arial"/>
          <w:sz w:val="22"/>
          <w:szCs w:val="22"/>
        </w:rPr>
        <w:t xml:space="preserve">consisting of </w:t>
      </w:r>
      <w:r w:rsidRPr="00A64763" w:rsidR="00F82150">
        <w:rPr>
          <w:rFonts w:cs="Arial"/>
          <w:sz w:val="22"/>
          <w:szCs w:val="22"/>
        </w:rPr>
        <w:t>commercial facilit</w:t>
      </w:r>
      <w:r w:rsidRPr="00A64763" w:rsidR="00403440">
        <w:rPr>
          <w:rFonts w:cs="Arial"/>
          <w:sz w:val="22"/>
          <w:szCs w:val="22"/>
        </w:rPr>
        <w:t>ie</w:t>
      </w:r>
      <w:r w:rsidRPr="00A64763" w:rsidR="00F82150">
        <w:rPr>
          <w:rFonts w:cs="Arial"/>
          <w:sz w:val="22"/>
          <w:szCs w:val="22"/>
        </w:rPr>
        <w:t>s</w:t>
      </w:r>
      <w:r w:rsidRPr="00A64763" w:rsidR="0025429B">
        <w:rPr>
          <w:rFonts w:cs="Arial"/>
          <w:sz w:val="22"/>
          <w:szCs w:val="22"/>
        </w:rPr>
        <w:t xml:space="preserve"> and testing </w:t>
      </w:r>
      <w:r w:rsidRPr="00A64763" w:rsidR="00F82150">
        <w:rPr>
          <w:rFonts w:cs="Arial"/>
          <w:sz w:val="22"/>
          <w:szCs w:val="22"/>
        </w:rPr>
        <w:t>facilities)</w:t>
      </w:r>
      <w:r w:rsidRPr="00A64763">
        <w:rPr>
          <w:rFonts w:cs="Arial"/>
          <w:sz w:val="22"/>
          <w:szCs w:val="22"/>
        </w:rPr>
        <w:t xml:space="preserve">.  There are </w:t>
      </w:r>
      <w:r w:rsidRPr="00A64763" w:rsidR="001C5C4C">
        <w:rPr>
          <w:rFonts w:cs="Arial"/>
          <w:sz w:val="22"/>
          <w:szCs w:val="22"/>
        </w:rPr>
        <w:t>five</w:t>
      </w:r>
      <w:r w:rsidRPr="00A64763">
        <w:rPr>
          <w:rFonts w:cs="Arial"/>
          <w:sz w:val="22"/>
          <w:szCs w:val="22"/>
        </w:rPr>
        <w:t xml:space="preserve"> facilities in the Low category, </w:t>
      </w:r>
      <w:r w:rsidRPr="00A64763" w:rsidR="0025429B">
        <w:rPr>
          <w:rFonts w:cs="Arial"/>
          <w:sz w:val="22"/>
          <w:szCs w:val="22"/>
        </w:rPr>
        <w:t>21</w:t>
      </w:r>
      <w:r w:rsidRPr="00A64763" w:rsidR="00717BC0">
        <w:rPr>
          <w:rFonts w:cs="Arial"/>
          <w:sz w:val="22"/>
          <w:szCs w:val="22"/>
        </w:rPr>
        <w:t xml:space="preserve"> </w:t>
      </w:r>
      <w:r w:rsidRPr="00A64763" w:rsidR="00717BC0">
        <w:rPr>
          <w:rFonts w:cs="Arial"/>
          <w:sz w:val="22"/>
          <w:szCs w:val="22"/>
        </w:rPr>
        <w:t>facilities</w:t>
      </w:r>
      <w:r w:rsidRPr="00A64763">
        <w:rPr>
          <w:rFonts w:cs="Arial"/>
          <w:sz w:val="22"/>
          <w:szCs w:val="22"/>
        </w:rPr>
        <w:t xml:space="preserve"> in the Medium category, </w:t>
      </w:r>
      <w:r w:rsidRPr="00A64763" w:rsidR="00717BC0">
        <w:rPr>
          <w:rFonts w:cs="Arial"/>
          <w:sz w:val="22"/>
          <w:szCs w:val="22"/>
        </w:rPr>
        <w:t>four</w:t>
      </w:r>
      <w:r w:rsidRPr="00A64763">
        <w:rPr>
          <w:rFonts w:cs="Arial"/>
          <w:sz w:val="22"/>
          <w:szCs w:val="22"/>
        </w:rPr>
        <w:t xml:space="preserve"> facilities in the High category</w:t>
      </w:r>
      <w:r w:rsidRPr="00A64763" w:rsidR="00717BC0">
        <w:rPr>
          <w:rFonts w:cs="Arial"/>
          <w:sz w:val="22"/>
          <w:szCs w:val="22"/>
        </w:rPr>
        <w:t xml:space="preserve">, and </w:t>
      </w:r>
      <w:r w:rsidRPr="00A64763" w:rsidR="00717BC0">
        <w:rPr>
          <w:rFonts w:cs="Arial"/>
          <w:sz w:val="22"/>
          <w:szCs w:val="22"/>
        </w:rPr>
        <w:t>three</w:t>
      </w:r>
      <w:r w:rsidRPr="00A64763" w:rsidR="00717BC0">
        <w:rPr>
          <w:rFonts w:cs="Arial"/>
          <w:sz w:val="22"/>
          <w:szCs w:val="22"/>
        </w:rPr>
        <w:t xml:space="preserve"> facilities in the Other NPUFs category</w:t>
      </w:r>
      <w:r w:rsidRPr="00A64763">
        <w:rPr>
          <w:rFonts w:cs="Arial"/>
          <w:sz w:val="22"/>
          <w:szCs w:val="22"/>
        </w:rPr>
        <w:t>.  These divisions allow for the estimation of regulatory compliance costs and savings that differ based on the size</w:t>
      </w:r>
      <w:r w:rsidRPr="00A64763" w:rsidR="0025429B">
        <w:rPr>
          <w:rFonts w:cs="Arial"/>
          <w:sz w:val="22"/>
          <w:szCs w:val="22"/>
        </w:rPr>
        <w:t>, staffing,</w:t>
      </w:r>
      <w:r w:rsidRPr="00A64763">
        <w:rPr>
          <w:rFonts w:cs="Arial"/>
          <w:sz w:val="22"/>
          <w:szCs w:val="22"/>
        </w:rPr>
        <w:t xml:space="preserve"> and power level of the different facilities.  </w:t>
      </w:r>
      <w:r w:rsidRPr="00D96410" w:rsidR="00D83939">
        <w:rPr>
          <w:rFonts w:cs="Arial"/>
          <w:sz w:val="22"/>
          <w:szCs w:val="22"/>
        </w:rPr>
        <w:fldChar w:fldCharType="begin"/>
      </w:r>
      <w:r w:rsidRPr="00D83939" w:rsidR="00D83939">
        <w:rPr>
          <w:rFonts w:cs="Arial"/>
          <w:sz w:val="22"/>
          <w:szCs w:val="22"/>
        </w:rPr>
        <w:instrText xml:space="preserve"> REF _Ref534710758 \h </w:instrText>
      </w:r>
      <w:r w:rsidRPr="00D96410" w:rsidR="00D83939">
        <w:rPr>
          <w:rFonts w:cs="Arial"/>
          <w:sz w:val="22"/>
          <w:szCs w:val="22"/>
        </w:rPr>
        <w:instrText xml:space="preserve"> \* MERGEFORMAT </w:instrText>
      </w:r>
      <w:r w:rsidRPr="00D96410" w:rsidR="00D83939">
        <w:rPr>
          <w:rFonts w:cs="Arial"/>
          <w:sz w:val="22"/>
          <w:szCs w:val="22"/>
        </w:rPr>
        <w:fldChar w:fldCharType="separate"/>
      </w:r>
      <w:r w:rsidRPr="00977795" w:rsidR="00977795">
        <w:rPr>
          <w:sz w:val="22"/>
          <w:szCs w:val="22"/>
        </w:rPr>
        <w:t>Exhibit 3</w:t>
      </w:r>
      <w:r w:rsidRPr="00977795" w:rsidR="00977795">
        <w:rPr>
          <w:sz w:val="22"/>
          <w:szCs w:val="22"/>
        </w:rPr>
        <w:noBreakHyphen/>
        <w:t>1</w:t>
      </w:r>
      <w:r w:rsidRPr="00D96410" w:rsidR="00D83939">
        <w:rPr>
          <w:rFonts w:cs="Arial"/>
          <w:sz w:val="22"/>
          <w:szCs w:val="22"/>
        </w:rPr>
        <w:fldChar w:fldCharType="end"/>
      </w:r>
      <w:r w:rsidRPr="00A64763">
        <w:rPr>
          <w:rFonts w:cs="Arial"/>
          <w:sz w:val="22"/>
          <w:szCs w:val="22"/>
        </w:rPr>
        <w:t xml:space="preserve"> lists the NPUFs included in the universe of affected entities under this analysis, by category.</w:t>
      </w:r>
      <w:r w:rsidRPr="54629D4C" w:rsidR="00A333CD">
        <w:rPr>
          <w:rFonts w:cs="Arial"/>
          <w:sz w:val="22"/>
          <w:szCs w:val="22"/>
        </w:rPr>
        <w:t xml:space="preserve"> </w:t>
      </w:r>
    </w:p>
    <w:p w:rsidR="003679D4" w:rsidP="54629D4C" w14:paraId="09F3EE81" w14:textId="77777777">
      <w:pPr>
        <w:rPr>
          <w:rFonts w:cs="Arial"/>
          <w:sz w:val="22"/>
          <w:szCs w:val="22"/>
        </w:rPr>
      </w:pPr>
    </w:p>
    <w:p w:rsidR="00011C51" w:rsidRPr="003A7F24" w:rsidP="54629D4C" w14:paraId="7F493502" w14:textId="00AFF880">
      <w:pPr>
        <w:rPr>
          <w:b/>
        </w:rPr>
      </w:pPr>
      <w:r w:rsidRPr="54629D4C">
        <w:rPr>
          <w:rFonts w:cs="Arial"/>
          <w:sz w:val="22"/>
          <w:szCs w:val="22"/>
        </w:rPr>
        <w:t>T</w:t>
      </w:r>
      <w:r w:rsidRPr="54629D4C" w:rsidR="00182F47">
        <w:rPr>
          <w:rFonts w:cs="Arial"/>
          <w:sz w:val="22"/>
          <w:szCs w:val="22"/>
        </w:rPr>
        <w:t xml:space="preserve">he set of affected applicants and licensees has changed since this regulatory analysis was performed, with some </w:t>
      </w:r>
      <w:r w:rsidRPr="54629D4C" w:rsidR="003F621B">
        <w:rPr>
          <w:rFonts w:cs="Arial"/>
          <w:sz w:val="22"/>
          <w:szCs w:val="22"/>
        </w:rPr>
        <w:t xml:space="preserve">applications being withdrawn, new applications submitted, etc. </w:t>
      </w:r>
      <w:r w:rsidR="00EB27CD">
        <w:rPr>
          <w:rFonts w:cs="Arial"/>
          <w:sz w:val="22"/>
          <w:szCs w:val="22"/>
        </w:rPr>
        <w:t xml:space="preserve"> </w:t>
      </w:r>
      <w:r w:rsidRPr="54629D4C" w:rsidR="003F621B">
        <w:rPr>
          <w:rFonts w:cs="Arial"/>
          <w:sz w:val="22"/>
          <w:szCs w:val="22"/>
        </w:rPr>
        <w:t xml:space="preserve">However, the NRC </w:t>
      </w:r>
      <w:r w:rsidRPr="54629D4C" w:rsidR="007E1D73">
        <w:rPr>
          <w:rFonts w:cs="Arial"/>
          <w:sz w:val="22"/>
          <w:szCs w:val="22"/>
        </w:rPr>
        <w:t>has considered these changes and determined that they do not significantly affect the net results of this regulatory analysis</w:t>
      </w:r>
      <w:r w:rsidRPr="54629D4C" w:rsidR="008E2729">
        <w:rPr>
          <w:rFonts w:cs="Arial"/>
          <w:sz w:val="22"/>
          <w:szCs w:val="22"/>
        </w:rPr>
        <w:t>,</w:t>
      </w:r>
      <w:r w:rsidRPr="54629D4C" w:rsidR="007E1D73">
        <w:rPr>
          <w:rFonts w:cs="Arial"/>
          <w:sz w:val="22"/>
          <w:szCs w:val="22"/>
        </w:rPr>
        <w:t xml:space="preserve"> nor do they</w:t>
      </w:r>
      <w:r w:rsidRPr="54629D4C" w:rsidR="00E00FEC">
        <w:rPr>
          <w:rFonts w:cs="Arial"/>
          <w:sz w:val="22"/>
          <w:szCs w:val="22"/>
        </w:rPr>
        <w:t xml:space="preserve"> alter the final rule’s cost beneficial nature. </w:t>
      </w:r>
      <w:r w:rsidRPr="54629D4C" w:rsidR="00270439">
        <w:rPr>
          <w:rFonts w:cs="Arial"/>
          <w:sz w:val="22"/>
          <w:szCs w:val="22"/>
        </w:rPr>
        <w:t>Additionally, this analysis includes a sensitivity</w:t>
      </w:r>
      <w:r w:rsidRPr="54629D4C" w:rsidR="006F428C">
        <w:rPr>
          <w:rFonts w:cs="Arial"/>
          <w:sz w:val="22"/>
          <w:szCs w:val="22"/>
        </w:rPr>
        <w:t xml:space="preserve"> analysis</w:t>
      </w:r>
      <w:r w:rsidRPr="54629D4C" w:rsidR="00270439">
        <w:rPr>
          <w:rFonts w:cs="Arial"/>
          <w:sz w:val="22"/>
          <w:szCs w:val="22"/>
        </w:rPr>
        <w:t xml:space="preserve"> for an additional NPUF application, and for</w:t>
      </w:r>
      <w:r w:rsidRPr="54629D4C" w:rsidR="00916398">
        <w:rPr>
          <w:rFonts w:cs="Arial"/>
          <w:sz w:val="22"/>
          <w:szCs w:val="22"/>
        </w:rPr>
        <w:t xml:space="preserve"> different timing of NPUF licensee actions</w:t>
      </w:r>
      <w:r w:rsidRPr="54629D4C" w:rsidR="006F428C">
        <w:rPr>
          <w:rFonts w:cs="Arial"/>
          <w:sz w:val="22"/>
          <w:szCs w:val="22"/>
        </w:rPr>
        <w:t>, which serves to further account for the types of changes that happen within the industry over time.</w:t>
      </w:r>
      <w:r w:rsidRPr="54629D4C" w:rsidR="00270439">
        <w:rPr>
          <w:rFonts w:cs="Arial"/>
          <w:sz w:val="22"/>
          <w:szCs w:val="22"/>
        </w:rPr>
        <w:t xml:space="preserve"> </w:t>
      </w:r>
      <w:r w:rsidR="00EB27CD">
        <w:rPr>
          <w:rFonts w:cs="Arial"/>
          <w:sz w:val="22"/>
          <w:szCs w:val="22"/>
        </w:rPr>
        <w:t xml:space="preserve"> </w:t>
      </w:r>
      <w:r w:rsidRPr="54629D4C" w:rsidR="00E00FEC">
        <w:rPr>
          <w:rFonts w:cs="Arial"/>
          <w:sz w:val="22"/>
          <w:szCs w:val="22"/>
        </w:rPr>
        <w:t>Therefore, no changes were made to the</w:t>
      </w:r>
      <w:r w:rsidRPr="54629D4C" w:rsidR="002D14B7">
        <w:rPr>
          <w:rFonts w:cs="Arial"/>
          <w:sz w:val="22"/>
          <w:szCs w:val="22"/>
        </w:rPr>
        <w:t xml:space="preserve"> cost estimate in this</w:t>
      </w:r>
      <w:r w:rsidRPr="54629D4C" w:rsidR="00E00FEC">
        <w:rPr>
          <w:rFonts w:cs="Arial"/>
          <w:sz w:val="22"/>
          <w:szCs w:val="22"/>
        </w:rPr>
        <w:t xml:space="preserve"> regulatory analysis, and </w:t>
      </w:r>
      <w:r w:rsidRPr="54629D4C" w:rsidR="002A7179">
        <w:rPr>
          <w:rFonts w:cs="Arial"/>
          <w:sz w:val="22"/>
          <w:szCs w:val="22"/>
        </w:rPr>
        <w:t xml:space="preserve">tables and exhibits in this analysis listing affected entities should be viewed with the understanding that the </w:t>
      </w:r>
      <w:r w:rsidRPr="54629D4C" w:rsidR="00097FFA">
        <w:rPr>
          <w:rFonts w:cs="Arial"/>
          <w:sz w:val="22"/>
          <w:szCs w:val="22"/>
        </w:rPr>
        <w:t>analysis was based in 2020.</w:t>
      </w:r>
    </w:p>
    <w:p w:rsidR="003559F7" w:rsidP="009C6A2A" w14:paraId="7F493503" w14:textId="7C25B704">
      <w:pPr>
        <w:pStyle w:val="Caption"/>
        <w:keepNext/>
        <w:spacing w:after="0"/>
        <w:jc w:val="center"/>
      </w:pPr>
      <w:r>
        <w:br w:type="column"/>
      </w:r>
      <w:bookmarkStart w:id="74" w:name="_Ref534710758"/>
      <w:bookmarkStart w:id="75" w:name="_Toc534709836"/>
      <w:bookmarkStart w:id="76" w:name="_Toc534709994"/>
      <w:bookmarkStart w:id="77" w:name="_Toc534711679"/>
      <w:bookmarkStart w:id="78" w:name="_Toc534711926"/>
      <w:bookmarkStart w:id="79" w:name="_Toc534712112"/>
      <w:bookmarkStart w:id="80" w:name="_Toc534712689"/>
      <w:bookmarkStart w:id="81" w:name="_Toc534713198"/>
      <w:bookmarkStart w:id="82" w:name="_Toc9526458"/>
      <w:bookmarkStart w:id="83" w:name="_Toc536603407"/>
      <w:r w:rsidRPr="00D96410" w:rsidR="00F41549">
        <w:rPr>
          <w:b/>
          <w:i w:val="0"/>
          <w:color w:val="auto"/>
          <w:sz w:val="22"/>
          <w:szCs w:val="20"/>
        </w:rPr>
        <w:t>Exhibit 3</w:t>
      </w:r>
      <w:r w:rsidRPr="00D96410" w:rsidR="00F41549">
        <w:rPr>
          <w:b/>
          <w:i w:val="0"/>
          <w:color w:val="auto"/>
          <w:sz w:val="22"/>
          <w:szCs w:val="20"/>
        </w:rPr>
        <w:noBreakHyphen/>
      </w:r>
      <w:r w:rsidRPr="00D96410" w:rsidR="00F41549">
        <w:rPr>
          <w:b/>
          <w:i w:val="0"/>
          <w:color w:val="auto"/>
          <w:sz w:val="22"/>
          <w:szCs w:val="20"/>
        </w:rPr>
        <w:fldChar w:fldCharType="begin"/>
      </w:r>
      <w:r w:rsidRPr="00D96410" w:rsidR="00F41549">
        <w:rPr>
          <w:b/>
          <w:i w:val="0"/>
          <w:color w:val="auto"/>
          <w:sz w:val="22"/>
          <w:szCs w:val="20"/>
        </w:rPr>
        <w:instrText xml:space="preserve"> SEQ Exhibit \* ARABIC </w:instrText>
      </w:r>
      <w:r w:rsidRPr="00D96410" w:rsidR="00F41549">
        <w:rPr>
          <w:b/>
          <w:i w:val="0"/>
          <w:color w:val="auto"/>
          <w:sz w:val="22"/>
          <w:szCs w:val="20"/>
        </w:rPr>
        <w:fldChar w:fldCharType="separate"/>
      </w:r>
      <w:r w:rsidR="00977795">
        <w:rPr>
          <w:b/>
          <w:i w:val="0"/>
          <w:noProof/>
          <w:color w:val="auto"/>
          <w:sz w:val="22"/>
          <w:szCs w:val="20"/>
        </w:rPr>
        <w:t>1</w:t>
      </w:r>
      <w:r w:rsidRPr="00D96410" w:rsidR="00F41549">
        <w:rPr>
          <w:b/>
          <w:i w:val="0"/>
          <w:color w:val="auto"/>
          <w:sz w:val="22"/>
          <w:szCs w:val="20"/>
        </w:rPr>
        <w:fldChar w:fldCharType="end"/>
      </w:r>
      <w:bookmarkEnd w:id="74"/>
      <w:r w:rsidRPr="00D96410">
        <w:rPr>
          <w:b/>
          <w:i w:val="0"/>
          <w:color w:val="auto"/>
          <w:sz w:val="22"/>
          <w:szCs w:val="20"/>
        </w:rPr>
        <w:t>. Categorization of NPUFs by Type</w:t>
      </w:r>
      <w:bookmarkEnd w:id="75"/>
      <w:bookmarkEnd w:id="76"/>
      <w:bookmarkEnd w:id="77"/>
      <w:bookmarkEnd w:id="78"/>
      <w:bookmarkEnd w:id="79"/>
      <w:bookmarkEnd w:id="80"/>
      <w:bookmarkEnd w:id="81"/>
      <w:bookmarkEnd w:id="82"/>
      <w:bookmarkEnd w:id="83"/>
    </w:p>
    <w:tbl>
      <w:tblPr>
        <w:tblStyle w:val="TableGrid"/>
        <w:tblW w:w="10006" w:type="dxa"/>
        <w:jc w:val="center"/>
        <w:tblLook w:val="04A0"/>
      </w:tblPr>
      <w:tblGrid>
        <w:gridCol w:w="2501"/>
        <w:gridCol w:w="2714"/>
        <w:gridCol w:w="2289"/>
        <w:gridCol w:w="2502"/>
      </w:tblGrid>
      <w:tr w14:paraId="7F493508" w14:textId="77777777" w:rsidTr="00594142">
        <w:tblPrEx>
          <w:tblW w:w="10006" w:type="dxa"/>
          <w:jc w:val="center"/>
          <w:tblLook w:val="04A0"/>
        </w:tblPrEx>
        <w:trPr>
          <w:trHeight w:val="121"/>
          <w:jc w:val="center"/>
        </w:trPr>
        <w:tc>
          <w:tcPr>
            <w:tcW w:w="2501" w:type="dxa"/>
            <w:tcBorders>
              <w:bottom w:val="single" w:sz="4" w:space="0" w:color="auto"/>
            </w:tcBorders>
          </w:tcPr>
          <w:p w:rsidR="00E72E92" w:rsidRPr="00642467" w:rsidP="006E5374" w14:paraId="7F493504" w14:textId="77777777">
            <w:pPr>
              <w:keepNext/>
              <w:jc w:val="center"/>
              <w:rPr>
                <w:rFonts w:cs="Arial"/>
                <w:b/>
                <w:sz w:val="19"/>
                <w:szCs w:val="19"/>
              </w:rPr>
            </w:pPr>
            <w:r w:rsidRPr="00642467">
              <w:rPr>
                <w:rFonts w:cs="Arial"/>
                <w:b/>
                <w:sz w:val="19"/>
                <w:szCs w:val="19"/>
              </w:rPr>
              <w:t>Low &lt;100 kW</w:t>
            </w:r>
          </w:p>
        </w:tc>
        <w:tc>
          <w:tcPr>
            <w:tcW w:w="2714" w:type="dxa"/>
            <w:tcBorders>
              <w:bottom w:val="single" w:sz="4" w:space="0" w:color="auto"/>
            </w:tcBorders>
          </w:tcPr>
          <w:p w:rsidR="00E72E92" w:rsidRPr="00642467" w:rsidP="006E5374" w14:paraId="7F493505" w14:textId="77777777">
            <w:pPr>
              <w:keepNext/>
              <w:jc w:val="center"/>
              <w:rPr>
                <w:rFonts w:cs="Arial"/>
                <w:b/>
                <w:sz w:val="19"/>
                <w:szCs w:val="19"/>
              </w:rPr>
            </w:pPr>
            <w:r w:rsidRPr="00642467">
              <w:rPr>
                <w:rFonts w:cs="Arial"/>
                <w:b/>
                <w:sz w:val="19"/>
                <w:szCs w:val="19"/>
              </w:rPr>
              <w:t>Medium (&lt;2</w:t>
            </w:r>
            <w:r w:rsidR="00281D40">
              <w:rPr>
                <w:rFonts w:cs="Arial"/>
                <w:b/>
                <w:sz w:val="19"/>
                <w:szCs w:val="19"/>
              </w:rPr>
              <w:t>,</w:t>
            </w:r>
            <w:r w:rsidRPr="00642467">
              <w:rPr>
                <w:rFonts w:cs="Arial"/>
                <w:b/>
                <w:sz w:val="19"/>
                <w:szCs w:val="19"/>
              </w:rPr>
              <w:t>000 kW)</w:t>
            </w:r>
          </w:p>
        </w:tc>
        <w:tc>
          <w:tcPr>
            <w:tcW w:w="2289" w:type="dxa"/>
            <w:tcBorders>
              <w:bottom w:val="single" w:sz="4" w:space="0" w:color="auto"/>
            </w:tcBorders>
          </w:tcPr>
          <w:p w:rsidR="00E72E92" w:rsidRPr="00642467" w:rsidP="006E5374" w14:paraId="7F493506" w14:textId="77777777">
            <w:pPr>
              <w:keepNext/>
              <w:jc w:val="center"/>
              <w:rPr>
                <w:rFonts w:cs="Arial"/>
                <w:b/>
                <w:sz w:val="19"/>
                <w:szCs w:val="19"/>
              </w:rPr>
            </w:pPr>
            <w:r w:rsidRPr="00642467">
              <w:rPr>
                <w:rFonts w:cs="Arial"/>
                <w:b/>
                <w:sz w:val="19"/>
                <w:szCs w:val="19"/>
              </w:rPr>
              <w:t>High (2</w:t>
            </w:r>
            <w:r w:rsidR="00281D40">
              <w:rPr>
                <w:rFonts w:cs="Arial"/>
                <w:b/>
                <w:sz w:val="19"/>
                <w:szCs w:val="19"/>
              </w:rPr>
              <w:t>,</w:t>
            </w:r>
            <w:r w:rsidRPr="00642467">
              <w:rPr>
                <w:rFonts w:cs="Arial"/>
                <w:b/>
                <w:sz w:val="19"/>
                <w:szCs w:val="19"/>
              </w:rPr>
              <w:t>000+ kW)</w:t>
            </w:r>
          </w:p>
        </w:tc>
        <w:tc>
          <w:tcPr>
            <w:tcW w:w="2502" w:type="dxa"/>
            <w:tcBorders>
              <w:bottom w:val="single" w:sz="4" w:space="0" w:color="auto"/>
            </w:tcBorders>
          </w:tcPr>
          <w:p w:rsidR="00E72E92" w:rsidRPr="00642467" w:rsidP="00A43CE3" w14:paraId="7F493507" w14:textId="77777777">
            <w:pPr>
              <w:keepNext/>
              <w:jc w:val="center"/>
              <w:rPr>
                <w:rFonts w:cs="Arial"/>
                <w:b/>
                <w:sz w:val="19"/>
                <w:szCs w:val="19"/>
              </w:rPr>
            </w:pPr>
            <w:r w:rsidRPr="00642467">
              <w:rPr>
                <w:rFonts w:cs="Arial"/>
                <w:b/>
                <w:sz w:val="19"/>
                <w:szCs w:val="19"/>
              </w:rPr>
              <w:t>Other NPUFs</w:t>
            </w:r>
            <w:r w:rsidRPr="00642467" w:rsidR="00B9271E">
              <w:rPr>
                <w:rFonts w:cs="Arial"/>
                <w:b/>
                <w:sz w:val="19"/>
                <w:szCs w:val="19"/>
              </w:rPr>
              <w:t>***</w:t>
            </w:r>
          </w:p>
        </w:tc>
      </w:tr>
      <w:tr w14:paraId="7F49350D" w14:textId="77777777" w:rsidTr="00594142">
        <w:tblPrEx>
          <w:tblW w:w="10006" w:type="dxa"/>
          <w:jc w:val="center"/>
          <w:tblLook w:val="04A0"/>
        </w:tblPrEx>
        <w:trPr>
          <w:trHeight w:val="251"/>
          <w:jc w:val="center"/>
        </w:trPr>
        <w:tc>
          <w:tcPr>
            <w:tcW w:w="2501" w:type="dxa"/>
            <w:tcBorders>
              <w:bottom w:val="nil"/>
            </w:tcBorders>
          </w:tcPr>
          <w:p w:rsidR="00E72E92" w:rsidRPr="00642467" w:rsidP="006E5374" w14:paraId="7F493509" w14:textId="77777777">
            <w:pPr>
              <w:keepNext/>
              <w:spacing w:before="60" w:after="60"/>
              <w:jc w:val="center"/>
              <w:rPr>
                <w:rFonts w:cs="Arial"/>
                <w:sz w:val="19"/>
                <w:szCs w:val="19"/>
              </w:rPr>
            </w:pPr>
            <w:r w:rsidRPr="00642467">
              <w:rPr>
                <w:rFonts w:cs="Arial"/>
                <w:sz w:val="19"/>
                <w:szCs w:val="19"/>
              </w:rPr>
              <w:t>Idaho State University</w:t>
            </w:r>
          </w:p>
        </w:tc>
        <w:tc>
          <w:tcPr>
            <w:tcW w:w="2714" w:type="dxa"/>
            <w:tcBorders>
              <w:bottom w:val="nil"/>
            </w:tcBorders>
          </w:tcPr>
          <w:p w:rsidR="00E72E92" w:rsidRPr="00642467" w:rsidP="006E5374" w14:paraId="7F49350A" w14:textId="77777777">
            <w:pPr>
              <w:keepNext/>
              <w:spacing w:before="60" w:after="60"/>
              <w:jc w:val="center"/>
              <w:rPr>
                <w:rFonts w:cs="Arial"/>
                <w:sz w:val="19"/>
                <w:szCs w:val="19"/>
              </w:rPr>
            </w:pPr>
            <w:r w:rsidRPr="00642467">
              <w:rPr>
                <w:rFonts w:cs="Arial"/>
                <w:sz w:val="19"/>
                <w:szCs w:val="19"/>
              </w:rPr>
              <w:t>Aerotest</w:t>
            </w:r>
          </w:p>
        </w:tc>
        <w:tc>
          <w:tcPr>
            <w:tcW w:w="2289" w:type="dxa"/>
            <w:tcBorders>
              <w:bottom w:val="nil"/>
            </w:tcBorders>
          </w:tcPr>
          <w:p w:rsidR="00E72E92" w:rsidRPr="00642467" w:rsidP="006E5374" w14:paraId="7F49350B" w14:textId="77777777">
            <w:pPr>
              <w:keepNext/>
              <w:spacing w:before="60" w:after="60"/>
              <w:jc w:val="center"/>
              <w:rPr>
                <w:rFonts w:cs="Arial"/>
                <w:sz w:val="19"/>
                <w:szCs w:val="19"/>
              </w:rPr>
            </w:pPr>
            <w:r w:rsidRPr="00642467">
              <w:rPr>
                <w:rFonts w:cs="Arial"/>
                <w:sz w:val="19"/>
                <w:szCs w:val="19"/>
              </w:rPr>
              <w:t>Massachusetts Institute of Technology</w:t>
            </w:r>
          </w:p>
        </w:tc>
        <w:tc>
          <w:tcPr>
            <w:tcW w:w="2502" w:type="dxa"/>
            <w:tcBorders>
              <w:bottom w:val="nil"/>
            </w:tcBorders>
          </w:tcPr>
          <w:p w:rsidR="00E72E92" w:rsidRPr="00642467" w:rsidP="00A43CE3" w14:paraId="7F49350C" w14:textId="77777777">
            <w:pPr>
              <w:keepNext/>
              <w:spacing w:before="60" w:after="60"/>
              <w:jc w:val="center"/>
              <w:rPr>
                <w:rFonts w:cs="Arial"/>
                <w:sz w:val="19"/>
                <w:szCs w:val="19"/>
              </w:rPr>
            </w:pPr>
            <w:r w:rsidRPr="00642467">
              <w:rPr>
                <w:rFonts w:cs="Arial"/>
                <w:sz w:val="19"/>
                <w:szCs w:val="19"/>
              </w:rPr>
              <w:t>SHINE</w:t>
            </w:r>
            <w:r w:rsidRPr="00642467" w:rsidR="00B9271E">
              <w:rPr>
                <w:rFonts w:cs="Arial"/>
                <w:sz w:val="19"/>
                <w:szCs w:val="19"/>
              </w:rPr>
              <w:t>**</w:t>
            </w:r>
          </w:p>
        </w:tc>
      </w:tr>
      <w:tr w14:paraId="7F493512" w14:textId="77777777" w:rsidTr="00594142">
        <w:tblPrEx>
          <w:tblW w:w="10006" w:type="dxa"/>
          <w:jc w:val="center"/>
          <w:tblLook w:val="04A0"/>
        </w:tblPrEx>
        <w:trPr>
          <w:trHeight w:val="244"/>
          <w:jc w:val="center"/>
        </w:trPr>
        <w:tc>
          <w:tcPr>
            <w:tcW w:w="2501" w:type="dxa"/>
            <w:tcBorders>
              <w:top w:val="nil"/>
              <w:bottom w:val="nil"/>
            </w:tcBorders>
          </w:tcPr>
          <w:p w:rsidR="00E72E92" w:rsidRPr="00642467" w:rsidP="006E5374" w14:paraId="7F49350E" w14:textId="77777777">
            <w:pPr>
              <w:keepNext/>
              <w:spacing w:before="60" w:after="60"/>
              <w:jc w:val="center"/>
              <w:rPr>
                <w:rFonts w:cs="Arial"/>
                <w:sz w:val="19"/>
                <w:szCs w:val="19"/>
              </w:rPr>
            </w:pPr>
            <w:r w:rsidRPr="00642467">
              <w:rPr>
                <w:rFonts w:cs="Arial"/>
                <w:sz w:val="19"/>
                <w:szCs w:val="19"/>
              </w:rPr>
              <w:t>Purdue University</w:t>
            </w:r>
          </w:p>
        </w:tc>
        <w:tc>
          <w:tcPr>
            <w:tcW w:w="2714" w:type="dxa"/>
            <w:tcBorders>
              <w:top w:val="nil"/>
              <w:bottom w:val="nil"/>
            </w:tcBorders>
          </w:tcPr>
          <w:p w:rsidR="00E72E92" w:rsidRPr="00642467" w:rsidP="006E5374" w14:paraId="7F49350F" w14:textId="77777777">
            <w:pPr>
              <w:keepNext/>
              <w:spacing w:before="60" w:after="60"/>
              <w:jc w:val="center"/>
              <w:rPr>
                <w:rFonts w:cs="Arial"/>
                <w:sz w:val="19"/>
                <w:szCs w:val="19"/>
              </w:rPr>
            </w:pPr>
            <w:r w:rsidRPr="00642467">
              <w:rPr>
                <w:rFonts w:cs="Arial"/>
                <w:sz w:val="19"/>
                <w:szCs w:val="19"/>
              </w:rPr>
              <w:t>Dow Chemical Company</w:t>
            </w:r>
          </w:p>
        </w:tc>
        <w:tc>
          <w:tcPr>
            <w:tcW w:w="2289" w:type="dxa"/>
            <w:tcBorders>
              <w:top w:val="nil"/>
              <w:bottom w:val="nil"/>
            </w:tcBorders>
          </w:tcPr>
          <w:p w:rsidR="00E72E92" w:rsidRPr="00642467" w:rsidP="00A43CE3" w14:paraId="7F493510" w14:textId="77777777">
            <w:pPr>
              <w:keepNext/>
              <w:spacing w:before="60" w:after="60"/>
              <w:jc w:val="center"/>
              <w:rPr>
                <w:rFonts w:cs="Arial"/>
                <w:sz w:val="19"/>
                <w:szCs w:val="19"/>
              </w:rPr>
            </w:pPr>
            <w:r w:rsidRPr="00642467">
              <w:rPr>
                <w:rFonts w:cs="Arial"/>
                <w:sz w:val="19"/>
                <w:szCs w:val="19"/>
              </w:rPr>
              <w:t>Rhode Island Atomic Energy Commission</w:t>
            </w:r>
          </w:p>
        </w:tc>
        <w:tc>
          <w:tcPr>
            <w:tcW w:w="2502" w:type="dxa"/>
            <w:tcBorders>
              <w:top w:val="nil"/>
              <w:bottom w:val="nil"/>
            </w:tcBorders>
          </w:tcPr>
          <w:p w:rsidR="00E72E92" w:rsidRPr="00642467" w:rsidP="006E5374" w14:paraId="7F493511" w14:textId="1EF7EE1C">
            <w:pPr>
              <w:keepNext/>
              <w:spacing w:before="60" w:after="60"/>
              <w:jc w:val="center"/>
              <w:rPr>
                <w:rFonts w:cs="Arial"/>
                <w:sz w:val="19"/>
                <w:szCs w:val="19"/>
              </w:rPr>
            </w:pPr>
            <w:r w:rsidRPr="00642467">
              <w:rPr>
                <w:rFonts w:cs="Arial"/>
                <w:sz w:val="19"/>
                <w:szCs w:val="19"/>
              </w:rPr>
              <w:t>NWMI</w:t>
            </w:r>
            <w:r w:rsidRPr="00642467" w:rsidR="00B9271E">
              <w:rPr>
                <w:rFonts w:cs="Arial"/>
                <w:sz w:val="19"/>
                <w:szCs w:val="19"/>
              </w:rPr>
              <w:t>**</w:t>
            </w:r>
          </w:p>
        </w:tc>
      </w:tr>
      <w:tr w14:paraId="7F493517" w14:textId="77777777" w:rsidTr="00594142">
        <w:tblPrEx>
          <w:tblW w:w="10006" w:type="dxa"/>
          <w:jc w:val="center"/>
          <w:tblLook w:val="04A0"/>
        </w:tblPrEx>
        <w:trPr>
          <w:trHeight w:val="380"/>
          <w:jc w:val="center"/>
        </w:trPr>
        <w:tc>
          <w:tcPr>
            <w:tcW w:w="2501" w:type="dxa"/>
            <w:tcBorders>
              <w:top w:val="nil"/>
              <w:bottom w:val="nil"/>
            </w:tcBorders>
          </w:tcPr>
          <w:p w:rsidR="00DC7090" w:rsidRPr="00642467" w:rsidP="006E5374" w14:paraId="7F493513" w14:textId="77777777">
            <w:pPr>
              <w:keepNext/>
              <w:spacing w:before="60" w:after="60"/>
              <w:jc w:val="center"/>
              <w:rPr>
                <w:rFonts w:cs="Arial"/>
                <w:sz w:val="19"/>
                <w:szCs w:val="19"/>
              </w:rPr>
            </w:pPr>
            <w:r w:rsidRPr="00642467">
              <w:rPr>
                <w:rFonts w:cs="Arial"/>
                <w:sz w:val="19"/>
                <w:szCs w:val="19"/>
              </w:rPr>
              <w:t>Rensselaer Polytechnic Institute</w:t>
            </w:r>
          </w:p>
        </w:tc>
        <w:tc>
          <w:tcPr>
            <w:tcW w:w="2714" w:type="dxa"/>
            <w:tcBorders>
              <w:top w:val="nil"/>
              <w:bottom w:val="nil"/>
            </w:tcBorders>
          </w:tcPr>
          <w:p w:rsidR="00E72E92" w:rsidRPr="00642467" w:rsidP="006E5374" w14:paraId="7F493514" w14:textId="77777777">
            <w:pPr>
              <w:keepNext/>
              <w:spacing w:before="60" w:after="60"/>
              <w:jc w:val="center"/>
              <w:rPr>
                <w:rFonts w:cs="Arial"/>
                <w:sz w:val="19"/>
                <w:szCs w:val="19"/>
              </w:rPr>
            </w:pPr>
            <w:r w:rsidRPr="00642467">
              <w:rPr>
                <w:rFonts w:cs="Arial"/>
                <w:sz w:val="19"/>
                <w:szCs w:val="19"/>
              </w:rPr>
              <w:t>GE-Hitachi</w:t>
            </w:r>
          </w:p>
        </w:tc>
        <w:tc>
          <w:tcPr>
            <w:tcW w:w="2289" w:type="dxa"/>
            <w:tcBorders>
              <w:top w:val="nil"/>
              <w:bottom w:val="nil"/>
            </w:tcBorders>
          </w:tcPr>
          <w:p w:rsidR="00E72E92" w:rsidRPr="00642467" w:rsidP="00020A64" w14:paraId="7F493515" w14:textId="77777777">
            <w:pPr>
              <w:keepNext/>
              <w:spacing w:before="60"/>
              <w:jc w:val="center"/>
              <w:rPr>
                <w:rFonts w:cs="Arial"/>
                <w:sz w:val="19"/>
                <w:szCs w:val="19"/>
              </w:rPr>
            </w:pPr>
            <w:r w:rsidRPr="00642467">
              <w:rPr>
                <w:rFonts w:cs="Arial"/>
                <w:sz w:val="19"/>
                <w:szCs w:val="19"/>
              </w:rPr>
              <w:t>University of California</w:t>
            </w:r>
            <w:r w:rsidR="00517EAA">
              <w:rPr>
                <w:rFonts w:cs="Arial"/>
                <w:sz w:val="19"/>
                <w:szCs w:val="19"/>
              </w:rPr>
              <w:t xml:space="preserve"> (UC)</w:t>
            </w:r>
            <w:r w:rsidRPr="00642467">
              <w:rPr>
                <w:rFonts w:cs="Arial"/>
                <w:sz w:val="19"/>
                <w:szCs w:val="19"/>
              </w:rPr>
              <w:t>/Davis</w:t>
            </w:r>
          </w:p>
        </w:tc>
        <w:tc>
          <w:tcPr>
            <w:tcW w:w="2502" w:type="dxa"/>
            <w:tcBorders>
              <w:top w:val="nil"/>
              <w:bottom w:val="nil"/>
            </w:tcBorders>
          </w:tcPr>
          <w:p w:rsidR="00E72E92" w:rsidRPr="00642467" w:rsidP="006E5374" w14:paraId="7F493516" w14:textId="77777777">
            <w:pPr>
              <w:keepNext/>
              <w:spacing w:before="60" w:after="60"/>
              <w:jc w:val="center"/>
              <w:rPr>
                <w:rFonts w:cs="Arial"/>
                <w:sz w:val="19"/>
                <w:szCs w:val="19"/>
              </w:rPr>
            </w:pPr>
            <w:r w:rsidRPr="00642467">
              <w:rPr>
                <w:rFonts w:cs="Arial"/>
                <w:sz w:val="19"/>
                <w:szCs w:val="19"/>
              </w:rPr>
              <w:t>NIST</w:t>
            </w:r>
          </w:p>
        </w:tc>
      </w:tr>
      <w:tr w14:paraId="7F49351C" w14:textId="77777777" w:rsidTr="00594142">
        <w:tblPrEx>
          <w:tblW w:w="10006" w:type="dxa"/>
          <w:jc w:val="center"/>
          <w:tblLook w:val="04A0"/>
        </w:tblPrEx>
        <w:trPr>
          <w:trHeight w:val="244"/>
          <w:jc w:val="center"/>
        </w:trPr>
        <w:tc>
          <w:tcPr>
            <w:tcW w:w="2501" w:type="dxa"/>
            <w:tcBorders>
              <w:top w:val="nil"/>
              <w:bottom w:val="nil"/>
            </w:tcBorders>
          </w:tcPr>
          <w:p w:rsidR="00E72E92" w:rsidRPr="00642467" w:rsidP="00C95889" w14:paraId="7F493518" w14:textId="77777777">
            <w:pPr>
              <w:keepNext/>
              <w:spacing w:before="60" w:after="60"/>
              <w:jc w:val="center"/>
              <w:rPr>
                <w:rFonts w:cs="Arial"/>
                <w:sz w:val="19"/>
                <w:szCs w:val="19"/>
              </w:rPr>
            </w:pPr>
            <w:r w:rsidRPr="00742838">
              <w:rPr>
                <w:rFonts w:cs="Arial"/>
                <w:sz w:val="19"/>
                <w:szCs w:val="19"/>
              </w:rPr>
              <w:t xml:space="preserve">Texas A&amp;M University </w:t>
            </w:r>
            <w:r w:rsidRPr="00D96410" w:rsidR="00742838">
              <w:rPr>
                <w:sz w:val="19"/>
                <w:szCs w:val="19"/>
              </w:rPr>
              <w:t>Aerojet-General Nucleonics</w:t>
            </w:r>
            <w:r w:rsidRPr="00742838" w:rsidR="00742838">
              <w:rPr>
                <w:rFonts w:cs="Arial"/>
                <w:sz w:val="19"/>
                <w:szCs w:val="19"/>
              </w:rPr>
              <w:t xml:space="preserve"> </w:t>
            </w:r>
            <w:r w:rsidR="002A052B">
              <w:rPr>
                <w:rFonts w:cs="Arial"/>
                <w:sz w:val="19"/>
                <w:szCs w:val="19"/>
              </w:rPr>
              <w:t>(AGN)</w:t>
            </w:r>
            <w:r w:rsidRPr="00642467" w:rsidR="00D10751">
              <w:rPr>
                <w:rFonts w:cs="Arial"/>
                <w:sz w:val="19"/>
                <w:szCs w:val="19"/>
              </w:rPr>
              <w:t xml:space="preserve"> </w:t>
            </w:r>
            <w:r w:rsidR="002A052B">
              <w:rPr>
                <w:rFonts w:cs="Arial"/>
                <w:sz w:val="19"/>
                <w:szCs w:val="19"/>
              </w:rPr>
              <w:t>(TAMU</w:t>
            </w:r>
            <w:r w:rsidR="00C95889">
              <w:rPr>
                <w:rFonts w:cs="Arial"/>
                <w:sz w:val="19"/>
                <w:szCs w:val="19"/>
              </w:rPr>
              <w:t> </w:t>
            </w:r>
            <w:r w:rsidR="002A052B">
              <w:rPr>
                <w:rFonts w:cs="Arial"/>
                <w:sz w:val="19"/>
                <w:szCs w:val="19"/>
              </w:rPr>
              <w:t>(A))</w:t>
            </w:r>
            <w:r w:rsidRPr="00642467" w:rsidR="006A7396">
              <w:rPr>
                <w:rFonts w:cs="Arial"/>
                <w:sz w:val="19"/>
                <w:szCs w:val="19"/>
              </w:rPr>
              <w:t>*</w:t>
            </w:r>
          </w:p>
        </w:tc>
        <w:tc>
          <w:tcPr>
            <w:tcW w:w="2714" w:type="dxa"/>
            <w:tcBorders>
              <w:top w:val="nil"/>
              <w:bottom w:val="nil"/>
            </w:tcBorders>
          </w:tcPr>
          <w:p w:rsidR="00E72E92" w:rsidRPr="00642467" w:rsidP="006E5374" w14:paraId="7F493519" w14:textId="77777777">
            <w:pPr>
              <w:keepNext/>
              <w:spacing w:before="60" w:after="60"/>
              <w:jc w:val="center"/>
              <w:rPr>
                <w:rFonts w:cs="Arial"/>
                <w:sz w:val="19"/>
                <w:szCs w:val="19"/>
              </w:rPr>
            </w:pPr>
            <w:r w:rsidRPr="00642467">
              <w:rPr>
                <w:rFonts w:cs="Arial"/>
                <w:sz w:val="19"/>
                <w:szCs w:val="19"/>
              </w:rPr>
              <w:t>Kansas State University</w:t>
            </w:r>
          </w:p>
        </w:tc>
        <w:tc>
          <w:tcPr>
            <w:tcW w:w="2289" w:type="dxa"/>
            <w:tcBorders>
              <w:top w:val="nil"/>
              <w:bottom w:val="nil"/>
            </w:tcBorders>
          </w:tcPr>
          <w:p w:rsidR="00E72E92" w:rsidRPr="00642467" w:rsidP="006E5374" w14:paraId="7F49351A" w14:textId="77777777">
            <w:pPr>
              <w:keepNext/>
              <w:spacing w:before="60" w:after="60"/>
              <w:jc w:val="center"/>
              <w:rPr>
                <w:rFonts w:cs="Arial"/>
                <w:sz w:val="19"/>
                <w:szCs w:val="19"/>
              </w:rPr>
            </w:pPr>
            <w:r w:rsidRPr="00642467">
              <w:rPr>
                <w:rFonts w:cs="Arial"/>
                <w:sz w:val="19"/>
                <w:szCs w:val="19"/>
              </w:rPr>
              <w:t>University of Missouri/Columbia</w:t>
            </w:r>
          </w:p>
        </w:tc>
        <w:tc>
          <w:tcPr>
            <w:tcW w:w="2502" w:type="dxa"/>
            <w:tcBorders>
              <w:top w:val="nil"/>
              <w:bottom w:val="nil"/>
            </w:tcBorders>
          </w:tcPr>
          <w:p w:rsidR="00E72E92" w:rsidRPr="00642467" w:rsidP="00A43CE3" w14:paraId="7F49351B" w14:textId="77777777">
            <w:pPr>
              <w:keepNext/>
              <w:spacing w:before="60" w:after="60"/>
              <w:jc w:val="center"/>
              <w:rPr>
                <w:rFonts w:cs="Arial"/>
                <w:sz w:val="19"/>
                <w:szCs w:val="19"/>
              </w:rPr>
            </w:pPr>
          </w:p>
        </w:tc>
      </w:tr>
      <w:tr w14:paraId="7F493521" w14:textId="77777777" w:rsidTr="00594142">
        <w:tblPrEx>
          <w:tblW w:w="10006" w:type="dxa"/>
          <w:jc w:val="center"/>
          <w:tblLook w:val="04A0"/>
        </w:tblPrEx>
        <w:trPr>
          <w:trHeight w:val="373"/>
          <w:jc w:val="center"/>
        </w:trPr>
        <w:tc>
          <w:tcPr>
            <w:tcW w:w="2501" w:type="dxa"/>
            <w:tcBorders>
              <w:top w:val="nil"/>
              <w:bottom w:val="nil"/>
            </w:tcBorders>
          </w:tcPr>
          <w:p w:rsidR="00E72E92" w:rsidRPr="00642467" w:rsidP="006E5374" w14:paraId="7F49351D" w14:textId="77777777">
            <w:pPr>
              <w:keepNext/>
              <w:spacing w:before="60" w:after="60"/>
              <w:jc w:val="center"/>
              <w:rPr>
                <w:rFonts w:cs="Arial"/>
                <w:sz w:val="19"/>
                <w:szCs w:val="19"/>
              </w:rPr>
            </w:pPr>
            <w:r w:rsidRPr="00642467">
              <w:rPr>
                <w:rFonts w:cs="Arial"/>
                <w:sz w:val="19"/>
                <w:szCs w:val="19"/>
              </w:rPr>
              <w:t>University of New Mexico</w:t>
            </w:r>
          </w:p>
        </w:tc>
        <w:tc>
          <w:tcPr>
            <w:tcW w:w="2714" w:type="dxa"/>
            <w:tcBorders>
              <w:top w:val="nil"/>
              <w:bottom w:val="nil"/>
            </w:tcBorders>
          </w:tcPr>
          <w:p w:rsidR="00E72E92" w:rsidRPr="00642467" w:rsidP="006E5374" w14:paraId="7F49351E" w14:textId="77777777">
            <w:pPr>
              <w:keepNext/>
              <w:spacing w:before="60" w:after="60"/>
              <w:jc w:val="center"/>
              <w:rPr>
                <w:rFonts w:cs="Arial"/>
                <w:sz w:val="19"/>
                <w:szCs w:val="19"/>
              </w:rPr>
            </w:pPr>
            <w:r w:rsidRPr="00642467">
              <w:rPr>
                <w:rFonts w:cs="Arial"/>
                <w:sz w:val="19"/>
                <w:szCs w:val="19"/>
              </w:rPr>
              <w:t>Missouri University of Science and Technology</w:t>
            </w:r>
          </w:p>
        </w:tc>
        <w:tc>
          <w:tcPr>
            <w:tcW w:w="2289" w:type="dxa"/>
            <w:tcBorders>
              <w:top w:val="nil"/>
              <w:bottom w:val="nil"/>
            </w:tcBorders>
          </w:tcPr>
          <w:p w:rsidR="00E72E92" w:rsidRPr="00642467" w:rsidP="006E5374" w14:paraId="7F49351F"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20" w14:textId="77777777">
            <w:pPr>
              <w:keepNext/>
              <w:spacing w:before="60" w:after="60"/>
              <w:jc w:val="center"/>
              <w:rPr>
                <w:rFonts w:cs="Arial"/>
                <w:sz w:val="19"/>
                <w:szCs w:val="19"/>
              </w:rPr>
            </w:pPr>
          </w:p>
        </w:tc>
      </w:tr>
      <w:tr w14:paraId="7F493526" w14:textId="77777777" w:rsidTr="00594142">
        <w:tblPrEx>
          <w:tblW w:w="10006" w:type="dxa"/>
          <w:jc w:val="center"/>
          <w:tblLook w:val="04A0"/>
        </w:tblPrEx>
        <w:trPr>
          <w:trHeight w:val="129"/>
          <w:jc w:val="center"/>
        </w:trPr>
        <w:tc>
          <w:tcPr>
            <w:tcW w:w="2501" w:type="dxa"/>
            <w:tcBorders>
              <w:top w:val="nil"/>
              <w:bottom w:val="nil"/>
            </w:tcBorders>
          </w:tcPr>
          <w:p w:rsidR="00E72E92" w:rsidRPr="00642467" w:rsidP="006E5374" w14:paraId="7F493522" w14:textId="77777777">
            <w:pPr>
              <w:keepNext/>
              <w:spacing w:before="60" w:after="60"/>
              <w:jc w:val="center"/>
              <w:rPr>
                <w:rFonts w:cs="Arial"/>
                <w:sz w:val="19"/>
                <w:szCs w:val="19"/>
              </w:rPr>
            </w:pPr>
          </w:p>
        </w:tc>
        <w:tc>
          <w:tcPr>
            <w:tcW w:w="2714" w:type="dxa"/>
            <w:tcBorders>
              <w:top w:val="nil"/>
              <w:bottom w:val="nil"/>
            </w:tcBorders>
          </w:tcPr>
          <w:p w:rsidR="00E72E92" w:rsidRPr="00642467" w:rsidP="006E5374" w14:paraId="7F493523" w14:textId="77777777">
            <w:pPr>
              <w:keepNext/>
              <w:spacing w:before="60" w:after="60"/>
              <w:jc w:val="center"/>
              <w:rPr>
                <w:rFonts w:cs="Arial"/>
                <w:sz w:val="19"/>
                <w:szCs w:val="19"/>
              </w:rPr>
            </w:pPr>
            <w:r w:rsidRPr="00642467">
              <w:rPr>
                <w:rFonts w:cs="Arial"/>
                <w:sz w:val="19"/>
                <w:szCs w:val="19"/>
              </w:rPr>
              <w:t xml:space="preserve">Ohio State University </w:t>
            </w:r>
          </w:p>
        </w:tc>
        <w:tc>
          <w:tcPr>
            <w:tcW w:w="2289" w:type="dxa"/>
            <w:tcBorders>
              <w:top w:val="nil"/>
              <w:bottom w:val="nil"/>
            </w:tcBorders>
          </w:tcPr>
          <w:p w:rsidR="00E72E92" w:rsidRPr="00642467" w:rsidP="006E5374" w14:paraId="7F493524"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25" w14:textId="77777777">
            <w:pPr>
              <w:keepNext/>
              <w:spacing w:before="60" w:after="60"/>
              <w:jc w:val="center"/>
              <w:rPr>
                <w:rFonts w:cs="Arial"/>
                <w:sz w:val="19"/>
                <w:szCs w:val="19"/>
              </w:rPr>
            </w:pPr>
          </w:p>
        </w:tc>
      </w:tr>
      <w:tr w14:paraId="7F49352B" w14:textId="77777777" w:rsidTr="00594142">
        <w:tblPrEx>
          <w:tblW w:w="10006" w:type="dxa"/>
          <w:jc w:val="center"/>
          <w:tblLook w:val="04A0"/>
        </w:tblPrEx>
        <w:trPr>
          <w:trHeight w:val="121"/>
          <w:jc w:val="center"/>
        </w:trPr>
        <w:tc>
          <w:tcPr>
            <w:tcW w:w="2501" w:type="dxa"/>
            <w:tcBorders>
              <w:top w:val="nil"/>
              <w:bottom w:val="nil"/>
            </w:tcBorders>
          </w:tcPr>
          <w:p w:rsidR="00E72E92" w:rsidRPr="00642467" w:rsidP="006E5374" w14:paraId="7F493527" w14:textId="77777777">
            <w:pPr>
              <w:keepNext/>
              <w:spacing w:before="60" w:after="60"/>
              <w:jc w:val="center"/>
              <w:rPr>
                <w:rFonts w:cs="Arial"/>
                <w:sz w:val="19"/>
                <w:szCs w:val="19"/>
              </w:rPr>
            </w:pPr>
          </w:p>
        </w:tc>
        <w:tc>
          <w:tcPr>
            <w:tcW w:w="2714" w:type="dxa"/>
            <w:tcBorders>
              <w:top w:val="nil"/>
              <w:bottom w:val="nil"/>
            </w:tcBorders>
          </w:tcPr>
          <w:p w:rsidR="00E72E92" w:rsidRPr="00642467" w:rsidP="006E5374" w14:paraId="7F493528" w14:textId="77777777">
            <w:pPr>
              <w:keepNext/>
              <w:spacing w:before="60" w:after="60"/>
              <w:jc w:val="center"/>
              <w:rPr>
                <w:rFonts w:cs="Arial"/>
                <w:sz w:val="19"/>
                <w:szCs w:val="19"/>
              </w:rPr>
            </w:pPr>
            <w:r w:rsidRPr="00642467">
              <w:rPr>
                <w:rFonts w:cs="Arial"/>
                <w:sz w:val="19"/>
                <w:szCs w:val="19"/>
              </w:rPr>
              <w:t>Reed College</w:t>
            </w:r>
          </w:p>
        </w:tc>
        <w:tc>
          <w:tcPr>
            <w:tcW w:w="2289" w:type="dxa"/>
            <w:tcBorders>
              <w:top w:val="nil"/>
              <w:bottom w:val="nil"/>
            </w:tcBorders>
          </w:tcPr>
          <w:p w:rsidR="00E72E92" w:rsidRPr="00642467" w:rsidP="006E5374" w14:paraId="7F493529"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2A" w14:textId="77777777">
            <w:pPr>
              <w:keepNext/>
              <w:spacing w:before="60" w:after="60"/>
              <w:jc w:val="center"/>
              <w:rPr>
                <w:rFonts w:cs="Arial"/>
                <w:sz w:val="19"/>
                <w:szCs w:val="19"/>
              </w:rPr>
            </w:pPr>
          </w:p>
        </w:tc>
      </w:tr>
      <w:tr w14:paraId="7F493530" w14:textId="77777777" w:rsidTr="00594142">
        <w:tblPrEx>
          <w:tblW w:w="10006" w:type="dxa"/>
          <w:jc w:val="center"/>
          <w:tblLook w:val="04A0"/>
        </w:tblPrEx>
        <w:trPr>
          <w:trHeight w:val="251"/>
          <w:jc w:val="center"/>
        </w:trPr>
        <w:tc>
          <w:tcPr>
            <w:tcW w:w="2501" w:type="dxa"/>
            <w:tcBorders>
              <w:top w:val="nil"/>
              <w:bottom w:val="nil"/>
            </w:tcBorders>
          </w:tcPr>
          <w:p w:rsidR="00E72E92" w:rsidRPr="00642467" w:rsidP="006E5374" w14:paraId="7F49352C" w14:textId="77777777">
            <w:pPr>
              <w:keepNext/>
              <w:spacing w:before="60" w:after="60"/>
              <w:jc w:val="center"/>
              <w:rPr>
                <w:rFonts w:cs="Arial"/>
                <w:sz w:val="19"/>
                <w:szCs w:val="19"/>
              </w:rPr>
            </w:pPr>
          </w:p>
        </w:tc>
        <w:tc>
          <w:tcPr>
            <w:tcW w:w="2714" w:type="dxa"/>
            <w:tcBorders>
              <w:top w:val="nil"/>
              <w:bottom w:val="nil"/>
            </w:tcBorders>
          </w:tcPr>
          <w:p w:rsidR="00E72E92" w:rsidRPr="00642467" w:rsidP="006E5374" w14:paraId="7F49352D" w14:textId="77777777">
            <w:pPr>
              <w:keepNext/>
              <w:spacing w:before="60" w:after="60"/>
              <w:jc w:val="center"/>
              <w:rPr>
                <w:rFonts w:cs="Arial"/>
                <w:sz w:val="19"/>
                <w:szCs w:val="19"/>
              </w:rPr>
            </w:pPr>
            <w:r>
              <w:rPr>
                <w:rFonts w:cs="Arial"/>
                <w:sz w:val="19"/>
                <w:szCs w:val="19"/>
              </w:rPr>
              <w:t>UC</w:t>
            </w:r>
            <w:r w:rsidRPr="00642467" w:rsidR="00B7684D">
              <w:rPr>
                <w:rFonts w:cs="Arial"/>
                <w:sz w:val="19"/>
                <w:szCs w:val="19"/>
              </w:rPr>
              <w:t>/Irvine</w:t>
            </w:r>
          </w:p>
        </w:tc>
        <w:tc>
          <w:tcPr>
            <w:tcW w:w="2289" w:type="dxa"/>
            <w:tcBorders>
              <w:top w:val="nil"/>
              <w:bottom w:val="nil"/>
            </w:tcBorders>
          </w:tcPr>
          <w:p w:rsidR="00E72E92" w:rsidRPr="00642467" w:rsidP="006E5374" w14:paraId="7F49352E"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2F" w14:textId="77777777">
            <w:pPr>
              <w:keepNext/>
              <w:spacing w:before="60" w:after="60"/>
              <w:jc w:val="center"/>
              <w:rPr>
                <w:rFonts w:cs="Arial"/>
                <w:sz w:val="19"/>
                <w:szCs w:val="19"/>
              </w:rPr>
            </w:pPr>
          </w:p>
        </w:tc>
      </w:tr>
      <w:tr w14:paraId="7F493535" w14:textId="77777777" w:rsidTr="00594142">
        <w:tblPrEx>
          <w:tblW w:w="10006" w:type="dxa"/>
          <w:jc w:val="center"/>
          <w:tblLook w:val="04A0"/>
        </w:tblPrEx>
        <w:trPr>
          <w:trHeight w:val="121"/>
          <w:jc w:val="center"/>
        </w:trPr>
        <w:tc>
          <w:tcPr>
            <w:tcW w:w="2501" w:type="dxa"/>
            <w:tcBorders>
              <w:top w:val="nil"/>
              <w:bottom w:val="nil"/>
            </w:tcBorders>
          </w:tcPr>
          <w:p w:rsidR="00E72E92" w:rsidRPr="00642467" w:rsidP="006E5374" w14:paraId="7F493531" w14:textId="77777777">
            <w:pPr>
              <w:keepNext/>
              <w:spacing w:before="60" w:after="60"/>
              <w:jc w:val="center"/>
              <w:rPr>
                <w:rFonts w:cs="Arial"/>
                <w:sz w:val="19"/>
                <w:szCs w:val="19"/>
              </w:rPr>
            </w:pPr>
          </w:p>
        </w:tc>
        <w:tc>
          <w:tcPr>
            <w:tcW w:w="2714" w:type="dxa"/>
            <w:tcBorders>
              <w:top w:val="nil"/>
              <w:bottom w:val="nil"/>
            </w:tcBorders>
          </w:tcPr>
          <w:p w:rsidR="00E72E92" w:rsidRPr="00642467" w:rsidP="006E5374" w14:paraId="7F493532" w14:textId="77777777">
            <w:pPr>
              <w:keepNext/>
              <w:spacing w:before="60" w:after="60"/>
              <w:jc w:val="center"/>
              <w:rPr>
                <w:rFonts w:cs="Arial"/>
                <w:sz w:val="19"/>
                <w:szCs w:val="19"/>
              </w:rPr>
            </w:pPr>
            <w:r w:rsidRPr="00642467">
              <w:rPr>
                <w:rFonts w:cs="Arial"/>
                <w:sz w:val="19"/>
                <w:szCs w:val="19"/>
              </w:rPr>
              <w:t>University of Florida</w:t>
            </w:r>
          </w:p>
        </w:tc>
        <w:tc>
          <w:tcPr>
            <w:tcW w:w="2289" w:type="dxa"/>
            <w:tcBorders>
              <w:top w:val="nil"/>
              <w:bottom w:val="nil"/>
            </w:tcBorders>
          </w:tcPr>
          <w:p w:rsidR="00E72E92" w:rsidRPr="00642467" w:rsidP="006E5374" w14:paraId="7F493533"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34" w14:textId="77777777">
            <w:pPr>
              <w:keepNext/>
              <w:spacing w:before="60" w:after="60"/>
              <w:jc w:val="center"/>
              <w:rPr>
                <w:rFonts w:cs="Arial"/>
                <w:sz w:val="19"/>
                <w:szCs w:val="19"/>
              </w:rPr>
            </w:pPr>
          </w:p>
        </w:tc>
      </w:tr>
      <w:tr w14:paraId="7F49353A" w14:textId="77777777" w:rsidTr="00594142">
        <w:tblPrEx>
          <w:tblW w:w="10006" w:type="dxa"/>
          <w:jc w:val="center"/>
          <w:tblLook w:val="04A0"/>
        </w:tblPrEx>
        <w:trPr>
          <w:trHeight w:val="129"/>
          <w:jc w:val="center"/>
        </w:trPr>
        <w:tc>
          <w:tcPr>
            <w:tcW w:w="2501" w:type="dxa"/>
            <w:tcBorders>
              <w:top w:val="nil"/>
              <w:bottom w:val="nil"/>
            </w:tcBorders>
          </w:tcPr>
          <w:p w:rsidR="00E72E92" w:rsidRPr="00642467" w:rsidP="00A43CE3" w14:paraId="7F493536" w14:textId="77777777">
            <w:pPr>
              <w:keepNext/>
              <w:spacing w:before="60" w:after="60"/>
              <w:jc w:val="center"/>
              <w:rPr>
                <w:rFonts w:cs="Arial"/>
                <w:sz w:val="19"/>
                <w:szCs w:val="19"/>
              </w:rPr>
            </w:pPr>
          </w:p>
        </w:tc>
        <w:tc>
          <w:tcPr>
            <w:tcW w:w="2714" w:type="dxa"/>
            <w:tcBorders>
              <w:top w:val="nil"/>
              <w:bottom w:val="nil"/>
            </w:tcBorders>
          </w:tcPr>
          <w:p w:rsidR="00E72E92" w:rsidRPr="00642467" w:rsidP="00A43CE3" w14:paraId="7F493537" w14:textId="77777777">
            <w:pPr>
              <w:keepNext/>
              <w:spacing w:before="60" w:after="60"/>
              <w:jc w:val="center"/>
              <w:rPr>
                <w:rFonts w:cs="Arial"/>
                <w:sz w:val="19"/>
                <w:szCs w:val="19"/>
              </w:rPr>
            </w:pPr>
            <w:r w:rsidRPr="00642467">
              <w:rPr>
                <w:rFonts w:cs="Arial"/>
                <w:sz w:val="19"/>
                <w:szCs w:val="19"/>
              </w:rPr>
              <w:t>University of Utah</w:t>
            </w:r>
          </w:p>
        </w:tc>
        <w:tc>
          <w:tcPr>
            <w:tcW w:w="2289" w:type="dxa"/>
            <w:tcBorders>
              <w:top w:val="nil"/>
              <w:bottom w:val="nil"/>
            </w:tcBorders>
          </w:tcPr>
          <w:p w:rsidR="00E72E92" w:rsidRPr="00642467" w:rsidP="00A43CE3" w14:paraId="7F493538"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39" w14:textId="77777777">
            <w:pPr>
              <w:keepNext/>
              <w:spacing w:before="60" w:after="60"/>
              <w:jc w:val="center"/>
              <w:rPr>
                <w:rFonts w:cs="Arial"/>
                <w:sz w:val="19"/>
                <w:szCs w:val="19"/>
              </w:rPr>
            </w:pPr>
          </w:p>
        </w:tc>
      </w:tr>
      <w:tr w14:paraId="7F49353F" w14:textId="77777777" w:rsidTr="00594142">
        <w:tblPrEx>
          <w:tblW w:w="10006" w:type="dxa"/>
          <w:jc w:val="center"/>
          <w:tblLook w:val="04A0"/>
        </w:tblPrEx>
        <w:trPr>
          <w:trHeight w:val="121"/>
          <w:jc w:val="center"/>
        </w:trPr>
        <w:tc>
          <w:tcPr>
            <w:tcW w:w="2501" w:type="dxa"/>
            <w:tcBorders>
              <w:top w:val="nil"/>
              <w:bottom w:val="nil"/>
            </w:tcBorders>
          </w:tcPr>
          <w:p w:rsidR="00E72E92" w:rsidRPr="00642467" w:rsidP="006E5374" w14:paraId="7F49353B" w14:textId="77777777">
            <w:pPr>
              <w:keepNext/>
              <w:spacing w:before="60" w:after="60"/>
              <w:jc w:val="center"/>
              <w:rPr>
                <w:rFonts w:cs="Arial"/>
                <w:sz w:val="19"/>
                <w:szCs w:val="19"/>
              </w:rPr>
            </w:pPr>
          </w:p>
        </w:tc>
        <w:tc>
          <w:tcPr>
            <w:tcW w:w="2714" w:type="dxa"/>
            <w:tcBorders>
              <w:top w:val="nil"/>
              <w:bottom w:val="nil"/>
            </w:tcBorders>
          </w:tcPr>
          <w:p w:rsidR="00E72E92" w:rsidRPr="00642467" w:rsidP="006E5374" w14:paraId="7F49353C" w14:textId="77777777">
            <w:pPr>
              <w:keepNext/>
              <w:spacing w:before="60" w:after="60"/>
              <w:jc w:val="center"/>
              <w:rPr>
                <w:rFonts w:cs="Arial"/>
                <w:sz w:val="19"/>
                <w:szCs w:val="19"/>
              </w:rPr>
            </w:pPr>
            <w:r w:rsidRPr="00642467">
              <w:rPr>
                <w:rFonts w:cs="Arial"/>
                <w:sz w:val="19"/>
                <w:szCs w:val="19"/>
              </w:rPr>
              <w:t>University</w:t>
            </w:r>
            <w:r w:rsidRPr="00642467" w:rsidR="00040190">
              <w:rPr>
                <w:rFonts w:cs="Arial"/>
                <w:sz w:val="19"/>
                <w:szCs w:val="19"/>
              </w:rPr>
              <w:t xml:space="preserve"> of Maryland</w:t>
            </w:r>
          </w:p>
        </w:tc>
        <w:tc>
          <w:tcPr>
            <w:tcW w:w="2289" w:type="dxa"/>
            <w:tcBorders>
              <w:top w:val="nil"/>
              <w:bottom w:val="nil"/>
            </w:tcBorders>
          </w:tcPr>
          <w:p w:rsidR="00E72E92" w:rsidRPr="00642467" w:rsidP="006E5374" w14:paraId="7F49353D"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3E" w14:textId="77777777">
            <w:pPr>
              <w:keepNext/>
              <w:spacing w:before="60" w:after="60"/>
              <w:jc w:val="center"/>
              <w:rPr>
                <w:rFonts w:cs="Arial"/>
                <w:sz w:val="19"/>
                <w:szCs w:val="19"/>
              </w:rPr>
            </w:pPr>
          </w:p>
        </w:tc>
      </w:tr>
      <w:tr w14:paraId="7F493544" w14:textId="77777777" w:rsidTr="00594142">
        <w:tblPrEx>
          <w:tblW w:w="10006" w:type="dxa"/>
          <w:jc w:val="center"/>
          <w:tblLook w:val="04A0"/>
        </w:tblPrEx>
        <w:trPr>
          <w:trHeight w:val="373"/>
          <w:jc w:val="center"/>
        </w:trPr>
        <w:tc>
          <w:tcPr>
            <w:tcW w:w="2501" w:type="dxa"/>
            <w:tcBorders>
              <w:top w:val="nil"/>
              <w:bottom w:val="nil"/>
            </w:tcBorders>
          </w:tcPr>
          <w:p w:rsidR="00E72E92" w:rsidRPr="00642467" w:rsidP="00A43CE3" w14:paraId="7F493540" w14:textId="77777777">
            <w:pPr>
              <w:keepNext/>
              <w:spacing w:before="60" w:after="60"/>
              <w:jc w:val="center"/>
              <w:rPr>
                <w:rFonts w:cs="Arial"/>
                <w:sz w:val="19"/>
                <w:szCs w:val="19"/>
              </w:rPr>
            </w:pPr>
          </w:p>
        </w:tc>
        <w:tc>
          <w:tcPr>
            <w:tcW w:w="2714" w:type="dxa"/>
            <w:tcBorders>
              <w:top w:val="nil"/>
              <w:bottom w:val="nil"/>
            </w:tcBorders>
          </w:tcPr>
          <w:p w:rsidR="00E72E92" w:rsidRPr="00642467" w:rsidP="00A43CE3" w14:paraId="7F493541" w14:textId="77777777">
            <w:pPr>
              <w:keepNext/>
              <w:spacing w:before="60" w:after="60"/>
              <w:jc w:val="center"/>
              <w:rPr>
                <w:rFonts w:cs="Arial"/>
                <w:sz w:val="19"/>
                <w:szCs w:val="19"/>
              </w:rPr>
            </w:pPr>
            <w:r w:rsidRPr="00642467">
              <w:rPr>
                <w:rFonts w:cs="Arial"/>
                <w:sz w:val="19"/>
                <w:szCs w:val="19"/>
              </w:rPr>
              <w:t>Armed Forces Radiobiology Research Institute</w:t>
            </w:r>
          </w:p>
        </w:tc>
        <w:tc>
          <w:tcPr>
            <w:tcW w:w="2289" w:type="dxa"/>
            <w:tcBorders>
              <w:top w:val="nil"/>
              <w:bottom w:val="nil"/>
            </w:tcBorders>
          </w:tcPr>
          <w:p w:rsidR="00E72E92" w:rsidRPr="00642467" w:rsidP="00A43CE3" w14:paraId="7F493542"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43" w14:textId="77777777">
            <w:pPr>
              <w:keepNext/>
              <w:spacing w:before="60" w:after="60"/>
              <w:jc w:val="center"/>
              <w:rPr>
                <w:rFonts w:cs="Arial"/>
                <w:sz w:val="19"/>
                <w:szCs w:val="19"/>
              </w:rPr>
            </w:pPr>
          </w:p>
        </w:tc>
      </w:tr>
      <w:tr w14:paraId="7F493549" w14:textId="77777777" w:rsidTr="00594142">
        <w:tblPrEx>
          <w:tblW w:w="10006" w:type="dxa"/>
          <w:jc w:val="center"/>
          <w:tblLook w:val="04A0"/>
        </w:tblPrEx>
        <w:trPr>
          <w:trHeight w:val="251"/>
          <w:jc w:val="center"/>
        </w:trPr>
        <w:tc>
          <w:tcPr>
            <w:tcW w:w="2501" w:type="dxa"/>
            <w:tcBorders>
              <w:top w:val="nil"/>
              <w:bottom w:val="nil"/>
            </w:tcBorders>
          </w:tcPr>
          <w:p w:rsidR="00E72E92" w:rsidRPr="00642467" w:rsidP="00A43CE3" w14:paraId="7F493545" w14:textId="77777777">
            <w:pPr>
              <w:keepNext/>
              <w:spacing w:before="60" w:after="60"/>
              <w:jc w:val="center"/>
              <w:rPr>
                <w:rFonts w:cs="Arial"/>
                <w:sz w:val="19"/>
                <w:szCs w:val="19"/>
              </w:rPr>
            </w:pPr>
          </w:p>
        </w:tc>
        <w:tc>
          <w:tcPr>
            <w:tcW w:w="2714" w:type="dxa"/>
            <w:tcBorders>
              <w:top w:val="nil"/>
              <w:bottom w:val="nil"/>
            </w:tcBorders>
          </w:tcPr>
          <w:p w:rsidR="00E72E92" w:rsidRPr="00642467" w:rsidP="00A43CE3" w14:paraId="7F493546" w14:textId="77777777">
            <w:pPr>
              <w:keepNext/>
              <w:spacing w:before="60" w:after="60"/>
              <w:jc w:val="center"/>
              <w:rPr>
                <w:rFonts w:cs="Arial"/>
                <w:sz w:val="19"/>
                <w:szCs w:val="19"/>
              </w:rPr>
            </w:pPr>
            <w:r w:rsidRPr="00642467">
              <w:rPr>
                <w:rFonts w:cs="Arial"/>
                <w:sz w:val="19"/>
                <w:szCs w:val="19"/>
              </w:rPr>
              <w:t>North Carolina State University</w:t>
            </w:r>
          </w:p>
        </w:tc>
        <w:tc>
          <w:tcPr>
            <w:tcW w:w="2289" w:type="dxa"/>
            <w:tcBorders>
              <w:top w:val="nil"/>
              <w:bottom w:val="nil"/>
            </w:tcBorders>
          </w:tcPr>
          <w:p w:rsidR="00E72E92" w:rsidRPr="00642467" w:rsidP="00A43CE3" w14:paraId="7F493547"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48" w14:textId="77777777">
            <w:pPr>
              <w:keepNext/>
              <w:spacing w:before="60" w:after="60"/>
              <w:jc w:val="center"/>
              <w:rPr>
                <w:rFonts w:cs="Arial"/>
                <w:sz w:val="19"/>
                <w:szCs w:val="19"/>
              </w:rPr>
            </w:pPr>
          </w:p>
        </w:tc>
      </w:tr>
      <w:tr w14:paraId="7F49354E" w14:textId="77777777" w:rsidTr="00594142">
        <w:tblPrEx>
          <w:tblW w:w="10006" w:type="dxa"/>
          <w:jc w:val="center"/>
          <w:tblLook w:val="04A0"/>
        </w:tblPrEx>
        <w:trPr>
          <w:trHeight w:val="244"/>
          <w:jc w:val="center"/>
        </w:trPr>
        <w:tc>
          <w:tcPr>
            <w:tcW w:w="2501" w:type="dxa"/>
            <w:tcBorders>
              <w:top w:val="nil"/>
              <w:bottom w:val="nil"/>
            </w:tcBorders>
          </w:tcPr>
          <w:p w:rsidR="00E72E92" w:rsidRPr="00642467" w:rsidP="00A43CE3" w14:paraId="7F49354A" w14:textId="77777777">
            <w:pPr>
              <w:keepNext/>
              <w:spacing w:before="60" w:after="60"/>
              <w:jc w:val="center"/>
              <w:rPr>
                <w:rFonts w:cs="Arial"/>
                <w:sz w:val="19"/>
                <w:szCs w:val="19"/>
              </w:rPr>
            </w:pPr>
          </w:p>
        </w:tc>
        <w:tc>
          <w:tcPr>
            <w:tcW w:w="2714" w:type="dxa"/>
            <w:tcBorders>
              <w:top w:val="nil"/>
              <w:bottom w:val="nil"/>
            </w:tcBorders>
          </w:tcPr>
          <w:p w:rsidR="00E72E92" w:rsidRPr="00642467" w:rsidP="00A43CE3" w14:paraId="7F49354B" w14:textId="77777777">
            <w:pPr>
              <w:keepNext/>
              <w:spacing w:before="60" w:after="60"/>
              <w:jc w:val="center"/>
              <w:rPr>
                <w:rFonts w:cs="Arial"/>
                <w:sz w:val="19"/>
                <w:szCs w:val="19"/>
              </w:rPr>
            </w:pPr>
            <w:r w:rsidRPr="00642467">
              <w:rPr>
                <w:rFonts w:cs="Arial"/>
                <w:sz w:val="19"/>
                <w:szCs w:val="19"/>
              </w:rPr>
              <w:t>Oregon State University</w:t>
            </w:r>
          </w:p>
        </w:tc>
        <w:tc>
          <w:tcPr>
            <w:tcW w:w="2289" w:type="dxa"/>
            <w:tcBorders>
              <w:top w:val="nil"/>
              <w:bottom w:val="nil"/>
            </w:tcBorders>
          </w:tcPr>
          <w:p w:rsidR="00E72E92" w:rsidRPr="00642467" w:rsidP="00A43CE3" w14:paraId="7F49354C"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4D" w14:textId="77777777">
            <w:pPr>
              <w:keepNext/>
              <w:spacing w:before="60" w:after="60"/>
              <w:jc w:val="center"/>
              <w:rPr>
                <w:rFonts w:cs="Arial"/>
                <w:sz w:val="19"/>
                <w:szCs w:val="19"/>
              </w:rPr>
            </w:pPr>
          </w:p>
        </w:tc>
      </w:tr>
      <w:tr w14:paraId="7F493553" w14:textId="77777777" w:rsidTr="00594142">
        <w:tblPrEx>
          <w:tblW w:w="10006" w:type="dxa"/>
          <w:jc w:val="center"/>
          <w:tblLook w:val="04A0"/>
        </w:tblPrEx>
        <w:trPr>
          <w:trHeight w:val="251"/>
          <w:jc w:val="center"/>
        </w:trPr>
        <w:tc>
          <w:tcPr>
            <w:tcW w:w="2501" w:type="dxa"/>
            <w:tcBorders>
              <w:top w:val="nil"/>
              <w:bottom w:val="nil"/>
            </w:tcBorders>
          </w:tcPr>
          <w:p w:rsidR="00E72E92" w:rsidRPr="00642467" w:rsidP="00A43CE3" w14:paraId="7F49354F" w14:textId="77777777">
            <w:pPr>
              <w:keepNext/>
              <w:spacing w:before="60" w:after="60"/>
              <w:jc w:val="center"/>
              <w:rPr>
                <w:rFonts w:cs="Arial"/>
                <w:sz w:val="19"/>
                <w:szCs w:val="19"/>
              </w:rPr>
            </w:pPr>
          </w:p>
        </w:tc>
        <w:tc>
          <w:tcPr>
            <w:tcW w:w="2714" w:type="dxa"/>
            <w:tcBorders>
              <w:top w:val="nil"/>
              <w:bottom w:val="nil"/>
            </w:tcBorders>
          </w:tcPr>
          <w:p w:rsidR="00E72E92" w:rsidRPr="00642467" w:rsidP="00A43CE3" w14:paraId="7F493550" w14:textId="77777777">
            <w:pPr>
              <w:keepNext/>
              <w:spacing w:before="60" w:after="60"/>
              <w:jc w:val="center"/>
              <w:rPr>
                <w:rFonts w:cs="Arial"/>
                <w:sz w:val="19"/>
                <w:szCs w:val="19"/>
              </w:rPr>
            </w:pPr>
            <w:r w:rsidRPr="00642467">
              <w:rPr>
                <w:rFonts w:cs="Arial"/>
                <w:sz w:val="19"/>
                <w:szCs w:val="19"/>
              </w:rPr>
              <w:t xml:space="preserve">Pennsylvania State University </w:t>
            </w:r>
          </w:p>
        </w:tc>
        <w:tc>
          <w:tcPr>
            <w:tcW w:w="2289" w:type="dxa"/>
            <w:tcBorders>
              <w:top w:val="nil"/>
              <w:bottom w:val="nil"/>
            </w:tcBorders>
          </w:tcPr>
          <w:p w:rsidR="00E72E92" w:rsidRPr="00642467" w:rsidP="00A43CE3" w14:paraId="7F493551"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52" w14:textId="77777777">
            <w:pPr>
              <w:keepNext/>
              <w:spacing w:before="60" w:after="60"/>
              <w:jc w:val="center"/>
              <w:rPr>
                <w:rFonts w:cs="Arial"/>
                <w:sz w:val="19"/>
                <w:szCs w:val="19"/>
              </w:rPr>
            </w:pPr>
          </w:p>
        </w:tc>
      </w:tr>
      <w:tr w14:paraId="7F493558" w14:textId="77777777" w:rsidTr="00594142">
        <w:tblPrEx>
          <w:tblW w:w="10006" w:type="dxa"/>
          <w:jc w:val="center"/>
          <w:tblLook w:val="04A0"/>
        </w:tblPrEx>
        <w:trPr>
          <w:trHeight w:val="251"/>
          <w:jc w:val="center"/>
        </w:trPr>
        <w:tc>
          <w:tcPr>
            <w:tcW w:w="2501" w:type="dxa"/>
            <w:tcBorders>
              <w:top w:val="nil"/>
              <w:bottom w:val="nil"/>
            </w:tcBorders>
          </w:tcPr>
          <w:p w:rsidR="00E72E92" w:rsidRPr="00642467" w:rsidP="00A43CE3" w14:paraId="7F493554" w14:textId="77777777">
            <w:pPr>
              <w:keepNext/>
              <w:spacing w:before="60" w:after="60"/>
              <w:jc w:val="center"/>
              <w:rPr>
                <w:rFonts w:cs="Arial"/>
                <w:sz w:val="19"/>
                <w:szCs w:val="19"/>
              </w:rPr>
            </w:pPr>
          </w:p>
        </w:tc>
        <w:tc>
          <w:tcPr>
            <w:tcW w:w="2714" w:type="dxa"/>
            <w:tcBorders>
              <w:top w:val="nil"/>
              <w:bottom w:val="nil"/>
            </w:tcBorders>
          </w:tcPr>
          <w:p w:rsidR="00E72E92" w:rsidRPr="00D96410" w:rsidP="00B634DF" w14:paraId="7F493555" w14:textId="77777777">
            <w:pPr>
              <w:autoSpaceDE/>
              <w:autoSpaceDN/>
              <w:adjustRightInd/>
              <w:spacing w:after="200"/>
              <w:jc w:val="center"/>
              <w:rPr>
                <w:sz w:val="22"/>
                <w:szCs w:val="22"/>
              </w:rPr>
            </w:pPr>
            <w:r w:rsidRPr="00642467">
              <w:rPr>
                <w:rFonts w:cs="Arial"/>
                <w:sz w:val="19"/>
                <w:szCs w:val="19"/>
              </w:rPr>
              <w:t xml:space="preserve">Texas A&amp;M University </w:t>
            </w:r>
            <w:r w:rsidRPr="00D96410" w:rsidR="00DD60BC">
              <w:rPr>
                <w:sz w:val="19"/>
                <w:szCs w:val="19"/>
              </w:rPr>
              <w:t>Training Reactor and Isotopes Production, General Atomics</w:t>
            </w:r>
            <w:r w:rsidRPr="00642467" w:rsidR="00DD60BC">
              <w:rPr>
                <w:rFonts w:cs="Arial"/>
                <w:sz w:val="19"/>
                <w:szCs w:val="19"/>
              </w:rPr>
              <w:t xml:space="preserve"> </w:t>
            </w:r>
            <w:r w:rsidRPr="00642467">
              <w:rPr>
                <w:rFonts w:cs="Arial"/>
                <w:sz w:val="19"/>
                <w:szCs w:val="19"/>
              </w:rPr>
              <w:t>(TRIGA)</w:t>
            </w:r>
          </w:p>
        </w:tc>
        <w:tc>
          <w:tcPr>
            <w:tcW w:w="2289" w:type="dxa"/>
            <w:tcBorders>
              <w:top w:val="nil"/>
              <w:bottom w:val="nil"/>
            </w:tcBorders>
          </w:tcPr>
          <w:p w:rsidR="00E72E92" w:rsidRPr="00642467" w:rsidP="00A43CE3" w14:paraId="7F493556"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57" w14:textId="77777777">
            <w:pPr>
              <w:keepNext/>
              <w:spacing w:before="60" w:after="60"/>
              <w:jc w:val="center"/>
              <w:rPr>
                <w:rFonts w:cs="Arial"/>
                <w:sz w:val="19"/>
                <w:szCs w:val="19"/>
              </w:rPr>
            </w:pPr>
          </w:p>
        </w:tc>
      </w:tr>
      <w:tr w14:paraId="7F49355D" w14:textId="77777777" w:rsidTr="00594142">
        <w:tblPrEx>
          <w:tblW w:w="10006" w:type="dxa"/>
          <w:jc w:val="center"/>
          <w:tblLook w:val="04A0"/>
        </w:tblPrEx>
        <w:trPr>
          <w:trHeight w:val="121"/>
          <w:jc w:val="center"/>
        </w:trPr>
        <w:tc>
          <w:tcPr>
            <w:tcW w:w="2501" w:type="dxa"/>
            <w:tcBorders>
              <w:top w:val="nil"/>
              <w:bottom w:val="nil"/>
            </w:tcBorders>
          </w:tcPr>
          <w:p w:rsidR="00E72E92" w:rsidRPr="00642467" w:rsidP="00A43CE3" w14:paraId="7F493559" w14:textId="77777777">
            <w:pPr>
              <w:keepNext/>
              <w:spacing w:before="60" w:after="60"/>
              <w:jc w:val="center"/>
              <w:rPr>
                <w:rFonts w:cs="Arial"/>
                <w:sz w:val="19"/>
                <w:szCs w:val="19"/>
              </w:rPr>
            </w:pPr>
          </w:p>
        </w:tc>
        <w:tc>
          <w:tcPr>
            <w:tcW w:w="2714" w:type="dxa"/>
            <w:tcBorders>
              <w:top w:val="nil"/>
              <w:bottom w:val="nil"/>
            </w:tcBorders>
          </w:tcPr>
          <w:p w:rsidR="00E72E92" w:rsidRPr="00642467" w:rsidP="00A43CE3" w14:paraId="7F49355A" w14:textId="77777777">
            <w:pPr>
              <w:keepNext/>
              <w:spacing w:before="60" w:after="60"/>
              <w:jc w:val="center"/>
              <w:rPr>
                <w:rFonts w:cs="Arial"/>
                <w:sz w:val="19"/>
                <w:szCs w:val="19"/>
              </w:rPr>
            </w:pPr>
            <w:r w:rsidRPr="00642467">
              <w:rPr>
                <w:rFonts w:cs="Arial"/>
                <w:sz w:val="19"/>
                <w:szCs w:val="19"/>
              </w:rPr>
              <w:t>U.S. Geo</w:t>
            </w:r>
            <w:r w:rsidRPr="00642467" w:rsidR="00845C91">
              <w:rPr>
                <w:rFonts w:cs="Arial"/>
                <w:sz w:val="19"/>
                <w:szCs w:val="19"/>
              </w:rPr>
              <w:t>logical Survey</w:t>
            </w:r>
          </w:p>
        </w:tc>
        <w:tc>
          <w:tcPr>
            <w:tcW w:w="2289" w:type="dxa"/>
            <w:tcBorders>
              <w:top w:val="nil"/>
              <w:bottom w:val="nil"/>
            </w:tcBorders>
          </w:tcPr>
          <w:p w:rsidR="00E72E92" w:rsidRPr="00642467" w:rsidP="00A43CE3" w14:paraId="7F49355B" w14:textId="77777777">
            <w:pPr>
              <w:keepNext/>
              <w:spacing w:before="60" w:after="60"/>
              <w:jc w:val="center"/>
              <w:rPr>
                <w:rFonts w:cs="Arial"/>
                <w:sz w:val="19"/>
                <w:szCs w:val="19"/>
              </w:rPr>
            </w:pPr>
          </w:p>
        </w:tc>
        <w:tc>
          <w:tcPr>
            <w:tcW w:w="2502" w:type="dxa"/>
            <w:tcBorders>
              <w:top w:val="nil"/>
              <w:bottom w:val="nil"/>
            </w:tcBorders>
          </w:tcPr>
          <w:p w:rsidR="00E72E92" w:rsidRPr="00642467" w:rsidP="00A43CE3" w14:paraId="7F49355C" w14:textId="77777777">
            <w:pPr>
              <w:keepNext/>
              <w:spacing w:before="60" w:after="60"/>
              <w:jc w:val="center"/>
              <w:rPr>
                <w:rFonts w:cs="Arial"/>
                <w:sz w:val="19"/>
                <w:szCs w:val="19"/>
              </w:rPr>
            </w:pPr>
          </w:p>
        </w:tc>
      </w:tr>
      <w:tr w14:paraId="7F493562" w14:textId="77777777" w:rsidTr="00594142">
        <w:tblPrEx>
          <w:tblW w:w="10006" w:type="dxa"/>
          <w:jc w:val="center"/>
          <w:tblLook w:val="04A0"/>
        </w:tblPrEx>
        <w:trPr>
          <w:trHeight w:val="251"/>
          <w:jc w:val="center"/>
        </w:trPr>
        <w:tc>
          <w:tcPr>
            <w:tcW w:w="2501" w:type="dxa"/>
            <w:tcBorders>
              <w:top w:val="nil"/>
              <w:bottom w:val="nil"/>
            </w:tcBorders>
          </w:tcPr>
          <w:p w:rsidR="006E5374" w:rsidRPr="00642467" w:rsidP="006E5374" w14:paraId="7F49355E" w14:textId="77777777">
            <w:pPr>
              <w:keepNext/>
              <w:spacing w:before="60" w:after="60"/>
              <w:jc w:val="center"/>
              <w:rPr>
                <w:rFonts w:cs="Arial"/>
                <w:sz w:val="19"/>
                <w:szCs w:val="19"/>
              </w:rPr>
            </w:pPr>
          </w:p>
        </w:tc>
        <w:tc>
          <w:tcPr>
            <w:tcW w:w="2714" w:type="dxa"/>
            <w:tcBorders>
              <w:top w:val="nil"/>
              <w:bottom w:val="nil"/>
            </w:tcBorders>
          </w:tcPr>
          <w:p w:rsidR="006E5374" w:rsidRPr="00642467" w:rsidP="006E5374" w14:paraId="7F49355F" w14:textId="77777777">
            <w:pPr>
              <w:keepNext/>
              <w:spacing w:before="60" w:after="60"/>
              <w:jc w:val="center"/>
              <w:rPr>
                <w:rFonts w:cs="Arial"/>
                <w:sz w:val="19"/>
                <w:szCs w:val="19"/>
              </w:rPr>
            </w:pPr>
            <w:r w:rsidRPr="00642467">
              <w:rPr>
                <w:rFonts w:cs="Arial"/>
                <w:sz w:val="19"/>
                <w:szCs w:val="19"/>
              </w:rPr>
              <w:t>University of Massachusetts/Lowell</w:t>
            </w:r>
          </w:p>
        </w:tc>
        <w:tc>
          <w:tcPr>
            <w:tcW w:w="2289" w:type="dxa"/>
            <w:tcBorders>
              <w:top w:val="nil"/>
              <w:bottom w:val="nil"/>
            </w:tcBorders>
          </w:tcPr>
          <w:p w:rsidR="006E5374" w:rsidRPr="00642467" w:rsidP="00A43CE3" w14:paraId="7F493560" w14:textId="77777777">
            <w:pPr>
              <w:keepNext/>
              <w:spacing w:before="60" w:after="60"/>
              <w:jc w:val="center"/>
              <w:rPr>
                <w:rFonts w:cs="Arial"/>
                <w:sz w:val="19"/>
                <w:szCs w:val="19"/>
              </w:rPr>
            </w:pPr>
          </w:p>
        </w:tc>
        <w:tc>
          <w:tcPr>
            <w:tcW w:w="2502" w:type="dxa"/>
            <w:tcBorders>
              <w:top w:val="nil"/>
              <w:bottom w:val="nil"/>
            </w:tcBorders>
          </w:tcPr>
          <w:p w:rsidR="006E5374" w:rsidRPr="00642467" w:rsidP="00A43CE3" w14:paraId="7F493561" w14:textId="77777777">
            <w:pPr>
              <w:keepNext/>
              <w:spacing w:before="60" w:after="60"/>
              <w:jc w:val="center"/>
              <w:rPr>
                <w:rFonts w:cs="Arial"/>
                <w:sz w:val="19"/>
                <w:szCs w:val="19"/>
              </w:rPr>
            </w:pPr>
          </w:p>
        </w:tc>
      </w:tr>
      <w:tr w14:paraId="7F493567" w14:textId="77777777" w:rsidTr="00594142">
        <w:tblPrEx>
          <w:tblW w:w="10006" w:type="dxa"/>
          <w:jc w:val="center"/>
          <w:tblLook w:val="04A0"/>
        </w:tblPrEx>
        <w:trPr>
          <w:trHeight w:val="121"/>
          <w:jc w:val="center"/>
        </w:trPr>
        <w:tc>
          <w:tcPr>
            <w:tcW w:w="2501" w:type="dxa"/>
            <w:tcBorders>
              <w:top w:val="nil"/>
              <w:bottom w:val="nil"/>
            </w:tcBorders>
          </w:tcPr>
          <w:p w:rsidR="006E5374" w:rsidRPr="00642467" w:rsidP="006E5374" w14:paraId="7F493563" w14:textId="77777777">
            <w:pPr>
              <w:keepNext/>
              <w:spacing w:before="60" w:after="60"/>
              <w:jc w:val="center"/>
              <w:rPr>
                <w:rFonts w:cs="Arial"/>
                <w:sz w:val="19"/>
                <w:szCs w:val="19"/>
              </w:rPr>
            </w:pPr>
          </w:p>
        </w:tc>
        <w:tc>
          <w:tcPr>
            <w:tcW w:w="2714" w:type="dxa"/>
            <w:tcBorders>
              <w:top w:val="nil"/>
              <w:bottom w:val="nil"/>
            </w:tcBorders>
          </w:tcPr>
          <w:p w:rsidR="006E5374" w:rsidRPr="00642467" w:rsidP="006E5374" w14:paraId="7F493564" w14:textId="77777777">
            <w:pPr>
              <w:keepNext/>
              <w:spacing w:before="60" w:after="60"/>
              <w:jc w:val="center"/>
              <w:rPr>
                <w:rFonts w:cs="Arial"/>
                <w:sz w:val="19"/>
                <w:szCs w:val="19"/>
              </w:rPr>
            </w:pPr>
            <w:r w:rsidRPr="00642467">
              <w:rPr>
                <w:rFonts w:cs="Arial"/>
                <w:sz w:val="19"/>
                <w:szCs w:val="19"/>
              </w:rPr>
              <w:t>University of Texas</w:t>
            </w:r>
          </w:p>
        </w:tc>
        <w:tc>
          <w:tcPr>
            <w:tcW w:w="2289" w:type="dxa"/>
            <w:tcBorders>
              <w:top w:val="nil"/>
              <w:bottom w:val="nil"/>
            </w:tcBorders>
          </w:tcPr>
          <w:p w:rsidR="006E5374" w:rsidRPr="00642467" w:rsidP="00A43CE3" w14:paraId="7F493565" w14:textId="77777777">
            <w:pPr>
              <w:keepNext/>
              <w:spacing w:before="60" w:after="60"/>
              <w:jc w:val="center"/>
              <w:rPr>
                <w:rFonts w:cs="Arial"/>
                <w:sz w:val="19"/>
                <w:szCs w:val="19"/>
              </w:rPr>
            </w:pPr>
          </w:p>
        </w:tc>
        <w:tc>
          <w:tcPr>
            <w:tcW w:w="2502" w:type="dxa"/>
            <w:tcBorders>
              <w:top w:val="nil"/>
              <w:bottom w:val="nil"/>
            </w:tcBorders>
          </w:tcPr>
          <w:p w:rsidR="006E5374" w:rsidRPr="00642467" w:rsidP="00A43CE3" w14:paraId="7F493566" w14:textId="77777777">
            <w:pPr>
              <w:keepNext/>
              <w:spacing w:before="60" w:after="60"/>
              <w:jc w:val="center"/>
              <w:rPr>
                <w:rFonts w:cs="Arial"/>
                <w:sz w:val="19"/>
                <w:szCs w:val="19"/>
              </w:rPr>
            </w:pPr>
          </w:p>
        </w:tc>
      </w:tr>
      <w:tr w14:paraId="7F49356C" w14:textId="77777777" w:rsidTr="00594142">
        <w:tblPrEx>
          <w:tblW w:w="10006" w:type="dxa"/>
          <w:jc w:val="center"/>
          <w:tblLook w:val="04A0"/>
        </w:tblPrEx>
        <w:trPr>
          <w:trHeight w:val="129"/>
          <w:jc w:val="center"/>
        </w:trPr>
        <w:tc>
          <w:tcPr>
            <w:tcW w:w="2501" w:type="dxa"/>
            <w:tcBorders>
              <w:top w:val="nil"/>
              <w:bottom w:val="nil"/>
            </w:tcBorders>
          </w:tcPr>
          <w:p w:rsidR="006E5374" w:rsidRPr="00642467" w:rsidP="006E5374" w14:paraId="7F493568" w14:textId="77777777">
            <w:pPr>
              <w:keepNext/>
              <w:spacing w:before="60" w:after="60"/>
              <w:jc w:val="center"/>
              <w:rPr>
                <w:rFonts w:cs="Arial"/>
                <w:sz w:val="19"/>
                <w:szCs w:val="19"/>
              </w:rPr>
            </w:pPr>
          </w:p>
        </w:tc>
        <w:tc>
          <w:tcPr>
            <w:tcW w:w="2714" w:type="dxa"/>
            <w:tcBorders>
              <w:top w:val="nil"/>
              <w:bottom w:val="nil"/>
            </w:tcBorders>
          </w:tcPr>
          <w:p w:rsidR="006E5374" w:rsidRPr="00642467" w:rsidP="006E5374" w14:paraId="7F493569" w14:textId="77777777">
            <w:pPr>
              <w:keepNext/>
              <w:spacing w:before="60" w:after="60"/>
              <w:jc w:val="center"/>
              <w:rPr>
                <w:rFonts w:cs="Arial"/>
                <w:sz w:val="19"/>
                <w:szCs w:val="19"/>
              </w:rPr>
            </w:pPr>
            <w:r w:rsidRPr="00642467">
              <w:rPr>
                <w:rFonts w:cs="Arial"/>
                <w:sz w:val="19"/>
                <w:szCs w:val="19"/>
              </w:rPr>
              <w:t>University of Wisconsin</w:t>
            </w:r>
          </w:p>
        </w:tc>
        <w:tc>
          <w:tcPr>
            <w:tcW w:w="2289" w:type="dxa"/>
            <w:tcBorders>
              <w:top w:val="nil"/>
              <w:bottom w:val="nil"/>
            </w:tcBorders>
          </w:tcPr>
          <w:p w:rsidR="006E5374" w:rsidRPr="00642467" w:rsidP="00A43CE3" w14:paraId="7F49356A" w14:textId="77777777">
            <w:pPr>
              <w:keepNext/>
              <w:spacing w:before="60" w:after="60"/>
              <w:jc w:val="center"/>
              <w:rPr>
                <w:rFonts w:cs="Arial"/>
                <w:sz w:val="19"/>
                <w:szCs w:val="19"/>
              </w:rPr>
            </w:pPr>
          </w:p>
        </w:tc>
        <w:tc>
          <w:tcPr>
            <w:tcW w:w="2502" w:type="dxa"/>
            <w:tcBorders>
              <w:top w:val="nil"/>
              <w:bottom w:val="nil"/>
            </w:tcBorders>
          </w:tcPr>
          <w:p w:rsidR="006E5374" w:rsidRPr="00642467" w:rsidP="00A43CE3" w14:paraId="7F49356B" w14:textId="77777777">
            <w:pPr>
              <w:keepNext/>
              <w:spacing w:before="60" w:after="60"/>
              <w:jc w:val="center"/>
              <w:rPr>
                <w:rFonts w:cs="Arial"/>
                <w:sz w:val="19"/>
                <w:szCs w:val="19"/>
              </w:rPr>
            </w:pPr>
          </w:p>
        </w:tc>
      </w:tr>
      <w:tr w14:paraId="7F493571" w14:textId="77777777" w:rsidTr="00594142">
        <w:tblPrEx>
          <w:tblW w:w="10006" w:type="dxa"/>
          <w:jc w:val="center"/>
          <w:tblLook w:val="04A0"/>
        </w:tblPrEx>
        <w:trPr>
          <w:trHeight w:val="251"/>
          <w:jc w:val="center"/>
        </w:trPr>
        <w:tc>
          <w:tcPr>
            <w:tcW w:w="2501" w:type="dxa"/>
            <w:tcBorders>
              <w:top w:val="nil"/>
            </w:tcBorders>
          </w:tcPr>
          <w:p w:rsidR="006E5374" w:rsidRPr="00642467" w:rsidP="006E5374" w14:paraId="7F49356D" w14:textId="77777777">
            <w:pPr>
              <w:keepNext/>
              <w:spacing w:before="60" w:after="60"/>
              <w:jc w:val="center"/>
              <w:rPr>
                <w:rFonts w:cs="Arial"/>
                <w:sz w:val="19"/>
                <w:szCs w:val="19"/>
              </w:rPr>
            </w:pPr>
          </w:p>
        </w:tc>
        <w:tc>
          <w:tcPr>
            <w:tcW w:w="2714" w:type="dxa"/>
            <w:tcBorders>
              <w:top w:val="nil"/>
              <w:bottom w:val="single" w:sz="4" w:space="0" w:color="auto"/>
            </w:tcBorders>
          </w:tcPr>
          <w:p w:rsidR="006E5374" w:rsidRPr="00642467" w:rsidP="006E5374" w14:paraId="7F49356E" w14:textId="77777777">
            <w:pPr>
              <w:keepNext/>
              <w:spacing w:before="60" w:after="60"/>
              <w:jc w:val="center"/>
              <w:rPr>
                <w:rFonts w:cs="Arial"/>
                <w:sz w:val="19"/>
                <w:szCs w:val="19"/>
              </w:rPr>
            </w:pPr>
            <w:r w:rsidRPr="00642467">
              <w:rPr>
                <w:rFonts w:cs="Arial"/>
                <w:sz w:val="19"/>
                <w:szCs w:val="19"/>
              </w:rPr>
              <w:t>Washington State University</w:t>
            </w:r>
          </w:p>
        </w:tc>
        <w:tc>
          <w:tcPr>
            <w:tcW w:w="2289" w:type="dxa"/>
            <w:tcBorders>
              <w:top w:val="nil"/>
              <w:bottom w:val="single" w:sz="4" w:space="0" w:color="auto"/>
            </w:tcBorders>
          </w:tcPr>
          <w:p w:rsidR="006E5374" w:rsidRPr="00642467" w:rsidP="00A43CE3" w14:paraId="7F49356F" w14:textId="77777777">
            <w:pPr>
              <w:keepNext/>
              <w:spacing w:before="60" w:after="60"/>
              <w:jc w:val="center"/>
              <w:rPr>
                <w:rFonts w:cs="Arial"/>
                <w:sz w:val="19"/>
                <w:szCs w:val="19"/>
              </w:rPr>
            </w:pPr>
          </w:p>
        </w:tc>
        <w:tc>
          <w:tcPr>
            <w:tcW w:w="2502" w:type="dxa"/>
            <w:tcBorders>
              <w:top w:val="nil"/>
              <w:bottom w:val="single" w:sz="4" w:space="0" w:color="auto"/>
            </w:tcBorders>
          </w:tcPr>
          <w:p w:rsidR="006E5374" w:rsidRPr="00642467" w:rsidP="00A43CE3" w14:paraId="7F493570" w14:textId="77777777">
            <w:pPr>
              <w:keepNext/>
              <w:spacing w:before="60" w:after="60"/>
              <w:jc w:val="center"/>
              <w:rPr>
                <w:rFonts w:cs="Arial"/>
                <w:sz w:val="19"/>
                <w:szCs w:val="19"/>
              </w:rPr>
            </w:pPr>
          </w:p>
        </w:tc>
      </w:tr>
      <w:tr w14:paraId="7F493576" w14:textId="77777777" w:rsidTr="00594142">
        <w:tblPrEx>
          <w:tblW w:w="10006" w:type="dxa"/>
          <w:jc w:val="center"/>
          <w:tblLook w:val="04A0"/>
        </w:tblPrEx>
        <w:trPr>
          <w:trHeight w:val="121"/>
          <w:jc w:val="center"/>
        </w:trPr>
        <w:tc>
          <w:tcPr>
            <w:tcW w:w="2501" w:type="dxa"/>
          </w:tcPr>
          <w:p w:rsidR="00E72E92" w:rsidRPr="00642467" w:rsidP="006E5374" w14:paraId="7F493572" w14:textId="77777777">
            <w:pPr>
              <w:jc w:val="center"/>
              <w:rPr>
                <w:rFonts w:cs="Arial"/>
                <w:b/>
                <w:sz w:val="19"/>
                <w:szCs w:val="19"/>
              </w:rPr>
            </w:pPr>
            <w:r w:rsidRPr="00642467">
              <w:rPr>
                <w:rFonts w:cs="Arial"/>
                <w:b/>
                <w:sz w:val="19"/>
                <w:szCs w:val="19"/>
              </w:rPr>
              <w:t>5</w:t>
            </w:r>
            <w:r w:rsidRPr="00642467" w:rsidR="00403440">
              <w:rPr>
                <w:rFonts w:cs="Arial"/>
                <w:b/>
                <w:sz w:val="19"/>
                <w:szCs w:val="19"/>
              </w:rPr>
              <w:t xml:space="preserve"> Licensees</w:t>
            </w:r>
          </w:p>
        </w:tc>
        <w:tc>
          <w:tcPr>
            <w:tcW w:w="2714" w:type="dxa"/>
            <w:tcBorders>
              <w:top w:val="single" w:sz="4" w:space="0" w:color="auto"/>
            </w:tcBorders>
          </w:tcPr>
          <w:p w:rsidR="00E72E92" w:rsidRPr="00642467" w:rsidP="006E5374" w14:paraId="7F493573" w14:textId="77777777">
            <w:pPr>
              <w:jc w:val="center"/>
              <w:rPr>
                <w:rFonts w:cs="Arial"/>
                <w:b/>
                <w:sz w:val="19"/>
                <w:szCs w:val="19"/>
              </w:rPr>
            </w:pPr>
            <w:r w:rsidRPr="00642467">
              <w:rPr>
                <w:rFonts w:cs="Arial"/>
                <w:b/>
                <w:sz w:val="19"/>
                <w:szCs w:val="19"/>
              </w:rPr>
              <w:t>21 Licensees</w:t>
            </w:r>
          </w:p>
        </w:tc>
        <w:tc>
          <w:tcPr>
            <w:tcW w:w="2289" w:type="dxa"/>
            <w:tcBorders>
              <w:top w:val="single" w:sz="4" w:space="0" w:color="auto"/>
            </w:tcBorders>
          </w:tcPr>
          <w:p w:rsidR="00E72E92" w:rsidRPr="00642467" w:rsidP="006E5374" w14:paraId="7F493574" w14:textId="77777777">
            <w:pPr>
              <w:jc w:val="center"/>
              <w:rPr>
                <w:rFonts w:cs="Arial"/>
                <w:b/>
                <w:sz w:val="19"/>
                <w:szCs w:val="19"/>
              </w:rPr>
            </w:pPr>
            <w:r w:rsidRPr="00642467">
              <w:rPr>
                <w:rFonts w:cs="Arial"/>
                <w:b/>
                <w:sz w:val="19"/>
                <w:szCs w:val="19"/>
              </w:rPr>
              <w:t>4 Licensees</w:t>
            </w:r>
          </w:p>
        </w:tc>
        <w:tc>
          <w:tcPr>
            <w:tcW w:w="2502" w:type="dxa"/>
            <w:tcBorders>
              <w:top w:val="single" w:sz="4" w:space="0" w:color="auto"/>
            </w:tcBorders>
          </w:tcPr>
          <w:p w:rsidR="00E72E92" w:rsidRPr="00642467" w:rsidP="00346B95" w14:paraId="7F493575" w14:textId="77777777">
            <w:pPr>
              <w:keepNext/>
              <w:jc w:val="center"/>
              <w:rPr>
                <w:rFonts w:cs="Arial"/>
                <w:b/>
                <w:sz w:val="19"/>
                <w:szCs w:val="19"/>
              </w:rPr>
            </w:pPr>
            <w:r w:rsidRPr="00642467">
              <w:rPr>
                <w:rFonts w:cs="Arial"/>
                <w:b/>
                <w:sz w:val="19"/>
                <w:szCs w:val="19"/>
              </w:rPr>
              <w:t>3 Licensees</w:t>
            </w:r>
          </w:p>
        </w:tc>
      </w:tr>
    </w:tbl>
    <w:p w:rsidR="00BF5AC4" w:rsidRPr="00346B95" w:rsidP="00642467" w14:paraId="7F493577" w14:textId="77777777">
      <w:pPr>
        <w:ind w:left="-360"/>
        <w:contextualSpacing/>
        <w:rPr>
          <w:rStyle w:val="Hyperlink"/>
          <w:sz w:val="18"/>
          <w:u w:val="none"/>
        </w:rPr>
      </w:pPr>
      <w:r w:rsidRPr="00B9271E">
        <w:rPr>
          <w:rFonts w:cs="Arial"/>
          <w:sz w:val="18"/>
          <w:szCs w:val="18"/>
        </w:rPr>
        <w:t xml:space="preserve">Source: </w:t>
      </w:r>
      <w:r w:rsidR="00D9638A">
        <w:rPr>
          <w:rFonts w:cs="Arial"/>
          <w:sz w:val="18"/>
          <w:szCs w:val="18"/>
        </w:rPr>
        <w:t xml:space="preserve"> </w:t>
      </w:r>
      <w:r w:rsidR="00DC4BEC">
        <w:rPr>
          <w:rFonts w:cs="Arial"/>
          <w:sz w:val="18"/>
          <w:szCs w:val="18"/>
        </w:rPr>
        <w:t xml:space="preserve">Appendix H to </w:t>
      </w:r>
      <w:r w:rsidR="00D9638A">
        <w:rPr>
          <w:rFonts w:cs="Arial"/>
          <w:sz w:val="18"/>
          <w:szCs w:val="18"/>
        </w:rPr>
        <w:t>NUREG-1350, Volume </w:t>
      </w:r>
      <w:r w:rsidR="006C217B">
        <w:rPr>
          <w:rFonts w:cs="Arial"/>
          <w:sz w:val="18"/>
          <w:szCs w:val="18"/>
        </w:rPr>
        <w:t>30</w:t>
      </w:r>
      <w:r w:rsidR="001B102D">
        <w:rPr>
          <w:rFonts w:cs="Arial"/>
          <w:sz w:val="18"/>
          <w:szCs w:val="18"/>
        </w:rPr>
        <w:t>,</w:t>
      </w:r>
      <w:r w:rsidR="00D9638A">
        <w:rPr>
          <w:rFonts w:cs="Arial"/>
          <w:sz w:val="18"/>
          <w:szCs w:val="18"/>
        </w:rPr>
        <w:t xml:space="preserve"> “</w:t>
      </w:r>
      <w:r w:rsidRPr="00B9271E">
        <w:rPr>
          <w:rFonts w:cs="Arial"/>
          <w:sz w:val="18"/>
          <w:szCs w:val="18"/>
        </w:rPr>
        <w:t>NRC Information Digest, 201</w:t>
      </w:r>
      <w:r w:rsidRPr="00B9271E" w:rsidR="00403F0D">
        <w:rPr>
          <w:rFonts w:cs="Arial"/>
          <w:sz w:val="18"/>
          <w:szCs w:val="18"/>
        </w:rPr>
        <w:t>8</w:t>
      </w:r>
      <w:r w:rsidR="00DC4BEC">
        <w:rPr>
          <w:rFonts w:cs="Arial"/>
          <w:sz w:val="18"/>
          <w:szCs w:val="18"/>
        </w:rPr>
        <w:t>–</w:t>
      </w:r>
      <w:r w:rsidRPr="00B9271E">
        <w:rPr>
          <w:rFonts w:cs="Arial"/>
          <w:sz w:val="18"/>
          <w:szCs w:val="18"/>
        </w:rPr>
        <w:t>201</w:t>
      </w:r>
      <w:r w:rsidRPr="00B9271E" w:rsidR="00403F0D">
        <w:rPr>
          <w:rFonts w:cs="Arial"/>
          <w:sz w:val="18"/>
          <w:szCs w:val="18"/>
        </w:rPr>
        <w:t>9</w:t>
      </w:r>
      <w:r w:rsidR="001B102D">
        <w:rPr>
          <w:rFonts w:cs="Arial"/>
          <w:sz w:val="18"/>
          <w:szCs w:val="18"/>
        </w:rPr>
        <w:t>,</w:t>
      </w:r>
      <w:r w:rsidR="00D9638A">
        <w:rPr>
          <w:rFonts w:cs="Arial"/>
          <w:sz w:val="18"/>
          <w:szCs w:val="18"/>
        </w:rPr>
        <w:t>”</w:t>
      </w:r>
      <w:r w:rsidRPr="00B9271E" w:rsidR="00444DC7">
        <w:rPr>
          <w:rFonts w:cs="Arial"/>
          <w:sz w:val="18"/>
          <w:szCs w:val="18"/>
        </w:rPr>
        <w:t xml:space="preserve"> </w:t>
      </w:r>
      <w:r w:rsidR="00D527FB">
        <w:rPr>
          <w:rFonts w:cs="Arial"/>
          <w:sz w:val="18"/>
          <w:szCs w:val="18"/>
        </w:rPr>
        <w:t>issued August 2018</w:t>
      </w:r>
      <w:r w:rsidRPr="00B9271E">
        <w:rPr>
          <w:rFonts w:cs="Arial"/>
          <w:sz w:val="18"/>
          <w:szCs w:val="18"/>
        </w:rPr>
        <w:t xml:space="preserve"> </w:t>
      </w:r>
      <w:r w:rsidR="00F52B04">
        <w:rPr>
          <w:rFonts w:cs="Arial"/>
          <w:sz w:val="18"/>
          <w:szCs w:val="18"/>
        </w:rPr>
        <w:t>(</w:t>
      </w:r>
      <w:hyperlink r:id="rId19" w:history="1">
        <w:r w:rsidRPr="00F52B04" w:rsidR="00F52B04">
          <w:rPr>
            <w:rStyle w:val="Hyperlink"/>
            <w:rFonts w:cs="Arial"/>
            <w:sz w:val="18"/>
            <w:szCs w:val="18"/>
          </w:rPr>
          <w:t>http://www.nrc.gov/reading-rm/doc-collections/nuregs/staff/sr1350/</w:t>
        </w:r>
      </w:hyperlink>
      <w:r w:rsidR="00F52B04">
        <w:rPr>
          <w:rStyle w:val="Hyperlink"/>
          <w:rFonts w:cs="Arial"/>
          <w:sz w:val="18"/>
          <w:szCs w:val="18"/>
          <w:u w:val="none"/>
        </w:rPr>
        <w:t>)</w:t>
      </w:r>
      <w:r w:rsidR="009E4D57">
        <w:rPr>
          <w:rStyle w:val="Hyperlink"/>
          <w:rFonts w:cs="Arial"/>
          <w:sz w:val="18"/>
          <w:szCs w:val="18"/>
          <w:u w:val="none"/>
        </w:rPr>
        <w:t xml:space="preserve"> </w:t>
      </w:r>
      <w:r w:rsidRPr="00C520D9" w:rsidR="009E4D57">
        <w:rPr>
          <w:rStyle w:val="Hyperlink"/>
          <w:rFonts w:cs="Arial"/>
          <w:color w:val="auto"/>
          <w:sz w:val="18"/>
          <w:szCs w:val="18"/>
          <w:u w:val="none"/>
        </w:rPr>
        <w:t>(Ref</w:t>
      </w:r>
      <w:r w:rsidR="00844084">
        <w:rPr>
          <w:rStyle w:val="Hyperlink"/>
          <w:rFonts w:cs="Arial"/>
          <w:color w:val="auto"/>
          <w:sz w:val="18"/>
          <w:szCs w:val="18"/>
          <w:u w:val="none"/>
        </w:rPr>
        <w:t>.</w:t>
      </w:r>
      <w:r w:rsidRPr="00C520D9" w:rsidR="009E4D57">
        <w:rPr>
          <w:rStyle w:val="Hyperlink"/>
          <w:rFonts w:cs="Arial"/>
          <w:color w:val="auto"/>
          <w:sz w:val="18"/>
          <w:szCs w:val="18"/>
          <w:u w:val="none"/>
        </w:rPr>
        <w:t xml:space="preserve"> 2</w:t>
      </w:r>
      <w:r w:rsidRPr="00C520D9" w:rsidR="001F12FC">
        <w:rPr>
          <w:rStyle w:val="Hyperlink"/>
          <w:rFonts w:cs="Arial"/>
          <w:color w:val="auto"/>
          <w:sz w:val="18"/>
          <w:szCs w:val="18"/>
          <w:u w:val="none"/>
        </w:rPr>
        <w:t>5</w:t>
      </w:r>
      <w:r w:rsidRPr="00C520D9" w:rsidR="009E4D57">
        <w:rPr>
          <w:rStyle w:val="Hyperlink"/>
          <w:rFonts w:cs="Arial"/>
          <w:color w:val="auto"/>
          <w:sz w:val="18"/>
          <w:szCs w:val="18"/>
          <w:u w:val="none"/>
        </w:rPr>
        <w:t>)</w:t>
      </w:r>
      <w:r w:rsidRPr="00C520D9" w:rsidR="001F12FC">
        <w:rPr>
          <w:rStyle w:val="Hyperlink"/>
          <w:rFonts w:cs="Arial"/>
          <w:color w:val="auto"/>
          <w:sz w:val="18"/>
          <w:szCs w:val="18"/>
          <w:u w:val="none"/>
        </w:rPr>
        <w:t>.</w:t>
      </w:r>
    </w:p>
    <w:p w:rsidR="004B5C47" w:rsidRPr="00B9271E" w:rsidP="00642467" w14:paraId="7F493578" w14:textId="77777777">
      <w:pPr>
        <w:ind w:left="-360"/>
        <w:contextualSpacing/>
        <w:rPr>
          <w:rFonts w:cs="Arial"/>
          <w:sz w:val="18"/>
          <w:szCs w:val="18"/>
        </w:rPr>
      </w:pPr>
      <w:r w:rsidRPr="00B9271E">
        <w:rPr>
          <w:rFonts w:cs="Arial"/>
          <w:sz w:val="18"/>
          <w:szCs w:val="18"/>
        </w:rPr>
        <w:t>*</w:t>
      </w:r>
      <w:r w:rsidRPr="00B9271E" w:rsidR="00B9271E">
        <w:rPr>
          <w:rFonts w:cs="Arial"/>
          <w:sz w:val="18"/>
          <w:szCs w:val="18"/>
        </w:rPr>
        <w:t xml:space="preserve"> </w:t>
      </w:r>
      <w:r w:rsidRPr="00B9271E">
        <w:rPr>
          <w:rFonts w:cs="Arial"/>
          <w:sz w:val="18"/>
          <w:szCs w:val="18"/>
        </w:rPr>
        <w:t>T</w:t>
      </w:r>
      <w:r w:rsidRPr="00B9271E" w:rsidR="00437762">
        <w:rPr>
          <w:rFonts w:cs="Arial"/>
          <w:sz w:val="18"/>
          <w:szCs w:val="18"/>
        </w:rPr>
        <w:t>AMU</w:t>
      </w:r>
      <w:r w:rsidRPr="00B9271E">
        <w:rPr>
          <w:rFonts w:cs="Arial"/>
          <w:sz w:val="18"/>
          <w:szCs w:val="18"/>
        </w:rPr>
        <w:t xml:space="preserve"> (A) is currently </w:t>
      </w:r>
      <w:r w:rsidRPr="00B9271E" w:rsidR="0025429B">
        <w:rPr>
          <w:rFonts w:cs="Arial"/>
          <w:sz w:val="18"/>
          <w:szCs w:val="18"/>
        </w:rPr>
        <w:t>shut</w:t>
      </w:r>
      <w:r w:rsidR="00DC4BEC">
        <w:rPr>
          <w:rFonts w:cs="Arial"/>
          <w:sz w:val="18"/>
          <w:szCs w:val="18"/>
        </w:rPr>
        <w:t xml:space="preserve"> </w:t>
      </w:r>
      <w:r w:rsidRPr="00B9271E" w:rsidR="0025429B">
        <w:rPr>
          <w:rFonts w:cs="Arial"/>
          <w:sz w:val="18"/>
          <w:szCs w:val="18"/>
        </w:rPr>
        <w:t>down</w:t>
      </w:r>
      <w:r w:rsidRPr="00B9271E">
        <w:rPr>
          <w:rFonts w:cs="Arial"/>
          <w:sz w:val="18"/>
          <w:szCs w:val="18"/>
        </w:rPr>
        <w:t>.</w:t>
      </w:r>
      <w:r w:rsidRPr="00B9271E" w:rsidR="005749EA">
        <w:rPr>
          <w:rFonts w:cs="Arial"/>
          <w:sz w:val="18"/>
          <w:szCs w:val="18"/>
        </w:rPr>
        <w:t xml:space="preserve">  The analysis assumes that TAMU (A) will undergo license renewal </w:t>
      </w:r>
      <w:r w:rsidRPr="00B9271E" w:rsidR="007D0D39">
        <w:rPr>
          <w:rFonts w:cs="Arial"/>
          <w:sz w:val="18"/>
          <w:szCs w:val="18"/>
        </w:rPr>
        <w:t>in 2021</w:t>
      </w:r>
      <w:r w:rsidRPr="00B9271E" w:rsidR="005749EA">
        <w:rPr>
          <w:rFonts w:cs="Arial"/>
          <w:sz w:val="18"/>
          <w:szCs w:val="18"/>
        </w:rPr>
        <w:t>.</w:t>
      </w:r>
    </w:p>
    <w:p w:rsidR="004B5C47" w:rsidRPr="00B9271E" w:rsidP="00642467" w14:paraId="7F493579" w14:textId="10044BC5">
      <w:pPr>
        <w:ind w:left="-360"/>
        <w:contextualSpacing/>
        <w:rPr>
          <w:rFonts w:cs="Arial"/>
          <w:sz w:val="18"/>
          <w:szCs w:val="18"/>
        </w:rPr>
      </w:pPr>
      <w:r w:rsidRPr="00B9271E">
        <w:rPr>
          <w:rFonts w:cs="Arial"/>
          <w:sz w:val="18"/>
          <w:szCs w:val="18"/>
        </w:rPr>
        <w:t xml:space="preserve">** </w:t>
      </w:r>
      <w:r w:rsidRPr="00B9271E">
        <w:rPr>
          <w:rFonts w:cs="Arial"/>
          <w:sz w:val="18"/>
          <w:szCs w:val="18"/>
        </w:rPr>
        <w:t>SHINE and N</w:t>
      </w:r>
      <w:r w:rsidRPr="00B9271E" w:rsidR="001B5CCD">
        <w:rPr>
          <w:rFonts w:cs="Arial"/>
          <w:sz w:val="18"/>
          <w:szCs w:val="18"/>
        </w:rPr>
        <w:t>WMI</w:t>
      </w:r>
      <w:r w:rsidRPr="00B9271E">
        <w:rPr>
          <w:rFonts w:cs="Arial"/>
          <w:sz w:val="18"/>
          <w:szCs w:val="18"/>
        </w:rPr>
        <w:t xml:space="preserve"> </w:t>
      </w:r>
      <w:r w:rsidRPr="00B9271E" w:rsidR="00C93A43">
        <w:rPr>
          <w:rFonts w:cs="Arial"/>
          <w:sz w:val="18"/>
          <w:szCs w:val="18"/>
        </w:rPr>
        <w:t xml:space="preserve">currently hold construction permits but have not yet applied for operating licenses. The analysis assumes that each facility will be licensed to operate in 2021. </w:t>
      </w:r>
      <w:r w:rsidR="00DC4BEC">
        <w:rPr>
          <w:rFonts w:cs="Arial"/>
          <w:sz w:val="18"/>
          <w:szCs w:val="18"/>
        </w:rPr>
        <w:t xml:space="preserve"> </w:t>
      </w:r>
      <w:r w:rsidRPr="00B9271E" w:rsidR="00C93A43">
        <w:rPr>
          <w:rFonts w:cs="Arial"/>
          <w:sz w:val="18"/>
          <w:szCs w:val="18"/>
        </w:rPr>
        <w:t xml:space="preserve">The actual dates could be earlier or later depending on </w:t>
      </w:r>
      <w:r w:rsidR="00594142">
        <w:rPr>
          <w:rFonts w:cs="Arial"/>
          <w:sz w:val="18"/>
          <w:szCs w:val="18"/>
        </w:rPr>
        <w:t>the timing of</w:t>
      </w:r>
      <w:r w:rsidRPr="00B9271E" w:rsidR="00C93A43">
        <w:rPr>
          <w:rFonts w:cs="Arial"/>
          <w:sz w:val="18"/>
          <w:szCs w:val="18"/>
        </w:rPr>
        <w:t xml:space="preserve"> </w:t>
      </w:r>
      <w:r w:rsidR="00594142">
        <w:rPr>
          <w:rFonts w:cs="Arial"/>
          <w:sz w:val="18"/>
          <w:szCs w:val="18"/>
        </w:rPr>
        <w:t>the</w:t>
      </w:r>
      <w:r w:rsidRPr="00B9271E" w:rsidR="00C93A43">
        <w:rPr>
          <w:rFonts w:cs="Arial"/>
          <w:sz w:val="18"/>
          <w:szCs w:val="18"/>
        </w:rPr>
        <w:t xml:space="preserve"> license applications, but this </w:t>
      </w:r>
      <w:r w:rsidR="00594142">
        <w:rPr>
          <w:rFonts w:cs="Arial"/>
          <w:sz w:val="18"/>
          <w:szCs w:val="18"/>
        </w:rPr>
        <w:t>w</w:t>
      </w:r>
      <w:r w:rsidRPr="00B9271E" w:rsidR="00C93A43">
        <w:rPr>
          <w:rFonts w:cs="Arial"/>
          <w:sz w:val="18"/>
          <w:szCs w:val="18"/>
        </w:rPr>
        <w:t>ould not significantly affect the conclusions of the analysis.</w:t>
      </w:r>
      <w:r w:rsidRPr="00B9271E" w:rsidR="00C93A43">
        <w:rPr>
          <w:rFonts w:cs="Arial"/>
          <w:sz w:val="18"/>
          <w:szCs w:val="18"/>
        </w:rPr>
        <w:t xml:space="preserve"> </w:t>
      </w:r>
    </w:p>
    <w:p w:rsidR="00BF5AC4" w:rsidRPr="00B9271E" w:rsidP="00346B95" w14:paraId="7F49357A" w14:textId="3AEFAB6B">
      <w:pPr>
        <w:spacing w:after="220"/>
        <w:ind w:left="-360"/>
        <w:rPr>
          <w:rFonts w:cs="Arial"/>
          <w:sz w:val="18"/>
          <w:szCs w:val="18"/>
        </w:rPr>
      </w:pPr>
      <w:r>
        <w:rPr>
          <w:rFonts w:cs="Arial"/>
          <w:sz w:val="18"/>
          <w:szCs w:val="18"/>
        </w:rPr>
        <w:t xml:space="preserve">*** </w:t>
      </w:r>
      <w:r w:rsidR="003577BF">
        <w:rPr>
          <w:rFonts w:cs="Arial"/>
          <w:sz w:val="18"/>
          <w:szCs w:val="18"/>
        </w:rPr>
        <w:t>SHINE, NWMI, and NIST</w:t>
      </w:r>
      <w:r w:rsidRPr="00B9271E" w:rsidR="00125256">
        <w:rPr>
          <w:rFonts w:cs="Arial"/>
          <w:sz w:val="18"/>
          <w:szCs w:val="18"/>
        </w:rPr>
        <w:t xml:space="preserve"> have</w:t>
      </w:r>
      <w:r w:rsidRPr="00B9271E">
        <w:rPr>
          <w:rFonts w:cs="Arial"/>
          <w:sz w:val="18"/>
          <w:szCs w:val="18"/>
        </w:rPr>
        <w:t xml:space="preserve"> specific requirements discussed in Section 3.2.</w:t>
      </w:r>
    </w:p>
    <w:p w:rsidR="00517EAA" w:rsidP="004F1F61" w14:paraId="7F49357B" w14:textId="5D050B67">
      <w:pPr>
        <w:rPr>
          <w:rFonts w:cs="Arial"/>
          <w:sz w:val="22"/>
          <w:szCs w:val="22"/>
        </w:rPr>
      </w:pPr>
      <w:r w:rsidRPr="00D839EE">
        <w:rPr>
          <w:rFonts w:cs="Arial"/>
          <w:sz w:val="22"/>
          <w:szCs w:val="22"/>
        </w:rPr>
        <w:t>As described in the</w:t>
      </w:r>
      <w:r w:rsidRPr="009865E5">
        <w:rPr>
          <w:rFonts w:cs="Arial"/>
          <w:sz w:val="22"/>
          <w:szCs w:val="22"/>
        </w:rPr>
        <w:t xml:space="preserve"> </w:t>
      </w:r>
      <w:r w:rsidR="001F5ABC">
        <w:rPr>
          <w:rFonts w:cs="Arial"/>
          <w:sz w:val="22"/>
          <w:szCs w:val="22"/>
        </w:rPr>
        <w:t xml:space="preserve">final rule </w:t>
      </w:r>
      <w:r w:rsidR="00C57F82">
        <w:rPr>
          <w:rFonts w:cs="Arial"/>
          <w:sz w:val="22"/>
          <w:szCs w:val="22"/>
        </w:rPr>
        <w:t xml:space="preserve">provided for Commission approval </w:t>
      </w:r>
      <w:r w:rsidR="00034E9B">
        <w:rPr>
          <w:rFonts w:cs="Arial"/>
          <w:sz w:val="22"/>
          <w:szCs w:val="22"/>
        </w:rPr>
        <w:t>(</w:t>
      </w:r>
      <w:r w:rsidR="000C2B1A">
        <w:rPr>
          <w:rFonts w:cs="Arial"/>
          <w:sz w:val="22"/>
          <w:szCs w:val="22"/>
        </w:rPr>
        <w:t>Ref. 26</w:t>
      </w:r>
      <w:r w:rsidR="00034E9B">
        <w:rPr>
          <w:rFonts w:cs="Arial"/>
          <w:sz w:val="22"/>
          <w:szCs w:val="22"/>
        </w:rPr>
        <w:t>)</w:t>
      </w:r>
      <w:r w:rsidRPr="00D839EE" w:rsidR="00BF5AC4">
        <w:rPr>
          <w:rFonts w:cs="Arial"/>
          <w:sz w:val="22"/>
          <w:szCs w:val="22"/>
        </w:rPr>
        <w:t xml:space="preserve">, the 31 NPUFs </w:t>
      </w:r>
      <w:r>
        <w:rPr>
          <w:rFonts w:cs="Arial"/>
          <w:sz w:val="22"/>
          <w:szCs w:val="22"/>
        </w:rPr>
        <w:t xml:space="preserve">currently licensed to operate </w:t>
      </w:r>
      <w:r w:rsidRPr="00D839EE" w:rsidR="00BF5AC4">
        <w:rPr>
          <w:rFonts w:cs="Arial"/>
          <w:sz w:val="22"/>
          <w:szCs w:val="22"/>
        </w:rPr>
        <w:t>are separated into different group</w:t>
      </w:r>
      <w:r w:rsidRPr="00D839EE">
        <w:rPr>
          <w:rFonts w:cs="Arial"/>
          <w:sz w:val="22"/>
          <w:szCs w:val="22"/>
        </w:rPr>
        <w:t xml:space="preserve">s that will dictate when the licensee’s initial </w:t>
      </w:r>
      <w:r w:rsidR="009B3418">
        <w:rPr>
          <w:rFonts w:cs="Arial"/>
          <w:sz w:val="22"/>
          <w:szCs w:val="22"/>
        </w:rPr>
        <w:t xml:space="preserve">updated </w:t>
      </w:r>
      <w:r w:rsidRPr="00D839EE">
        <w:rPr>
          <w:rFonts w:cs="Arial"/>
          <w:sz w:val="22"/>
          <w:szCs w:val="22"/>
        </w:rPr>
        <w:t xml:space="preserve">FSAR </w:t>
      </w:r>
      <w:r w:rsidRPr="00D839EE" w:rsidR="00BC5E9F">
        <w:rPr>
          <w:rFonts w:cs="Arial"/>
          <w:sz w:val="22"/>
          <w:szCs w:val="22"/>
        </w:rPr>
        <w:t>will</w:t>
      </w:r>
      <w:r w:rsidRPr="00D839EE">
        <w:rPr>
          <w:rFonts w:cs="Arial"/>
          <w:sz w:val="22"/>
          <w:szCs w:val="22"/>
        </w:rPr>
        <w:t xml:space="preserve"> be due to the NRC.  </w:t>
      </w:r>
      <w:r w:rsidR="00FC20BD">
        <w:rPr>
          <w:rFonts w:cs="Arial"/>
          <w:sz w:val="22"/>
          <w:szCs w:val="22"/>
        </w:rPr>
        <w:t xml:space="preserve">The </w:t>
      </w:r>
      <w:r w:rsidRPr="006A1A9B" w:rsidR="006A1A9B">
        <w:rPr>
          <w:rFonts w:cs="Arial"/>
          <w:sz w:val="22"/>
          <w:szCs w:val="22"/>
        </w:rPr>
        <w:t>NRC group</w:t>
      </w:r>
      <w:r w:rsidR="00FC20BD">
        <w:rPr>
          <w:rFonts w:cs="Arial"/>
          <w:sz w:val="22"/>
          <w:szCs w:val="22"/>
        </w:rPr>
        <w:t>ed</w:t>
      </w:r>
      <w:r w:rsidR="00C656EB">
        <w:rPr>
          <w:rFonts w:cs="Arial"/>
          <w:sz w:val="22"/>
          <w:szCs w:val="22"/>
        </w:rPr>
        <w:t xml:space="preserve"> </w:t>
      </w:r>
      <w:r w:rsidRPr="006A1A9B" w:rsidR="006A1A9B">
        <w:rPr>
          <w:rFonts w:cs="Arial"/>
          <w:sz w:val="22"/>
          <w:szCs w:val="22"/>
        </w:rPr>
        <w:t xml:space="preserve">facilities </w:t>
      </w:r>
      <w:r w:rsidRPr="00F30669" w:rsidR="00F30669">
        <w:rPr>
          <w:rFonts w:cs="Arial"/>
          <w:sz w:val="22"/>
          <w:szCs w:val="22"/>
        </w:rPr>
        <w:t>by when they have undergone license renewal using NUREG-1537</w:t>
      </w:r>
      <w:r w:rsidR="00FC20BD">
        <w:rPr>
          <w:rFonts w:cs="Arial"/>
          <w:sz w:val="22"/>
          <w:szCs w:val="22"/>
        </w:rPr>
        <w:t>.</w:t>
      </w:r>
      <w:r w:rsidR="008102FC">
        <w:rPr>
          <w:rFonts w:cs="Arial"/>
          <w:sz w:val="22"/>
          <w:szCs w:val="22"/>
        </w:rPr>
        <w:t xml:space="preserve">  </w:t>
      </w:r>
      <w:r w:rsidRPr="00D839EE">
        <w:rPr>
          <w:rFonts w:cs="Arial"/>
          <w:sz w:val="22"/>
          <w:szCs w:val="22"/>
        </w:rPr>
        <w:t>These groupings also vary</w:t>
      </w:r>
      <w:r w:rsidR="00B030A7">
        <w:rPr>
          <w:rFonts w:cs="Arial"/>
          <w:sz w:val="22"/>
          <w:szCs w:val="22"/>
        </w:rPr>
        <w:t xml:space="preserve"> the </w:t>
      </w:r>
      <w:r>
        <w:rPr>
          <w:rFonts w:cs="Arial"/>
          <w:sz w:val="22"/>
          <w:szCs w:val="22"/>
        </w:rPr>
        <w:t xml:space="preserve">times when </w:t>
      </w:r>
      <w:r w:rsidRPr="00D839EE" w:rsidR="00BF5AC4">
        <w:rPr>
          <w:rFonts w:cs="Arial"/>
          <w:sz w:val="22"/>
          <w:szCs w:val="22"/>
        </w:rPr>
        <w:t xml:space="preserve">different costs and </w:t>
      </w:r>
      <w:r w:rsidR="00D96F2F">
        <w:rPr>
          <w:rFonts w:cs="Arial"/>
          <w:sz w:val="22"/>
          <w:szCs w:val="22"/>
        </w:rPr>
        <w:t>averted cost</w:t>
      </w:r>
      <w:r w:rsidRPr="00D839EE" w:rsidR="00D96F2F">
        <w:rPr>
          <w:rFonts w:cs="Arial"/>
          <w:sz w:val="22"/>
          <w:szCs w:val="22"/>
        </w:rPr>
        <w:t>s</w:t>
      </w:r>
      <w:r w:rsidRPr="00D839EE" w:rsidR="00BF5AC4">
        <w:rPr>
          <w:rFonts w:cs="Arial"/>
          <w:sz w:val="22"/>
          <w:szCs w:val="22"/>
        </w:rPr>
        <w:t xml:space="preserve"> are incurred across the analysis period.</w:t>
      </w:r>
      <w:r w:rsidR="00F2093D">
        <w:rPr>
          <w:rFonts w:cs="Arial"/>
          <w:sz w:val="22"/>
          <w:szCs w:val="22"/>
        </w:rPr>
        <w:t xml:space="preserve">  </w:t>
      </w:r>
      <w:r w:rsidRPr="001E774E" w:rsidR="00F2093D">
        <w:rPr>
          <w:rFonts w:cs="Arial"/>
          <w:sz w:val="22"/>
          <w:szCs w:val="22"/>
        </w:rPr>
        <w:t>The NRC will issue orders following the publication of the final rule</w:t>
      </w:r>
      <w:r w:rsidR="00F2093D">
        <w:rPr>
          <w:rFonts w:cs="Arial"/>
          <w:sz w:val="22"/>
          <w:szCs w:val="22"/>
        </w:rPr>
        <w:t xml:space="preserve"> to </w:t>
      </w:r>
      <w:r w:rsidRPr="001E774E" w:rsidR="00F2093D">
        <w:rPr>
          <w:rFonts w:cs="Arial"/>
          <w:sz w:val="22"/>
          <w:szCs w:val="22"/>
        </w:rPr>
        <w:t>establish when the respective licensee’s initial FSAR update will be due to the NRC</w:t>
      </w:r>
      <w:r w:rsidR="00F2093D">
        <w:rPr>
          <w:rFonts w:cs="Arial"/>
          <w:sz w:val="22"/>
          <w:szCs w:val="22"/>
        </w:rPr>
        <w:t xml:space="preserve">. </w:t>
      </w:r>
      <w:r w:rsidRPr="001E774E" w:rsidR="00F2093D">
        <w:rPr>
          <w:rFonts w:cs="Arial"/>
          <w:sz w:val="22"/>
          <w:szCs w:val="22"/>
        </w:rPr>
        <w:t xml:space="preserve"> In addition, the orders will remove license terms from each license</w:t>
      </w:r>
      <w:r w:rsidR="00F2093D">
        <w:rPr>
          <w:rFonts w:cs="Arial"/>
          <w:sz w:val="22"/>
          <w:szCs w:val="22"/>
        </w:rPr>
        <w:t xml:space="preserve"> in Group 1 and Group 2</w:t>
      </w:r>
      <w:r w:rsidRPr="001E774E" w:rsidR="00F2093D">
        <w:rPr>
          <w:rFonts w:cs="Arial"/>
          <w:sz w:val="22"/>
          <w:szCs w:val="22"/>
        </w:rPr>
        <w:t>.  In total, there will be 27 orders issued by the NRC.</w:t>
      </w:r>
    </w:p>
    <w:p w:rsidR="00517EAA" w:rsidP="004F1F61" w14:paraId="7F49357C" w14:textId="77777777">
      <w:pPr>
        <w:rPr>
          <w:rFonts w:cs="Arial"/>
          <w:sz w:val="22"/>
          <w:szCs w:val="22"/>
        </w:rPr>
      </w:pPr>
    </w:p>
    <w:p w:rsidR="00F30669" w:rsidP="00F30669" w14:paraId="7F49357D" w14:textId="77777777">
      <w:pPr>
        <w:pStyle w:val="ListParagraph"/>
        <w:numPr>
          <w:ilvl w:val="0"/>
          <w:numId w:val="48"/>
        </w:numPr>
        <w:contextualSpacing w:val="0"/>
        <w:rPr>
          <w:rFonts w:cs="Arial"/>
          <w:sz w:val="22"/>
          <w:szCs w:val="22"/>
        </w:rPr>
      </w:pPr>
      <w:r w:rsidRPr="00F30669">
        <w:rPr>
          <w:rFonts w:cs="Arial"/>
          <w:sz w:val="22"/>
          <w:szCs w:val="22"/>
        </w:rPr>
        <w:t>Group 1 consists of licensees that completed the license renewal process most recently using NUREG-1537.  The NRC will establish a due date for the updated FSAR that will be at least 1 year and no later than 3 years from the effective date of this final rule.  The NRC will require these licensees to submit an updated FSAR first because, with a recent license renewal, the FSARs should require minimal updates</w:t>
      </w:r>
      <w:r>
        <w:rPr>
          <w:rFonts w:cs="Arial"/>
          <w:sz w:val="22"/>
          <w:szCs w:val="22"/>
        </w:rPr>
        <w:t>.</w:t>
      </w:r>
      <w:r w:rsidRPr="00F30669" w:rsidR="00FC20BD">
        <w:rPr>
          <w:rFonts w:cs="Arial"/>
          <w:sz w:val="22"/>
          <w:szCs w:val="22"/>
        </w:rPr>
        <w:t xml:space="preserve">  </w:t>
      </w:r>
    </w:p>
    <w:p w:rsidR="00F30669" w:rsidP="00F30669" w14:paraId="7F49357E" w14:textId="77777777">
      <w:pPr>
        <w:pStyle w:val="ListParagraph"/>
        <w:contextualSpacing w:val="0"/>
        <w:rPr>
          <w:rFonts w:cs="Arial"/>
          <w:sz w:val="22"/>
          <w:szCs w:val="22"/>
        </w:rPr>
      </w:pPr>
    </w:p>
    <w:p w:rsidR="00F30669" w:rsidP="00F30669" w14:paraId="7F49357F" w14:textId="77777777">
      <w:pPr>
        <w:pStyle w:val="ListParagraph"/>
        <w:numPr>
          <w:ilvl w:val="0"/>
          <w:numId w:val="48"/>
        </w:numPr>
        <w:contextualSpacing w:val="0"/>
        <w:rPr>
          <w:rFonts w:cs="Arial"/>
          <w:sz w:val="22"/>
          <w:szCs w:val="22"/>
        </w:rPr>
      </w:pPr>
      <w:r w:rsidRPr="00F30669">
        <w:rPr>
          <w:rFonts w:cs="Arial"/>
          <w:sz w:val="22"/>
          <w:szCs w:val="22"/>
        </w:rPr>
        <w:t>Group 2 generally consists of licensees for which the NRC reviewed the license renewal application before Group 1 using NUREG-1537, and includes the three facilities currently in decommissioning.  The NRC will establish a due date for the updated FSAR that will be at least 2 years and no later than 5 years from the effective date of this final rule.  The NRC will allow these licensees more time to submit an updated FSAR than Group 1 licensees because more time has passed since license renewal</w:t>
      </w:r>
      <w:r w:rsidRPr="00F30669" w:rsidR="00517EAA">
        <w:rPr>
          <w:rFonts w:cs="Arial"/>
          <w:sz w:val="22"/>
          <w:szCs w:val="22"/>
        </w:rPr>
        <w:t>.</w:t>
      </w:r>
    </w:p>
    <w:p w:rsidR="00F30669" w:rsidRPr="00F30669" w:rsidP="00F30669" w14:paraId="7F493580" w14:textId="77777777">
      <w:pPr>
        <w:rPr>
          <w:rFonts w:cs="Arial"/>
          <w:sz w:val="22"/>
          <w:szCs w:val="22"/>
        </w:rPr>
      </w:pPr>
    </w:p>
    <w:p w:rsidR="009B3418" w:rsidRPr="00F30669" w:rsidP="00F30669" w14:paraId="7F493581" w14:textId="77777777">
      <w:pPr>
        <w:pStyle w:val="ListParagraph"/>
        <w:numPr>
          <w:ilvl w:val="0"/>
          <w:numId w:val="48"/>
        </w:numPr>
        <w:contextualSpacing w:val="0"/>
        <w:rPr>
          <w:rFonts w:cs="Arial"/>
          <w:sz w:val="22"/>
          <w:szCs w:val="22"/>
        </w:rPr>
      </w:pPr>
      <w:r w:rsidRPr="00F30669">
        <w:rPr>
          <w:rFonts w:cs="Arial"/>
          <w:sz w:val="22"/>
          <w:szCs w:val="22"/>
        </w:rPr>
        <w:t>Group 3 consists of the remaining NPUF licensees that have not undergone license renewal using NUREG-1537.  The licenses for these facilities are all due to expire in less than 5 years from the effective date of this final rule.  If these licensees choose to renew their facility operating licenses, they will be subject to the requirements in § 50.71(e) after issuance of the renewed license.</w:t>
      </w:r>
      <w:r w:rsidRPr="00F30669" w:rsidR="00DD52CD">
        <w:rPr>
          <w:rFonts w:cs="Arial"/>
          <w:sz w:val="22"/>
          <w:szCs w:val="22"/>
        </w:rPr>
        <w:t xml:space="preserve">  </w:t>
      </w:r>
    </w:p>
    <w:p w:rsidR="009B3418" w:rsidP="004F1F61" w14:paraId="7F493582" w14:textId="77777777">
      <w:pPr>
        <w:rPr>
          <w:rFonts w:cs="Arial"/>
          <w:sz w:val="22"/>
          <w:szCs w:val="22"/>
        </w:rPr>
      </w:pPr>
    </w:p>
    <w:p w:rsidR="00334211" w:rsidP="004F1F61" w14:paraId="7F493583" w14:textId="34F260E0">
      <w:pPr>
        <w:rPr>
          <w:rFonts w:cs="Arial"/>
          <w:sz w:val="22"/>
          <w:szCs w:val="22"/>
        </w:rPr>
      </w:pPr>
      <w:r>
        <w:rPr>
          <w:rFonts w:cs="Arial"/>
          <w:sz w:val="22"/>
          <w:szCs w:val="22"/>
        </w:rPr>
        <w:t>Th</w:t>
      </w:r>
      <w:r w:rsidR="00C57F82">
        <w:rPr>
          <w:rFonts w:cs="Arial"/>
          <w:sz w:val="22"/>
          <w:szCs w:val="22"/>
        </w:rPr>
        <w:t>is</w:t>
      </w:r>
      <w:r>
        <w:rPr>
          <w:rFonts w:cs="Arial"/>
          <w:sz w:val="22"/>
          <w:szCs w:val="22"/>
        </w:rPr>
        <w:t xml:space="preserve"> regulatory analysis adds a fourth g</w:t>
      </w:r>
      <w:r w:rsidRPr="00D839EE" w:rsidR="008D6F24">
        <w:rPr>
          <w:rFonts w:cs="Arial"/>
          <w:sz w:val="22"/>
          <w:szCs w:val="22"/>
        </w:rPr>
        <w:t xml:space="preserve">roup </w:t>
      </w:r>
      <w:r>
        <w:rPr>
          <w:rFonts w:cs="Arial"/>
          <w:sz w:val="22"/>
          <w:szCs w:val="22"/>
        </w:rPr>
        <w:t xml:space="preserve">(Group </w:t>
      </w:r>
      <w:r w:rsidRPr="00D839EE" w:rsidR="008D6F24">
        <w:rPr>
          <w:rFonts w:cs="Arial"/>
          <w:sz w:val="22"/>
          <w:szCs w:val="22"/>
        </w:rPr>
        <w:t>4</w:t>
      </w:r>
      <w:r>
        <w:rPr>
          <w:rFonts w:cs="Arial"/>
          <w:sz w:val="22"/>
          <w:szCs w:val="22"/>
        </w:rPr>
        <w:t>), which</w:t>
      </w:r>
      <w:r w:rsidRPr="00D839EE" w:rsidR="008D6F24">
        <w:rPr>
          <w:rFonts w:cs="Arial"/>
          <w:sz w:val="22"/>
          <w:szCs w:val="22"/>
        </w:rPr>
        <w:t xml:space="preserve"> consists of </w:t>
      </w:r>
      <w:r w:rsidR="008C0701">
        <w:rPr>
          <w:rFonts w:cs="Arial"/>
          <w:sz w:val="22"/>
          <w:szCs w:val="22"/>
        </w:rPr>
        <w:t xml:space="preserve">NIST and </w:t>
      </w:r>
      <w:r w:rsidR="0040587D">
        <w:rPr>
          <w:rFonts w:cs="Arial"/>
          <w:sz w:val="22"/>
          <w:szCs w:val="22"/>
        </w:rPr>
        <w:t>potential</w:t>
      </w:r>
      <w:r>
        <w:rPr>
          <w:rFonts w:cs="Arial"/>
          <w:sz w:val="22"/>
          <w:szCs w:val="22"/>
        </w:rPr>
        <w:t xml:space="preserve"> future </w:t>
      </w:r>
      <w:r w:rsidR="008C0701">
        <w:rPr>
          <w:rFonts w:cs="Arial"/>
          <w:sz w:val="22"/>
          <w:szCs w:val="22"/>
        </w:rPr>
        <w:t xml:space="preserve">operating </w:t>
      </w:r>
      <w:r>
        <w:rPr>
          <w:rFonts w:cs="Arial"/>
          <w:sz w:val="22"/>
          <w:szCs w:val="22"/>
        </w:rPr>
        <w:t>licensees, which</w:t>
      </w:r>
      <w:r w:rsidRPr="00D839EE" w:rsidR="008D6F24">
        <w:rPr>
          <w:rFonts w:cs="Arial"/>
          <w:sz w:val="22"/>
          <w:szCs w:val="22"/>
        </w:rPr>
        <w:t xml:space="preserve"> will</w:t>
      </w:r>
      <w:r>
        <w:rPr>
          <w:rFonts w:cs="Arial"/>
          <w:sz w:val="22"/>
          <w:szCs w:val="22"/>
        </w:rPr>
        <w:t xml:space="preserve"> be subject to</w:t>
      </w:r>
      <w:r w:rsidRPr="00D839EE" w:rsidR="008D6F24">
        <w:rPr>
          <w:rFonts w:cs="Arial"/>
          <w:sz w:val="22"/>
          <w:szCs w:val="22"/>
        </w:rPr>
        <w:t xml:space="preserve"> </w:t>
      </w:r>
      <w:r w:rsidR="008C0701">
        <w:rPr>
          <w:rFonts w:cs="Arial"/>
          <w:sz w:val="22"/>
          <w:szCs w:val="22"/>
        </w:rPr>
        <w:t>recurring</w:t>
      </w:r>
      <w:r>
        <w:rPr>
          <w:rFonts w:cs="Arial"/>
          <w:sz w:val="22"/>
          <w:szCs w:val="22"/>
        </w:rPr>
        <w:t xml:space="preserve"> </w:t>
      </w:r>
      <w:r w:rsidRPr="00D839EE" w:rsidR="008D6F24">
        <w:rPr>
          <w:rFonts w:cs="Arial"/>
          <w:sz w:val="22"/>
          <w:szCs w:val="22"/>
        </w:rPr>
        <w:t>license renewal.</w:t>
      </w:r>
      <w:r w:rsidR="007F023A">
        <w:rPr>
          <w:rFonts w:cs="Arial"/>
          <w:sz w:val="22"/>
          <w:szCs w:val="22"/>
        </w:rPr>
        <w:t xml:space="preserve">  </w:t>
      </w:r>
      <w:r w:rsidRPr="00CF41A7" w:rsidR="00642562">
        <w:rPr>
          <w:rFonts w:cs="Arial"/>
          <w:sz w:val="22"/>
          <w:szCs w:val="22"/>
        </w:rPr>
        <w:fldChar w:fldCharType="begin"/>
      </w:r>
      <w:r w:rsidRPr="00CF41A7" w:rsidR="00642562">
        <w:rPr>
          <w:rFonts w:cs="Arial"/>
          <w:sz w:val="22"/>
          <w:szCs w:val="22"/>
        </w:rPr>
        <w:instrText xml:space="preserve"> REF _Ref534034774 \h </w:instrText>
      </w:r>
      <w:r w:rsidRPr="00B45BB6" w:rsidR="00642562">
        <w:rPr>
          <w:rFonts w:cs="Arial"/>
          <w:sz w:val="22"/>
          <w:szCs w:val="22"/>
        </w:rPr>
        <w:instrText xml:space="preserve"> \* MERGEFORMAT </w:instrText>
      </w:r>
      <w:r w:rsidRPr="00CF41A7" w:rsidR="00642562">
        <w:rPr>
          <w:rFonts w:cs="Arial"/>
          <w:sz w:val="22"/>
          <w:szCs w:val="22"/>
        </w:rPr>
        <w:fldChar w:fldCharType="separate"/>
      </w:r>
      <w:r w:rsidRPr="00977795" w:rsidR="00977795">
        <w:rPr>
          <w:sz w:val="22"/>
          <w:szCs w:val="22"/>
        </w:rPr>
        <w:t>Exhibit 3</w:t>
      </w:r>
      <w:r w:rsidRPr="00977795" w:rsidR="00977795">
        <w:rPr>
          <w:sz w:val="22"/>
          <w:szCs w:val="22"/>
        </w:rPr>
        <w:noBreakHyphen/>
        <w:t>2</w:t>
      </w:r>
      <w:r w:rsidRPr="00CF41A7" w:rsidR="00642562">
        <w:rPr>
          <w:rFonts w:cs="Arial"/>
          <w:sz w:val="22"/>
          <w:szCs w:val="22"/>
        </w:rPr>
        <w:fldChar w:fldCharType="end"/>
      </w:r>
      <w:r w:rsidRPr="00642562" w:rsidR="00642562">
        <w:rPr>
          <w:rFonts w:cs="Arial"/>
          <w:sz w:val="22"/>
          <w:szCs w:val="22"/>
        </w:rPr>
        <w:t xml:space="preserve"> </w:t>
      </w:r>
      <w:r w:rsidRPr="00D839EE" w:rsidR="00BF5AC4">
        <w:rPr>
          <w:rFonts w:cs="Arial"/>
          <w:sz w:val="22"/>
          <w:szCs w:val="22"/>
        </w:rPr>
        <w:t>details the different groupings.</w:t>
      </w:r>
      <w:r w:rsidRPr="00D839EE" w:rsidR="008D6F24">
        <w:rPr>
          <w:rFonts w:cs="Arial"/>
          <w:sz w:val="22"/>
          <w:szCs w:val="22"/>
        </w:rPr>
        <w:t xml:space="preserve"> </w:t>
      </w:r>
      <w:r w:rsidR="008C0701">
        <w:rPr>
          <w:rFonts w:cs="Arial"/>
          <w:sz w:val="22"/>
          <w:szCs w:val="22"/>
        </w:rPr>
        <w:t xml:space="preserve"> </w:t>
      </w:r>
    </w:p>
    <w:p w:rsidR="00334211" w:rsidP="004F1F61" w14:paraId="7F493584" w14:textId="77777777">
      <w:pPr>
        <w:rPr>
          <w:rFonts w:cs="Arial"/>
          <w:sz w:val="22"/>
          <w:szCs w:val="22"/>
        </w:rPr>
      </w:pPr>
    </w:p>
    <w:p w:rsidR="007A2DAA" w:rsidRPr="00D839EE" w:rsidP="004F1F61" w14:paraId="7F493585" w14:textId="77777777">
      <w:pPr>
        <w:rPr>
          <w:rFonts w:cs="Arial"/>
          <w:sz w:val="22"/>
          <w:szCs w:val="22"/>
        </w:rPr>
      </w:pPr>
      <w:r>
        <w:rPr>
          <w:rFonts w:cs="Arial"/>
          <w:sz w:val="22"/>
          <w:szCs w:val="22"/>
        </w:rPr>
        <w:t>All NPUF</w:t>
      </w:r>
      <w:r w:rsidR="00DA7C80">
        <w:rPr>
          <w:rFonts w:cs="Arial"/>
          <w:sz w:val="22"/>
          <w:szCs w:val="22"/>
        </w:rPr>
        <w:t xml:space="preserve"> licensee</w:t>
      </w:r>
      <w:r>
        <w:rPr>
          <w:rFonts w:cs="Arial"/>
          <w:sz w:val="22"/>
          <w:szCs w:val="22"/>
        </w:rPr>
        <w:t xml:space="preserve">s will be required to submit updated FSARs and </w:t>
      </w:r>
      <w:r w:rsidR="00A1220A">
        <w:rPr>
          <w:rFonts w:cs="Arial"/>
          <w:sz w:val="22"/>
          <w:szCs w:val="22"/>
        </w:rPr>
        <w:t xml:space="preserve">then submit </w:t>
      </w:r>
      <w:r>
        <w:rPr>
          <w:rFonts w:cs="Arial"/>
          <w:sz w:val="22"/>
          <w:szCs w:val="22"/>
        </w:rPr>
        <w:t xml:space="preserve">subsequent FSAR updates to the NRC at intervals not to exceed </w:t>
      </w:r>
      <w:r w:rsidR="00323315">
        <w:rPr>
          <w:rFonts w:cs="Arial"/>
          <w:sz w:val="22"/>
          <w:szCs w:val="22"/>
        </w:rPr>
        <w:t>5</w:t>
      </w:r>
      <w:r>
        <w:rPr>
          <w:rFonts w:cs="Arial"/>
          <w:sz w:val="22"/>
          <w:szCs w:val="22"/>
        </w:rPr>
        <w:t xml:space="preserve"> years.</w:t>
      </w:r>
      <w:r w:rsidR="00150575">
        <w:rPr>
          <w:rFonts w:cs="Arial"/>
          <w:sz w:val="22"/>
          <w:szCs w:val="22"/>
        </w:rPr>
        <w:t xml:space="preserve">  For Group 4 licensees, additional updated FSARs will be required to be submitted following subsequent license renewals, which a</w:t>
      </w:r>
      <w:r w:rsidR="0020539E">
        <w:rPr>
          <w:rFonts w:cs="Arial"/>
          <w:sz w:val="22"/>
          <w:szCs w:val="22"/>
        </w:rPr>
        <w:t>re</w:t>
      </w:r>
      <w:r w:rsidR="00150575">
        <w:rPr>
          <w:rFonts w:cs="Arial"/>
          <w:sz w:val="22"/>
          <w:szCs w:val="22"/>
        </w:rPr>
        <w:t xml:space="preserve"> outside the period covered by the regulatory analysis.</w:t>
      </w:r>
    </w:p>
    <w:p w:rsidR="00224A56" w:rsidP="004F1F61" w14:paraId="7F493586" w14:textId="77777777">
      <w:pPr>
        <w:rPr>
          <w:rFonts w:cs="Arial"/>
          <w:sz w:val="22"/>
          <w:szCs w:val="22"/>
        </w:rPr>
      </w:pPr>
    </w:p>
    <w:p w:rsidR="00224A56" w:rsidRPr="00D839EE" w:rsidP="004F1F61" w14:paraId="7F493587" w14:textId="77777777">
      <w:pPr>
        <w:rPr>
          <w:rFonts w:cs="Arial"/>
          <w:sz w:val="22"/>
          <w:szCs w:val="22"/>
        </w:rPr>
      </w:pPr>
      <w:r>
        <w:rPr>
          <w:rFonts w:cs="Arial"/>
          <w:sz w:val="22"/>
          <w:szCs w:val="22"/>
        </w:rPr>
        <w:t xml:space="preserve">The </w:t>
      </w:r>
      <w:r w:rsidRPr="00DB79AE" w:rsidR="0028267B">
        <w:rPr>
          <w:rFonts w:cs="Arial"/>
          <w:sz w:val="22"/>
          <w:szCs w:val="22"/>
        </w:rPr>
        <w:t xml:space="preserve">NRC assumes that each </w:t>
      </w:r>
      <w:r>
        <w:rPr>
          <w:rFonts w:cs="Arial"/>
          <w:sz w:val="22"/>
          <w:szCs w:val="22"/>
        </w:rPr>
        <w:t xml:space="preserve">operating NPUF </w:t>
      </w:r>
      <w:r w:rsidRPr="00DB79AE" w:rsidR="0028267B">
        <w:rPr>
          <w:rFonts w:cs="Arial"/>
          <w:sz w:val="22"/>
          <w:szCs w:val="22"/>
        </w:rPr>
        <w:t xml:space="preserve">licensee will continue </w:t>
      </w:r>
      <w:r w:rsidRPr="00DB79AE">
        <w:rPr>
          <w:rFonts w:cs="Arial"/>
          <w:sz w:val="22"/>
          <w:szCs w:val="22"/>
        </w:rPr>
        <w:t>operating</w:t>
      </w:r>
      <w:r>
        <w:rPr>
          <w:rFonts w:cs="Arial"/>
          <w:sz w:val="22"/>
          <w:szCs w:val="22"/>
        </w:rPr>
        <w:t>.  For the purposes of the analysis, the NRC assumes n</w:t>
      </w:r>
      <w:r w:rsidRPr="00DB79AE" w:rsidR="0028267B">
        <w:rPr>
          <w:rFonts w:cs="Arial"/>
          <w:sz w:val="22"/>
          <w:szCs w:val="22"/>
        </w:rPr>
        <w:t xml:space="preserve">o </w:t>
      </w:r>
      <w:r>
        <w:rPr>
          <w:rFonts w:cs="Arial"/>
          <w:sz w:val="22"/>
          <w:szCs w:val="22"/>
        </w:rPr>
        <w:t xml:space="preserve">currently operating </w:t>
      </w:r>
      <w:r w:rsidRPr="00DB79AE" w:rsidR="0028267B">
        <w:rPr>
          <w:rFonts w:cs="Arial"/>
          <w:sz w:val="22"/>
          <w:szCs w:val="22"/>
        </w:rPr>
        <w:t xml:space="preserve">NPUFs </w:t>
      </w:r>
      <w:r>
        <w:rPr>
          <w:rFonts w:cs="Arial"/>
          <w:sz w:val="22"/>
          <w:szCs w:val="22"/>
        </w:rPr>
        <w:t>will</w:t>
      </w:r>
      <w:r w:rsidRPr="00DB79AE" w:rsidR="0028267B">
        <w:rPr>
          <w:rFonts w:cs="Arial"/>
          <w:sz w:val="22"/>
          <w:szCs w:val="22"/>
        </w:rPr>
        <w:t xml:space="preserve"> enter decommissioni</w:t>
      </w:r>
      <w:r w:rsidR="004E1F6F">
        <w:rPr>
          <w:rFonts w:cs="Arial"/>
          <w:sz w:val="22"/>
          <w:szCs w:val="22"/>
        </w:rPr>
        <w:t>ng</w:t>
      </w:r>
      <w:r>
        <w:rPr>
          <w:rFonts w:cs="Arial"/>
          <w:sz w:val="22"/>
          <w:szCs w:val="22"/>
        </w:rPr>
        <w:t xml:space="preserve"> during the 20-year period of analysis</w:t>
      </w:r>
      <w:r w:rsidR="004E1F6F">
        <w:rPr>
          <w:rFonts w:cs="Arial"/>
          <w:sz w:val="22"/>
          <w:szCs w:val="22"/>
        </w:rPr>
        <w:t>.  See Section 3.6.4</w:t>
      </w:r>
      <w:r w:rsidRPr="00DB79AE" w:rsidR="0028267B">
        <w:rPr>
          <w:rFonts w:cs="Arial"/>
          <w:sz w:val="22"/>
          <w:szCs w:val="22"/>
        </w:rPr>
        <w:t xml:space="preserve"> for a sensitivity analysis on th</w:t>
      </w:r>
      <w:r w:rsidR="004E6588">
        <w:rPr>
          <w:rFonts w:cs="Arial"/>
          <w:sz w:val="22"/>
          <w:szCs w:val="22"/>
        </w:rPr>
        <w:t xml:space="preserve">is </w:t>
      </w:r>
      <w:r w:rsidRPr="00DB79AE" w:rsidR="0028267B">
        <w:rPr>
          <w:rFonts w:cs="Arial"/>
          <w:sz w:val="22"/>
          <w:szCs w:val="22"/>
        </w:rPr>
        <w:t>assumption</w:t>
      </w:r>
      <w:r w:rsidR="00E7693D">
        <w:rPr>
          <w:rFonts w:cs="Arial"/>
          <w:sz w:val="22"/>
          <w:szCs w:val="22"/>
        </w:rPr>
        <w:t xml:space="preserve">.  </w:t>
      </w:r>
    </w:p>
    <w:p w:rsidR="007A2DAA" w:rsidRPr="00D96410" w:rsidP="00282C4C" w14:paraId="7F493588" w14:textId="2044D66E">
      <w:pPr>
        <w:pStyle w:val="Caption"/>
        <w:keepNext/>
        <w:spacing w:after="0"/>
        <w:jc w:val="center"/>
        <w:rPr>
          <w:b/>
          <w:sz w:val="24"/>
        </w:rPr>
      </w:pPr>
      <w:bookmarkStart w:id="84" w:name="_Ref534710985"/>
      <w:bookmarkStart w:id="85" w:name="_Ref534034774"/>
      <w:bookmarkStart w:id="86" w:name="_Toc534037050"/>
      <w:bookmarkStart w:id="87" w:name="_Toc534709837"/>
      <w:bookmarkStart w:id="88" w:name="_Toc534709995"/>
      <w:bookmarkStart w:id="89" w:name="_Toc534711680"/>
      <w:bookmarkStart w:id="90" w:name="_Toc534711927"/>
      <w:bookmarkStart w:id="91" w:name="_Toc534712113"/>
      <w:bookmarkStart w:id="92" w:name="_Toc534712690"/>
      <w:bookmarkStart w:id="93" w:name="_Toc534713199"/>
      <w:bookmarkStart w:id="94" w:name="_Toc9526459"/>
      <w:bookmarkStart w:id="95" w:name="_Toc536603408"/>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2</w:t>
      </w:r>
      <w:r w:rsidRPr="000F7FD1" w:rsidR="00C276FC">
        <w:rPr>
          <w:b/>
          <w:i w:val="0"/>
          <w:color w:val="auto"/>
          <w:sz w:val="22"/>
          <w:szCs w:val="22"/>
        </w:rPr>
        <w:fldChar w:fldCharType="end"/>
      </w:r>
      <w:bookmarkEnd w:id="84"/>
      <w:bookmarkEnd w:id="85"/>
      <w:r w:rsidRPr="00D96410">
        <w:rPr>
          <w:b/>
          <w:i w:val="0"/>
          <w:color w:val="auto"/>
          <w:sz w:val="22"/>
          <w:szCs w:val="20"/>
        </w:rPr>
        <w:t>. List of NPUFs by Implementation Groups</w:t>
      </w:r>
      <w:bookmarkEnd w:id="86"/>
      <w:bookmarkEnd w:id="87"/>
      <w:bookmarkEnd w:id="88"/>
      <w:bookmarkEnd w:id="89"/>
      <w:bookmarkEnd w:id="90"/>
      <w:bookmarkEnd w:id="91"/>
      <w:bookmarkEnd w:id="92"/>
      <w:bookmarkEnd w:id="93"/>
      <w:bookmarkEnd w:id="94"/>
      <w:bookmarkEnd w:id="95"/>
    </w:p>
    <w:tbl>
      <w:tblPr>
        <w:tblStyle w:val="TableGrid"/>
        <w:tblW w:w="9962" w:type="dxa"/>
        <w:jc w:val="center"/>
        <w:tblLook w:val="04A0"/>
      </w:tblPr>
      <w:tblGrid>
        <w:gridCol w:w="2740"/>
        <w:gridCol w:w="2585"/>
        <w:gridCol w:w="2401"/>
        <w:gridCol w:w="2236"/>
      </w:tblGrid>
      <w:tr w14:paraId="7F493591" w14:textId="77777777" w:rsidTr="00D96410">
        <w:tblPrEx>
          <w:tblW w:w="9962" w:type="dxa"/>
          <w:jc w:val="center"/>
          <w:tblLook w:val="04A0"/>
        </w:tblPrEx>
        <w:trPr>
          <w:trHeight w:val="818"/>
          <w:jc w:val="center"/>
        </w:trPr>
        <w:tc>
          <w:tcPr>
            <w:tcW w:w="2602" w:type="dxa"/>
            <w:tcBorders>
              <w:bottom w:val="single" w:sz="4" w:space="0" w:color="auto"/>
            </w:tcBorders>
          </w:tcPr>
          <w:p w:rsidR="00DA612D" w:rsidRPr="004E1F6F" w:rsidP="00A43CE3" w14:paraId="7F493589" w14:textId="77777777">
            <w:pPr>
              <w:keepNext/>
              <w:jc w:val="center"/>
              <w:rPr>
                <w:rFonts w:cs="Arial"/>
                <w:b/>
                <w:color w:val="000000"/>
              </w:rPr>
            </w:pPr>
            <w:r w:rsidRPr="004E1F6F">
              <w:rPr>
                <w:rFonts w:cs="Arial"/>
                <w:b/>
                <w:color w:val="000000"/>
              </w:rPr>
              <w:t>Group 1</w:t>
            </w:r>
          </w:p>
          <w:p w:rsidR="007A2DAA" w:rsidRPr="004E1F6F" w:rsidP="009865E5" w14:paraId="7F49358A" w14:textId="77777777">
            <w:pPr>
              <w:keepNext/>
              <w:jc w:val="center"/>
              <w:rPr>
                <w:b/>
              </w:rPr>
            </w:pPr>
            <w:r w:rsidRPr="00D96410">
              <w:rPr>
                <w:rFonts w:cs="Arial"/>
                <w:b/>
                <w:color w:val="000000"/>
                <w:sz w:val="18"/>
              </w:rPr>
              <w:t xml:space="preserve">Implementation by Order </w:t>
            </w:r>
            <w:r w:rsidRPr="00D96410" w:rsidR="002F30CB">
              <w:rPr>
                <w:rFonts w:cs="Arial"/>
                <w:b/>
                <w:color w:val="000000"/>
                <w:sz w:val="18"/>
              </w:rPr>
              <w:t>(</w:t>
            </w:r>
            <w:r w:rsidRPr="00D96410">
              <w:rPr>
                <w:rFonts w:cs="Arial"/>
                <w:b/>
                <w:color w:val="000000"/>
                <w:sz w:val="18"/>
              </w:rPr>
              <w:t>due 1</w:t>
            </w:r>
            <w:r w:rsidRPr="00D96410" w:rsidR="002F30CB">
              <w:rPr>
                <w:rFonts w:cs="Arial"/>
                <w:b/>
                <w:color w:val="000000"/>
                <w:sz w:val="18"/>
              </w:rPr>
              <w:t>–</w:t>
            </w:r>
            <w:r w:rsidRPr="00D96410" w:rsidR="00BF78A8">
              <w:rPr>
                <w:rFonts w:cs="Arial"/>
                <w:b/>
                <w:color w:val="000000"/>
                <w:sz w:val="18"/>
              </w:rPr>
              <w:t>3</w:t>
            </w:r>
            <w:r w:rsidRPr="00D96410">
              <w:rPr>
                <w:rFonts w:cs="Arial"/>
                <w:b/>
                <w:color w:val="000000"/>
                <w:sz w:val="18"/>
              </w:rPr>
              <w:t xml:space="preserve"> year</w:t>
            </w:r>
            <w:r w:rsidRPr="00D96410" w:rsidR="00BF78A8">
              <w:rPr>
                <w:rFonts w:cs="Arial"/>
                <w:b/>
                <w:color w:val="000000"/>
                <w:sz w:val="18"/>
              </w:rPr>
              <w:t>s</w:t>
            </w:r>
            <w:r w:rsidRPr="00D96410">
              <w:rPr>
                <w:rFonts w:cs="Arial"/>
                <w:b/>
                <w:color w:val="000000"/>
                <w:sz w:val="18"/>
              </w:rPr>
              <w:t xml:space="preserve"> after effective date of rule</w:t>
            </w:r>
            <w:r w:rsidRPr="00D96410" w:rsidR="002F30CB">
              <w:rPr>
                <w:rFonts w:cs="Arial"/>
                <w:b/>
                <w:color w:val="000000"/>
                <w:sz w:val="18"/>
              </w:rPr>
              <w:t>)</w:t>
            </w:r>
          </w:p>
        </w:tc>
        <w:tc>
          <w:tcPr>
            <w:tcW w:w="2601" w:type="dxa"/>
            <w:tcBorders>
              <w:bottom w:val="single" w:sz="4" w:space="0" w:color="auto"/>
            </w:tcBorders>
          </w:tcPr>
          <w:p w:rsidR="00DA612D" w:rsidRPr="004E1F6F" w:rsidP="00A43CE3" w14:paraId="7F49358B" w14:textId="77777777">
            <w:pPr>
              <w:keepNext/>
              <w:jc w:val="center"/>
              <w:rPr>
                <w:rFonts w:cs="Arial"/>
                <w:b/>
                <w:color w:val="000000"/>
              </w:rPr>
            </w:pPr>
            <w:r w:rsidRPr="004E1F6F">
              <w:rPr>
                <w:rFonts w:cs="Arial"/>
                <w:b/>
                <w:color w:val="000000"/>
              </w:rPr>
              <w:t>Group 2</w:t>
            </w:r>
          </w:p>
          <w:p w:rsidR="007A2DAA" w:rsidRPr="004E1F6F" w:rsidP="00A43CE3" w14:paraId="7F49358C" w14:textId="77777777">
            <w:pPr>
              <w:keepNext/>
              <w:jc w:val="center"/>
              <w:rPr>
                <w:b/>
              </w:rPr>
            </w:pPr>
            <w:r w:rsidRPr="00D96410">
              <w:rPr>
                <w:rFonts w:cs="Arial"/>
                <w:b/>
                <w:color w:val="000000"/>
                <w:sz w:val="18"/>
              </w:rPr>
              <w:t xml:space="preserve">Implementation by Order </w:t>
            </w:r>
            <w:r w:rsidRPr="00D96410" w:rsidR="002F30CB">
              <w:rPr>
                <w:rFonts w:cs="Arial"/>
                <w:b/>
                <w:color w:val="000000"/>
                <w:sz w:val="18"/>
              </w:rPr>
              <w:t>(</w:t>
            </w:r>
            <w:r w:rsidRPr="00D96410">
              <w:rPr>
                <w:rFonts w:cs="Arial"/>
                <w:b/>
                <w:color w:val="000000"/>
                <w:sz w:val="18"/>
              </w:rPr>
              <w:t>due 2</w:t>
            </w:r>
            <w:r w:rsidRPr="00D96410" w:rsidR="002F30CB">
              <w:rPr>
                <w:rFonts w:cs="Arial"/>
                <w:b/>
                <w:color w:val="000000"/>
                <w:sz w:val="18"/>
              </w:rPr>
              <w:t>–</w:t>
            </w:r>
            <w:r w:rsidRPr="00D96410" w:rsidR="00BF78A8">
              <w:rPr>
                <w:rFonts w:cs="Arial"/>
                <w:b/>
                <w:color w:val="000000"/>
                <w:sz w:val="18"/>
              </w:rPr>
              <w:t>5</w:t>
            </w:r>
            <w:r w:rsidRPr="00D96410">
              <w:rPr>
                <w:rFonts w:cs="Arial"/>
                <w:b/>
                <w:color w:val="000000"/>
                <w:sz w:val="18"/>
              </w:rPr>
              <w:t xml:space="preserve"> years after effective date of rule</w:t>
            </w:r>
            <w:r w:rsidRPr="00D96410" w:rsidR="002F30CB">
              <w:rPr>
                <w:rFonts w:cs="Arial"/>
                <w:b/>
                <w:color w:val="000000"/>
                <w:sz w:val="18"/>
              </w:rPr>
              <w:t>)</w:t>
            </w:r>
          </w:p>
        </w:tc>
        <w:tc>
          <w:tcPr>
            <w:tcW w:w="2424" w:type="dxa"/>
            <w:tcBorders>
              <w:bottom w:val="single" w:sz="4" w:space="0" w:color="auto"/>
            </w:tcBorders>
          </w:tcPr>
          <w:p w:rsidR="00DA612D" w:rsidRPr="004E1F6F" w:rsidP="00A43CE3" w14:paraId="7F49358D" w14:textId="77777777">
            <w:pPr>
              <w:keepNext/>
              <w:jc w:val="center"/>
              <w:rPr>
                <w:rFonts w:cs="Arial"/>
                <w:b/>
                <w:color w:val="000000"/>
              </w:rPr>
            </w:pPr>
            <w:r w:rsidRPr="004E1F6F">
              <w:rPr>
                <w:rFonts w:cs="Arial"/>
                <w:b/>
                <w:color w:val="000000"/>
              </w:rPr>
              <w:t>Group 3</w:t>
            </w:r>
          </w:p>
          <w:p w:rsidR="007A2DAA" w:rsidRPr="004E1F6F" w:rsidP="00A43CE3" w14:paraId="7F49358E" w14:textId="77777777">
            <w:pPr>
              <w:keepNext/>
              <w:jc w:val="center"/>
              <w:rPr>
                <w:b/>
              </w:rPr>
            </w:pPr>
            <w:r w:rsidRPr="00D96410">
              <w:rPr>
                <w:rFonts w:cs="Arial"/>
                <w:b/>
                <w:color w:val="000000"/>
                <w:sz w:val="18"/>
              </w:rPr>
              <w:t>Implementation by License Renewal</w:t>
            </w:r>
          </w:p>
        </w:tc>
        <w:tc>
          <w:tcPr>
            <w:tcW w:w="2335" w:type="dxa"/>
            <w:tcBorders>
              <w:bottom w:val="single" w:sz="4" w:space="0" w:color="auto"/>
            </w:tcBorders>
          </w:tcPr>
          <w:p w:rsidR="00DA612D" w:rsidRPr="004E1F6F" w:rsidP="00A43CE3" w14:paraId="7F49358F" w14:textId="77777777">
            <w:pPr>
              <w:keepNext/>
              <w:jc w:val="center"/>
              <w:rPr>
                <w:rFonts w:cs="Arial"/>
                <w:b/>
                <w:color w:val="000000"/>
              </w:rPr>
            </w:pPr>
            <w:r w:rsidRPr="004E1F6F">
              <w:rPr>
                <w:rFonts w:cs="Arial"/>
                <w:b/>
                <w:color w:val="000000"/>
              </w:rPr>
              <w:t>Group 4</w:t>
            </w:r>
            <w:r w:rsidRPr="004E1F6F" w:rsidR="00520C24">
              <w:rPr>
                <w:rFonts w:cs="Arial"/>
                <w:b/>
                <w:color w:val="000000"/>
              </w:rPr>
              <w:t>**</w:t>
            </w:r>
          </w:p>
          <w:p w:rsidR="007A2DAA" w:rsidRPr="004E1F6F" w:rsidP="0083525A" w14:paraId="7F493590" w14:textId="77777777">
            <w:pPr>
              <w:pStyle w:val="Heading8"/>
            </w:pPr>
            <w:r w:rsidRPr="00D96410">
              <w:rPr>
                <w:sz w:val="18"/>
              </w:rPr>
              <w:t xml:space="preserve">Fixed </w:t>
            </w:r>
            <w:r w:rsidRPr="00D96410">
              <w:rPr>
                <w:sz w:val="18"/>
              </w:rPr>
              <w:t>License</w:t>
            </w:r>
            <w:r w:rsidRPr="00D96410">
              <w:rPr>
                <w:sz w:val="18"/>
              </w:rPr>
              <w:t xml:space="preserve"> Terms</w:t>
            </w:r>
          </w:p>
        </w:tc>
      </w:tr>
      <w:tr w14:paraId="7F493596" w14:textId="77777777" w:rsidTr="002566F6">
        <w:tblPrEx>
          <w:tblW w:w="9962" w:type="dxa"/>
          <w:jc w:val="center"/>
          <w:tblLook w:val="04A0"/>
        </w:tblPrEx>
        <w:trPr>
          <w:trHeight w:hRule="exact" w:val="757"/>
          <w:jc w:val="center"/>
        </w:trPr>
        <w:tc>
          <w:tcPr>
            <w:tcW w:w="3168" w:type="dxa"/>
            <w:tcBorders>
              <w:bottom w:val="nil"/>
            </w:tcBorders>
          </w:tcPr>
          <w:p w:rsidR="007A2DAA" w:rsidRPr="002566F6" w:rsidP="00EA499B" w14:paraId="7F493592" w14:textId="77777777">
            <w:pPr>
              <w:keepNext/>
              <w:jc w:val="center"/>
              <w:rPr>
                <w:rFonts w:cs="Arial"/>
                <w:b/>
                <w:sz w:val="18"/>
                <w:szCs w:val="18"/>
              </w:rPr>
            </w:pPr>
            <w:r>
              <w:rPr>
                <w:rFonts w:cs="Arial"/>
                <w:color w:val="000000"/>
                <w:sz w:val="18"/>
                <w:szCs w:val="18"/>
              </w:rPr>
              <w:t>UC</w:t>
            </w:r>
            <w:r w:rsidRPr="002566F6" w:rsidR="00F30027">
              <w:rPr>
                <w:rFonts w:cs="Arial"/>
                <w:color w:val="000000"/>
                <w:sz w:val="18"/>
                <w:szCs w:val="18"/>
              </w:rPr>
              <w:t>/</w:t>
            </w:r>
            <w:r w:rsidRPr="002566F6">
              <w:rPr>
                <w:rFonts w:cs="Arial"/>
                <w:color w:val="000000"/>
                <w:sz w:val="18"/>
                <w:szCs w:val="18"/>
              </w:rPr>
              <w:t>Irvin</w:t>
            </w:r>
            <w:r w:rsidRPr="002566F6" w:rsidR="002A2FCA">
              <w:rPr>
                <w:rFonts w:cs="Arial"/>
                <w:color w:val="000000"/>
                <w:sz w:val="18"/>
                <w:szCs w:val="18"/>
              </w:rPr>
              <w:t>e</w:t>
            </w:r>
          </w:p>
        </w:tc>
        <w:tc>
          <w:tcPr>
            <w:tcW w:w="3168" w:type="dxa"/>
            <w:tcBorders>
              <w:bottom w:val="nil"/>
            </w:tcBorders>
          </w:tcPr>
          <w:p w:rsidR="007A2DAA" w:rsidRPr="002566F6" w:rsidP="00EA499B" w14:paraId="7F493593" w14:textId="77777777">
            <w:pPr>
              <w:keepNext/>
              <w:jc w:val="center"/>
              <w:rPr>
                <w:rFonts w:cs="Arial"/>
                <w:b/>
                <w:sz w:val="18"/>
                <w:szCs w:val="18"/>
              </w:rPr>
            </w:pPr>
            <w:r w:rsidRPr="002566F6">
              <w:rPr>
                <w:rFonts w:cs="Arial"/>
                <w:color w:val="000000"/>
                <w:sz w:val="18"/>
                <w:szCs w:val="18"/>
              </w:rPr>
              <w:t>Idaho State University</w:t>
            </w:r>
          </w:p>
        </w:tc>
        <w:tc>
          <w:tcPr>
            <w:tcW w:w="2880" w:type="dxa"/>
            <w:tcBorders>
              <w:bottom w:val="nil"/>
            </w:tcBorders>
          </w:tcPr>
          <w:p w:rsidR="007A2DAA" w:rsidRPr="002566F6" w:rsidP="002566F6" w14:paraId="7F493594" w14:textId="77777777">
            <w:pPr>
              <w:keepNext/>
              <w:jc w:val="center"/>
              <w:rPr>
                <w:rFonts w:cs="Arial"/>
                <w:b/>
                <w:sz w:val="18"/>
                <w:szCs w:val="18"/>
              </w:rPr>
            </w:pPr>
            <w:r w:rsidRPr="002566F6">
              <w:rPr>
                <w:rFonts w:cs="Arial"/>
                <w:color w:val="000000"/>
                <w:sz w:val="18"/>
                <w:szCs w:val="18"/>
              </w:rPr>
              <w:t>Aerotest</w:t>
            </w:r>
          </w:p>
        </w:tc>
        <w:tc>
          <w:tcPr>
            <w:tcW w:w="2880" w:type="dxa"/>
            <w:tcBorders>
              <w:bottom w:val="nil"/>
            </w:tcBorders>
          </w:tcPr>
          <w:p w:rsidR="007A2DAA" w:rsidRPr="002566F6" w:rsidP="000F7631" w14:paraId="7F493595" w14:textId="77777777">
            <w:pPr>
              <w:keepNext/>
              <w:jc w:val="center"/>
              <w:rPr>
                <w:rFonts w:cs="Arial"/>
                <w:b/>
                <w:sz w:val="18"/>
                <w:szCs w:val="18"/>
              </w:rPr>
            </w:pPr>
            <w:r w:rsidRPr="002566F6">
              <w:rPr>
                <w:rFonts w:cs="Arial"/>
                <w:color w:val="000000"/>
                <w:sz w:val="18"/>
                <w:szCs w:val="18"/>
              </w:rPr>
              <w:t>SHINE</w:t>
            </w:r>
            <w:r w:rsidRPr="002566F6" w:rsidR="00452164">
              <w:rPr>
                <w:rFonts w:cs="Arial"/>
                <w:color w:val="000000"/>
                <w:sz w:val="18"/>
                <w:szCs w:val="18"/>
              </w:rPr>
              <w:t>*</w:t>
            </w:r>
            <w:r w:rsidRPr="002566F6" w:rsidR="00224A56">
              <w:rPr>
                <w:rFonts w:cs="Arial"/>
                <w:color w:val="000000"/>
                <w:sz w:val="18"/>
                <w:szCs w:val="18"/>
              </w:rPr>
              <w:t>*</w:t>
            </w:r>
          </w:p>
        </w:tc>
      </w:tr>
      <w:tr w14:paraId="7F49359B" w14:textId="77777777" w:rsidTr="00346B95">
        <w:tblPrEx>
          <w:tblW w:w="9962" w:type="dxa"/>
          <w:jc w:val="center"/>
          <w:tblLook w:val="04A0"/>
        </w:tblPrEx>
        <w:trPr>
          <w:trHeight w:hRule="exact" w:val="720"/>
          <w:jc w:val="center"/>
        </w:trPr>
        <w:tc>
          <w:tcPr>
            <w:tcW w:w="2602" w:type="dxa"/>
            <w:tcBorders>
              <w:top w:val="nil"/>
              <w:bottom w:val="nil"/>
            </w:tcBorders>
          </w:tcPr>
          <w:p w:rsidR="00EA499B" w:rsidRPr="002566F6" w:rsidP="00A43CE3" w14:paraId="7F493597" w14:textId="77777777">
            <w:pPr>
              <w:keepNext/>
              <w:jc w:val="center"/>
              <w:rPr>
                <w:rFonts w:cs="Arial"/>
                <w:b/>
                <w:sz w:val="18"/>
                <w:szCs w:val="18"/>
              </w:rPr>
            </w:pPr>
            <w:r w:rsidRPr="002566F6">
              <w:rPr>
                <w:rFonts w:cs="Arial"/>
                <w:color w:val="000000"/>
                <w:sz w:val="18"/>
                <w:szCs w:val="18"/>
              </w:rPr>
              <w:t>U.S. Geological Survey</w:t>
            </w:r>
          </w:p>
        </w:tc>
        <w:tc>
          <w:tcPr>
            <w:tcW w:w="2601" w:type="dxa"/>
            <w:tcBorders>
              <w:top w:val="nil"/>
              <w:bottom w:val="nil"/>
            </w:tcBorders>
          </w:tcPr>
          <w:p w:rsidR="00EA499B" w:rsidRPr="002566F6" w:rsidP="00EA499B" w14:paraId="7F493598" w14:textId="77777777">
            <w:pPr>
              <w:keepNext/>
              <w:jc w:val="center"/>
              <w:rPr>
                <w:rFonts w:cs="Arial"/>
                <w:b/>
                <w:sz w:val="18"/>
                <w:szCs w:val="18"/>
              </w:rPr>
            </w:pPr>
            <w:r w:rsidRPr="002566F6">
              <w:rPr>
                <w:rFonts w:cs="Arial"/>
                <w:color w:val="000000"/>
                <w:sz w:val="18"/>
                <w:szCs w:val="18"/>
              </w:rPr>
              <w:t>Kansas State University</w:t>
            </w:r>
          </w:p>
        </w:tc>
        <w:tc>
          <w:tcPr>
            <w:tcW w:w="2424" w:type="dxa"/>
            <w:tcBorders>
              <w:top w:val="nil"/>
              <w:bottom w:val="nil"/>
            </w:tcBorders>
          </w:tcPr>
          <w:p w:rsidR="00EA499B" w:rsidRPr="002566F6" w:rsidP="00EA499B" w14:paraId="7F493599" w14:textId="77777777">
            <w:pPr>
              <w:keepNext/>
              <w:jc w:val="center"/>
              <w:rPr>
                <w:rFonts w:cs="Arial"/>
                <w:b/>
                <w:sz w:val="18"/>
                <w:szCs w:val="18"/>
              </w:rPr>
            </w:pPr>
            <w:r>
              <w:rPr>
                <w:rFonts w:cs="Arial"/>
                <w:color w:val="000000"/>
                <w:sz w:val="18"/>
                <w:szCs w:val="18"/>
              </w:rPr>
              <w:t>UC</w:t>
            </w:r>
            <w:r w:rsidRPr="002566F6" w:rsidR="002C10E0">
              <w:rPr>
                <w:rFonts w:cs="Arial"/>
                <w:color w:val="000000"/>
                <w:sz w:val="18"/>
                <w:szCs w:val="18"/>
              </w:rPr>
              <w:t>/</w:t>
            </w:r>
            <w:r w:rsidRPr="002566F6">
              <w:rPr>
                <w:rFonts w:cs="Arial"/>
                <w:color w:val="000000"/>
                <w:sz w:val="18"/>
                <w:szCs w:val="18"/>
              </w:rPr>
              <w:t>Davis</w:t>
            </w:r>
          </w:p>
        </w:tc>
        <w:tc>
          <w:tcPr>
            <w:tcW w:w="2335" w:type="dxa"/>
            <w:tcBorders>
              <w:top w:val="nil"/>
              <w:bottom w:val="nil"/>
            </w:tcBorders>
          </w:tcPr>
          <w:p w:rsidR="00EA499B" w:rsidRPr="002566F6" w:rsidP="000F7631" w14:paraId="7F49359A" w14:textId="3CD198C7">
            <w:pPr>
              <w:keepNext/>
              <w:jc w:val="center"/>
              <w:rPr>
                <w:rFonts w:cs="Arial"/>
                <w:b/>
                <w:sz w:val="18"/>
                <w:szCs w:val="18"/>
              </w:rPr>
            </w:pPr>
            <w:r w:rsidRPr="002566F6">
              <w:rPr>
                <w:rFonts w:cs="Arial"/>
                <w:color w:val="000000"/>
                <w:sz w:val="18"/>
                <w:szCs w:val="18"/>
              </w:rPr>
              <w:t>NWMI</w:t>
            </w:r>
            <w:r w:rsidRPr="002566F6" w:rsidR="00452164">
              <w:rPr>
                <w:rFonts w:cs="Arial"/>
                <w:color w:val="000000"/>
                <w:sz w:val="18"/>
                <w:szCs w:val="18"/>
              </w:rPr>
              <w:t>*</w:t>
            </w:r>
            <w:r w:rsidRPr="002566F6" w:rsidR="00224A56">
              <w:rPr>
                <w:rFonts w:cs="Arial"/>
                <w:color w:val="000000"/>
                <w:sz w:val="18"/>
                <w:szCs w:val="18"/>
              </w:rPr>
              <w:t>*</w:t>
            </w:r>
          </w:p>
        </w:tc>
      </w:tr>
      <w:tr w14:paraId="7F4935A0" w14:textId="77777777" w:rsidTr="00EB27CD">
        <w:tblPrEx>
          <w:tblW w:w="9962" w:type="dxa"/>
          <w:jc w:val="center"/>
          <w:tblLook w:val="04A0"/>
        </w:tblPrEx>
        <w:trPr>
          <w:trHeight w:hRule="exact" w:val="621"/>
          <w:jc w:val="center"/>
        </w:trPr>
        <w:tc>
          <w:tcPr>
            <w:tcW w:w="3168" w:type="dxa"/>
            <w:tcBorders>
              <w:top w:val="nil"/>
              <w:bottom w:val="nil"/>
            </w:tcBorders>
          </w:tcPr>
          <w:p w:rsidR="00EA499B" w:rsidRPr="002566F6" w:rsidP="00EA499B" w14:paraId="7F49359C" w14:textId="77777777">
            <w:pPr>
              <w:keepNext/>
              <w:jc w:val="center"/>
              <w:rPr>
                <w:rFonts w:cs="Arial"/>
                <w:b/>
                <w:sz w:val="18"/>
                <w:szCs w:val="18"/>
              </w:rPr>
            </w:pPr>
            <w:r w:rsidRPr="002566F6">
              <w:rPr>
                <w:rFonts w:cs="Arial"/>
                <w:color w:val="000000"/>
                <w:sz w:val="18"/>
                <w:szCs w:val="18"/>
              </w:rPr>
              <w:t>Purdue University</w:t>
            </w:r>
          </w:p>
        </w:tc>
        <w:tc>
          <w:tcPr>
            <w:tcW w:w="3168" w:type="dxa"/>
            <w:tcBorders>
              <w:top w:val="nil"/>
              <w:bottom w:val="nil"/>
            </w:tcBorders>
          </w:tcPr>
          <w:p w:rsidR="00EA499B" w:rsidRPr="002566F6" w:rsidP="00EA499B" w14:paraId="7F49359D" w14:textId="77777777">
            <w:pPr>
              <w:keepNext/>
              <w:jc w:val="center"/>
              <w:rPr>
                <w:rFonts w:cs="Arial"/>
                <w:b/>
                <w:sz w:val="18"/>
                <w:szCs w:val="18"/>
              </w:rPr>
            </w:pPr>
            <w:r w:rsidRPr="002566F6">
              <w:rPr>
                <w:rFonts w:cs="Arial"/>
                <w:color w:val="000000"/>
                <w:sz w:val="18"/>
                <w:szCs w:val="18"/>
              </w:rPr>
              <w:t>Ohio State University</w:t>
            </w:r>
          </w:p>
        </w:tc>
        <w:tc>
          <w:tcPr>
            <w:tcW w:w="2880" w:type="dxa"/>
            <w:tcBorders>
              <w:top w:val="nil"/>
              <w:bottom w:val="nil"/>
            </w:tcBorders>
          </w:tcPr>
          <w:p w:rsidR="00EA499B" w:rsidRPr="002566F6" w:rsidP="00A43CE3" w14:paraId="7F49359E" w14:textId="77777777">
            <w:pPr>
              <w:keepNext/>
              <w:jc w:val="center"/>
              <w:rPr>
                <w:rFonts w:cs="Arial"/>
                <w:b/>
                <w:sz w:val="18"/>
                <w:szCs w:val="18"/>
              </w:rPr>
            </w:pPr>
            <w:r w:rsidRPr="002566F6">
              <w:rPr>
                <w:rFonts w:cs="Arial"/>
                <w:color w:val="000000"/>
                <w:sz w:val="18"/>
                <w:szCs w:val="18"/>
              </w:rPr>
              <w:t>GE-Hitachi</w:t>
            </w:r>
          </w:p>
        </w:tc>
        <w:tc>
          <w:tcPr>
            <w:tcW w:w="2880" w:type="dxa"/>
            <w:tcBorders>
              <w:top w:val="nil"/>
              <w:bottom w:val="nil"/>
            </w:tcBorders>
          </w:tcPr>
          <w:p w:rsidR="00EA499B" w:rsidRPr="002566F6" w:rsidP="000F7631" w14:paraId="7F49359F" w14:textId="77777777">
            <w:pPr>
              <w:keepNext/>
              <w:jc w:val="center"/>
              <w:rPr>
                <w:rFonts w:cs="Arial"/>
                <w:b/>
                <w:sz w:val="18"/>
                <w:szCs w:val="18"/>
              </w:rPr>
            </w:pPr>
            <w:r w:rsidRPr="002566F6">
              <w:rPr>
                <w:rFonts w:cs="Arial"/>
                <w:color w:val="000000"/>
                <w:sz w:val="18"/>
                <w:szCs w:val="18"/>
              </w:rPr>
              <w:t> </w:t>
            </w:r>
            <w:r w:rsidRPr="002566F6" w:rsidR="001B5CCD">
              <w:rPr>
                <w:rFonts w:cs="Arial"/>
                <w:color w:val="000000"/>
                <w:sz w:val="18"/>
                <w:szCs w:val="18"/>
              </w:rPr>
              <w:t>NIST</w:t>
            </w:r>
            <w:r w:rsidRPr="002566F6" w:rsidR="00452164">
              <w:rPr>
                <w:rFonts w:cs="Arial"/>
                <w:color w:val="000000"/>
                <w:sz w:val="18"/>
                <w:szCs w:val="18"/>
              </w:rPr>
              <w:t>**</w:t>
            </w:r>
            <w:r w:rsidRPr="002566F6" w:rsidR="00520C24">
              <w:rPr>
                <w:rFonts w:cs="Arial"/>
                <w:color w:val="000000"/>
                <w:sz w:val="18"/>
                <w:szCs w:val="18"/>
              </w:rPr>
              <w:t>*</w:t>
            </w:r>
          </w:p>
        </w:tc>
      </w:tr>
      <w:tr w14:paraId="7F4935A5" w14:textId="77777777" w:rsidTr="002566F6">
        <w:tblPrEx>
          <w:tblW w:w="9962" w:type="dxa"/>
          <w:jc w:val="center"/>
          <w:tblLook w:val="04A0"/>
        </w:tblPrEx>
        <w:trPr>
          <w:trHeight w:hRule="exact" w:val="540"/>
          <w:jc w:val="center"/>
        </w:trPr>
        <w:tc>
          <w:tcPr>
            <w:tcW w:w="2602" w:type="dxa"/>
            <w:tcBorders>
              <w:top w:val="nil"/>
              <w:bottom w:val="nil"/>
            </w:tcBorders>
          </w:tcPr>
          <w:p w:rsidR="00EA499B" w:rsidRPr="002566F6" w:rsidP="00A43CE3" w14:paraId="7F4935A1" w14:textId="77777777">
            <w:pPr>
              <w:keepNext/>
              <w:jc w:val="center"/>
              <w:rPr>
                <w:rFonts w:cs="Arial"/>
                <w:b/>
                <w:sz w:val="18"/>
                <w:szCs w:val="18"/>
              </w:rPr>
            </w:pPr>
            <w:r w:rsidRPr="002566F6">
              <w:rPr>
                <w:rFonts w:cs="Arial"/>
                <w:color w:val="000000"/>
                <w:sz w:val="18"/>
                <w:szCs w:val="18"/>
              </w:rPr>
              <w:t>Armed Forces Radiobiology Research Institute</w:t>
            </w:r>
          </w:p>
        </w:tc>
        <w:tc>
          <w:tcPr>
            <w:tcW w:w="2601" w:type="dxa"/>
            <w:tcBorders>
              <w:top w:val="nil"/>
              <w:bottom w:val="nil"/>
            </w:tcBorders>
          </w:tcPr>
          <w:p w:rsidR="00EA499B" w:rsidRPr="002566F6" w:rsidP="00A43CE3" w14:paraId="7F4935A2" w14:textId="77777777">
            <w:pPr>
              <w:keepNext/>
              <w:jc w:val="center"/>
              <w:rPr>
                <w:rFonts w:cs="Arial"/>
                <w:b/>
                <w:sz w:val="18"/>
                <w:szCs w:val="18"/>
              </w:rPr>
            </w:pPr>
            <w:r w:rsidRPr="002566F6">
              <w:rPr>
                <w:rFonts w:cs="Arial"/>
                <w:color w:val="000000"/>
                <w:sz w:val="18"/>
                <w:szCs w:val="18"/>
              </w:rPr>
              <w:t>Oregon State University</w:t>
            </w:r>
          </w:p>
        </w:tc>
        <w:tc>
          <w:tcPr>
            <w:tcW w:w="2424" w:type="dxa"/>
            <w:tcBorders>
              <w:top w:val="nil"/>
              <w:bottom w:val="nil"/>
            </w:tcBorders>
          </w:tcPr>
          <w:p w:rsidR="00EA499B" w:rsidRPr="002566F6" w:rsidP="000F7631" w14:paraId="7F4935A3" w14:textId="77777777">
            <w:pPr>
              <w:keepNext/>
              <w:jc w:val="center"/>
              <w:rPr>
                <w:rFonts w:cs="Arial"/>
                <w:b/>
                <w:sz w:val="18"/>
                <w:szCs w:val="18"/>
              </w:rPr>
            </w:pPr>
            <w:r w:rsidRPr="002566F6">
              <w:rPr>
                <w:rFonts w:cs="Arial"/>
                <w:color w:val="000000"/>
                <w:sz w:val="18"/>
                <w:szCs w:val="18"/>
              </w:rPr>
              <w:t>TAMU</w:t>
            </w:r>
            <w:r w:rsidR="00517EAA">
              <w:rPr>
                <w:rFonts w:cs="Arial"/>
                <w:color w:val="000000"/>
                <w:sz w:val="18"/>
                <w:szCs w:val="18"/>
              </w:rPr>
              <w:t xml:space="preserve"> </w:t>
            </w:r>
            <w:r w:rsidRPr="002566F6">
              <w:rPr>
                <w:rFonts w:cs="Arial"/>
                <w:color w:val="000000"/>
                <w:sz w:val="18"/>
                <w:szCs w:val="18"/>
              </w:rPr>
              <w:t>(A)</w:t>
            </w:r>
            <w:r w:rsidRPr="002566F6" w:rsidR="00FA1D4B">
              <w:rPr>
                <w:rFonts w:cs="Arial"/>
                <w:color w:val="000000"/>
                <w:sz w:val="18"/>
                <w:szCs w:val="18"/>
              </w:rPr>
              <w:t>*</w:t>
            </w:r>
          </w:p>
        </w:tc>
        <w:tc>
          <w:tcPr>
            <w:tcW w:w="2335" w:type="dxa"/>
            <w:tcBorders>
              <w:top w:val="nil"/>
              <w:bottom w:val="nil"/>
            </w:tcBorders>
          </w:tcPr>
          <w:p w:rsidR="00EA499B" w:rsidRPr="002566F6" w:rsidP="00EA499B" w14:paraId="7F4935A4" w14:textId="77777777">
            <w:pPr>
              <w:keepNext/>
              <w:jc w:val="center"/>
              <w:rPr>
                <w:rFonts w:cs="Arial"/>
                <w:b/>
                <w:sz w:val="18"/>
                <w:szCs w:val="18"/>
              </w:rPr>
            </w:pPr>
          </w:p>
        </w:tc>
      </w:tr>
      <w:tr w14:paraId="7F4935AC" w14:textId="77777777" w:rsidTr="002566F6">
        <w:tblPrEx>
          <w:tblW w:w="9962" w:type="dxa"/>
          <w:jc w:val="center"/>
          <w:tblLook w:val="04A0"/>
        </w:tblPrEx>
        <w:trPr>
          <w:trHeight w:hRule="exact" w:val="630"/>
          <w:jc w:val="center"/>
        </w:trPr>
        <w:tc>
          <w:tcPr>
            <w:tcW w:w="3168" w:type="dxa"/>
            <w:tcBorders>
              <w:top w:val="nil"/>
              <w:bottom w:val="nil"/>
            </w:tcBorders>
          </w:tcPr>
          <w:p w:rsidR="003E1104" w:rsidRPr="002566F6" w:rsidP="00EA499B" w14:paraId="7F4935A7" w14:textId="77777777">
            <w:pPr>
              <w:keepNext/>
              <w:jc w:val="center"/>
              <w:rPr>
                <w:rFonts w:cs="Arial"/>
                <w:b/>
                <w:sz w:val="18"/>
                <w:szCs w:val="18"/>
              </w:rPr>
            </w:pPr>
            <w:r w:rsidRPr="002566F6">
              <w:rPr>
                <w:rFonts w:cs="Arial"/>
                <w:color w:val="000000"/>
                <w:sz w:val="18"/>
                <w:szCs w:val="18"/>
              </w:rPr>
              <w:t>University of Maryland</w:t>
            </w:r>
          </w:p>
        </w:tc>
        <w:tc>
          <w:tcPr>
            <w:tcW w:w="3168" w:type="dxa"/>
            <w:tcBorders>
              <w:top w:val="nil"/>
              <w:bottom w:val="nil"/>
            </w:tcBorders>
          </w:tcPr>
          <w:p w:rsidR="003E1104" w:rsidRPr="002566F6" w:rsidP="00EA499B" w14:paraId="7F4935A9" w14:textId="77777777">
            <w:pPr>
              <w:keepNext/>
              <w:jc w:val="center"/>
              <w:rPr>
                <w:rFonts w:cs="Arial"/>
                <w:b/>
                <w:sz w:val="18"/>
                <w:szCs w:val="18"/>
              </w:rPr>
            </w:pPr>
            <w:r w:rsidRPr="002566F6">
              <w:rPr>
                <w:rFonts w:cs="Arial"/>
                <w:color w:val="000000"/>
                <w:sz w:val="18"/>
                <w:szCs w:val="18"/>
              </w:rPr>
              <w:t>Missouri University of Science and Technology</w:t>
            </w:r>
          </w:p>
        </w:tc>
        <w:tc>
          <w:tcPr>
            <w:tcW w:w="2880" w:type="dxa"/>
            <w:tcBorders>
              <w:top w:val="nil"/>
              <w:bottom w:val="nil"/>
            </w:tcBorders>
          </w:tcPr>
          <w:p w:rsidR="003E1104" w:rsidRPr="002566F6" w:rsidP="00EA499B" w14:paraId="7F4935AA" w14:textId="77777777">
            <w:pPr>
              <w:keepNext/>
              <w:jc w:val="center"/>
              <w:rPr>
                <w:rFonts w:cs="Arial"/>
                <w:b/>
                <w:sz w:val="18"/>
                <w:szCs w:val="18"/>
              </w:rPr>
            </w:pPr>
          </w:p>
        </w:tc>
        <w:tc>
          <w:tcPr>
            <w:tcW w:w="2880" w:type="dxa"/>
            <w:tcBorders>
              <w:top w:val="nil"/>
              <w:bottom w:val="nil"/>
            </w:tcBorders>
          </w:tcPr>
          <w:p w:rsidR="003E1104" w:rsidRPr="002566F6" w:rsidP="00A43CE3" w14:paraId="7F4935AB" w14:textId="77777777">
            <w:pPr>
              <w:keepNext/>
              <w:jc w:val="center"/>
              <w:rPr>
                <w:rFonts w:cs="Arial"/>
                <w:b/>
                <w:sz w:val="18"/>
                <w:szCs w:val="18"/>
              </w:rPr>
            </w:pPr>
          </w:p>
        </w:tc>
      </w:tr>
      <w:tr w14:paraId="7F4935B3" w14:textId="77777777" w:rsidTr="002566F6">
        <w:tblPrEx>
          <w:tblW w:w="9962" w:type="dxa"/>
          <w:jc w:val="center"/>
          <w:tblLook w:val="04A0"/>
        </w:tblPrEx>
        <w:trPr>
          <w:trHeight w:hRule="exact" w:val="729"/>
          <w:jc w:val="center"/>
        </w:trPr>
        <w:tc>
          <w:tcPr>
            <w:tcW w:w="3168" w:type="dxa"/>
            <w:tcBorders>
              <w:top w:val="nil"/>
              <w:bottom w:val="nil"/>
            </w:tcBorders>
          </w:tcPr>
          <w:p w:rsidR="003E1104" w:rsidRPr="002566F6" w:rsidP="00EA499B" w14:paraId="7F4935AE" w14:textId="77777777">
            <w:pPr>
              <w:keepNext/>
              <w:jc w:val="center"/>
              <w:rPr>
                <w:rFonts w:cs="Arial"/>
                <w:b/>
                <w:sz w:val="18"/>
                <w:szCs w:val="18"/>
              </w:rPr>
            </w:pPr>
            <w:r w:rsidRPr="002566F6">
              <w:rPr>
                <w:rFonts w:cs="Arial"/>
                <w:color w:val="000000"/>
                <w:sz w:val="18"/>
                <w:szCs w:val="18"/>
              </w:rPr>
              <w:t>Rhode Island Atomic Energy Commission</w:t>
            </w:r>
          </w:p>
        </w:tc>
        <w:tc>
          <w:tcPr>
            <w:tcW w:w="3168" w:type="dxa"/>
            <w:tcBorders>
              <w:top w:val="nil"/>
              <w:bottom w:val="nil"/>
            </w:tcBorders>
          </w:tcPr>
          <w:p w:rsidR="003E1104" w:rsidRPr="002566F6" w:rsidP="00EA499B" w14:paraId="7F4935B0" w14:textId="77777777">
            <w:pPr>
              <w:keepNext/>
              <w:jc w:val="center"/>
              <w:rPr>
                <w:rFonts w:cs="Arial"/>
                <w:b/>
                <w:sz w:val="18"/>
                <w:szCs w:val="18"/>
              </w:rPr>
            </w:pPr>
            <w:r w:rsidRPr="002566F6">
              <w:rPr>
                <w:rFonts w:cs="Arial"/>
                <w:color w:val="000000"/>
                <w:sz w:val="18"/>
                <w:szCs w:val="18"/>
              </w:rPr>
              <w:t>Pennsylvania State University</w:t>
            </w:r>
          </w:p>
        </w:tc>
        <w:tc>
          <w:tcPr>
            <w:tcW w:w="2880" w:type="dxa"/>
            <w:tcBorders>
              <w:top w:val="nil"/>
              <w:bottom w:val="nil"/>
            </w:tcBorders>
          </w:tcPr>
          <w:p w:rsidR="003E1104" w:rsidRPr="002566F6" w:rsidP="00EA499B" w14:paraId="7F4935B1" w14:textId="77777777">
            <w:pPr>
              <w:keepNext/>
              <w:jc w:val="center"/>
              <w:rPr>
                <w:rFonts w:cs="Arial"/>
                <w:b/>
                <w:sz w:val="18"/>
                <w:szCs w:val="18"/>
              </w:rPr>
            </w:pPr>
          </w:p>
        </w:tc>
        <w:tc>
          <w:tcPr>
            <w:tcW w:w="2880" w:type="dxa"/>
            <w:tcBorders>
              <w:top w:val="nil"/>
              <w:bottom w:val="nil"/>
            </w:tcBorders>
          </w:tcPr>
          <w:p w:rsidR="003E1104" w:rsidRPr="002566F6" w:rsidP="00A43CE3" w14:paraId="7F4935B2" w14:textId="77777777">
            <w:pPr>
              <w:keepNext/>
              <w:jc w:val="center"/>
              <w:rPr>
                <w:rFonts w:cs="Arial"/>
                <w:b/>
                <w:sz w:val="18"/>
                <w:szCs w:val="18"/>
              </w:rPr>
            </w:pPr>
          </w:p>
        </w:tc>
      </w:tr>
      <w:tr w14:paraId="7F4935BA" w14:textId="77777777" w:rsidTr="00346B95">
        <w:tblPrEx>
          <w:tblW w:w="9962" w:type="dxa"/>
          <w:jc w:val="center"/>
          <w:tblLook w:val="04A0"/>
        </w:tblPrEx>
        <w:trPr>
          <w:trHeight w:hRule="exact" w:val="720"/>
          <w:jc w:val="center"/>
        </w:trPr>
        <w:tc>
          <w:tcPr>
            <w:tcW w:w="2602" w:type="dxa"/>
            <w:tcBorders>
              <w:top w:val="nil"/>
              <w:bottom w:val="nil"/>
            </w:tcBorders>
          </w:tcPr>
          <w:p w:rsidR="003E1104" w:rsidRPr="002566F6" w:rsidP="00EA499B" w14:paraId="7F4935B5" w14:textId="77777777">
            <w:pPr>
              <w:keepNext/>
              <w:jc w:val="center"/>
              <w:rPr>
                <w:rFonts w:cs="Arial"/>
                <w:b/>
                <w:sz w:val="18"/>
                <w:szCs w:val="18"/>
              </w:rPr>
            </w:pPr>
            <w:r w:rsidRPr="002566F6">
              <w:rPr>
                <w:rFonts w:cs="Arial"/>
                <w:color w:val="000000"/>
                <w:sz w:val="18"/>
                <w:szCs w:val="18"/>
              </w:rPr>
              <w:t>University of Missouri</w:t>
            </w:r>
            <w:r w:rsidRPr="002566F6" w:rsidR="00F30027">
              <w:rPr>
                <w:rFonts w:cs="Arial"/>
                <w:color w:val="000000"/>
                <w:sz w:val="18"/>
                <w:szCs w:val="18"/>
              </w:rPr>
              <w:t>/</w:t>
            </w:r>
            <w:r w:rsidRPr="002566F6">
              <w:rPr>
                <w:rFonts w:cs="Arial"/>
                <w:color w:val="000000"/>
                <w:sz w:val="18"/>
                <w:szCs w:val="18"/>
              </w:rPr>
              <w:t>Columbia</w:t>
            </w:r>
          </w:p>
        </w:tc>
        <w:tc>
          <w:tcPr>
            <w:tcW w:w="2601" w:type="dxa"/>
            <w:tcBorders>
              <w:top w:val="nil"/>
              <w:bottom w:val="nil"/>
            </w:tcBorders>
          </w:tcPr>
          <w:p w:rsidR="003E1104" w:rsidRPr="002566F6" w:rsidP="00EA499B" w14:paraId="7F4935B7" w14:textId="77777777">
            <w:pPr>
              <w:keepNext/>
              <w:jc w:val="center"/>
              <w:rPr>
                <w:rFonts w:cs="Arial"/>
                <w:b/>
                <w:sz w:val="18"/>
                <w:szCs w:val="18"/>
              </w:rPr>
            </w:pPr>
            <w:r w:rsidRPr="002566F6">
              <w:rPr>
                <w:rFonts w:cs="Arial"/>
                <w:color w:val="000000"/>
                <w:sz w:val="18"/>
                <w:szCs w:val="18"/>
              </w:rPr>
              <w:t>Massachusetts Institute of Technology</w:t>
            </w:r>
          </w:p>
        </w:tc>
        <w:tc>
          <w:tcPr>
            <w:tcW w:w="2424" w:type="dxa"/>
            <w:tcBorders>
              <w:top w:val="nil"/>
              <w:bottom w:val="nil"/>
            </w:tcBorders>
          </w:tcPr>
          <w:p w:rsidR="003E1104" w:rsidRPr="002566F6" w:rsidP="00EA499B" w14:paraId="7F4935B8" w14:textId="77777777">
            <w:pPr>
              <w:keepNext/>
              <w:jc w:val="center"/>
              <w:rPr>
                <w:rFonts w:cs="Arial"/>
                <w:b/>
                <w:sz w:val="18"/>
                <w:szCs w:val="18"/>
              </w:rPr>
            </w:pPr>
          </w:p>
        </w:tc>
        <w:tc>
          <w:tcPr>
            <w:tcW w:w="2335" w:type="dxa"/>
            <w:tcBorders>
              <w:top w:val="nil"/>
              <w:bottom w:val="nil"/>
            </w:tcBorders>
          </w:tcPr>
          <w:p w:rsidR="003E1104" w:rsidRPr="002566F6" w:rsidP="00A43CE3" w14:paraId="7F4935B9" w14:textId="77777777">
            <w:pPr>
              <w:keepNext/>
              <w:jc w:val="center"/>
              <w:rPr>
                <w:rFonts w:cs="Arial"/>
                <w:b/>
                <w:sz w:val="18"/>
                <w:szCs w:val="18"/>
              </w:rPr>
            </w:pPr>
          </w:p>
        </w:tc>
      </w:tr>
      <w:tr w14:paraId="7F4935C1" w14:textId="77777777" w:rsidTr="002566F6">
        <w:tblPrEx>
          <w:tblW w:w="9962" w:type="dxa"/>
          <w:jc w:val="center"/>
          <w:tblLook w:val="04A0"/>
        </w:tblPrEx>
        <w:trPr>
          <w:trHeight w:hRule="exact" w:val="504"/>
          <w:jc w:val="center"/>
        </w:trPr>
        <w:tc>
          <w:tcPr>
            <w:tcW w:w="3168" w:type="dxa"/>
            <w:tcBorders>
              <w:top w:val="nil"/>
              <w:bottom w:val="nil"/>
            </w:tcBorders>
          </w:tcPr>
          <w:p w:rsidR="003E1104" w:rsidRPr="002566F6" w:rsidP="00EA499B" w14:paraId="7F4935BC" w14:textId="77777777">
            <w:pPr>
              <w:keepNext/>
              <w:jc w:val="center"/>
              <w:rPr>
                <w:rFonts w:cs="Arial"/>
                <w:b/>
                <w:sz w:val="18"/>
                <w:szCs w:val="18"/>
              </w:rPr>
            </w:pPr>
            <w:r w:rsidRPr="002566F6">
              <w:rPr>
                <w:rFonts w:cs="Arial"/>
                <w:color w:val="000000"/>
                <w:sz w:val="18"/>
                <w:szCs w:val="18"/>
              </w:rPr>
              <w:t>University of Florida</w:t>
            </w:r>
          </w:p>
        </w:tc>
        <w:tc>
          <w:tcPr>
            <w:tcW w:w="3168" w:type="dxa"/>
            <w:tcBorders>
              <w:top w:val="nil"/>
              <w:bottom w:val="nil"/>
            </w:tcBorders>
          </w:tcPr>
          <w:p w:rsidR="003E1104" w:rsidRPr="002566F6" w:rsidP="00EA499B" w14:paraId="7F4935BE" w14:textId="77777777">
            <w:pPr>
              <w:keepNext/>
              <w:jc w:val="center"/>
              <w:rPr>
                <w:rFonts w:cs="Arial"/>
                <w:b/>
                <w:sz w:val="18"/>
                <w:szCs w:val="18"/>
              </w:rPr>
            </w:pPr>
            <w:r w:rsidRPr="002566F6">
              <w:rPr>
                <w:rFonts w:cs="Arial"/>
                <w:color w:val="000000"/>
                <w:sz w:val="18"/>
                <w:szCs w:val="18"/>
              </w:rPr>
              <w:t>University of New Mexico</w:t>
            </w:r>
          </w:p>
        </w:tc>
        <w:tc>
          <w:tcPr>
            <w:tcW w:w="2880" w:type="dxa"/>
            <w:tcBorders>
              <w:top w:val="nil"/>
              <w:bottom w:val="nil"/>
            </w:tcBorders>
          </w:tcPr>
          <w:p w:rsidR="003E1104" w:rsidRPr="002566F6" w:rsidP="00EA499B" w14:paraId="7F4935BF" w14:textId="77777777">
            <w:pPr>
              <w:keepNext/>
              <w:jc w:val="center"/>
              <w:rPr>
                <w:rFonts w:cs="Arial"/>
                <w:b/>
                <w:sz w:val="18"/>
                <w:szCs w:val="18"/>
              </w:rPr>
            </w:pPr>
          </w:p>
        </w:tc>
        <w:tc>
          <w:tcPr>
            <w:tcW w:w="2880" w:type="dxa"/>
            <w:tcBorders>
              <w:top w:val="nil"/>
              <w:bottom w:val="nil"/>
            </w:tcBorders>
          </w:tcPr>
          <w:p w:rsidR="003E1104" w:rsidRPr="002566F6" w:rsidP="00A43CE3" w14:paraId="7F4935C0" w14:textId="77777777">
            <w:pPr>
              <w:keepNext/>
              <w:jc w:val="center"/>
              <w:rPr>
                <w:rFonts w:cs="Arial"/>
                <w:b/>
                <w:sz w:val="18"/>
                <w:szCs w:val="18"/>
              </w:rPr>
            </w:pPr>
          </w:p>
        </w:tc>
      </w:tr>
      <w:tr w14:paraId="7F4935C8" w14:textId="77777777" w:rsidTr="002566F6">
        <w:tblPrEx>
          <w:tblW w:w="9962" w:type="dxa"/>
          <w:jc w:val="center"/>
          <w:tblLook w:val="04A0"/>
        </w:tblPrEx>
        <w:trPr>
          <w:trHeight w:hRule="exact" w:val="684"/>
          <w:jc w:val="center"/>
        </w:trPr>
        <w:tc>
          <w:tcPr>
            <w:tcW w:w="3168" w:type="dxa"/>
            <w:tcBorders>
              <w:top w:val="nil"/>
              <w:bottom w:val="nil"/>
            </w:tcBorders>
          </w:tcPr>
          <w:p w:rsidR="003E1104" w:rsidRPr="002566F6" w:rsidP="00EA499B" w14:paraId="7F4935C3" w14:textId="77777777">
            <w:pPr>
              <w:keepNext/>
              <w:jc w:val="center"/>
              <w:rPr>
                <w:rFonts w:cs="Arial"/>
                <w:b/>
                <w:sz w:val="18"/>
                <w:szCs w:val="18"/>
              </w:rPr>
            </w:pPr>
            <w:r w:rsidRPr="002566F6">
              <w:rPr>
                <w:rFonts w:cs="Arial"/>
                <w:color w:val="000000"/>
                <w:sz w:val="18"/>
                <w:szCs w:val="18"/>
              </w:rPr>
              <w:t>University of Massachusetts</w:t>
            </w:r>
            <w:r w:rsidRPr="002566F6" w:rsidR="00F30027">
              <w:rPr>
                <w:rFonts w:cs="Arial"/>
                <w:color w:val="000000"/>
                <w:sz w:val="18"/>
                <w:szCs w:val="18"/>
              </w:rPr>
              <w:t>/</w:t>
            </w:r>
            <w:r w:rsidRPr="002566F6">
              <w:rPr>
                <w:rFonts w:cs="Arial"/>
                <w:color w:val="000000"/>
                <w:sz w:val="18"/>
                <w:szCs w:val="18"/>
              </w:rPr>
              <w:t>Lowell</w:t>
            </w:r>
          </w:p>
        </w:tc>
        <w:tc>
          <w:tcPr>
            <w:tcW w:w="3168" w:type="dxa"/>
            <w:tcBorders>
              <w:top w:val="nil"/>
              <w:bottom w:val="nil"/>
            </w:tcBorders>
          </w:tcPr>
          <w:p w:rsidR="003E1104" w:rsidRPr="002566F6" w:rsidP="00EA499B" w14:paraId="7F4935C5" w14:textId="77777777">
            <w:pPr>
              <w:keepNext/>
              <w:jc w:val="center"/>
              <w:rPr>
                <w:rFonts w:cs="Arial"/>
                <w:b/>
                <w:sz w:val="18"/>
                <w:szCs w:val="18"/>
              </w:rPr>
            </w:pPr>
            <w:r w:rsidRPr="002566F6">
              <w:rPr>
                <w:rFonts w:cs="Arial"/>
                <w:color w:val="000000"/>
                <w:sz w:val="18"/>
                <w:szCs w:val="18"/>
              </w:rPr>
              <w:t>University of Wisconsin</w:t>
            </w:r>
          </w:p>
        </w:tc>
        <w:tc>
          <w:tcPr>
            <w:tcW w:w="2880" w:type="dxa"/>
            <w:tcBorders>
              <w:top w:val="nil"/>
              <w:bottom w:val="nil"/>
            </w:tcBorders>
          </w:tcPr>
          <w:p w:rsidR="003E1104" w:rsidRPr="002566F6" w:rsidP="00EA499B" w14:paraId="7F4935C6" w14:textId="77777777">
            <w:pPr>
              <w:keepNext/>
              <w:jc w:val="center"/>
              <w:rPr>
                <w:rFonts w:cs="Arial"/>
                <w:b/>
                <w:sz w:val="18"/>
                <w:szCs w:val="18"/>
              </w:rPr>
            </w:pPr>
          </w:p>
        </w:tc>
        <w:tc>
          <w:tcPr>
            <w:tcW w:w="2880" w:type="dxa"/>
            <w:tcBorders>
              <w:top w:val="nil"/>
              <w:bottom w:val="nil"/>
            </w:tcBorders>
          </w:tcPr>
          <w:p w:rsidR="003E1104" w:rsidRPr="002566F6" w:rsidP="00A43CE3" w14:paraId="7F4935C7" w14:textId="77777777">
            <w:pPr>
              <w:keepNext/>
              <w:jc w:val="center"/>
              <w:rPr>
                <w:rFonts w:cs="Arial"/>
                <w:b/>
                <w:sz w:val="18"/>
                <w:szCs w:val="18"/>
              </w:rPr>
            </w:pPr>
          </w:p>
        </w:tc>
      </w:tr>
      <w:tr w14:paraId="7F4935CF" w14:textId="77777777" w:rsidTr="00346B95">
        <w:tblPrEx>
          <w:tblW w:w="9962" w:type="dxa"/>
          <w:jc w:val="center"/>
          <w:tblLook w:val="04A0"/>
        </w:tblPrEx>
        <w:trPr>
          <w:trHeight w:hRule="exact" w:val="720"/>
          <w:jc w:val="center"/>
        </w:trPr>
        <w:tc>
          <w:tcPr>
            <w:tcW w:w="2602" w:type="dxa"/>
            <w:tcBorders>
              <w:top w:val="nil"/>
              <w:bottom w:val="nil"/>
            </w:tcBorders>
          </w:tcPr>
          <w:p w:rsidR="003E1104" w:rsidRPr="002566F6" w:rsidP="00A00EFB" w14:paraId="7F4935CA" w14:textId="77777777">
            <w:pPr>
              <w:keepNext/>
              <w:jc w:val="center"/>
              <w:rPr>
                <w:rFonts w:cs="Arial"/>
                <w:b/>
                <w:sz w:val="18"/>
                <w:szCs w:val="18"/>
              </w:rPr>
            </w:pPr>
            <w:r w:rsidRPr="002566F6">
              <w:rPr>
                <w:rFonts w:cs="Arial"/>
                <w:color w:val="000000"/>
                <w:sz w:val="18"/>
                <w:szCs w:val="18"/>
              </w:rPr>
              <w:t>North Carolina State University</w:t>
            </w:r>
          </w:p>
        </w:tc>
        <w:tc>
          <w:tcPr>
            <w:tcW w:w="2601" w:type="dxa"/>
            <w:tcBorders>
              <w:top w:val="nil"/>
              <w:bottom w:val="nil"/>
            </w:tcBorders>
          </w:tcPr>
          <w:p w:rsidR="003E1104" w:rsidRPr="002566F6" w:rsidP="00A43CE3" w14:paraId="7F4935CC" w14:textId="77777777">
            <w:pPr>
              <w:keepNext/>
              <w:jc w:val="center"/>
              <w:rPr>
                <w:rFonts w:cs="Arial"/>
                <w:b/>
                <w:sz w:val="18"/>
                <w:szCs w:val="18"/>
              </w:rPr>
            </w:pPr>
            <w:r w:rsidRPr="002566F6">
              <w:rPr>
                <w:rFonts w:cs="Arial"/>
                <w:color w:val="000000"/>
                <w:sz w:val="18"/>
                <w:szCs w:val="18"/>
              </w:rPr>
              <w:t>Rensselaer Polytechnic Institute</w:t>
            </w:r>
          </w:p>
        </w:tc>
        <w:tc>
          <w:tcPr>
            <w:tcW w:w="2424" w:type="dxa"/>
            <w:tcBorders>
              <w:top w:val="nil"/>
              <w:bottom w:val="nil"/>
            </w:tcBorders>
          </w:tcPr>
          <w:p w:rsidR="003E1104" w:rsidRPr="002566F6" w:rsidP="00A43CE3" w14:paraId="7F4935CD" w14:textId="77777777">
            <w:pPr>
              <w:keepNext/>
              <w:jc w:val="center"/>
              <w:rPr>
                <w:rFonts w:cs="Arial"/>
                <w:b/>
                <w:sz w:val="18"/>
                <w:szCs w:val="18"/>
              </w:rPr>
            </w:pPr>
          </w:p>
        </w:tc>
        <w:tc>
          <w:tcPr>
            <w:tcW w:w="2335" w:type="dxa"/>
            <w:tcBorders>
              <w:top w:val="nil"/>
              <w:bottom w:val="nil"/>
            </w:tcBorders>
          </w:tcPr>
          <w:p w:rsidR="003E1104" w:rsidRPr="002566F6" w:rsidP="00A43CE3" w14:paraId="7F4935CE" w14:textId="77777777">
            <w:pPr>
              <w:keepNext/>
              <w:jc w:val="center"/>
              <w:rPr>
                <w:rFonts w:cs="Arial"/>
                <w:b/>
                <w:sz w:val="18"/>
                <w:szCs w:val="18"/>
              </w:rPr>
            </w:pPr>
          </w:p>
        </w:tc>
      </w:tr>
      <w:tr w14:paraId="7F4935D6" w14:textId="77777777" w:rsidTr="002566F6">
        <w:tblPrEx>
          <w:tblW w:w="9962" w:type="dxa"/>
          <w:jc w:val="center"/>
          <w:tblLook w:val="04A0"/>
        </w:tblPrEx>
        <w:trPr>
          <w:trHeight w:hRule="exact" w:val="630"/>
          <w:jc w:val="center"/>
        </w:trPr>
        <w:tc>
          <w:tcPr>
            <w:tcW w:w="2602" w:type="dxa"/>
            <w:tcBorders>
              <w:top w:val="nil"/>
              <w:bottom w:val="nil"/>
            </w:tcBorders>
          </w:tcPr>
          <w:p w:rsidR="003E1104" w:rsidRPr="002566F6" w:rsidP="00A00EFB" w14:paraId="7F4935D1" w14:textId="77777777">
            <w:pPr>
              <w:keepNext/>
              <w:jc w:val="center"/>
              <w:rPr>
                <w:rFonts w:cs="Arial"/>
                <w:b/>
                <w:sz w:val="18"/>
                <w:szCs w:val="18"/>
              </w:rPr>
            </w:pPr>
            <w:r w:rsidRPr="002566F6">
              <w:rPr>
                <w:rFonts w:cs="Arial"/>
                <w:color w:val="000000"/>
                <w:sz w:val="18"/>
                <w:szCs w:val="18"/>
              </w:rPr>
              <w:t>University of Texas</w:t>
            </w:r>
          </w:p>
        </w:tc>
        <w:tc>
          <w:tcPr>
            <w:tcW w:w="2601" w:type="dxa"/>
            <w:tcBorders>
              <w:top w:val="nil"/>
              <w:bottom w:val="nil"/>
            </w:tcBorders>
          </w:tcPr>
          <w:p w:rsidR="003E1104" w:rsidRPr="002566F6" w:rsidP="00EA499B" w14:paraId="7F4935D3" w14:textId="77777777">
            <w:pPr>
              <w:keepNext/>
              <w:jc w:val="center"/>
              <w:rPr>
                <w:rFonts w:cs="Arial"/>
                <w:b/>
                <w:sz w:val="18"/>
                <w:szCs w:val="18"/>
              </w:rPr>
            </w:pPr>
            <w:r w:rsidRPr="002566F6">
              <w:rPr>
                <w:rFonts w:cs="Arial"/>
                <w:color w:val="000000"/>
                <w:sz w:val="18"/>
                <w:szCs w:val="18"/>
              </w:rPr>
              <w:t>Washington State University</w:t>
            </w:r>
          </w:p>
        </w:tc>
        <w:tc>
          <w:tcPr>
            <w:tcW w:w="2424" w:type="dxa"/>
            <w:tcBorders>
              <w:top w:val="nil"/>
              <w:bottom w:val="nil"/>
            </w:tcBorders>
          </w:tcPr>
          <w:p w:rsidR="003E1104" w:rsidRPr="002566F6" w:rsidP="00EA499B" w14:paraId="7F4935D4" w14:textId="77777777">
            <w:pPr>
              <w:keepNext/>
              <w:jc w:val="center"/>
              <w:rPr>
                <w:rFonts w:cs="Arial"/>
                <w:b/>
                <w:sz w:val="18"/>
                <w:szCs w:val="18"/>
              </w:rPr>
            </w:pPr>
          </w:p>
        </w:tc>
        <w:tc>
          <w:tcPr>
            <w:tcW w:w="2335" w:type="dxa"/>
            <w:tcBorders>
              <w:top w:val="nil"/>
              <w:bottom w:val="nil"/>
            </w:tcBorders>
          </w:tcPr>
          <w:p w:rsidR="003E1104" w:rsidRPr="002566F6" w:rsidP="00A43CE3" w14:paraId="7F4935D5" w14:textId="77777777">
            <w:pPr>
              <w:keepNext/>
              <w:jc w:val="center"/>
              <w:rPr>
                <w:rFonts w:cs="Arial"/>
                <w:b/>
                <w:sz w:val="18"/>
                <w:szCs w:val="18"/>
              </w:rPr>
            </w:pPr>
          </w:p>
        </w:tc>
      </w:tr>
      <w:tr w14:paraId="7F4935DC" w14:textId="77777777" w:rsidTr="00346B95">
        <w:tblPrEx>
          <w:tblW w:w="9962" w:type="dxa"/>
          <w:jc w:val="center"/>
          <w:tblLook w:val="04A0"/>
        </w:tblPrEx>
        <w:trPr>
          <w:trHeight w:hRule="exact" w:val="513"/>
          <w:jc w:val="center"/>
        </w:trPr>
        <w:tc>
          <w:tcPr>
            <w:tcW w:w="3168" w:type="dxa"/>
            <w:tcBorders>
              <w:top w:val="nil"/>
              <w:bottom w:val="nil"/>
            </w:tcBorders>
          </w:tcPr>
          <w:p w:rsidR="003E1104" w:rsidRPr="002566F6" w:rsidP="00A43CE3" w14:paraId="7F4935D7" w14:textId="77777777">
            <w:pPr>
              <w:keepNext/>
              <w:jc w:val="center"/>
              <w:rPr>
                <w:rFonts w:cs="Arial"/>
                <w:b/>
                <w:sz w:val="18"/>
                <w:szCs w:val="18"/>
              </w:rPr>
            </w:pPr>
          </w:p>
        </w:tc>
        <w:tc>
          <w:tcPr>
            <w:tcW w:w="3168" w:type="dxa"/>
            <w:tcBorders>
              <w:top w:val="nil"/>
              <w:bottom w:val="nil"/>
            </w:tcBorders>
          </w:tcPr>
          <w:p w:rsidR="003E1104" w:rsidRPr="002566F6" w:rsidP="00A43CE3" w14:paraId="7F4935D9" w14:textId="77777777">
            <w:pPr>
              <w:keepNext/>
              <w:jc w:val="center"/>
              <w:rPr>
                <w:rFonts w:cs="Arial"/>
                <w:b/>
                <w:sz w:val="18"/>
                <w:szCs w:val="18"/>
              </w:rPr>
            </w:pPr>
            <w:r w:rsidRPr="002566F6">
              <w:rPr>
                <w:rFonts w:cs="Arial"/>
                <w:color w:val="000000"/>
                <w:sz w:val="18"/>
                <w:szCs w:val="18"/>
              </w:rPr>
              <w:t>University of Utah</w:t>
            </w:r>
          </w:p>
        </w:tc>
        <w:tc>
          <w:tcPr>
            <w:tcW w:w="2880" w:type="dxa"/>
            <w:tcBorders>
              <w:top w:val="nil"/>
              <w:bottom w:val="nil"/>
            </w:tcBorders>
          </w:tcPr>
          <w:p w:rsidR="003E1104" w:rsidRPr="002566F6" w:rsidP="00A43CE3" w14:paraId="7F4935DA" w14:textId="77777777">
            <w:pPr>
              <w:keepNext/>
              <w:jc w:val="center"/>
              <w:rPr>
                <w:rFonts w:cs="Arial"/>
                <w:b/>
                <w:sz w:val="18"/>
                <w:szCs w:val="18"/>
              </w:rPr>
            </w:pPr>
          </w:p>
        </w:tc>
        <w:tc>
          <w:tcPr>
            <w:tcW w:w="2880" w:type="dxa"/>
            <w:tcBorders>
              <w:top w:val="nil"/>
              <w:bottom w:val="nil"/>
            </w:tcBorders>
          </w:tcPr>
          <w:p w:rsidR="003E1104" w:rsidRPr="002566F6" w:rsidP="00A43CE3" w14:paraId="7F4935DB" w14:textId="77777777">
            <w:pPr>
              <w:keepNext/>
              <w:jc w:val="center"/>
              <w:rPr>
                <w:rFonts w:cs="Arial"/>
                <w:b/>
                <w:sz w:val="18"/>
                <w:szCs w:val="18"/>
              </w:rPr>
            </w:pPr>
          </w:p>
        </w:tc>
      </w:tr>
      <w:tr w14:paraId="7F4935E2" w14:textId="77777777" w:rsidTr="002566F6">
        <w:tblPrEx>
          <w:tblW w:w="9962" w:type="dxa"/>
          <w:jc w:val="center"/>
          <w:tblLook w:val="04A0"/>
        </w:tblPrEx>
        <w:trPr>
          <w:trHeight w:hRule="exact" w:val="477"/>
          <w:jc w:val="center"/>
        </w:trPr>
        <w:tc>
          <w:tcPr>
            <w:tcW w:w="3168" w:type="dxa"/>
            <w:tcBorders>
              <w:top w:val="nil"/>
              <w:bottom w:val="nil"/>
            </w:tcBorders>
          </w:tcPr>
          <w:p w:rsidR="003E1104" w:rsidRPr="002566F6" w:rsidP="00A43CE3" w14:paraId="7F4935DD" w14:textId="77777777">
            <w:pPr>
              <w:keepNext/>
              <w:jc w:val="center"/>
              <w:rPr>
                <w:rFonts w:cs="Arial"/>
                <w:b/>
                <w:sz w:val="18"/>
                <w:szCs w:val="18"/>
              </w:rPr>
            </w:pPr>
          </w:p>
        </w:tc>
        <w:tc>
          <w:tcPr>
            <w:tcW w:w="3168" w:type="dxa"/>
            <w:tcBorders>
              <w:top w:val="nil"/>
              <w:bottom w:val="nil"/>
            </w:tcBorders>
          </w:tcPr>
          <w:p w:rsidR="003E1104" w:rsidRPr="002566F6" w:rsidP="00A43CE3" w14:paraId="7F4935DF" w14:textId="77777777">
            <w:pPr>
              <w:keepNext/>
              <w:jc w:val="center"/>
              <w:rPr>
                <w:rFonts w:cs="Arial"/>
                <w:b/>
                <w:sz w:val="18"/>
                <w:szCs w:val="18"/>
              </w:rPr>
            </w:pPr>
            <w:r w:rsidRPr="002566F6">
              <w:rPr>
                <w:rFonts w:cs="Arial"/>
                <w:color w:val="000000"/>
                <w:sz w:val="18"/>
                <w:szCs w:val="18"/>
              </w:rPr>
              <w:t>Reed College</w:t>
            </w:r>
            <w:r w:rsidR="002566F6">
              <w:rPr>
                <w:rFonts w:cs="Arial"/>
                <w:color w:val="000000"/>
                <w:sz w:val="18"/>
                <w:szCs w:val="18"/>
              </w:rPr>
              <w:t xml:space="preserve"> </w:t>
            </w:r>
          </w:p>
        </w:tc>
        <w:tc>
          <w:tcPr>
            <w:tcW w:w="2880" w:type="dxa"/>
            <w:tcBorders>
              <w:top w:val="nil"/>
              <w:bottom w:val="nil"/>
            </w:tcBorders>
          </w:tcPr>
          <w:p w:rsidR="003E1104" w:rsidRPr="002566F6" w:rsidP="00A43CE3" w14:paraId="7F4935E0" w14:textId="77777777">
            <w:pPr>
              <w:keepNext/>
              <w:jc w:val="center"/>
              <w:rPr>
                <w:rFonts w:cs="Arial"/>
                <w:b/>
                <w:sz w:val="18"/>
                <w:szCs w:val="18"/>
              </w:rPr>
            </w:pPr>
          </w:p>
        </w:tc>
        <w:tc>
          <w:tcPr>
            <w:tcW w:w="2880" w:type="dxa"/>
            <w:tcBorders>
              <w:top w:val="nil"/>
              <w:bottom w:val="nil"/>
            </w:tcBorders>
          </w:tcPr>
          <w:p w:rsidR="003E1104" w:rsidRPr="002566F6" w:rsidP="00A43CE3" w14:paraId="7F4935E1" w14:textId="77777777">
            <w:pPr>
              <w:keepNext/>
              <w:jc w:val="center"/>
              <w:rPr>
                <w:rFonts w:cs="Arial"/>
                <w:b/>
                <w:sz w:val="18"/>
                <w:szCs w:val="18"/>
              </w:rPr>
            </w:pPr>
          </w:p>
        </w:tc>
      </w:tr>
      <w:tr w14:paraId="7F4935E8" w14:textId="77777777" w:rsidTr="00346B95">
        <w:tblPrEx>
          <w:tblW w:w="9962" w:type="dxa"/>
          <w:jc w:val="center"/>
          <w:tblLook w:val="04A0"/>
        </w:tblPrEx>
        <w:trPr>
          <w:trHeight w:hRule="exact" w:val="450"/>
          <w:jc w:val="center"/>
        </w:trPr>
        <w:tc>
          <w:tcPr>
            <w:tcW w:w="2602" w:type="dxa"/>
            <w:tcBorders>
              <w:top w:val="nil"/>
              <w:bottom w:val="nil"/>
            </w:tcBorders>
          </w:tcPr>
          <w:p w:rsidR="003E1104" w:rsidRPr="002566F6" w:rsidP="00A43CE3" w14:paraId="7F4935E3" w14:textId="77777777">
            <w:pPr>
              <w:keepNext/>
              <w:jc w:val="center"/>
              <w:rPr>
                <w:rFonts w:cs="Arial"/>
                <w:b/>
                <w:sz w:val="18"/>
                <w:szCs w:val="18"/>
              </w:rPr>
            </w:pPr>
          </w:p>
        </w:tc>
        <w:tc>
          <w:tcPr>
            <w:tcW w:w="2601" w:type="dxa"/>
            <w:tcBorders>
              <w:top w:val="nil"/>
              <w:bottom w:val="nil"/>
            </w:tcBorders>
          </w:tcPr>
          <w:p w:rsidR="003E1104" w:rsidRPr="002566F6" w:rsidP="00A43CE3" w14:paraId="7F4935E5" w14:textId="77777777">
            <w:pPr>
              <w:keepNext/>
              <w:jc w:val="center"/>
              <w:rPr>
                <w:rFonts w:cs="Arial"/>
                <w:b/>
                <w:sz w:val="18"/>
                <w:szCs w:val="18"/>
              </w:rPr>
            </w:pPr>
            <w:r w:rsidRPr="002566F6">
              <w:rPr>
                <w:rFonts w:cs="Arial"/>
                <w:color w:val="000000"/>
                <w:sz w:val="18"/>
                <w:szCs w:val="18"/>
              </w:rPr>
              <w:t>Dow Chemical Company</w:t>
            </w:r>
          </w:p>
        </w:tc>
        <w:tc>
          <w:tcPr>
            <w:tcW w:w="2424" w:type="dxa"/>
            <w:tcBorders>
              <w:top w:val="nil"/>
              <w:bottom w:val="nil"/>
            </w:tcBorders>
          </w:tcPr>
          <w:p w:rsidR="003E1104" w:rsidRPr="002566F6" w:rsidP="00A43CE3" w14:paraId="7F4935E6" w14:textId="77777777">
            <w:pPr>
              <w:keepNext/>
              <w:jc w:val="center"/>
              <w:rPr>
                <w:rFonts w:cs="Arial"/>
                <w:b/>
                <w:sz w:val="18"/>
                <w:szCs w:val="18"/>
              </w:rPr>
            </w:pPr>
          </w:p>
        </w:tc>
        <w:tc>
          <w:tcPr>
            <w:tcW w:w="2335" w:type="dxa"/>
            <w:tcBorders>
              <w:top w:val="nil"/>
              <w:bottom w:val="nil"/>
            </w:tcBorders>
          </w:tcPr>
          <w:p w:rsidR="003E1104" w:rsidRPr="002566F6" w:rsidP="00A43CE3" w14:paraId="7F4935E7" w14:textId="77777777">
            <w:pPr>
              <w:keepNext/>
              <w:jc w:val="center"/>
              <w:rPr>
                <w:rFonts w:cs="Arial"/>
                <w:b/>
                <w:sz w:val="18"/>
                <w:szCs w:val="18"/>
              </w:rPr>
            </w:pPr>
          </w:p>
        </w:tc>
      </w:tr>
      <w:tr w14:paraId="7F4935EE" w14:textId="77777777" w:rsidTr="00346B95">
        <w:tblPrEx>
          <w:tblW w:w="9962" w:type="dxa"/>
          <w:jc w:val="center"/>
          <w:tblLook w:val="04A0"/>
        </w:tblPrEx>
        <w:trPr>
          <w:trHeight w:hRule="exact" w:val="720"/>
          <w:jc w:val="center"/>
        </w:trPr>
        <w:tc>
          <w:tcPr>
            <w:tcW w:w="3168" w:type="dxa"/>
            <w:tcBorders>
              <w:top w:val="nil"/>
            </w:tcBorders>
          </w:tcPr>
          <w:p w:rsidR="003E1104" w:rsidRPr="002566F6" w:rsidP="00A43CE3" w14:paraId="7F4935E9" w14:textId="77777777">
            <w:pPr>
              <w:keepNext/>
              <w:jc w:val="center"/>
              <w:rPr>
                <w:rFonts w:cs="Arial"/>
                <w:b/>
                <w:sz w:val="18"/>
                <w:szCs w:val="18"/>
              </w:rPr>
            </w:pPr>
          </w:p>
        </w:tc>
        <w:tc>
          <w:tcPr>
            <w:tcW w:w="3168" w:type="dxa"/>
            <w:tcBorders>
              <w:top w:val="nil"/>
            </w:tcBorders>
          </w:tcPr>
          <w:p w:rsidR="003E1104" w:rsidRPr="002566F6" w:rsidP="00EA499B" w14:paraId="7F4935EB" w14:textId="77777777">
            <w:pPr>
              <w:keepNext/>
              <w:jc w:val="center"/>
              <w:rPr>
                <w:rFonts w:cs="Arial"/>
                <w:b/>
                <w:sz w:val="18"/>
                <w:szCs w:val="18"/>
              </w:rPr>
            </w:pPr>
            <w:r w:rsidRPr="002566F6">
              <w:rPr>
                <w:rFonts w:cs="Arial"/>
                <w:color w:val="000000"/>
                <w:sz w:val="18"/>
                <w:szCs w:val="18"/>
              </w:rPr>
              <w:t>Texas A&amp;M University</w:t>
            </w:r>
            <w:r w:rsidRPr="002566F6" w:rsidR="004B1DF6">
              <w:rPr>
                <w:rFonts w:cs="Arial"/>
                <w:color w:val="000000"/>
                <w:sz w:val="18"/>
                <w:szCs w:val="18"/>
              </w:rPr>
              <w:t xml:space="preserve"> </w:t>
            </w:r>
            <w:r w:rsidR="002566F6">
              <w:rPr>
                <w:rFonts w:cs="Arial"/>
                <w:color w:val="000000"/>
                <w:sz w:val="18"/>
                <w:szCs w:val="18"/>
              </w:rPr>
              <w:t>(TRIGA)</w:t>
            </w:r>
          </w:p>
        </w:tc>
        <w:tc>
          <w:tcPr>
            <w:tcW w:w="2880" w:type="dxa"/>
            <w:tcBorders>
              <w:top w:val="nil"/>
            </w:tcBorders>
          </w:tcPr>
          <w:p w:rsidR="003E1104" w:rsidRPr="002566F6" w:rsidP="00EA499B" w14:paraId="7F4935EC" w14:textId="77777777">
            <w:pPr>
              <w:keepNext/>
              <w:jc w:val="center"/>
              <w:rPr>
                <w:rFonts w:cs="Arial"/>
                <w:b/>
                <w:sz w:val="18"/>
                <w:szCs w:val="18"/>
              </w:rPr>
            </w:pPr>
          </w:p>
        </w:tc>
        <w:tc>
          <w:tcPr>
            <w:tcW w:w="2880" w:type="dxa"/>
            <w:tcBorders>
              <w:top w:val="nil"/>
            </w:tcBorders>
          </w:tcPr>
          <w:p w:rsidR="003E1104" w:rsidRPr="002566F6" w:rsidP="00EA499B" w14:paraId="7F4935ED" w14:textId="77777777">
            <w:pPr>
              <w:keepNext/>
              <w:jc w:val="center"/>
              <w:rPr>
                <w:rFonts w:cs="Arial"/>
                <w:b/>
                <w:sz w:val="18"/>
                <w:szCs w:val="18"/>
              </w:rPr>
            </w:pPr>
          </w:p>
        </w:tc>
      </w:tr>
      <w:tr w14:paraId="7F4935F3" w14:textId="77777777" w:rsidTr="00346B95">
        <w:tblPrEx>
          <w:tblW w:w="9962" w:type="dxa"/>
          <w:jc w:val="center"/>
          <w:tblLook w:val="04A0"/>
        </w:tblPrEx>
        <w:trPr>
          <w:trHeight w:val="186"/>
          <w:jc w:val="center"/>
        </w:trPr>
        <w:tc>
          <w:tcPr>
            <w:tcW w:w="2602" w:type="dxa"/>
          </w:tcPr>
          <w:p w:rsidR="003E1104" w:rsidRPr="002566F6" w:rsidP="003E1104" w14:paraId="7F4935EF" w14:textId="77777777">
            <w:pPr>
              <w:jc w:val="center"/>
              <w:rPr>
                <w:rFonts w:cs="Arial"/>
                <w:b/>
                <w:sz w:val="18"/>
                <w:szCs w:val="18"/>
              </w:rPr>
            </w:pPr>
            <w:r w:rsidRPr="002566F6">
              <w:rPr>
                <w:rFonts w:cs="Arial"/>
                <w:b/>
                <w:color w:val="000000"/>
                <w:sz w:val="18"/>
                <w:szCs w:val="18"/>
              </w:rPr>
              <w:t>11</w:t>
            </w:r>
            <w:r w:rsidRPr="002566F6" w:rsidR="00403440">
              <w:rPr>
                <w:rFonts w:cs="Arial"/>
                <w:b/>
                <w:color w:val="000000"/>
                <w:sz w:val="18"/>
                <w:szCs w:val="18"/>
              </w:rPr>
              <w:t xml:space="preserve"> Licensee</w:t>
            </w:r>
            <w:r w:rsidRPr="002566F6">
              <w:rPr>
                <w:rFonts w:cs="Arial"/>
                <w:b/>
                <w:color w:val="000000"/>
                <w:sz w:val="18"/>
                <w:szCs w:val="18"/>
              </w:rPr>
              <w:t>s</w:t>
            </w:r>
          </w:p>
        </w:tc>
        <w:tc>
          <w:tcPr>
            <w:tcW w:w="2601" w:type="dxa"/>
          </w:tcPr>
          <w:p w:rsidR="003E1104" w:rsidRPr="002566F6" w:rsidP="003E1104" w14:paraId="7F4935F0" w14:textId="77777777">
            <w:pPr>
              <w:jc w:val="center"/>
              <w:rPr>
                <w:rFonts w:cs="Arial"/>
                <w:b/>
                <w:sz w:val="18"/>
                <w:szCs w:val="18"/>
              </w:rPr>
            </w:pPr>
            <w:r w:rsidRPr="002566F6">
              <w:rPr>
                <w:rFonts w:cs="Arial"/>
                <w:b/>
                <w:color w:val="000000"/>
                <w:sz w:val="18"/>
                <w:szCs w:val="18"/>
              </w:rPr>
              <w:t>15 Licensees</w:t>
            </w:r>
          </w:p>
        </w:tc>
        <w:tc>
          <w:tcPr>
            <w:tcW w:w="2424" w:type="dxa"/>
          </w:tcPr>
          <w:p w:rsidR="003E1104" w:rsidRPr="002566F6" w:rsidP="003E1104" w14:paraId="7F4935F1" w14:textId="77777777">
            <w:pPr>
              <w:jc w:val="center"/>
              <w:rPr>
                <w:rFonts w:cs="Arial"/>
                <w:b/>
                <w:sz w:val="18"/>
                <w:szCs w:val="18"/>
              </w:rPr>
            </w:pPr>
            <w:r w:rsidRPr="002566F6">
              <w:rPr>
                <w:rFonts w:cs="Arial"/>
                <w:b/>
                <w:color w:val="000000"/>
                <w:sz w:val="18"/>
                <w:szCs w:val="18"/>
              </w:rPr>
              <w:t>4 Licensees</w:t>
            </w:r>
          </w:p>
        </w:tc>
        <w:tc>
          <w:tcPr>
            <w:tcW w:w="2335" w:type="dxa"/>
          </w:tcPr>
          <w:p w:rsidR="003E1104" w:rsidRPr="002566F6" w:rsidP="003E1104" w14:paraId="7F4935F2" w14:textId="77777777">
            <w:pPr>
              <w:jc w:val="center"/>
              <w:rPr>
                <w:rFonts w:cs="Arial"/>
                <w:b/>
                <w:sz w:val="18"/>
                <w:szCs w:val="18"/>
              </w:rPr>
            </w:pPr>
            <w:r w:rsidRPr="002566F6">
              <w:rPr>
                <w:rFonts w:cs="Arial"/>
                <w:b/>
                <w:color w:val="000000"/>
                <w:sz w:val="18"/>
                <w:szCs w:val="18"/>
              </w:rPr>
              <w:t>3 Licensees</w:t>
            </w:r>
          </w:p>
        </w:tc>
      </w:tr>
    </w:tbl>
    <w:p w:rsidR="00DA612D" w:rsidRPr="00D839EE" w:rsidP="00DA612D" w14:paraId="7F4935F4" w14:textId="77777777">
      <w:pPr>
        <w:contextualSpacing/>
        <w:rPr>
          <w:rFonts w:cs="Arial"/>
          <w:sz w:val="18"/>
        </w:rPr>
      </w:pPr>
      <w:r>
        <w:rPr>
          <w:rFonts w:cs="Arial"/>
          <w:sz w:val="18"/>
        </w:rPr>
        <w:t xml:space="preserve">* </w:t>
      </w:r>
      <w:r w:rsidR="00FA1D4B">
        <w:rPr>
          <w:rFonts w:cs="Arial"/>
          <w:sz w:val="18"/>
        </w:rPr>
        <w:t>TAMU</w:t>
      </w:r>
      <w:r w:rsidRPr="00D839EE">
        <w:rPr>
          <w:rFonts w:cs="Arial"/>
          <w:sz w:val="18"/>
        </w:rPr>
        <w:t xml:space="preserve"> (A) is currently </w:t>
      </w:r>
      <w:r w:rsidR="00A00EFB">
        <w:rPr>
          <w:rFonts w:cs="Arial"/>
          <w:sz w:val="18"/>
        </w:rPr>
        <w:t>shut</w:t>
      </w:r>
      <w:r w:rsidR="00517EAA">
        <w:rPr>
          <w:rFonts w:cs="Arial"/>
          <w:sz w:val="18"/>
        </w:rPr>
        <w:t xml:space="preserve"> </w:t>
      </w:r>
      <w:r w:rsidR="00A00EFB">
        <w:rPr>
          <w:rFonts w:cs="Arial"/>
          <w:sz w:val="18"/>
        </w:rPr>
        <w:t>down</w:t>
      </w:r>
      <w:r w:rsidRPr="00D839EE">
        <w:rPr>
          <w:rFonts w:cs="Arial"/>
          <w:sz w:val="18"/>
        </w:rPr>
        <w:t>.</w:t>
      </w:r>
      <w:r w:rsidR="00D10751">
        <w:rPr>
          <w:rFonts w:cs="Arial"/>
          <w:sz w:val="18"/>
        </w:rPr>
        <w:t xml:space="preserve">  </w:t>
      </w:r>
      <w:r w:rsidR="005749EA">
        <w:rPr>
          <w:rFonts w:cs="Arial"/>
          <w:sz w:val="18"/>
        </w:rPr>
        <w:t xml:space="preserve">The analysis assumes that TAMU (A) will undergo license renewal </w:t>
      </w:r>
      <w:r w:rsidR="007D0D39">
        <w:rPr>
          <w:rFonts w:cs="Arial"/>
          <w:sz w:val="18"/>
        </w:rPr>
        <w:t>in 2021</w:t>
      </w:r>
      <w:r w:rsidR="005749EA">
        <w:rPr>
          <w:rFonts w:cs="Arial"/>
          <w:sz w:val="18"/>
        </w:rPr>
        <w:t>.</w:t>
      </w:r>
      <w:r>
        <w:rPr>
          <w:rFonts w:cs="Arial"/>
          <w:sz w:val="18"/>
        </w:rPr>
        <w:t xml:space="preserve">  This assumption maximizes the cost to the licensee by assuming the greatest number of subsequent FSAR updates.</w:t>
      </w:r>
    </w:p>
    <w:p w:rsidR="00DA612D" w:rsidP="00DA612D" w14:paraId="7F4935F5" w14:textId="7385E7AD">
      <w:pPr>
        <w:contextualSpacing/>
        <w:rPr>
          <w:rFonts w:cs="Arial"/>
          <w:sz w:val="18"/>
        </w:rPr>
      </w:pPr>
      <w:r>
        <w:rPr>
          <w:rFonts w:cs="Arial"/>
          <w:sz w:val="18"/>
        </w:rPr>
        <w:t>*</w:t>
      </w:r>
      <w:r w:rsidR="00224A56">
        <w:rPr>
          <w:rFonts w:cs="Arial"/>
          <w:sz w:val="18"/>
        </w:rPr>
        <w:t>*</w:t>
      </w:r>
      <w:r w:rsidR="00520C24">
        <w:rPr>
          <w:rFonts w:cs="Arial"/>
          <w:sz w:val="18"/>
        </w:rPr>
        <w:t xml:space="preserve"> </w:t>
      </w:r>
      <w:r w:rsidRPr="00D839EE" w:rsidR="00D10751">
        <w:rPr>
          <w:rFonts w:cs="Arial"/>
          <w:sz w:val="18"/>
        </w:rPr>
        <w:t>SHINE and N</w:t>
      </w:r>
      <w:r w:rsidR="00D10751">
        <w:rPr>
          <w:rFonts w:cs="Arial"/>
          <w:sz w:val="18"/>
        </w:rPr>
        <w:t>WMI</w:t>
      </w:r>
      <w:r w:rsidRPr="00D839EE" w:rsidR="00D10751">
        <w:rPr>
          <w:rFonts w:cs="Arial"/>
          <w:sz w:val="18"/>
        </w:rPr>
        <w:t xml:space="preserve"> </w:t>
      </w:r>
      <w:r w:rsidR="00D10751">
        <w:rPr>
          <w:rFonts w:cs="Arial"/>
          <w:sz w:val="18"/>
        </w:rPr>
        <w:t>currently hold construction permits for their facilities but have not yet applied for operating licenses.</w:t>
      </w:r>
      <w:r w:rsidR="004E52AC">
        <w:rPr>
          <w:rFonts w:cs="Arial"/>
          <w:sz w:val="18"/>
        </w:rPr>
        <w:t xml:space="preserve"> </w:t>
      </w:r>
      <w:r w:rsidR="00D10751">
        <w:rPr>
          <w:rFonts w:cs="Arial"/>
          <w:sz w:val="18"/>
        </w:rPr>
        <w:t>The analysis assumes that each facility will be licensed to operate in 2021.</w:t>
      </w:r>
      <w:r w:rsidR="004E52AC">
        <w:rPr>
          <w:rFonts w:cs="Arial"/>
          <w:sz w:val="18"/>
        </w:rPr>
        <w:t xml:space="preserve"> </w:t>
      </w:r>
      <w:r w:rsidR="00D10751">
        <w:rPr>
          <w:rFonts w:cs="Arial"/>
          <w:sz w:val="18"/>
        </w:rPr>
        <w:t xml:space="preserve">The actual dates could be earlier or later depending on </w:t>
      </w:r>
      <w:r w:rsidR="00A00EFB">
        <w:rPr>
          <w:rFonts w:cs="Arial"/>
          <w:sz w:val="18"/>
        </w:rPr>
        <w:t>the timing of</w:t>
      </w:r>
      <w:r w:rsidR="00D10751">
        <w:rPr>
          <w:rFonts w:cs="Arial"/>
          <w:sz w:val="18"/>
        </w:rPr>
        <w:t xml:space="preserve"> operating license applications, but this </w:t>
      </w:r>
      <w:r w:rsidR="00A00EFB">
        <w:rPr>
          <w:rFonts w:cs="Arial"/>
          <w:sz w:val="18"/>
        </w:rPr>
        <w:t>w</w:t>
      </w:r>
      <w:r w:rsidR="00D10751">
        <w:rPr>
          <w:rFonts w:cs="Arial"/>
          <w:sz w:val="18"/>
        </w:rPr>
        <w:t>ould not significantly affect the conclusions of the analysis.</w:t>
      </w:r>
      <w:r>
        <w:rPr>
          <w:rFonts w:cs="Arial"/>
          <w:sz w:val="18"/>
        </w:rPr>
        <w:t xml:space="preserve"> SHINE, NWMI</w:t>
      </w:r>
      <w:r w:rsidR="00520C24">
        <w:rPr>
          <w:rFonts w:cs="Arial"/>
          <w:sz w:val="18"/>
        </w:rPr>
        <w:t xml:space="preserve">, and NIST </w:t>
      </w:r>
      <w:r w:rsidRPr="00D839EE">
        <w:rPr>
          <w:rFonts w:cs="Arial"/>
          <w:sz w:val="18"/>
        </w:rPr>
        <w:t>have specific requirements discussed in Section 3.2.</w:t>
      </w:r>
    </w:p>
    <w:p w:rsidR="00036DAB" w:rsidRPr="00D839EE" w:rsidP="00DA612D" w14:paraId="7F4935F6" w14:textId="77777777">
      <w:pPr>
        <w:contextualSpacing/>
        <w:rPr>
          <w:rFonts w:cs="Arial"/>
          <w:sz w:val="18"/>
        </w:rPr>
      </w:pPr>
      <w:r>
        <w:rPr>
          <w:rFonts w:cs="Arial"/>
          <w:sz w:val="18"/>
        </w:rPr>
        <w:t xml:space="preserve">*** </w:t>
      </w:r>
      <w:r>
        <w:rPr>
          <w:rFonts w:cs="Arial"/>
          <w:sz w:val="18"/>
        </w:rPr>
        <w:t xml:space="preserve">NIST will receive an order </w:t>
      </w:r>
      <w:r w:rsidR="00452164">
        <w:rPr>
          <w:rFonts w:cs="Arial"/>
          <w:sz w:val="18"/>
        </w:rPr>
        <w:t xml:space="preserve">requiring an updated FSAR </w:t>
      </w:r>
      <w:r>
        <w:rPr>
          <w:rFonts w:cs="Arial"/>
          <w:sz w:val="18"/>
        </w:rPr>
        <w:t>concurrent with that of Group 2</w:t>
      </w:r>
      <w:r w:rsidR="00D9538B">
        <w:rPr>
          <w:rFonts w:cs="Arial"/>
          <w:sz w:val="18"/>
        </w:rPr>
        <w:t xml:space="preserve"> but will continue to undergo license renewal</w:t>
      </w:r>
      <w:r>
        <w:rPr>
          <w:rFonts w:cs="Arial"/>
          <w:sz w:val="18"/>
        </w:rPr>
        <w:t>.</w:t>
      </w:r>
    </w:p>
    <w:p w:rsidR="00BF5AC4" w:rsidRPr="00D839EE" w:rsidP="00BF5AC4" w14:paraId="7F4935F7" w14:textId="77777777">
      <w:pPr>
        <w:jc w:val="center"/>
        <w:rPr>
          <w:rFonts w:cs="Arial"/>
          <w:b/>
        </w:rPr>
      </w:pPr>
    </w:p>
    <w:p w:rsidR="00BF5AC4" w:rsidRPr="00346B95" w:rsidP="00346B95" w14:paraId="7F4935F8" w14:textId="77777777">
      <w:pPr>
        <w:pStyle w:val="Heading3"/>
        <w:spacing w:after="220"/>
      </w:pPr>
      <w:bookmarkStart w:id="96" w:name="_Toc536603285"/>
      <w:r>
        <w:t>3.1.2</w:t>
      </w:r>
      <w:r>
        <w:tab/>
      </w:r>
      <w:r w:rsidRPr="00346B95">
        <w:t>Cost Estimation</w:t>
      </w:r>
      <w:bookmarkEnd w:id="96"/>
    </w:p>
    <w:p w:rsidR="00BF5AC4" w:rsidRPr="00D839EE" w:rsidP="00BF5AC4" w14:paraId="7F4935F9" w14:textId="77777777">
      <w:pPr>
        <w:rPr>
          <w:rFonts w:eastAsiaTheme="minorEastAsia" w:cs="Arial"/>
          <w:sz w:val="22"/>
          <w:szCs w:val="22"/>
          <w:lang w:eastAsia="ja-JP"/>
        </w:rPr>
      </w:pPr>
      <w:r w:rsidRPr="00D839EE">
        <w:rPr>
          <w:rFonts w:eastAsiaTheme="minorEastAsia" w:cs="Arial"/>
          <w:sz w:val="22"/>
          <w:szCs w:val="22"/>
          <w:lang w:eastAsia="ja-JP"/>
        </w:rPr>
        <w:t xml:space="preserve">In order to estimate the costs associated with the </w:t>
      </w:r>
      <w:r w:rsidRPr="00D839EE" w:rsidR="00BC5E9F">
        <w:rPr>
          <w:rFonts w:eastAsiaTheme="minorEastAsia" w:cs="Arial"/>
          <w:sz w:val="22"/>
          <w:szCs w:val="22"/>
          <w:lang w:eastAsia="ja-JP"/>
        </w:rPr>
        <w:t>final</w:t>
      </w:r>
      <w:r w:rsidRPr="00D839EE">
        <w:rPr>
          <w:rFonts w:eastAsiaTheme="minorEastAsia" w:cs="Arial"/>
          <w:sz w:val="22"/>
          <w:szCs w:val="22"/>
          <w:lang w:eastAsia="ja-JP"/>
        </w:rPr>
        <w:t xml:space="preserve"> rule, the NRC used a work breakdown approach to deconstruct the </w:t>
      </w:r>
      <w:r w:rsidRPr="00D839EE" w:rsidR="00BC5E9F">
        <w:rPr>
          <w:rFonts w:eastAsiaTheme="minorEastAsia" w:cs="Arial"/>
          <w:sz w:val="22"/>
          <w:szCs w:val="22"/>
          <w:lang w:eastAsia="ja-JP"/>
        </w:rPr>
        <w:t>final</w:t>
      </w:r>
      <w:r w:rsidRPr="00D839EE">
        <w:rPr>
          <w:rFonts w:eastAsiaTheme="minorEastAsia" w:cs="Arial"/>
          <w:sz w:val="22"/>
          <w:szCs w:val="22"/>
          <w:lang w:eastAsia="ja-JP"/>
        </w:rPr>
        <w:t xml:space="preserve"> rule requirements according to the </w:t>
      </w:r>
      <w:r w:rsidR="003C16F1">
        <w:rPr>
          <w:rFonts w:eastAsiaTheme="minorEastAsia" w:cs="Arial"/>
          <w:sz w:val="22"/>
          <w:szCs w:val="22"/>
          <w:lang w:eastAsia="ja-JP"/>
        </w:rPr>
        <w:t>necessary</w:t>
      </w:r>
      <w:r w:rsidRPr="00D839EE">
        <w:rPr>
          <w:rFonts w:eastAsiaTheme="minorEastAsia" w:cs="Arial"/>
          <w:sz w:val="22"/>
          <w:szCs w:val="22"/>
          <w:lang w:eastAsia="ja-JP"/>
        </w:rPr>
        <w:t xml:space="preserve"> activities for each requirement.  For each </w:t>
      </w:r>
      <w:r w:rsidR="002161A3">
        <w:rPr>
          <w:rFonts w:eastAsiaTheme="minorEastAsia" w:cs="Arial"/>
          <w:sz w:val="22"/>
          <w:szCs w:val="22"/>
          <w:lang w:eastAsia="ja-JP"/>
        </w:rPr>
        <w:t>needed</w:t>
      </w:r>
      <w:r w:rsidRPr="00D839EE">
        <w:rPr>
          <w:rFonts w:eastAsiaTheme="minorEastAsia" w:cs="Arial"/>
          <w:sz w:val="22"/>
          <w:szCs w:val="22"/>
          <w:lang w:eastAsia="ja-JP"/>
        </w:rPr>
        <w:t xml:space="preserve"> activity, the NRC further subdivided the work across labor categories (</w:t>
      </w:r>
      <w:r w:rsidR="00C97579">
        <w:rPr>
          <w:rFonts w:eastAsiaTheme="minorEastAsia" w:cs="Arial"/>
          <w:sz w:val="22"/>
          <w:szCs w:val="22"/>
          <w:lang w:eastAsia="ja-JP"/>
        </w:rPr>
        <w:t>e.g.</w:t>
      </w:r>
      <w:r w:rsidRPr="00D839EE">
        <w:rPr>
          <w:rFonts w:eastAsiaTheme="minorEastAsia" w:cs="Arial"/>
          <w:sz w:val="22"/>
          <w:szCs w:val="22"/>
          <w:lang w:eastAsia="ja-JP"/>
        </w:rPr>
        <w:t>, Professor, Operator, Technician, Student, and Administrator).  The NRC estimated the required level of effort (LOE) for each labor category and for each required activity in order to develop bottom-up cost estimates.</w:t>
      </w:r>
    </w:p>
    <w:p w:rsidR="00BF5AC4" w:rsidRPr="00D839EE" w:rsidP="00BF5AC4" w14:paraId="7F4935FA" w14:textId="77777777">
      <w:pPr>
        <w:rPr>
          <w:rFonts w:cs="Arial"/>
          <w:sz w:val="22"/>
          <w:szCs w:val="22"/>
        </w:rPr>
      </w:pPr>
    </w:p>
    <w:p w:rsidR="00A10576" w:rsidP="00A10576" w14:paraId="7F4935FB" w14:textId="62A231C4">
      <w:pPr>
        <w:rPr>
          <w:rFonts w:eastAsiaTheme="minorEastAsia"/>
          <w:lang w:eastAsia="ja-JP"/>
        </w:rPr>
      </w:pPr>
      <w:r w:rsidRPr="00346B95">
        <w:rPr>
          <w:rFonts w:eastAsiaTheme="minorEastAsia"/>
          <w:sz w:val="22"/>
        </w:rPr>
        <w:t xml:space="preserve">The NRC gathered data from several sources and consulted licensees to develop LOE and unit cost estimates.  Mean hourly wage rates for various labor categories were derived from </w:t>
      </w:r>
      <w:r w:rsidR="000833FD">
        <w:rPr>
          <w:rFonts w:eastAsiaTheme="minorEastAsia"/>
          <w:sz w:val="22"/>
        </w:rPr>
        <w:t xml:space="preserve">the </w:t>
      </w:r>
      <w:r w:rsidRPr="00EC79F7" w:rsidR="000833FD">
        <w:rPr>
          <w:rFonts w:eastAsiaTheme="minorEastAsia"/>
          <w:sz w:val="22"/>
        </w:rPr>
        <w:t>Bureau of Labor Statistics (</w:t>
      </w:r>
      <w:r w:rsidRPr="00EC79F7">
        <w:rPr>
          <w:rFonts w:eastAsiaTheme="minorEastAsia"/>
          <w:sz w:val="22"/>
        </w:rPr>
        <w:t>BLS</w:t>
      </w:r>
      <w:r w:rsidRPr="00EC79F7" w:rsidR="000833FD">
        <w:rPr>
          <w:rFonts w:eastAsiaTheme="minorEastAsia"/>
          <w:sz w:val="22"/>
        </w:rPr>
        <w:t>)</w:t>
      </w:r>
      <w:r w:rsidRPr="00EC79F7">
        <w:rPr>
          <w:rFonts w:eastAsiaTheme="minorEastAsia"/>
          <w:sz w:val="22"/>
        </w:rPr>
        <w:t xml:space="preserve"> </w:t>
      </w:r>
      <w:r w:rsidRPr="00C520D9" w:rsidR="00B30AEC">
        <w:rPr>
          <w:rFonts w:eastAsiaTheme="minorEastAsia"/>
          <w:sz w:val="22"/>
        </w:rPr>
        <w:t>201</w:t>
      </w:r>
      <w:r w:rsidRPr="00C520D9" w:rsidR="003D4693">
        <w:rPr>
          <w:rFonts w:eastAsiaTheme="minorEastAsia"/>
          <w:sz w:val="22"/>
        </w:rPr>
        <w:t>7</w:t>
      </w:r>
      <w:r w:rsidRPr="00C520D9" w:rsidR="00B30AEC">
        <w:rPr>
          <w:rFonts w:eastAsiaTheme="minorEastAsia"/>
          <w:sz w:val="22"/>
        </w:rPr>
        <w:t xml:space="preserve"> </w:t>
      </w:r>
      <w:r w:rsidRPr="00C520D9">
        <w:rPr>
          <w:rFonts w:eastAsiaTheme="minorEastAsia"/>
          <w:sz w:val="22"/>
        </w:rPr>
        <w:t>Occupational Employment and Wages data</w:t>
      </w:r>
      <w:r w:rsidRPr="00C520D9" w:rsidR="00D517A5">
        <w:rPr>
          <w:rFonts w:eastAsiaTheme="minorEastAsia"/>
          <w:sz w:val="22"/>
        </w:rPr>
        <w:t xml:space="preserve"> </w:t>
      </w:r>
      <w:r w:rsidRPr="00C520D9" w:rsidR="00D84B49">
        <w:rPr>
          <w:rFonts w:eastAsiaTheme="minorEastAsia"/>
          <w:sz w:val="22"/>
        </w:rPr>
        <w:t>(</w:t>
      </w:r>
      <w:r w:rsidRPr="00C520D9" w:rsidR="009E4D57">
        <w:rPr>
          <w:rFonts w:eastAsiaTheme="minorEastAsia" w:cs="Arial"/>
          <w:sz w:val="22"/>
          <w:szCs w:val="22"/>
          <w:lang w:eastAsia="ja-JP"/>
        </w:rPr>
        <w:t>Ref</w:t>
      </w:r>
      <w:r w:rsidR="0052371D">
        <w:rPr>
          <w:rFonts w:eastAsiaTheme="minorEastAsia" w:cs="Arial"/>
          <w:sz w:val="22"/>
          <w:szCs w:val="22"/>
          <w:lang w:eastAsia="ja-JP"/>
        </w:rPr>
        <w:t>.</w:t>
      </w:r>
      <w:r w:rsidRPr="00C520D9" w:rsidR="009E4D57">
        <w:rPr>
          <w:rFonts w:eastAsiaTheme="minorEastAsia" w:cs="Arial"/>
          <w:sz w:val="22"/>
          <w:szCs w:val="22"/>
          <w:lang w:eastAsia="ja-JP"/>
        </w:rPr>
        <w:t xml:space="preserve"> </w:t>
      </w:r>
      <w:r w:rsidR="00AA56A2">
        <w:rPr>
          <w:rFonts w:eastAsiaTheme="minorEastAsia" w:cs="Arial"/>
          <w:sz w:val="22"/>
          <w:szCs w:val="22"/>
          <w:lang w:eastAsia="ja-JP"/>
        </w:rPr>
        <w:t>27</w:t>
      </w:r>
      <w:r w:rsidRPr="00C520D9" w:rsidR="009E4D57">
        <w:rPr>
          <w:rFonts w:eastAsiaTheme="minorEastAsia" w:cs="Arial"/>
          <w:sz w:val="22"/>
          <w:szCs w:val="22"/>
          <w:lang w:eastAsia="ja-JP"/>
        </w:rPr>
        <w:t>)</w:t>
      </w:r>
      <w:r w:rsidRPr="00A4475E" w:rsidR="009E4D57">
        <w:rPr>
          <w:rFonts w:eastAsiaTheme="minorEastAsia" w:cs="Arial"/>
          <w:sz w:val="22"/>
          <w:szCs w:val="22"/>
          <w:lang w:eastAsia="ja-JP"/>
        </w:rPr>
        <w:t xml:space="preserve"> </w:t>
      </w:r>
      <w:r w:rsidRPr="0052371D" w:rsidR="00D84B49">
        <w:rPr>
          <w:rFonts w:eastAsiaTheme="minorEastAsia" w:cs="Arial"/>
          <w:sz w:val="22"/>
          <w:szCs w:val="22"/>
          <w:lang w:eastAsia="ja-JP"/>
        </w:rPr>
        <w:t>(</w:t>
      </w:r>
      <w:r w:rsidRPr="00D839EE" w:rsidR="00D84B49">
        <w:rPr>
          <w:rFonts w:eastAsiaTheme="minorEastAsia" w:cs="Arial"/>
          <w:sz w:val="22"/>
          <w:szCs w:val="22"/>
          <w:lang w:eastAsia="ja-JP"/>
        </w:rPr>
        <w:t>see footnote 1 in Section 3.1)</w:t>
      </w:r>
      <w:r w:rsidRPr="00D839EE">
        <w:rPr>
          <w:rFonts w:eastAsiaTheme="minorEastAsia" w:cs="Arial"/>
          <w:sz w:val="22"/>
          <w:szCs w:val="22"/>
          <w:lang w:eastAsia="ja-JP"/>
        </w:rPr>
        <w:t xml:space="preserve">.  </w:t>
      </w:r>
      <w:r w:rsidR="00C23ECE">
        <w:rPr>
          <w:rFonts w:eastAsiaTheme="minorEastAsia" w:cs="Arial"/>
          <w:sz w:val="22"/>
          <w:szCs w:val="22"/>
          <w:lang w:eastAsia="ja-JP"/>
        </w:rPr>
        <w:t>In accordance with</w:t>
      </w:r>
      <w:r w:rsidRPr="00D839EE">
        <w:rPr>
          <w:rFonts w:eastAsiaTheme="minorEastAsia" w:cs="Arial"/>
          <w:sz w:val="22"/>
          <w:szCs w:val="22"/>
          <w:lang w:eastAsia="ja-JP"/>
        </w:rPr>
        <w:t xml:space="preserve"> </w:t>
      </w:r>
      <w:r w:rsidRPr="00C520D9">
        <w:rPr>
          <w:rFonts w:eastAsiaTheme="minorEastAsia"/>
          <w:sz w:val="22"/>
        </w:rPr>
        <w:t xml:space="preserve">NUREG/CR-4627, </w:t>
      </w:r>
      <w:r w:rsidRPr="00C520D9" w:rsidR="00A176CA">
        <w:rPr>
          <w:rFonts w:eastAsiaTheme="minorEastAsia"/>
          <w:sz w:val="22"/>
        </w:rPr>
        <w:t xml:space="preserve">Revision 2, </w:t>
      </w:r>
      <w:r w:rsidRPr="00C520D9" w:rsidR="00444DC7">
        <w:rPr>
          <w:rFonts w:eastAsiaTheme="minorEastAsia"/>
          <w:sz w:val="22"/>
        </w:rPr>
        <w:t>“</w:t>
      </w:r>
      <w:r w:rsidRPr="00C520D9">
        <w:rPr>
          <w:rFonts w:eastAsiaTheme="minorEastAsia"/>
          <w:sz w:val="22"/>
        </w:rPr>
        <w:t>Generic Cost Estimates,</w:t>
      </w:r>
      <w:r w:rsidRPr="00C520D9" w:rsidR="00444DC7">
        <w:rPr>
          <w:rFonts w:eastAsiaTheme="minorEastAsia"/>
          <w:sz w:val="22"/>
        </w:rPr>
        <w:t>”</w:t>
      </w:r>
      <w:r w:rsidRPr="00C520D9">
        <w:rPr>
          <w:rFonts w:eastAsiaTheme="minorEastAsia"/>
          <w:sz w:val="22"/>
        </w:rPr>
        <w:t xml:space="preserve"> </w:t>
      </w:r>
      <w:r w:rsidRPr="00C520D9" w:rsidR="0058505F">
        <w:rPr>
          <w:rFonts w:eastAsiaTheme="minorEastAsia"/>
          <w:sz w:val="22"/>
        </w:rPr>
        <w:t xml:space="preserve">issued </w:t>
      </w:r>
      <w:r w:rsidRPr="00C520D9" w:rsidR="00C262EC">
        <w:rPr>
          <w:rFonts w:eastAsiaTheme="minorEastAsia"/>
          <w:sz w:val="22"/>
        </w:rPr>
        <w:t>February</w:t>
      </w:r>
      <w:r w:rsidRPr="00C520D9" w:rsidR="0058505F">
        <w:rPr>
          <w:rFonts w:eastAsiaTheme="minorEastAsia"/>
          <w:sz w:val="22"/>
        </w:rPr>
        <w:t xml:space="preserve"> 1992 </w:t>
      </w:r>
      <w:r w:rsidRPr="00C520D9" w:rsidR="00C23ECE">
        <w:rPr>
          <w:rFonts w:eastAsiaTheme="minorEastAsia"/>
          <w:sz w:val="22"/>
        </w:rPr>
        <w:t>(Ref. </w:t>
      </w:r>
      <w:r w:rsidRPr="00C520D9" w:rsidR="00AA56A2">
        <w:rPr>
          <w:rFonts w:eastAsiaTheme="minorEastAsia" w:cs="Arial"/>
          <w:sz w:val="22"/>
          <w:szCs w:val="22"/>
          <w:lang w:eastAsia="ja-JP"/>
        </w:rPr>
        <w:t>2</w:t>
      </w:r>
      <w:r w:rsidR="00AA56A2">
        <w:rPr>
          <w:rFonts w:eastAsiaTheme="minorEastAsia" w:cs="Arial"/>
          <w:sz w:val="22"/>
          <w:szCs w:val="22"/>
          <w:lang w:eastAsia="ja-JP"/>
        </w:rPr>
        <w:t>8</w:t>
      </w:r>
      <w:r w:rsidR="00C23ECE">
        <w:rPr>
          <w:rFonts w:eastAsiaTheme="minorEastAsia" w:cs="Arial"/>
          <w:sz w:val="22"/>
          <w:szCs w:val="22"/>
          <w:lang w:eastAsia="ja-JP"/>
        </w:rPr>
        <w:t xml:space="preserve">), </w:t>
      </w:r>
      <w:r w:rsidRPr="00D839EE">
        <w:rPr>
          <w:rFonts w:eastAsiaTheme="minorEastAsia" w:cs="Arial"/>
          <w:sz w:val="22"/>
          <w:szCs w:val="22"/>
          <w:lang w:eastAsia="ja-JP"/>
        </w:rPr>
        <w:t xml:space="preserve">direct wage rates are loaded using a multiplier of </w:t>
      </w:r>
      <w:r w:rsidRPr="00D839EE" w:rsidR="00444DC7">
        <w:rPr>
          <w:rFonts w:eastAsiaTheme="minorEastAsia" w:cs="Arial"/>
          <w:sz w:val="22"/>
          <w:szCs w:val="22"/>
          <w:lang w:eastAsia="ja-JP"/>
        </w:rPr>
        <w:t>two</w:t>
      </w:r>
      <w:r w:rsidRPr="00D839EE">
        <w:rPr>
          <w:rFonts w:eastAsiaTheme="minorEastAsia" w:cs="Arial"/>
          <w:sz w:val="22"/>
          <w:szCs w:val="22"/>
          <w:lang w:eastAsia="ja-JP"/>
        </w:rPr>
        <w:t xml:space="preserve"> to account for licensee and contractor labor and overhead (i.e., fringe, benefits, general administration, and profit</w:t>
      </w:r>
      <w:r w:rsidRPr="00D96410">
        <w:rPr>
          <w:rFonts w:eastAsiaTheme="minorEastAsia" w:cs="Arial"/>
          <w:sz w:val="22"/>
          <w:szCs w:val="22"/>
          <w:lang w:eastAsia="ja-JP"/>
        </w:rPr>
        <w:t xml:space="preserve">).  </w:t>
      </w:r>
      <w:r w:rsidRPr="00C97579" w:rsidR="00642562">
        <w:rPr>
          <w:rFonts w:eastAsiaTheme="minorEastAsia" w:cs="Arial"/>
          <w:sz w:val="22"/>
          <w:szCs w:val="22"/>
          <w:lang w:eastAsia="ja-JP"/>
        </w:rPr>
        <w:fldChar w:fldCharType="begin"/>
      </w:r>
      <w:r w:rsidRPr="00C97579" w:rsidR="00642562">
        <w:rPr>
          <w:rFonts w:eastAsiaTheme="minorEastAsia" w:cs="Arial"/>
          <w:iCs/>
          <w:sz w:val="22"/>
          <w:szCs w:val="22"/>
          <w:lang w:eastAsia="ja-JP"/>
        </w:rPr>
        <w:instrText xml:space="preserve"> REF _Ref534034880 \h  \* MERGEFORMAT </w:instrText>
      </w:r>
      <w:r w:rsidRPr="00C97579" w:rsidR="00642562">
        <w:rPr>
          <w:rFonts w:eastAsiaTheme="minorEastAsia" w:cs="Arial"/>
          <w:sz w:val="22"/>
          <w:szCs w:val="22"/>
          <w:lang w:eastAsia="ja-JP"/>
        </w:rPr>
        <w:fldChar w:fldCharType="separate"/>
      </w:r>
      <w:r w:rsidRPr="00977795" w:rsidR="00977795">
        <w:rPr>
          <w:sz w:val="22"/>
          <w:szCs w:val="22"/>
        </w:rPr>
        <w:t>Exhibit 3</w:t>
      </w:r>
      <w:r w:rsidRPr="00977795" w:rsidR="00977795">
        <w:rPr>
          <w:sz w:val="22"/>
          <w:szCs w:val="22"/>
        </w:rPr>
        <w:noBreakHyphen/>
        <w:t>3</w:t>
      </w:r>
      <w:r w:rsidRPr="00C97579" w:rsidR="00642562">
        <w:rPr>
          <w:rFonts w:eastAsiaTheme="minorEastAsia" w:cs="Arial"/>
          <w:sz w:val="22"/>
          <w:szCs w:val="22"/>
          <w:lang w:eastAsia="ja-JP"/>
        </w:rPr>
        <w:fldChar w:fldCharType="end"/>
      </w:r>
      <w:r w:rsidRPr="00346B95">
        <w:rPr>
          <w:rFonts w:eastAsiaTheme="minorEastAsia"/>
          <w:sz w:val="22"/>
        </w:rPr>
        <w:t xml:space="preserve"> presents the mean wage rates, loaded wage factor</w:t>
      </w:r>
      <w:r w:rsidRPr="00D839EE">
        <w:rPr>
          <w:rFonts w:eastAsiaTheme="minorEastAsia" w:cs="Arial"/>
          <w:sz w:val="22"/>
          <w:szCs w:val="22"/>
          <w:lang w:eastAsia="ja-JP"/>
        </w:rPr>
        <w:t>, and loaded wage rates used throughout this analysis.</w:t>
      </w:r>
    </w:p>
    <w:p w:rsidR="00A10576" w:rsidRPr="00DB79AE" w:rsidP="00A10576" w14:paraId="7F4935FC" w14:textId="77777777">
      <w:pPr>
        <w:rPr>
          <w:rFonts w:eastAsiaTheme="minorEastAsia"/>
          <w:lang w:eastAsia="ja-JP"/>
        </w:rPr>
      </w:pPr>
    </w:p>
    <w:p w:rsidR="00C464ED" w:rsidRPr="00D96410" w:rsidP="00282C4C" w14:paraId="7F4935FD" w14:textId="49C0C365">
      <w:pPr>
        <w:pStyle w:val="Caption"/>
        <w:keepNext/>
        <w:spacing w:after="0"/>
        <w:jc w:val="center"/>
        <w:rPr>
          <w:b/>
          <w:color w:val="auto"/>
          <w:sz w:val="20"/>
        </w:rPr>
      </w:pPr>
      <w:bookmarkStart w:id="97" w:name="_Ref534034880"/>
      <w:bookmarkStart w:id="98" w:name="_Toc534037051"/>
      <w:bookmarkStart w:id="99" w:name="_Toc534709838"/>
      <w:bookmarkStart w:id="100" w:name="_Toc534709996"/>
      <w:bookmarkStart w:id="101" w:name="_Toc534711681"/>
      <w:bookmarkStart w:id="102" w:name="_Toc534711928"/>
      <w:bookmarkStart w:id="103" w:name="_Toc534712114"/>
      <w:bookmarkStart w:id="104" w:name="_Toc534712691"/>
      <w:bookmarkStart w:id="105" w:name="_Toc534713200"/>
      <w:bookmarkStart w:id="106" w:name="_Toc9526460"/>
      <w:bookmarkStart w:id="107" w:name="_Toc536603409"/>
      <w:r w:rsidRPr="000F7FD1">
        <w:rPr>
          <w:b/>
          <w:i w:val="0"/>
          <w:color w:val="auto"/>
          <w:sz w:val="22"/>
          <w:szCs w:val="22"/>
        </w:rPr>
        <w:t>Exhibit 3</w:t>
      </w:r>
      <w:r w:rsidRPr="000F7FD1">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3</w:t>
      </w:r>
      <w:r w:rsidRPr="000F7FD1" w:rsidR="00C276FC">
        <w:rPr>
          <w:b/>
          <w:i w:val="0"/>
          <w:color w:val="auto"/>
          <w:sz w:val="22"/>
          <w:szCs w:val="22"/>
        </w:rPr>
        <w:fldChar w:fldCharType="end"/>
      </w:r>
      <w:bookmarkEnd w:id="97"/>
      <w:r w:rsidRPr="00D96410">
        <w:rPr>
          <w:b/>
          <w:i w:val="0"/>
          <w:color w:val="auto"/>
          <w:sz w:val="22"/>
          <w:szCs w:val="20"/>
        </w:rPr>
        <w:t>. Wage Rate Estimates by Labor Category (</w:t>
      </w:r>
      <w:r w:rsidRPr="00D96410" w:rsidR="009170F7">
        <w:rPr>
          <w:b/>
          <w:i w:val="0"/>
          <w:color w:val="auto"/>
          <w:sz w:val="22"/>
          <w:szCs w:val="20"/>
        </w:rPr>
        <w:t>2020$</w:t>
      </w:r>
      <w:r w:rsidRPr="00D96410">
        <w:rPr>
          <w:b/>
          <w:i w:val="0"/>
          <w:color w:val="auto"/>
          <w:sz w:val="22"/>
          <w:szCs w:val="20"/>
        </w:rPr>
        <w:t>)</w:t>
      </w:r>
      <w:bookmarkEnd w:id="98"/>
      <w:bookmarkEnd w:id="99"/>
      <w:bookmarkEnd w:id="100"/>
      <w:bookmarkEnd w:id="101"/>
      <w:bookmarkEnd w:id="102"/>
      <w:bookmarkEnd w:id="103"/>
      <w:bookmarkEnd w:id="104"/>
      <w:bookmarkEnd w:id="105"/>
      <w:bookmarkEnd w:id="106"/>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4"/>
        <w:gridCol w:w="1737"/>
        <w:gridCol w:w="1998"/>
        <w:gridCol w:w="1841"/>
      </w:tblGrid>
      <w:tr w14:paraId="7F493602" w14:textId="77777777" w:rsidTr="00346B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7"/>
          <w:tblHeader/>
          <w:jc w:val="center"/>
        </w:trPr>
        <w:tc>
          <w:tcPr>
            <w:tcW w:w="0" w:type="auto"/>
            <w:vMerge w:val="restart"/>
            <w:shd w:val="clear" w:color="auto" w:fill="auto"/>
            <w:vAlign w:val="center"/>
            <w:hideMark/>
          </w:tcPr>
          <w:p w:rsidR="00BF5AC4" w:rsidRPr="00D839EE" w:rsidP="003B2E5E" w14:paraId="7F4935FE" w14:textId="77777777">
            <w:pPr>
              <w:keepNext/>
              <w:contextualSpacing/>
              <w:jc w:val="center"/>
              <w:rPr>
                <w:rFonts w:cs="Arial"/>
                <w:b/>
                <w:bCs/>
                <w:color w:val="000000"/>
              </w:rPr>
            </w:pPr>
            <w:r w:rsidRPr="00D839EE">
              <w:rPr>
                <w:rFonts w:cs="Arial"/>
                <w:b/>
                <w:bCs/>
                <w:color w:val="000000"/>
              </w:rPr>
              <w:t>Labor Category</w:t>
            </w:r>
          </w:p>
        </w:tc>
        <w:tc>
          <w:tcPr>
            <w:tcW w:w="0" w:type="auto"/>
            <w:tcBorders>
              <w:bottom w:val="single" w:sz="4" w:space="0" w:color="auto"/>
            </w:tcBorders>
            <w:shd w:val="clear" w:color="auto" w:fill="auto"/>
            <w:vAlign w:val="center"/>
            <w:hideMark/>
          </w:tcPr>
          <w:p w:rsidR="00BF5AC4" w:rsidRPr="00D839EE" w:rsidP="003B2E5E" w14:paraId="7F4935FF" w14:textId="77777777">
            <w:pPr>
              <w:keepNext/>
              <w:contextualSpacing/>
              <w:jc w:val="center"/>
              <w:rPr>
                <w:rFonts w:cs="Arial"/>
                <w:b/>
                <w:bCs/>
                <w:color w:val="000000"/>
              </w:rPr>
            </w:pPr>
            <w:r w:rsidRPr="00D839EE">
              <w:rPr>
                <w:rFonts w:cs="Arial"/>
                <w:b/>
                <w:bCs/>
                <w:color w:val="000000"/>
              </w:rPr>
              <w:t>Mean Wage Rate</w:t>
            </w:r>
            <w:r w:rsidR="006A7396">
              <w:rPr>
                <w:rFonts w:cs="Arial"/>
                <w:b/>
                <w:bCs/>
                <w:color w:val="000000"/>
              </w:rPr>
              <w:t>**</w:t>
            </w:r>
          </w:p>
        </w:tc>
        <w:tc>
          <w:tcPr>
            <w:tcW w:w="0" w:type="auto"/>
            <w:shd w:val="clear" w:color="auto" w:fill="auto"/>
            <w:vAlign w:val="center"/>
            <w:hideMark/>
          </w:tcPr>
          <w:p w:rsidR="00BF5AC4" w:rsidRPr="00D839EE" w:rsidP="003B2E5E" w14:paraId="7F493600" w14:textId="77777777">
            <w:pPr>
              <w:keepNext/>
              <w:contextualSpacing/>
              <w:jc w:val="center"/>
              <w:rPr>
                <w:rFonts w:cs="Arial"/>
                <w:b/>
                <w:bCs/>
                <w:color w:val="000000"/>
              </w:rPr>
            </w:pPr>
            <w:r w:rsidRPr="00D839EE">
              <w:rPr>
                <w:rFonts w:cs="Arial"/>
                <w:b/>
                <w:bCs/>
                <w:color w:val="000000"/>
              </w:rPr>
              <w:t>Loaded Wage Factor</w:t>
            </w:r>
            <w:r w:rsidR="006A7396">
              <w:rPr>
                <w:rFonts w:cs="Arial"/>
                <w:b/>
                <w:bCs/>
                <w:color w:val="000000"/>
              </w:rPr>
              <w:t>*</w:t>
            </w:r>
          </w:p>
        </w:tc>
        <w:tc>
          <w:tcPr>
            <w:tcW w:w="0" w:type="auto"/>
            <w:shd w:val="clear" w:color="auto" w:fill="auto"/>
            <w:vAlign w:val="center"/>
            <w:hideMark/>
          </w:tcPr>
          <w:p w:rsidR="00BF5AC4" w:rsidRPr="00D839EE" w:rsidP="003B2E5E" w14:paraId="7F493601" w14:textId="77777777">
            <w:pPr>
              <w:keepNext/>
              <w:contextualSpacing/>
              <w:jc w:val="center"/>
              <w:rPr>
                <w:rFonts w:cs="Arial"/>
                <w:b/>
                <w:bCs/>
                <w:color w:val="000000"/>
              </w:rPr>
            </w:pPr>
            <w:r w:rsidRPr="00D839EE">
              <w:rPr>
                <w:rFonts w:cs="Arial"/>
                <w:b/>
                <w:bCs/>
                <w:color w:val="000000"/>
              </w:rPr>
              <w:t>Loaded Wage Rate</w:t>
            </w:r>
          </w:p>
        </w:tc>
      </w:tr>
      <w:tr w14:paraId="7F493607" w14:textId="77777777" w:rsidTr="006F3BFE">
        <w:tblPrEx>
          <w:tblW w:w="0" w:type="auto"/>
          <w:jc w:val="center"/>
          <w:tblLook w:val="04A0"/>
        </w:tblPrEx>
        <w:trPr>
          <w:trHeight w:val="179"/>
          <w:tblHeader/>
          <w:jc w:val="center"/>
        </w:trPr>
        <w:tc>
          <w:tcPr>
            <w:tcW w:w="0" w:type="auto"/>
            <w:vMerge/>
            <w:vAlign w:val="center"/>
            <w:hideMark/>
          </w:tcPr>
          <w:p w:rsidR="00BF5AC4" w:rsidRPr="00D839EE" w:rsidP="003B2E5E" w14:paraId="7F493603" w14:textId="77777777">
            <w:pPr>
              <w:keepNext/>
              <w:contextualSpacing/>
              <w:jc w:val="center"/>
              <w:rPr>
                <w:rFonts w:cs="Arial"/>
                <w:b/>
                <w:bCs/>
                <w:color w:val="000000"/>
              </w:rPr>
            </w:pPr>
          </w:p>
        </w:tc>
        <w:tc>
          <w:tcPr>
            <w:tcW w:w="0" w:type="auto"/>
            <w:shd w:val="clear" w:color="auto" w:fill="auto"/>
            <w:vAlign w:val="center"/>
            <w:hideMark/>
          </w:tcPr>
          <w:p w:rsidR="00BF5AC4" w:rsidRPr="00D839EE" w:rsidP="003B2E5E" w14:paraId="7F493604" w14:textId="77777777">
            <w:pPr>
              <w:keepNext/>
              <w:contextualSpacing/>
              <w:jc w:val="center"/>
              <w:rPr>
                <w:rFonts w:cs="Arial"/>
                <w:b/>
                <w:bCs/>
                <w:color w:val="000000"/>
              </w:rPr>
            </w:pPr>
            <w:r w:rsidRPr="00D839EE">
              <w:rPr>
                <w:rFonts w:cs="Arial"/>
                <w:b/>
                <w:bCs/>
                <w:color w:val="000000"/>
              </w:rPr>
              <w:t>A</w:t>
            </w:r>
          </w:p>
        </w:tc>
        <w:tc>
          <w:tcPr>
            <w:tcW w:w="0" w:type="auto"/>
            <w:tcBorders>
              <w:bottom w:val="nil"/>
            </w:tcBorders>
            <w:shd w:val="clear" w:color="auto" w:fill="auto"/>
            <w:vAlign w:val="center"/>
            <w:hideMark/>
          </w:tcPr>
          <w:p w:rsidR="00BF5AC4" w:rsidRPr="00D839EE" w:rsidP="003B2E5E" w14:paraId="7F493605" w14:textId="77777777">
            <w:pPr>
              <w:keepNext/>
              <w:contextualSpacing/>
              <w:jc w:val="center"/>
              <w:rPr>
                <w:rFonts w:cs="Arial"/>
                <w:b/>
                <w:bCs/>
                <w:color w:val="000000"/>
              </w:rPr>
            </w:pPr>
            <w:r w:rsidRPr="00D839EE">
              <w:rPr>
                <w:rFonts w:cs="Arial"/>
                <w:b/>
                <w:bCs/>
                <w:color w:val="000000"/>
              </w:rPr>
              <w:t>B</w:t>
            </w:r>
          </w:p>
        </w:tc>
        <w:tc>
          <w:tcPr>
            <w:tcW w:w="0" w:type="auto"/>
            <w:tcBorders>
              <w:bottom w:val="single" w:sz="4" w:space="0" w:color="auto"/>
            </w:tcBorders>
            <w:shd w:val="clear" w:color="auto" w:fill="auto"/>
            <w:vAlign w:val="center"/>
            <w:hideMark/>
          </w:tcPr>
          <w:p w:rsidR="00BF5AC4" w:rsidRPr="00D839EE" w:rsidP="003B2E5E" w14:paraId="7F493606" w14:textId="77777777">
            <w:pPr>
              <w:keepNext/>
              <w:contextualSpacing/>
              <w:jc w:val="center"/>
              <w:rPr>
                <w:rFonts w:cs="Arial"/>
                <w:b/>
                <w:bCs/>
                <w:color w:val="000000"/>
              </w:rPr>
            </w:pPr>
            <w:r w:rsidRPr="00D839EE">
              <w:rPr>
                <w:rFonts w:cs="Arial"/>
                <w:b/>
                <w:bCs/>
                <w:color w:val="000000"/>
              </w:rPr>
              <w:t>C = A x B</w:t>
            </w:r>
          </w:p>
        </w:tc>
      </w:tr>
      <w:tr w14:paraId="7F49360C" w14:textId="77777777" w:rsidTr="006F3BFE">
        <w:tblPrEx>
          <w:tblW w:w="0" w:type="auto"/>
          <w:jc w:val="center"/>
          <w:tblLook w:val="04A0"/>
        </w:tblPrEx>
        <w:trPr>
          <w:trHeight w:val="205"/>
          <w:jc w:val="center"/>
        </w:trPr>
        <w:tc>
          <w:tcPr>
            <w:tcW w:w="0" w:type="auto"/>
            <w:shd w:val="clear" w:color="auto" w:fill="auto"/>
            <w:noWrap/>
            <w:vAlign w:val="center"/>
            <w:hideMark/>
          </w:tcPr>
          <w:p w:rsidR="00955C18" w:rsidRPr="00D839EE" w:rsidP="003B2E5E" w14:paraId="7F493608" w14:textId="77777777">
            <w:pPr>
              <w:keepNext/>
              <w:contextualSpacing/>
              <w:rPr>
                <w:rFonts w:cs="Arial"/>
                <w:color w:val="000000"/>
              </w:rPr>
            </w:pPr>
            <w:r w:rsidRPr="00D839EE">
              <w:rPr>
                <w:rFonts w:cs="Arial"/>
                <w:color w:val="000000"/>
              </w:rPr>
              <w:t>Reactor Director, Engineering Professor</w:t>
            </w:r>
          </w:p>
        </w:tc>
        <w:tc>
          <w:tcPr>
            <w:tcW w:w="0" w:type="auto"/>
            <w:tcBorders>
              <w:top w:val="single" w:sz="4" w:space="0" w:color="auto"/>
              <w:right w:val="single" w:sz="4" w:space="0" w:color="auto"/>
            </w:tcBorders>
            <w:shd w:val="clear" w:color="auto" w:fill="auto"/>
            <w:noWrap/>
            <w:vAlign w:val="center"/>
            <w:hideMark/>
          </w:tcPr>
          <w:p w:rsidR="00955C18" w:rsidRPr="00D839EE" w:rsidP="00DE7D18" w14:paraId="7F493609" w14:textId="77777777">
            <w:pPr>
              <w:keepNext/>
              <w:contextualSpacing/>
              <w:jc w:val="center"/>
              <w:rPr>
                <w:rFonts w:cs="Arial"/>
                <w:color w:val="000000"/>
              </w:rPr>
            </w:pPr>
            <w:r w:rsidRPr="00D839EE">
              <w:rPr>
                <w:rFonts w:cs="Arial"/>
                <w:color w:val="000000"/>
              </w:rPr>
              <w:t>$</w:t>
            </w:r>
            <w:r w:rsidR="00FE3576">
              <w:rPr>
                <w:rFonts w:cs="Arial"/>
                <w:color w:val="000000"/>
              </w:rPr>
              <w:t>56.65</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955C18" w:rsidRPr="00D839EE" w:rsidP="003B2E5E" w14:paraId="7F49360A" w14:textId="77777777">
            <w:pPr>
              <w:keepNext/>
              <w:contextualSpacing/>
              <w:jc w:val="center"/>
              <w:rPr>
                <w:rFonts w:cs="Arial"/>
                <w:color w:val="000000"/>
              </w:rPr>
            </w:pPr>
            <w:r w:rsidRPr="00D839EE">
              <w:rPr>
                <w:rFonts w:cs="Arial"/>
                <w:color w:val="000000"/>
              </w:rPr>
              <w:t>2</w:t>
            </w:r>
          </w:p>
        </w:tc>
        <w:tc>
          <w:tcPr>
            <w:tcW w:w="0" w:type="auto"/>
            <w:tcBorders>
              <w:top w:val="single" w:sz="4" w:space="0" w:color="auto"/>
              <w:left w:val="single" w:sz="4" w:space="0" w:color="auto"/>
            </w:tcBorders>
            <w:shd w:val="clear" w:color="auto" w:fill="auto"/>
            <w:noWrap/>
            <w:vAlign w:val="center"/>
            <w:hideMark/>
          </w:tcPr>
          <w:p w:rsidR="00955C18" w:rsidRPr="00D839EE" w:rsidP="00DE7D18" w14:paraId="7F49360B" w14:textId="77777777">
            <w:pPr>
              <w:keepNext/>
              <w:contextualSpacing/>
              <w:jc w:val="center"/>
              <w:rPr>
                <w:rFonts w:cs="Arial"/>
                <w:color w:val="000000"/>
              </w:rPr>
            </w:pPr>
            <w:r w:rsidRPr="00D839EE">
              <w:rPr>
                <w:rFonts w:cs="Arial"/>
                <w:color w:val="000000"/>
              </w:rPr>
              <w:t>$</w:t>
            </w:r>
            <w:r w:rsidR="001A0322">
              <w:rPr>
                <w:rFonts w:cs="Arial"/>
                <w:color w:val="000000"/>
              </w:rPr>
              <w:t>113.31</w:t>
            </w:r>
          </w:p>
        </w:tc>
      </w:tr>
      <w:tr w14:paraId="7F493611" w14:textId="77777777" w:rsidTr="006F3BFE">
        <w:tblPrEx>
          <w:tblW w:w="0" w:type="auto"/>
          <w:jc w:val="center"/>
          <w:tblLook w:val="04A0"/>
        </w:tblPrEx>
        <w:trPr>
          <w:trHeight w:val="152"/>
          <w:jc w:val="center"/>
        </w:trPr>
        <w:tc>
          <w:tcPr>
            <w:tcW w:w="0" w:type="auto"/>
            <w:shd w:val="clear" w:color="auto" w:fill="auto"/>
            <w:noWrap/>
            <w:vAlign w:val="center"/>
            <w:hideMark/>
          </w:tcPr>
          <w:p w:rsidR="00955C18" w:rsidRPr="00D839EE" w:rsidP="003B2E5E" w14:paraId="7F49360D" w14:textId="77777777">
            <w:pPr>
              <w:keepNext/>
              <w:contextualSpacing/>
              <w:rPr>
                <w:rFonts w:cs="Arial"/>
                <w:color w:val="000000"/>
              </w:rPr>
            </w:pPr>
            <w:r w:rsidRPr="00D839EE">
              <w:rPr>
                <w:rFonts w:cs="Arial"/>
                <w:color w:val="000000"/>
              </w:rPr>
              <w:t>NPUF Operator, Assistant Director</w:t>
            </w:r>
          </w:p>
        </w:tc>
        <w:tc>
          <w:tcPr>
            <w:tcW w:w="0" w:type="auto"/>
            <w:tcBorders>
              <w:right w:val="single" w:sz="4" w:space="0" w:color="auto"/>
            </w:tcBorders>
            <w:shd w:val="clear" w:color="auto" w:fill="auto"/>
            <w:noWrap/>
            <w:vAlign w:val="center"/>
            <w:hideMark/>
          </w:tcPr>
          <w:p w:rsidR="00955C18" w:rsidRPr="00D839EE" w:rsidP="003B2E5E" w14:paraId="7F49360E" w14:textId="77777777">
            <w:pPr>
              <w:keepNext/>
              <w:contextualSpacing/>
              <w:jc w:val="center"/>
              <w:rPr>
                <w:rFonts w:cs="Arial"/>
                <w:color w:val="000000"/>
              </w:rPr>
            </w:pPr>
            <w:r w:rsidRPr="00D839EE">
              <w:rPr>
                <w:rFonts w:cs="Arial"/>
                <w:color w:val="000000"/>
              </w:rPr>
              <w:t>$</w:t>
            </w:r>
            <w:r w:rsidR="006141EE">
              <w:rPr>
                <w:rFonts w:cs="Arial"/>
                <w:color w:val="000000"/>
              </w:rPr>
              <w:t>48.67</w:t>
            </w:r>
          </w:p>
        </w:tc>
        <w:tc>
          <w:tcPr>
            <w:tcW w:w="0" w:type="auto"/>
            <w:vMerge/>
            <w:tcBorders>
              <w:left w:val="single" w:sz="4" w:space="0" w:color="auto"/>
              <w:right w:val="single" w:sz="4" w:space="0" w:color="auto"/>
            </w:tcBorders>
            <w:shd w:val="clear" w:color="auto" w:fill="auto"/>
            <w:vAlign w:val="center"/>
            <w:hideMark/>
          </w:tcPr>
          <w:p w:rsidR="00955C18" w:rsidRPr="00D839EE" w:rsidP="003B2E5E" w14:paraId="7F49360F" w14:textId="77777777">
            <w:pPr>
              <w:keepNext/>
              <w:contextualSpacing/>
              <w:jc w:val="center"/>
              <w:rPr>
                <w:rFonts w:cs="Arial"/>
                <w:color w:val="000000"/>
              </w:rPr>
            </w:pPr>
          </w:p>
        </w:tc>
        <w:tc>
          <w:tcPr>
            <w:tcW w:w="0" w:type="auto"/>
            <w:tcBorders>
              <w:left w:val="single" w:sz="4" w:space="0" w:color="auto"/>
            </w:tcBorders>
            <w:shd w:val="clear" w:color="auto" w:fill="auto"/>
            <w:noWrap/>
            <w:vAlign w:val="center"/>
            <w:hideMark/>
          </w:tcPr>
          <w:p w:rsidR="00955C18" w:rsidRPr="00D839EE" w:rsidP="00DE7D18" w14:paraId="7F493610" w14:textId="77777777">
            <w:pPr>
              <w:keepNext/>
              <w:contextualSpacing/>
              <w:jc w:val="center"/>
              <w:rPr>
                <w:rFonts w:cs="Arial"/>
                <w:color w:val="000000"/>
              </w:rPr>
            </w:pPr>
            <w:r>
              <w:rPr>
                <w:rFonts w:cs="Arial"/>
                <w:color w:val="000000"/>
              </w:rPr>
              <w:t>$97.34</w:t>
            </w:r>
          </w:p>
        </w:tc>
      </w:tr>
      <w:tr w14:paraId="7F493616" w14:textId="77777777" w:rsidTr="006F3BFE">
        <w:tblPrEx>
          <w:tblW w:w="0" w:type="auto"/>
          <w:jc w:val="center"/>
          <w:tblLook w:val="04A0"/>
        </w:tblPrEx>
        <w:trPr>
          <w:trHeight w:val="205"/>
          <w:jc w:val="center"/>
        </w:trPr>
        <w:tc>
          <w:tcPr>
            <w:tcW w:w="0" w:type="auto"/>
            <w:shd w:val="clear" w:color="auto" w:fill="auto"/>
            <w:noWrap/>
            <w:vAlign w:val="center"/>
            <w:hideMark/>
          </w:tcPr>
          <w:p w:rsidR="00955C18" w:rsidRPr="00D839EE" w:rsidP="003B2E5E" w14:paraId="7F493612" w14:textId="77777777">
            <w:pPr>
              <w:keepNext/>
              <w:contextualSpacing/>
              <w:rPr>
                <w:rFonts w:cs="Arial"/>
                <w:color w:val="000000"/>
              </w:rPr>
            </w:pPr>
            <w:r w:rsidRPr="00D839EE">
              <w:rPr>
                <w:rFonts w:cs="Arial"/>
                <w:color w:val="000000"/>
              </w:rPr>
              <w:t>Nuclear Technician</w:t>
            </w:r>
          </w:p>
        </w:tc>
        <w:tc>
          <w:tcPr>
            <w:tcW w:w="0" w:type="auto"/>
            <w:tcBorders>
              <w:right w:val="single" w:sz="4" w:space="0" w:color="auto"/>
            </w:tcBorders>
            <w:shd w:val="clear" w:color="auto" w:fill="auto"/>
            <w:noWrap/>
            <w:vAlign w:val="center"/>
            <w:hideMark/>
          </w:tcPr>
          <w:p w:rsidR="00955C18" w:rsidRPr="00D839EE" w:rsidP="003B2E5E" w14:paraId="7F493613" w14:textId="77777777">
            <w:pPr>
              <w:keepNext/>
              <w:contextualSpacing/>
              <w:jc w:val="center"/>
              <w:rPr>
                <w:rFonts w:cs="Arial"/>
                <w:color w:val="000000"/>
              </w:rPr>
            </w:pPr>
            <w:r>
              <w:rPr>
                <w:rFonts w:cs="Arial"/>
                <w:color w:val="000000"/>
              </w:rPr>
              <w:t>$</w:t>
            </w:r>
            <w:r w:rsidR="00137B87">
              <w:rPr>
                <w:rFonts w:cs="Arial"/>
                <w:color w:val="000000"/>
              </w:rPr>
              <w:t>41.27</w:t>
            </w:r>
          </w:p>
        </w:tc>
        <w:tc>
          <w:tcPr>
            <w:tcW w:w="0" w:type="auto"/>
            <w:vMerge/>
            <w:tcBorders>
              <w:left w:val="single" w:sz="4" w:space="0" w:color="auto"/>
              <w:right w:val="single" w:sz="4" w:space="0" w:color="auto"/>
            </w:tcBorders>
            <w:shd w:val="clear" w:color="auto" w:fill="auto"/>
            <w:vAlign w:val="center"/>
            <w:hideMark/>
          </w:tcPr>
          <w:p w:rsidR="00955C18" w:rsidRPr="00D839EE" w:rsidP="003B2E5E" w14:paraId="7F493614" w14:textId="77777777">
            <w:pPr>
              <w:keepNext/>
              <w:contextualSpacing/>
              <w:jc w:val="center"/>
              <w:rPr>
                <w:rFonts w:cs="Arial"/>
                <w:color w:val="000000"/>
              </w:rPr>
            </w:pPr>
          </w:p>
        </w:tc>
        <w:tc>
          <w:tcPr>
            <w:tcW w:w="0" w:type="auto"/>
            <w:tcBorders>
              <w:left w:val="single" w:sz="4" w:space="0" w:color="auto"/>
            </w:tcBorders>
            <w:shd w:val="clear" w:color="auto" w:fill="auto"/>
            <w:noWrap/>
            <w:vAlign w:val="center"/>
            <w:hideMark/>
          </w:tcPr>
          <w:p w:rsidR="00955C18" w:rsidRPr="00D839EE" w:rsidP="00DE7D18" w14:paraId="7F493615" w14:textId="77777777">
            <w:pPr>
              <w:keepNext/>
              <w:contextualSpacing/>
              <w:jc w:val="center"/>
              <w:rPr>
                <w:rFonts w:cs="Arial"/>
                <w:color w:val="000000"/>
              </w:rPr>
            </w:pPr>
            <w:r>
              <w:rPr>
                <w:rFonts w:cs="Arial"/>
                <w:color w:val="000000"/>
              </w:rPr>
              <w:t>$82.53</w:t>
            </w:r>
          </w:p>
        </w:tc>
      </w:tr>
      <w:tr w14:paraId="7F49361B" w14:textId="77777777" w:rsidTr="006F3BFE">
        <w:tblPrEx>
          <w:tblW w:w="0" w:type="auto"/>
          <w:jc w:val="center"/>
          <w:tblLook w:val="04A0"/>
        </w:tblPrEx>
        <w:trPr>
          <w:trHeight w:val="205"/>
          <w:jc w:val="center"/>
        </w:trPr>
        <w:tc>
          <w:tcPr>
            <w:tcW w:w="0" w:type="auto"/>
            <w:shd w:val="clear" w:color="auto" w:fill="auto"/>
            <w:noWrap/>
            <w:vAlign w:val="center"/>
            <w:hideMark/>
          </w:tcPr>
          <w:p w:rsidR="00955C18" w:rsidRPr="00D839EE" w:rsidP="003B2E5E" w14:paraId="7F493617" w14:textId="77777777">
            <w:pPr>
              <w:keepNext/>
              <w:contextualSpacing/>
              <w:rPr>
                <w:rFonts w:cs="Arial"/>
                <w:color w:val="000000"/>
              </w:rPr>
            </w:pPr>
            <w:r w:rsidRPr="00D839EE">
              <w:rPr>
                <w:rFonts w:cs="Arial"/>
                <w:color w:val="000000"/>
              </w:rPr>
              <w:t>Graduate Teaching Assistant</w:t>
            </w:r>
          </w:p>
        </w:tc>
        <w:tc>
          <w:tcPr>
            <w:tcW w:w="0" w:type="auto"/>
            <w:tcBorders>
              <w:right w:val="single" w:sz="4" w:space="0" w:color="auto"/>
            </w:tcBorders>
            <w:shd w:val="clear" w:color="auto" w:fill="auto"/>
            <w:noWrap/>
            <w:vAlign w:val="center"/>
            <w:hideMark/>
          </w:tcPr>
          <w:p w:rsidR="00955C18" w:rsidRPr="00D839EE" w:rsidP="003B2E5E" w14:paraId="7F493618" w14:textId="77777777">
            <w:pPr>
              <w:keepNext/>
              <w:contextualSpacing/>
              <w:jc w:val="center"/>
              <w:rPr>
                <w:rFonts w:cs="Arial"/>
                <w:color w:val="000000"/>
              </w:rPr>
            </w:pPr>
            <w:r>
              <w:rPr>
                <w:rFonts w:cs="Arial"/>
                <w:color w:val="000000"/>
              </w:rPr>
              <w:t>$19.46</w:t>
            </w:r>
          </w:p>
        </w:tc>
        <w:tc>
          <w:tcPr>
            <w:tcW w:w="0" w:type="auto"/>
            <w:vMerge/>
            <w:tcBorders>
              <w:left w:val="single" w:sz="4" w:space="0" w:color="auto"/>
              <w:right w:val="single" w:sz="4" w:space="0" w:color="auto"/>
            </w:tcBorders>
            <w:shd w:val="clear" w:color="auto" w:fill="auto"/>
            <w:vAlign w:val="center"/>
            <w:hideMark/>
          </w:tcPr>
          <w:p w:rsidR="00955C18" w:rsidRPr="00D839EE" w:rsidP="003B2E5E" w14:paraId="7F493619" w14:textId="77777777">
            <w:pPr>
              <w:keepNext/>
              <w:contextualSpacing/>
              <w:jc w:val="center"/>
              <w:rPr>
                <w:rFonts w:cs="Arial"/>
                <w:color w:val="000000"/>
              </w:rPr>
            </w:pPr>
          </w:p>
        </w:tc>
        <w:tc>
          <w:tcPr>
            <w:tcW w:w="0" w:type="auto"/>
            <w:tcBorders>
              <w:left w:val="single" w:sz="4" w:space="0" w:color="auto"/>
            </w:tcBorders>
            <w:shd w:val="clear" w:color="auto" w:fill="auto"/>
            <w:noWrap/>
            <w:vAlign w:val="center"/>
            <w:hideMark/>
          </w:tcPr>
          <w:p w:rsidR="00955C18" w:rsidRPr="00D839EE" w:rsidP="00E56E25" w14:paraId="7F49361A" w14:textId="77777777">
            <w:pPr>
              <w:keepNext/>
              <w:contextualSpacing/>
              <w:jc w:val="center"/>
              <w:rPr>
                <w:rFonts w:cs="Arial"/>
                <w:color w:val="000000"/>
              </w:rPr>
            </w:pPr>
            <w:r>
              <w:rPr>
                <w:rFonts w:cs="Arial"/>
                <w:color w:val="000000"/>
              </w:rPr>
              <w:t>$38.91</w:t>
            </w:r>
          </w:p>
        </w:tc>
      </w:tr>
      <w:tr w14:paraId="7F493620" w14:textId="77777777" w:rsidTr="006F3BFE">
        <w:tblPrEx>
          <w:tblW w:w="0" w:type="auto"/>
          <w:jc w:val="center"/>
          <w:tblLook w:val="04A0"/>
        </w:tblPrEx>
        <w:trPr>
          <w:trHeight w:val="205"/>
          <w:jc w:val="center"/>
        </w:trPr>
        <w:tc>
          <w:tcPr>
            <w:tcW w:w="0" w:type="auto"/>
            <w:shd w:val="clear" w:color="auto" w:fill="auto"/>
            <w:noWrap/>
            <w:vAlign w:val="center"/>
            <w:hideMark/>
          </w:tcPr>
          <w:p w:rsidR="00955C18" w:rsidRPr="00D839EE" w:rsidP="003B2E5E" w14:paraId="7F49361C" w14:textId="77777777">
            <w:pPr>
              <w:keepNext/>
              <w:contextualSpacing/>
              <w:rPr>
                <w:rFonts w:cs="Arial"/>
                <w:color w:val="000000"/>
              </w:rPr>
            </w:pPr>
            <w:r w:rsidRPr="00D839EE">
              <w:rPr>
                <w:rFonts w:cs="Arial"/>
                <w:color w:val="000000"/>
              </w:rPr>
              <w:t>Administrator Education, Post</w:t>
            </w:r>
            <w:r w:rsidR="00D1321E">
              <w:rPr>
                <w:rFonts w:cs="Arial"/>
                <w:color w:val="000000"/>
              </w:rPr>
              <w:t>s</w:t>
            </w:r>
            <w:r w:rsidRPr="00D839EE">
              <w:rPr>
                <w:rFonts w:cs="Arial"/>
                <w:color w:val="000000"/>
              </w:rPr>
              <w:t>econdary</w:t>
            </w:r>
          </w:p>
        </w:tc>
        <w:tc>
          <w:tcPr>
            <w:tcW w:w="0" w:type="auto"/>
            <w:tcBorders>
              <w:right w:val="single" w:sz="4" w:space="0" w:color="auto"/>
            </w:tcBorders>
            <w:shd w:val="clear" w:color="auto" w:fill="auto"/>
            <w:noWrap/>
            <w:vAlign w:val="center"/>
            <w:hideMark/>
          </w:tcPr>
          <w:p w:rsidR="00955C18" w:rsidRPr="00D839EE" w:rsidP="003B2E5E" w14:paraId="7F49361D" w14:textId="77777777">
            <w:pPr>
              <w:keepNext/>
              <w:contextualSpacing/>
              <w:jc w:val="center"/>
              <w:rPr>
                <w:rFonts w:cs="Arial"/>
                <w:color w:val="000000"/>
              </w:rPr>
            </w:pPr>
            <w:r>
              <w:rPr>
                <w:rFonts w:cs="Arial"/>
                <w:color w:val="000000"/>
              </w:rPr>
              <w:t>$55.54</w:t>
            </w:r>
          </w:p>
        </w:tc>
        <w:tc>
          <w:tcPr>
            <w:tcW w:w="0" w:type="auto"/>
            <w:vMerge/>
            <w:tcBorders>
              <w:left w:val="single" w:sz="4" w:space="0" w:color="auto"/>
              <w:right w:val="single" w:sz="4" w:space="0" w:color="auto"/>
            </w:tcBorders>
            <w:shd w:val="clear" w:color="auto" w:fill="auto"/>
            <w:vAlign w:val="center"/>
            <w:hideMark/>
          </w:tcPr>
          <w:p w:rsidR="00955C18" w:rsidRPr="00D839EE" w:rsidP="003B2E5E" w14:paraId="7F49361E" w14:textId="77777777">
            <w:pPr>
              <w:keepNext/>
              <w:contextualSpacing/>
              <w:jc w:val="center"/>
              <w:rPr>
                <w:rFonts w:cs="Arial"/>
                <w:color w:val="000000"/>
              </w:rPr>
            </w:pPr>
          </w:p>
        </w:tc>
        <w:tc>
          <w:tcPr>
            <w:tcW w:w="0" w:type="auto"/>
            <w:tcBorders>
              <w:left w:val="single" w:sz="4" w:space="0" w:color="auto"/>
            </w:tcBorders>
            <w:shd w:val="clear" w:color="auto" w:fill="auto"/>
            <w:noWrap/>
            <w:vAlign w:val="center"/>
            <w:hideMark/>
          </w:tcPr>
          <w:p w:rsidR="00955C18" w:rsidRPr="00D839EE" w:rsidP="00E56E25" w14:paraId="7F49361F" w14:textId="77777777">
            <w:pPr>
              <w:keepNext/>
              <w:contextualSpacing/>
              <w:jc w:val="center"/>
              <w:rPr>
                <w:rFonts w:cs="Arial"/>
                <w:color w:val="000000"/>
              </w:rPr>
            </w:pPr>
            <w:r>
              <w:rPr>
                <w:rFonts w:cs="Arial"/>
                <w:color w:val="000000"/>
              </w:rPr>
              <w:t>$111.</w:t>
            </w:r>
            <w:r w:rsidR="006C671B">
              <w:rPr>
                <w:rFonts w:cs="Arial"/>
                <w:color w:val="000000"/>
              </w:rPr>
              <w:t>08</w:t>
            </w:r>
          </w:p>
        </w:tc>
      </w:tr>
      <w:tr w14:paraId="7F493625" w14:textId="77777777" w:rsidTr="006F3BFE">
        <w:tblPrEx>
          <w:tblW w:w="0" w:type="auto"/>
          <w:jc w:val="center"/>
          <w:tblLook w:val="04A0"/>
        </w:tblPrEx>
        <w:trPr>
          <w:trHeight w:val="205"/>
          <w:jc w:val="center"/>
        </w:trPr>
        <w:tc>
          <w:tcPr>
            <w:tcW w:w="0" w:type="auto"/>
            <w:shd w:val="clear" w:color="auto" w:fill="auto"/>
            <w:noWrap/>
            <w:vAlign w:val="center"/>
          </w:tcPr>
          <w:p w:rsidR="00955C18" w:rsidRPr="00D839EE" w:rsidP="003B2E5E" w14:paraId="7F493621" w14:textId="77777777">
            <w:pPr>
              <w:keepNext/>
              <w:contextualSpacing/>
              <w:rPr>
                <w:rFonts w:cs="Arial"/>
                <w:color w:val="000000"/>
              </w:rPr>
            </w:pPr>
            <w:r w:rsidRPr="00D839EE">
              <w:rPr>
                <w:rFonts w:cs="Arial"/>
                <w:color w:val="000000"/>
              </w:rPr>
              <w:t>Nuclear Engineer</w:t>
            </w:r>
          </w:p>
        </w:tc>
        <w:tc>
          <w:tcPr>
            <w:tcW w:w="0" w:type="auto"/>
            <w:tcBorders>
              <w:right w:val="single" w:sz="4" w:space="0" w:color="auto"/>
            </w:tcBorders>
            <w:shd w:val="clear" w:color="auto" w:fill="auto"/>
            <w:noWrap/>
            <w:vAlign w:val="center"/>
          </w:tcPr>
          <w:p w:rsidR="00955C18" w:rsidRPr="00D839EE" w:rsidP="003B2E5E" w14:paraId="7F493622" w14:textId="77777777">
            <w:pPr>
              <w:keepNext/>
              <w:contextualSpacing/>
              <w:jc w:val="center"/>
              <w:rPr>
                <w:rFonts w:cs="Arial"/>
                <w:color w:val="000000"/>
              </w:rPr>
            </w:pPr>
            <w:r>
              <w:rPr>
                <w:rFonts w:cs="Arial"/>
                <w:color w:val="000000"/>
              </w:rPr>
              <w:t>$56.18</w:t>
            </w:r>
          </w:p>
        </w:tc>
        <w:tc>
          <w:tcPr>
            <w:tcW w:w="0" w:type="auto"/>
            <w:vMerge/>
            <w:tcBorders>
              <w:left w:val="single" w:sz="4" w:space="0" w:color="auto"/>
              <w:right w:val="single" w:sz="4" w:space="0" w:color="auto"/>
            </w:tcBorders>
            <w:shd w:val="clear" w:color="auto" w:fill="auto"/>
            <w:vAlign w:val="center"/>
          </w:tcPr>
          <w:p w:rsidR="00955C18" w:rsidRPr="00D839EE" w:rsidP="003B2E5E" w14:paraId="7F493623" w14:textId="77777777">
            <w:pPr>
              <w:keepNext/>
              <w:contextualSpacing/>
              <w:jc w:val="center"/>
              <w:rPr>
                <w:rFonts w:cs="Arial"/>
                <w:color w:val="000000"/>
              </w:rPr>
            </w:pPr>
          </w:p>
        </w:tc>
        <w:tc>
          <w:tcPr>
            <w:tcW w:w="0" w:type="auto"/>
            <w:tcBorders>
              <w:left w:val="single" w:sz="4" w:space="0" w:color="auto"/>
            </w:tcBorders>
            <w:shd w:val="clear" w:color="auto" w:fill="auto"/>
            <w:noWrap/>
            <w:vAlign w:val="center"/>
          </w:tcPr>
          <w:p w:rsidR="00955C18" w:rsidRPr="00D839EE" w:rsidP="00E56E25" w14:paraId="7F493624" w14:textId="77777777">
            <w:pPr>
              <w:keepNext/>
              <w:contextualSpacing/>
              <w:jc w:val="center"/>
              <w:rPr>
                <w:rFonts w:cs="Arial"/>
                <w:color w:val="000000"/>
              </w:rPr>
            </w:pPr>
            <w:r>
              <w:rPr>
                <w:rFonts w:cs="Arial"/>
                <w:color w:val="000000"/>
              </w:rPr>
              <w:t>$112.36</w:t>
            </w:r>
          </w:p>
        </w:tc>
      </w:tr>
      <w:tr w14:paraId="7F49362A" w14:textId="77777777" w:rsidTr="006F3BFE">
        <w:tblPrEx>
          <w:tblW w:w="0" w:type="auto"/>
          <w:jc w:val="center"/>
          <w:tblLook w:val="04A0"/>
        </w:tblPrEx>
        <w:trPr>
          <w:trHeight w:val="205"/>
          <w:jc w:val="center"/>
        </w:trPr>
        <w:tc>
          <w:tcPr>
            <w:tcW w:w="0" w:type="auto"/>
            <w:shd w:val="clear" w:color="auto" w:fill="auto"/>
            <w:noWrap/>
            <w:vAlign w:val="center"/>
          </w:tcPr>
          <w:p w:rsidR="00955C18" w:rsidRPr="00D839EE" w:rsidP="003B2E5E" w14:paraId="7F493626" w14:textId="77777777">
            <w:pPr>
              <w:keepNext/>
              <w:contextualSpacing/>
              <w:rPr>
                <w:rFonts w:cs="Arial"/>
                <w:color w:val="000000"/>
              </w:rPr>
            </w:pPr>
            <w:r w:rsidRPr="00D839EE">
              <w:rPr>
                <w:rFonts w:cs="Arial"/>
                <w:color w:val="000000"/>
              </w:rPr>
              <w:t>Technical Writer</w:t>
            </w:r>
          </w:p>
        </w:tc>
        <w:tc>
          <w:tcPr>
            <w:tcW w:w="0" w:type="auto"/>
            <w:tcBorders>
              <w:right w:val="single" w:sz="4" w:space="0" w:color="auto"/>
            </w:tcBorders>
            <w:shd w:val="clear" w:color="auto" w:fill="auto"/>
            <w:noWrap/>
            <w:vAlign w:val="center"/>
          </w:tcPr>
          <w:p w:rsidR="00955C18" w:rsidRPr="00D839EE" w:rsidP="003B2E5E" w14:paraId="7F493627" w14:textId="77777777">
            <w:pPr>
              <w:keepNext/>
              <w:contextualSpacing/>
              <w:jc w:val="center"/>
              <w:rPr>
                <w:rFonts w:cs="Arial"/>
                <w:color w:val="000000"/>
              </w:rPr>
            </w:pPr>
            <w:r>
              <w:rPr>
                <w:rFonts w:cs="Arial"/>
                <w:color w:val="000000"/>
              </w:rPr>
              <w:t>$</w:t>
            </w:r>
            <w:r w:rsidR="000758FC">
              <w:rPr>
                <w:rFonts w:cs="Arial"/>
                <w:color w:val="000000"/>
              </w:rPr>
              <w:t>38.40</w:t>
            </w:r>
          </w:p>
        </w:tc>
        <w:tc>
          <w:tcPr>
            <w:tcW w:w="0" w:type="auto"/>
            <w:vMerge/>
            <w:tcBorders>
              <w:left w:val="single" w:sz="4" w:space="0" w:color="auto"/>
              <w:right w:val="single" w:sz="4" w:space="0" w:color="auto"/>
            </w:tcBorders>
            <w:shd w:val="clear" w:color="auto" w:fill="auto"/>
            <w:vAlign w:val="center"/>
          </w:tcPr>
          <w:p w:rsidR="00955C18" w:rsidRPr="00D839EE" w:rsidP="003B2E5E" w14:paraId="7F493628" w14:textId="77777777">
            <w:pPr>
              <w:keepNext/>
              <w:contextualSpacing/>
              <w:jc w:val="center"/>
              <w:rPr>
                <w:rFonts w:cs="Arial"/>
                <w:color w:val="000000"/>
              </w:rPr>
            </w:pPr>
          </w:p>
        </w:tc>
        <w:tc>
          <w:tcPr>
            <w:tcW w:w="0" w:type="auto"/>
            <w:tcBorders>
              <w:left w:val="single" w:sz="4" w:space="0" w:color="auto"/>
              <w:bottom w:val="single" w:sz="4" w:space="0" w:color="auto"/>
            </w:tcBorders>
            <w:shd w:val="clear" w:color="auto" w:fill="auto"/>
            <w:noWrap/>
            <w:vAlign w:val="center"/>
          </w:tcPr>
          <w:p w:rsidR="00955C18" w:rsidRPr="00D839EE" w:rsidP="00E56E25" w14:paraId="7F493629" w14:textId="77777777">
            <w:pPr>
              <w:keepNext/>
              <w:contextualSpacing/>
              <w:jc w:val="center"/>
              <w:rPr>
                <w:rFonts w:cs="Arial"/>
                <w:color w:val="000000"/>
              </w:rPr>
            </w:pPr>
            <w:r>
              <w:rPr>
                <w:rFonts w:cs="Arial"/>
                <w:color w:val="000000"/>
              </w:rPr>
              <w:t>$</w:t>
            </w:r>
            <w:r w:rsidR="00D052C8">
              <w:rPr>
                <w:rFonts w:cs="Arial"/>
                <w:color w:val="000000"/>
              </w:rPr>
              <w:t>76.80</w:t>
            </w:r>
          </w:p>
        </w:tc>
      </w:tr>
      <w:tr w14:paraId="7F49362F" w14:textId="77777777" w:rsidTr="006F3BFE">
        <w:tblPrEx>
          <w:tblW w:w="0" w:type="auto"/>
          <w:jc w:val="center"/>
          <w:tblLook w:val="04A0"/>
        </w:tblPrEx>
        <w:trPr>
          <w:trHeight w:val="205"/>
          <w:jc w:val="center"/>
        </w:trPr>
        <w:tc>
          <w:tcPr>
            <w:tcW w:w="0" w:type="auto"/>
            <w:shd w:val="clear" w:color="auto" w:fill="auto"/>
            <w:noWrap/>
            <w:vAlign w:val="center"/>
          </w:tcPr>
          <w:p w:rsidR="00955C18" w:rsidRPr="00D839EE" w:rsidP="003B2E5E" w14:paraId="7F49362B" w14:textId="77777777">
            <w:pPr>
              <w:keepNext/>
              <w:contextualSpacing/>
              <w:rPr>
                <w:rFonts w:cs="Arial"/>
                <w:color w:val="000000"/>
              </w:rPr>
            </w:pPr>
            <w:r w:rsidRPr="00D839EE">
              <w:rPr>
                <w:rFonts w:cs="Arial"/>
                <w:color w:val="000000"/>
              </w:rPr>
              <w:t>General Engineer</w:t>
            </w:r>
          </w:p>
        </w:tc>
        <w:tc>
          <w:tcPr>
            <w:tcW w:w="0" w:type="auto"/>
            <w:tcBorders>
              <w:right w:val="single" w:sz="4" w:space="0" w:color="auto"/>
            </w:tcBorders>
            <w:shd w:val="clear" w:color="auto" w:fill="auto"/>
            <w:noWrap/>
            <w:vAlign w:val="center"/>
          </w:tcPr>
          <w:p w:rsidR="00955C18" w:rsidRPr="00D839EE" w:rsidP="003B2E5E" w14:paraId="7F49362C" w14:textId="77777777">
            <w:pPr>
              <w:keepNext/>
              <w:contextualSpacing/>
              <w:jc w:val="center"/>
              <w:rPr>
                <w:rFonts w:cs="Arial"/>
                <w:color w:val="000000"/>
              </w:rPr>
            </w:pPr>
            <w:r>
              <w:rPr>
                <w:rFonts w:cs="Arial"/>
                <w:color w:val="000000"/>
              </w:rPr>
              <w:t>$</w:t>
            </w:r>
            <w:r w:rsidR="00055E80">
              <w:rPr>
                <w:rFonts w:cs="Arial"/>
                <w:color w:val="000000"/>
              </w:rPr>
              <w:t>50.65</w:t>
            </w:r>
          </w:p>
        </w:tc>
        <w:tc>
          <w:tcPr>
            <w:tcW w:w="0" w:type="auto"/>
            <w:vMerge/>
            <w:tcBorders>
              <w:left w:val="single" w:sz="4" w:space="0" w:color="auto"/>
              <w:right w:val="single" w:sz="4" w:space="0" w:color="auto"/>
            </w:tcBorders>
            <w:shd w:val="clear" w:color="auto" w:fill="auto"/>
            <w:vAlign w:val="center"/>
          </w:tcPr>
          <w:p w:rsidR="00955C18" w:rsidRPr="00D839EE" w:rsidP="003B2E5E" w14:paraId="7F49362D" w14:textId="77777777">
            <w:pPr>
              <w:keepNext/>
              <w:contextualSpacing/>
              <w:jc w:val="center"/>
              <w:rPr>
                <w:rFonts w:cs="Arial"/>
                <w:color w:val="000000"/>
              </w:rPr>
            </w:pPr>
          </w:p>
        </w:tc>
        <w:tc>
          <w:tcPr>
            <w:tcW w:w="0" w:type="auto"/>
            <w:tcBorders>
              <w:left w:val="single" w:sz="4" w:space="0" w:color="auto"/>
              <w:bottom w:val="single" w:sz="4" w:space="0" w:color="auto"/>
            </w:tcBorders>
            <w:shd w:val="clear" w:color="auto" w:fill="auto"/>
            <w:noWrap/>
            <w:vAlign w:val="center"/>
          </w:tcPr>
          <w:p w:rsidR="00955C18" w:rsidRPr="00D839EE" w:rsidP="00E56E25" w14:paraId="7F49362E" w14:textId="77777777">
            <w:pPr>
              <w:keepNext/>
              <w:contextualSpacing/>
              <w:jc w:val="center"/>
              <w:rPr>
                <w:rFonts w:cs="Arial"/>
                <w:color w:val="000000"/>
              </w:rPr>
            </w:pPr>
            <w:r>
              <w:rPr>
                <w:rFonts w:cs="Arial"/>
                <w:color w:val="000000"/>
              </w:rPr>
              <w:t>$101.31</w:t>
            </w:r>
          </w:p>
        </w:tc>
      </w:tr>
      <w:tr w14:paraId="7F493634" w14:textId="77777777" w:rsidTr="006F3BFE">
        <w:tblPrEx>
          <w:tblW w:w="0" w:type="auto"/>
          <w:jc w:val="center"/>
          <w:tblLook w:val="04A0"/>
        </w:tblPrEx>
        <w:trPr>
          <w:trHeight w:val="205"/>
          <w:jc w:val="center"/>
        </w:trPr>
        <w:tc>
          <w:tcPr>
            <w:tcW w:w="0" w:type="auto"/>
            <w:shd w:val="clear" w:color="auto" w:fill="auto"/>
            <w:noWrap/>
            <w:vAlign w:val="center"/>
          </w:tcPr>
          <w:p w:rsidR="00955C18" w:rsidRPr="00D839EE" w:rsidP="003B2E5E" w14:paraId="7F493630" w14:textId="77777777">
            <w:pPr>
              <w:keepNext/>
              <w:contextualSpacing/>
              <w:rPr>
                <w:rFonts w:cs="Arial"/>
                <w:color w:val="000000"/>
              </w:rPr>
            </w:pPr>
            <w:r w:rsidRPr="00D839EE">
              <w:rPr>
                <w:rFonts w:cs="Arial"/>
                <w:color w:val="000000"/>
              </w:rPr>
              <w:t>Project Manager</w:t>
            </w:r>
          </w:p>
        </w:tc>
        <w:tc>
          <w:tcPr>
            <w:tcW w:w="0" w:type="auto"/>
            <w:tcBorders>
              <w:right w:val="single" w:sz="4" w:space="0" w:color="auto"/>
            </w:tcBorders>
            <w:shd w:val="clear" w:color="auto" w:fill="auto"/>
            <w:noWrap/>
            <w:vAlign w:val="center"/>
          </w:tcPr>
          <w:p w:rsidR="00955C18" w:rsidRPr="00D839EE" w:rsidP="003B2E5E" w14:paraId="7F493631" w14:textId="77777777">
            <w:pPr>
              <w:keepNext/>
              <w:contextualSpacing/>
              <w:jc w:val="center"/>
              <w:rPr>
                <w:rFonts w:cs="Arial"/>
                <w:color w:val="000000"/>
              </w:rPr>
            </w:pPr>
            <w:r>
              <w:rPr>
                <w:rFonts w:cs="Arial"/>
                <w:color w:val="000000"/>
              </w:rPr>
              <w:t>$63.</w:t>
            </w:r>
            <w:r w:rsidR="00F95A53">
              <w:rPr>
                <w:rFonts w:cs="Arial"/>
                <w:color w:val="000000"/>
              </w:rPr>
              <w:t>68</w:t>
            </w:r>
          </w:p>
        </w:tc>
        <w:tc>
          <w:tcPr>
            <w:tcW w:w="0" w:type="auto"/>
            <w:vMerge/>
            <w:tcBorders>
              <w:left w:val="single" w:sz="4" w:space="0" w:color="auto"/>
              <w:bottom w:val="nil"/>
              <w:right w:val="single" w:sz="4" w:space="0" w:color="auto"/>
            </w:tcBorders>
            <w:shd w:val="clear" w:color="auto" w:fill="auto"/>
            <w:vAlign w:val="center"/>
          </w:tcPr>
          <w:p w:rsidR="00955C18" w:rsidRPr="00D839EE" w:rsidP="003B2E5E" w14:paraId="7F493632" w14:textId="77777777">
            <w:pPr>
              <w:keepNext/>
              <w:contextualSpacing/>
              <w:jc w:val="center"/>
              <w:rPr>
                <w:rFonts w:cs="Arial"/>
                <w:color w:val="000000"/>
              </w:rPr>
            </w:pPr>
          </w:p>
        </w:tc>
        <w:tc>
          <w:tcPr>
            <w:tcW w:w="0" w:type="auto"/>
            <w:tcBorders>
              <w:left w:val="single" w:sz="4" w:space="0" w:color="auto"/>
              <w:bottom w:val="single" w:sz="4" w:space="0" w:color="auto"/>
            </w:tcBorders>
            <w:shd w:val="clear" w:color="auto" w:fill="auto"/>
            <w:noWrap/>
            <w:vAlign w:val="center"/>
          </w:tcPr>
          <w:p w:rsidR="00955C18" w:rsidRPr="00D839EE" w:rsidP="00E56E25" w14:paraId="7F493633" w14:textId="77777777">
            <w:pPr>
              <w:keepNext/>
              <w:contextualSpacing/>
              <w:jc w:val="center"/>
              <w:rPr>
                <w:rFonts w:cs="Arial"/>
                <w:color w:val="000000"/>
              </w:rPr>
            </w:pPr>
            <w:r>
              <w:rPr>
                <w:rFonts w:cs="Arial"/>
                <w:color w:val="000000"/>
              </w:rPr>
              <w:t>$127.36</w:t>
            </w:r>
          </w:p>
        </w:tc>
      </w:tr>
      <w:tr w14:paraId="7F493638" w14:textId="77777777" w:rsidTr="006F3BFE">
        <w:tblPrEx>
          <w:tblW w:w="0" w:type="auto"/>
          <w:jc w:val="center"/>
          <w:tblLook w:val="04A0"/>
        </w:tblPrEx>
        <w:trPr>
          <w:trHeight w:val="260"/>
          <w:jc w:val="center"/>
        </w:trPr>
        <w:tc>
          <w:tcPr>
            <w:tcW w:w="0" w:type="auto"/>
            <w:shd w:val="clear" w:color="auto" w:fill="auto"/>
            <w:noWrap/>
            <w:vAlign w:val="center"/>
            <w:hideMark/>
          </w:tcPr>
          <w:p w:rsidR="00BF5AC4" w:rsidRPr="00F0274F" w:rsidP="003B2E5E" w14:paraId="7F493635" w14:textId="77777777">
            <w:pPr>
              <w:keepNext/>
              <w:contextualSpacing/>
              <w:rPr>
                <w:color w:val="000000"/>
              </w:rPr>
            </w:pPr>
            <w:r w:rsidRPr="00D839EE">
              <w:rPr>
                <w:rFonts w:cs="Arial"/>
                <w:color w:val="000000"/>
              </w:rPr>
              <w:t>NRC Staff</w:t>
            </w:r>
          </w:p>
        </w:tc>
        <w:tc>
          <w:tcPr>
            <w:tcW w:w="0" w:type="auto"/>
            <w:gridSpan w:val="2"/>
            <w:shd w:val="clear" w:color="auto" w:fill="BFBFBF" w:themeFill="background1" w:themeFillShade="BF"/>
            <w:noWrap/>
            <w:vAlign w:val="center"/>
          </w:tcPr>
          <w:p w:rsidR="00BF5AC4" w:rsidRPr="00D839EE" w:rsidP="003B2E5E" w14:paraId="7F493636" w14:textId="77777777">
            <w:pPr>
              <w:keepNext/>
              <w:contextualSpacing/>
              <w:jc w:val="center"/>
              <w:rPr>
                <w:rFonts w:cs="Arial"/>
                <w:color w:val="000000"/>
              </w:rPr>
            </w:pPr>
          </w:p>
        </w:tc>
        <w:tc>
          <w:tcPr>
            <w:tcW w:w="0" w:type="auto"/>
            <w:tcBorders>
              <w:top w:val="single" w:sz="4" w:space="0" w:color="auto"/>
              <w:bottom w:val="single" w:sz="4" w:space="0" w:color="auto"/>
            </w:tcBorders>
            <w:shd w:val="clear" w:color="auto" w:fill="auto"/>
            <w:noWrap/>
            <w:vAlign w:val="center"/>
            <w:hideMark/>
          </w:tcPr>
          <w:p w:rsidR="00BF5AC4" w:rsidRPr="00F0274F" w:rsidP="003B2E5E" w14:paraId="7F493637" w14:textId="77777777">
            <w:pPr>
              <w:keepNext/>
              <w:contextualSpacing/>
              <w:jc w:val="center"/>
              <w:rPr>
                <w:i/>
                <w:color w:val="000000"/>
              </w:rPr>
            </w:pPr>
            <w:r w:rsidRPr="00D839EE">
              <w:rPr>
                <w:rFonts w:cs="Arial"/>
                <w:color w:val="000000"/>
              </w:rPr>
              <w:t>$</w:t>
            </w:r>
            <w:r w:rsidR="009763E0">
              <w:rPr>
                <w:rFonts w:cs="Arial"/>
                <w:color w:val="000000"/>
              </w:rPr>
              <w:t>131.76</w:t>
            </w:r>
            <w:r w:rsidR="006A7396">
              <w:rPr>
                <w:rFonts w:cs="Arial"/>
                <w:color w:val="000000"/>
              </w:rPr>
              <w:t>***</w:t>
            </w:r>
          </w:p>
        </w:tc>
      </w:tr>
    </w:tbl>
    <w:p w:rsidR="00BF5AC4" w:rsidRPr="00D839EE" w:rsidP="00BF5AC4" w14:paraId="7F493639" w14:textId="77777777">
      <w:pPr>
        <w:rPr>
          <w:rFonts w:cs="Arial"/>
          <w:sz w:val="18"/>
          <w:szCs w:val="18"/>
        </w:rPr>
      </w:pPr>
      <w:r>
        <w:rPr>
          <w:rFonts w:cs="Arial"/>
          <w:sz w:val="18"/>
          <w:szCs w:val="18"/>
        </w:rPr>
        <w:t>*</w:t>
      </w:r>
      <w:r w:rsidR="006F3BFE">
        <w:rPr>
          <w:rFonts w:cs="Arial"/>
          <w:sz w:val="18"/>
          <w:szCs w:val="18"/>
        </w:rPr>
        <w:t xml:space="preserve"> </w:t>
      </w:r>
      <w:r w:rsidRPr="00D839EE">
        <w:rPr>
          <w:rFonts w:cs="Arial"/>
          <w:sz w:val="18"/>
          <w:szCs w:val="18"/>
        </w:rPr>
        <w:t>The loaded wage factor was based on NUREG/CR-4627</w:t>
      </w:r>
      <w:r w:rsidR="009E4D57">
        <w:rPr>
          <w:rFonts w:cs="Arial"/>
          <w:sz w:val="18"/>
          <w:szCs w:val="18"/>
        </w:rPr>
        <w:t xml:space="preserve"> (</w:t>
      </w:r>
      <w:r w:rsidRPr="00C520D9" w:rsidR="009E4D57">
        <w:rPr>
          <w:rFonts w:cs="Arial"/>
          <w:sz w:val="18"/>
          <w:szCs w:val="18"/>
        </w:rPr>
        <w:t>Ref</w:t>
      </w:r>
      <w:r w:rsidR="0052371D">
        <w:rPr>
          <w:rFonts w:cs="Arial"/>
          <w:sz w:val="18"/>
          <w:szCs w:val="18"/>
        </w:rPr>
        <w:t>.</w:t>
      </w:r>
      <w:r w:rsidRPr="00C520D9" w:rsidR="009E4D57">
        <w:rPr>
          <w:rFonts w:cs="Arial"/>
          <w:sz w:val="18"/>
          <w:szCs w:val="18"/>
        </w:rPr>
        <w:t xml:space="preserve"> </w:t>
      </w:r>
      <w:r w:rsidR="00AA56A2">
        <w:rPr>
          <w:rFonts w:cs="Arial"/>
          <w:sz w:val="18"/>
          <w:szCs w:val="18"/>
        </w:rPr>
        <w:t>28</w:t>
      </w:r>
      <w:r w:rsidRPr="00C520D9" w:rsidR="009E4D57">
        <w:rPr>
          <w:rFonts w:cs="Arial"/>
          <w:sz w:val="18"/>
          <w:szCs w:val="18"/>
        </w:rPr>
        <w:t>)</w:t>
      </w:r>
      <w:r w:rsidRPr="00C520D9">
        <w:rPr>
          <w:rFonts w:cs="Arial"/>
          <w:sz w:val="18"/>
          <w:szCs w:val="18"/>
        </w:rPr>
        <w:t>.</w:t>
      </w:r>
    </w:p>
    <w:p w:rsidR="00AD1054" w:rsidRPr="00D839EE" w:rsidP="00BF5AC4" w14:paraId="7F49363A" w14:textId="77777777">
      <w:pPr>
        <w:rPr>
          <w:rFonts w:cs="Arial"/>
          <w:sz w:val="18"/>
          <w:szCs w:val="18"/>
        </w:rPr>
      </w:pPr>
      <w:r>
        <w:rPr>
          <w:rFonts w:cs="Arial"/>
          <w:sz w:val="18"/>
          <w:szCs w:val="18"/>
        </w:rPr>
        <w:t>**</w:t>
      </w:r>
      <w:r w:rsidR="006F3BFE">
        <w:rPr>
          <w:rFonts w:cs="Arial"/>
          <w:sz w:val="18"/>
          <w:szCs w:val="18"/>
        </w:rPr>
        <w:t xml:space="preserve"> </w:t>
      </w:r>
      <w:r w:rsidRPr="00D839EE" w:rsidR="00BF5AC4">
        <w:rPr>
          <w:rFonts w:cs="Arial"/>
          <w:sz w:val="18"/>
          <w:szCs w:val="18"/>
        </w:rPr>
        <w:t>The mean wage rate for Engineering Professors (25-103</w:t>
      </w:r>
      <w:r w:rsidR="000525B4">
        <w:rPr>
          <w:rFonts w:cs="Arial"/>
          <w:sz w:val="18"/>
          <w:szCs w:val="18"/>
        </w:rPr>
        <w:t>2</w:t>
      </w:r>
      <w:r w:rsidRPr="00D839EE" w:rsidR="00BF5AC4">
        <w:rPr>
          <w:rFonts w:cs="Arial"/>
          <w:sz w:val="18"/>
          <w:szCs w:val="18"/>
        </w:rPr>
        <w:t>), Nuclear Power Reactor Operators (51-8011)</w:t>
      </w:r>
      <w:r w:rsidRPr="00D839EE" w:rsidR="00F844B1">
        <w:rPr>
          <w:rFonts w:cs="Arial"/>
          <w:sz w:val="18"/>
          <w:szCs w:val="18"/>
        </w:rPr>
        <w:t xml:space="preserve"> </w:t>
      </w:r>
      <w:r w:rsidRPr="00D839EE" w:rsidR="00C42230">
        <w:rPr>
          <w:rFonts w:cs="Arial"/>
          <w:sz w:val="18"/>
          <w:szCs w:val="18"/>
        </w:rPr>
        <w:t>(</w:t>
      </w:r>
      <w:r w:rsidRPr="00D839EE" w:rsidR="00F844B1">
        <w:rPr>
          <w:rFonts w:cs="Arial"/>
          <w:sz w:val="18"/>
          <w:szCs w:val="18"/>
        </w:rPr>
        <w:t>henceforth NPUF Operator</w:t>
      </w:r>
      <w:r w:rsidRPr="00D839EE" w:rsidR="00C42230">
        <w:rPr>
          <w:rFonts w:cs="Arial"/>
          <w:sz w:val="18"/>
          <w:szCs w:val="18"/>
        </w:rPr>
        <w:t>)</w:t>
      </w:r>
      <w:r w:rsidRPr="00D839EE" w:rsidR="00BF5AC4">
        <w:rPr>
          <w:rFonts w:cs="Arial"/>
          <w:sz w:val="18"/>
          <w:szCs w:val="18"/>
        </w:rPr>
        <w:t xml:space="preserve">, Nuclear Technicians (19-4051), Graduate Teaching Assistants (25-1191), </w:t>
      </w:r>
      <w:r w:rsidRPr="00D839EE" w:rsidR="000525B4">
        <w:rPr>
          <w:rFonts w:cs="Arial"/>
          <w:sz w:val="18"/>
          <w:szCs w:val="18"/>
        </w:rPr>
        <w:t>Administrators (11-9033</w:t>
      </w:r>
      <w:r w:rsidR="00C3024F">
        <w:rPr>
          <w:rFonts w:cs="Arial"/>
          <w:sz w:val="18"/>
          <w:szCs w:val="18"/>
        </w:rPr>
        <w:t>)</w:t>
      </w:r>
      <w:r w:rsidR="000525B4">
        <w:rPr>
          <w:rFonts w:cs="Arial"/>
          <w:sz w:val="18"/>
          <w:szCs w:val="18"/>
        </w:rPr>
        <w:t xml:space="preserve">, </w:t>
      </w:r>
      <w:r w:rsidRPr="00D839EE" w:rsidR="00B95DA5">
        <w:rPr>
          <w:rFonts w:cs="Arial"/>
          <w:sz w:val="18"/>
          <w:szCs w:val="18"/>
        </w:rPr>
        <w:t>Nuclear Engineers</w:t>
      </w:r>
      <w:r w:rsidR="000525B4">
        <w:rPr>
          <w:rFonts w:cs="Arial"/>
          <w:sz w:val="18"/>
          <w:szCs w:val="18"/>
        </w:rPr>
        <w:t xml:space="preserve"> (17-2161)</w:t>
      </w:r>
      <w:r w:rsidRPr="00D839EE" w:rsidR="00B95DA5">
        <w:rPr>
          <w:rFonts w:cs="Arial"/>
          <w:sz w:val="18"/>
          <w:szCs w:val="18"/>
        </w:rPr>
        <w:t>, Technical Writers</w:t>
      </w:r>
      <w:r w:rsidR="000525B4">
        <w:rPr>
          <w:rFonts w:cs="Arial"/>
          <w:sz w:val="18"/>
          <w:szCs w:val="18"/>
        </w:rPr>
        <w:t xml:space="preserve"> (27-3042)</w:t>
      </w:r>
      <w:r w:rsidRPr="00D839EE" w:rsidR="00B95DA5">
        <w:rPr>
          <w:rFonts w:cs="Arial"/>
          <w:sz w:val="18"/>
          <w:szCs w:val="18"/>
        </w:rPr>
        <w:t>, General Engineers</w:t>
      </w:r>
      <w:r w:rsidR="000525B4">
        <w:rPr>
          <w:rFonts w:cs="Arial"/>
          <w:sz w:val="18"/>
          <w:szCs w:val="18"/>
        </w:rPr>
        <w:t xml:space="preserve"> </w:t>
      </w:r>
      <w:r w:rsidR="00DB3E58">
        <w:rPr>
          <w:rFonts w:cs="Arial"/>
          <w:sz w:val="18"/>
          <w:szCs w:val="18"/>
        </w:rPr>
        <w:t>(17-2000)</w:t>
      </w:r>
      <w:r w:rsidRPr="00D839EE" w:rsidR="00B95DA5">
        <w:rPr>
          <w:rFonts w:cs="Arial"/>
          <w:sz w:val="18"/>
          <w:szCs w:val="18"/>
        </w:rPr>
        <w:t xml:space="preserve">, </w:t>
      </w:r>
      <w:r w:rsidR="00EC4345">
        <w:rPr>
          <w:rFonts w:cs="Arial"/>
          <w:sz w:val="18"/>
          <w:szCs w:val="18"/>
        </w:rPr>
        <w:t xml:space="preserve">and </w:t>
      </w:r>
      <w:r w:rsidRPr="00D839EE" w:rsidR="00B95DA5">
        <w:rPr>
          <w:rFonts w:cs="Arial"/>
          <w:sz w:val="18"/>
          <w:szCs w:val="18"/>
        </w:rPr>
        <w:t>Project Managers</w:t>
      </w:r>
      <w:r w:rsidR="000525B4">
        <w:rPr>
          <w:rFonts w:cs="Arial"/>
          <w:sz w:val="18"/>
          <w:szCs w:val="18"/>
        </w:rPr>
        <w:t xml:space="preserve"> (11-1021)</w:t>
      </w:r>
      <w:r w:rsidRPr="00D839EE" w:rsidR="00BF5AC4">
        <w:rPr>
          <w:rFonts w:cs="Arial"/>
          <w:sz w:val="18"/>
          <w:szCs w:val="18"/>
        </w:rPr>
        <w:t xml:space="preserve"> were obtained from </w:t>
      </w:r>
      <w:r w:rsidRPr="00D839EE" w:rsidR="00DE7D18">
        <w:rPr>
          <w:rFonts w:cs="Arial"/>
          <w:sz w:val="18"/>
          <w:szCs w:val="18"/>
        </w:rPr>
        <w:t>May 201</w:t>
      </w:r>
      <w:r w:rsidRPr="00D839EE" w:rsidR="00B95DA5">
        <w:rPr>
          <w:rFonts w:cs="Arial"/>
          <w:sz w:val="18"/>
          <w:szCs w:val="18"/>
        </w:rPr>
        <w:t>7</w:t>
      </w:r>
      <w:r w:rsidRPr="00D839EE" w:rsidR="00DE7D18">
        <w:rPr>
          <w:rFonts w:cs="Arial"/>
          <w:sz w:val="18"/>
          <w:szCs w:val="18"/>
        </w:rPr>
        <w:t xml:space="preserve"> </w:t>
      </w:r>
      <w:r w:rsidRPr="00D839EE" w:rsidR="00BF5AC4">
        <w:rPr>
          <w:rFonts w:cs="Arial"/>
          <w:sz w:val="18"/>
          <w:szCs w:val="18"/>
        </w:rPr>
        <w:t>BLS data</w:t>
      </w:r>
      <w:r w:rsidR="009E4D57">
        <w:rPr>
          <w:rFonts w:cs="Arial"/>
          <w:sz w:val="18"/>
          <w:szCs w:val="18"/>
        </w:rPr>
        <w:t xml:space="preserve"> (</w:t>
      </w:r>
      <w:r w:rsidRPr="00C520D9" w:rsidR="009E4D57">
        <w:rPr>
          <w:rFonts w:cs="Arial"/>
          <w:sz w:val="18"/>
          <w:szCs w:val="18"/>
        </w:rPr>
        <w:t>Ref</w:t>
      </w:r>
      <w:r w:rsidRPr="00C520D9" w:rsidR="0052371D">
        <w:rPr>
          <w:rFonts w:cs="Arial"/>
          <w:sz w:val="18"/>
          <w:szCs w:val="18"/>
        </w:rPr>
        <w:t>.</w:t>
      </w:r>
      <w:r w:rsidRPr="00C520D9" w:rsidR="009E4D57">
        <w:rPr>
          <w:rFonts w:cs="Arial"/>
          <w:sz w:val="18"/>
          <w:szCs w:val="18"/>
        </w:rPr>
        <w:t xml:space="preserve"> 2</w:t>
      </w:r>
      <w:r w:rsidR="00AA56A2">
        <w:rPr>
          <w:rFonts w:cs="Arial"/>
          <w:sz w:val="18"/>
          <w:szCs w:val="18"/>
        </w:rPr>
        <w:t>7</w:t>
      </w:r>
      <w:r w:rsidRPr="00A4475E" w:rsidR="009E4D57">
        <w:rPr>
          <w:rFonts w:cs="Arial"/>
          <w:sz w:val="18"/>
          <w:szCs w:val="18"/>
        </w:rPr>
        <w:t>)</w:t>
      </w:r>
      <w:r w:rsidRPr="0052371D" w:rsidR="00BF5AC4">
        <w:rPr>
          <w:rFonts w:cs="Arial"/>
          <w:sz w:val="18"/>
          <w:szCs w:val="18"/>
        </w:rPr>
        <w:t>.</w:t>
      </w:r>
      <w:r w:rsidR="00B424EC">
        <w:rPr>
          <w:rFonts w:cs="Arial"/>
          <w:sz w:val="18"/>
          <w:szCs w:val="18"/>
        </w:rPr>
        <w:t xml:space="preserve">  </w:t>
      </w:r>
      <w:r w:rsidRPr="00D839EE">
        <w:rPr>
          <w:rFonts w:cs="Arial"/>
          <w:sz w:val="18"/>
          <w:szCs w:val="18"/>
        </w:rPr>
        <w:t>The Nuclear Power Reactor Operator job category was used as a proxy for NPUF Operator based on direct licensee input.</w:t>
      </w:r>
    </w:p>
    <w:p w:rsidR="00202447" w:rsidRPr="00D839EE" w:rsidP="00BF5AC4" w14:paraId="7F49363B" w14:textId="77777777">
      <w:pPr>
        <w:rPr>
          <w:rFonts w:cs="Arial"/>
          <w:sz w:val="18"/>
          <w:szCs w:val="18"/>
        </w:rPr>
      </w:pPr>
      <w:r>
        <w:rPr>
          <w:rFonts w:cs="Arial"/>
          <w:sz w:val="18"/>
          <w:szCs w:val="18"/>
        </w:rPr>
        <w:t>***</w:t>
      </w:r>
      <w:r w:rsidR="006F3BFE">
        <w:rPr>
          <w:rFonts w:cs="Arial"/>
          <w:sz w:val="18"/>
          <w:szCs w:val="18"/>
        </w:rPr>
        <w:t xml:space="preserve"> </w:t>
      </w:r>
      <w:r w:rsidRPr="00D839EE" w:rsidR="00BF5AC4">
        <w:rPr>
          <w:rFonts w:cs="Arial"/>
          <w:sz w:val="18"/>
          <w:szCs w:val="18"/>
        </w:rPr>
        <w:t>The NRC staff loaded labor rates are estimated to be $</w:t>
      </w:r>
      <w:r w:rsidRPr="00D839EE" w:rsidR="000323D4">
        <w:rPr>
          <w:rFonts w:cs="Arial"/>
          <w:sz w:val="18"/>
          <w:szCs w:val="18"/>
        </w:rPr>
        <w:t>1</w:t>
      </w:r>
      <w:r w:rsidR="0072470E">
        <w:rPr>
          <w:rFonts w:cs="Arial"/>
          <w:sz w:val="18"/>
          <w:szCs w:val="18"/>
        </w:rPr>
        <w:t>31.76</w:t>
      </w:r>
      <w:r w:rsidRPr="00D839EE" w:rsidR="000323D4">
        <w:rPr>
          <w:rFonts w:cs="Arial"/>
          <w:sz w:val="18"/>
          <w:szCs w:val="18"/>
        </w:rPr>
        <w:t xml:space="preserve"> </w:t>
      </w:r>
      <w:r w:rsidRPr="00D839EE" w:rsidR="00BF5AC4">
        <w:rPr>
          <w:rFonts w:cs="Arial"/>
          <w:sz w:val="18"/>
          <w:szCs w:val="18"/>
        </w:rPr>
        <w:t>per hour and are calculated based on actual labor and benefit costs from the prior fiscal year</w:t>
      </w:r>
      <w:r w:rsidRPr="00D839EE" w:rsidR="00F95ED9">
        <w:rPr>
          <w:rFonts w:cs="Arial"/>
          <w:sz w:val="18"/>
          <w:szCs w:val="18"/>
        </w:rPr>
        <w:t xml:space="preserve"> (20</w:t>
      </w:r>
      <w:r w:rsidR="00DB148A">
        <w:rPr>
          <w:rFonts w:cs="Arial"/>
          <w:sz w:val="18"/>
          <w:szCs w:val="18"/>
        </w:rPr>
        <w:t>18</w:t>
      </w:r>
      <w:r w:rsidRPr="00D839EE" w:rsidR="00F95ED9">
        <w:rPr>
          <w:rFonts w:cs="Arial"/>
          <w:sz w:val="18"/>
          <w:szCs w:val="18"/>
        </w:rPr>
        <w:t>)</w:t>
      </w:r>
      <w:r w:rsidRPr="00D839EE" w:rsidR="00BF5AC4">
        <w:rPr>
          <w:rFonts w:cs="Arial"/>
          <w:sz w:val="18"/>
          <w:szCs w:val="18"/>
        </w:rPr>
        <w:t xml:space="preserve"> by office and grad</w:t>
      </w:r>
      <w:r w:rsidRPr="00D839EE" w:rsidR="00E902DD">
        <w:rPr>
          <w:rFonts w:cs="Arial"/>
          <w:sz w:val="18"/>
          <w:szCs w:val="18"/>
        </w:rPr>
        <w:t>e</w:t>
      </w:r>
      <w:r w:rsidR="00DB148A">
        <w:rPr>
          <w:rFonts w:cs="Arial"/>
          <w:sz w:val="18"/>
          <w:szCs w:val="18"/>
        </w:rPr>
        <w:t>, and then scaled to 2020</w:t>
      </w:r>
      <w:r w:rsidR="00517EAA">
        <w:rPr>
          <w:rFonts w:cs="Arial"/>
          <w:sz w:val="18"/>
          <w:szCs w:val="18"/>
        </w:rPr>
        <w:t xml:space="preserve"> dollars</w:t>
      </w:r>
      <w:r w:rsidRPr="00D839EE" w:rsidR="00BF5AC4">
        <w:rPr>
          <w:rFonts w:cs="Arial"/>
          <w:sz w:val="18"/>
          <w:szCs w:val="18"/>
        </w:rPr>
        <w:t>.</w:t>
      </w:r>
    </w:p>
    <w:p w:rsidR="00BF5AC4" w:rsidRPr="00D839EE" w:rsidP="00BF5AC4" w14:paraId="7F49363C" w14:textId="77777777">
      <w:pPr>
        <w:rPr>
          <w:rFonts w:cs="Arial"/>
        </w:rPr>
      </w:pPr>
    </w:p>
    <w:p w:rsidR="00BF5AC4" w:rsidRPr="00D839EE" w:rsidP="00346B95" w14:paraId="7F49363D" w14:textId="77777777">
      <w:pPr>
        <w:spacing w:after="120"/>
        <w:rPr>
          <w:rFonts w:cs="Arial"/>
          <w:i/>
          <w:sz w:val="22"/>
          <w:szCs w:val="22"/>
        </w:rPr>
      </w:pPr>
      <w:r w:rsidRPr="00D839EE">
        <w:rPr>
          <w:rFonts w:cs="Arial"/>
          <w:i/>
          <w:sz w:val="22"/>
          <w:szCs w:val="22"/>
        </w:rPr>
        <w:t>Cost Estimation Methods</w:t>
      </w:r>
    </w:p>
    <w:p w:rsidR="00BF5AC4" w:rsidRPr="00D839EE" w:rsidP="004A51E3" w14:paraId="7F49363E" w14:textId="77777777">
      <w:pPr>
        <w:rPr>
          <w:rFonts w:eastAsiaTheme="minorEastAsia" w:cs="Arial"/>
          <w:sz w:val="22"/>
          <w:szCs w:val="22"/>
          <w:lang w:eastAsia="ja-JP"/>
        </w:rPr>
      </w:pPr>
      <w:r w:rsidRPr="00D839EE">
        <w:rPr>
          <w:rFonts w:eastAsiaTheme="minorEastAsia" w:cs="Arial"/>
          <w:sz w:val="22"/>
          <w:szCs w:val="22"/>
          <w:lang w:eastAsia="ja-JP"/>
        </w:rPr>
        <w:t>T</w:t>
      </w:r>
      <w:r w:rsidR="007A2637">
        <w:rPr>
          <w:rFonts w:eastAsiaTheme="minorEastAsia" w:cs="Arial"/>
          <w:sz w:val="22"/>
          <w:szCs w:val="22"/>
          <w:lang w:eastAsia="ja-JP"/>
        </w:rPr>
        <w:t xml:space="preserve">his analysis relied on </w:t>
      </w:r>
      <w:r w:rsidRPr="00D839EE">
        <w:rPr>
          <w:rFonts w:eastAsiaTheme="minorEastAsia" w:cs="Arial"/>
          <w:sz w:val="22"/>
          <w:szCs w:val="22"/>
          <w:lang w:eastAsia="ja-JP"/>
        </w:rPr>
        <w:t>several</w:t>
      </w:r>
      <w:r w:rsidR="00DB3BF1">
        <w:rPr>
          <w:rFonts w:eastAsiaTheme="minorEastAsia" w:cs="Arial"/>
          <w:sz w:val="22"/>
          <w:szCs w:val="22"/>
          <w:lang w:eastAsia="ja-JP"/>
        </w:rPr>
        <w:t xml:space="preserve"> methods of</w:t>
      </w:r>
      <w:r w:rsidR="004E1F6F">
        <w:rPr>
          <w:rFonts w:eastAsiaTheme="minorEastAsia" w:cs="Arial"/>
          <w:sz w:val="22"/>
          <w:szCs w:val="22"/>
          <w:lang w:eastAsia="ja-JP"/>
        </w:rPr>
        <w:t xml:space="preserve"> </w:t>
      </w:r>
      <w:r w:rsidRPr="00D839EE">
        <w:rPr>
          <w:rFonts w:eastAsiaTheme="minorEastAsia" w:cs="Arial"/>
          <w:sz w:val="22"/>
          <w:szCs w:val="22"/>
          <w:lang w:eastAsia="ja-JP"/>
        </w:rPr>
        <w:t>cost estimation.  The</w:t>
      </w:r>
      <w:r w:rsidR="004E1F6F">
        <w:rPr>
          <w:rFonts w:eastAsiaTheme="minorEastAsia" w:cs="Arial"/>
          <w:sz w:val="22"/>
          <w:szCs w:val="22"/>
          <w:lang w:eastAsia="ja-JP"/>
        </w:rPr>
        <w:t xml:space="preserve"> </w:t>
      </w:r>
      <w:r w:rsidR="00EC4345">
        <w:rPr>
          <w:rFonts w:eastAsiaTheme="minorEastAsia" w:cs="Arial"/>
          <w:sz w:val="22"/>
          <w:szCs w:val="22"/>
          <w:lang w:eastAsia="ja-JP"/>
        </w:rPr>
        <w:t xml:space="preserve">NRC used its </w:t>
      </w:r>
      <w:r w:rsidRPr="00D839EE">
        <w:rPr>
          <w:rFonts w:eastAsiaTheme="minorEastAsia" w:cs="Arial"/>
          <w:sz w:val="22"/>
          <w:szCs w:val="22"/>
          <w:lang w:eastAsia="ja-JP"/>
        </w:rPr>
        <w:t xml:space="preserve">professional knowledge and judgment to estimate many of the costs and </w:t>
      </w:r>
      <w:r w:rsidR="00D96F2F">
        <w:rPr>
          <w:rFonts w:eastAsiaTheme="minorEastAsia" w:cs="Arial"/>
          <w:sz w:val="22"/>
          <w:szCs w:val="22"/>
          <w:lang w:eastAsia="ja-JP"/>
        </w:rPr>
        <w:t>averted costs</w:t>
      </w:r>
      <w:r w:rsidRPr="00D839EE">
        <w:rPr>
          <w:rFonts w:eastAsiaTheme="minorEastAsia" w:cs="Arial"/>
          <w:sz w:val="22"/>
          <w:szCs w:val="22"/>
          <w:lang w:eastAsia="ja-JP"/>
        </w:rPr>
        <w:t xml:space="preserve">.  </w:t>
      </w:r>
      <w:r w:rsidRPr="00D839EE" w:rsidR="004A51E3">
        <w:rPr>
          <w:rFonts w:eastAsiaTheme="minorEastAsia" w:cs="Arial"/>
          <w:sz w:val="22"/>
          <w:szCs w:val="22"/>
          <w:lang w:eastAsia="ja-JP"/>
        </w:rPr>
        <w:t>A</w:t>
      </w:r>
      <w:r w:rsidRPr="00D839EE">
        <w:rPr>
          <w:rFonts w:eastAsiaTheme="minorEastAsia" w:cs="Arial"/>
          <w:sz w:val="22"/>
          <w:szCs w:val="22"/>
          <w:lang w:eastAsia="ja-JP"/>
        </w:rPr>
        <w:t>dditionally,</w:t>
      </w:r>
      <w:r w:rsidR="009E402C">
        <w:rPr>
          <w:rFonts w:eastAsiaTheme="minorEastAsia" w:cs="Arial"/>
          <w:sz w:val="22"/>
          <w:szCs w:val="22"/>
          <w:lang w:eastAsia="ja-JP"/>
        </w:rPr>
        <w:t xml:space="preserve"> it used</w:t>
      </w:r>
      <w:r w:rsidR="004E1F6F">
        <w:rPr>
          <w:rFonts w:eastAsiaTheme="minorEastAsia" w:cs="Arial"/>
          <w:sz w:val="22"/>
          <w:szCs w:val="22"/>
          <w:lang w:eastAsia="ja-JP"/>
        </w:rPr>
        <w:t xml:space="preserve"> </w:t>
      </w:r>
      <w:r w:rsidRPr="00D839EE">
        <w:rPr>
          <w:rFonts w:eastAsiaTheme="minorEastAsia" w:cs="Arial"/>
          <w:sz w:val="22"/>
          <w:szCs w:val="22"/>
          <w:lang w:eastAsia="ja-JP"/>
        </w:rPr>
        <w:t xml:space="preserve">a buildup method, solicitation of licensee input, and extrapolation techniques to estimate costs and </w:t>
      </w:r>
      <w:r w:rsidR="00D96F2F">
        <w:rPr>
          <w:rFonts w:eastAsiaTheme="minorEastAsia" w:cs="Arial"/>
          <w:sz w:val="22"/>
          <w:szCs w:val="22"/>
          <w:lang w:eastAsia="ja-JP"/>
        </w:rPr>
        <w:t>averted costs</w:t>
      </w:r>
      <w:r w:rsidRPr="00D839EE">
        <w:rPr>
          <w:rFonts w:eastAsiaTheme="minorEastAsia" w:cs="Arial"/>
          <w:sz w:val="22"/>
          <w:szCs w:val="22"/>
          <w:lang w:eastAsia="ja-JP"/>
        </w:rPr>
        <w:t>.</w:t>
      </w:r>
    </w:p>
    <w:p w:rsidR="00BF5AC4" w:rsidRPr="00D839EE" w:rsidP="00BF5AC4" w14:paraId="7F49363F" w14:textId="77777777">
      <w:pPr>
        <w:rPr>
          <w:rFonts w:eastAsiaTheme="minorEastAsia" w:cs="Arial"/>
          <w:sz w:val="22"/>
          <w:szCs w:val="22"/>
          <w:lang w:eastAsia="ja-JP"/>
        </w:rPr>
      </w:pPr>
    </w:p>
    <w:p w:rsidR="009B6B0C" w:rsidP="009B6B0C" w14:paraId="7F493640" w14:textId="77777777">
      <w:pPr>
        <w:rPr>
          <w:rFonts w:eastAsiaTheme="minorEastAsia" w:cs="Arial"/>
          <w:sz w:val="22"/>
          <w:szCs w:val="22"/>
          <w:lang w:eastAsia="ja-JP"/>
        </w:rPr>
      </w:pPr>
      <w:r w:rsidRPr="00D839EE">
        <w:rPr>
          <w:rFonts w:eastAsiaTheme="minorEastAsia" w:cs="Arial"/>
          <w:sz w:val="22"/>
          <w:szCs w:val="22"/>
          <w:lang w:eastAsia="ja-JP"/>
        </w:rPr>
        <w:t xml:space="preserve">The NRC consulted experts within and outside of the agency to develop most of the LOE estimates used in the analysis.  For example, </w:t>
      </w:r>
      <w:r w:rsidRPr="00D839EE" w:rsidR="007F36BB">
        <w:rPr>
          <w:rFonts w:eastAsiaTheme="minorEastAsia" w:cs="Arial"/>
          <w:sz w:val="22"/>
          <w:szCs w:val="22"/>
          <w:lang w:eastAsia="ja-JP"/>
        </w:rPr>
        <w:t xml:space="preserve">the NRC contributed to the estimation of LOE required for </w:t>
      </w:r>
      <w:r w:rsidR="00CE43A3">
        <w:rPr>
          <w:rFonts w:eastAsiaTheme="minorEastAsia" w:cs="Arial"/>
          <w:sz w:val="22"/>
          <w:szCs w:val="22"/>
          <w:lang w:eastAsia="ja-JP"/>
        </w:rPr>
        <w:t>FSAR review activities</w:t>
      </w:r>
      <w:r w:rsidRPr="00D839EE" w:rsidR="007F36BB">
        <w:rPr>
          <w:rFonts w:eastAsiaTheme="minorEastAsia" w:cs="Arial"/>
          <w:sz w:val="22"/>
          <w:szCs w:val="22"/>
          <w:lang w:eastAsia="ja-JP"/>
        </w:rPr>
        <w:t>.</w:t>
      </w:r>
      <w:r w:rsidR="007F36BB">
        <w:rPr>
          <w:rFonts w:eastAsiaTheme="minorEastAsia" w:cs="Arial"/>
          <w:sz w:val="22"/>
          <w:szCs w:val="22"/>
          <w:lang w:eastAsia="ja-JP"/>
        </w:rPr>
        <w:t xml:space="preserve">  F</w:t>
      </w:r>
      <w:r w:rsidRPr="00D839EE">
        <w:rPr>
          <w:rFonts w:eastAsiaTheme="minorEastAsia" w:cs="Arial"/>
          <w:sz w:val="22"/>
          <w:szCs w:val="22"/>
          <w:lang w:eastAsia="ja-JP"/>
        </w:rPr>
        <w:t xml:space="preserve">or both </w:t>
      </w:r>
      <w:r w:rsidR="00CE43A3">
        <w:rPr>
          <w:rFonts w:eastAsiaTheme="minorEastAsia" w:cs="Arial"/>
          <w:sz w:val="22"/>
          <w:szCs w:val="22"/>
          <w:lang w:eastAsia="ja-JP"/>
        </w:rPr>
        <w:t xml:space="preserve">averted </w:t>
      </w:r>
      <w:r w:rsidRPr="00D839EE">
        <w:rPr>
          <w:rFonts w:eastAsiaTheme="minorEastAsia" w:cs="Arial"/>
          <w:sz w:val="22"/>
          <w:szCs w:val="22"/>
          <w:lang w:eastAsia="ja-JP"/>
        </w:rPr>
        <w:t>cost</w:t>
      </w:r>
      <w:r w:rsidR="00CE43A3">
        <w:rPr>
          <w:rFonts w:eastAsiaTheme="minorEastAsia" w:cs="Arial"/>
          <w:sz w:val="22"/>
          <w:szCs w:val="22"/>
          <w:lang w:eastAsia="ja-JP"/>
        </w:rPr>
        <w:t>s</w:t>
      </w:r>
      <w:r w:rsidRPr="00D839EE">
        <w:rPr>
          <w:rFonts w:eastAsiaTheme="minorEastAsia" w:cs="Arial"/>
          <w:sz w:val="22"/>
          <w:szCs w:val="22"/>
          <w:lang w:eastAsia="ja-JP"/>
        </w:rPr>
        <w:t xml:space="preserve"> and the costs of the final rule, the NRC consulted licensees when estimating the LOE required for the existing license </w:t>
      </w:r>
      <w:r w:rsidR="00CE43A3">
        <w:rPr>
          <w:rFonts w:eastAsiaTheme="minorEastAsia" w:cs="Arial"/>
          <w:sz w:val="22"/>
          <w:szCs w:val="22"/>
          <w:lang w:eastAsia="ja-JP"/>
        </w:rPr>
        <w:t xml:space="preserve">renewal </w:t>
      </w:r>
      <w:r w:rsidRPr="00D839EE">
        <w:rPr>
          <w:rFonts w:eastAsiaTheme="minorEastAsia" w:cs="Arial"/>
          <w:sz w:val="22"/>
          <w:szCs w:val="22"/>
          <w:lang w:eastAsia="ja-JP"/>
        </w:rPr>
        <w:t xml:space="preserve">application process.  </w:t>
      </w:r>
    </w:p>
    <w:p w:rsidR="00BF5AC4" w:rsidRPr="00D839EE" w:rsidP="00346B95" w14:paraId="7F493641" w14:textId="77777777">
      <w:pPr>
        <w:spacing w:after="220"/>
        <w:rPr>
          <w:rFonts w:eastAsiaTheme="minorEastAsia" w:cs="Arial"/>
          <w:sz w:val="22"/>
          <w:szCs w:val="22"/>
          <w:lang w:eastAsia="ja-JP"/>
        </w:rPr>
      </w:pPr>
      <w:r>
        <w:rPr>
          <w:rFonts w:eastAsiaTheme="minorEastAsia" w:cs="Arial"/>
          <w:sz w:val="22"/>
          <w:szCs w:val="22"/>
          <w:lang w:eastAsia="ja-JP"/>
        </w:rPr>
        <w:t>T</w:t>
      </w:r>
      <w:r w:rsidR="001B7B92">
        <w:rPr>
          <w:rFonts w:eastAsiaTheme="minorEastAsia" w:cs="Arial"/>
          <w:sz w:val="22"/>
          <w:szCs w:val="22"/>
          <w:lang w:eastAsia="ja-JP"/>
        </w:rPr>
        <w:t xml:space="preserve">he staff estimated </w:t>
      </w:r>
      <w:r w:rsidRPr="00D839EE">
        <w:rPr>
          <w:rFonts w:eastAsiaTheme="minorEastAsia" w:cs="Arial"/>
          <w:sz w:val="22"/>
          <w:szCs w:val="22"/>
          <w:lang w:eastAsia="ja-JP"/>
        </w:rPr>
        <w:t xml:space="preserve">some activities using the </w:t>
      </w:r>
      <w:r w:rsidR="00EF7DA9">
        <w:rPr>
          <w:rFonts w:eastAsiaTheme="minorEastAsia" w:cs="Arial"/>
          <w:sz w:val="22"/>
          <w:szCs w:val="22"/>
          <w:lang w:eastAsia="ja-JP"/>
        </w:rPr>
        <w:t>analogy</w:t>
      </w:r>
      <w:r w:rsidRPr="00D839EE">
        <w:rPr>
          <w:rFonts w:eastAsiaTheme="minorEastAsia" w:cs="Arial"/>
          <w:sz w:val="22"/>
          <w:szCs w:val="22"/>
          <w:lang w:eastAsia="ja-JP"/>
        </w:rPr>
        <w:t xml:space="preserve"> method of cost estimation, which combine</w:t>
      </w:r>
      <w:r w:rsidR="0009399F">
        <w:rPr>
          <w:rFonts w:eastAsiaTheme="minorEastAsia" w:cs="Arial"/>
          <w:sz w:val="22"/>
          <w:szCs w:val="22"/>
          <w:lang w:eastAsia="ja-JP"/>
        </w:rPr>
        <w:t>s</w:t>
      </w:r>
      <w:r w:rsidRPr="00D839EE">
        <w:rPr>
          <w:rFonts w:eastAsiaTheme="minorEastAsia" w:cs="Arial"/>
          <w:sz w:val="22"/>
          <w:szCs w:val="22"/>
          <w:lang w:eastAsia="ja-JP"/>
        </w:rPr>
        <w:t xml:space="preserve"> incremental costs of an activity from the bottom up to estimate a total cost.  For this step, the NRC reviewed previous license applications and extracted the length of each section, in page numbers, </w:t>
      </w:r>
      <w:r w:rsidR="005E33A5">
        <w:rPr>
          <w:rFonts w:eastAsiaTheme="minorEastAsia" w:cs="Arial"/>
          <w:sz w:val="22"/>
          <w:szCs w:val="22"/>
          <w:lang w:eastAsia="ja-JP"/>
        </w:rPr>
        <w:t>then</w:t>
      </w:r>
      <w:r w:rsidRPr="00D839EE">
        <w:rPr>
          <w:rFonts w:eastAsiaTheme="minorEastAsia" w:cs="Arial"/>
          <w:sz w:val="22"/>
          <w:szCs w:val="22"/>
          <w:lang w:eastAsia="ja-JP"/>
        </w:rPr>
        <w:t xml:space="preserve"> used these data to develop preliminary </w:t>
      </w:r>
      <w:r w:rsidR="00E55D0C">
        <w:rPr>
          <w:rFonts w:eastAsiaTheme="minorEastAsia" w:cs="Arial"/>
          <w:sz w:val="22"/>
          <w:szCs w:val="22"/>
          <w:lang w:eastAsia="ja-JP"/>
        </w:rPr>
        <w:t>LOEs</w:t>
      </w:r>
      <w:r w:rsidRPr="00D839EE">
        <w:rPr>
          <w:rFonts w:eastAsiaTheme="minorEastAsia" w:cs="Arial"/>
          <w:sz w:val="22"/>
          <w:szCs w:val="22"/>
          <w:lang w:eastAsia="ja-JP"/>
        </w:rPr>
        <w:t xml:space="preserve"> </w:t>
      </w:r>
      <w:r w:rsidR="005E33A5">
        <w:rPr>
          <w:rFonts w:eastAsiaTheme="minorEastAsia" w:cs="Arial"/>
          <w:sz w:val="22"/>
          <w:szCs w:val="22"/>
          <w:lang w:eastAsia="ja-JP"/>
        </w:rPr>
        <w:t>that</w:t>
      </w:r>
      <w:r w:rsidRPr="00D839EE">
        <w:rPr>
          <w:rFonts w:eastAsiaTheme="minorEastAsia" w:cs="Arial"/>
          <w:sz w:val="22"/>
          <w:szCs w:val="22"/>
          <w:lang w:eastAsia="ja-JP"/>
        </w:rPr>
        <w:t xml:space="preserve"> could then be compared to licensee feedback. </w:t>
      </w:r>
    </w:p>
    <w:p w:rsidR="00BF5AC4" w:rsidRPr="00D839EE" w:rsidP="00BF5AC4" w14:paraId="7F493642" w14:textId="77777777">
      <w:pPr>
        <w:rPr>
          <w:rFonts w:eastAsiaTheme="minorEastAsia" w:cs="Arial"/>
          <w:sz w:val="22"/>
          <w:szCs w:val="22"/>
          <w:lang w:eastAsia="ja-JP"/>
        </w:rPr>
      </w:pPr>
      <w:r>
        <w:rPr>
          <w:rFonts w:eastAsiaTheme="minorEastAsia" w:cs="Arial"/>
          <w:sz w:val="22"/>
          <w:szCs w:val="22"/>
          <w:lang w:eastAsia="ja-JP"/>
        </w:rPr>
        <w:t xml:space="preserve">The </w:t>
      </w:r>
      <w:r w:rsidR="00263B2F">
        <w:rPr>
          <w:rFonts w:eastAsiaTheme="minorEastAsia" w:cs="Arial"/>
          <w:sz w:val="22"/>
          <w:szCs w:val="22"/>
          <w:lang w:eastAsia="ja-JP"/>
        </w:rPr>
        <w:t>NRC</w:t>
      </w:r>
      <w:r>
        <w:rPr>
          <w:rFonts w:eastAsiaTheme="minorEastAsia" w:cs="Arial"/>
          <w:sz w:val="22"/>
          <w:szCs w:val="22"/>
          <w:lang w:eastAsia="ja-JP"/>
        </w:rPr>
        <w:t xml:space="preserve"> used e</w:t>
      </w:r>
      <w:r w:rsidRPr="00D839EE">
        <w:rPr>
          <w:rFonts w:eastAsiaTheme="minorEastAsia" w:cs="Arial"/>
          <w:sz w:val="22"/>
          <w:szCs w:val="22"/>
          <w:lang w:eastAsia="ja-JP"/>
        </w:rPr>
        <w:t>xtrapolation to estimate some cost activities, rel</w:t>
      </w:r>
      <w:r>
        <w:rPr>
          <w:rFonts w:eastAsiaTheme="minorEastAsia" w:cs="Arial"/>
          <w:sz w:val="22"/>
          <w:szCs w:val="22"/>
          <w:lang w:eastAsia="ja-JP"/>
        </w:rPr>
        <w:t>ying</w:t>
      </w:r>
      <w:r w:rsidRPr="00D839EE">
        <w:rPr>
          <w:rFonts w:eastAsiaTheme="minorEastAsia" w:cs="Arial"/>
          <w:sz w:val="22"/>
          <w:szCs w:val="22"/>
          <w:lang w:eastAsia="ja-JP"/>
        </w:rPr>
        <w:t xml:space="preserve"> on actual past or current costs to estimate the future cost of similar activities.  For </w:t>
      </w:r>
      <w:r>
        <w:rPr>
          <w:rFonts w:eastAsiaTheme="minorEastAsia" w:cs="Arial"/>
          <w:sz w:val="22"/>
          <w:szCs w:val="22"/>
          <w:lang w:eastAsia="ja-JP"/>
        </w:rPr>
        <w:t>example</w:t>
      </w:r>
      <w:r w:rsidRPr="00D839EE">
        <w:rPr>
          <w:rFonts w:eastAsiaTheme="minorEastAsia" w:cs="Arial"/>
          <w:sz w:val="22"/>
          <w:szCs w:val="22"/>
          <w:lang w:eastAsia="ja-JP"/>
        </w:rPr>
        <w:t xml:space="preserve">, to calculate the estimated costs of the existing license renewal process and the </w:t>
      </w:r>
      <w:r w:rsidRPr="00D839EE" w:rsidR="00BC5E9F">
        <w:rPr>
          <w:rFonts w:eastAsiaTheme="minorEastAsia" w:cs="Arial"/>
          <w:sz w:val="22"/>
          <w:szCs w:val="22"/>
          <w:lang w:eastAsia="ja-JP"/>
        </w:rPr>
        <w:t>final</w:t>
      </w:r>
      <w:r w:rsidRPr="00D839EE">
        <w:rPr>
          <w:rFonts w:eastAsiaTheme="minorEastAsia" w:cs="Arial"/>
          <w:sz w:val="22"/>
          <w:szCs w:val="22"/>
          <w:lang w:eastAsia="ja-JP"/>
        </w:rPr>
        <w:t xml:space="preserve"> rule, the NRC extrapolate</w:t>
      </w:r>
      <w:r>
        <w:rPr>
          <w:rFonts w:eastAsiaTheme="minorEastAsia" w:cs="Arial"/>
          <w:sz w:val="22"/>
          <w:szCs w:val="22"/>
          <w:lang w:eastAsia="ja-JP"/>
        </w:rPr>
        <w:t>d</w:t>
      </w:r>
      <w:r w:rsidRPr="00D839EE">
        <w:rPr>
          <w:rFonts w:eastAsiaTheme="minorEastAsia" w:cs="Arial"/>
          <w:sz w:val="22"/>
          <w:szCs w:val="22"/>
          <w:lang w:eastAsia="ja-JP"/>
        </w:rPr>
        <w:t xml:space="preserve"> the labor categories </w:t>
      </w:r>
      <w:r w:rsidR="00354EDD">
        <w:rPr>
          <w:rFonts w:eastAsiaTheme="minorEastAsia" w:cs="Arial"/>
          <w:sz w:val="22"/>
          <w:szCs w:val="22"/>
          <w:lang w:eastAsia="ja-JP"/>
        </w:rPr>
        <w:t xml:space="preserve">of the staff </w:t>
      </w:r>
      <w:r w:rsidRPr="00D839EE">
        <w:rPr>
          <w:rFonts w:eastAsiaTheme="minorEastAsia" w:cs="Arial"/>
          <w:sz w:val="22"/>
          <w:szCs w:val="22"/>
          <w:lang w:eastAsia="ja-JP"/>
        </w:rPr>
        <w:t xml:space="preserve">responsible for the work based on licensee data.  Where possible, the NRC relied directly on licensee input.  In addition, the NRC used actual timekeeping data and contractor costs from the review of several </w:t>
      </w:r>
      <w:r w:rsidRPr="00D839EE" w:rsidR="003C0564">
        <w:rPr>
          <w:rFonts w:eastAsiaTheme="minorEastAsia" w:cs="Arial"/>
          <w:sz w:val="22"/>
          <w:szCs w:val="22"/>
          <w:lang w:eastAsia="ja-JP"/>
        </w:rPr>
        <w:t xml:space="preserve">NPUF </w:t>
      </w:r>
      <w:r w:rsidRPr="00D839EE">
        <w:rPr>
          <w:rFonts w:eastAsiaTheme="minorEastAsia" w:cs="Arial"/>
          <w:sz w:val="22"/>
          <w:szCs w:val="22"/>
          <w:lang w:eastAsia="ja-JP"/>
        </w:rPr>
        <w:t xml:space="preserve">license renewal applications and extrapolated these data to estimate the NRC cost savings per NPUF and the total averted costs.  For license renewal </w:t>
      </w:r>
      <w:r w:rsidR="00CE43A3">
        <w:rPr>
          <w:rFonts w:eastAsiaTheme="minorEastAsia" w:cs="Arial"/>
          <w:sz w:val="22"/>
          <w:szCs w:val="22"/>
          <w:lang w:eastAsia="ja-JP"/>
        </w:rPr>
        <w:t>activities for which the NRC had</w:t>
      </w:r>
      <w:r w:rsidRPr="00D839EE">
        <w:rPr>
          <w:rFonts w:eastAsiaTheme="minorEastAsia" w:cs="Arial"/>
          <w:sz w:val="22"/>
          <w:szCs w:val="22"/>
          <w:lang w:eastAsia="ja-JP"/>
        </w:rPr>
        <w:t xml:space="preserve"> no data, the NRC determined the labor categor</w:t>
      </w:r>
      <w:r w:rsidR="00055E89">
        <w:rPr>
          <w:rFonts w:eastAsiaTheme="minorEastAsia" w:cs="Arial"/>
          <w:sz w:val="22"/>
          <w:szCs w:val="22"/>
          <w:lang w:eastAsia="ja-JP"/>
        </w:rPr>
        <w:t>ies of the responsible staff</w:t>
      </w:r>
      <w:r w:rsidRPr="00D839EE">
        <w:rPr>
          <w:rFonts w:eastAsiaTheme="minorEastAsia" w:cs="Arial"/>
          <w:sz w:val="22"/>
          <w:szCs w:val="22"/>
          <w:lang w:eastAsia="ja-JP"/>
        </w:rPr>
        <w:t xml:space="preserve"> and </w:t>
      </w:r>
      <w:r w:rsidR="00055E89">
        <w:rPr>
          <w:rFonts w:eastAsiaTheme="minorEastAsia" w:cs="Arial"/>
          <w:sz w:val="22"/>
          <w:szCs w:val="22"/>
          <w:lang w:eastAsia="ja-JP"/>
        </w:rPr>
        <w:t xml:space="preserve">the </w:t>
      </w:r>
      <w:r w:rsidRPr="00D839EE">
        <w:rPr>
          <w:rFonts w:eastAsiaTheme="minorEastAsia" w:cs="Arial"/>
          <w:sz w:val="22"/>
          <w:szCs w:val="22"/>
          <w:lang w:eastAsia="ja-JP"/>
        </w:rPr>
        <w:t xml:space="preserve">distribution of work </w:t>
      </w:r>
      <w:r w:rsidRPr="00D839EE" w:rsidR="00C42230">
        <w:rPr>
          <w:rFonts w:eastAsiaTheme="minorEastAsia" w:cs="Arial"/>
          <w:sz w:val="22"/>
          <w:szCs w:val="22"/>
          <w:lang w:eastAsia="ja-JP"/>
        </w:rPr>
        <w:t>among</w:t>
      </w:r>
      <w:r w:rsidRPr="00D839EE">
        <w:rPr>
          <w:rFonts w:eastAsiaTheme="minorEastAsia" w:cs="Arial"/>
          <w:sz w:val="22"/>
          <w:szCs w:val="22"/>
          <w:lang w:eastAsia="ja-JP"/>
        </w:rPr>
        <w:t xml:space="preserve"> the labor categories based on similar steps in the process for which data are available.</w:t>
      </w:r>
    </w:p>
    <w:p w:rsidR="00BF5AC4" w:rsidRPr="00D839EE" w:rsidP="00BF5AC4" w14:paraId="7F493643" w14:textId="77777777">
      <w:pPr>
        <w:rPr>
          <w:rFonts w:eastAsiaTheme="minorEastAsia" w:cs="Arial"/>
          <w:sz w:val="22"/>
          <w:szCs w:val="22"/>
          <w:lang w:eastAsia="ja-JP"/>
        </w:rPr>
      </w:pPr>
    </w:p>
    <w:p w:rsidR="00BF5AC4" w:rsidRPr="00D839EE" w:rsidP="00BF5AC4" w14:paraId="7F493644" w14:textId="77777777">
      <w:pPr>
        <w:rPr>
          <w:rFonts w:eastAsiaTheme="minorEastAsia" w:cs="Arial"/>
          <w:sz w:val="22"/>
          <w:szCs w:val="22"/>
          <w:lang w:eastAsia="ja-JP"/>
        </w:rPr>
      </w:pPr>
      <w:r w:rsidRPr="00D839EE">
        <w:rPr>
          <w:rFonts w:eastAsiaTheme="minorEastAsia" w:cs="Arial"/>
          <w:sz w:val="22"/>
          <w:szCs w:val="22"/>
          <w:lang w:eastAsia="ja-JP"/>
        </w:rPr>
        <w:t xml:space="preserve">To incorporate uncertainty into the model, the NRC employed Monte Carlo simulation, which is an approach to uncertainty analysis </w:t>
      </w:r>
      <w:r w:rsidR="00E4617B">
        <w:rPr>
          <w:rFonts w:eastAsiaTheme="minorEastAsia" w:cs="Arial"/>
          <w:sz w:val="22"/>
          <w:szCs w:val="22"/>
          <w:lang w:eastAsia="ja-JP"/>
        </w:rPr>
        <w:t>in which</w:t>
      </w:r>
      <w:r w:rsidRPr="00D839EE">
        <w:rPr>
          <w:rFonts w:eastAsiaTheme="minorEastAsia" w:cs="Arial"/>
          <w:sz w:val="22"/>
          <w:szCs w:val="22"/>
          <w:lang w:eastAsia="ja-JP"/>
        </w:rPr>
        <w:t xml:space="preserve"> values for input variables are expressed as distributions defined by the analyst.  The analysis was then run </w:t>
      </w:r>
      <w:r w:rsidR="00414C5A">
        <w:rPr>
          <w:rFonts w:eastAsiaTheme="minorEastAsia" w:cs="Arial"/>
          <w:sz w:val="22"/>
          <w:szCs w:val="22"/>
          <w:lang w:eastAsia="ja-JP"/>
        </w:rPr>
        <w:t>5,000</w:t>
      </w:r>
      <w:r w:rsidRPr="00D839EE">
        <w:rPr>
          <w:rFonts w:eastAsiaTheme="minorEastAsia" w:cs="Arial"/>
          <w:sz w:val="22"/>
          <w:szCs w:val="22"/>
          <w:lang w:eastAsia="ja-JP"/>
        </w:rPr>
        <w:t xml:space="preserve"> times</w:t>
      </w:r>
      <w:r w:rsidR="00E4617B">
        <w:rPr>
          <w:rFonts w:eastAsiaTheme="minorEastAsia" w:cs="Arial"/>
          <w:sz w:val="22"/>
          <w:szCs w:val="22"/>
          <w:lang w:eastAsia="ja-JP"/>
        </w:rPr>
        <w:t>,</w:t>
      </w:r>
      <w:r w:rsidRPr="00D839EE">
        <w:rPr>
          <w:rFonts w:eastAsiaTheme="minorEastAsia" w:cs="Arial"/>
          <w:sz w:val="22"/>
          <w:szCs w:val="22"/>
          <w:lang w:eastAsia="ja-JP"/>
        </w:rPr>
        <w:t xml:space="preserve"> and values were chosen at random from the distributions of the input variables.  The result was a distribution of values for the output variable of interest.  With Monte Carlo simulation, it is also possible to determine the input variables that have the greatest effect on the value of the output variable.  Section 3.6 </w:t>
      </w:r>
      <w:r w:rsidR="00DB376F">
        <w:rPr>
          <w:rFonts w:eastAsiaTheme="minorEastAsia" w:cs="Arial"/>
          <w:sz w:val="22"/>
          <w:szCs w:val="22"/>
          <w:lang w:eastAsia="ja-JP"/>
        </w:rPr>
        <w:t>gives</w:t>
      </w:r>
      <w:r w:rsidRPr="00D839EE">
        <w:rPr>
          <w:rFonts w:eastAsiaTheme="minorEastAsia" w:cs="Arial"/>
          <w:sz w:val="22"/>
          <w:szCs w:val="22"/>
          <w:lang w:eastAsia="ja-JP"/>
        </w:rPr>
        <w:t xml:space="preserve"> a detailed description of the Monte Carlo simulation methods and present</w:t>
      </w:r>
      <w:r w:rsidR="003022B4">
        <w:rPr>
          <w:rFonts w:eastAsiaTheme="minorEastAsia" w:cs="Arial"/>
          <w:sz w:val="22"/>
          <w:szCs w:val="22"/>
          <w:lang w:eastAsia="ja-JP"/>
        </w:rPr>
        <w:t>s</w:t>
      </w:r>
      <w:r w:rsidRPr="00D839EE">
        <w:rPr>
          <w:rFonts w:eastAsiaTheme="minorEastAsia" w:cs="Arial"/>
          <w:sz w:val="22"/>
          <w:szCs w:val="22"/>
          <w:lang w:eastAsia="ja-JP"/>
        </w:rPr>
        <w:t xml:space="preserve"> the results.</w:t>
      </w:r>
    </w:p>
    <w:p w:rsidR="00BF5AC4" w:rsidRPr="00346B95" w:rsidP="00346B95" w14:paraId="7F493645" w14:textId="77777777">
      <w:pPr>
        <w:pStyle w:val="Heading3"/>
        <w:spacing w:after="220"/>
      </w:pPr>
      <w:bookmarkStart w:id="108" w:name="_Toc434330226"/>
      <w:bookmarkStart w:id="109" w:name="_Toc436836903"/>
      <w:bookmarkStart w:id="110" w:name="_Toc437178537"/>
      <w:bookmarkStart w:id="111" w:name="_Toc437271132"/>
      <w:bookmarkStart w:id="112" w:name="_Toc440458418"/>
      <w:bookmarkStart w:id="113" w:name="_Toc443852792"/>
      <w:bookmarkStart w:id="114" w:name="_Toc536603286"/>
      <w:r>
        <w:t>3.1.3</w:t>
      </w:r>
      <w:r>
        <w:tab/>
      </w:r>
      <w:bookmarkStart w:id="115" w:name="_Toc530073281"/>
      <w:bookmarkStart w:id="116" w:name="_Toc534037098"/>
      <w:bookmarkStart w:id="117" w:name="_Toc534699718"/>
      <w:r w:rsidRPr="00346B95">
        <w:t>Time Period of Analysis</w:t>
      </w:r>
      <w:bookmarkEnd w:id="108"/>
      <w:bookmarkEnd w:id="109"/>
      <w:bookmarkEnd w:id="110"/>
      <w:bookmarkEnd w:id="111"/>
      <w:bookmarkEnd w:id="112"/>
      <w:bookmarkEnd w:id="113"/>
      <w:bookmarkEnd w:id="114"/>
      <w:bookmarkEnd w:id="115"/>
      <w:bookmarkEnd w:id="116"/>
      <w:bookmarkEnd w:id="117"/>
    </w:p>
    <w:p w:rsidR="00BF5AC4" w:rsidRPr="00D839EE" w:rsidP="00BF5AC4" w14:paraId="7F493646" w14:textId="77777777">
      <w:pPr>
        <w:rPr>
          <w:rFonts w:cs="Arial"/>
          <w:sz w:val="22"/>
          <w:szCs w:val="22"/>
        </w:rPr>
      </w:pPr>
      <w:r w:rsidRPr="00D839EE">
        <w:rPr>
          <w:rFonts w:eastAsiaTheme="minorEastAsia" w:cs="Arial"/>
          <w:sz w:val="22"/>
          <w:szCs w:val="22"/>
          <w:lang w:eastAsia="ja-JP"/>
        </w:rPr>
        <w:t xml:space="preserve">To define the </w:t>
      </w:r>
      <w:r w:rsidR="00512C8E">
        <w:rPr>
          <w:rFonts w:eastAsiaTheme="minorEastAsia" w:cs="Arial"/>
          <w:sz w:val="22"/>
          <w:szCs w:val="22"/>
          <w:lang w:eastAsia="ja-JP"/>
        </w:rPr>
        <w:t xml:space="preserve">time </w:t>
      </w:r>
      <w:r w:rsidRPr="00D839EE">
        <w:rPr>
          <w:rFonts w:eastAsiaTheme="minorEastAsia" w:cs="Arial"/>
          <w:sz w:val="22"/>
          <w:szCs w:val="22"/>
          <w:lang w:eastAsia="ja-JP"/>
        </w:rPr>
        <w:t xml:space="preserve">period of analysis covered by this regulatory analysis (i.e., the period over which costs and </w:t>
      </w:r>
      <w:r w:rsidR="00D96F2F">
        <w:rPr>
          <w:rFonts w:eastAsiaTheme="minorEastAsia" w:cs="Arial"/>
          <w:sz w:val="22"/>
          <w:szCs w:val="22"/>
          <w:lang w:eastAsia="ja-JP"/>
        </w:rPr>
        <w:t>averted cost</w:t>
      </w:r>
      <w:r w:rsidRPr="00D839EE" w:rsidR="00D96F2F">
        <w:rPr>
          <w:rFonts w:eastAsiaTheme="minorEastAsia" w:cs="Arial"/>
          <w:sz w:val="22"/>
          <w:szCs w:val="22"/>
          <w:lang w:eastAsia="ja-JP"/>
        </w:rPr>
        <w:t>s</w:t>
      </w:r>
      <w:r w:rsidRPr="00D839EE">
        <w:rPr>
          <w:rFonts w:eastAsiaTheme="minorEastAsia" w:cs="Arial"/>
          <w:sz w:val="22"/>
          <w:szCs w:val="22"/>
          <w:lang w:eastAsia="ja-JP"/>
        </w:rPr>
        <w:t xml:space="preserve"> </w:t>
      </w:r>
      <w:r w:rsidRPr="00D839EE" w:rsidR="00BC5E9F">
        <w:rPr>
          <w:rFonts w:eastAsiaTheme="minorEastAsia" w:cs="Arial"/>
          <w:sz w:val="22"/>
          <w:szCs w:val="22"/>
          <w:lang w:eastAsia="ja-JP"/>
        </w:rPr>
        <w:t>will</w:t>
      </w:r>
      <w:r w:rsidRPr="00D839EE">
        <w:rPr>
          <w:rFonts w:eastAsiaTheme="minorEastAsia" w:cs="Arial"/>
          <w:sz w:val="22"/>
          <w:szCs w:val="22"/>
          <w:lang w:eastAsia="ja-JP"/>
        </w:rPr>
        <w:t xml:space="preserve"> be incurred), the NRC decided on a 20-year time horizon based on the current, standard 20-year license renewal term for NPUFs.  By defining the period of analysis as an increment of 20</w:t>
      </w:r>
      <w:r w:rsidR="0074756A">
        <w:rPr>
          <w:rFonts w:eastAsiaTheme="minorEastAsia" w:cs="Arial"/>
          <w:sz w:val="22"/>
          <w:szCs w:val="22"/>
          <w:lang w:eastAsia="ja-JP"/>
        </w:rPr>
        <w:t xml:space="preserve"> years</w:t>
      </w:r>
      <w:r w:rsidRPr="00D839EE">
        <w:rPr>
          <w:rFonts w:eastAsiaTheme="minorEastAsia" w:cs="Arial"/>
          <w:sz w:val="22"/>
          <w:szCs w:val="22"/>
          <w:lang w:eastAsia="ja-JP"/>
        </w:rPr>
        <w:t xml:space="preserve">, the costs and </w:t>
      </w:r>
      <w:r w:rsidR="007D44B2">
        <w:rPr>
          <w:rFonts w:eastAsiaTheme="minorEastAsia" w:cs="Arial"/>
          <w:sz w:val="22"/>
          <w:szCs w:val="22"/>
          <w:lang w:eastAsia="ja-JP"/>
        </w:rPr>
        <w:t>averted cost</w:t>
      </w:r>
      <w:r w:rsidRPr="00D839EE" w:rsidR="007D44B2">
        <w:rPr>
          <w:rFonts w:eastAsiaTheme="minorEastAsia" w:cs="Arial"/>
          <w:sz w:val="22"/>
          <w:szCs w:val="22"/>
          <w:lang w:eastAsia="ja-JP"/>
        </w:rPr>
        <w:t xml:space="preserve">s </w:t>
      </w:r>
      <w:r w:rsidRPr="00D839EE">
        <w:rPr>
          <w:rFonts w:eastAsiaTheme="minorEastAsia" w:cs="Arial"/>
          <w:sz w:val="22"/>
          <w:szCs w:val="22"/>
          <w:lang w:eastAsia="ja-JP"/>
        </w:rPr>
        <w:t xml:space="preserve">of the </w:t>
      </w:r>
      <w:r w:rsidRPr="00D839EE" w:rsidR="00BC5E9F">
        <w:rPr>
          <w:rFonts w:eastAsiaTheme="minorEastAsia" w:cs="Arial"/>
          <w:sz w:val="22"/>
          <w:szCs w:val="22"/>
          <w:lang w:eastAsia="ja-JP"/>
        </w:rPr>
        <w:t>final</w:t>
      </w:r>
      <w:r w:rsidRPr="00D839EE">
        <w:rPr>
          <w:rFonts w:eastAsiaTheme="minorEastAsia" w:cs="Arial"/>
          <w:sz w:val="22"/>
          <w:szCs w:val="22"/>
          <w:lang w:eastAsia="ja-JP"/>
        </w:rPr>
        <w:t xml:space="preserve"> rule can be easily extended to include another full round of license renewals.  </w:t>
      </w:r>
      <w:r w:rsidRPr="00D839EE" w:rsidR="00B31235">
        <w:rPr>
          <w:rFonts w:eastAsiaTheme="minorEastAsia" w:cs="Arial"/>
          <w:sz w:val="22"/>
          <w:szCs w:val="22"/>
          <w:lang w:eastAsia="ja-JP"/>
        </w:rPr>
        <w:t>T</w:t>
      </w:r>
      <w:r w:rsidRPr="00D839EE">
        <w:rPr>
          <w:rFonts w:eastAsiaTheme="minorEastAsia" w:cs="Arial"/>
          <w:sz w:val="22"/>
          <w:szCs w:val="22"/>
          <w:lang w:eastAsia="ja-JP"/>
        </w:rPr>
        <w:t>he 20-year analysis period</w:t>
      </w:r>
      <w:r w:rsidRPr="00D839EE" w:rsidR="00B31235">
        <w:rPr>
          <w:rFonts w:eastAsiaTheme="minorEastAsia" w:cs="Arial"/>
          <w:sz w:val="22"/>
          <w:szCs w:val="22"/>
          <w:lang w:eastAsia="ja-JP"/>
        </w:rPr>
        <w:t xml:space="preserve"> for this regulatory analysis runs from </w:t>
      </w:r>
      <w:r w:rsidRPr="00D839EE">
        <w:rPr>
          <w:rFonts w:eastAsiaTheme="minorEastAsia" w:cs="Arial"/>
          <w:sz w:val="22"/>
          <w:szCs w:val="22"/>
          <w:lang w:eastAsia="ja-JP"/>
        </w:rPr>
        <w:t>20</w:t>
      </w:r>
      <w:r w:rsidRPr="00D839EE" w:rsidR="00D07BCD">
        <w:rPr>
          <w:rFonts w:eastAsiaTheme="minorEastAsia" w:cs="Arial"/>
          <w:sz w:val="22"/>
          <w:szCs w:val="22"/>
          <w:lang w:eastAsia="ja-JP"/>
        </w:rPr>
        <w:t>20</w:t>
      </w:r>
      <w:r w:rsidRPr="00D839EE" w:rsidR="00B31235">
        <w:rPr>
          <w:rFonts w:eastAsiaTheme="minorEastAsia" w:cs="Arial"/>
          <w:sz w:val="22"/>
          <w:szCs w:val="22"/>
          <w:lang w:eastAsia="ja-JP"/>
        </w:rPr>
        <w:t xml:space="preserve"> (the anticipated effective date of the </w:t>
      </w:r>
      <w:r w:rsidRPr="00D839EE" w:rsidR="00F6669F">
        <w:rPr>
          <w:rFonts w:eastAsiaTheme="minorEastAsia" w:cs="Arial"/>
          <w:sz w:val="22"/>
          <w:szCs w:val="22"/>
          <w:lang w:eastAsia="ja-JP"/>
        </w:rPr>
        <w:t xml:space="preserve">final </w:t>
      </w:r>
      <w:r w:rsidRPr="00D839EE" w:rsidR="00B31235">
        <w:rPr>
          <w:rFonts w:eastAsiaTheme="minorEastAsia" w:cs="Arial"/>
          <w:sz w:val="22"/>
          <w:szCs w:val="22"/>
          <w:lang w:eastAsia="ja-JP"/>
        </w:rPr>
        <w:t>rule)</w:t>
      </w:r>
      <w:r w:rsidRPr="00D839EE">
        <w:rPr>
          <w:rFonts w:eastAsiaTheme="minorEastAsia" w:cs="Arial"/>
          <w:sz w:val="22"/>
          <w:szCs w:val="22"/>
          <w:lang w:eastAsia="ja-JP"/>
        </w:rPr>
        <w:t xml:space="preserve"> through 20</w:t>
      </w:r>
      <w:r w:rsidRPr="00D839EE" w:rsidR="00737F32">
        <w:rPr>
          <w:rFonts w:eastAsiaTheme="minorEastAsia" w:cs="Arial"/>
          <w:sz w:val="22"/>
          <w:szCs w:val="22"/>
          <w:lang w:eastAsia="ja-JP"/>
        </w:rPr>
        <w:t>39</w:t>
      </w:r>
      <w:r w:rsidRPr="00D839EE">
        <w:rPr>
          <w:rFonts w:eastAsiaTheme="minorEastAsia" w:cs="Arial"/>
          <w:sz w:val="22"/>
          <w:szCs w:val="22"/>
          <w:lang w:eastAsia="ja-JP"/>
        </w:rPr>
        <w:t>.</w:t>
      </w:r>
    </w:p>
    <w:p w:rsidR="00BF5AC4" w:rsidP="00346B95" w14:paraId="7F493647" w14:textId="77777777">
      <w:pPr>
        <w:pStyle w:val="Heading3"/>
        <w:spacing w:after="220"/>
      </w:pPr>
      <w:bookmarkStart w:id="118" w:name="_Toc434330227"/>
      <w:bookmarkStart w:id="119" w:name="_Toc436836904"/>
      <w:bookmarkStart w:id="120" w:name="_Toc437178538"/>
      <w:bookmarkStart w:id="121" w:name="_Toc437271133"/>
      <w:bookmarkStart w:id="122" w:name="_Toc440458419"/>
      <w:bookmarkStart w:id="123" w:name="_Toc443852793"/>
      <w:bookmarkStart w:id="124" w:name="_Toc536603287"/>
      <w:r>
        <w:t>3.1.4</w:t>
      </w:r>
      <w:r>
        <w:tab/>
      </w:r>
      <w:bookmarkStart w:id="125" w:name="_Toc530073282"/>
      <w:bookmarkStart w:id="126" w:name="_Toc534037099"/>
      <w:bookmarkStart w:id="127" w:name="_Toc534699719"/>
      <w:r w:rsidRPr="00346B95">
        <w:t>Present Value Calculations</w:t>
      </w:r>
      <w:bookmarkEnd w:id="118"/>
      <w:bookmarkEnd w:id="119"/>
      <w:bookmarkEnd w:id="120"/>
      <w:bookmarkEnd w:id="121"/>
      <w:bookmarkEnd w:id="122"/>
      <w:bookmarkEnd w:id="123"/>
      <w:bookmarkEnd w:id="124"/>
      <w:bookmarkEnd w:id="125"/>
      <w:bookmarkEnd w:id="126"/>
      <w:bookmarkEnd w:id="127"/>
    </w:p>
    <w:p w:rsidR="00A771FD" w:rsidRPr="00A771FD" w:rsidP="00D96410" w14:paraId="7F493648" w14:textId="31305FD1">
      <w:r w:rsidRPr="00D839EE">
        <w:rPr>
          <w:rFonts w:cs="Arial"/>
          <w:sz w:val="22"/>
          <w:szCs w:val="22"/>
        </w:rPr>
        <w:t>The NRC calculated the present value of the costs and</w:t>
      </w:r>
      <w:r>
        <w:rPr>
          <w:rFonts w:cs="Arial"/>
          <w:sz w:val="22"/>
          <w:szCs w:val="22"/>
        </w:rPr>
        <w:t xml:space="preserve"> averted costs</w:t>
      </w:r>
      <w:r w:rsidRPr="00D839EE">
        <w:rPr>
          <w:rFonts w:cs="Arial"/>
          <w:sz w:val="22"/>
          <w:szCs w:val="22"/>
        </w:rPr>
        <w:t xml:space="preserve"> (in 20</w:t>
      </w:r>
      <w:r>
        <w:rPr>
          <w:rFonts w:cs="Arial"/>
          <w:sz w:val="22"/>
          <w:szCs w:val="22"/>
        </w:rPr>
        <w:t xml:space="preserve">20 </w:t>
      </w:r>
      <w:r w:rsidRPr="00D839EE">
        <w:rPr>
          <w:rFonts w:cs="Arial"/>
          <w:sz w:val="22"/>
          <w:szCs w:val="22"/>
        </w:rPr>
        <w:t>dollars) that NPUFs will incur over the analysis period.  The rule is assumed to be finalized and become effective in 2020.  One-time implementation costs for both the NRC and licensees will be incurred in 2020.  Be</w:t>
      </w:r>
      <w:r w:rsidR="00440FB9">
        <w:rPr>
          <w:rFonts w:cs="Arial"/>
          <w:sz w:val="22"/>
          <w:szCs w:val="22"/>
        </w:rPr>
        <w:t>ginning in 2021, a once</w:t>
      </w:r>
      <w:r w:rsidR="002709E2">
        <w:rPr>
          <w:rFonts w:cs="Arial"/>
          <w:sz w:val="22"/>
          <w:szCs w:val="22"/>
        </w:rPr>
        <w:t>-</w:t>
      </w:r>
      <w:r w:rsidR="00440FB9">
        <w:rPr>
          <w:rFonts w:cs="Arial"/>
          <w:sz w:val="22"/>
          <w:szCs w:val="22"/>
        </w:rPr>
        <w:t>per</w:t>
      </w:r>
      <w:r w:rsidR="002709E2">
        <w:rPr>
          <w:rFonts w:cs="Arial"/>
          <w:sz w:val="22"/>
          <w:szCs w:val="22"/>
        </w:rPr>
        <w:t>-</w:t>
      </w:r>
      <w:r w:rsidR="00440FB9">
        <w:rPr>
          <w:rFonts w:cs="Arial"/>
          <w:sz w:val="22"/>
          <w:szCs w:val="22"/>
        </w:rPr>
        <w:t>5</w:t>
      </w:r>
      <w:r w:rsidR="002709E2">
        <w:rPr>
          <w:rFonts w:cs="Arial"/>
          <w:sz w:val="22"/>
          <w:szCs w:val="22"/>
        </w:rPr>
        <w:t>-</w:t>
      </w:r>
      <w:r w:rsidRPr="00D839EE">
        <w:rPr>
          <w:rFonts w:cs="Arial"/>
          <w:sz w:val="22"/>
          <w:szCs w:val="22"/>
        </w:rPr>
        <w:t xml:space="preserve">year cost per licensee (to draft and submit </w:t>
      </w:r>
      <w:r>
        <w:rPr>
          <w:rFonts w:cs="Arial"/>
          <w:sz w:val="22"/>
          <w:szCs w:val="22"/>
        </w:rPr>
        <w:t>the updated</w:t>
      </w:r>
      <w:r w:rsidRPr="00D839EE">
        <w:rPr>
          <w:rFonts w:cs="Arial"/>
          <w:sz w:val="22"/>
          <w:szCs w:val="22"/>
        </w:rPr>
        <w:t xml:space="preserve"> FSAR </w:t>
      </w:r>
      <w:r>
        <w:rPr>
          <w:rFonts w:cs="Arial"/>
          <w:sz w:val="22"/>
          <w:szCs w:val="22"/>
        </w:rPr>
        <w:t>and subsequent FSAR updates</w:t>
      </w:r>
      <w:r w:rsidRPr="00D839EE">
        <w:rPr>
          <w:rFonts w:cs="Arial"/>
          <w:sz w:val="22"/>
          <w:szCs w:val="22"/>
        </w:rPr>
        <w:t>) will be incurred by the licensee, as well as a cost incurred by the NRC to review the submittal.</w:t>
      </w:r>
      <w:r>
        <w:rPr>
          <w:rStyle w:val="FootnoteReference"/>
          <w:rFonts w:cs="Arial"/>
          <w:sz w:val="22"/>
          <w:szCs w:val="22"/>
        </w:rPr>
        <w:footnoteReference w:id="10"/>
      </w:r>
      <w:r w:rsidRPr="00D839EE">
        <w:rPr>
          <w:rFonts w:cs="Arial"/>
          <w:sz w:val="22"/>
          <w:szCs w:val="22"/>
        </w:rPr>
        <w:t xml:space="preserve">  </w:t>
      </w:r>
      <w:r>
        <w:rPr>
          <w:rFonts w:cs="Arial"/>
          <w:sz w:val="22"/>
          <w:szCs w:val="22"/>
        </w:rPr>
        <w:t>The initial updated FSAR will be a complete submittal of the FSAR, while</w:t>
      </w:r>
      <w:r w:rsidRPr="00D839EE">
        <w:rPr>
          <w:rFonts w:cs="Arial"/>
          <w:sz w:val="22"/>
          <w:szCs w:val="22"/>
        </w:rPr>
        <w:t xml:space="preserve"> subsequent FSAR updates </w:t>
      </w:r>
      <w:r w:rsidR="00BF02C0">
        <w:rPr>
          <w:rFonts w:cs="Arial"/>
          <w:sz w:val="22"/>
          <w:szCs w:val="22"/>
        </w:rPr>
        <w:t xml:space="preserve">will require fewer changes and will </w:t>
      </w:r>
      <w:r>
        <w:rPr>
          <w:rFonts w:cs="Arial"/>
          <w:sz w:val="22"/>
          <w:szCs w:val="22"/>
        </w:rPr>
        <w:t>be completed a</w:t>
      </w:r>
      <w:r w:rsidRPr="00D839EE">
        <w:rPr>
          <w:rFonts w:cs="Arial"/>
          <w:sz w:val="22"/>
          <w:szCs w:val="22"/>
        </w:rPr>
        <w:t>t a lower</w:t>
      </w:r>
      <w:r>
        <w:rPr>
          <w:rFonts w:cs="Arial"/>
          <w:sz w:val="22"/>
          <w:szCs w:val="22"/>
        </w:rPr>
        <w:t xml:space="preserve"> cost</w:t>
      </w:r>
      <w:r w:rsidRPr="00D839EE">
        <w:rPr>
          <w:rFonts w:cs="Arial"/>
          <w:sz w:val="22"/>
          <w:szCs w:val="22"/>
        </w:rPr>
        <w:t>.</w:t>
      </w:r>
      <w:r>
        <w:rPr>
          <w:rStyle w:val="FootnoteReference"/>
          <w:rFonts w:cs="Arial"/>
          <w:sz w:val="22"/>
          <w:szCs w:val="22"/>
        </w:rPr>
        <w:footnoteReference w:id="11"/>
      </w:r>
      <w:r w:rsidRPr="00D839EE">
        <w:rPr>
          <w:rFonts w:cs="Arial"/>
          <w:sz w:val="22"/>
          <w:szCs w:val="22"/>
        </w:rPr>
        <w:t xml:space="preserve"> </w:t>
      </w:r>
      <w:r>
        <w:rPr>
          <w:rFonts w:cs="Arial"/>
          <w:sz w:val="22"/>
          <w:szCs w:val="22"/>
        </w:rPr>
        <w:t xml:space="preserve"> </w:t>
      </w:r>
      <w:r w:rsidRPr="00D839EE">
        <w:rPr>
          <w:rFonts w:cs="Arial"/>
          <w:sz w:val="22"/>
          <w:szCs w:val="22"/>
        </w:rPr>
        <w:t xml:space="preserve">As discussed previously, </w:t>
      </w:r>
      <w:r>
        <w:rPr>
          <w:rFonts w:cs="Arial"/>
          <w:sz w:val="22"/>
          <w:szCs w:val="22"/>
        </w:rPr>
        <w:t xml:space="preserve">currently operating </w:t>
      </w:r>
      <w:r w:rsidRPr="00D839EE">
        <w:rPr>
          <w:rFonts w:cs="Arial"/>
          <w:sz w:val="22"/>
          <w:szCs w:val="22"/>
        </w:rPr>
        <w:t>licensees were separated into distinct groupings according to their current license status (</w:t>
      </w:r>
      <w:r w:rsidRPr="00642562">
        <w:rPr>
          <w:rFonts w:cs="Arial"/>
          <w:sz w:val="22"/>
          <w:szCs w:val="22"/>
        </w:rPr>
        <w:t>shown in</w:t>
      </w:r>
      <w:r>
        <w:rPr>
          <w:rFonts w:cs="Arial"/>
          <w:sz w:val="22"/>
          <w:szCs w:val="22"/>
        </w:rPr>
        <w:t xml:space="preserve"> </w:t>
      </w:r>
      <w:r w:rsidRPr="00A31864" w:rsidR="00A31864">
        <w:rPr>
          <w:rFonts w:cs="Arial"/>
          <w:sz w:val="22"/>
          <w:szCs w:val="22"/>
        </w:rPr>
        <w:fldChar w:fldCharType="begin"/>
      </w:r>
      <w:r w:rsidRPr="00A31864" w:rsidR="00A31864">
        <w:rPr>
          <w:rFonts w:cs="Arial"/>
          <w:sz w:val="22"/>
          <w:szCs w:val="22"/>
        </w:rPr>
        <w:instrText xml:space="preserve"> REF _Ref534710985 \h  \* MERGEFORMAT </w:instrText>
      </w:r>
      <w:r w:rsidRPr="00A31864" w:rsidR="00A31864">
        <w:rPr>
          <w:rFonts w:cs="Arial"/>
          <w:sz w:val="22"/>
          <w:szCs w:val="22"/>
        </w:rPr>
        <w:fldChar w:fldCharType="separate"/>
      </w:r>
      <w:r w:rsidRPr="00977795" w:rsidR="00977795">
        <w:rPr>
          <w:sz w:val="22"/>
        </w:rPr>
        <w:t>Exhibit 3</w:t>
      </w:r>
      <w:r w:rsidRPr="00977795" w:rsidR="00977795">
        <w:rPr>
          <w:sz w:val="22"/>
        </w:rPr>
        <w:noBreakHyphen/>
        <w:t>2</w:t>
      </w:r>
      <w:r w:rsidRPr="00A31864" w:rsidR="00A31864">
        <w:rPr>
          <w:rFonts w:cs="Arial"/>
          <w:sz w:val="22"/>
          <w:szCs w:val="22"/>
        </w:rPr>
        <w:fldChar w:fldCharType="end"/>
      </w:r>
      <w:r w:rsidRPr="00CF41A7">
        <w:rPr>
          <w:rFonts w:cs="Arial"/>
          <w:sz w:val="22"/>
          <w:szCs w:val="22"/>
        </w:rPr>
        <w:t>).</w:t>
      </w:r>
      <w:r w:rsidRPr="00D839EE">
        <w:rPr>
          <w:rFonts w:cs="Arial"/>
          <w:sz w:val="22"/>
          <w:szCs w:val="22"/>
        </w:rPr>
        <w:t xml:space="preserve">  These groups will have a staggered FSAR update submittal schedule to prevent a backlog of FSAR update submittals from occurring.  These staggered updates highlight the </w:t>
      </w:r>
      <w:r w:rsidRPr="000323D4">
        <w:rPr>
          <w:rFonts w:cs="Arial"/>
          <w:sz w:val="22"/>
          <w:szCs w:val="22"/>
        </w:rPr>
        <w:t>importance of discounting on the resulting net benefit estimates, as costs and</w:t>
      </w:r>
      <w:r>
        <w:rPr>
          <w:rFonts w:cs="Arial"/>
          <w:sz w:val="22"/>
          <w:szCs w:val="22"/>
        </w:rPr>
        <w:t xml:space="preserve"> averted costs</w:t>
      </w:r>
      <w:r w:rsidRPr="000323D4">
        <w:rPr>
          <w:rFonts w:cs="Arial"/>
          <w:sz w:val="22"/>
          <w:szCs w:val="22"/>
        </w:rPr>
        <w:t xml:space="preserve"> in the near f</w:t>
      </w:r>
      <w:r w:rsidRPr="00A176DD">
        <w:rPr>
          <w:rFonts w:cs="Arial"/>
          <w:sz w:val="22"/>
          <w:szCs w:val="22"/>
        </w:rPr>
        <w:t xml:space="preserve">uture are </w:t>
      </w:r>
      <w:r>
        <w:rPr>
          <w:rFonts w:cs="Arial"/>
          <w:sz w:val="22"/>
          <w:szCs w:val="22"/>
        </w:rPr>
        <w:t>worth more</w:t>
      </w:r>
      <w:r w:rsidRPr="00A176DD">
        <w:rPr>
          <w:rFonts w:cs="Arial"/>
          <w:sz w:val="22"/>
          <w:szCs w:val="22"/>
        </w:rPr>
        <w:t xml:space="preserve"> than those that occur further in the future when a discount rate is applied</w:t>
      </w:r>
      <w:r>
        <w:rPr>
          <w:rFonts w:cs="Arial"/>
          <w:sz w:val="22"/>
          <w:szCs w:val="22"/>
        </w:rPr>
        <w:t xml:space="preserve"> due to the time-value of money (a dollar is worth more today than tomorrow)</w:t>
      </w:r>
      <w:r w:rsidRPr="00A176DD">
        <w:rPr>
          <w:rFonts w:cs="Arial"/>
          <w:sz w:val="22"/>
          <w:szCs w:val="22"/>
        </w:rPr>
        <w:t>.  In accordance with guid</w:t>
      </w:r>
      <w:r w:rsidRPr="00CC3CE5">
        <w:rPr>
          <w:rFonts w:cs="Arial"/>
          <w:sz w:val="22"/>
          <w:szCs w:val="22"/>
        </w:rPr>
        <w:t xml:space="preserve">ance provided by the </w:t>
      </w:r>
      <w:r w:rsidRPr="00EC79F7">
        <w:rPr>
          <w:sz w:val="22"/>
        </w:rPr>
        <w:t xml:space="preserve">Office of Management and Budget in Circular A-4, “Regulatory Analysis” (Ref. </w:t>
      </w:r>
      <w:r w:rsidRPr="00C520D9" w:rsidR="00AA56A2">
        <w:rPr>
          <w:rFonts w:cs="Arial"/>
          <w:sz w:val="22"/>
          <w:szCs w:val="22"/>
        </w:rPr>
        <w:t>2</w:t>
      </w:r>
      <w:r w:rsidR="00AA56A2">
        <w:rPr>
          <w:rFonts w:cs="Arial"/>
          <w:sz w:val="22"/>
          <w:szCs w:val="22"/>
        </w:rPr>
        <w:t>9</w:t>
      </w:r>
      <w:r w:rsidRPr="00EC79F7">
        <w:rPr>
          <w:sz w:val="22"/>
        </w:rPr>
        <w:t>),</w:t>
      </w:r>
      <w:r w:rsidRPr="004C478B">
        <w:rPr>
          <w:rFonts w:cs="Arial"/>
          <w:sz w:val="22"/>
          <w:szCs w:val="22"/>
        </w:rPr>
        <w:t xml:space="preserve"> the NRC presents results at both 3</w:t>
      </w:r>
      <w:r w:rsidR="002709E2">
        <w:rPr>
          <w:rFonts w:cs="Arial"/>
          <w:sz w:val="22"/>
          <w:szCs w:val="22"/>
        </w:rPr>
        <w:t>-</w:t>
      </w:r>
      <w:r w:rsidRPr="009B1830">
        <w:rPr>
          <w:rFonts w:cs="Arial"/>
          <w:sz w:val="22"/>
          <w:szCs w:val="22"/>
        </w:rPr>
        <w:t>percent and 7</w:t>
      </w:r>
      <w:r w:rsidR="002709E2">
        <w:rPr>
          <w:rFonts w:cs="Arial"/>
          <w:sz w:val="22"/>
          <w:szCs w:val="22"/>
        </w:rPr>
        <w:t>-</w:t>
      </w:r>
      <w:r w:rsidRPr="000323D4">
        <w:rPr>
          <w:rFonts w:cs="Arial"/>
          <w:sz w:val="22"/>
          <w:szCs w:val="22"/>
        </w:rPr>
        <w:t>percent discount rates.</w:t>
      </w:r>
    </w:p>
    <w:p w:rsidR="00BF5AC4" w:rsidRPr="00346B95" w:rsidP="00346B95" w14:paraId="7F493649" w14:textId="77777777">
      <w:pPr>
        <w:pStyle w:val="Heading2"/>
        <w:spacing w:after="220"/>
      </w:pPr>
      <w:bookmarkStart w:id="128" w:name="_Toc434330228"/>
      <w:bookmarkStart w:id="129" w:name="_Toc443852794"/>
      <w:bookmarkStart w:id="130" w:name="_Toc530073283"/>
      <w:bookmarkStart w:id="131" w:name="_Toc534037100"/>
      <w:bookmarkStart w:id="132" w:name="_Toc534699720"/>
      <w:bookmarkStart w:id="133" w:name="_Toc536603288"/>
      <w:r w:rsidRPr="00346B95">
        <w:t>3.2</w:t>
      </w:r>
      <w:r w:rsidRPr="00346B95">
        <w:tab/>
        <w:t>Summary of Costs</w:t>
      </w:r>
      <w:r w:rsidRPr="00D96410" w:rsidR="007D44B2">
        <w:t>, Averted Costs,</w:t>
      </w:r>
      <w:r w:rsidRPr="00346B95">
        <w:t xml:space="preserve"> and Benefits of the Regulatory Options</w:t>
      </w:r>
      <w:bookmarkEnd w:id="128"/>
      <w:bookmarkEnd w:id="129"/>
      <w:bookmarkEnd w:id="130"/>
      <w:bookmarkEnd w:id="131"/>
      <w:bookmarkEnd w:id="132"/>
      <w:bookmarkEnd w:id="133"/>
    </w:p>
    <w:p w:rsidR="004269B0" w:rsidP="00BF5AC4" w14:paraId="7F49364A" w14:textId="77777777">
      <w:pPr>
        <w:rPr>
          <w:sz w:val="22"/>
          <w:szCs w:val="22"/>
        </w:rPr>
      </w:pPr>
      <w:r w:rsidRPr="00D839EE">
        <w:rPr>
          <w:rFonts w:cs="Arial"/>
          <w:sz w:val="22"/>
          <w:szCs w:val="22"/>
        </w:rPr>
        <w:t>This section presents the costs</w:t>
      </w:r>
      <w:r w:rsidR="007D44B2">
        <w:rPr>
          <w:rFonts w:cs="Arial"/>
          <w:sz w:val="22"/>
          <w:szCs w:val="22"/>
        </w:rPr>
        <w:t>, averted costs</w:t>
      </w:r>
      <w:r w:rsidRPr="00D839EE">
        <w:rPr>
          <w:rFonts w:cs="Arial"/>
          <w:sz w:val="22"/>
          <w:szCs w:val="22"/>
        </w:rPr>
        <w:t xml:space="preserve"> and benefits of the </w:t>
      </w:r>
      <w:r w:rsidRPr="00D839EE" w:rsidR="00BC5E9F">
        <w:rPr>
          <w:rFonts w:cs="Arial"/>
          <w:sz w:val="22"/>
          <w:szCs w:val="22"/>
        </w:rPr>
        <w:t>final</w:t>
      </w:r>
      <w:r w:rsidRPr="00D839EE">
        <w:rPr>
          <w:rFonts w:cs="Arial"/>
          <w:sz w:val="22"/>
          <w:szCs w:val="22"/>
        </w:rPr>
        <w:t xml:space="preserve"> rule with</w:t>
      </w:r>
      <w:r w:rsidR="005869B5">
        <w:rPr>
          <w:rFonts w:cs="Arial"/>
          <w:sz w:val="22"/>
          <w:szCs w:val="22"/>
        </w:rPr>
        <w:t xml:space="preserve"> respect to three options:</w:t>
      </w:r>
      <w:r w:rsidR="00B02E28">
        <w:rPr>
          <w:rFonts w:cs="Arial"/>
          <w:sz w:val="22"/>
          <w:szCs w:val="22"/>
        </w:rPr>
        <w:t xml:space="preserve"> </w:t>
      </w:r>
      <w:r w:rsidR="005869B5">
        <w:rPr>
          <w:rFonts w:cs="Arial"/>
          <w:sz w:val="22"/>
          <w:szCs w:val="22"/>
        </w:rPr>
        <w:t>(1) </w:t>
      </w:r>
      <w:r w:rsidRPr="00D839EE">
        <w:rPr>
          <w:rFonts w:cs="Arial"/>
          <w:sz w:val="22"/>
          <w:szCs w:val="22"/>
        </w:rPr>
        <w:t>take no action</w:t>
      </w:r>
      <w:r w:rsidR="006278AF">
        <w:rPr>
          <w:rFonts w:cs="Arial"/>
          <w:sz w:val="22"/>
          <w:szCs w:val="22"/>
        </w:rPr>
        <w:t>,</w:t>
      </w:r>
      <w:r w:rsidRPr="00D839EE">
        <w:rPr>
          <w:rFonts w:cs="Arial"/>
          <w:sz w:val="22"/>
          <w:szCs w:val="22"/>
        </w:rPr>
        <w:t xml:space="preserve"> (2) undertake a rulemaking to revise the timely renewal provision and require FSAR updates</w:t>
      </w:r>
      <w:r w:rsidR="006278AF">
        <w:rPr>
          <w:rFonts w:cs="Arial"/>
          <w:sz w:val="22"/>
          <w:szCs w:val="22"/>
        </w:rPr>
        <w:t>,</w:t>
      </w:r>
      <w:r w:rsidRPr="00D839EE">
        <w:rPr>
          <w:rFonts w:cs="Arial"/>
          <w:sz w:val="22"/>
          <w:szCs w:val="22"/>
        </w:rPr>
        <w:t xml:space="preserve"> and (3) undertake a rulemaking to revise the timely renewal provision, require FSAR updates, and eliminate license terms for </w:t>
      </w:r>
      <w:r w:rsidR="00F1427B">
        <w:rPr>
          <w:rFonts w:cs="Arial"/>
          <w:sz w:val="22"/>
          <w:szCs w:val="22"/>
        </w:rPr>
        <w:t>C</w:t>
      </w:r>
      <w:r w:rsidRPr="00D839EE" w:rsidR="00F1427B">
        <w:rPr>
          <w:rFonts w:cs="Arial"/>
          <w:sz w:val="22"/>
          <w:szCs w:val="22"/>
        </w:rPr>
        <w:t>lass</w:t>
      </w:r>
      <w:r w:rsidRPr="00D839EE">
        <w:rPr>
          <w:rFonts w:cs="Arial"/>
          <w:sz w:val="22"/>
          <w:szCs w:val="22"/>
        </w:rPr>
        <w:t xml:space="preserve"> 104a </w:t>
      </w:r>
      <w:r w:rsidRPr="00D839EE" w:rsidR="001274DB">
        <w:rPr>
          <w:rFonts w:cs="Arial"/>
          <w:sz w:val="22"/>
          <w:szCs w:val="22"/>
        </w:rPr>
        <w:t>or</w:t>
      </w:r>
      <w:r w:rsidR="005300BA">
        <w:rPr>
          <w:rFonts w:cs="Arial"/>
          <w:sz w:val="22"/>
          <w:szCs w:val="22"/>
        </w:rPr>
        <w:t xml:space="preserve"> c licensees</w:t>
      </w:r>
      <w:r w:rsidRPr="00D839EE">
        <w:rPr>
          <w:rFonts w:cs="Arial"/>
          <w:sz w:val="22"/>
          <w:szCs w:val="22"/>
        </w:rPr>
        <w:t xml:space="preserve"> other than testing facilities.  </w:t>
      </w:r>
      <w:r w:rsidRPr="00D839EE" w:rsidR="007A5606">
        <w:rPr>
          <w:rFonts w:cs="Arial"/>
          <w:sz w:val="22"/>
          <w:szCs w:val="22"/>
        </w:rPr>
        <w:t>The NRC considered a fourth option (i.e., Option 4) that would</w:t>
      </w:r>
      <w:r w:rsidRPr="00D839EE" w:rsidR="00A04112">
        <w:rPr>
          <w:rFonts w:cs="Arial"/>
          <w:sz w:val="22"/>
          <w:szCs w:val="22"/>
        </w:rPr>
        <w:t xml:space="preserve"> have</w:t>
      </w:r>
      <w:r w:rsidRPr="00D839EE" w:rsidR="007A5606">
        <w:rPr>
          <w:rFonts w:cs="Arial"/>
          <w:sz w:val="22"/>
          <w:szCs w:val="22"/>
        </w:rPr>
        <w:t xml:space="preserve"> use</w:t>
      </w:r>
      <w:r w:rsidRPr="00D839EE" w:rsidR="00A04112">
        <w:rPr>
          <w:rFonts w:cs="Arial"/>
          <w:sz w:val="22"/>
          <w:szCs w:val="22"/>
        </w:rPr>
        <w:t>d</w:t>
      </w:r>
      <w:r w:rsidRPr="00D839EE" w:rsidR="007A5606">
        <w:rPr>
          <w:rFonts w:cs="Arial"/>
          <w:sz w:val="22"/>
          <w:szCs w:val="22"/>
        </w:rPr>
        <w:t xml:space="preserve"> non</w:t>
      </w:r>
      <w:r w:rsidR="00440FB9">
        <w:rPr>
          <w:rFonts w:cs="Arial"/>
          <w:sz w:val="22"/>
          <w:szCs w:val="22"/>
        </w:rPr>
        <w:t>-</w:t>
      </w:r>
      <w:r w:rsidRPr="00D839EE" w:rsidR="007A5606">
        <w:rPr>
          <w:rFonts w:cs="Arial"/>
          <w:sz w:val="22"/>
          <w:szCs w:val="22"/>
        </w:rPr>
        <w:t>rulemaking approaches, such as the issuance of a new regu</w:t>
      </w:r>
      <w:r w:rsidR="0091699F">
        <w:rPr>
          <w:rFonts w:cs="Arial"/>
          <w:sz w:val="22"/>
          <w:szCs w:val="22"/>
        </w:rPr>
        <w:t>latory guide and updating NUREG</w:t>
      </w:r>
      <w:r w:rsidR="0091699F">
        <w:rPr>
          <w:rFonts w:cs="Arial"/>
          <w:sz w:val="22"/>
          <w:szCs w:val="22"/>
        </w:rPr>
        <w:noBreakHyphen/>
      </w:r>
      <w:r w:rsidRPr="00D839EE" w:rsidR="007A5606">
        <w:rPr>
          <w:rFonts w:cs="Arial"/>
          <w:sz w:val="22"/>
          <w:szCs w:val="22"/>
        </w:rPr>
        <w:t>1537, to address the objectives of the rulemaking (</w:t>
      </w:r>
      <w:r w:rsidRPr="00D839EE" w:rsidR="00F6669F">
        <w:rPr>
          <w:rFonts w:cs="Arial"/>
          <w:sz w:val="22"/>
          <w:szCs w:val="22"/>
        </w:rPr>
        <w:t>s</w:t>
      </w:r>
      <w:r w:rsidRPr="00D839EE" w:rsidR="007A5606">
        <w:rPr>
          <w:rFonts w:cs="Arial"/>
          <w:sz w:val="22"/>
          <w:szCs w:val="22"/>
        </w:rPr>
        <w:t>ee Section 2.4).  Option</w:t>
      </w:r>
      <w:r w:rsidR="0091699F">
        <w:rPr>
          <w:rFonts w:cs="Arial"/>
          <w:sz w:val="22"/>
          <w:szCs w:val="22"/>
        </w:rPr>
        <w:t> </w:t>
      </w:r>
      <w:r w:rsidRPr="00D839EE" w:rsidR="007A5606">
        <w:rPr>
          <w:rFonts w:cs="Arial"/>
          <w:sz w:val="22"/>
          <w:szCs w:val="22"/>
        </w:rPr>
        <w:t>4 was rejected and not included in the analysis of costs</w:t>
      </w:r>
      <w:r w:rsidR="007D44B2">
        <w:rPr>
          <w:rFonts w:cs="Arial"/>
          <w:sz w:val="22"/>
          <w:szCs w:val="22"/>
        </w:rPr>
        <w:t>, averted costs,</w:t>
      </w:r>
      <w:r w:rsidRPr="00D839EE" w:rsidR="007A5606">
        <w:rPr>
          <w:rFonts w:cs="Arial"/>
          <w:sz w:val="22"/>
          <w:szCs w:val="22"/>
        </w:rPr>
        <w:t xml:space="preserve"> and benefits because this option would not</w:t>
      </w:r>
      <w:r w:rsidRPr="00D839EE" w:rsidR="00A04112">
        <w:rPr>
          <w:rFonts w:cs="Arial"/>
          <w:sz w:val="22"/>
          <w:szCs w:val="22"/>
        </w:rPr>
        <w:t xml:space="preserve"> have</w:t>
      </w:r>
      <w:r w:rsidRPr="00D839EE" w:rsidR="007A5606">
        <w:rPr>
          <w:rFonts w:cs="Arial"/>
          <w:sz w:val="22"/>
          <w:szCs w:val="22"/>
        </w:rPr>
        <w:t xml:space="preserve"> fully address</w:t>
      </w:r>
      <w:r w:rsidRPr="00D839EE" w:rsidR="00A04112">
        <w:rPr>
          <w:rFonts w:cs="Arial"/>
          <w:sz w:val="22"/>
          <w:szCs w:val="22"/>
        </w:rPr>
        <w:t>ed</w:t>
      </w:r>
      <w:r w:rsidRPr="00D839EE" w:rsidR="007A5606">
        <w:rPr>
          <w:rFonts w:cs="Arial"/>
          <w:sz w:val="22"/>
          <w:szCs w:val="22"/>
        </w:rPr>
        <w:t xml:space="preserve"> </w:t>
      </w:r>
      <w:r w:rsidRPr="00D839EE" w:rsidR="007A5606">
        <w:rPr>
          <w:sz w:val="22"/>
          <w:szCs w:val="22"/>
        </w:rPr>
        <w:t>the Commission’s direction and the NRC</w:t>
      </w:r>
      <w:r w:rsidR="00263B2F">
        <w:rPr>
          <w:sz w:val="22"/>
          <w:szCs w:val="22"/>
        </w:rPr>
        <w:t>’s</w:t>
      </w:r>
      <w:r w:rsidRPr="00D839EE" w:rsidR="007A5606">
        <w:rPr>
          <w:sz w:val="22"/>
          <w:szCs w:val="22"/>
        </w:rPr>
        <w:t xml:space="preserve"> objectives for the rulemaking</w:t>
      </w:r>
      <w:r w:rsidRPr="00D839EE" w:rsidR="00BC7680">
        <w:rPr>
          <w:sz w:val="22"/>
          <w:szCs w:val="22"/>
        </w:rPr>
        <w:t xml:space="preserve">.  </w:t>
      </w:r>
    </w:p>
    <w:p w:rsidR="004269B0" w:rsidP="00BF5AC4" w14:paraId="7F49364B" w14:textId="77777777">
      <w:pPr>
        <w:rPr>
          <w:rFonts w:cs="Arial"/>
          <w:sz w:val="22"/>
          <w:szCs w:val="22"/>
        </w:rPr>
      </w:pPr>
    </w:p>
    <w:p w:rsidR="00BF5AC4" w:rsidRPr="00D839EE" w:rsidP="00BF5AC4" w14:paraId="7F49364C" w14:textId="77777777">
      <w:pPr>
        <w:rPr>
          <w:rFonts w:cs="Arial"/>
        </w:rPr>
      </w:pPr>
      <w:r>
        <w:rPr>
          <w:rFonts w:cs="Arial"/>
          <w:sz w:val="22"/>
          <w:szCs w:val="22"/>
        </w:rPr>
        <w:t>The</w:t>
      </w:r>
      <w:r w:rsidRPr="00D839EE">
        <w:rPr>
          <w:rFonts w:cs="Arial"/>
          <w:sz w:val="22"/>
          <w:szCs w:val="22"/>
        </w:rPr>
        <w:t xml:space="preserve"> NRC monetizes the impacts of the regulatory options</w:t>
      </w:r>
      <w:r>
        <w:rPr>
          <w:rFonts w:cs="Arial"/>
          <w:sz w:val="22"/>
          <w:szCs w:val="22"/>
        </w:rPr>
        <w:t xml:space="preserve"> where data allow</w:t>
      </w:r>
      <w:r w:rsidRPr="00D839EE">
        <w:rPr>
          <w:rFonts w:cs="Arial"/>
          <w:sz w:val="22"/>
          <w:szCs w:val="22"/>
        </w:rPr>
        <w:t>.  Those impacts that cannot be monetized are instead described</w:t>
      </w:r>
      <w:r>
        <w:rPr>
          <w:rFonts w:cs="Arial"/>
          <w:sz w:val="22"/>
          <w:szCs w:val="22"/>
        </w:rPr>
        <w:t xml:space="preserve"> qualitatively</w:t>
      </w:r>
      <w:r w:rsidRPr="00D839EE">
        <w:rPr>
          <w:rFonts w:cs="Arial"/>
          <w:sz w:val="22"/>
          <w:szCs w:val="22"/>
        </w:rPr>
        <w:t>.  This section summar</w:t>
      </w:r>
      <w:r w:rsidR="004269B0">
        <w:rPr>
          <w:rFonts w:cs="Arial"/>
          <w:sz w:val="22"/>
          <w:szCs w:val="22"/>
        </w:rPr>
        <w:t>izes</w:t>
      </w:r>
      <w:r w:rsidRPr="00D839EE">
        <w:rPr>
          <w:rFonts w:cs="Arial"/>
          <w:sz w:val="22"/>
          <w:szCs w:val="22"/>
        </w:rPr>
        <w:t xml:space="preserve"> the total costs and </w:t>
      </w:r>
      <w:r w:rsidR="007D44B2">
        <w:rPr>
          <w:rFonts w:cs="Arial"/>
          <w:sz w:val="22"/>
          <w:szCs w:val="22"/>
        </w:rPr>
        <w:t>averted cost</w:t>
      </w:r>
      <w:r w:rsidRPr="00D839EE" w:rsidR="007D44B2">
        <w:rPr>
          <w:rFonts w:cs="Arial"/>
          <w:sz w:val="22"/>
          <w:szCs w:val="22"/>
        </w:rPr>
        <w:t xml:space="preserve">s </w:t>
      </w:r>
      <w:r w:rsidRPr="00D839EE">
        <w:rPr>
          <w:rFonts w:cs="Arial"/>
          <w:sz w:val="22"/>
          <w:szCs w:val="22"/>
        </w:rPr>
        <w:t>associated with each option.  Sections</w:t>
      </w:r>
      <w:r w:rsidR="004269B0">
        <w:rPr>
          <w:rFonts w:cs="Arial"/>
          <w:sz w:val="22"/>
          <w:szCs w:val="22"/>
        </w:rPr>
        <w:t> </w:t>
      </w:r>
      <w:r w:rsidRPr="00D839EE">
        <w:rPr>
          <w:rFonts w:cs="Arial"/>
          <w:sz w:val="22"/>
          <w:szCs w:val="22"/>
        </w:rPr>
        <w:t>3.3 and 3.4 describe the costs</w:t>
      </w:r>
      <w:r w:rsidR="007D44B2">
        <w:rPr>
          <w:rFonts w:cs="Arial"/>
          <w:sz w:val="22"/>
          <w:szCs w:val="22"/>
        </w:rPr>
        <w:t>, averted costs,</w:t>
      </w:r>
      <w:r w:rsidRPr="00D839EE">
        <w:rPr>
          <w:rFonts w:cs="Arial"/>
          <w:sz w:val="22"/>
          <w:szCs w:val="22"/>
        </w:rPr>
        <w:t xml:space="preserve"> and benefits of the </w:t>
      </w:r>
      <w:r w:rsidRPr="00D839EE" w:rsidR="00BC5E9F">
        <w:rPr>
          <w:rFonts w:cs="Arial"/>
          <w:sz w:val="22"/>
          <w:szCs w:val="22"/>
        </w:rPr>
        <w:t>final</w:t>
      </w:r>
      <w:r w:rsidRPr="00D839EE">
        <w:rPr>
          <w:rFonts w:cs="Arial"/>
          <w:sz w:val="22"/>
          <w:szCs w:val="22"/>
        </w:rPr>
        <w:t xml:space="preserve"> requirements in greater detail.  Note that all costs and </w:t>
      </w:r>
      <w:r w:rsidR="007D44B2">
        <w:rPr>
          <w:rFonts w:cs="Arial"/>
          <w:sz w:val="22"/>
          <w:szCs w:val="22"/>
        </w:rPr>
        <w:t>averted cost</w:t>
      </w:r>
      <w:r w:rsidRPr="00D839EE">
        <w:rPr>
          <w:rFonts w:cs="Arial"/>
          <w:sz w:val="22"/>
          <w:szCs w:val="22"/>
        </w:rPr>
        <w:t xml:space="preserve">s presented in this analysis are rounded to two significant figures.  The NRC used Monte Carlo simulation methods to account for uncertainty in the estimated costs and </w:t>
      </w:r>
      <w:r w:rsidR="00685F98">
        <w:rPr>
          <w:rFonts w:cs="Arial"/>
          <w:sz w:val="22"/>
          <w:szCs w:val="22"/>
        </w:rPr>
        <w:t>averted cost</w:t>
      </w:r>
      <w:r w:rsidRPr="00D839EE" w:rsidR="00685F98">
        <w:rPr>
          <w:rFonts w:cs="Arial"/>
          <w:sz w:val="22"/>
          <w:szCs w:val="22"/>
        </w:rPr>
        <w:t xml:space="preserve">s </w:t>
      </w:r>
      <w:r w:rsidRPr="00D839EE">
        <w:rPr>
          <w:rFonts w:cs="Arial"/>
          <w:sz w:val="22"/>
          <w:szCs w:val="22"/>
        </w:rPr>
        <w:t xml:space="preserve">of the </w:t>
      </w:r>
      <w:r w:rsidRPr="00D839EE" w:rsidR="00BC5E9F">
        <w:rPr>
          <w:rFonts w:cs="Arial"/>
          <w:sz w:val="22"/>
          <w:szCs w:val="22"/>
        </w:rPr>
        <w:t>final</w:t>
      </w:r>
      <w:r w:rsidRPr="00D839EE">
        <w:rPr>
          <w:rFonts w:cs="Arial"/>
          <w:sz w:val="22"/>
          <w:szCs w:val="22"/>
        </w:rPr>
        <w:t xml:space="preserve"> rule.  Section 3.6 </w:t>
      </w:r>
      <w:r w:rsidR="007771DD">
        <w:rPr>
          <w:rFonts w:cs="Arial"/>
          <w:sz w:val="22"/>
          <w:szCs w:val="22"/>
        </w:rPr>
        <w:t>discusses</w:t>
      </w:r>
      <w:r w:rsidRPr="00D839EE">
        <w:rPr>
          <w:rFonts w:cs="Arial"/>
          <w:sz w:val="22"/>
          <w:szCs w:val="22"/>
        </w:rPr>
        <w:t xml:space="preserve"> the uncertainty analysis</w:t>
      </w:r>
      <w:r w:rsidR="007771DD">
        <w:rPr>
          <w:rFonts w:cs="Arial"/>
          <w:sz w:val="22"/>
          <w:szCs w:val="22"/>
        </w:rPr>
        <w:t xml:space="preserve"> in detail</w:t>
      </w:r>
      <w:r w:rsidR="008A6C0E">
        <w:rPr>
          <w:rFonts w:cs="Arial"/>
          <w:sz w:val="22"/>
          <w:szCs w:val="22"/>
        </w:rPr>
        <w:t>,</w:t>
      </w:r>
      <w:r w:rsidR="00830672">
        <w:rPr>
          <w:rFonts w:cs="Arial"/>
          <w:sz w:val="22"/>
          <w:szCs w:val="22"/>
        </w:rPr>
        <w:t xml:space="preserve"> and </w:t>
      </w:r>
      <w:r w:rsidRPr="00D839EE">
        <w:rPr>
          <w:rFonts w:cs="Arial"/>
          <w:sz w:val="22"/>
          <w:szCs w:val="22"/>
        </w:rPr>
        <w:t>Appendix</w:t>
      </w:r>
      <w:r w:rsidR="007771DD">
        <w:rPr>
          <w:rFonts w:cs="Arial"/>
          <w:sz w:val="22"/>
          <w:szCs w:val="22"/>
        </w:rPr>
        <w:t> </w:t>
      </w:r>
      <w:r w:rsidR="00A002D2">
        <w:rPr>
          <w:rFonts w:cs="Arial"/>
          <w:sz w:val="22"/>
          <w:szCs w:val="22"/>
        </w:rPr>
        <w:t>A</w:t>
      </w:r>
      <w:r w:rsidRPr="00D839EE">
        <w:rPr>
          <w:rFonts w:cs="Arial"/>
          <w:sz w:val="22"/>
          <w:szCs w:val="22"/>
        </w:rPr>
        <w:t xml:space="preserve"> </w:t>
      </w:r>
      <w:r w:rsidR="008A6C0E">
        <w:rPr>
          <w:rFonts w:cs="Arial"/>
          <w:sz w:val="22"/>
          <w:szCs w:val="22"/>
        </w:rPr>
        <w:t>gives</w:t>
      </w:r>
      <w:r w:rsidRPr="00D839EE">
        <w:rPr>
          <w:rFonts w:cs="Arial"/>
          <w:sz w:val="22"/>
          <w:szCs w:val="22"/>
        </w:rPr>
        <w:t xml:space="preserve"> a more detailed presentation of the cost data</w:t>
      </w:r>
      <w:r w:rsidRPr="00346B95">
        <w:rPr>
          <w:sz w:val="22"/>
        </w:rPr>
        <w:t>.</w:t>
      </w:r>
    </w:p>
    <w:p w:rsidR="00BF5AC4" w:rsidRPr="00D839EE" w:rsidP="00BF5AC4" w14:paraId="7F49364D" w14:textId="77777777">
      <w:pPr>
        <w:rPr>
          <w:rFonts w:cs="Arial"/>
        </w:rPr>
      </w:pPr>
    </w:p>
    <w:p w:rsidR="006004F2" w:rsidP="006004F2" w14:paraId="7F49364E" w14:textId="45C90CD2">
      <w:pPr>
        <w:rPr>
          <w:rFonts w:cs="Arial"/>
          <w:sz w:val="22"/>
          <w:szCs w:val="22"/>
        </w:rPr>
      </w:pPr>
      <w:r w:rsidRPr="00CF41A7">
        <w:rPr>
          <w:rFonts w:cs="Arial"/>
          <w:sz w:val="22"/>
          <w:szCs w:val="22"/>
        </w:rPr>
        <w:fldChar w:fldCharType="begin"/>
      </w:r>
      <w:r w:rsidRPr="00CF41A7">
        <w:rPr>
          <w:rFonts w:cs="Arial"/>
          <w:sz w:val="22"/>
          <w:szCs w:val="22"/>
        </w:rPr>
        <w:instrText xml:space="preserve"> REF _Ref534032487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4</w:t>
      </w:r>
      <w:r w:rsidRPr="00CF41A7">
        <w:rPr>
          <w:rFonts w:cs="Arial"/>
          <w:sz w:val="22"/>
          <w:szCs w:val="22"/>
        </w:rPr>
        <w:fldChar w:fldCharType="end"/>
      </w:r>
      <w:r w:rsidRPr="00135A71" w:rsidR="004A0141">
        <w:rPr>
          <w:rFonts w:cs="Arial"/>
          <w:sz w:val="22"/>
          <w:szCs w:val="22"/>
        </w:rPr>
        <w:t xml:space="preserve"> </w:t>
      </w:r>
      <w:r w:rsidRPr="00135A71">
        <w:rPr>
          <w:rFonts w:cs="Arial"/>
          <w:sz w:val="22"/>
          <w:szCs w:val="22"/>
        </w:rPr>
        <w:t>shows</w:t>
      </w:r>
      <w:r>
        <w:rPr>
          <w:rFonts w:cs="Arial"/>
          <w:sz w:val="22"/>
          <w:szCs w:val="22"/>
        </w:rPr>
        <w:t xml:space="preserve"> a sum</w:t>
      </w:r>
      <w:r w:rsidR="00135A71">
        <w:rPr>
          <w:rFonts w:cs="Arial"/>
          <w:sz w:val="22"/>
          <w:szCs w:val="22"/>
        </w:rPr>
        <w:t xml:space="preserve">mary of the </w:t>
      </w:r>
      <w:r w:rsidR="00E637B7">
        <w:rPr>
          <w:rFonts w:cs="Arial"/>
          <w:sz w:val="22"/>
          <w:szCs w:val="22"/>
        </w:rPr>
        <w:t xml:space="preserve">final rule’s </w:t>
      </w:r>
      <w:r w:rsidR="00135A71">
        <w:rPr>
          <w:rFonts w:cs="Arial"/>
          <w:sz w:val="22"/>
          <w:szCs w:val="22"/>
        </w:rPr>
        <w:t xml:space="preserve">estimated costs, </w:t>
      </w:r>
      <w:r>
        <w:rPr>
          <w:rFonts w:cs="Arial"/>
          <w:sz w:val="22"/>
          <w:szCs w:val="22"/>
        </w:rPr>
        <w:t>averted costs</w:t>
      </w:r>
      <w:r w:rsidR="00135A71">
        <w:rPr>
          <w:rFonts w:cs="Arial"/>
          <w:sz w:val="22"/>
          <w:szCs w:val="22"/>
        </w:rPr>
        <w:t>, and benefits (qualitative)</w:t>
      </w:r>
      <w:r>
        <w:rPr>
          <w:rFonts w:cs="Arial"/>
          <w:sz w:val="22"/>
          <w:szCs w:val="22"/>
        </w:rPr>
        <w:t xml:space="preserve"> </w:t>
      </w:r>
      <w:r w:rsidR="003E643F">
        <w:rPr>
          <w:rFonts w:cs="Arial"/>
          <w:sz w:val="22"/>
          <w:szCs w:val="22"/>
        </w:rPr>
        <w:t xml:space="preserve">incurred by licensees and the NRC, according to the facility categories identified in Exhibit 3-1.  </w:t>
      </w:r>
      <w:r w:rsidR="00135A71">
        <w:rPr>
          <w:rFonts w:cs="Arial"/>
          <w:sz w:val="22"/>
          <w:szCs w:val="22"/>
        </w:rPr>
        <w:t>Further detail o</w:t>
      </w:r>
      <w:r w:rsidR="00D94F6A">
        <w:rPr>
          <w:rFonts w:cs="Arial"/>
          <w:sz w:val="22"/>
          <w:szCs w:val="22"/>
        </w:rPr>
        <w:t xml:space="preserve">n these </w:t>
      </w:r>
      <w:r w:rsidR="003E643F">
        <w:rPr>
          <w:rFonts w:cs="Arial"/>
          <w:sz w:val="22"/>
          <w:szCs w:val="22"/>
        </w:rPr>
        <w:t>estimates is provided</w:t>
      </w:r>
      <w:r w:rsidR="00D94F6A">
        <w:rPr>
          <w:rFonts w:cs="Arial"/>
          <w:sz w:val="22"/>
          <w:szCs w:val="22"/>
        </w:rPr>
        <w:t xml:space="preserve"> in S</w:t>
      </w:r>
      <w:r w:rsidR="00135A71">
        <w:rPr>
          <w:rFonts w:cs="Arial"/>
          <w:sz w:val="22"/>
          <w:szCs w:val="22"/>
        </w:rPr>
        <w:t>ection 3.3 and 3.4.</w:t>
      </w:r>
    </w:p>
    <w:p w:rsidR="006004F2" w:rsidP="006004F2" w14:paraId="7F49364F" w14:textId="77777777">
      <w:pPr>
        <w:rPr>
          <w:rFonts w:cs="Arial"/>
          <w:sz w:val="22"/>
          <w:szCs w:val="22"/>
        </w:rPr>
      </w:pPr>
    </w:p>
    <w:p w:rsidR="006004F2" w:rsidRPr="00D96410" w:rsidP="00282C4C" w14:paraId="7F493650" w14:textId="783493EE">
      <w:pPr>
        <w:pStyle w:val="Caption"/>
        <w:keepNext/>
        <w:spacing w:after="0"/>
        <w:jc w:val="center"/>
        <w:rPr>
          <w:b/>
          <w:color w:val="auto"/>
          <w:sz w:val="20"/>
        </w:rPr>
      </w:pPr>
      <w:bookmarkStart w:id="134" w:name="_Ref534032487"/>
      <w:bookmarkStart w:id="135" w:name="_Toc534037052"/>
      <w:bookmarkStart w:id="136" w:name="_Toc534709839"/>
      <w:bookmarkStart w:id="137" w:name="_Toc534709997"/>
      <w:bookmarkStart w:id="138" w:name="_Toc534711682"/>
      <w:bookmarkStart w:id="139" w:name="_Toc534711929"/>
      <w:bookmarkStart w:id="140" w:name="_Toc534712115"/>
      <w:bookmarkStart w:id="141" w:name="_Toc534712692"/>
      <w:bookmarkStart w:id="142" w:name="_Toc534713201"/>
      <w:bookmarkStart w:id="143" w:name="_Toc9526461"/>
      <w:bookmarkStart w:id="144" w:name="_Toc536603410"/>
      <w:r w:rsidRPr="000F7FD1">
        <w:rPr>
          <w:b/>
          <w:i w:val="0"/>
          <w:color w:val="auto"/>
          <w:sz w:val="22"/>
          <w:szCs w:val="22"/>
        </w:rPr>
        <w:t>Exhibit 3</w:t>
      </w:r>
      <w:r w:rsidRPr="000F7FD1">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4</w:t>
      </w:r>
      <w:r w:rsidRPr="000F7FD1" w:rsidR="00C276FC">
        <w:rPr>
          <w:b/>
          <w:i w:val="0"/>
          <w:color w:val="auto"/>
          <w:sz w:val="22"/>
          <w:szCs w:val="22"/>
        </w:rPr>
        <w:fldChar w:fldCharType="end"/>
      </w:r>
      <w:bookmarkEnd w:id="134"/>
      <w:r w:rsidRPr="00D96410">
        <w:rPr>
          <w:b/>
          <w:i w:val="0"/>
          <w:color w:val="auto"/>
          <w:sz w:val="22"/>
          <w:szCs w:val="20"/>
        </w:rPr>
        <w:t xml:space="preserve">: </w:t>
      </w:r>
      <w:r w:rsidR="00E637B7">
        <w:rPr>
          <w:b/>
          <w:i w:val="0"/>
          <w:color w:val="auto"/>
          <w:sz w:val="22"/>
          <w:szCs w:val="20"/>
        </w:rPr>
        <w:t>Total</w:t>
      </w:r>
      <w:r w:rsidRPr="00D96410">
        <w:rPr>
          <w:b/>
          <w:i w:val="0"/>
          <w:color w:val="auto"/>
          <w:sz w:val="22"/>
          <w:szCs w:val="20"/>
        </w:rPr>
        <w:t xml:space="preserve"> Costs</w:t>
      </w:r>
      <w:r w:rsidR="00E637B7">
        <w:rPr>
          <w:b/>
          <w:i w:val="0"/>
          <w:color w:val="auto"/>
          <w:sz w:val="22"/>
          <w:szCs w:val="20"/>
        </w:rPr>
        <w:t>,</w:t>
      </w:r>
      <w:r w:rsidRPr="00D96410">
        <w:rPr>
          <w:b/>
          <w:i w:val="0"/>
          <w:color w:val="auto"/>
          <w:sz w:val="22"/>
          <w:szCs w:val="20"/>
        </w:rPr>
        <w:t xml:space="preserve"> Averted Costs</w:t>
      </w:r>
      <w:bookmarkEnd w:id="135"/>
      <w:bookmarkEnd w:id="136"/>
      <w:bookmarkEnd w:id="137"/>
      <w:bookmarkEnd w:id="138"/>
      <w:bookmarkEnd w:id="139"/>
      <w:bookmarkEnd w:id="140"/>
      <w:bookmarkEnd w:id="141"/>
      <w:bookmarkEnd w:id="142"/>
      <w:r w:rsidR="00E637B7">
        <w:rPr>
          <w:b/>
          <w:i w:val="0"/>
          <w:color w:val="auto"/>
          <w:sz w:val="22"/>
          <w:szCs w:val="20"/>
        </w:rPr>
        <w:t>, and Benefits of the Final Rule (2020$)</w:t>
      </w:r>
      <w:bookmarkEnd w:id="143"/>
      <w:bookmarkEnd w:id="144"/>
    </w:p>
    <w:tbl>
      <w:tblPr>
        <w:tblW w:w="8894" w:type="dxa"/>
        <w:jc w:val="center"/>
        <w:tblLook w:val="04A0"/>
      </w:tblPr>
      <w:tblGrid>
        <w:gridCol w:w="1256"/>
        <w:gridCol w:w="1329"/>
        <w:gridCol w:w="1329"/>
        <w:gridCol w:w="1329"/>
        <w:gridCol w:w="1708"/>
        <w:gridCol w:w="1943"/>
      </w:tblGrid>
      <w:tr w14:paraId="7F493657" w14:textId="77777777" w:rsidTr="00F34D0C">
        <w:tblPrEx>
          <w:tblW w:w="8894" w:type="dxa"/>
          <w:jc w:val="center"/>
          <w:tblLook w:val="04A0"/>
        </w:tblPrEx>
        <w:trPr>
          <w:trHeight w:val="300"/>
          <w:jc w:val="center"/>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4F2" w:rsidRPr="003422DE" w:rsidP="00795A83" w14:paraId="7F493651" w14:textId="77777777">
            <w:pPr>
              <w:keepNext/>
              <w:autoSpaceDE/>
              <w:autoSpaceDN/>
              <w:adjustRightInd/>
              <w:rPr>
                <w:rFonts w:cs="Arial"/>
                <w:b/>
                <w:color w:val="000000"/>
              </w:rPr>
            </w:pPr>
            <w:r w:rsidRPr="003422DE">
              <w:rPr>
                <w:rFonts w:cs="Arial"/>
                <w:b/>
                <w:color w:val="000000"/>
              </w:rPr>
              <w:t>Category</w:t>
            </w:r>
          </w:p>
        </w:tc>
        <w:tc>
          <w:tcPr>
            <w:tcW w:w="1329" w:type="dxa"/>
            <w:tcBorders>
              <w:top w:val="single" w:sz="4" w:space="0" w:color="auto"/>
              <w:left w:val="nil"/>
              <w:bottom w:val="single" w:sz="4" w:space="0" w:color="auto"/>
              <w:right w:val="single" w:sz="4" w:space="0" w:color="auto"/>
            </w:tcBorders>
            <w:shd w:val="clear" w:color="000000" w:fill="FFFFFF"/>
            <w:noWrap/>
            <w:vAlign w:val="center"/>
            <w:hideMark/>
          </w:tcPr>
          <w:p w:rsidR="006004F2" w:rsidRPr="00393FBA" w:rsidP="00795A83" w14:paraId="7F493652" w14:textId="77777777">
            <w:pPr>
              <w:keepNext/>
              <w:autoSpaceDE/>
              <w:autoSpaceDN/>
              <w:adjustRightInd/>
              <w:jc w:val="center"/>
              <w:rPr>
                <w:rFonts w:cs="Arial"/>
                <w:b/>
                <w:color w:val="000000"/>
              </w:rPr>
            </w:pPr>
            <w:r w:rsidRPr="00393FBA">
              <w:rPr>
                <w:rFonts w:cs="Arial"/>
                <w:b/>
                <w:color w:val="000000"/>
              </w:rPr>
              <w:t>Low</w:t>
            </w:r>
          </w:p>
        </w:tc>
        <w:tc>
          <w:tcPr>
            <w:tcW w:w="1329" w:type="dxa"/>
            <w:tcBorders>
              <w:top w:val="single" w:sz="4" w:space="0" w:color="auto"/>
              <w:left w:val="nil"/>
              <w:bottom w:val="single" w:sz="4" w:space="0" w:color="auto"/>
              <w:right w:val="single" w:sz="4" w:space="0" w:color="auto"/>
            </w:tcBorders>
            <w:shd w:val="clear" w:color="000000" w:fill="FFFFFF"/>
            <w:noWrap/>
            <w:vAlign w:val="center"/>
            <w:hideMark/>
          </w:tcPr>
          <w:p w:rsidR="006004F2" w:rsidRPr="00393FBA" w:rsidP="00795A83" w14:paraId="7F493653" w14:textId="77777777">
            <w:pPr>
              <w:keepNext/>
              <w:autoSpaceDE/>
              <w:autoSpaceDN/>
              <w:adjustRightInd/>
              <w:jc w:val="center"/>
              <w:rPr>
                <w:rFonts w:cs="Arial"/>
                <w:b/>
                <w:color w:val="000000"/>
              </w:rPr>
            </w:pPr>
            <w:r w:rsidRPr="00393FBA">
              <w:rPr>
                <w:rFonts w:cs="Arial"/>
                <w:b/>
                <w:color w:val="000000"/>
              </w:rPr>
              <w:t>Medium</w:t>
            </w:r>
          </w:p>
        </w:tc>
        <w:tc>
          <w:tcPr>
            <w:tcW w:w="1329" w:type="dxa"/>
            <w:tcBorders>
              <w:top w:val="single" w:sz="4" w:space="0" w:color="auto"/>
              <w:left w:val="nil"/>
              <w:bottom w:val="single" w:sz="4" w:space="0" w:color="auto"/>
              <w:right w:val="single" w:sz="4" w:space="0" w:color="auto"/>
            </w:tcBorders>
            <w:shd w:val="clear" w:color="000000" w:fill="FFFFFF"/>
            <w:noWrap/>
            <w:vAlign w:val="center"/>
            <w:hideMark/>
          </w:tcPr>
          <w:p w:rsidR="006004F2" w:rsidRPr="005A248B" w:rsidP="00795A83" w14:paraId="7F493654" w14:textId="77777777">
            <w:pPr>
              <w:keepNext/>
              <w:autoSpaceDE/>
              <w:autoSpaceDN/>
              <w:adjustRightInd/>
              <w:jc w:val="center"/>
              <w:rPr>
                <w:rFonts w:cs="Arial"/>
                <w:b/>
                <w:color w:val="000000"/>
              </w:rPr>
            </w:pPr>
            <w:r w:rsidRPr="005A248B">
              <w:rPr>
                <w:rFonts w:cs="Arial"/>
                <w:b/>
                <w:color w:val="000000"/>
              </w:rPr>
              <w:t>High</w:t>
            </w:r>
          </w:p>
        </w:tc>
        <w:tc>
          <w:tcPr>
            <w:tcW w:w="1708" w:type="dxa"/>
            <w:tcBorders>
              <w:top w:val="single" w:sz="4" w:space="0" w:color="auto"/>
              <w:left w:val="nil"/>
              <w:bottom w:val="single" w:sz="4" w:space="0" w:color="auto"/>
              <w:right w:val="single" w:sz="4" w:space="0" w:color="auto"/>
            </w:tcBorders>
            <w:shd w:val="clear" w:color="000000" w:fill="FFFFFF"/>
            <w:noWrap/>
            <w:vAlign w:val="center"/>
            <w:hideMark/>
          </w:tcPr>
          <w:p w:rsidR="006004F2" w:rsidRPr="00B1586C" w:rsidP="00795A83" w14:paraId="7F493655" w14:textId="77777777">
            <w:pPr>
              <w:keepNext/>
              <w:autoSpaceDE/>
              <w:autoSpaceDN/>
              <w:adjustRightInd/>
              <w:jc w:val="center"/>
              <w:rPr>
                <w:rFonts w:cs="Arial"/>
                <w:b/>
                <w:color w:val="000000"/>
              </w:rPr>
            </w:pPr>
            <w:r w:rsidRPr="00393FBA">
              <w:rPr>
                <w:rFonts w:cs="Arial"/>
                <w:b/>
                <w:color w:val="000000"/>
              </w:rPr>
              <w:t>Other NPUFs</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rsidR="006004F2" w:rsidRPr="003D2AD4" w:rsidP="00795A83" w14:paraId="7F493656" w14:textId="77777777">
            <w:pPr>
              <w:keepNext/>
              <w:autoSpaceDE/>
              <w:autoSpaceDN/>
              <w:adjustRightInd/>
              <w:jc w:val="center"/>
              <w:rPr>
                <w:rFonts w:cs="Arial"/>
                <w:b/>
                <w:color w:val="000000"/>
              </w:rPr>
            </w:pPr>
            <w:r w:rsidRPr="003D2AD4">
              <w:rPr>
                <w:rFonts w:cs="Arial"/>
                <w:b/>
                <w:color w:val="000000"/>
              </w:rPr>
              <w:t>Total</w:t>
            </w:r>
          </w:p>
        </w:tc>
      </w:tr>
      <w:tr w14:paraId="7F493659" w14:textId="77777777" w:rsidTr="00F34D0C">
        <w:tblPrEx>
          <w:tblW w:w="8894" w:type="dxa"/>
          <w:jc w:val="center"/>
          <w:tblLook w:val="04A0"/>
        </w:tblPrEx>
        <w:trPr>
          <w:trHeight w:val="300"/>
          <w:jc w:val="center"/>
        </w:trPr>
        <w:tc>
          <w:tcPr>
            <w:tcW w:w="8894"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004F2" w:rsidRPr="003422DE" w:rsidP="00795A83" w14:paraId="7F493658" w14:textId="77777777">
            <w:pPr>
              <w:keepNext/>
              <w:autoSpaceDE/>
              <w:autoSpaceDN/>
              <w:adjustRightInd/>
              <w:jc w:val="center"/>
              <w:rPr>
                <w:rFonts w:cs="Arial"/>
                <w:b/>
                <w:color w:val="000000"/>
              </w:rPr>
            </w:pPr>
            <w:r w:rsidRPr="003422DE">
              <w:rPr>
                <w:rFonts w:cs="Arial"/>
                <w:b/>
                <w:color w:val="000000"/>
              </w:rPr>
              <w:t>Costs</w:t>
            </w:r>
          </w:p>
        </w:tc>
      </w:tr>
      <w:tr w14:paraId="7F493660" w14:textId="77777777" w:rsidTr="00DE2774">
        <w:tblPrEx>
          <w:tblW w:w="8894" w:type="dxa"/>
          <w:jc w:val="center"/>
          <w:tblLook w:val="04A0"/>
        </w:tblPrEx>
        <w:trPr>
          <w:trHeight w:val="300"/>
          <w:jc w:val="center"/>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rsidR="00DE2774" w:rsidRPr="001E41D8" w:rsidP="00795A83" w14:paraId="7F49365A" w14:textId="77777777">
            <w:pPr>
              <w:keepNext/>
              <w:autoSpaceDE/>
              <w:autoSpaceDN/>
              <w:adjustRightInd/>
              <w:rPr>
                <w:rFonts w:cs="Arial"/>
                <w:color w:val="000000"/>
              </w:rPr>
            </w:pPr>
            <w:r w:rsidRPr="001E41D8">
              <w:rPr>
                <w:rFonts w:cs="Arial"/>
                <w:color w:val="000000"/>
              </w:rPr>
              <w:t>Licensees</w:t>
            </w:r>
          </w:p>
        </w:tc>
        <w:tc>
          <w:tcPr>
            <w:tcW w:w="1329" w:type="dxa"/>
            <w:tcBorders>
              <w:top w:val="nil"/>
              <w:left w:val="nil"/>
              <w:bottom w:val="single" w:sz="4" w:space="0" w:color="auto"/>
              <w:right w:val="single" w:sz="4" w:space="0" w:color="auto"/>
            </w:tcBorders>
            <w:shd w:val="clear" w:color="000000" w:fill="FFFFFF"/>
            <w:noWrap/>
            <w:vAlign w:val="center"/>
            <w:hideMark/>
          </w:tcPr>
          <w:p w:rsidR="00DE2774" w:rsidRPr="003422DE" w:rsidP="00795A83" w14:paraId="7F49365B" w14:textId="77777777">
            <w:pPr>
              <w:keepNext/>
              <w:autoSpaceDE/>
              <w:autoSpaceDN/>
              <w:adjustRightInd/>
              <w:jc w:val="center"/>
              <w:rPr>
                <w:rFonts w:cs="Arial"/>
                <w:color w:val="000000"/>
              </w:rPr>
            </w:pPr>
            <w:r>
              <w:rPr>
                <w:rFonts w:cs="Arial"/>
                <w:color w:val="000000"/>
              </w:rPr>
              <w:t>(</w:t>
            </w:r>
            <w:r>
              <w:rPr>
                <w:rFonts w:cs="Arial"/>
                <w:color w:val="000000"/>
              </w:rPr>
              <w:t>$150,000</w:t>
            </w:r>
            <w:r>
              <w:rPr>
                <w:rFonts w:cs="Arial"/>
                <w:color w:val="000000"/>
              </w:rPr>
              <w:t>)</w:t>
            </w:r>
          </w:p>
        </w:tc>
        <w:tc>
          <w:tcPr>
            <w:tcW w:w="1329" w:type="dxa"/>
            <w:tcBorders>
              <w:top w:val="nil"/>
              <w:left w:val="nil"/>
              <w:bottom w:val="single" w:sz="4" w:space="0" w:color="auto"/>
              <w:right w:val="single" w:sz="4" w:space="0" w:color="auto"/>
            </w:tcBorders>
            <w:shd w:val="clear" w:color="000000" w:fill="FFFFFF"/>
            <w:noWrap/>
            <w:vAlign w:val="center"/>
            <w:hideMark/>
          </w:tcPr>
          <w:p w:rsidR="00DE2774" w:rsidRPr="00393FBA" w:rsidP="00795A83" w14:paraId="7F49365C" w14:textId="77777777">
            <w:pPr>
              <w:keepNext/>
              <w:autoSpaceDE/>
              <w:autoSpaceDN/>
              <w:adjustRightInd/>
              <w:jc w:val="center"/>
              <w:rPr>
                <w:rFonts w:cs="Arial"/>
                <w:color w:val="000000"/>
              </w:rPr>
            </w:pPr>
            <w:r>
              <w:rPr>
                <w:rFonts w:cs="Arial"/>
                <w:color w:val="000000"/>
              </w:rPr>
              <w:t>(</w:t>
            </w:r>
            <w:r>
              <w:rPr>
                <w:rFonts w:cs="Arial"/>
                <w:color w:val="000000"/>
              </w:rPr>
              <w:t>$870,000</w:t>
            </w:r>
            <w:r>
              <w:rPr>
                <w:rFonts w:cs="Arial"/>
                <w:color w:val="000000"/>
              </w:rPr>
              <w:t>)</w:t>
            </w:r>
          </w:p>
        </w:tc>
        <w:tc>
          <w:tcPr>
            <w:tcW w:w="1329" w:type="dxa"/>
            <w:tcBorders>
              <w:top w:val="nil"/>
              <w:left w:val="nil"/>
              <w:bottom w:val="single" w:sz="4" w:space="0" w:color="auto"/>
              <w:right w:val="single" w:sz="4" w:space="0" w:color="auto"/>
            </w:tcBorders>
            <w:shd w:val="clear" w:color="000000" w:fill="FFFFFF"/>
            <w:noWrap/>
            <w:vAlign w:val="center"/>
            <w:hideMark/>
          </w:tcPr>
          <w:p w:rsidR="00DE2774" w:rsidRPr="00393FBA" w:rsidP="00795A83" w14:paraId="7F49365D" w14:textId="77777777">
            <w:pPr>
              <w:keepNext/>
              <w:autoSpaceDE/>
              <w:autoSpaceDN/>
              <w:adjustRightInd/>
              <w:jc w:val="center"/>
              <w:rPr>
                <w:rFonts w:cs="Arial"/>
                <w:color w:val="000000"/>
              </w:rPr>
            </w:pPr>
            <w:r>
              <w:rPr>
                <w:rFonts w:cs="Arial"/>
                <w:color w:val="000000"/>
              </w:rPr>
              <w:t>(</w:t>
            </w:r>
            <w:r>
              <w:rPr>
                <w:rFonts w:cs="Arial"/>
                <w:color w:val="000000"/>
              </w:rPr>
              <w:t>$270,000</w:t>
            </w:r>
            <w:r>
              <w:rPr>
                <w:rFonts w:cs="Arial"/>
                <w:color w:val="000000"/>
              </w:rPr>
              <w:t>)</w:t>
            </w:r>
          </w:p>
        </w:tc>
        <w:tc>
          <w:tcPr>
            <w:tcW w:w="1708" w:type="dxa"/>
            <w:tcBorders>
              <w:top w:val="nil"/>
              <w:left w:val="nil"/>
              <w:bottom w:val="single" w:sz="4" w:space="0" w:color="auto"/>
              <w:right w:val="single" w:sz="4" w:space="0" w:color="auto"/>
            </w:tcBorders>
            <w:shd w:val="clear" w:color="000000" w:fill="FFFFFF"/>
            <w:noWrap/>
            <w:vAlign w:val="center"/>
            <w:hideMark/>
          </w:tcPr>
          <w:p w:rsidR="00DE2774" w:rsidRPr="00393FBA" w:rsidP="00795A83" w14:paraId="7F49365E" w14:textId="77777777">
            <w:pPr>
              <w:keepNext/>
              <w:autoSpaceDE/>
              <w:autoSpaceDN/>
              <w:adjustRightInd/>
              <w:jc w:val="center"/>
              <w:rPr>
                <w:rFonts w:cs="Arial"/>
                <w:color w:val="000000"/>
              </w:rPr>
            </w:pPr>
            <w:r>
              <w:rPr>
                <w:rFonts w:cs="Arial"/>
                <w:color w:val="000000"/>
              </w:rPr>
              <w:t>(</w:t>
            </w:r>
            <w:r>
              <w:rPr>
                <w:rFonts w:cs="Arial"/>
                <w:color w:val="000000"/>
              </w:rPr>
              <w:t>$220,000</w:t>
            </w:r>
            <w:r>
              <w:rPr>
                <w:rFonts w:cs="Arial"/>
                <w:color w:val="000000"/>
              </w:rPr>
              <w:t>)</w:t>
            </w:r>
          </w:p>
        </w:tc>
        <w:tc>
          <w:tcPr>
            <w:tcW w:w="1943" w:type="dxa"/>
            <w:tcBorders>
              <w:top w:val="nil"/>
              <w:left w:val="nil"/>
              <w:bottom w:val="single" w:sz="4" w:space="0" w:color="auto"/>
              <w:right w:val="single" w:sz="4" w:space="0" w:color="auto"/>
            </w:tcBorders>
            <w:shd w:val="clear" w:color="000000" w:fill="FFFFFF"/>
            <w:noWrap/>
            <w:vAlign w:val="center"/>
            <w:hideMark/>
          </w:tcPr>
          <w:p w:rsidR="00DE2774" w:rsidRPr="00393FBA" w:rsidP="00795A83" w14:paraId="7F49365F" w14:textId="77777777">
            <w:pPr>
              <w:keepNext/>
              <w:autoSpaceDE/>
              <w:autoSpaceDN/>
              <w:adjustRightInd/>
              <w:jc w:val="center"/>
              <w:rPr>
                <w:rFonts w:cs="Arial"/>
                <w:color w:val="000000"/>
              </w:rPr>
            </w:pPr>
            <w:r>
              <w:rPr>
                <w:rFonts w:cs="Arial"/>
                <w:color w:val="000000"/>
              </w:rPr>
              <w:t>(</w:t>
            </w:r>
            <w:r>
              <w:rPr>
                <w:rFonts w:cs="Arial"/>
                <w:color w:val="000000"/>
              </w:rPr>
              <w:t>$1,500,000</w:t>
            </w:r>
            <w:r>
              <w:rPr>
                <w:rFonts w:cs="Arial"/>
                <w:color w:val="000000"/>
              </w:rPr>
              <w:t>)</w:t>
            </w:r>
          </w:p>
        </w:tc>
      </w:tr>
      <w:tr w14:paraId="7F493667" w14:textId="77777777" w:rsidTr="00DE2774">
        <w:tblPrEx>
          <w:tblW w:w="8894" w:type="dxa"/>
          <w:jc w:val="center"/>
          <w:tblLook w:val="04A0"/>
        </w:tblPrEx>
        <w:trPr>
          <w:trHeight w:val="300"/>
          <w:jc w:val="center"/>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rsidR="00DE2774" w:rsidRPr="001E41D8" w:rsidP="008B7FF8" w14:paraId="7F493661" w14:textId="77777777">
            <w:pPr>
              <w:keepNext/>
              <w:autoSpaceDE/>
              <w:autoSpaceDN/>
              <w:adjustRightInd/>
              <w:rPr>
                <w:rFonts w:cs="Arial"/>
                <w:color w:val="000000"/>
              </w:rPr>
            </w:pPr>
            <w:r w:rsidRPr="001E41D8">
              <w:rPr>
                <w:rFonts w:cs="Arial"/>
                <w:color w:val="000000"/>
              </w:rPr>
              <w:t>NRC</w:t>
            </w:r>
          </w:p>
        </w:tc>
        <w:tc>
          <w:tcPr>
            <w:tcW w:w="1329" w:type="dxa"/>
            <w:tcBorders>
              <w:top w:val="nil"/>
              <w:left w:val="nil"/>
              <w:bottom w:val="single" w:sz="4" w:space="0" w:color="auto"/>
              <w:right w:val="single" w:sz="4" w:space="0" w:color="auto"/>
            </w:tcBorders>
            <w:shd w:val="clear" w:color="000000" w:fill="FFFFFF"/>
            <w:noWrap/>
            <w:vAlign w:val="center"/>
            <w:hideMark/>
          </w:tcPr>
          <w:p w:rsidR="00DE2774" w:rsidRPr="003422DE" w:rsidP="008B7FF8" w14:paraId="7F493662" w14:textId="77777777">
            <w:pPr>
              <w:keepNext/>
              <w:autoSpaceDE/>
              <w:autoSpaceDN/>
              <w:adjustRightInd/>
              <w:jc w:val="center"/>
              <w:rPr>
                <w:rFonts w:cs="Arial"/>
                <w:color w:val="000000"/>
              </w:rPr>
            </w:pPr>
            <w:r>
              <w:rPr>
                <w:rFonts w:cs="Arial"/>
                <w:color w:val="000000"/>
              </w:rPr>
              <w:t>(</w:t>
            </w:r>
            <w:r>
              <w:rPr>
                <w:rFonts w:cs="Arial"/>
                <w:color w:val="000000"/>
              </w:rPr>
              <w:t>$92,000</w:t>
            </w:r>
            <w:r>
              <w:rPr>
                <w:rFonts w:cs="Arial"/>
                <w:color w:val="000000"/>
              </w:rPr>
              <w:t>)</w:t>
            </w:r>
          </w:p>
        </w:tc>
        <w:tc>
          <w:tcPr>
            <w:tcW w:w="1329" w:type="dxa"/>
            <w:tcBorders>
              <w:top w:val="nil"/>
              <w:left w:val="nil"/>
              <w:bottom w:val="single" w:sz="4" w:space="0" w:color="auto"/>
              <w:right w:val="single" w:sz="4" w:space="0" w:color="auto"/>
            </w:tcBorders>
            <w:shd w:val="clear" w:color="000000" w:fill="FFFFFF"/>
            <w:noWrap/>
            <w:vAlign w:val="center"/>
            <w:hideMark/>
          </w:tcPr>
          <w:p w:rsidR="00DE2774" w:rsidRPr="00393FBA" w:rsidP="008B7FF8" w14:paraId="7F493663" w14:textId="77777777">
            <w:pPr>
              <w:keepNext/>
              <w:autoSpaceDE/>
              <w:autoSpaceDN/>
              <w:adjustRightInd/>
              <w:jc w:val="center"/>
              <w:rPr>
                <w:rFonts w:cs="Arial"/>
                <w:color w:val="000000"/>
              </w:rPr>
            </w:pPr>
            <w:r>
              <w:rPr>
                <w:rFonts w:cs="Arial"/>
                <w:color w:val="000000"/>
              </w:rPr>
              <w:t>(</w:t>
            </w:r>
            <w:r>
              <w:rPr>
                <w:rFonts w:cs="Arial"/>
                <w:color w:val="000000"/>
              </w:rPr>
              <w:t>$510,000</w:t>
            </w:r>
            <w:r>
              <w:rPr>
                <w:rFonts w:cs="Arial"/>
                <w:color w:val="000000"/>
              </w:rPr>
              <w:t>)</w:t>
            </w:r>
          </w:p>
        </w:tc>
        <w:tc>
          <w:tcPr>
            <w:tcW w:w="1329" w:type="dxa"/>
            <w:tcBorders>
              <w:top w:val="nil"/>
              <w:left w:val="nil"/>
              <w:bottom w:val="single" w:sz="4" w:space="0" w:color="auto"/>
              <w:right w:val="single" w:sz="4" w:space="0" w:color="auto"/>
            </w:tcBorders>
            <w:shd w:val="clear" w:color="000000" w:fill="FFFFFF"/>
            <w:noWrap/>
            <w:vAlign w:val="center"/>
            <w:hideMark/>
          </w:tcPr>
          <w:p w:rsidR="00DE2774" w:rsidRPr="00393FBA" w:rsidP="008B7FF8" w14:paraId="7F493664" w14:textId="77777777">
            <w:pPr>
              <w:keepNext/>
              <w:autoSpaceDE/>
              <w:autoSpaceDN/>
              <w:adjustRightInd/>
              <w:jc w:val="center"/>
              <w:rPr>
                <w:rFonts w:cs="Arial"/>
                <w:color w:val="000000"/>
              </w:rPr>
            </w:pPr>
            <w:r>
              <w:rPr>
                <w:rFonts w:cs="Arial"/>
                <w:color w:val="000000"/>
              </w:rPr>
              <w:t>(</w:t>
            </w:r>
            <w:r>
              <w:rPr>
                <w:rFonts w:cs="Arial"/>
                <w:color w:val="000000"/>
              </w:rPr>
              <w:t>$120,000</w:t>
            </w:r>
            <w:r>
              <w:rPr>
                <w:rFonts w:cs="Arial"/>
                <w:color w:val="000000"/>
              </w:rPr>
              <w:t>)</w:t>
            </w:r>
          </w:p>
        </w:tc>
        <w:tc>
          <w:tcPr>
            <w:tcW w:w="1708" w:type="dxa"/>
            <w:tcBorders>
              <w:top w:val="nil"/>
              <w:left w:val="nil"/>
              <w:bottom w:val="single" w:sz="4" w:space="0" w:color="auto"/>
              <w:right w:val="single" w:sz="4" w:space="0" w:color="auto"/>
            </w:tcBorders>
            <w:shd w:val="clear" w:color="000000" w:fill="FFFFFF"/>
            <w:noWrap/>
            <w:vAlign w:val="center"/>
            <w:hideMark/>
          </w:tcPr>
          <w:p w:rsidR="00DE2774" w:rsidRPr="00393FBA" w:rsidP="008B7FF8" w14:paraId="7F493665" w14:textId="77777777">
            <w:pPr>
              <w:keepNext/>
              <w:autoSpaceDE/>
              <w:autoSpaceDN/>
              <w:adjustRightInd/>
              <w:jc w:val="center"/>
              <w:rPr>
                <w:rFonts w:cs="Arial"/>
                <w:color w:val="000000"/>
              </w:rPr>
            </w:pPr>
            <w:r>
              <w:rPr>
                <w:rFonts w:cs="Arial"/>
                <w:color w:val="000000"/>
              </w:rPr>
              <w:t>(</w:t>
            </w:r>
            <w:r>
              <w:rPr>
                <w:rFonts w:cs="Arial"/>
                <w:color w:val="000000"/>
              </w:rPr>
              <w:t>$80,000</w:t>
            </w:r>
            <w:r>
              <w:rPr>
                <w:rFonts w:cs="Arial"/>
                <w:color w:val="000000"/>
              </w:rPr>
              <w:t>)</w:t>
            </w:r>
          </w:p>
        </w:tc>
        <w:tc>
          <w:tcPr>
            <w:tcW w:w="1943" w:type="dxa"/>
            <w:tcBorders>
              <w:top w:val="nil"/>
              <w:left w:val="nil"/>
              <w:bottom w:val="single" w:sz="4" w:space="0" w:color="auto"/>
              <w:right w:val="single" w:sz="4" w:space="0" w:color="auto"/>
            </w:tcBorders>
            <w:shd w:val="clear" w:color="000000" w:fill="FFFFFF"/>
            <w:noWrap/>
            <w:vAlign w:val="center"/>
            <w:hideMark/>
          </w:tcPr>
          <w:p w:rsidR="00DE2774" w:rsidRPr="00393FBA" w:rsidP="008B7FF8" w14:paraId="7F493666" w14:textId="77777777">
            <w:pPr>
              <w:keepNext/>
              <w:autoSpaceDE/>
              <w:autoSpaceDN/>
              <w:adjustRightInd/>
              <w:jc w:val="center"/>
              <w:rPr>
                <w:rFonts w:cs="Arial"/>
                <w:color w:val="000000"/>
              </w:rPr>
            </w:pPr>
            <w:r>
              <w:rPr>
                <w:rFonts w:cs="Arial"/>
                <w:color w:val="000000"/>
              </w:rPr>
              <w:t>(</w:t>
            </w:r>
            <w:r>
              <w:rPr>
                <w:rFonts w:cs="Arial"/>
                <w:color w:val="000000"/>
              </w:rPr>
              <w:t>$800,000</w:t>
            </w:r>
            <w:r>
              <w:rPr>
                <w:rFonts w:cs="Arial"/>
                <w:color w:val="000000"/>
              </w:rPr>
              <w:t>)</w:t>
            </w:r>
          </w:p>
        </w:tc>
      </w:tr>
      <w:tr w14:paraId="7F493669" w14:textId="77777777" w:rsidTr="00F34D0C">
        <w:tblPrEx>
          <w:tblW w:w="8894" w:type="dxa"/>
          <w:jc w:val="center"/>
          <w:tblLook w:val="04A0"/>
        </w:tblPrEx>
        <w:trPr>
          <w:trHeight w:val="300"/>
          <w:jc w:val="center"/>
        </w:trPr>
        <w:tc>
          <w:tcPr>
            <w:tcW w:w="8894"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004F2" w:rsidRPr="003422DE" w:rsidP="008B7FF8" w14:paraId="7F493668" w14:textId="77777777">
            <w:pPr>
              <w:keepNext/>
              <w:autoSpaceDE/>
              <w:autoSpaceDN/>
              <w:adjustRightInd/>
              <w:jc w:val="center"/>
              <w:rPr>
                <w:rFonts w:cs="Arial"/>
                <w:b/>
                <w:color w:val="000000"/>
              </w:rPr>
            </w:pPr>
            <w:r>
              <w:rPr>
                <w:rFonts w:cs="Arial"/>
                <w:b/>
                <w:bCs/>
                <w:color w:val="000000"/>
              </w:rPr>
              <w:t>Averted Costs</w:t>
            </w:r>
          </w:p>
        </w:tc>
      </w:tr>
      <w:tr w14:paraId="7F493670" w14:textId="77777777" w:rsidTr="00F34D0C">
        <w:tblPrEx>
          <w:tblW w:w="8894" w:type="dxa"/>
          <w:jc w:val="center"/>
          <w:tblLook w:val="04A0"/>
        </w:tblPrEx>
        <w:trPr>
          <w:trHeight w:val="300"/>
          <w:jc w:val="center"/>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rsidR="00F34D0C" w:rsidRPr="001E41D8" w:rsidP="008B7FF8" w14:paraId="7F49366A" w14:textId="77777777">
            <w:pPr>
              <w:keepNext/>
              <w:autoSpaceDE/>
              <w:autoSpaceDN/>
              <w:adjustRightInd/>
              <w:rPr>
                <w:rFonts w:cs="Arial"/>
                <w:color w:val="000000"/>
              </w:rPr>
            </w:pPr>
            <w:r w:rsidRPr="001E41D8">
              <w:rPr>
                <w:rFonts w:cs="Arial"/>
                <w:color w:val="000000"/>
              </w:rPr>
              <w:t>Licensees</w:t>
            </w:r>
          </w:p>
        </w:tc>
        <w:tc>
          <w:tcPr>
            <w:tcW w:w="1329" w:type="dxa"/>
            <w:tcBorders>
              <w:top w:val="nil"/>
              <w:left w:val="nil"/>
              <w:bottom w:val="single" w:sz="4" w:space="0" w:color="auto"/>
              <w:right w:val="single" w:sz="4" w:space="0" w:color="auto"/>
            </w:tcBorders>
            <w:shd w:val="clear" w:color="000000" w:fill="FFFFFF"/>
            <w:noWrap/>
            <w:vAlign w:val="center"/>
            <w:hideMark/>
          </w:tcPr>
          <w:p w:rsidR="00F34D0C" w:rsidRPr="003422DE" w:rsidP="008B7FF8" w14:paraId="7F49366B" w14:textId="77777777">
            <w:pPr>
              <w:keepNext/>
              <w:autoSpaceDE/>
              <w:autoSpaceDN/>
              <w:adjustRightInd/>
              <w:jc w:val="center"/>
              <w:rPr>
                <w:rFonts w:cs="Arial"/>
                <w:color w:val="000000"/>
              </w:rPr>
            </w:pPr>
            <w:r>
              <w:rPr>
                <w:rFonts w:cs="Arial"/>
                <w:color w:val="000000"/>
              </w:rPr>
              <w:t>$850,000</w:t>
            </w:r>
          </w:p>
        </w:tc>
        <w:tc>
          <w:tcPr>
            <w:tcW w:w="1329"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6C" w14:textId="77777777">
            <w:pPr>
              <w:keepNext/>
              <w:autoSpaceDE/>
              <w:autoSpaceDN/>
              <w:adjustRightInd/>
              <w:jc w:val="center"/>
              <w:rPr>
                <w:rFonts w:cs="Arial"/>
                <w:color w:val="000000"/>
              </w:rPr>
            </w:pPr>
            <w:r>
              <w:rPr>
                <w:rFonts w:cs="Arial"/>
                <w:color w:val="000000"/>
              </w:rPr>
              <w:t>$5,100,000</w:t>
            </w:r>
          </w:p>
        </w:tc>
        <w:tc>
          <w:tcPr>
            <w:tcW w:w="1329"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6D" w14:textId="77777777">
            <w:pPr>
              <w:keepNext/>
              <w:autoSpaceDE/>
              <w:autoSpaceDN/>
              <w:adjustRightInd/>
              <w:jc w:val="center"/>
              <w:rPr>
                <w:rFonts w:cs="Arial"/>
                <w:color w:val="000000"/>
              </w:rPr>
            </w:pPr>
            <w:r>
              <w:rPr>
                <w:rFonts w:cs="Arial"/>
                <w:color w:val="000000"/>
              </w:rPr>
              <w:t>$1,000,000</w:t>
            </w:r>
          </w:p>
        </w:tc>
        <w:tc>
          <w:tcPr>
            <w:tcW w:w="1708"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6E" w14:textId="77777777">
            <w:pPr>
              <w:keepNext/>
              <w:autoSpaceDE/>
              <w:autoSpaceDN/>
              <w:adjustRightInd/>
              <w:jc w:val="center"/>
              <w:rPr>
                <w:rFonts w:cs="Arial"/>
                <w:color w:val="000000"/>
              </w:rPr>
            </w:pPr>
            <w:r>
              <w:rPr>
                <w:rFonts w:cs="Arial"/>
                <w:color w:val="000000"/>
              </w:rPr>
              <w:t>$0</w:t>
            </w:r>
          </w:p>
        </w:tc>
        <w:tc>
          <w:tcPr>
            <w:tcW w:w="1943"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6F" w14:textId="77777777">
            <w:pPr>
              <w:keepNext/>
              <w:autoSpaceDE/>
              <w:autoSpaceDN/>
              <w:adjustRightInd/>
              <w:jc w:val="center"/>
              <w:rPr>
                <w:rFonts w:cs="Arial"/>
                <w:color w:val="000000"/>
              </w:rPr>
            </w:pPr>
            <w:r>
              <w:rPr>
                <w:rFonts w:cs="Arial"/>
                <w:color w:val="000000"/>
              </w:rPr>
              <w:t>$7,000,000</w:t>
            </w:r>
          </w:p>
        </w:tc>
      </w:tr>
      <w:tr w14:paraId="7F493677" w14:textId="77777777" w:rsidTr="00F34D0C">
        <w:tblPrEx>
          <w:tblW w:w="8894" w:type="dxa"/>
          <w:jc w:val="center"/>
          <w:tblLook w:val="04A0"/>
        </w:tblPrEx>
        <w:trPr>
          <w:trHeight w:val="300"/>
          <w:jc w:val="center"/>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rsidR="00F34D0C" w:rsidRPr="001E41D8" w:rsidP="008B7FF8" w14:paraId="7F493671" w14:textId="77777777">
            <w:pPr>
              <w:keepNext/>
              <w:autoSpaceDE/>
              <w:autoSpaceDN/>
              <w:adjustRightInd/>
              <w:rPr>
                <w:rFonts w:cs="Arial"/>
                <w:color w:val="000000"/>
              </w:rPr>
            </w:pPr>
            <w:r w:rsidRPr="001E41D8">
              <w:rPr>
                <w:rFonts w:cs="Arial"/>
                <w:color w:val="000000"/>
              </w:rPr>
              <w:t>NRC</w:t>
            </w:r>
          </w:p>
        </w:tc>
        <w:tc>
          <w:tcPr>
            <w:tcW w:w="1329" w:type="dxa"/>
            <w:tcBorders>
              <w:top w:val="nil"/>
              <w:left w:val="nil"/>
              <w:bottom w:val="single" w:sz="4" w:space="0" w:color="auto"/>
              <w:right w:val="single" w:sz="4" w:space="0" w:color="auto"/>
            </w:tcBorders>
            <w:shd w:val="clear" w:color="000000" w:fill="FFFFFF"/>
            <w:noWrap/>
            <w:vAlign w:val="center"/>
            <w:hideMark/>
          </w:tcPr>
          <w:p w:rsidR="00F34D0C" w:rsidRPr="003422DE" w:rsidP="008B7FF8" w14:paraId="7F493672" w14:textId="77777777">
            <w:pPr>
              <w:keepNext/>
              <w:autoSpaceDE/>
              <w:autoSpaceDN/>
              <w:adjustRightInd/>
              <w:jc w:val="center"/>
              <w:rPr>
                <w:rFonts w:cs="Arial"/>
                <w:color w:val="000000"/>
              </w:rPr>
            </w:pPr>
            <w:r>
              <w:rPr>
                <w:rFonts w:cs="Arial"/>
                <w:color w:val="000000"/>
              </w:rPr>
              <w:t>$1,400,000</w:t>
            </w:r>
          </w:p>
        </w:tc>
        <w:tc>
          <w:tcPr>
            <w:tcW w:w="1329"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73" w14:textId="77777777">
            <w:pPr>
              <w:keepNext/>
              <w:autoSpaceDE/>
              <w:autoSpaceDN/>
              <w:adjustRightInd/>
              <w:jc w:val="center"/>
              <w:rPr>
                <w:rFonts w:cs="Arial"/>
                <w:color w:val="000000"/>
              </w:rPr>
            </w:pPr>
            <w:r>
              <w:rPr>
                <w:rFonts w:cs="Arial"/>
                <w:color w:val="000000"/>
              </w:rPr>
              <w:t>$8,900,000</w:t>
            </w:r>
          </w:p>
        </w:tc>
        <w:tc>
          <w:tcPr>
            <w:tcW w:w="1329"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74" w14:textId="77777777">
            <w:pPr>
              <w:keepNext/>
              <w:autoSpaceDE/>
              <w:autoSpaceDN/>
              <w:adjustRightInd/>
              <w:jc w:val="center"/>
              <w:rPr>
                <w:rFonts w:cs="Arial"/>
                <w:color w:val="000000"/>
              </w:rPr>
            </w:pPr>
            <w:r>
              <w:rPr>
                <w:rFonts w:cs="Arial"/>
                <w:color w:val="000000"/>
              </w:rPr>
              <w:t>$2,000,000</w:t>
            </w:r>
          </w:p>
        </w:tc>
        <w:tc>
          <w:tcPr>
            <w:tcW w:w="1708"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75" w14:textId="77777777">
            <w:pPr>
              <w:keepNext/>
              <w:autoSpaceDE/>
              <w:autoSpaceDN/>
              <w:adjustRightInd/>
              <w:jc w:val="center"/>
              <w:rPr>
                <w:rFonts w:cs="Arial"/>
                <w:color w:val="000000"/>
              </w:rPr>
            </w:pPr>
            <w:r>
              <w:rPr>
                <w:rFonts w:cs="Arial"/>
                <w:color w:val="000000"/>
              </w:rPr>
              <w:t>$0</w:t>
            </w:r>
          </w:p>
        </w:tc>
        <w:tc>
          <w:tcPr>
            <w:tcW w:w="1943" w:type="dxa"/>
            <w:tcBorders>
              <w:top w:val="nil"/>
              <w:left w:val="nil"/>
              <w:bottom w:val="single" w:sz="4" w:space="0" w:color="auto"/>
              <w:right w:val="single" w:sz="4" w:space="0" w:color="auto"/>
            </w:tcBorders>
            <w:shd w:val="clear" w:color="000000" w:fill="FFFFFF"/>
            <w:noWrap/>
            <w:vAlign w:val="center"/>
            <w:hideMark/>
          </w:tcPr>
          <w:p w:rsidR="00F34D0C" w:rsidRPr="00393FBA" w:rsidP="008B7FF8" w14:paraId="7F493676" w14:textId="77777777">
            <w:pPr>
              <w:keepNext/>
              <w:autoSpaceDE/>
              <w:autoSpaceDN/>
              <w:adjustRightInd/>
              <w:jc w:val="center"/>
              <w:rPr>
                <w:rFonts w:cs="Arial"/>
                <w:color w:val="000000"/>
              </w:rPr>
            </w:pPr>
            <w:r>
              <w:rPr>
                <w:rFonts w:cs="Arial"/>
                <w:color w:val="000000"/>
              </w:rPr>
              <w:t>$12,000,000</w:t>
            </w:r>
          </w:p>
        </w:tc>
      </w:tr>
      <w:tr w14:paraId="7F493679" w14:textId="77777777" w:rsidTr="00F34D0C">
        <w:tblPrEx>
          <w:tblW w:w="8894" w:type="dxa"/>
          <w:jc w:val="center"/>
          <w:tblLook w:val="04A0"/>
        </w:tblPrEx>
        <w:trPr>
          <w:trHeight w:val="300"/>
          <w:jc w:val="center"/>
        </w:trPr>
        <w:tc>
          <w:tcPr>
            <w:tcW w:w="88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A0141" w:rsidRPr="00393FBA" w:rsidP="00135A71" w14:paraId="7F493678" w14:textId="77777777">
            <w:pPr>
              <w:autoSpaceDE/>
              <w:autoSpaceDN/>
              <w:adjustRightInd/>
              <w:jc w:val="center"/>
              <w:rPr>
                <w:rFonts w:cs="Arial"/>
                <w:color w:val="000000"/>
              </w:rPr>
            </w:pPr>
            <w:r>
              <w:rPr>
                <w:rFonts w:cs="Arial"/>
                <w:b/>
                <w:bCs/>
                <w:color w:val="000000"/>
              </w:rPr>
              <w:t>Benefits (Qualitative)</w:t>
            </w:r>
          </w:p>
        </w:tc>
      </w:tr>
      <w:tr w14:paraId="7F49367F" w14:textId="77777777" w:rsidTr="00F34D0C">
        <w:tblPrEx>
          <w:tblW w:w="8894" w:type="dxa"/>
          <w:jc w:val="center"/>
          <w:tblLook w:val="04A0"/>
        </w:tblPrEx>
        <w:trPr>
          <w:trHeight w:val="2087"/>
          <w:jc w:val="center"/>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2E5B" w:rsidRPr="001E41D8" w:rsidP="00E14C35" w14:paraId="7F49367A" w14:textId="77777777">
            <w:pPr>
              <w:autoSpaceDE/>
              <w:autoSpaceDN/>
              <w:adjustRightInd/>
              <w:rPr>
                <w:rFonts w:cs="Arial"/>
                <w:color w:val="000000"/>
              </w:rPr>
            </w:pPr>
            <w:r>
              <w:rPr>
                <w:rFonts w:cs="Arial"/>
                <w:color w:val="000000"/>
              </w:rPr>
              <w:t>Licensees</w:t>
            </w:r>
          </w:p>
        </w:tc>
        <w:tc>
          <w:tcPr>
            <w:tcW w:w="7638" w:type="dxa"/>
            <w:gridSpan w:val="5"/>
            <w:vMerge w:val="restart"/>
            <w:tcBorders>
              <w:top w:val="single" w:sz="4" w:space="0" w:color="auto"/>
              <w:left w:val="nil"/>
              <w:right w:val="single" w:sz="4" w:space="0" w:color="auto"/>
            </w:tcBorders>
            <w:shd w:val="clear" w:color="000000" w:fill="FFFFFF"/>
            <w:noWrap/>
            <w:vAlign w:val="center"/>
          </w:tcPr>
          <w:p w:rsidR="00784B0C" w:rsidP="00784B0C" w14:paraId="7F49367B" w14:textId="77777777">
            <w:pPr>
              <w:pStyle w:val="ListParagraph"/>
              <w:numPr>
                <w:ilvl w:val="0"/>
                <w:numId w:val="25"/>
              </w:numPr>
              <w:autoSpaceDE/>
              <w:autoSpaceDN/>
              <w:adjustRightInd/>
              <w:rPr>
                <w:rFonts w:cs="Arial"/>
                <w:sz w:val="22"/>
                <w:szCs w:val="22"/>
              </w:rPr>
            </w:pPr>
            <w:r>
              <w:rPr>
                <w:rFonts w:cs="Arial"/>
                <w:sz w:val="22"/>
                <w:szCs w:val="22"/>
              </w:rPr>
              <w:t xml:space="preserve">The initial updated FSAR and subsequent FSAR updates </w:t>
            </w:r>
            <w:r w:rsidRPr="00784B0C">
              <w:rPr>
                <w:rFonts w:cs="Arial"/>
                <w:sz w:val="22"/>
                <w:szCs w:val="22"/>
              </w:rPr>
              <w:t>will maintain the continuity of knowledge both for the licensee and the NRC and the understanding of changes and the effec</w:t>
            </w:r>
            <w:r>
              <w:rPr>
                <w:rFonts w:cs="Arial"/>
                <w:sz w:val="22"/>
                <w:szCs w:val="22"/>
              </w:rPr>
              <w:t>ts of changes on the licensee.</w:t>
            </w:r>
          </w:p>
          <w:p w:rsidR="00D02E5B" w:rsidRPr="00054386" w:rsidP="00784B0C" w14:paraId="7F49367C" w14:textId="77777777">
            <w:pPr>
              <w:pStyle w:val="ListParagraph"/>
              <w:numPr>
                <w:ilvl w:val="0"/>
                <w:numId w:val="25"/>
              </w:numPr>
              <w:autoSpaceDE/>
              <w:autoSpaceDN/>
              <w:adjustRightInd/>
              <w:rPr>
                <w:rFonts w:cs="Arial"/>
                <w:color w:val="000000"/>
              </w:rPr>
            </w:pPr>
            <w:r w:rsidRPr="00784B0C">
              <w:rPr>
                <w:rFonts w:cs="Arial"/>
                <w:sz w:val="22"/>
                <w:szCs w:val="22"/>
              </w:rPr>
              <w:t>From a safety perspective, an updated FSAR is important for the NRC’s inspection program and for effective licensee operator training and examination</w:t>
            </w:r>
            <w:r>
              <w:rPr>
                <w:rFonts w:cs="Arial"/>
                <w:sz w:val="22"/>
                <w:szCs w:val="22"/>
              </w:rPr>
              <w:t>.</w:t>
            </w:r>
            <w:r w:rsidRPr="00054386">
              <w:rPr>
                <w:rFonts w:cs="Arial"/>
                <w:sz w:val="22"/>
                <w:szCs w:val="22"/>
              </w:rPr>
              <w:t xml:space="preserve">  </w:t>
            </w:r>
          </w:p>
          <w:p w:rsidR="00D02E5B" w:rsidRPr="00054386" w:rsidP="00054386" w14:paraId="7F49367D" w14:textId="77777777">
            <w:pPr>
              <w:pStyle w:val="ListParagraph"/>
              <w:numPr>
                <w:ilvl w:val="0"/>
                <w:numId w:val="25"/>
              </w:numPr>
              <w:autoSpaceDE/>
              <w:autoSpaceDN/>
              <w:adjustRightInd/>
              <w:rPr>
                <w:rFonts w:cs="Arial"/>
                <w:color w:val="000000"/>
              </w:rPr>
            </w:pPr>
            <w:r>
              <w:rPr>
                <w:sz w:val="22"/>
                <w:szCs w:val="22"/>
              </w:rPr>
              <w:t xml:space="preserve">Establishing a </w:t>
            </w:r>
            <w:r w:rsidRPr="009009AC">
              <w:rPr>
                <w:sz w:val="22"/>
                <w:szCs w:val="22"/>
              </w:rPr>
              <w:t>regulatory framework</w:t>
            </w:r>
            <w:r>
              <w:rPr>
                <w:sz w:val="22"/>
                <w:szCs w:val="22"/>
              </w:rPr>
              <w:t xml:space="preserve"> for NPUF license renewal</w:t>
            </w:r>
            <w:r w:rsidRPr="009009AC">
              <w:rPr>
                <w:sz w:val="22"/>
                <w:szCs w:val="22"/>
              </w:rPr>
              <w:t xml:space="preserve"> </w:t>
            </w:r>
            <w:r>
              <w:rPr>
                <w:sz w:val="22"/>
                <w:szCs w:val="22"/>
              </w:rPr>
              <w:t xml:space="preserve">enhances regulatory efficiency by </w:t>
            </w:r>
            <w:r w:rsidRPr="009009AC">
              <w:rPr>
                <w:sz w:val="22"/>
                <w:szCs w:val="22"/>
              </w:rPr>
              <w:t>provid</w:t>
            </w:r>
            <w:r>
              <w:rPr>
                <w:sz w:val="22"/>
                <w:szCs w:val="22"/>
              </w:rPr>
              <w:t>ing</w:t>
            </w:r>
            <w:r w:rsidRPr="009009AC">
              <w:rPr>
                <w:sz w:val="22"/>
                <w:szCs w:val="22"/>
              </w:rPr>
              <w:t xml:space="preserve"> </w:t>
            </w:r>
            <w:r w:rsidRPr="009009AC">
              <w:rPr>
                <w:sz w:val="22"/>
                <w:szCs w:val="22"/>
              </w:rPr>
              <w:t xml:space="preserve">stability, predictability, and clarity for </w:t>
            </w:r>
            <w:r>
              <w:rPr>
                <w:sz w:val="22"/>
                <w:szCs w:val="22"/>
              </w:rPr>
              <w:t>licensees</w:t>
            </w:r>
            <w:r w:rsidRPr="009009AC">
              <w:rPr>
                <w:sz w:val="22"/>
                <w:szCs w:val="22"/>
              </w:rPr>
              <w:t xml:space="preserve">.  </w:t>
            </w:r>
          </w:p>
          <w:p w:rsidR="00D02E5B" w:rsidRPr="00393FBA" w:rsidP="00054386" w14:paraId="7F49367E" w14:textId="77777777">
            <w:pPr>
              <w:pStyle w:val="ListParagraph"/>
              <w:numPr>
                <w:ilvl w:val="0"/>
                <w:numId w:val="25"/>
              </w:numPr>
              <w:autoSpaceDE/>
              <w:autoSpaceDN/>
              <w:adjustRightInd/>
              <w:rPr>
                <w:rFonts w:cs="Arial"/>
                <w:color w:val="000000"/>
              </w:rPr>
            </w:pPr>
            <w:r>
              <w:rPr>
                <w:sz w:val="22"/>
                <w:szCs w:val="22"/>
              </w:rPr>
              <w:t>T</w:t>
            </w:r>
            <w:r w:rsidRPr="009009AC">
              <w:rPr>
                <w:sz w:val="22"/>
                <w:szCs w:val="22"/>
              </w:rPr>
              <w:t xml:space="preserve">he amended timely renewal provision will create efficiencies during the license renewal process by reducing the number and scope of requests for additional information and shortening the period of time a license renewal application is pending. </w:t>
            </w:r>
            <w:r>
              <w:rPr>
                <w:sz w:val="22"/>
                <w:szCs w:val="22"/>
              </w:rPr>
              <w:t xml:space="preserve"> </w:t>
            </w:r>
            <w:r w:rsidRPr="009009AC">
              <w:rPr>
                <w:sz w:val="22"/>
                <w:szCs w:val="22"/>
              </w:rPr>
              <w:t>As a result, the NRC and licensees will expend less resources during the license renewal process.</w:t>
            </w:r>
          </w:p>
        </w:tc>
      </w:tr>
      <w:tr w14:paraId="7F493682" w14:textId="77777777" w:rsidTr="00F34D0C">
        <w:tblPrEx>
          <w:tblW w:w="8894" w:type="dxa"/>
          <w:jc w:val="center"/>
          <w:tblLook w:val="04A0"/>
        </w:tblPrEx>
        <w:trPr>
          <w:trHeight w:val="300"/>
          <w:jc w:val="center"/>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2E5B" w:rsidP="00E14C35" w14:paraId="7F493680" w14:textId="77777777">
            <w:pPr>
              <w:autoSpaceDE/>
              <w:autoSpaceDN/>
              <w:adjustRightInd/>
              <w:rPr>
                <w:rFonts w:cs="Arial"/>
                <w:color w:val="000000"/>
              </w:rPr>
            </w:pPr>
            <w:r>
              <w:rPr>
                <w:rFonts w:cs="Arial"/>
                <w:color w:val="000000"/>
              </w:rPr>
              <w:t>NRC</w:t>
            </w:r>
          </w:p>
        </w:tc>
        <w:tc>
          <w:tcPr>
            <w:tcW w:w="7638" w:type="dxa"/>
            <w:gridSpan w:val="5"/>
            <w:vMerge/>
            <w:tcBorders>
              <w:left w:val="nil"/>
              <w:bottom w:val="single" w:sz="4" w:space="0" w:color="auto"/>
              <w:right w:val="single" w:sz="4" w:space="0" w:color="auto"/>
            </w:tcBorders>
            <w:shd w:val="clear" w:color="000000" w:fill="FFFFFF"/>
            <w:noWrap/>
            <w:vAlign w:val="center"/>
          </w:tcPr>
          <w:p w:rsidR="00D02E5B" w:rsidRPr="00393FBA" w:rsidP="00E14C35" w14:paraId="7F493681" w14:textId="77777777">
            <w:pPr>
              <w:autoSpaceDE/>
              <w:autoSpaceDN/>
              <w:adjustRightInd/>
              <w:jc w:val="center"/>
              <w:rPr>
                <w:rFonts w:cs="Arial"/>
                <w:color w:val="000000"/>
              </w:rPr>
            </w:pPr>
          </w:p>
        </w:tc>
      </w:tr>
    </w:tbl>
    <w:p w:rsidR="006004F2" w:rsidRPr="00D839EE" w:rsidP="00BF5AC4" w14:paraId="7F493683" w14:textId="77777777">
      <w:pPr>
        <w:rPr>
          <w:rFonts w:cs="Arial"/>
        </w:rPr>
      </w:pPr>
    </w:p>
    <w:p w:rsidR="00BF5AC4" w:rsidRPr="00D839EE" w:rsidP="00BF5AC4" w14:paraId="7F493684" w14:textId="77777777">
      <w:pPr>
        <w:rPr>
          <w:rFonts w:cs="Arial"/>
        </w:rPr>
      </w:pPr>
    </w:p>
    <w:p w:rsidR="00BF5AC4" w:rsidRPr="00D839EE" w:rsidP="00044AA9" w14:paraId="7F493685" w14:textId="77777777">
      <w:pPr>
        <w:keepNext/>
        <w:rPr>
          <w:rFonts w:cs="Arial"/>
          <w:b/>
          <w:i/>
          <w:sz w:val="22"/>
          <w:szCs w:val="22"/>
          <w:u w:val="single"/>
        </w:rPr>
      </w:pPr>
      <w:r w:rsidRPr="00D839EE">
        <w:rPr>
          <w:rFonts w:cs="Arial"/>
          <w:b/>
          <w:i/>
          <w:sz w:val="22"/>
          <w:szCs w:val="22"/>
        </w:rPr>
        <w:t>Option 1:  Take No Action</w:t>
      </w:r>
      <w:r w:rsidRPr="00D839EE" w:rsidR="00676FCD">
        <w:rPr>
          <w:rFonts w:cs="Arial"/>
          <w:b/>
          <w:i/>
          <w:sz w:val="22"/>
          <w:szCs w:val="22"/>
        </w:rPr>
        <w:t xml:space="preserve"> </w:t>
      </w:r>
      <w:r w:rsidR="007771DD">
        <w:rPr>
          <w:rFonts w:cs="Arial"/>
          <w:b/>
          <w:i/>
          <w:sz w:val="22"/>
          <w:szCs w:val="22"/>
        </w:rPr>
        <w:t>(n</w:t>
      </w:r>
      <w:r w:rsidRPr="00D839EE" w:rsidR="00676FCD">
        <w:rPr>
          <w:rFonts w:cs="Arial"/>
          <w:b/>
          <w:i/>
          <w:sz w:val="22"/>
          <w:szCs w:val="22"/>
        </w:rPr>
        <w:t xml:space="preserve">ot </w:t>
      </w:r>
      <w:r w:rsidR="007771DD">
        <w:rPr>
          <w:rFonts w:cs="Arial"/>
          <w:b/>
          <w:i/>
          <w:sz w:val="22"/>
          <w:szCs w:val="22"/>
        </w:rPr>
        <w:t>s</w:t>
      </w:r>
      <w:r w:rsidRPr="00D839EE" w:rsidR="00676FCD">
        <w:rPr>
          <w:rFonts w:cs="Arial"/>
          <w:b/>
          <w:i/>
          <w:sz w:val="22"/>
          <w:szCs w:val="22"/>
        </w:rPr>
        <w:t>elected</w:t>
      </w:r>
      <w:r w:rsidR="007771DD">
        <w:rPr>
          <w:rFonts w:cs="Arial"/>
          <w:b/>
          <w:i/>
          <w:sz w:val="22"/>
          <w:szCs w:val="22"/>
        </w:rPr>
        <w:t>)</w:t>
      </w:r>
    </w:p>
    <w:p w:rsidR="00BF5AC4" w:rsidRPr="00D839EE" w:rsidP="00044AA9" w14:paraId="7F493686" w14:textId="77777777">
      <w:pPr>
        <w:keepNext/>
        <w:rPr>
          <w:rFonts w:cs="Arial"/>
          <w:b/>
          <w:i/>
          <w:u w:val="single"/>
        </w:rPr>
      </w:pPr>
    </w:p>
    <w:p w:rsidR="00BF5AC4" w:rsidRPr="00D839EE" w:rsidP="00044AA9" w14:paraId="7F493687" w14:textId="791272E6">
      <w:pPr>
        <w:keepNext/>
        <w:rPr>
          <w:rFonts w:cs="Arial"/>
          <w:sz w:val="22"/>
          <w:szCs w:val="22"/>
        </w:rPr>
      </w:pPr>
      <w:r w:rsidRPr="00D839EE">
        <w:rPr>
          <w:rFonts w:cs="Arial"/>
          <w:sz w:val="22"/>
          <w:szCs w:val="22"/>
        </w:rPr>
        <w:t>Under Option 1</w:t>
      </w:r>
      <w:r w:rsidRPr="00D839EE" w:rsidR="00676FCD">
        <w:rPr>
          <w:rFonts w:cs="Arial"/>
          <w:sz w:val="22"/>
          <w:szCs w:val="22"/>
        </w:rPr>
        <w:t xml:space="preserve"> (not selected)</w:t>
      </w:r>
      <w:r w:rsidRPr="00D839EE">
        <w:rPr>
          <w:rFonts w:cs="Arial"/>
          <w:sz w:val="22"/>
          <w:szCs w:val="22"/>
        </w:rPr>
        <w:t>, the NRC assumes that the rule would not</w:t>
      </w:r>
      <w:r w:rsidRPr="00D839EE" w:rsidR="00E15B93">
        <w:rPr>
          <w:rFonts w:cs="Arial"/>
          <w:sz w:val="22"/>
          <w:szCs w:val="22"/>
        </w:rPr>
        <w:t xml:space="preserve"> have</w:t>
      </w:r>
      <w:r w:rsidRPr="00D839EE">
        <w:rPr>
          <w:rFonts w:cs="Arial"/>
          <w:sz w:val="22"/>
          <w:szCs w:val="22"/>
        </w:rPr>
        <w:t xml:space="preserve"> be</w:t>
      </w:r>
      <w:r w:rsidRPr="00D839EE" w:rsidR="00E15B93">
        <w:rPr>
          <w:rFonts w:cs="Arial"/>
          <w:sz w:val="22"/>
          <w:szCs w:val="22"/>
        </w:rPr>
        <w:t>en</w:t>
      </w:r>
      <w:r w:rsidRPr="00D839EE">
        <w:rPr>
          <w:rFonts w:cs="Arial"/>
          <w:sz w:val="22"/>
          <w:szCs w:val="22"/>
        </w:rPr>
        <w:t xml:space="preserve"> implemented; however, existing programs and regulatory efforts would still</w:t>
      </w:r>
      <w:r w:rsidRPr="00D839EE" w:rsidR="00E15B93">
        <w:rPr>
          <w:rFonts w:cs="Arial"/>
          <w:sz w:val="22"/>
          <w:szCs w:val="22"/>
        </w:rPr>
        <w:t xml:space="preserve"> have</w:t>
      </w:r>
      <w:r w:rsidRPr="00D839EE">
        <w:rPr>
          <w:rFonts w:cs="Arial"/>
          <w:sz w:val="22"/>
          <w:szCs w:val="22"/>
        </w:rPr>
        <w:t xml:space="preserve"> be</w:t>
      </w:r>
      <w:r w:rsidRPr="00D839EE" w:rsidR="00E15B93">
        <w:rPr>
          <w:rFonts w:cs="Arial"/>
          <w:sz w:val="22"/>
          <w:szCs w:val="22"/>
        </w:rPr>
        <w:t>en</w:t>
      </w:r>
      <w:r w:rsidRPr="00D839EE">
        <w:rPr>
          <w:rFonts w:cs="Arial"/>
          <w:sz w:val="22"/>
          <w:szCs w:val="22"/>
        </w:rPr>
        <w:t xml:space="preserve"> in effect.  </w:t>
      </w:r>
      <w:r w:rsidR="00F060AF">
        <w:rPr>
          <w:rFonts w:cs="Arial"/>
          <w:sz w:val="22"/>
          <w:szCs w:val="22"/>
        </w:rPr>
        <w:t>N</w:t>
      </w:r>
      <w:r w:rsidRPr="00D839EE">
        <w:rPr>
          <w:rFonts w:cs="Arial"/>
          <w:sz w:val="22"/>
          <w:szCs w:val="22"/>
        </w:rPr>
        <w:t xml:space="preserve">o incremental costs or </w:t>
      </w:r>
      <w:r w:rsidR="00685F98">
        <w:rPr>
          <w:rFonts w:cs="Arial"/>
          <w:sz w:val="22"/>
          <w:szCs w:val="22"/>
        </w:rPr>
        <w:t>averted cost</w:t>
      </w:r>
      <w:r w:rsidRPr="00D839EE" w:rsidR="00685F98">
        <w:rPr>
          <w:rFonts w:cs="Arial"/>
          <w:sz w:val="22"/>
          <w:szCs w:val="22"/>
        </w:rPr>
        <w:t>s</w:t>
      </w:r>
      <w:r w:rsidR="00D94F6A">
        <w:rPr>
          <w:rFonts w:cs="Arial"/>
          <w:sz w:val="22"/>
          <w:szCs w:val="22"/>
        </w:rPr>
        <w:t xml:space="preserve"> </w:t>
      </w:r>
      <w:r w:rsidR="00DD2A8E">
        <w:rPr>
          <w:rFonts w:cs="Arial"/>
          <w:sz w:val="22"/>
          <w:szCs w:val="22"/>
        </w:rPr>
        <w:t xml:space="preserve">would have been </w:t>
      </w:r>
      <w:r w:rsidRPr="00D839EE">
        <w:rPr>
          <w:rFonts w:cs="Arial"/>
          <w:sz w:val="22"/>
          <w:szCs w:val="22"/>
        </w:rPr>
        <w:t>associated with this option over the 20</w:t>
      </w:r>
      <w:r w:rsidR="0091699F">
        <w:rPr>
          <w:rFonts w:cs="Arial"/>
          <w:sz w:val="22"/>
          <w:szCs w:val="22"/>
        </w:rPr>
        <w:noBreakHyphen/>
      </w:r>
      <w:r w:rsidRPr="00D839EE">
        <w:rPr>
          <w:rFonts w:cs="Arial"/>
          <w:sz w:val="22"/>
          <w:szCs w:val="22"/>
        </w:rPr>
        <w:t xml:space="preserve">year analysis period, as shown in </w:t>
      </w:r>
      <w:r w:rsidRPr="00CA1C99" w:rsidR="00642562">
        <w:rPr>
          <w:rFonts w:cs="Arial"/>
          <w:sz w:val="22"/>
          <w:szCs w:val="22"/>
        </w:rPr>
        <w:fldChar w:fldCharType="begin"/>
      </w:r>
      <w:r w:rsidRPr="00CA1C99" w:rsidR="00642562">
        <w:rPr>
          <w:rFonts w:cs="Arial"/>
          <w:sz w:val="22"/>
          <w:szCs w:val="22"/>
        </w:rPr>
        <w:instrText xml:space="preserve"> REF _Ref534034946 \h  \* MERGEFORMAT </w:instrText>
      </w:r>
      <w:r w:rsidRPr="00CA1C99" w:rsidR="00642562">
        <w:rPr>
          <w:rFonts w:cs="Arial"/>
          <w:sz w:val="22"/>
          <w:szCs w:val="22"/>
        </w:rPr>
        <w:fldChar w:fldCharType="separate"/>
      </w:r>
      <w:r w:rsidRPr="00977795" w:rsidR="00977795">
        <w:rPr>
          <w:sz w:val="22"/>
          <w:szCs w:val="22"/>
        </w:rPr>
        <w:t>Exhibit 3</w:t>
      </w:r>
      <w:r w:rsidRPr="00977795" w:rsidR="00977795">
        <w:rPr>
          <w:sz w:val="22"/>
          <w:szCs w:val="22"/>
        </w:rPr>
        <w:noBreakHyphen/>
        <w:t>5</w:t>
      </w:r>
      <w:r w:rsidRPr="00CA1C99" w:rsidR="00642562">
        <w:rPr>
          <w:rFonts w:cs="Arial"/>
          <w:sz w:val="22"/>
          <w:szCs w:val="22"/>
        </w:rPr>
        <w:fldChar w:fldCharType="end"/>
      </w:r>
      <w:r w:rsidRPr="00D839EE">
        <w:rPr>
          <w:rFonts w:cs="Arial"/>
          <w:sz w:val="22"/>
          <w:szCs w:val="22"/>
        </w:rPr>
        <w:t>.</w:t>
      </w:r>
    </w:p>
    <w:p w:rsidR="00A10576" w:rsidRPr="00D839EE" w:rsidP="00044AA9" w14:paraId="7F493688" w14:textId="77777777">
      <w:pPr>
        <w:keepNext/>
        <w:rPr>
          <w:rFonts w:cs="Arial"/>
          <w:sz w:val="22"/>
          <w:szCs w:val="22"/>
        </w:rPr>
      </w:pPr>
    </w:p>
    <w:p w:rsidR="00282C4C" w:rsidP="00282C4C" w14:paraId="7F493689" w14:textId="57F5C528">
      <w:pPr>
        <w:pStyle w:val="Caption"/>
        <w:keepNext/>
        <w:spacing w:after="0"/>
        <w:jc w:val="center"/>
        <w:rPr>
          <w:b/>
          <w:i w:val="0"/>
          <w:color w:val="auto"/>
          <w:sz w:val="22"/>
          <w:szCs w:val="22"/>
        </w:rPr>
      </w:pPr>
      <w:bookmarkStart w:id="145" w:name="_Ref534034946"/>
      <w:bookmarkStart w:id="146" w:name="_Toc9526462"/>
      <w:bookmarkStart w:id="147" w:name="_Toc536603411"/>
      <w:bookmarkStart w:id="148" w:name="_Toc534037053"/>
      <w:bookmarkStart w:id="149" w:name="_Toc534709840"/>
      <w:bookmarkStart w:id="150" w:name="_Toc534709998"/>
      <w:bookmarkStart w:id="151" w:name="_Toc534711683"/>
      <w:bookmarkStart w:id="152" w:name="_Toc534711930"/>
      <w:bookmarkStart w:id="153" w:name="_Toc534712116"/>
      <w:bookmarkStart w:id="154" w:name="_Toc534712693"/>
      <w:bookmarkStart w:id="155" w:name="_Toc534713202"/>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5</w:t>
      </w:r>
      <w:r w:rsidRPr="000F7FD1" w:rsidR="00C276FC">
        <w:rPr>
          <w:b/>
          <w:i w:val="0"/>
          <w:color w:val="auto"/>
          <w:sz w:val="22"/>
          <w:szCs w:val="22"/>
        </w:rPr>
        <w:fldChar w:fldCharType="end"/>
      </w:r>
      <w:bookmarkEnd w:id="145"/>
      <w:r w:rsidRPr="00D96410">
        <w:rPr>
          <w:b/>
          <w:i w:val="0"/>
          <w:color w:val="auto"/>
          <w:sz w:val="22"/>
          <w:szCs w:val="22"/>
        </w:rPr>
        <w:t>: Summary of Incremental Costs and Averted Costs for</w:t>
      </w:r>
      <w:bookmarkEnd w:id="146"/>
      <w:bookmarkEnd w:id="147"/>
      <w:r w:rsidRPr="00D96410">
        <w:rPr>
          <w:b/>
          <w:i w:val="0"/>
          <w:color w:val="auto"/>
          <w:sz w:val="22"/>
          <w:szCs w:val="22"/>
        </w:rPr>
        <w:t xml:space="preserve"> </w:t>
      </w:r>
    </w:p>
    <w:p w:rsidR="00E3384C" w:rsidRPr="00054386" w:rsidP="00282C4C" w14:paraId="7F49368A" w14:textId="77777777">
      <w:pPr>
        <w:pStyle w:val="Caption"/>
        <w:keepNext/>
        <w:spacing w:after="0"/>
        <w:jc w:val="center"/>
        <w:rPr>
          <w:b/>
          <w:color w:val="auto"/>
        </w:rPr>
      </w:pPr>
      <w:r w:rsidRPr="00D96410">
        <w:rPr>
          <w:b/>
          <w:i w:val="0"/>
          <w:color w:val="auto"/>
          <w:sz w:val="22"/>
          <w:szCs w:val="22"/>
        </w:rPr>
        <w:t>Option 1: No</w:t>
      </w:r>
      <w:r w:rsidR="00E302A6">
        <w:rPr>
          <w:b/>
          <w:i w:val="0"/>
          <w:color w:val="auto"/>
          <w:sz w:val="22"/>
          <w:szCs w:val="22"/>
        </w:rPr>
        <w:t>-</w:t>
      </w:r>
      <w:r w:rsidRPr="00D96410">
        <w:rPr>
          <w:b/>
          <w:i w:val="0"/>
          <w:color w:val="auto"/>
          <w:sz w:val="22"/>
          <w:szCs w:val="22"/>
        </w:rPr>
        <w:t>Action Baseline [Not Selected]</w:t>
      </w:r>
      <w:bookmarkEnd w:id="148"/>
      <w:bookmarkEnd w:id="149"/>
      <w:bookmarkEnd w:id="150"/>
      <w:bookmarkEnd w:id="151"/>
      <w:bookmarkEnd w:id="152"/>
      <w:bookmarkEnd w:id="153"/>
      <w:bookmarkEnd w:id="154"/>
      <w:bookmarkEnd w:id="155"/>
    </w:p>
    <w:tbl>
      <w:tblPr>
        <w:tblStyle w:val="TableGrid"/>
        <w:tblW w:w="3116" w:type="pct"/>
        <w:jc w:val="center"/>
        <w:tblLook w:val="04A0"/>
      </w:tblPr>
      <w:tblGrid>
        <w:gridCol w:w="2965"/>
        <w:gridCol w:w="2862"/>
      </w:tblGrid>
      <w:tr w14:paraId="7F49368D" w14:textId="77777777" w:rsidTr="00346B95">
        <w:tblPrEx>
          <w:tblW w:w="3116" w:type="pct"/>
          <w:jc w:val="center"/>
          <w:tblLook w:val="04A0"/>
        </w:tblPrEx>
        <w:trPr>
          <w:trHeight w:val="144"/>
          <w:tblHeader/>
          <w:jc w:val="center"/>
        </w:trPr>
        <w:tc>
          <w:tcPr>
            <w:tcW w:w="2544" w:type="pct"/>
            <w:vAlign w:val="center"/>
            <w:hideMark/>
          </w:tcPr>
          <w:p w:rsidR="00BF5AC4" w:rsidRPr="00D839EE" w14:paraId="7F49368B" w14:textId="77777777">
            <w:pPr>
              <w:keepNext/>
              <w:numPr>
                <w:ilvl w:val="12"/>
                <w:numId w:val="0"/>
              </w:numPr>
              <w:tabs>
                <w:tab w:val="left" w:pos="721"/>
              </w:tabs>
              <w:jc w:val="center"/>
              <w:rPr>
                <w:rFonts w:cs="Arial"/>
                <w:b/>
              </w:rPr>
            </w:pPr>
            <w:r w:rsidRPr="00D839EE">
              <w:rPr>
                <w:rFonts w:cs="Arial"/>
                <w:b/>
              </w:rPr>
              <w:t>Incremental Costs</w:t>
            </w:r>
          </w:p>
        </w:tc>
        <w:tc>
          <w:tcPr>
            <w:tcW w:w="2456" w:type="pct"/>
            <w:vAlign w:val="center"/>
            <w:hideMark/>
          </w:tcPr>
          <w:p w:rsidR="00BF5AC4" w:rsidRPr="00D839EE" w14:paraId="7F49368C" w14:textId="77777777">
            <w:pPr>
              <w:keepNext/>
              <w:numPr>
                <w:ilvl w:val="12"/>
                <w:numId w:val="0"/>
              </w:numPr>
              <w:tabs>
                <w:tab w:val="left" w:pos="721"/>
              </w:tabs>
              <w:jc w:val="center"/>
              <w:rPr>
                <w:rFonts w:cs="Arial"/>
                <w:b/>
              </w:rPr>
            </w:pPr>
            <w:r w:rsidRPr="00D839EE">
              <w:rPr>
                <w:rFonts w:cs="Arial"/>
                <w:b/>
              </w:rPr>
              <w:t xml:space="preserve">Incremental </w:t>
            </w:r>
            <w:r w:rsidR="00685F98">
              <w:rPr>
                <w:rFonts w:cs="Arial"/>
                <w:b/>
              </w:rPr>
              <w:t>Averted Costs</w:t>
            </w:r>
          </w:p>
        </w:tc>
      </w:tr>
      <w:tr w14:paraId="7F493690" w14:textId="77777777" w:rsidTr="00346B95">
        <w:tblPrEx>
          <w:tblW w:w="3116" w:type="pct"/>
          <w:jc w:val="center"/>
          <w:tblLook w:val="04A0"/>
        </w:tblPrEx>
        <w:trPr>
          <w:trHeight w:val="144"/>
          <w:jc w:val="center"/>
        </w:trPr>
        <w:tc>
          <w:tcPr>
            <w:tcW w:w="2544" w:type="pct"/>
            <w:tcBorders>
              <w:bottom w:val="nil"/>
            </w:tcBorders>
            <w:hideMark/>
          </w:tcPr>
          <w:p w:rsidR="00BF5AC4" w:rsidRPr="00D839EE" w14:paraId="7F49368E" w14:textId="77777777">
            <w:pPr>
              <w:keepNext/>
              <w:numPr>
                <w:ilvl w:val="12"/>
                <w:numId w:val="0"/>
              </w:numPr>
              <w:tabs>
                <w:tab w:val="left" w:pos="721"/>
              </w:tabs>
              <w:rPr>
                <w:rFonts w:cs="Arial"/>
                <w:b/>
              </w:rPr>
            </w:pPr>
            <w:r>
              <w:rPr>
                <w:rFonts w:cs="Arial"/>
                <w:b/>
              </w:rPr>
              <w:t>Licensees</w:t>
            </w:r>
            <w:r w:rsidRPr="00D839EE">
              <w:rPr>
                <w:rFonts w:cs="Arial"/>
                <w:b/>
              </w:rPr>
              <w:t>:</w:t>
            </w:r>
          </w:p>
        </w:tc>
        <w:tc>
          <w:tcPr>
            <w:tcW w:w="2456" w:type="pct"/>
            <w:tcBorders>
              <w:bottom w:val="nil"/>
            </w:tcBorders>
            <w:hideMark/>
          </w:tcPr>
          <w:p w:rsidR="00BF5AC4" w:rsidRPr="00D839EE" w14:paraId="7F49368F" w14:textId="77777777">
            <w:pPr>
              <w:keepNext/>
              <w:numPr>
                <w:ilvl w:val="12"/>
                <w:numId w:val="0"/>
              </w:numPr>
              <w:tabs>
                <w:tab w:val="left" w:pos="721"/>
              </w:tabs>
              <w:rPr>
                <w:rFonts w:cs="Arial"/>
                <w:b/>
              </w:rPr>
            </w:pPr>
          </w:p>
        </w:tc>
      </w:tr>
      <w:tr w14:paraId="7F493693" w14:textId="77777777" w:rsidTr="00346B95">
        <w:tblPrEx>
          <w:tblW w:w="3116" w:type="pct"/>
          <w:jc w:val="center"/>
          <w:tblLook w:val="04A0"/>
        </w:tblPrEx>
        <w:trPr>
          <w:trHeight w:val="144"/>
          <w:jc w:val="center"/>
        </w:trPr>
        <w:tc>
          <w:tcPr>
            <w:tcW w:w="2544" w:type="pct"/>
            <w:tcBorders>
              <w:top w:val="nil"/>
              <w:bottom w:val="nil"/>
            </w:tcBorders>
            <w:hideMark/>
          </w:tcPr>
          <w:p w:rsidR="00BF5AC4" w:rsidRPr="00D839EE" w14:paraId="7F493691" w14:textId="77777777">
            <w:pPr>
              <w:keepNext/>
              <w:numPr>
                <w:ilvl w:val="12"/>
                <w:numId w:val="0"/>
              </w:numPr>
              <w:tabs>
                <w:tab w:val="left" w:pos="721"/>
              </w:tabs>
              <w:rPr>
                <w:rFonts w:cs="Arial"/>
              </w:rPr>
            </w:pPr>
            <w:r>
              <w:rPr>
                <w:rFonts w:cs="Arial"/>
              </w:rPr>
              <w:t>(</w:t>
            </w:r>
            <w:r w:rsidRPr="00D839EE">
              <w:rPr>
                <w:rFonts w:cs="Arial"/>
              </w:rPr>
              <w:t>$0</w:t>
            </w:r>
            <w:r>
              <w:rPr>
                <w:rFonts w:cs="Arial"/>
              </w:rPr>
              <w:t>)</w:t>
            </w:r>
            <w:r w:rsidRPr="00D839EE">
              <w:rPr>
                <w:rFonts w:cs="Arial"/>
              </w:rPr>
              <w:t xml:space="preserve"> using a 3% discount rate</w:t>
            </w:r>
          </w:p>
        </w:tc>
        <w:tc>
          <w:tcPr>
            <w:tcW w:w="2456" w:type="pct"/>
            <w:tcBorders>
              <w:top w:val="nil"/>
              <w:bottom w:val="nil"/>
            </w:tcBorders>
            <w:hideMark/>
          </w:tcPr>
          <w:p w:rsidR="00BF5AC4" w:rsidRPr="00D839EE" w:rsidP="00F0274F" w14:paraId="7F493692" w14:textId="77777777">
            <w:pPr>
              <w:keepNext/>
              <w:numPr>
                <w:ilvl w:val="12"/>
                <w:numId w:val="0"/>
              </w:numPr>
              <w:tabs>
                <w:tab w:val="left" w:pos="721"/>
              </w:tabs>
              <w:jc w:val="center"/>
              <w:rPr>
                <w:rFonts w:cs="Arial"/>
              </w:rPr>
            </w:pPr>
            <w:r w:rsidRPr="00D839EE">
              <w:rPr>
                <w:rFonts w:cs="Arial"/>
              </w:rPr>
              <w:t>None</w:t>
            </w:r>
          </w:p>
        </w:tc>
      </w:tr>
      <w:tr w14:paraId="7F493696" w14:textId="77777777" w:rsidTr="00DB3727">
        <w:tblPrEx>
          <w:tblW w:w="3116" w:type="pct"/>
          <w:jc w:val="center"/>
          <w:tblLook w:val="04A0"/>
        </w:tblPrEx>
        <w:trPr>
          <w:trHeight w:val="261"/>
          <w:jc w:val="center"/>
        </w:trPr>
        <w:tc>
          <w:tcPr>
            <w:tcW w:w="2544" w:type="pct"/>
            <w:tcBorders>
              <w:top w:val="nil"/>
              <w:bottom w:val="single" w:sz="4" w:space="0" w:color="auto"/>
            </w:tcBorders>
            <w:hideMark/>
          </w:tcPr>
          <w:p w:rsidR="00BF5AC4" w:rsidRPr="00D839EE" w14:paraId="7F493694" w14:textId="77777777">
            <w:pPr>
              <w:keepNext/>
              <w:numPr>
                <w:ilvl w:val="12"/>
                <w:numId w:val="0"/>
              </w:numPr>
              <w:tabs>
                <w:tab w:val="left" w:pos="721"/>
              </w:tabs>
              <w:rPr>
                <w:rFonts w:cs="Arial"/>
              </w:rPr>
            </w:pPr>
            <w:r>
              <w:rPr>
                <w:rFonts w:cs="Arial"/>
              </w:rPr>
              <w:t>(</w:t>
            </w:r>
            <w:r w:rsidRPr="00D839EE">
              <w:rPr>
                <w:rFonts w:cs="Arial"/>
              </w:rPr>
              <w:t>$0</w:t>
            </w:r>
            <w:r>
              <w:rPr>
                <w:rFonts w:cs="Arial"/>
              </w:rPr>
              <w:t>)</w:t>
            </w:r>
            <w:r w:rsidRPr="00D839EE">
              <w:rPr>
                <w:rFonts w:cs="Arial"/>
              </w:rPr>
              <w:t xml:space="preserve"> using a 7% discount rate</w:t>
            </w:r>
          </w:p>
        </w:tc>
        <w:tc>
          <w:tcPr>
            <w:tcW w:w="2456" w:type="pct"/>
            <w:tcBorders>
              <w:top w:val="nil"/>
              <w:bottom w:val="single" w:sz="4" w:space="0" w:color="auto"/>
            </w:tcBorders>
            <w:hideMark/>
          </w:tcPr>
          <w:p w:rsidR="00BF5AC4" w:rsidRPr="00D839EE" w:rsidP="00F0274F" w14:paraId="7F493695" w14:textId="77777777">
            <w:pPr>
              <w:keepNext/>
              <w:numPr>
                <w:ilvl w:val="12"/>
                <w:numId w:val="0"/>
              </w:numPr>
              <w:tabs>
                <w:tab w:val="left" w:pos="721"/>
              </w:tabs>
              <w:jc w:val="center"/>
              <w:rPr>
                <w:rFonts w:cs="Arial"/>
              </w:rPr>
            </w:pPr>
          </w:p>
        </w:tc>
      </w:tr>
      <w:tr w14:paraId="7F493699" w14:textId="77777777" w:rsidTr="00346B95">
        <w:tblPrEx>
          <w:tblW w:w="3116" w:type="pct"/>
          <w:jc w:val="center"/>
          <w:tblLook w:val="04A0"/>
        </w:tblPrEx>
        <w:trPr>
          <w:trHeight w:val="144"/>
          <w:jc w:val="center"/>
        </w:trPr>
        <w:tc>
          <w:tcPr>
            <w:tcW w:w="2544" w:type="pct"/>
            <w:tcBorders>
              <w:top w:val="single" w:sz="4" w:space="0" w:color="auto"/>
              <w:bottom w:val="nil"/>
            </w:tcBorders>
            <w:hideMark/>
          </w:tcPr>
          <w:p w:rsidR="00BF5AC4" w:rsidRPr="00D839EE" w14:paraId="7F493697" w14:textId="77777777">
            <w:pPr>
              <w:keepNext/>
              <w:numPr>
                <w:ilvl w:val="12"/>
                <w:numId w:val="0"/>
              </w:numPr>
              <w:tabs>
                <w:tab w:val="left" w:pos="721"/>
              </w:tabs>
              <w:rPr>
                <w:rFonts w:cs="Arial"/>
                <w:b/>
              </w:rPr>
            </w:pPr>
            <w:r w:rsidRPr="00D839EE">
              <w:rPr>
                <w:rFonts w:cs="Arial"/>
                <w:b/>
              </w:rPr>
              <w:t>NRC:</w:t>
            </w:r>
          </w:p>
        </w:tc>
        <w:tc>
          <w:tcPr>
            <w:tcW w:w="2456" w:type="pct"/>
            <w:tcBorders>
              <w:top w:val="single" w:sz="4" w:space="0" w:color="auto"/>
              <w:bottom w:val="nil"/>
            </w:tcBorders>
          </w:tcPr>
          <w:p w:rsidR="00BF5AC4" w:rsidRPr="00D839EE" w:rsidP="00F0274F" w14:paraId="7F493698" w14:textId="77777777">
            <w:pPr>
              <w:keepNext/>
              <w:numPr>
                <w:ilvl w:val="12"/>
                <w:numId w:val="0"/>
              </w:numPr>
              <w:tabs>
                <w:tab w:val="left" w:pos="721"/>
              </w:tabs>
              <w:jc w:val="center"/>
              <w:rPr>
                <w:rFonts w:cs="Arial"/>
              </w:rPr>
            </w:pPr>
          </w:p>
        </w:tc>
      </w:tr>
      <w:tr w14:paraId="7F49369C" w14:textId="77777777" w:rsidTr="00346B95">
        <w:tblPrEx>
          <w:tblW w:w="3116" w:type="pct"/>
          <w:jc w:val="center"/>
          <w:tblLook w:val="04A0"/>
        </w:tblPrEx>
        <w:trPr>
          <w:trHeight w:val="144"/>
          <w:jc w:val="center"/>
        </w:trPr>
        <w:tc>
          <w:tcPr>
            <w:tcW w:w="2544" w:type="pct"/>
            <w:tcBorders>
              <w:top w:val="nil"/>
              <w:bottom w:val="nil"/>
            </w:tcBorders>
            <w:hideMark/>
          </w:tcPr>
          <w:p w:rsidR="00BF5AC4" w:rsidRPr="00D839EE" w14:paraId="7F49369A" w14:textId="77777777">
            <w:pPr>
              <w:keepNext/>
              <w:numPr>
                <w:ilvl w:val="12"/>
                <w:numId w:val="0"/>
              </w:numPr>
              <w:tabs>
                <w:tab w:val="left" w:pos="721"/>
              </w:tabs>
              <w:rPr>
                <w:rFonts w:cs="Arial"/>
              </w:rPr>
            </w:pPr>
            <w:r>
              <w:rPr>
                <w:rFonts w:cs="Arial"/>
              </w:rPr>
              <w:t>(</w:t>
            </w:r>
            <w:r w:rsidRPr="00D839EE">
              <w:rPr>
                <w:rFonts w:cs="Arial"/>
              </w:rPr>
              <w:t>$0</w:t>
            </w:r>
            <w:r>
              <w:rPr>
                <w:rFonts w:cs="Arial"/>
              </w:rPr>
              <w:t>)</w:t>
            </w:r>
            <w:r w:rsidRPr="00D839EE">
              <w:rPr>
                <w:rFonts w:cs="Arial"/>
              </w:rPr>
              <w:t xml:space="preserve"> using a 3% discount rate</w:t>
            </w:r>
          </w:p>
        </w:tc>
        <w:tc>
          <w:tcPr>
            <w:tcW w:w="2456" w:type="pct"/>
            <w:tcBorders>
              <w:top w:val="nil"/>
              <w:bottom w:val="nil"/>
            </w:tcBorders>
          </w:tcPr>
          <w:p w:rsidR="00BF5AC4" w:rsidRPr="00D839EE" w:rsidP="00F0274F" w14:paraId="7F49369B" w14:textId="77777777">
            <w:pPr>
              <w:keepNext/>
              <w:numPr>
                <w:ilvl w:val="12"/>
                <w:numId w:val="0"/>
              </w:numPr>
              <w:tabs>
                <w:tab w:val="left" w:pos="721"/>
              </w:tabs>
              <w:jc w:val="center"/>
              <w:rPr>
                <w:rFonts w:cs="Arial"/>
              </w:rPr>
            </w:pPr>
            <w:r w:rsidRPr="00D839EE">
              <w:rPr>
                <w:rFonts w:cs="Arial"/>
              </w:rPr>
              <w:t>None</w:t>
            </w:r>
          </w:p>
        </w:tc>
      </w:tr>
      <w:tr w14:paraId="7F49369F" w14:textId="77777777" w:rsidTr="00346B95">
        <w:tblPrEx>
          <w:tblW w:w="3116" w:type="pct"/>
          <w:jc w:val="center"/>
          <w:tblLook w:val="04A0"/>
        </w:tblPrEx>
        <w:trPr>
          <w:trHeight w:val="144"/>
          <w:jc w:val="center"/>
        </w:trPr>
        <w:tc>
          <w:tcPr>
            <w:tcW w:w="2544" w:type="pct"/>
            <w:tcBorders>
              <w:top w:val="nil"/>
            </w:tcBorders>
            <w:hideMark/>
          </w:tcPr>
          <w:p w:rsidR="00BF5AC4" w:rsidRPr="00D839EE" w:rsidP="003B2E5E" w14:paraId="7F49369D" w14:textId="77777777">
            <w:pPr>
              <w:keepNext/>
              <w:numPr>
                <w:ilvl w:val="12"/>
                <w:numId w:val="0"/>
              </w:numPr>
              <w:tabs>
                <w:tab w:val="left" w:pos="721"/>
              </w:tabs>
              <w:rPr>
                <w:rFonts w:cs="Arial"/>
              </w:rPr>
            </w:pPr>
            <w:r>
              <w:rPr>
                <w:rFonts w:cs="Arial"/>
              </w:rPr>
              <w:t>(</w:t>
            </w:r>
            <w:r w:rsidRPr="00D839EE">
              <w:rPr>
                <w:rFonts w:cs="Arial"/>
              </w:rPr>
              <w:t>$0</w:t>
            </w:r>
            <w:r>
              <w:rPr>
                <w:rFonts w:cs="Arial"/>
              </w:rPr>
              <w:t>)</w:t>
            </w:r>
            <w:r w:rsidRPr="00D839EE">
              <w:rPr>
                <w:rFonts w:cs="Arial"/>
              </w:rPr>
              <w:t xml:space="preserve"> using a 7% discount rate</w:t>
            </w:r>
          </w:p>
        </w:tc>
        <w:tc>
          <w:tcPr>
            <w:tcW w:w="2456" w:type="pct"/>
            <w:tcBorders>
              <w:top w:val="nil"/>
            </w:tcBorders>
          </w:tcPr>
          <w:p w:rsidR="00BF5AC4" w:rsidRPr="00D839EE" w:rsidP="00F0274F" w14:paraId="7F49369E" w14:textId="77777777">
            <w:pPr>
              <w:keepNext/>
              <w:numPr>
                <w:ilvl w:val="12"/>
                <w:numId w:val="0"/>
              </w:numPr>
              <w:tabs>
                <w:tab w:val="left" w:pos="721"/>
              </w:tabs>
              <w:jc w:val="center"/>
              <w:rPr>
                <w:rFonts w:cs="Arial"/>
              </w:rPr>
            </w:pPr>
          </w:p>
        </w:tc>
      </w:tr>
    </w:tbl>
    <w:p w:rsidR="00BF5AC4" w:rsidRPr="00D839EE" w:rsidP="00BF5AC4" w14:paraId="7F4936A0" w14:textId="77777777">
      <w:pPr>
        <w:jc w:val="center"/>
        <w:rPr>
          <w:rFonts w:cs="Arial"/>
        </w:rPr>
      </w:pPr>
    </w:p>
    <w:p w:rsidR="00BF5AC4" w:rsidRPr="00D839EE" w:rsidP="008B7FF8" w14:paraId="7F4936A1" w14:textId="77777777">
      <w:pPr>
        <w:keepNext/>
        <w:rPr>
          <w:rFonts w:cs="Arial"/>
          <w:b/>
          <w:i/>
          <w:sz w:val="22"/>
          <w:szCs w:val="22"/>
        </w:rPr>
      </w:pPr>
      <w:r w:rsidRPr="00D839EE">
        <w:rPr>
          <w:rFonts w:cs="Arial"/>
          <w:b/>
          <w:i/>
          <w:sz w:val="22"/>
          <w:szCs w:val="22"/>
        </w:rPr>
        <w:t>Option 2:</w:t>
      </w:r>
      <w:r w:rsidR="00280092">
        <w:rPr>
          <w:rFonts w:cs="Arial"/>
          <w:b/>
          <w:i/>
          <w:sz w:val="22"/>
          <w:szCs w:val="22"/>
        </w:rPr>
        <w:t xml:space="preserve"> </w:t>
      </w:r>
      <w:r w:rsidRPr="00D839EE">
        <w:rPr>
          <w:rFonts w:cs="Arial"/>
          <w:b/>
          <w:i/>
          <w:sz w:val="22"/>
          <w:szCs w:val="22"/>
        </w:rPr>
        <w:t xml:space="preserve"> Undertake Rulemaking to Require Final Safety Analysis Report Updates and Revise the Timely Renewal Provision </w:t>
      </w:r>
      <w:r w:rsidR="002776BE">
        <w:rPr>
          <w:rFonts w:cs="Arial"/>
          <w:b/>
          <w:i/>
          <w:sz w:val="22"/>
          <w:szCs w:val="22"/>
        </w:rPr>
        <w:t>(n</w:t>
      </w:r>
      <w:r w:rsidRPr="00D839EE" w:rsidR="00676FCD">
        <w:rPr>
          <w:rFonts w:cs="Arial"/>
          <w:b/>
          <w:i/>
          <w:sz w:val="22"/>
          <w:szCs w:val="22"/>
        </w:rPr>
        <w:t xml:space="preserve">ot </w:t>
      </w:r>
      <w:r w:rsidR="002776BE">
        <w:rPr>
          <w:rFonts w:cs="Arial"/>
          <w:b/>
          <w:i/>
          <w:sz w:val="22"/>
          <w:szCs w:val="22"/>
        </w:rPr>
        <w:t>s</w:t>
      </w:r>
      <w:r w:rsidRPr="00D839EE" w:rsidR="00676FCD">
        <w:rPr>
          <w:rFonts w:cs="Arial"/>
          <w:b/>
          <w:i/>
          <w:sz w:val="22"/>
          <w:szCs w:val="22"/>
        </w:rPr>
        <w:t>elected</w:t>
      </w:r>
      <w:r w:rsidR="002776BE">
        <w:rPr>
          <w:rFonts w:cs="Arial"/>
          <w:b/>
          <w:i/>
          <w:sz w:val="22"/>
          <w:szCs w:val="22"/>
        </w:rPr>
        <w:t>)</w:t>
      </w:r>
    </w:p>
    <w:p w:rsidR="00BF5AC4" w:rsidRPr="00D839EE" w:rsidP="008B7FF8" w14:paraId="7F4936A2" w14:textId="77777777">
      <w:pPr>
        <w:keepNext/>
        <w:rPr>
          <w:sz w:val="22"/>
          <w:szCs w:val="22"/>
        </w:rPr>
      </w:pPr>
    </w:p>
    <w:p w:rsidR="00830672" w:rsidP="008B7FF8" w14:paraId="7F4936A3" w14:textId="77777777">
      <w:pPr>
        <w:keepNext/>
        <w:rPr>
          <w:rFonts w:cs="Arial"/>
          <w:sz w:val="22"/>
          <w:szCs w:val="22"/>
        </w:rPr>
      </w:pPr>
      <w:r w:rsidRPr="00D839EE">
        <w:rPr>
          <w:rFonts w:cs="Arial"/>
          <w:sz w:val="22"/>
          <w:szCs w:val="22"/>
        </w:rPr>
        <w:t>Under Option 2</w:t>
      </w:r>
      <w:r w:rsidRPr="00D839EE" w:rsidR="00676FCD">
        <w:rPr>
          <w:rFonts w:cs="Arial"/>
          <w:sz w:val="22"/>
          <w:szCs w:val="22"/>
        </w:rPr>
        <w:t xml:space="preserve"> (not selected)</w:t>
      </w:r>
      <w:r w:rsidRPr="00D839EE">
        <w:rPr>
          <w:rFonts w:cs="Arial"/>
          <w:sz w:val="22"/>
          <w:szCs w:val="22"/>
        </w:rPr>
        <w:t>, the NRC assumes that the current license renewal process would</w:t>
      </w:r>
      <w:r w:rsidRPr="00D839EE" w:rsidR="00E15B93">
        <w:rPr>
          <w:rFonts w:cs="Arial"/>
          <w:sz w:val="22"/>
          <w:szCs w:val="22"/>
        </w:rPr>
        <w:t xml:space="preserve"> have</w:t>
      </w:r>
      <w:r w:rsidRPr="00D839EE">
        <w:rPr>
          <w:rFonts w:cs="Arial"/>
          <w:sz w:val="22"/>
          <w:szCs w:val="22"/>
        </w:rPr>
        <w:t xml:space="preserve"> remain</w:t>
      </w:r>
      <w:r w:rsidRPr="00D839EE" w:rsidR="00E15B93">
        <w:rPr>
          <w:rFonts w:cs="Arial"/>
          <w:sz w:val="22"/>
          <w:szCs w:val="22"/>
        </w:rPr>
        <w:t>ed</w:t>
      </w:r>
      <w:r w:rsidRPr="00D839EE">
        <w:rPr>
          <w:rFonts w:cs="Arial"/>
          <w:sz w:val="22"/>
          <w:szCs w:val="22"/>
        </w:rPr>
        <w:t xml:space="preserve"> in place.  In addition, the NRC would</w:t>
      </w:r>
      <w:r w:rsidRPr="00D839EE" w:rsidR="00E15B93">
        <w:rPr>
          <w:rFonts w:cs="Arial"/>
          <w:sz w:val="22"/>
          <w:szCs w:val="22"/>
        </w:rPr>
        <w:t xml:space="preserve"> have</w:t>
      </w:r>
      <w:r w:rsidRPr="00D839EE">
        <w:rPr>
          <w:rFonts w:cs="Arial"/>
          <w:sz w:val="22"/>
          <w:szCs w:val="22"/>
        </w:rPr>
        <w:t xml:space="preserve"> require</w:t>
      </w:r>
      <w:r w:rsidRPr="00D839EE" w:rsidR="00E15B93">
        <w:rPr>
          <w:rFonts w:cs="Arial"/>
          <w:sz w:val="22"/>
          <w:szCs w:val="22"/>
        </w:rPr>
        <w:t>d</w:t>
      </w:r>
      <w:r w:rsidRPr="00D839EE">
        <w:rPr>
          <w:rFonts w:cs="Arial"/>
          <w:sz w:val="22"/>
          <w:szCs w:val="22"/>
        </w:rPr>
        <w:t xml:space="preserve"> </w:t>
      </w:r>
      <w:r w:rsidR="002776BE">
        <w:rPr>
          <w:rFonts w:cs="Arial"/>
          <w:sz w:val="22"/>
          <w:szCs w:val="22"/>
        </w:rPr>
        <w:t xml:space="preserve">the </w:t>
      </w:r>
      <w:r w:rsidRPr="00D839EE">
        <w:rPr>
          <w:rFonts w:cs="Arial"/>
          <w:sz w:val="22"/>
          <w:szCs w:val="22"/>
        </w:rPr>
        <w:t xml:space="preserve">submittal </w:t>
      </w:r>
      <w:r w:rsidR="00CE78EA">
        <w:rPr>
          <w:sz w:val="22"/>
          <w:szCs w:val="22"/>
        </w:rPr>
        <w:t xml:space="preserve">of </w:t>
      </w:r>
      <w:r w:rsidRPr="0012580F" w:rsidR="00CE78EA">
        <w:rPr>
          <w:sz w:val="22"/>
          <w:szCs w:val="22"/>
        </w:rPr>
        <w:t>updated FSARs and subsequent FSAR updates to the NRC at intervals not to exceed 5</w:t>
      </w:r>
      <w:r w:rsidR="002776BE">
        <w:rPr>
          <w:sz w:val="22"/>
          <w:szCs w:val="22"/>
        </w:rPr>
        <w:t> </w:t>
      </w:r>
      <w:r w:rsidRPr="0012580F" w:rsidR="00CE78EA">
        <w:rPr>
          <w:sz w:val="22"/>
          <w:szCs w:val="22"/>
        </w:rPr>
        <w:t>years</w:t>
      </w:r>
      <w:r w:rsidRPr="00D839EE">
        <w:rPr>
          <w:rFonts w:cs="Arial"/>
          <w:sz w:val="22"/>
          <w:szCs w:val="22"/>
        </w:rPr>
        <w:t>.  This additional requirement would</w:t>
      </w:r>
      <w:r w:rsidRPr="00D839EE" w:rsidR="00E15B93">
        <w:rPr>
          <w:rFonts w:cs="Arial"/>
          <w:sz w:val="22"/>
          <w:szCs w:val="22"/>
        </w:rPr>
        <w:t xml:space="preserve"> have</w:t>
      </w:r>
      <w:r w:rsidRPr="00D839EE">
        <w:rPr>
          <w:rFonts w:cs="Arial"/>
          <w:sz w:val="22"/>
          <w:szCs w:val="22"/>
        </w:rPr>
        <w:t xml:space="preserve"> impose</w:t>
      </w:r>
      <w:r w:rsidRPr="00D839EE" w:rsidR="00E15B93">
        <w:rPr>
          <w:rFonts w:cs="Arial"/>
          <w:sz w:val="22"/>
          <w:szCs w:val="22"/>
        </w:rPr>
        <w:t>d</w:t>
      </w:r>
      <w:r w:rsidRPr="00D839EE">
        <w:rPr>
          <w:rFonts w:cs="Arial"/>
          <w:sz w:val="22"/>
          <w:szCs w:val="22"/>
        </w:rPr>
        <w:t xml:space="preserve"> incremental costs (implementation and operation) to both </w:t>
      </w:r>
      <w:r w:rsidR="008B7FF8">
        <w:rPr>
          <w:rFonts w:cs="Arial"/>
          <w:sz w:val="22"/>
          <w:szCs w:val="22"/>
        </w:rPr>
        <w:t>licensees</w:t>
      </w:r>
      <w:r w:rsidRPr="00D839EE" w:rsidR="008B7FF8">
        <w:rPr>
          <w:rFonts w:cs="Arial"/>
          <w:sz w:val="22"/>
          <w:szCs w:val="22"/>
        </w:rPr>
        <w:t xml:space="preserve"> </w:t>
      </w:r>
      <w:r w:rsidRPr="00D839EE">
        <w:rPr>
          <w:rFonts w:cs="Arial"/>
          <w:sz w:val="22"/>
          <w:szCs w:val="22"/>
        </w:rPr>
        <w:t xml:space="preserve">and NRC equal to the costs incurred under the </w:t>
      </w:r>
      <w:r w:rsidRPr="00D839EE" w:rsidR="00BC5E9F">
        <w:rPr>
          <w:rFonts w:cs="Arial"/>
          <w:sz w:val="22"/>
          <w:szCs w:val="22"/>
        </w:rPr>
        <w:t>final</w:t>
      </w:r>
      <w:r w:rsidRPr="00D839EE">
        <w:rPr>
          <w:rFonts w:cs="Arial"/>
          <w:sz w:val="22"/>
          <w:szCs w:val="22"/>
        </w:rPr>
        <w:t xml:space="preserve"> rule (Option</w:t>
      </w:r>
      <w:r w:rsidR="00A46111">
        <w:rPr>
          <w:rFonts w:cs="Arial"/>
          <w:sz w:val="22"/>
          <w:szCs w:val="22"/>
        </w:rPr>
        <w:t xml:space="preserve"> </w:t>
      </w:r>
      <w:r w:rsidRPr="00D839EE">
        <w:rPr>
          <w:rFonts w:cs="Arial"/>
          <w:sz w:val="22"/>
          <w:szCs w:val="22"/>
        </w:rPr>
        <w:t xml:space="preserve">3) without any of the </w:t>
      </w:r>
      <w:r w:rsidR="00C96A91">
        <w:rPr>
          <w:rFonts w:cs="Arial"/>
          <w:sz w:val="22"/>
          <w:szCs w:val="22"/>
        </w:rPr>
        <w:t xml:space="preserve">final rule’s </w:t>
      </w:r>
      <w:r w:rsidR="00685F98">
        <w:rPr>
          <w:rFonts w:cs="Arial"/>
          <w:sz w:val="22"/>
          <w:szCs w:val="22"/>
        </w:rPr>
        <w:t>averted cost</w:t>
      </w:r>
      <w:r w:rsidRPr="00D839EE" w:rsidR="00685F98">
        <w:rPr>
          <w:rFonts w:cs="Arial"/>
          <w:sz w:val="22"/>
          <w:szCs w:val="22"/>
        </w:rPr>
        <w:t>s</w:t>
      </w:r>
      <w:r w:rsidRPr="00D839EE">
        <w:rPr>
          <w:rFonts w:cs="Arial"/>
          <w:sz w:val="22"/>
          <w:szCs w:val="22"/>
        </w:rPr>
        <w:t>.</w:t>
      </w:r>
      <w:r>
        <w:rPr>
          <w:rStyle w:val="FootnoteReference"/>
          <w:rFonts w:cs="Arial"/>
          <w:sz w:val="22"/>
          <w:szCs w:val="22"/>
        </w:rPr>
        <w:footnoteReference w:id="12"/>
      </w:r>
      <w:r w:rsidRPr="00D839EE">
        <w:rPr>
          <w:rFonts w:cs="Arial"/>
          <w:sz w:val="22"/>
          <w:szCs w:val="22"/>
        </w:rPr>
        <w:t xml:space="preserve">  </w:t>
      </w:r>
      <w:r w:rsidR="002776BE">
        <w:rPr>
          <w:rFonts w:cs="Arial"/>
          <w:sz w:val="22"/>
          <w:szCs w:val="22"/>
        </w:rPr>
        <w:t> </w:t>
      </w:r>
    </w:p>
    <w:p w:rsidR="00830672" w:rsidRPr="00081B8F" w:rsidP="00830672" w14:paraId="7F4936A4" w14:textId="77777777">
      <w:pPr>
        <w:rPr>
          <w:rFonts w:cs="Arial"/>
          <w:sz w:val="22"/>
          <w:szCs w:val="22"/>
        </w:rPr>
      </w:pPr>
    </w:p>
    <w:p w:rsidR="007521B4" w:rsidRPr="00DB79AE" w:rsidP="00DB79AE" w14:paraId="7F4936A5" w14:textId="6663FD35">
      <w:pPr>
        <w:pStyle w:val="Caption"/>
        <w:keepNext/>
        <w:rPr>
          <w:rFonts w:cs="Arial"/>
          <w:i w:val="0"/>
          <w:iCs w:val="0"/>
          <w:color w:val="auto"/>
          <w:sz w:val="22"/>
          <w:szCs w:val="22"/>
        </w:rPr>
      </w:pPr>
      <w:r w:rsidRPr="00CF41A7">
        <w:rPr>
          <w:rFonts w:cs="Arial"/>
          <w:i w:val="0"/>
          <w:iCs w:val="0"/>
          <w:color w:val="auto"/>
          <w:sz w:val="22"/>
          <w:szCs w:val="22"/>
        </w:rPr>
        <w:fldChar w:fldCharType="begin"/>
      </w:r>
      <w:r w:rsidRPr="00CF41A7">
        <w:rPr>
          <w:rFonts w:cs="Arial"/>
          <w:i w:val="0"/>
          <w:iCs w:val="0"/>
          <w:color w:val="auto"/>
          <w:sz w:val="22"/>
          <w:szCs w:val="22"/>
        </w:rPr>
        <w:instrText xml:space="preserve"> REF _Ref534034970 \h </w:instrText>
      </w:r>
      <w:r w:rsidRPr="00B45BB6">
        <w:rPr>
          <w:rFonts w:cs="Arial"/>
          <w:i w:val="0"/>
          <w:iCs w:val="0"/>
          <w:color w:val="auto"/>
          <w:sz w:val="22"/>
          <w:szCs w:val="22"/>
        </w:rPr>
        <w:instrText xml:space="preserve"> \* MERGEFORMAT </w:instrText>
      </w:r>
      <w:r w:rsidRPr="00CF41A7">
        <w:rPr>
          <w:rFonts w:cs="Arial"/>
          <w:i w:val="0"/>
          <w:iCs w:val="0"/>
          <w:color w:val="auto"/>
          <w:sz w:val="22"/>
          <w:szCs w:val="22"/>
        </w:rPr>
        <w:fldChar w:fldCharType="separate"/>
      </w:r>
      <w:r w:rsidRPr="00977795" w:rsidR="00977795">
        <w:rPr>
          <w:i w:val="0"/>
          <w:color w:val="auto"/>
          <w:sz w:val="22"/>
          <w:szCs w:val="22"/>
        </w:rPr>
        <w:t>Exhibit 3</w:t>
      </w:r>
      <w:r w:rsidRPr="00977795" w:rsidR="00977795">
        <w:rPr>
          <w:i w:val="0"/>
          <w:color w:val="auto"/>
          <w:sz w:val="22"/>
          <w:szCs w:val="22"/>
        </w:rPr>
        <w:noBreakHyphen/>
        <w:t>6</w:t>
      </w:r>
      <w:r w:rsidRPr="00CF41A7">
        <w:rPr>
          <w:rFonts w:cs="Arial"/>
          <w:i w:val="0"/>
          <w:iCs w:val="0"/>
          <w:color w:val="auto"/>
          <w:sz w:val="22"/>
          <w:szCs w:val="22"/>
        </w:rPr>
        <w:fldChar w:fldCharType="end"/>
      </w:r>
      <w:r>
        <w:rPr>
          <w:rFonts w:cs="Arial"/>
          <w:i w:val="0"/>
          <w:iCs w:val="0"/>
          <w:color w:val="auto"/>
          <w:sz w:val="22"/>
          <w:szCs w:val="22"/>
        </w:rPr>
        <w:t xml:space="preserve"> </w:t>
      </w:r>
      <w:r w:rsidR="00C96A91">
        <w:rPr>
          <w:rFonts w:cs="Arial"/>
          <w:i w:val="0"/>
          <w:iCs w:val="0"/>
          <w:color w:val="auto"/>
          <w:sz w:val="22"/>
          <w:szCs w:val="22"/>
        </w:rPr>
        <w:t>presents</w:t>
      </w:r>
      <w:r w:rsidRPr="00DB79AE" w:rsidR="00C96A91">
        <w:rPr>
          <w:rFonts w:cs="Arial"/>
          <w:i w:val="0"/>
          <w:iCs w:val="0"/>
          <w:color w:val="auto"/>
          <w:sz w:val="22"/>
          <w:szCs w:val="22"/>
        </w:rPr>
        <w:t xml:space="preserve"> </w:t>
      </w:r>
      <w:r w:rsidRPr="00DB79AE" w:rsidR="00BF5AC4">
        <w:rPr>
          <w:rFonts w:cs="Arial"/>
          <w:i w:val="0"/>
          <w:iCs w:val="0"/>
          <w:color w:val="auto"/>
          <w:sz w:val="22"/>
          <w:szCs w:val="22"/>
        </w:rPr>
        <w:t xml:space="preserve">the </w:t>
      </w:r>
      <w:r w:rsidRPr="00DB79AE">
        <w:rPr>
          <w:rFonts w:cs="Arial"/>
          <w:i w:val="0"/>
          <w:iCs w:val="0"/>
          <w:color w:val="auto"/>
          <w:sz w:val="22"/>
          <w:szCs w:val="22"/>
        </w:rPr>
        <w:t>incremental costs</w:t>
      </w:r>
      <w:r w:rsidRPr="00DB79AE" w:rsidR="00BF5AC4">
        <w:rPr>
          <w:rFonts w:cs="Arial"/>
          <w:i w:val="0"/>
          <w:iCs w:val="0"/>
          <w:color w:val="auto"/>
          <w:sz w:val="22"/>
          <w:szCs w:val="22"/>
        </w:rPr>
        <w:t xml:space="preserve"> and </w:t>
      </w:r>
      <w:r w:rsidRPr="00DB79AE" w:rsidR="00685F98">
        <w:rPr>
          <w:rFonts w:cs="Arial"/>
          <w:i w:val="0"/>
          <w:iCs w:val="0"/>
          <w:color w:val="auto"/>
          <w:sz w:val="22"/>
          <w:szCs w:val="22"/>
        </w:rPr>
        <w:t xml:space="preserve">averted costs </w:t>
      </w:r>
      <w:r w:rsidRPr="00DB79AE" w:rsidR="00BF5AC4">
        <w:rPr>
          <w:rFonts w:cs="Arial"/>
          <w:i w:val="0"/>
          <w:iCs w:val="0"/>
          <w:color w:val="auto"/>
          <w:sz w:val="22"/>
          <w:szCs w:val="22"/>
        </w:rPr>
        <w:t xml:space="preserve">of Option 2.  </w:t>
      </w:r>
      <w:r w:rsidR="002709E2">
        <w:rPr>
          <w:rFonts w:cs="Arial"/>
          <w:i w:val="0"/>
          <w:iCs w:val="0"/>
          <w:color w:val="auto"/>
          <w:sz w:val="22"/>
          <w:szCs w:val="22"/>
        </w:rPr>
        <w:t>T</w:t>
      </w:r>
      <w:r w:rsidRPr="00DB79AE">
        <w:rPr>
          <w:rFonts w:cs="Arial"/>
          <w:i w:val="0"/>
          <w:iCs w:val="0"/>
          <w:color w:val="auto"/>
          <w:sz w:val="22"/>
          <w:szCs w:val="22"/>
        </w:rPr>
        <w:t xml:space="preserve">he </w:t>
      </w:r>
      <w:r>
        <w:rPr>
          <w:rFonts w:cs="Arial"/>
          <w:i w:val="0"/>
          <w:iCs w:val="0"/>
          <w:color w:val="auto"/>
          <w:sz w:val="22"/>
          <w:szCs w:val="22"/>
        </w:rPr>
        <w:t xml:space="preserve">incremental </w:t>
      </w:r>
      <w:r w:rsidRPr="00DB79AE">
        <w:rPr>
          <w:rFonts w:cs="Arial"/>
          <w:i w:val="0"/>
          <w:iCs w:val="0"/>
          <w:color w:val="auto"/>
          <w:sz w:val="22"/>
          <w:szCs w:val="22"/>
        </w:rPr>
        <w:t xml:space="preserve">costs </w:t>
      </w:r>
      <w:r>
        <w:rPr>
          <w:rFonts w:cs="Arial"/>
          <w:i w:val="0"/>
          <w:iCs w:val="0"/>
          <w:color w:val="auto"/>
          <w:sz w:val="22"/>
          <w:szCs w:val="22"/>
        </w:rPr>
        <w:t xml:space="preserve">of Option 2 are the same as Option 3.  </w:t>
      </w:r>
      <w:r w:rsidRPr="00DB79AE" w:rsidR="00BF5AC4">
        <w:rPr>
          <w:rFonts w:cs="Arial"/>
          <w:i w:val="0"/>
          <w:iCs w:val="0"/>
          <w:color w:val="auto"/>
          <w:sz w:val="22"/>
          <w:szCs w:val="22"/>
        </w:rPr>
        <w:t xml:space="preserve">The total costs of Option 2 are estimated at </w:t>
      </w:r>
      <w:r w:rsidRPr="00DB79AE" w:rsidR="002709E2">
        <w:rPr>
          <w:rFonts w:cs="Arial"/>
          <w:i w:val="0"/>
          <w:iCs w:val="0"/>
          <w:color w:val="auto"/>
          <w:sz w:val="22"/>
          <w:szCs w:val="22"/>
        </w:rPr>
        <w:t>($1.</w:t>
      </w:r>
      <w:r w:rsidR="002709E2">
        <w:rPr>
          <w:rFonts w:cs="Arial"/>
          <w:i w:val="0"/>
          <w:iCs w:val="0"/>
          <w:color w:val="auto"/>
          <w:sz w:val="22"/>
          <w:szCs w:val="22"/>
        </w:rPr>
        <w:t>9</w:t>
      </w:r>
      <w:r w:rsidRPr="00DB79AE" w:rsidR="002709E2">
        <w:rPr>
          <w:rFonts w:cs="Arial"/>
          <w:i w:val="0"/>
          <w:iCs w:val="0"/>
          <w:color w:val="auto"/>
          <w:sz w:val="22"/>
          <w:szCs w:val="22"/>
        </w:rPr>
        <w:t xml:space="preserve"> million) </w:t>
      </w:r>
      <w:r w:rsidR="002709E2">
        <w:rPr>
          <w:rFonts w:cs="Arial"/>
          <w:i w:val="0"/>
          <w:iCs w:val="0"/>
          <w:color w:val="auto"/>
          <w:sz w:val="22"/>
          <w:szCs w:val="22"/>
        </w:rPr>
        <w:t xml:space="preserve">at a 3-percent discount rate or </w:t>
      </w:r>
      <w:r w:rsidRPr="00DB79AE" w:rsidR="00AD2D94">
        <w:rPr>
          <w:rFonts w:cs="Arial"/>
          <w:i w:val="0"/>
          <w:iCs w:val="0"/>
          <w:color w:val="auto"/>
          <w:sz w:val="22"/>
          <w:szCs w:val="22"/>
        </w:rPr>
        <w:t>(</w:t>
      </w:r>
      <w:r w:rsidRPr="00DB79AE" w:rsidR="00BF5AC4">
        <w:rPr>
          <w:rFonts w:cs="Arial"/>
          <w:i w:val="0"/>
          <w:iCs w:val="0"/>
          <w:color w:val="auto"/>
          <w:sz w:val="22"/>
          <w:szCs w:val="22"/>
        </w:rPr>
        <w:t>$</w:t>
      </w:r>
      <w:r w:rsidRPr="00DB79AE" w:rsidR="001F7088">
        <w:rPr>
          <w:rFonts w:cs="Arial"/>
          <w:i w:val="0"/>
          <w:iCs w:val="0"/>
          <w:color w:val="auto"/>
          <w:sz w:val="22"/>
          <w:szCs w:val="22"/>
        </w:rPr>
        <w:t>1.</w:t>
      </w:r>
      <w:r w:rsidR="006F3951">
        <w:rPr>
          <w:rFonts w:cs="Arial"/>
          <w:i w:val="0"/>
          <w:iCs w:val="0"/>
          <w:color w:val="auto"/>
          <w:sz w:val="22"/>
          <w:szCs w:val="22"/>
        </w:rPr>
        <w:t>6</w:t>
      </w:r>
      <w:r w:rsidRPr="00DB79AE" w:rsidR="00BF5AC4">
        <w:rPr>
          <w:rFonts w:cs="Arial"/>
          <w:i w:val="0"/>
          <w:iCs w:val="0"/>
          <w:color w:val="auto"/>
          <w:sz w:val="22"/>
          <w:szCs w:val="22"/>
        </w:rPr>
        <w:t xml:space="preserve"> million</w:t>
      </w:r>
      <w:r w:rsidRPr="00DB79AE" w:rsidR="00AD2D94">
        <w:rPr>
          <w:rFonts w:cs="Arial"/>
          <w:i w:val="0"/>
          <w:iCs w:val="0"/>
          <w:color w:val="auto"/>
          <w:sz w:val="22"/>
          <w:szCs w:val="22"/>
        </w:rPr>
        <w:t>)</w:t>
      </w:r>
      <w:r w:rsidRPr="00DB79AE" w:rsidR="00BF5AC4">
        <w:rPr>
          <w:rFonts w:cs="Arial"/>
          <w:i w:val="0"/>
          <w:iCs w:val="0"/>
          <w:color w:val="auto"/>
          <w:sz w:val="22"/>
          <w:szCs w:val="22"/>
        </w:rPr>
        <w:t xml:space="preserve"> </w:t>
      </w:r>
      <w:r w:rsidR="002709E2">
        <w:rPr>
          <w:rFonts w:cs="Arial"/>
          <w:i w:val="0"/>
          <w:iCs w:val="0"/>
          <w:color w:val="auto"/>
          <w:sz w:val="22"/>
          <w:szCs w:val="22"/>
        </w:rPr>
        <w:t>at a</w:t>
      </w:r>
      <w:r w:rsidRPr="00DB79AE" w:rsidR="00BF5AC4">
        <w:rPr>
          <w:rFonts w:cs="Arial"/>
          <w:i w:val="0"/>
          <w:iCs w:val="0"/>
          <w:color w:val="auto"/>
          <w:sz w:val="22"/>
          <w:szCs w:val="22"/>
        </w:rPr>
        <w:t xml:space="preserve"> 7</w:t>
      </w:r>
      <w:r w:rsidR="002709E2">
        <w:rPr>
          <w:rFonts w:cs="Arial"/>
          <w:i w:val="0"/>
          <w:iCs w:val="0"/>
          <w:color w:val="auto"/>
          <w:sz w:val="22"/>
          <w:szCs w:val="22"/>
        </w:rPr>
        <w:t>-</w:t>
      </w:r>
      <w:r w:rsidRPr="00DB79AE" w:rsidR="00BF5AC4">
        <w:rPr>
          <w:rFonts w:cs="Arial"/>
          <w:i w:val="0"/>
          <w:iCs w:val="0"/>
          <w:color w:val="auto"/>
          <w:sz w:val="22"/>
          <w:szCs w:val="22"/>
        </w:rPr>
        <w:t>percent discount</w:t>
      </w:r>
      <w:r w:rsidR="002709E2">
        <w:rPr>
          <w:rFonts w:cs="Arial"/>
          <w:i w:val="0"/>
          <w:iCs w:val="0"/>
          <w:color w:val="auto"/>
          <w:sz w:val="22"/>
          <w:szCs w:val="22"/>
        </w:rPr>
        <w:t xml:space="preserve"> rate</w:t>
      </w:r>
      <w:r w:rsidRPr="00DB79AE" w:rsidR="00BF5AC4">
        <w:rPr>
          <w:rFonts w:cs="Arial"/>
          <w:i w:val="0"/>
          <w:iCs w:val="0"/>
          <w:color w:val="auto"/>
          <w:sz w:val="22"/>
          <w:szCs w:val="22"/>
        </w:rPr>
        <w:t xml:space="preserve"> over the 20-year analysis period.</w:t>
      </w:r>
    </w:p>
    <w:p w:rsidR="00DB3727" w:rsidP="00282C4C" w14:paraId="595CF487" w14:textId="77777777">
      <w:pPr>
        <w:pStyle w:val="Caption"/>
        <w:keepNext/>
        <w:spacing w:after="0"/>
        <w:jc w:val="center"/>
        <w:rPr>
          <w:b/>
          <w:i w:val="0"/>
          <w:color w:val="auto"/>
          <w:sz w:val="22"/>
          <w:szCs w:val="22"/>
        </w:rPr>
      </w:pPr>
      <w:bookmarkStart w:id="156" w:name="_Ref534034970"/>
      <w:bookmarkStart w:id="157" w:name="_Toc534037054"/>
      <w:bookmarkStart w:id="158" w:name="_Toc534709841"/>
      <w:bookmarkStart w:id="159" w:name="_Toc534709999"/>
      <w:bookmarkStart w:id="160" w:name="_Toc534711684"/>
      <w:bookmarkStart w:id="161" w:name="_Toc534711931"/>
      <w:bookmarkStart w:id="162" w:name="_Toc534712117"/>
      <w:bookmarkStart w:id="163" w:name="_Toc534712694"/>
      <w:bookmarkStart w:id="164" w:name="_Toc534713203"/>
      <w:bookmarkStart w:id="165" w:name="_Toc9526463"/>
      <w:bookmarkStart w:id="166" w:name="_Toc536603412"/>
      <w:r w:rsidRPr="000F7FD1">
        <w:rPr>
          <w:b/>
          <w:i w:val="0"/>
          <w:color w:val="auto"/>
          <w:sz w:val="22"/>
          <w:szCs w:val="22"/>
        </w:rPr>
        <w:t>Exhibit 3</w:t>
      </w:r>
      <w:r w:rsidRPr="000F7FD1">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6</w:t>
      </w:r>
      <w:r w:rsidRPr="000F7FD1" w:rsidR="00C276FC">
        <w:rPr>
          <w:b/>
          <w:i w:val="0"/>
          <w:color w:val="auto"/>
          <w:sz w:val="22"/>
          <w:szCs w:val="22"/>
        </w:rPr>
        <w:fldChar w:fldCharType="end"/>
      </w:r>
      <w:bookmarkEnd w:id="156"/>
      <w:r w:rsidRPr="000F7FD1">
        <w:rPr>
          <w:b/>
          <w:i w:val="0"/>
          <w:color w:val="auto"/>
          <w:sz w:val="22"/>
          <w:szCs w:val="22"/>
        </w:rPr>
        <w:t xml:space="preserve">: Summary of Incremental Costs and Averted Costs </w:t>
      </w:r>
    </w:p>
    <w:p w:rsidR="007521B4" w:rsidRPr="000F7FD1" w:rsidP="00282C4C" w14:paraId="7F4936A6" w14:textId="05138834">
      <w:pPr>
        <w:pStyle w:val="Caption"/>
        <w:keepNext/>
        <w:spacing w:after="0"/>
        <w:jc w:val="center"/>
        <w:rPr>
          <w:color w:val="auto"/>
          <w:sz w:val="22"/>
          <w:szCs w:val="22"/>
        </w:rPr>
      </w:pPr>
      <w:r w:rsidRPr="000F7FD1">
        <w:rPr>
          <w:b/>
          <w:i w:val="0"/>
          <w:color w:val="auto"/>
          <w:sz w:val="22"/>
          <w:szCs w:val="22"/>
        </w:rPr>
        <w:t>for Option 2 [Not Selected]</w:t>
      </w:r>
      <w:bookmarkEnd w:id="157"/>
      <w:bookmarkEnd w:id="158"/>
      <w:bookmarkEnd w:id="159"/>
      <w:bookmarkEnd w:id="160"/>
      <w:bookmarkEnd w:id="161"/>
      <w:bookmarkEnd w:id="162"/>
      <w:bookmarkEnd w:id="163"/>
      <w:bookmarkEnd w:id="164"/>
      <w:bookmarkEnd w:id="165"/>
      <w:bookmarkEnd w:id="166"/>
    </w:p>
    <w:tbl>
      <w:tblPr>
        <w:tblStyle w:val="TableGrid"/>
        <w:tblW w:w="3542" w:type="pct"/>
        <w:jc w:val="center"/>
        <w:tblLayout w:type="fixed"/>
        <w:tblLook w:val="04A0"/>
      </w:tblPr>
      <w:tblGrid>
        <w:gridCol w:w="3708"/>
        <w:gridCol w:w="2916"/>
      </w:tblGrid>
      <w:tr w14:paraId="7F4936A9" w14:textId="77777777" w:rsidTr="00D96410">
        <w:tblPrEx>
          <w:tblW w:w="3542" w:type="pct"/>
          <w:jc w:val="center"/>
          <w:tblLayout w:type="fixed"/>
          <w:tblLook w:val="04A0"/>
        </w:tblPrEx>
        <w:trPr>
          <w:trHeight w:val="144"/>
          <w:tblHeader/>
          <w:jc w:val="center"/>
        </w:trPr>
        <w:tc>
          <w:tcPr>
            <w:tcW w:w="2799" w:type="pct"/>
            <w:vAlign w:val="center"/>
            <w:hideMark/>
          </w:tcPr>
          <w:p w:rsidR="006F627B" w:rsidRPr="00F0274F" w:rsidP="0083525A" w14:paraId="7F4936A7" w14:textId="77777777">
            <w:pPr>
              <w:keepNext/>
              <w:jc w:val="center"/>
              <w:rPr>
                <w:b/>
              </w:rPr>
            </w:pPr>
            <w:r w:rsidRPr="00D839EE">
              <w:rPr>
                <w:rFonts w:cs="Arial"/>
                <w:b/>
              </w:rPr>
              <w:t>Incremental</w:t>
            </w:r>
            <w:r w:rsidRPr="00F0274F">
              <w:rPr>
                <w:b/>
              </w:rPr>
              <w:t xml:space="preserve"> Costs </w:t>
            </w:r>
          </w:p>
        </w:tc>
        <w:tc>
          <w:tcPr>
            <w:tcW w:w="2201" w:type="pct"/>
            <w:vAlign w:val="center"/>
            <w:hideMark/>
          </w:tcPr>
          <w:p w:rsidR="006F627B" w:rsidRPr="00F0274F" w:rsidP="0083525A" w14:paraId="7F4936A8" w14:textId="77777777">
            <w:pPr>
              <w:keepNext/>
              <w:jc w:val="center"/>
              <w:rPr>
                <w:b/>
              </w:rPr>
            </w:pPr>
            <w:r w:rsidRPr="00D839EE">
              <w:rPr>
                <w:rFonts w:cs="Arial"/>
                <w:b/>
              </w:rPr>
              <w:t xml:space="preserve">Incremental </w:t>
            </w:r>
            <w:r>
              <w:rPr>
                <w:rFonts w:cs="Arial"/>
                <w:b/>
              </w:rPr>
              <w:t xml:space="preserve">Averted </w:t>
            </w:r>
            <w:r>
              <w:rPr>
                <w:b/>
              </w:rPr>
              <w:t>Costs</w:t>
            </w:r>
          </w:p>
        </w:tc>
      </w:tr>
      <w:tr w14:paraId="7F4936AC" w14:textId="77777777" w:rsidTr="00D96410">
        <w:tblPrEx>
          <w:tblW w:w="3542" w:type="pct"/>
          <w:jc w:val="center"/>
          <w:tblLayout w:type="fixed"/>
          <w:tblLook w:val="04A0"/>
        </w:tblPrEx>
        <w:trPr>
          <w:trHeight w:val="144"/>
          <w:jc w:val="center"/>
        </w:trPr>
        <w:tc>
          <w:tcPr>
            <w:tcW w:w="2799" w:type="pct"/>
            <w:tcBorders>
              <w:bottom w:val="nil"/>
            </w:tcBorders>
            <w:hideMark/>
          </w:tcPr>
          <w:p w:rsidR="006F627B" w:rsidRPr="00F0274F" w:rsidP="00346B95" w14:paraId="7F4936AA" w14:textId="77777777">
            <w:pPr>
              <w:keepNext/>
              <w:numPr>
                <w:ilvl w:val="12"/>
                <w:numId w:val="0"/>
              </w:numPr>
              <w:tabs>
                <w:tab w:val="left" w:pos="721"/>
              </w:tabs>
              <w:rPr>
                <w:b/>
              </w:rPr>
            </w:pPr>
            <w:r>
              <w:rPr>
                <w:rFonts w:cs="Arial"/>
                <w:b/>
              </w:rPr>
              <w:t>Licensees</w:t>
            </w:r>
            <w:r w:rsidRPr="00D839EE">
              <w:rPr>
                <w:rFonts w:cs="Arial"/>
                <w:b/>
              </w:rPr>
              <w:t>:</w:t>
            </w:r>
          </w:p>
        </w:tc>
        <w:tc>
          <w:tcPr>
            <w:tcW w:w="2201" w:type="pct"/>
            <w:tcBorders>
              <w:bottom w:val="nil"/>
            </w:tcBorders>
            <w:hideMark/>
          </w:tcPr>
          <w:p w:rsidR="006F627B" w:rsidRPr="00F0274F" w:rsidP="00346B95" w14:paraId="7F4936AB" w14:textId="77777777">
            <w:pPr>
              <w:keepNext/>
              <w:numPr>
                <w:ilvl w:val="12"/>
                <w:numId w:val="0"/>
              </w:numPr>
              <w:tabs>
                <w:tab w:val="left" w:pos="721"/>
              </w:tabs>
              <w:rPr>
                <w:b/>
              </w:rPr>
            </w:pPr>
          </w:p>
        </w:tc>
      </w:tr>
      <w:tr w14:paraId="7F4936AF" w14:textId="77777777" w:rsidTr="00D96410">
        <w:tblPrEx>
          <w:tblW w:w="3542" w:type="pct"/>
          <w:jc w:val="center"/>
          <w:tblLayout w:type="fixed"/>
          <w:tblLook w:val="04A0"/>
        </w:tblPrEx>
        <w:trPr>
          <w:trHeight w:val="144"/>
          <w:jc w:val="center"/>
        </w:trPr>
        <w:tc>
          <w:tcPr>
            <w:tcW w:w="2799" w:type="pct"/>
            <w:tcBorders>
              <w:top w:val="nil"/>
              <w:bottom w:val="nil"/>
            </w:tcBorders>
            <w:hideMark/>
          </w:tcPr>
          <w:p w:rsidR="006F627B" w:rsidRPr="00D839EE" w:rsidP="00E14C35" w14:paraId="7F4936AD" w14:textId="77777777">
            <w:pPr>
              <w:keepNext/>
              <w:numPr>
                <w:ilvl w:val="12"/>
                <w:numId w:val="0"/>
              </w:numPr>
              <w:tabs>
                <w:tab w:val="left" w:pos="721"/>
              </w:tabs>
              <w:rPr>
                <w:rFonts w:cs="Arial"/>
              </w:rPr>
            </w:pPr>
            <w:r>
              <w:rPr>
                <w:rFonts w:cs="Arial"/>
              </w:rPr>
              <w:t>(</w:t>
            </w:r>
            <w:r w:rsidRPr="00D839EE">
              <w:rPr>
                <w:rFonts w:cs="Arial"/>
              </w:rPr>
              <w:t>$</w:t>
            </w:r>
            <w:r>
              <w:rPr>
                <w:rFonts w:cs="Arial"/>
              </w:rPr>
              <w:t>1,300,00</w:t>
            </w:r>
            <w:r w:rsidR="008B7FF8">
              <w:rPr>
                <w:rFonts w:cs="Arial"/>
              </w:rPr>
              <w:t>0</w:t>
            </w:r>
            <w:r>
              <w:rPr>
                <w:rFonts w:cs="Arial"/>
              </w:rPr>
              <w:t>)</w:t>
            </w:r>
            <w:r w:rsidRPr="00D839EE">
              <w:rPr>
                <w:rFonts w:cs="Arial"/>
              </w:rPr>
              <w:t xml:space="preserve"> using a 3% discount rate</w:t>
            </w:r>
          </w:p>
        </w:tc>
        <w:tc>
          <w:tcPr>
            <w:tcW w:w="2201" w:type="pct"/>
            <w:tcBorders>
              <w:top w:val="nil"/>
              <w:bottom w:val="nil"/>
            </w:tcBorders>
            <w:hideMark/>
          </w:tcPr>
          <w:p w:rsidR="006F627B" w:rsidRPr="00D839EE" w:rsidP="00E14C35" w14:paraId="7F4936AE" w14:textId="77777777">
            <w:pPr>
              <w:keepNext/>
              <w:numPr>
                <w:ilvl w:val="12"/>
                <w:numId w:val="0"/>
              </w:numPr>
              <w:tabs>
                <w:tab w:val="left" w:pos="721"/>
              </w:tabs>
              <w:jc w:val="center"/>
              <w:rPr>
                <w:rFonts w:cs="Arial"/>
              </w:rPr>
            </w:pPr>
            <w:r w:rsidRPr="00D839EE">
              <w:rPr>
                <w:rFonts w:cs="Arial"/>
              </w:rPr>
              <w:t>None</w:t>
            </w:r>
          </w:p>
        </w:tc>
      </w:tr>
      <w:tr w14:paraId="7F4936B2" w14:textId="77777777" w:rsidTr="00DB3727">
        <w:tblPrEx>
          <w:tblW w:w="3542" w:type="pct"/>
          <w:jc w:val="center"/>
          <w:tblLayout w:type="fixed"/>
          <w:tblLook w:val="04A0"/>
        </w:tblPrEx>
        <w:trPr>
          <w:trHeight w:val="225"/>
          <w:jc w:val="center"/>
        </w:trPr>
        <w:tc>
          <w:tcPr>
            <w:tcW w:w="2799" w:type="pct"/>
            <w:tcBorders>
              <w:top w:val="nil"/>
              <w:bottom w:val="single" w:sz="4" w:space="0" w:color="auto"/>
            </w:tcBorders>
            <w:hideMark/>
          </w:tcPr>
          <w:p w:rsidR="006F627B" w:rsidRPr="00D839EE" w:rsidP="00E14C35" w14:paraId="7F4936B0" w14:textId="77777777">
            <w:pPr>
              <w:keepNext/>
              <w:numPr>
                <w:ilvl w:val="12"/>
                <w:numId w:val="0"/>
              </w:numPr>
              <w:tabs>
                <w:tab w:val="left" w:pos="721"/>
              </w:tabs>
              <w:rPr>
                <w:rFonts w:cs="Arial"/>
              </w:rPr>
            </w:pPr>
            <w:r>
              <w:rPr>
                <w:rFonts w:cs="Arial"/>
              </w:rPr>
              <w:t>($1,100,000) using a 7% discount rate</w:t>
            </w:r>
          </w:p>
        </w:tc>
        <w:tc>
          <w:tcPr>
            <w:tcW w:w="2201" w:type="pct"/>
            <w:tcBorders>
              <w:top w:val="nil"/>
              <w:bottom w:val="single" w:sz="4" w:space="0" w:color="auto"/>
            </w:tcBorders>
            <w:hideMark/>
          </w:tcPr>
          <w:p w:rsidR="006F627B" w:rsidRPr="00D839EE" w:rsidP="00E14C35" w14:paraId="7F4936B1" w14:textId="77777777">
            <w:pPr>
              <w:keepNext/>
              <w:numPr>
                <w:ilvl w:val="12"/>
                <w:numId w:val="0"/>
              </w:numPr>
              <w:tabs>
                <w:tab w:val="left" w:pos="721"/>
              </w:tabs>
              <w:jc w:val="center"/>
              <w:rPr>
                <w:rFonts w:cs="Arial"/>
              </w:rPr>
            </w:pPr>
          </w:p>
        </w:tc>
      </w:tr>
      <w:tr w14:paraId="7F4936B5" w14:textId="77777777" w:rsidTr="00D96410">
        <w:tblPrEx>
          <w:tblW w:w="3542" w:type="pct"/>
          <w:jc w:val="center"/>
          <w:tblLayout w:type="fixed"/>
          <w:tblLook w:val="04A0"/>
        </w:tblPrEx>
        <w:trPr>
          <w:trHeight w:val="144"/>
          <w:jc w:val="center"/>
        </w:trPr>
        <w:tc>
          <w:tcPr>
            <w:tcW w:w="2799" w:type="pct"/>
            <w:tcBorders>
              <w:top w:val="single" w:sz="4" w:space="0" w:color="auto"/>
              <w:bottom w:val="nil"/>
            </w:tcBorders>
            <w:hideMark/>
          </w:tcPr>
          <w:p w:rsidR="006F627B" w:rsidRPr="00D839EE" w:rsidP="00E14C35" w14:paraId="7F4936B3" w14:textId="77777777">
            <w:pPr>
              <w:keepNext/>
              <w:numPr>
                <w:ilvl w:val="12"/>
                <w:numId w:val="0"/>
              </w:numPr>
              <w:tabs>
                <w:tab w:val="left" w:pos="721"/>
              </w:tabs>
              <w:rPr>
                <w:rFonts w:cs="Arial"/>
                <w:b/>
              </w:rPr>
            </w:pPr>
            <w:r w:rsidRPr="00D839EE">
              <w:rPr>
                <w:rFonts w:cs="Arial"/>
                <w:b/>
              </w:rPr>
              <w:t>NRC:</w:t>
            </w:r>
          </w:p>
        </w:tc>
        <w:tc>
          <w:tcPr>
            <w:tcW w:w="2201" w:type="pct"/>
            <w:tcBorders>
              <w:top w:val="single" w:sz="4" w:space="0" w:color="auto"/>
              <w:bottom w:val="nil"/>
            </w:tcBorders>
          </w:tcPr>
          <w:p w:rsidR="006F627B" w:rsidRPr="00D839EE" w:rsidP="00E14C35" w14:paraId="7F4936B4" w14:textId="77777777">
            <w:pPr>
              <w:keepNext/>
              <w:numPr>
                <w:ilvl w:val="12"/>
                <w:numId w:val="0"/>
              </w:numPr>
              <w:tabs>
                <w:tab w:val="left" w:pos="721"/>
              </w:tabs>
              <w:jc w:val="center"/>
              <w:rPr>
                <w:rFonts w:cs="Arial"/>
              </w:rPr>
            </w:pPr>
          </w:p>
        </w:tc>
      </w:tr>
      <w:tr w14:paraId="7F4936B8" w14:textId="77777777" w:rsidTr="00D96410">
        <w:tblPrEx>
          <w:tblW w:w="3542" w:type="pct"/>
          <w:jc w:val="center"/>
          <w:tblLayout w:type="fixed"/>
          <w:tblLook w:val="04A0"/>
        </w:tblPrEx>
        <w:trPr>
          <w:trHeight w:val="144"/>
          <w:jc w:val="center"/>
        </w:trPr>
        <w:tc>
          <w:tcPr>
            <w:tcW w:w="2799" w:type="pct"/>
            <w:tcBorders>
              <w:top w:val="nil"/>
              <w:bottom w:val="nil"/>
            </w:tcBorders>
            <w:hideMark/>
          </w:tcPr>
          <w:p w:rsidR="006F627B" w:rsidRPr="00D839EE" w:rsidP="006F627B" w14:paraId="7F4936B6" w14:textId="77777777">
            <w:pPr>
              <w:keepNext/>
              <w:numPr>
                <w:ilvl w:val="12"/>
                <w:numId w:val="0"/>
              </w:numPr>
              <w:tabs>
                <w:tab w:val="left" w:pos="721"/>
              </w:tabs>
              <w:rPr>
                <w:rFonts w:cs="Arial"/>
              </w:rPr>
            </w:pPr>
            <w:r>
              <w:rPr>
                <w:rFonts w:cs="Arial"/>
              </w:rPr>
              <w:t>(</w:t>
            </w:r>
            <w:r w:rsidRPr="001F3201">
              <w:rPr>
                <w:bCs/>
                <w:color w:val="000000"/>
              </w:rPr>
              <w:t>$640</w:t>
            </w:r>
            <w:r>
              <w:rPr>
                <w:bCs/>
                <w:color w:val="000000"/>
              </w:rPr>
              <w:t>,000</w:t>
            </w:r>
            <w:r>
              <w:rPr>
                <w:rFonts w:cs="Arial"/>
              </w:rPr>
              <w:t>)</w:t>
            </w:r>
            <w:r w:rsidRPr="00D839EE">
              <w:rPr>
                <w:rFonts w:cs="Arial"/>
              </w:rPr>
              <w:t xml:space="preserve"> using a 3% discount rate</w:t>
            </w:r>
          </w:p>
        </w:tc>
        <w:tc>
          <w:tcPr>
            <w:tcW w:w="2201" w:type="pct"/>
            <w:tcBorders>
              <w:top w:val="nil"/>
              <w:bottom w:val="nil"/>
            </w:tcBorders>
          </w:tcPr>
          <w:p w:rsidR="006F627B" w:rsidRPr="00D839EE" w:rsidP="00E14C35" w14:paraId="7F4936B7" w14:textId="77777777">
            <w:pPr>
              <w:keepNext/>
              <w:numPr>
                <w:ilvl w:val="12"/>
                <w:numId w:val="0"/>
              </w:numPr>
              <w:tabs>
                <w:tab w:val="left" w:pos="721"/>
              </w:tabs>
              <w:jc w:val="center"/>
              <w:rPr>
                <w:rFonts w:cs="Arial"/>
              </w:rPr>
            </w:pPr>
            <w:r w:rsidRPr="00D839EE">
              <w:rPr>
                <w:rFonts w:cs="Arial"/>
              </w:rPr>
              <w:t>None</w:t>
            </w:r>
          </w:p>
        </w:tc>
      </w:tr>
      <w:tr w14:paraId="7F4936BB" w14:textId="77777777" w:rsidTr="00D96410">
        <w:tblPrEx>
          <w:tblW w:w="3542" w:type="pct"/>
          <w:jc w:val="center"/>
          <w:tblLayout w:type="fixed"/>
          <w:tblLook w:val="04A0"/>
        </w:tblPrEx>
        <w:trPr>
          <w:trHeight w:val="144"/>
          <w:jc w:val="center"/>
        </w:trPr>
        <w:tc>
          <w:tcPr>
            <w:tcW w:w="2799" w:type="pct"/>
            <w:tcBorders>
              <w:top w:val="nil"/>
            </w:tcBorders>
            <w:hideMark/>
          </w:tcPr>
          <w:p w:rsidR="006F627B" w:rsidRPr="00D839EE" w:rsidP="006F627B" w14:paraId="7F4936B9" w14:textId="77777777">
            <w:pPr>
              <w:keepNext/>
              <w:numPr>
                <w:ilvl w:val="12"/>
                <w:numId w:val="0"/>
              </w:numPr>
              <w:tabs>
                <w:tab w:val="left" w:pos="721"/>
              </w:tabs>
              <w:rPr>
                <w:rFonts w:cs="Arial"/>
              </w:rPr>
            </w:pPr>
            <w:r>
              <w:rPr>
                <w:rFonts w:cs="Arial"/>
              </w:rPr>
              <w:t>(</w:t>
            </w:r>
            <w:r w:rsidRPr="001F3201">
              <w:rPr>
                <w:bCs/>
                <w:color w:val="000000"/>
              </w:rPr>
              <w:t>$50</w:t>
            </w:r>
            <w:r>
              <w:rPr>
                <w:bCs/>
                <w:color w:val="000000"/>
              </w:rPr>
              <w:t>0,000</w:t>
            </w:r>
            <w:r>
              <w:rPr>
                <w:rFonts w:cs="Arial"/>
              </w:rPr>
              <w:t>)</w:t>
            </w:r>
            <w:r w:rsidRPr="00D839EE">
              <w:rPr>
                <w:rFonts w:cs="Arial"/>
              </w:rPr>
              <w:t xml:space="preserve"> using a 7% discount rate</w:t>
            </w:r>
          </w:p>
        </w:tc>
        <w:tc>
          <w:tcPr>
            <w:tcW w:w="2201" w:type="pct"/>
            <w:tcBorders>
              <w:top w:val="nil"/>
            </w:tcBorders>
          </w:tcPr>
          <w:p w:rsidR="006F627B" w:rsidRPr="00D839EE" w:rsidP="00E14C35" w14:paraId="7F4936BA" w14:textId="77777777">
            <w:pPr>
              <w:keepNext/>
              <w:numPr>
                <w:ilvl w:val="12"/>
                <w:numId w:val="0"/>
              </w:numPr>
              <w:tabs>
                <w:tab w:val="left" w:pos="721"/>
              </w:tabs>
              <w:jc w:val="center"/>
              <w:rPr>
                <w:rFonts w:cs="Arial"/>
              </w:rPr>
            </w:pPr>
          </w:p>
        </w:tc>
      </w:tr>
    </w:tbl>
    <w:p w:rsidR="00830672" w:rsidP="007521B4" w14:paraId="7F4936BC" w14:textId="77777777">
      <w:pPr>
        <w:rPr>
          <w:rFonts w:cs="Arial"/>
          <w:sz w:val="22"/>
          <w:szCs w:val="22"/>
        </w:rPr>
      </w:pPr>
      <w:r w:rsidRPr="007521B4">
        <w:rPr>
          <w:rFonts w:cs="Arial"/>
          <w:sz w:val="22"/>
          <w:szCs w:val="22"/>
        </w:rPr>
        <w:t xml:space="preserve"> </w:t>
      </w:r>
    </w:p>
    <w:p w:rsidR="00400BCE" w:rsidP="007521B4" w14:paraId="7F4936BD" w14:textId="77777777">
      <w:pPr>
        <w:rPr>
          <w:sz w:val="22"/>
          <w:szCs w:val="22"/>
        </w:rPr>
      </w:pPr>
      <w:r>
        <w:rPr>
          <w:rFonts w:cs="Arial"/>
          <w:sz w:val="22"/>
          <w:szCs w:val="22"/>
        </w:rPr>
        <w:t>Qua</w:t>
      </w:r>
      <w:r w:rsidR="00D76E91">
        <w:rPr>
          <w:rFonts w:cs="Arial"/>
          <w:sz w:val="22"/>
          <w:szCs w:val="22"/>
        </w:rPr>
        <w:t>l</w:t>
      </w:r>
      <w:r>
        <w:rPr>
          <w:rFonts w:cs="Arial"/>
          <w:sz w:val="22"/>
          <w:szCs w:val="22"/>
        </w:rPr>
        <w:t xml:space="preserve">itative benefits of </w:t>
      </w:r>
      <w:r w:rsidR="00E7514A">
        <w:rPr>
          <w:rFonts w:cs="Arial"/>
          <w:sz w:val="22"/>
          <w:szCs w:val="22"/>
        </w:rPr>
        <w:t>Option 2</w:t>
      </w:r>
      <w:r>
        <w:rPr>
          <w:rFonts w:cs="Arial"/>
          <w:sz w:val="22"/>
          <w:szCs w:val="22"/>
        </w:rPr>
        <w:t xml:space="preserve"> include </w:t>
      </w:r>
      <w:r w:rsidR="00BC3779">
        <w:rPr>
          <w:rFonts w:cs="Arial"/>
          <w:sz w:val="22"/>
          <w:szCs w:val="22"/>
        </w:rPr>
        <w:t>enhanced regulatory efficienc</w:t>
      </w:r>
      <w:r w:rsidR="00E7514A">
        <w:rPr>
          <w:rFonts w:cs="Arial"/>
          <w:sz w:val="22"/>
          <w:szCs w:val="22"/>
        </w:rPr>
        <w:t>y</w:t>
      </w:r>
      <w:r w:rsidR="00BC3779">
        <w:rPr>
          <w:rFonts w:cs="Arial"/>
          <w:sz w:val="22"/>
          <w:szCs w:val="22"/>
        </w:rPr>
        <w:t xml:space="preserve"> as well as public health and safety benefits. </w:t>
      </w:r>
      <w:r w:rsidR="00E7514A">
        <w:rPr>
          <w:sz w:val="22"/>
          <w:szCs w:val="22"/>
        </w:rPr>
        <w:t xml:space="preserve"> </w:t>
      </w:r>
      <w:r w:rsidRPr="00E7514A" w:rsidR="00E7514A">
        <w:rPr>
          <w:sz w:val="22"/>
          <w:szCs w:val="22"/>
        </w:rPr>
        <w:t>In terms of regulatory efficiency,</w:t>
      </w:r>
      <w:r w:rsidR="00186639">
        <w:rPr>
          <w:sz w:val="22"/>
          <w:szCs w:val="22"/>
        </w:rPr>
        <w:t xml:space="preserve"> </w:t>
      </w:r>
      <w:r w:rsidR="00234EC4">
        <w:rPr>
          <w:sz w:val="22"/>
          <w:szCs w:val="22"/>
        </w:rPr>
        <w:t xml:space="preserve">Option 2 would </w:t>
      </w:r>
      <w:r w:rsidRPr="00E7514A" w:rsidR="00505007">
        <w:rPr>
          <w:rFonts w:cs="Arial"/>
          <w:sz w:val="22"/>
          <w:szCs w:val="22"/>
        </w:rPr>
        <w:t xml:space="preserve">require updated FSARs, subsequent FSAR submittals, and </w:t>
      </w:r>
      <w:r w:rsidR="00505007">
        <w:rPr>
          <w:rFonts w:cs="Arial"/>
          <w:sz w:val="22"/>
          <w:szCs w:val="22"/>
        </w:rPr>
        <w:t>an</w:t>
      </w:r>
      <w:r w:rsidRPr="00E7514A" w:rsidR="00505007">
        <w:rPr>
          <w:rFonts w:cs="Arial"/>
          <w:sz w:val="22"/>
          <w:szCs w:val="22"/>
        </w:rPr>
        <w:t xml:space="preserve"> amended timely renewal provision</w:t>
      </w:r>
      <w:r w:rsidR="001F3346">
        <w:rPr>
          <w:rFonts w:cs="Arial"/>
          <w:sz w:val="22"/>
          <w:szCs w:val="22"/>
        </w:rPr>
        <w:t>,</w:t>
      </w:r>
      <w:r w:rsidR="00505007">
        <w:rPr>
          <w:rFonts w:cs="Arial"/>
          <w:sz w:val="22"/>
          <w:szCs w:val="22"/>
        </w:rPr>
        <w:t xml:space="preserve"> which</w:t>
      </w:r>
      <w:r w:rsidRPr="00E7514A" w:rsidR="00505007">
        <w:rPr>
          <w:rFonts w:cs="Arial"/>
          <w:sz w:val="22"/>
          <w:szCs w:val="22"/>
        </w:rPr>
        <w:t xml:space="preserve"> </w:t>
      </w:r>
      <w:r w:rsidR="00505007">
        <w:rPr>
          <w:rFonts w:cs="Arial"/>
          <w:sz w:val="22"/>
          <w:szCs w:val="22"/>
        </w:rPr>
        <w:t xml:space="preserve">would </w:t>
      </w:r>
      <w:r w:rsidRPr="00E7514A" w:rsidR="00505007">
        <w:rPr>
          <w:rFonts w:cs="Arial"/>
          <w:sz w:val="22"/>
          <w:szCs w:val="22"/>
        </w:rPr>
        <w:t xml:space="preserve">create efficiencies during the license renewal process by reducing the number and scope of requests for additional information and shortening the period of time a license renewal application is pending. </w:t>
      </w:r>
      <w:r w:rsidR="00505007">
        <w:rPr>
          <w:rFonts w:cs="Arial"/>
          <w:sz w:val="22"/>
          <w:szCs w:val="22"/>
        </w:rPr>
        <w:t xml:space="preserve"> </w:t>
      </w:r>
      <w:r w:rsidRPr="00E7514A" w:rsidR="00505007">
        <w:rPr>
          <w:rFonts w:cs="Arial"/>
          <w:sz w:val="22"/>
          <w:szCs w:val="22"/>
        </w:rPr>
        <w:t xml:space="preserve">As a result, the NRC and licensees </w:t>
      </w:r>
      <w:r w:rsidR="004A72CC">
        <w:rPr>
          <w:rFonts w:cs="Arial"/>
          <w:sz w:val="22"/>
          <w:szCs w:val="22"/>
        </w:rPr>
        <w:t>would</w:t>
      </w:r>
      <w:r w:rsidRPr="00E7514A" w:rsidR="004A72CC">
        <w:rPr>
          <w:rFonts w:cs="Arial"/>
          <w:sz w:val="22"/>
          <w:szCs w:val="22"/>
        </w:rPr>
        <w:t xml:space="preserve"> </w:t>
      </w:r>
      <w:r w:rsidRPr="00E7514A" w:rsidR="00505007">
        <w:rPr>
          <w:rFonts w:cs="Arial"/>
          <w:sz w:val="22"/>
          <w:szCs w:val="22"/>
        </w:rPr>
        <w:t xml:space="preserve">expend </w:t>
      </w:r>
      <w:r w:rsidR="006B7771">
        <w:rPr>
          <w:rFonts w:cs="Arial"/>
          <w:sz w:val="22"/>
          <w:szCs w:val="22"/>
        </w:rPr>
        <w:t>fewer</w:t>
      </w:r>
      <w:r w:rsidRPr="00E7514A" w:rsidR="00505007">
        <w:rPr>
          <w:rFonts w:cs="Arial"/>
          <w:sz w:val="22"/>
          <w:szCs w:val="22"/>
        </w:rPr>
        <w:t xml:space="preserve"> resources during the license renewal process.</w:t>
      </w:r>
    </w:p>
    <w:p w:rsidR="00893045" w:rsidP="00830672" w14:paraId="7F4936BE" w14:textId="77777777">
      <w:pPr>
        <w:rPr>
          <w:sz w:val="22"/>
          <w:szCs w:val="22"/>
        </w:rPr>
      </w:pPr>
    </w:p>
    <w:p w:rsidR="00505007" w:rsidP="00505007" w14:paraId="7F4936BF" w14:textId="77777777">
      <w:pPr>
        <w:rPr>
          <w:rFonts w:cs="Arial"/>
          <w:sz w:val="22"/>
          <w:szCs w:val="22"/>
        </w:rPr>
      </w:pPr>
      <w:r>
        <w:rPr>
          <w:rFonts w:cs="Arial"/>
          <w:sz w:val="22"/>
          <w:szCs w:val="22"/>
        </w:rPr>
        <w:t>P</w:t>
      </w:r>
      <w:r w:rsidRPr="00E7514A">
        <w:rPr>
          <w:rFonts w:cs="Arial"/>
          <w:sz w:val="22"/>
          <w:szCs w:val="22"/>
        </w:rPr>
        <w:t>ublic hea</w:t>
      </w:r>
      <w:r>
        <w:rPr>
          <w:rFonts w:cs="Arial"/>
          <w:sz w:val="22"/>
          <w:szCs w:val="22"/>
        </w:rPr>
        <w:t>lth and safety benefits from</w:t>
      </w:r>
      <w:r>
        <w:rPr>
          <w:rFonts w:cs="Arial"/>
          <w:sz w:val="22"/>
          <w:szCs w:val="22"/>
        </w:rPr>
        <w:t xml:space="preserve"> Option 2 include</w:t>
      </w:r>
      <w:r>
        <w:rPr>
          <w:rFonts w:cs="Arial"/>
          <w:sz w:val="22"/>
          <w:szCs w:val="22"/>
        </w:rPr>
        <w:t xml:space="preserve"> </w:t>
      </w:r>
      <w:r w:rsidRPr="00E7514A">
        <w:rPr>
          <w:rFonts w:cs="Arial"/>
          <w:sz w:val="22"/>
          <w:szCs w:val="22"/>
        </w:rPr>
        <w:t>improve</w:t>
      </w:r>
      <w:r>
        <w:rPr>
          <w:rFonts w:cs="Arial"/>
          <w:sz w:val="22"/>
          <w:szCs w:val="22"/>
        </w:rPr>
        <w:t>d</w:t>
      </w:r>
      <w:r w:rsidRPr="00E7514A">
        <w:rPr>
          <w:rFonts w:cs="Arial"/>
          <w:sz w:val="22"/>
          <w:szCs w:val="22"/>
        </w:rPr>
        <w:t xml:space="preserve"> NRC oversight of NPUFs. </w:t>
      </w:r>
      <w:r w:rsidR="001E41D8">
        <w:rPr>
          <w:rFonts w:cs="Arial"/>
          <w:sz w:val="22"/>
          <w:szCs w:val="22"/>
        </w:rPr>
        <w:t xml:space="preserve"> </w:t>
      </w:r>
      <w:r w:rsidRPr="00E7514A">
        <w:rPr>
          <w:rFonts w:cs="Arial"/>
          <w:sz w:val="22"/>
          <w:szCs w:val="22"/>
        </w:rPr>
        <w:t xml:space="preserve">The FSAR submittals require licensees to maintain a facility’s licensing basis, which provides the NRC with reasonable assurance that a facility will continue to operate without undue risk to public health and safety. </w:t>
      </w:r>
      <w:r w:rsidR="001E41D8">
        <w:rPr>
          <w:rFonts w:cs="Arial"/>
          <w:sz w:val="22"/>
          <w:szCs w:val="22"/>
        </w:rPr>
        <w:t xml:space="preserve"> </w:t>
      </w:r>
      <w:r w:rsidRPr="00E7514A">
        <w:rPr>
          <w:rFonts w:cs="Arial"/>
          <w:sz w:val="22"/>
          <w:szCs w:val="22"/>
        </w:rPr>
        <w:t xml:space="preserve">In addition, with a 5-year interval between FSAR submittals, licensees will realize benefits in knowledge management as compared to the </w:t>
      </w:r>
      <w:r w:rsidR="004A72CC">
        <w:rPr>
          <w:rFonts w:cs="Arial"/>
          <w:sz w:val="22"/>
          <w:szCs w:val="22"/>
        </w:rPr>
        <w:t>baseline</w:t>
      </w:r>
      <w:r w:rsidRPr="00E7514A">
        <w:rPr>
          <w:rFonts w:cs="Arial"/>
          <w:sz w:val="22"/>
          <w:szCs w:val="22"/>
        </w:rPr>
        <w:t>.</w:t>
      </w:r>
    </w:p>
    <w:p w:rsidR="00DD3761" w:rsidP="00BF5AC4" w14:paraId="7F4936C0" w14:textId="77777777">
      <w:pPr>
        <w:rPr>
          <w:rFonts w:cs="Arial"/>
          <w:sz w:val="18"/>
        </w:rPr>
      </w:pPr>
    </w:p>
    <w:p w:rsidR="00BF5AC4" w:rsidRPr="00D839EE" w:rsidP="002F0F5F" w14:paraId="7F4936C1" w14:textId="77777777">
      <w:pPr>
        <w:keepNext/>
        <w:rPr>
          <w:rFonts w:cs="Arial"/>
          <w:b/>
          <w:i/>
          <w:sz w:val="22"/>
          <w:szCs w:val="22"/>
        </w:rPr>
      </w:pPr>
      <w:r w:rsidRPr="00D839EE">
        <w:rPr>
          <w:rFonts w:cs="Arial"/>
          <w:b/>
          <w:i/>
          <w:sz w:val="22"/>
          <w:szCs w:val="22"/>
        </w:rPr>
        <w:t>Option 3:</w:t>
      </w:r>
      <w:r w:rsidR="00280092">
        <w:rPr>
          <w:rFonts w:cs="Arial"/>
          <w:b/>
          <w:i/>
          <w:sz w:val="22"/>
          <w:szCs w:val="22"/>
        </w:rPr>
        <w:t xml:space="preserve"> </w:t>
      </w:r>
      <w:r w:rsidRPr="00D839EE">
        <w:rPr>
          <w:rFonts w:cs="Arial"/>
          <w:b/>
          <w:i/>
          <w:sz w:val="22"/>
          <w:szCs w:val="22"/>
        </w:rPr>
        <w:t xml:space="preserve"> Undertake Rulemaking to Require Final Safety Analysis Report Updates, Revise the Timely Renewal Provision, and Eliminate License Terms for Class 104a </w:t>
      </w:r>
      <w:r w:rsidRPr="00D839EE" w:rsidR="001274DB">
        <w:rPr>
          <w:rFonts w:cs="Arial"/>
          <w:b/>
          <w:i/>
          <w:sz w:val="22"/>
          <w:szCs w:val="22"/>
        </w:rPr>
        <w:t xml:space="preserve">or </w:t>
      </w:r>
      <w:r w:rsidRPr="00D839EE">
        <w:rPr>
          <w:rFonts w:cs="Arial"/>
          <w:b/>
          <w:i/>
          <w:sz w:val="22"/>
          <w:szCs w:val="22"/>
        </w:rPr>
        <w:t xml:space="preserve">c Licensees Other </w:t>
      </w:r>
      <w:r w:rsidR="00881F75">
        <w:rPr>
          <w:rFonts w:cs="Arial"/>
          <w:b/>
          <w:i/>
          <w:sz w:val="22"/>
          <w:szCs w:val="22"/>
        </w:rPr>
        <w:t>T</w:t>
      </w:r>
      <w:r w:rsidRPr="00D839EE">
        <w:rPr>
          <w:rFonts w:cs="Arial"/>
          <w:b/>
          <w:i/>
          <w:sz w:val="22"/>
          <w:szCs w:val="22"/>
        </w:rPr>
        <w:t>han Testing Facilities </w:t>
      </w:r>
      <w:r w:rsidR="00280092">
        <w:rPr>
          <w:rFonts w:cs="Arial"/>
          <w:b/>
          <w:i/>
          <w:sz w:val="22"/>
          <w:szCs w:val="22"/>
        </w:rPr>
        <w:t>(s</w:t>
      </w:r>
      <w:r w:rsidRPr="00D839EE" w:rsidR="00676FCD">
        <w:rPr>
          <w:rFonts w:cs="Arial"/>
          <w:b/>
          <w:i/>
          <w:sz w:val="22"/>
          <w:szCs w:val="22"/>
        </w:rPr>
        <w:t>elected</w:t>
      </w:r>
      <w:r w:rsidR="00280092">
        <w:rPr>
          <w:rFonts w:cs="Arial"/>
          <w:b/>
          <w:i/>
          <w:sz w:val="22"/>
          <w:szCs w:val="22"/>
        </w:rPr>
        <w:t>—f</w:t>
      </w:r>
      <w:r w:rsidRPr="00D839EE" w:rsidR="00BC5E9F">
        <w:rPr>
          <w:rFonts w:cs="Arial"/>
          <w:b/>
          <w:i/>
          <w:sz w:val="22"/>
          <w:szCs w:val="22"/>
        </w:rPr>
        <w:t>inal</w:t>
      </w:r>
      <w:r w:rsidRPr="00D839EE" w:rsidR="00676FCD">
        <w:rPr>
          <w:rFonts w:cs="Arial"/>
          <w:b/>
          <w:i/>
          <w:sz w:val="22"/>
          <w:szCs w:val="22"/>
        </w:rPr>
        <w:t xml:space="preserve"> </w:t>
      </w:r>
      <w:r w:rsidR="00280092">
        <w:rPr>
          <w:rFonts w:cs="Arial"/>
          <w:b/>
          <w:i/>
          <w:sz w:val="22"/>
          <w:szCs w:val="22"/>
        </w:rPr>
        <w:t>r</w:t>
      </w:r>
      <w:r w:rsidRPr="00D839EE" w:rsidR="00676FCD">
        <w:rPr>
          <w:rFonts w:cs="Arial"/>
          <w:b/>
          <w:i/>
          <w:sz w:val="22"/>
          <w:szCs w:val="22"/>
        </w:rPr>
        <w:t>ule</w:t>
      </w:r>
      <w:r w:rsidR="00280092">
        <w:rPr>
          <w:rFonts w:cs="Arial"/>
          <w:b/>
          <w:i/>
          <w:sz w:val="22"/>
          <w:szCs w:val="22"/>
        </w:rPr>
        <w:t>)</w:t>
      </w:r>
    </w:p>
    <w:p w:rsidR="00BF5AC4" w:rsidRPr="00D839EE" w:rsidP="002F0F5F" w14:paraId="7F4936C2" w14:textId="77777777">
      <w:pPr>
        <w:keepNext/>
        <w:rPr>
          <w:rFonts w:cs="Arial"/>
          <w:b/>
          <w:i/>
          <w:sz w:val="22"/>
          <w:szCs w:val="22"/>
        </w:rPr>
      </w:pPr>
    </w:p>
    <w:p w:rsidR="00BF5AC4" w:rsidRPr="00D839EE" w:rsidP="00346B95" w14:paraId="7F4936C3" w14:textId="2A84EBFF">
      <w:pPr>
        <w:rPr>
          <w:rFonts w:cs="Arial"/>
          <w:sz w:val="22"/>
          <w:szCs w:val="22"/>
        </w:rPr>
      </w:pPr>
      <w:r w:rsidRPr="00D839EE">
        <w:rPr>
          <w:rFonts w:cs="Arial"/>
          <w:sz w:val="22"/>
          <w:szCs w:val="22"/>
        </w:rPr>
        <w:t>Under Option 3</w:t>
      </w:r>
      <w:r w:rsidRPr="00D839EE" w:rsidR="00676FCD">
        <w:rPr>
          <w:rFonts w:cs="Arial"/>
          <w:sz w:val="22"/>
          <w:szCs w:val="22"/>
        </w:rPr>
        <w:t xml:space="preserve"> (the </w:t>
      </w:r>
      <w:r w:rsidRPr="00D839EE" w:rsidR="00BC5E9F">
        <w:rPr>
          <w:rFonts w:cs="Arial"/>
          <w:sz w:val="22"/>
          <w:szCs w:val="22"/>
        </w:rPr>
        <w:t>final</w:t>
      </w:r>
      <w:r w:rsidRPr="00D839EE" w:rsidR="00676FCD">
        <w:rPr>
          <w:rFonts w:cs="Arial"/>
          <w:sz w:val="22"/>
          <w:szCs w:val="22"/>
        </w:rPr>
        <w:t xml:space="preserve"> rule)</w:t>
      </w:r>
      <w:r w:rsidRPr="00D839EE">
        <w:rPr>
          <w:rFonts w:cs="Arial"/>
          <w:sz w:val="22"/>
          <w:szCs w:val="22"/>
        </w:rPr>
        <w:t xml:space="preserve">, the NRC </w:t>
      </w:r>
      <w:r w:rsidRPr="00D839EE" w:rsidR="00BC5E9F">
        <w:rPr>
          <w:rFonts w:cs="Arial"/>
          <w:sz w:val="22"/>
          <w:szCs w:val="22"/>
        </w:rPr>
        <w:t>will</w:t>
      </w:r>
      <w:r w:rsidRPr="00D839EE">
        <w:rPr>
          <w:rFonts w:cs="Arial"/>
          <w:sz w:val="22"/>
          <w:szCs w:val="22"/>
        </w:rPr>
        <w:t xml:space="preserve"> </w:t>
      </w:r>
      <w:r w:rsidR="00D24FA1">
        <w:rPr>
          <w:rFonts w:cs="Arial"/>
          <w:sz w:val="22"/>
          <w:szCs w:val="22"/>
        </w:rPr>
        <w:t>adopt</w:t>
      </w:r>
      <w:r w:rsidRPr="00D839EE">
        <w:rPr>
          <w:rFonts w:cs="Arial"/>
          <w:sz w:val="22"/>
          <w:szCs w:val="22"/>
        </w:rPr>
        <w:t xml:space="preserve"> non</w:t>
      </w:r>
      <w:r w:rsidR="00CA0236">
        <w:rPr>
          <w:rFonts w:cs="Arial"/>
          <w:sz w:val="22"/>
          <w:szCs w:val="22"/>
        </w:rPr>
        <w:t>-</w:t>
      </w:r>
      <w:r w:rsidRPr="00D839EE">
        <w:rPr>
          <w:rFonts w:cs="Arial"/>
          <w:sz w:val="22"/>
          <w:szCs w:val="22"/>
        </w:rPr>
        <w:t xml:space="preserve">expiring licenses for qualifying facilities.  The NRC estimates the costs and </w:t>
      </w:r>
      <w:r w:rsidR="00685F98">
        <w:rPr>
          <w:rFonts w:cs="Arial"/>
          <w:sz w:val="22"/>
          <w:szCs w:val="22"/>
        </w:rPr>
        <w:t>averted cost</w:t>
      </w:r>
      <w:r w:rsidRPr="00D839EE" w:rsidR="00685F98">
        <w:rPr>
          <w:rFonts w:cs="Arial"/>
          <w:sz w:val="22"/>
          <w:szCs w:val="22"/>
        </w:rPr>
        <w:t xml:space="preserve">s </w:t>
      </w:r>
      <w:r w:rsidRPr="00D839EE">
        <w:rPr>
          <w:rFonts w:cs="Arial"/>
          <w:sz w:val="22"/>
          <w:szCs w:val="22"/>
        </w:rPr>
        <w:t>of Option 3 relative to a no</w:t>
      </w:r>
      <w:r w:rsidR="00E302A6">
        <w:rPr>
          <w:rFonts w:cs="Arial"/>
          <w:sz w:val="22"/>
          <w:szCs w:val="22"/>
        </w:rPr>
        <w:t>-</w:t>
      </w:r>
      <w:r w:rsidRPr="00D839EE">
        <w:rPr>
          <w:rFonts w:cs="Arial"/>
          <w:sz w:val="22"/>
          <w:szCs w:val="22"/>
        </w:rPr>
        <w:t>action baseline (i.e.,</w:t>
      </w:r>
      <w:r w:rsidR="00E302A6">
        <w:rPr>
          <w:rFonts w:cs="Arial"/>
          <w:sz w:val="22"/>
          <w:szCs w:val="22"/>
        </w:rPr>
        <w:t> </w:t>
      </w:r>
      <w:r w:rsidRPr="00D839EE">
        <w:rPr>
          <w:rFonts w:cs="Arial"/>
          <w:sz w:val="22"/>
          <w:szCs w:val="22"/>
        </w:rPr>
        <w:t>Option</w:t>
      </w:r>
      <w:r w:rsidR="00BE707E">
        <w:rPr>
          <w:rFonts w:cs="Arial"/>
          <w:sz w:val="22"/>
          <w:szCs w:val="22"/>
        </w:rPr>
        <w:t> </w:t>
      </w:r>
      <w:r w:rsidRPr="00D839EE">
        <w:rPr>
          <w:rFonts w:cs="Arial"/>
          <w:sz w:val="22"/>
          <w:szCs w:val="22"/>
        </w:rPr>
        <w:t xml:space="preserve">1).  Option 3 </w:t>
      </w:r>
      <w:r w:rsidRPr="00D839EE" w:rsidR="00BC5E9F">
        <w:rPr>
          <w:rFonts w:cs="Arial"/>
          <w:sz w:val="22"/>
          <w:szCs w:val="22"/>
        </w:rPr>
        <w:t>will</w:t>
      </w:r>
      <w:r w:rsidRPr="00D839EE">
        <w:rPr>
          <w:rFonts w:cs="Arial"/>
          <w:sz w:val="22"/>
          <w:szCs w:val="22"/>
        </w:rPr>
        <w:t xml:space="preserve"> result in incremental costs of </w:t>
      </w:r>
      <w:r w:rsidR="00E302A6">
        <w:rPr>
          <w:rFonts w:cs="Arial"/>
          <w:sz w:val="22"/>
          <w:szCs w:val="22"/>
        </w:rPr>
        <w:t>(</w:t>
      </w:r>
      <w:r w:rsidRPr="00D839EE" w:rsidR="00E302A6">
        <w:rPr>
          <w:rFonts w:cs="Arial"/>
          <w:sz w:val="22"/>
          <w:szCs w:val="22"/>
        </w:rPr>
        <w:t>$1.</w:t>
      </w:r>
      <w:r w:rsidR="00E302A6">
        <w:rPr>
          <w:rFonts w:cs="Arial"/>
          <w:sz w:val="22"/>
          <w:szCs w:val="22"/>
        </w:rPr>
        <w:t>9 </w:t>
      </w:r>
      <w:r w:rsidRPr="00D839EE" w:rsidR="00E302A6">
        <w:rPr>
          <w:rFonts w:cs="Arial"/>
          <w:sz w:val="22"/>
          <w:szCs w:val="22"/>
        </w:rPr>
        <w:t>million</w:t>
      </w:r>
      <w:r w:rsidR="00E302A6">
        <w:rPr>
          <w:rFonts w:cs="Arial"/>
          <w:sz w:val="22"/>
          <w:szCs w:val="22"/>
        </w:rPr>
        <w:t>)</w:t>
      </w:r>
      <w:r w:rsidRPr="00D839EE" w:rsidR="00E302A6">
        <w:rPr>
          <w:rFonts w:cs="Arial"/>
          <w:sz w:val="22"/>
          <w:szCs w:val="22"/>
        </w:rPr>
        <w:t xml:space="preserve"> using a 3</w:t>
      </w:r>
      <w:r w:rsidR="00E302A6">
        <w:rPr>
          <w:rFonts w:cs="Arial"/>
          <w:sz w:val="22"/>
          <w:szCs w:val="22"/>
        </w:rPr>
        <w:t>-</w:t>
      </w:r>
      <w:r w:rsidRPr="00D839EE" w:rsidR="00E302A6">
        <w:rPr>
          <w:rFonts w:cs="Arial"/>
          <w:sz w:val="22"/>
          <w:szCs w:val="22"/>
        </w:rPr>
        <w:t>percent discount rate</w:t>
      </w:r>
      <w:r w:rsidR="00E302A6">
        <w:rPr>
          <w:rFonts w:cs="Arial"/>
          <w:sz w:val="22"/>
          <w:szCs w:val="22"/>
        </w:rPr>
        <w:t xml:space="preserve"> or</w:t>
      </w:r>
      <w:r w:rsidRPr="00D839EE" w:rsidR="00E302A6">
        <w:rPr>
          <w:rFonts w:cs="Arial"/>
          <w:sz w:val="22"/>
          <w:szCs w:val="22"/>
        </w:rPr>
        <w:t xml:space="preserve"> </w:t>
      </w:r>
      <w:r w:rsidR="00BA7117">
        <w:rPr>
          <w:rFonts w:cs="Arial"/>
          <w:sz w:val="22"/>
          <w:szCs w:val="22"/>
        </w:rPr>
        <w:t>(</w:t>
      </w:r>
      <w:r w:rsidRPr="00D839EE">
        <w:rPr>
          <w:rFonts w:cs="Arial"/>
          <w:sz w:val="22"/>
          <w:szCs w:val="22"/>
        </w:rPr>
        <w:t>$</w:t>
      </w:r>
      <w:r w:rsidRPr="00D839EE" w:rsidR="00291A29">
        <w:rPr>
          <w:rFonts w:cs="Arial"/>
          <w:sz w:val="22"/>
          <w:szCs w:val="22"/>
        </w:rPr>
        <w:t>1.</w:t>
      </w:r>
      <w:r w:rsidR="00DD6659">
        <w:rPr>
          <w:rFonts w:cs="Arial"/>
          <w:sz w:val="22"/>
          <w:szCs w:val="22"/>
        </w:rPr>
        <w:t>6</w:t>
      </w:r>
      <w:r w:rsidRPr="00D839EE" w:rsidR="0032669E">
        <w:rPr>
          <w:rFonts w:cs="Arial"/>
          <w:sz w:val="22"/>
          <w:szCs w:val="22"/>
        </w:rPr>
        <w:t xml:space="preserve"> </w:t>
      </w:r>
      <w:r w:rsidRPr="00D839EE">
        <w:rPr>
          <w:rFonts w:cs="Arial"/>
          <w:sz w:val="22"/>
          <w:szCs w:val="22"/>
        </w:rPr>
        <w:t>million</w:t>
      </w:r>
      <w:r w:rsidR="00BA7117">
        <w:rPr>
          <w:rFonts w:cs="Arial"/>
          <w:sz w:val="22"/>
          <w:szCs w:val="22"/>
        </w:rPr>
        <w:t>)</w:t>
      </w:r>
      <w:r w:rsidRPr="00D839EE">
        <w:rPr>
          <w:rFonts w:cs="Arial"/>
          <w:sz w:val="22"/>
          <w:szCs w:val="22"/>
        </w:rPr>
        <w:t xml:space="preserve"> using a 7</w:t>
      </w:r>
      <w:r w:rsidR="00BE707E">
        <w:rPr>
          <w:rFonts w:cs="Arial"/>
          <w:sz w:val="22"/>
          <w:szCs w:val="22"/>
        </w:rPr>
        <w:t>-</w:t>
      </w:r>
      <w:r w:rsidRPr="00D839EE">
        <w:rPr>
          <w:rFonts w:cs="Arial"/>
          <w:sz w:val="22"/>
          <w:szCs w:val="22"/>
        </w:rPr>
        <w:t xml:space="preserve">percent discount rate or over the 20-year analysis period.  </w:t>
      </w:r>
      <w:r w:rsidRPr="00CF41A7" w:rsidR="00642562">
        <w:rPr>
          <w:rFonts w:cs="Arial"/>
          <w:sz w:val="22"/>
          <w:szCs w:val="22"/>
        </w:rPr>
        <w:fldChar w:fldCharType="begin"/>
      </w:r>
      <w:r w:rsidRPr="00CF41A7" w:rsidR="00642562">
        <w:rPr>
          <w:rFonts w:cs="Arial"/>
          <w:sz w:val="22"/>
          <w:szCs w:val="22"/>
        </w:rPr>
        <w:instrText xml:space="preserve"> REF _Ref534035008 \h </w:instrText>
      </w:r>
      <w:r w:rsidRPr="00B45BB6" w:rsidR="00642562">
        <w:rPr>
          <w:rFonts w:cs="Arial"/>
          <w:sz w:val="22"/>
          <w:szCs w:val="22"/>
        </w:rPr>
        <w:instrText xml:space="preserve"> \* MERGEFORMAT </w:instrText>
      </w:r>
      <w:r w:rsidRPr="00CF41A7" w:rsidR="00642562">
        <w:rPr>
          <w:rFonts w:cs="Arial"/>
          <w:sz w:val="22"/>
          <w:szCs w:val="22"/>
        </w:rPr>
        <w:fldChar w:fldCharType="separate"/>
      </w:r>
      <w:r w:rsidRPr="00977795" w:rsidR="00977795">
        <w:rPr>
          <w:sz w:val="22"/>
          <w:szCs w:val="22"/>
        </w:rPr>
        <w:t>Exhibit</w:t>
      </w:r>
      <w:r w:rsidRPr="00977795" w:rsidR="00977795">
        <w:rPr>
          <w:b/>
          <w:sz w:val="22"/>
          <w:szCs w:val="22"/>
        </w:rPr>
        <w:t xml:space="preserve"> </w:t>
      </w:r>
      <w:r w:rsidRPr="00977795" w:rsidR="00977795">
        <w:rPr>
          <w:sz w:val="22"/>
        </w:rPr>
        <w:t>3</w:t>
      </w:r>
      <w:r w:rsidRPr="00977795" w:rsidR="00977795">
        <w:rPr>
          <w:sz w:val="22"/>
        </w:rPr>
        <w:noBreakHyphen/>
        <w:t>7</w:t>
      </w:r>
      <w:r w:rsidRPr="00CF41A7" w:rsidR="00642562">
        <w:rPr>
          <w:rFonts w:cs="Arial"/>
          <w:sz w:val="22"/>
          <w:szCs w:val="22"/>
        </w:rPr>
        <w:fldChar w:fldCharType="end"/>
      </w:r>
      <w:r w:rsidR="00642562">
        <w:rPr>
          <w:rFonts w:cs="Arial"/>
          <w:sz w:val="22"/>
          <w:szCs w:val="22"/>
        </w:rPr>
        <w:t xml:space="preserve"> </w:t>
      </w:r>
      <w:r w:rsidRPr="00D839EE">
        <w:rPr>
          <w:rFonts w:cs="Arial"/>
          <w:sz w:val="22"/>
          <w:szCs w:val="22"/>
        </w:rPr>
        <w:t>presents the breakdown of total costs</w:t>
      </w:r>
      <w:r w:rsidR="002104DC">
        <w:rPr>
          <w:rFonts w:cs="Arial"/>
          <w:sz w:val="22"/>
          <w:szCs w:val="22"/>
        </w:rPr>
        <w:t xml:space="preserve"> (e.g., preparing</w:t>
      </w:r>
      <w:r w:rsidRPr="001E774E" w:rsidR="002104DC">
        <w:rPr>
          <w:rFonts w:cs="Arial"/>
          <w:sz w:val="22"/>
          <w:szCs w:val="22"/>
        </w:rPr>
        <w:t xml:space="preserve"> updated FSARs and subsequent FSAR updates</w:t>
      </w:r>
      <w:r w:rsidR="002104DC">
        <w:rPr>
          <w:rFonts w:cs="Arial"/>
          <w:sz w:val="22"/>
          <w:szCs w:val="22"/>
        </w:rPr>
        <w:t>)</w:t>
      </w:r>
      <w:r w:rsidRPr="00D839EE">
        <w:rPr>
          <w:rFonts w:cs="Arial"/>
          <w:sz w:val="22"/>
          <w:szCs w:val="22"/>
        </w:rPr>
        <w:t>.</w:t>
      </w:r>
    </w:p>
    <w:p w:rsidR="005C3593" w:rsidRPr="000F7FD1" w:rsidP="00282C4C" w14:paraId="7F4936C4" w14:textId="0066CFA3">
      <w:pPr>
        <w:pStyle w:val="Caption"/>
        <w:keepNext/>
        <w:spacing w:after="0"/>
        <w:jc w:val="center"/>
        <w:rPr>
          <w:b/>
          <w:color w:val="auto"/>
          <w:sz w:val="22"/>
          <w:szCs w:val="22"/>
        </w:rPr>
      </w:pPr>
      <w:bookmarkStart w:id="167" w:name="_Ref534035008"/>
      <w:bookmarkStart w:id="168" w:name="_Toc534037055"/>
      <w:bookmarkStart w:id="169" w:name="_Toc534709842"/>
      <w:bookmarkStart w:id="170" w:name="_Toc534710000"/>
      <w:bookmarkStart w:id="171" w:name="_Toc534711685"/>
      <w:bookmarkStart w:id="172" w:name="_Toc534711932"/>
      <w:bookmarkStart w:id="173" w:name="_Toc534712118"/>
      <w:bookmarkStart w:id="174" w:name="_Toc534712695"/>
      <w:bookmarkStart w:id="175" w:name="_Toc534713204"/>
      <w:bookmarkStart w:id="176" w:name="_Toc9526464"/>
      <w:bookmarkStart w:id="177" w:name="_Toc536603413"/>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7</w:t>
      </w:r>
      <w:r w:rsidRPr="000F7FD1" w:rsidR="00C276FC">
        <w:rPr>
          <w:b/>
          <w:i w:val="0"/>
          <w:color w:val="auto"/>
          <w:sz w:val="22"/>
          <w:szCs w:val="22"/>
        </w:rPr>
        <w:fldChar w:fldCharType="end"/>
      </w:r>
      <w:bookmarkEnd w:id="167"/>
      <w:r w:rsidRPr="000F7FD1">
        <w:rPr>
          <w:b/>
          <w:i w:val="0"/>
          <w:color w:val="auto"/>
          <w:sz w:val="22"/>
          <w:szCs w:val="22"/>
        </w:rPr>
        <w:t>. Summary of Total Costs for Option 3 [Selected-Final Rule] (</w:t>
      </w:r>
      <w:r w:rsidRPr="000F7FD1" w:rsidR="009170F7">
        <w:rPr>
          <w:b/>
          <w:i w:val="0"/>
          <w:color w:val="auto"/>
          <w:sz w:val="22"/>
          <w:szCs w:val="22"/>
        </w:rPr>
        <w:t>2020$</w:t>
      </w:r>
      <w:r w:rsidRPr="000F7FD1">
        <w:rPr>
          <w:b/>
          <w:i w:val="0"/>
          <w:color w:val="auto"/>
          <w:sz w:val="22"/>
          <w:szCs w:val="22"/>
        </w:rPr>
        <w:t>)</w:t>
      </w:r>
      <w:bookmarkEnd w:id="168"/>
      <w:bookmarkEnd w:id="169"/>
      <w:bookmarkEnd w:id="170"/>
      <w:bookmarkEnd w:id="171"/>
      <w:bookmarkEnd w:id="172"/>
      <w:bookmarkEnd w:id="173"/>
      <w:bookmarkEnd w:id="174"/>
      <w:bookmarkEnd w:id="175"/>
      <w:bookmarkEnd w:id="176"/>
      <w:bookmarkEnd w:id="177"/>
    </w:p>
    <w:tbl>
      <w:tblPr>
        <w:tblStyle w:val="TableGrid"/>
        <w:tblW w:w="5000" w:type="pct"/>
        <w:jc w:val="center"/>
        <w:tblLayout w:type="fixed"/>
        <w:tblLook w:val="04A0"/>
      </w:tblPr>
      <w:tblGrid>
        <w:gridCol w:w="1312"/>
        <w:gridCol w:w="2194"/>
        <w:gridCol w:w="1891"/>
        <w:gridCol w:w="2070"/>
        <w:gridCol w:w="1883"/>
      </w:tblGrid>
      <w:tr w14:paraId="7F4936C9" w14:textId="77777777" w:rsidTr="00346B95">
        <w:tblPrEx>
          <w:tblW w:w="5000" w:type="pct"/>
          <w:jc w:val="center"/>
          <w:tblLayout w:type="fixed"/>
          <w:tblLook w:val="04A0"/>
        </w:tblPrEx>
        <w:trPr>
          <w:trHeight w:val="206"/>
          <w:jc w:val="center"/>
        </w:trPr>
        <w:tc>
          <w:tcPr>
            <w:tcW w:w="1875" w:type="pct"/>
            <w:gridSpan w:val="2"/>
            <w:vMerge w:val="restart"/>
            <w:noWrap/>
            <w:hideMark/>
          </w:tcPr>
          <w:p w:rsidR="008851A6" w:rsidRPr="0007222A" w14:paraId="7F4936C5" w14:textId="77777777">
            <w:pPr>
              <w:keepNext/>
              <w:jc w:val="center"/>
              <w:rPr>
                <w:b/>
              </w:rPr>
            </w:pPr>
            <w:r w:rsidRPr="0007222A">
              <w:rPr>
                <w:b/>
              </w:rPr>
              <w:t>Year</w:t>
            </w:r>
          </w:p>
        </w:tc>
        <w:tc>
          <w:tcPr>
            <w:tcW w:w="1011" w:type="pct"/>
            <w:noWrap/>
            <w:hideMark/>
          </w:tcPr>
          <w:p w:rsidR="008851A6" w:rsidRPr="0007222A" w14:paraId="7F4936C6" w14:textId="77777777">
            <w:pPr>
              <w:keepNext/>
              <w:jc w:val="center"/>
              <w:rPr>
                <w:b/>
              </w:rPr>
            </w:pPr>
            <w:r w:rsidRPr="00D839EE">
              <w:rPr>
                <w:rFonts w:cs="Arial"/>
                <w:b/>
                <w:bCs/>
              </w:rPr>
              <w:t>Licensee</w:t>
            </w:r>
            <w:r w:rsidRPr="0007222A">
              <w:rPr>
                <w:b/>
              </w:rPr>
              <w:t xml:space="preserve"> Cost</w:t>
            </w:r>
          </w:p>
        </w:tc>
        <w:tc>
          <w:tcPr>
            <w:tcW w:w="1107" w:type="pct"/>
            <w:noWrap/>
            <w:hideMark/>
          </w:tcPr>
          <w:p w:rsidR="008851A6" w:rsidRPr="0007222A" w14:paraId="7F4936C7" w14:textId="77777777">
            <w:pPr>
              <w:keepNext/>
              <w:jc w:val="center"/>
              <w:rPr>
                <w:b/>
              </w:rPr>
            </w:pPr>
            <w:r w:rsidRPr="0007222A">
              <w:rPr>
                <w:b/>
              </w:rPr>
              <w:t>NRC Cost</w:t>
            </w:r>
          </w:p>
        </w:tc>
        <w:tc>
          <w:tcPr>
            <w:tcW w:w="1007" w:type="pct"/>
            <w:noWrap/>
            <w:hideMark/>
          </w:tcPr>
          <w:p w:rsidR="008851A6" w:rsidRPr="0007222A" w14:paraId="7F4936C8" w14:textId="77777777">
            <w:pPr>
              <w:keepNext/>
              <w:jc w:val="center"/>
              <w:rPr>
                <w:b/>
              </w:rPr>
            </w:pPr>
            <w:r w:rsidRPr="0007222A">
              <w:rPr>
                <w:b/>
              </w:rPr>
              <w:t>Total Costs</w:t>
            </w:r>
          </w:p>
        </w:tc>
      </w:tr>
      <w:tr w14:paraId="7F4936CE" w14:textId="77777777" w:rsidTr="00346B95">
        <w:tblPrEx>
          <w:tblW w:w="5000" w:type="pct"/>
          <w:jc w:val="center"/>
          <w:tblLayout w:type="fixed"/>
          <w:tblLook w:val="04A0"/>
        </w:tblPrEx>
        <w:trPr>
          <w:trHeight w:val="62"/>
          <w:jc w:val="center"/>
        </w:trPr>
        <w:tc>
          <w:tcPr>
            <w:tcW w:w="1875" w:type="pct"/>
            <w:gridSpan w:val="2"/>
            <w:vMerge/>
            <w:hideMark/>
          </w:tcPr>
          <w:p w:rsidR="008851A6" w:rsidRPr="0007222A" w:rsidP="0007222A" w14:paraId="7F4936CA" w14:textId="77777777">
            <w:pPr>
              <w:keepNext/>
              <w:jc w:val="center"/>
              <w:rPr>
                <w:b/>
              </w:rPr>
            </w:pPr>
          </w:p>
        </w:tc>
        <w:tc>
          <w:tcPr>
            <w:tcW w:w="1011" w:type="pct"/>
            <w:noWrap/>
            <w:hideMark/>
          </w:tcPr>
          <w:p w:rsidR="008851A6" w:rsidRPr="0007222A" w14:paraId="7F4936CB" w14:textId="77777777">
            <w:pPr>
              <w:keepNext/>
              <w:jc w:val="center"/>
              <w:rPr>
                <w:b/>
              </w:rPr>
            </w:pPr>
            <w:r w:rsidRPr="0007222A">
              <w:rPr>
                <w:b/>
              </w:rPr>
              <w:t>A</w:t>
            </w:r>
          </w:p>
        </w:tc>
        <w:tc>
          <w:tcPr>
            <w:tcW w:w="1107" w:type="pct"/>
            <w:noWrap/>
            <w:hideMark/>
          </w:tcPr>
          <w:p w:rsidR="008851A6" w:rsidRPr="0007222A" w14:paraId="7F4936CC" w14:textId="77777777">
            <w:pPr>
              <w:keepNext/>
              <w:jc w:val="center"/>
              <w:rPr>
                <w:b/>
              </w:rPr>
            </w:pPr>
            <w:r w:rsidRPr="0007222A">
              <w:rPr>
                <w:b/>
              </w:rPr>
              <w:t>B</w:t>
            </w:r>
          </w:p>
        </w:tc>
        <w:tc>
          <w:tcPr>
            <w:tcW w:w="1007" w:type="pct"/>
            <w:noWrap/>
            <w:hideMark/>
          </w:tcPr>
          <w:p w:rsidR="008851A6" w:rsidRPr="0007222A" w14:paraId="7F4936CD" w14:textId="77777777">
            <w:pPr>
              <w:keepNext/>
              <w:jc w:val="center"/>
              <w:rPr>
                <w:b/>
              </w:rPr>
            </w:pPr>
            <w:r w:rsidRPr="0007222A">
              <w:rPr>
                <w:b/>
              </w:rPr>
              <w:t>C = A + B</w:t>
            </w:r>
          </w:p>
        </w:tc>
      </w:tr>
      <w:tr w14:paraId="7F4936D4"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CF" w14:textId="77777777">
            <w:pPr>
              <w:keepNext/>
              <w:jc w:val="center"/>
              <w:rPr>
                <w:b/>
              </w:rPr>
            </w:pPr>
            <w:r w:rsidRPr="0007222A">
              <w:rPr>
                <w:b/>
              </w:rPr>
              <w:t>1</w:t>
            </w:r>
          </w:p>
        </w:tc>
        <w:tc>
          <w:tcPr>
            <w:tcW w:w="1173" w:type="pct"/>
            <w:noWrap/>
            <w:hideMark/>
          </w:tcPr>
          <w:p w:rsidR="0094248F" w:rsidRPr="0007222A" w:rsidP="0094248F" w14:paraId="7F4936D0" w14:textId="77777777">
            <w:pPr>
              <w:keepNext/>
              <w:jc w:val="center"/>
              <w:rPr>
                <w:b/>
              </w:rPr>
            </w:pPr>
            <w:r w:rsidRPr="0007222A">
              <w:rPr>
                <w:b/>
              </w:rPr>
              <w:t>2020</w:t>
            </w:r>
          </w:p>
        </w:tc>
        <w:tc>
          <w:tcPr>
            <w:tcW w:w="1011" w:type="pct"/>
            <w:noWrap/>
            <w:hideMark/>
          </w:tcPr>
          <w:p w:rsidR="0094248F" w:rsidRPr="0007222A" w:rsidP="0094248F" w14:paraId="7F4936D1" w14:textId="77777777">
            <w:pPr>
              <w:keepNext/>
              <w:jc w:val="center"/>
            </w:pPr>
            <w:r>
              <w:t>(</w:t>
            </w:r>
            <w:r w:rsidRPr="006E1A53">
              <w:t>$1</w:t>
            </w:r>
            <w:r w:rsidR="000F063F">
              <w:t>9</w:t>
            </w:r>
            <w:r w:rsidRPr="006E1A53">
              <w:t>0,000</w:t>
            </w:r>
            <w:r>
              <w:t>)</w:t>
            </w:r>
          </w:p>
        </w:tc>
        <w:tc>
          <w:tcPr>
            <w:tcW w:w="1107" w:type="pct"/>
            <w:noWrap/>
            <w:hideMark/>
          </w:tcPr>
          <w:p w:rsidR="0094248F" w:rsidRPr="0007222A" w:rsidP="0094248F" w14:paraId="7F4936D2" w14:textId="77777777">
            <w:pPr>
              <w:keepNext/>
              <w:jc w:val="center"/>
            </w:pPr>
            <w:r>
              <w:t>(</w:t>
            </w:r>
            <w:r w:rsidRPr="006E1A53">
              <w:t>$</w:t>
            </w:r>
            <w:r w:rsidR="00424751">
              <w:t>71</w:t>
            </w:r>
            <w:r w:rsidRPr="006E1A53">
              <w:t>,000</w:t>
            </w:r>
            <w:r>
              <w:t>)</w:t>
            </w:r>
          </w:p>
        </w:tc>
        <w:tc>
          <w:tcPr>
            <w:tcW w:w="1007" w:type="pct"/>
            <w:noWrap/>
            <w:hideMark/>
          </w:tcPr>
          <w:p w:rsidR="0094248F" w:rsidRPr="0007222A" w:rsidP="0094248F" w14:paraId="7F4936D3" w14:textId="77777777">
            <w:pPr>
              <w:keepNext/>
              <w:jc w:val="center"/>
            </w:pPr>
            <w:r>
              <w:t>(</w:t>
            </w:r>
            <w:r w:rsidRPr="006E1A53">
              <w:t>$</w:t>
            </w:r>
            <w:r w:rsidRPr="006E1A53" w:rsidR="00424751">
              <w:t>2</w:t>
            </w:r>
            <w:r w:rsidR="00424751">
              <w:t>6</w:t>
            </w:r>
            <w:r w:rsidRPr="006E1A53" w:rsidR="00424751">
              <w:t>0</w:t>
            </w:r>
            <w:r w:rsidRPr="006E1A53">
              <w:t>,000</w:t>
            </w:r>
            <w:r>
              <w:t>)</w:t>
            </w:r>
          </w:p>
        </w:tc>
      </w:tr>
      <w:tr w14:paraId="7F4936DA"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D5" w14:textId="77777777">
            <w:pPr>
              <w:keepNext/>
              <w:jc w:val="center"/>
              <w:rPr>
                <w:b/>
              </w:rPr>
            </w:pPr>
            <w:r w:rsidRPr="0007222A">
              <w:rPr>
                <w:b/>
              </w:rPr>
              <w:t>2</w:t>
            </w:r>
          </w:p>
        </w:tc>
        <w:tc>
          <w:tcPr>
            <w:tcW w:w="1173" w:type="pct"/>
            <w:noWrap/>
            <w:hideMark/>
          </w:tcPr>
          <w:p w:rsidR="0094248F" w:rsidRPr="0007222A" w:rsidP="0094248F" w14:paraId="7F4936D6" w14:textId="77777777">
            <w:pPr>
              <w:keepNext/>
              <w:jc w:val="center"/>
              <w:rPr>
                <w:b/>
              </w:rPr>
            </w:pPr>
            <w:r w:rsidRPr="0007222A">
              <w:rPr>
                <w:b/>
              </w:rPr>
              <w:t>2021</w:t>
            </w:r>
          </w:p>
        </w:tc>
        <w:tc>
          <w:tcPr>
            <w:tcW w:w="1011" w:type="pct"/>
            <w:noWrap/>
            <w:hideMark/>
          </w:tcPr>
          <w:p w:rsidR="0094248F" w:rsidRPr="0007222A" w:rsidP="0094248F" w14:paraId="7F4936D7" w14:textId="77777777">
            <w:pPr>
              <w:keepNext/>
              <w:jc w:val="center"/>
            </w:pPr>
            <w:r>
              <w:t>(</w:t>
            </w:r>
            <w:r w:rsidRPr="006E1A53">
              <w:t>$</w:t>
            </w:r>
            <w:r w:rsidR="00424751">
              <w:t>83</w:t>
            </w:r>
            <w:r w:rsidRPr="006E1A53">
              <w:t>,000</w:t>
            </w:r>
            <w:r>
              <w:t>)</w:t>
            </w:r>
          </w:p>
        </w:tc>
        <w:tc>
          <w:tcPr>
            <w:tcW w:w="1107" w:type="pct"/>
            <w:noWrap/>
            <w:hideMark/>
          </w:tcPr>
          <w:p w:rsidR="0094248F" w:rsidRPr="0007222A" w:rsidP="0094248F" w14:paraId="7F4936D8" w14:textId="77777777">
            <w:pPr>
              <w:keepNext/>
              <w:jc w:val="center"/>
            </w:pPr>
            <w:r>
              <w:t>(</w:t>
            </w:r>
            <w:r w:rsidRPr="006E1A53">
              <w:t>$</w:t>
            </w:r>
            <w:r w:rsidR="00424751">
              <w:t>36</w:t>
            </w:r>
            <w:r w:rsidRPr="006E1A53">
              <w:t>,000</w:t>
            </w:r>
            <w:r>
              <w:t>)</w:t>
            </w:r>
          </w:p>
        </w:tc>
        <w:tc>
          <w:tcPr>
            <w:tcW w:w="1007" w:type="pct"/>
            <w:noWrap/>
            <w:hideMark/>
          </w:tcPr>
          <w:p w:rsidR="0094248F" w:rsidRPr="0007222A" w:rsidP="0094248F" w14:paraId="7F4936D9" w14:textId="77777777">
            <w:pPr>
              <w:keepNext/>
              <w:jc w:val="center"/>
            </w:pPr>
            <w:r>
              <w:t>(</w:t>
            </w:r>
            <w:r w:rsidRPr="006E1A53">
              <w:t>$</w:t>
            </w:r>
            <w:r w:rsidR="00235C8D">
              <w:t>120</w:t>
            </w:r>
            <w:r w:rsidRPr="006E1A53">
              <w:t>,000</w:t>
            </w:r>
            <w:r>
              <w:t>)</w:t>
            </w:r>
          </w:p>
        </w:tc>
      </w:tr>
      <w:tr w14:paraId="7F4936E0"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DB" w14:textId="77777777">
            <w:pPr>
              <w:keepNext/>
              <w:jc w:val="center"/>
              <w:rPr>
                <w:b/>
              </w:rPr>
            </w:pPr>
            <w:r w:rsidRPr="0007222A">
              <w:rPr>
                <w:b/>
              </w:rPr>
              <w:t>3</w:t>
            </w:r>
          </w:p>
        </w:tc>
        <w:tc>
          <w:tcPr>
            <w:tcW w:w="1173" w:type="pct"/>
            <w:noWrap/>
            <w:hideMark/>
          </w:tcPr>
          <w:p w:rsidR="0094248F" w:rsidRPr="0007222A" w:rsidP="0094248F" w14:paraId="7F4936DC" w14:textId="77777777">
            <w:pPr>
              <w:keepNext/>
              <w:jc w:val="center"/>
              <w:rPr>
                <w:b/>
              </w:rPr>
            </w:pPr>
            <w:r w:rsidRPr="0007222A">
              <w:rPr>
                <w:b/>
              </w:rPr>
              <w:t>2022</w:t>
            </w:r>
          </w:p>
        </w:tc>
        <w:tc>
          <w:tcPr>
            <w:tcW w:w="1011" w:type="pct"/>
            <w:noWrap/>
            <w:hideMark/>
          </w:tcPr>
          <w:p w:rsidR="0094248F" w:rsidRPr="0007222A" w:rsidP="0094248F" w14:paraId="7F4936DD" w14:textId="77777777">
            <w:pPr>
              <w:keepNext/>
              <w:jc w:val="center"/>
            </w:pPr>
            <w:r>
              <w:t>(</w:t>
            </w:r>
            <w:r w:rsidRPr="006E1A53">
              <w:t>$</w:t>
            </w:r>
            <w:r w:rsidR="00235C8D">
              <w:t>220</w:t>
            </w:r>
            <w:r w:rsidRPr="006E1A53">
              <w:t>,000</w:t>
            </w:r>
            <w:r>
              <w:t>)</w:t>
            </w:r>
          </w:p>
        </w:tc>
        <w:tc>
          <w:tcPr>
            <w:tcW w:w="1107" w:type="pct"/>
            <w:noWrap/>
            <w:hideMark/>
          </w:tcPr>
          <w:p w:rsidR="0094248F" w:rsidRPr="0007222A" w:rsidP="0094248F" w14:paraId="7F4936DE" w14:textId="77777777">
            <w:pPr>
              <w:keepNext/>
              <w:jc w:val="center"/>
            </w:pPr>
            <w:r>
              <w:t>(</w:t>
            </w:r>
            <w:r w:rsidRPr="006E1A53">
              <w:t>$</w:t>
            </w:r>
            <w:r w:rsidR="00235C8D">
              <w:t>86</w:t>
            </w:r>
            <w:r w:rsidRPr="006E1A53">
              <w:t>,000</w:t>
            </w:r>
            <w:r>
              <w:t>)</w:t>
            </w:r>
          </w:p>
        </w:tc>
        <w:tc>
          <w:tcPr>
            <w:tcW w:w="1007" w:type="pct"/>
            <w:noWrap/>
            <w:hideMark/>
          </w:tcPr>
          <w:p w:rsidR="0094248F" w:rsidRPr="0007222A" w:rsidP="0094248F" w14:paraId="7F4936DF" w14:textId="77777777">
            <w:pPr>
              <w:keepNext/>
              <w:jc w:val="center"/>
            </w:pPr>
            <w:r>
              <w:t>(</w:t>
            </w:r>
            <w:r w:rsidRPr="006E1A53">
              <w:t>$</w:t>
            </w:r>
            <w:r w:rsidR="00BC50E4">
              <w:t>30</w:t>
            </w:r>
            <w:r w:rsidRPr="006E1A53">
              <w:t>0,000</w:t>
            </w:r>
            <w:r>
              <w:t>)</w:t>
            </w:r>
          </w:p>
        </w:tc>
      </w:tr>
      <w:tr w14:paraId="7F4936E6"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E1" w14:textId="77777777">
            <w:pPr>
              <w:keepNext/>
              <w:jc w:val="center"/>
              <w:rPr>
                <w:b/>
              </w:rPr>
            </w:pPr>
            <w:r w:rsidRPr="0007222A">
              <w:rPr>
                <w:b/>
              </w:rPr>
              <w:t>4</w:t>
            </w:r>
          </w:p>
        </w:tc>
        <w:tc>
          <w:tcPr>
            <w:tcW w:w="1173" w:type="pct"/>
            <w:noWrap/>
            <w:hideMark/>
          </w:tcPr>
          <w:p w:rsidR="0094248F" w:rsidRPr="0007222A" w:rsidP="0094248F" w14:paraId="7F4936E2" w14:textId="77777777">
            <w:pPr>
              <w:keepNext/>
              <w:jc w:val="center"/>
              <w:rPr>
                <w:b/>
              </w:rPr>
            </w:pPr>
            <w:r w:rsidRPr="0007222A">
              <w:rPr>
                <w:b/>
              </w:rPr>
              <w:t>2023</w:t>
            </w:r>
          </w:p>
        </w:tc>
        <w:tc>
          <w:tcPr>
            <w:tcW w:w="1011" w:type="pct"/>
            <w:noWrap/>
            <w:hideMark/>
          </w:tcPr>
          <w:p w:rsidR="0094248F" w:rsidRPr="0007222A" w:rsidP="0094248F" w14:paraId="7F4936E3" w14:textId="77777777">
            <w:pPr>
              <w:keepNext/>
              <w:jc w:val="center"/>
            </w:pPr>
            <w:r>
              <w:t>(</w:t>
            </w:r>
            <w:r w:rsidRPr="006E1A53">
              <w:t>$</w:t>
            </w:r>
            <w:r w:rsidR="00BC50E4">
              <w:t>2</w:t>
            </w:r>
            <w:r w:rsidRPr="006E1A53">
              <w:t>00,000</w:t>
            </w:r>
            <w:r>
              <w:t>)</w:t>
            </w:r>
          </w:p>
        </w:tc>
        <w:tc>
          <w:tcPr>
            <w:tcW w:w="1107" w:type="pct"/>
            <w:noWrap/>
            <w:hideMark/>
          </w:tcPr>
          <w:p w:rsidR="0094248F" w:rsidRPr="0007222A" w:rsidP="0094248F" w14:paraId="7F4936E4" w14:textId="77777777">
            <w:pPr>
              <w:keepNext/>
              <w:jc w:val="center"/>
            </w:pPr>
            <w:r>
              <w:t>(</w:t>
            </w:r>
            <w:r w:rsidRPr="006E1A53">
              <w:t>$</w:t>
            </w:r>
            <w:r w:rsidR="009C24F8">
              <w:t>79</w:t>
            </w:r>
            <w:r w:rsidRPr="006E1A53">
              <w:t>,000</w:t>
            </w:r>
            <w:r>
              <w:t>)</w:t>
            </w:r>
          </w:p>
        </w:tc>
        <w:tc>
          <w:tcPr>
            <w:tcW w:w="1007" w:type="pct"/>
            <w:noWrap/>
            <w:hideMark/>
          </w:tcPr>
          <w:p w:rsidR="0094248F" w:rsidRPr="0007222A" w:rsidP="0094248F" w14:paraId="7F4936E5" w14:textId="77777777">
            <w:pPr>
              <w:keepNext/>
              <w:jc w:val="center"/>
            </w:pPr>
            <w:r>
              <w:t>(</w:t>
            </w:r>
            <w:r w:rsidRPr="006E1A53">
              <w:t>$</w:t>
            </w:r>
            <w:r w:rsidR="009C24F8">
              <w:t>28</w:t>
            </w:r>
            <w:r w:rsidRPr="006E1A53">
              <w:t>0,000</w:t>
            </w:r>
            <w:r>
              <w:t>)</w:t>
            </w:r>
          </w:p>
        </w:tc>
      </w:tr>
      <w:tr w14:paraId="7F4936EC"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E7" w14:textId="77777777">
            <w:pPr>
              <w:keepNext/>
              <w:jc w:val="center"/>
              <w:rPr>
                <w:b/>
              </w:rPr>
            </w:pPr>
            <w:r w:rsidRPr="0007222A">
              <w:rPr>
                <w:b/>
              </w:rPr>
              <w:t>5</w:t>
            </w:r>
          </w:p>
        </w:tc>
        <w:tc>
          <w:tcPr>
            <w:tcW w:w="1173" w:type="pct"/>
            <w:noWrap/>
            <w:hideMark/>
          </w:tcPr>
          <w:p w:rsidR="0094248F" w:rsidRPr="0007222A" w:rsidP="0094248F" w14:paraId="7F4936E8" w14:textId="77777777">
            <w:pPr>
              <w:keepNext/>
              <w:jc w:val="center"/>
              <w:rPr>
                <w:b/>
              </w:rPr>
            </w:pPr>
            <w:r w:rsidRPr="0007222A">
              <w:rPr>
                <w:b/>
              </w:rPr>
              <w:t>2024</w:t>
            </w:r>
          </w:p>
        </w:tc>
        <w:tc>
          <w:tcPr>
            <w:tcW w:w="1011" w:type="pct"/>
            <w:noWrap/>
            <w:hideMark/>
          </w:tcPr>
          <w:p w:rsidR="0094248F" w:rsidRPr="0007222A" w:rsidP="0094248F" w14:paraId="7F4936E9" w14:textId="77777777">
            <w:pPr>
              <w:keepNext/>
              <w:jc w:val="center"/>
            </w:pPr>
            <w:r>
              <w:t>(</w:t>
            </w:r>
            <w:r w:rsidRPr="006E1A53">
              <w:t>$</w:t>
            </w:r>
            <w:r w:rsidR="009C24F8">
              <w:t>97</w:t>
            </w:r>
            <w:r w:rsidRPr="006E1A53">
              <w:t>,000</w:t>
            </w:r>
            <w:r>
              <w:t>)</w:t>
            </w:r>
          </w:p>
        </w:tc>
        <w:tc>
          <w:tcPr>
            <w:tcW w:w="1107" w:type="pct"/>
            <w:noWrap/>
            <w:hideMark/>
          </w:tcPr>
          <w:p w:rsidR="0094248F" w:rsidRPr="0007222A" w:rsidP="0094248F" w14:paraId="7F4936EA" w14:textId="77777777">
            <w:pPr>
              <w:keepNext/>
              <w:jc w:val="center"/>
            </w:pPr>
            <w:r>
              <w:t>(</w:t>
            </w:r>
            <w:r w:rsidRPr="006E1A53">
              <w:t>$</w:t>
            </w:r>
            <w:r w:rsidR="009C24F8">
              <w:t>43</w:t>
            </w:r>
            <w:r w:rsidRPr="006E1A53">
              <w:t>,000</w:t>
            </w:r>
            <w:r>
              <w:t>)</w:t>
            </w:r>
          </w:p>
        </w:tc>
        <w:tc>
          <w:tcPr>
            <w:tcW w:w="1007" w:type="pct"/>
            <w:noWrap/>
            <w:hideMark/>
          </w:tcPr>
          <w:p w:rsidR="0094248F" w:rsidRPr="0007222A" w:rsidP="0094248F" w14:paraId="7F4936EB" w14:textId="77777777">
            <w:pPr>
              <w:keepNext/>
              <w:jc w:val="center"/>
            </w:pPr>
            <w:r>
              <w:t>(</w:t>
            </w:r>
            <w:r w:rsidRPr="006E1A53">
              <w:t>$</w:t>
            </w:r>
            <w:r w:rsidR="00F950ED">
              <w:t>140</w:t>
            </w:r>
            <w:r w:rsidRPr="006E1A53">
              <w:t>,000</w:t>
            </w:r>
            <w:r>
              <w:t>)</w:t>
            </w:r>
          </w:p>
        </w:tc>
      </w:tr>
      <w:tr w14:paraId="7F4936F2"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ED" w14:textId="77777777">
            <w:pPr>
              <w:keepNext/>
              <w:jc w:val="center"/>
              <w:rPr>
                <w:b/>
              </w:rPr>
            </w:pPr>
            <w:r w:rsidRPr="0007222A">
              <w:rPr>
                <w:b/>
              </w:rPr>
              <w:t>6</w:t>
            </w:r>
          </w:p>
        </w:tc>
        <w:tc>
          <w:tcPr>
            <w:tcW w:w="1173" w:type="pct"/>
            <w:noWrap/>
            <w:hideMark/>
          </w:tcPr>
          <w:p w:rsidR="0094248F" w:rsidRPr="0007222A" w:rsidP="0094248F" w14:paraId="7F4936EE" w14:textId="77777777">
            <w:pPr>
              <w:keepNext/>
              <w:jc w:val="center"/>
              <w:rPr>
                <w:b/>
              </w:rPr>
            </w:pPr>
            <w:r w:rsidRPr="0007222A">
              <w:rPr>
                <w:b/>
              </w:rPr>
              <w:t>2025</w:t>
            </w:r>
          </w:p>
        </w:tc>
        <w:tc>
          <w:tcPr>
            <w:tcW w:w="1011" w:type="pct"/>
            <w:noWrap/>
            <w:hideMark/>
          </w:tcPr>
          <w:p w:rsidR="0094248F" w:rsidRPr="0007222A" w:rsidP="0094248F" w14:paraId="7F4936EF" w14:textId="77777777">
            <w:pPr>
              <w:keepNext/>
              <w:jc w:val="center"/>
            </w:pPr>
            <w:r>
              <w:t>(</w:t>
            </w:r>
            <w:r w:rsidRPr="006E1A53">
              <w:t>$</w:t>
            </w:r>
            <w:r w:rsidR="00F950ED">
              <w:t>58</w:t>
            </w:r>
            <w:r w:rsidRPr="006E1A53">
              <w:t>,000</w:t>
            </w:r>
            <w:r>
              <w:t>)</w:t>
            </w:r>
          </w:p>
        </w:tc>
        <w:tc>
          <w:tcPr>
            <w:tcW w:w="1107" w:type="pct"/>
            <w:noWrap/>
            <w:hideMark/>
          </w:tcPr>
          <w:p w:rsidR="0094248F" w:rsidRPr="0007222A" w:rsidP="0094248F" w14:paraId="7F4936F0" w14:textId="77777777">
            <w:pPr>
              <w:keepNext/>
              <w:jc w:val="center"/>
            </w:pPr>
            <w:r>
              <w:t>(</w:t>
            </w:r>
            <w:r w:rsidRPr="006E1A53">
              <w:t>$2</w:t>
            </w:r>
            <w:r w:rsidR="00A902F7">
              <w:t>0,</w:t>
            </w:r>
            <w:r w:rsidRPr="006E1A53">
              <w:t>000</w:t>
            </w:r>
            <w:r>
              <w:t>)</w:t>
            </w:r>
          </w:p>
        </w:tc>
        <w:tc>
          <w:tcPr>
            <w:tcW w:w="1007" w:type="pct"/>
            <w:noWrap/>
            <w:hideMark/>
          </w:tcPr>
          <w:p w:rsidR="0094248F" w:rsidRPr="0007222A" w:rsidP="0094248F" w14:paraId="7F4936F1" w14:textId="77777777">
            <w:pPr>
              <w:keepNext/>
              <w:jc w:val="center"/>
            </w:pPr>
            <w:r>
              <w:t>(</w:t>
            </w:r>
            <w:r w:rsidRPr="006E1A53">
              <w:t>$</w:t>
            </w:r>
            <w:r w:rsidR="00A902F7">
              <w:t>78</w:t>
            </w:r>
            <w:r w:rsidRPr="006E1A53">
              <w:t>,000</w:t>
            </w:r>
            <w:r>
              <w:t>)</w:t>
            </w:r>
          </w:p>
        </w:tc>
      </w:tr>
      <w:tr w14:paraId="7F4936F8"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F3" w14:textId="77777777">
            <w:pPr>
              <w:keepNext/>
              <w:jc w:val="center"/>
              <w:rPr>
                <w:b/>
              </w:rPr>
            </w:pPr>
            <w:r w:rsidRPr="0007222A">
              <w:rPr>
                <w:b/>
              </w:rPr>
              <w:t>7</w:t>
            </w:r>
          </w:p>
        </w:tc>
        <w:tc>
          <w:tcPr>
            <w:tcW w:w="1173" w:type="pct"/>
            <w:noWrap/>
            <w:hideMark/>
          </w:tcPr>
          <w:p w:rsidR="0094248F" w:rsidRPr="0007222A" w:rsidP="0094248F" w14:paraId="7F4936F4" w14:textId="77777777">
            <w:pPr>
              <w:keepNext/>
              <w:jc w:val="center"/>
              <w:rPr>
                <w:b/>
              </w:rPr>
            </w:pPr>
            <w:r w:rsidRPr="0007222A">
              <w:rPr>
                <w:b/>
              </w:rPr>
              <w:t>2026</w:t>
            </w:r>
          </w:p>
        </w:tc>
        <w:tc>
          <w:tcPr>
            <w:tcW w:w="1011" w:type="pct"/>
            <w:noWrap/>
            <w:hideMark/>
          </w:tcPr>
          <w:p w:rsidR="0094248F" w:rsidRPr="0007222A" w:rsidP="0094248F" w14:paraId="7F4936F5" w14:textId="77777777">
            <w:pPr>
              <w:keepNext/>
              <w:jc w:val="center"/>
            </w:pPr>
            <w:r>
              <w:t>(</w:t>
            </w:r>
            <w:r w:rsidRPr="006E1A53">
              <w:t>$</w:t>
            </w:r>
            <w:r w:rsidR="00A902F7">
              <w:t>120</w:t>
            </w:r>
            <w:r w:rsidRPr="006E1A53">
              <w:t>,000</w:t>
            </w:r>
            <w:r>
              <w:t>)</w:t>
            </w:r>
          </w:p>
        </w:tc>
        <w:tc>
          <w:tcPr>
            <w:tcW w:w="1107" w:type="pct"/>
            <w:noWrap/>
            <w:hideMark/>
          </w:tcPr>
          <w:p w:rsidR="0094248F" w:rsidRPr="0007222A" w:rsidP="0094248F" w14:paraId="7F4936F6" w14:textId="77777777">
            <w:pPr>
              <w:keepNext/>
              <w:jc w:val="center"/>
            </w:pPr>
            <w:r>
              <w:t>(</w:t>
            </w:r>
            <w:r w:rsidRPr="006E1A53">
              <w:t>$</w:t>
            </w:r>
            <w:r w:rsidR="00394E00">
              <w:t>47</w:t>
            </w:r>
            <w:r w:rsidRPr="006E1A53">
              <w:t>,000</w:t>
            </w:r>
            <w:r>
              <w:t>)</w:t>
            </w:r>
          </w:p>
        </w:tc>
        <w:tc>
          <w:tcPr>
            <w:tcW w:w="1007" w:type="pct"/>
            <w:noWrap/>
            <w:hideMark/>
          </w:tcPr>
          <w:p w:rsidR="0094248F" w:rsidRPr="0007222A" w:rsidP="0094248F" w14:paraId="7F4936F7" w14:textId="77777777">
            <w:pPr>
              <w:keepNext/>
              <w:jc w:val="center"/>
            </w:pPr>
            <w:r>
              <w:t>(</w:t>
            </w:r>
            <w:r w:rsidRPr="006E1A53">
              <w:t>$1</w:t>
            </w:r>
            <w:r w:rsidR="005C53F5">
              <w:t>7</w:t>
            </w:r>
            <w:r w:rsidRPr="006E1A53">
              <w:t>0,000</w:t>
            </w:r>
            <w:r>
              <w:t>)</w:t>
            </w:r>
          </w:p>
        </w:tc>
      </w:tr>
      <w:tr w14:paraId="7F4936FE"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F9" w14:textId="77777777">
            <w:pPr>
              <w:keepNext/>
              <w:jc w:val="center"/>
              <w:rPr>
                <w:b/>
              </w:rPr>
            </w:pPr>
            <w:r w:rsidRPr="0007222A">
              <w:rPr>
                <w:b/>
              </w:rPr>
              <w:t>8</w:t>
            </w:r>
          </w:p>
        </w:tc>
        <w:tc>
          <w:tcPr>
            <w:tcW w:w="1173" w:type="pct"/>
            <w:noWrap/>
            <w:hideMark/>
          </w:tcPr>
          <w:p w:rsidR="0094248F" w:rsidRPr="0007222A" w:rsidP="0094248F" w14:paraId="7F4936FA" w14:textId="77777777">
            <w:pPr>
              <w:keepNext/>
              <w:jc w:val="center"/>
              <w:rPr>
                <w:b/>
              </w:rPr>
            </w:pPr>
            <w:r w:rsidRPr="0007222A">
              <w:rPr>
                <w:b/>
              </w:rPr>
              <w:t>2027</w:t>
            </w:r>
          </w:p>
        </w:tc>
        <w:tc>
          <w:tcPr>
            <w:tcW w:w="1011" w:type="pct"/>
            <w:noWrap/>
            <w:hideMark/>
          </w:tcPr>
          <w:p w:rsidR="0094248F" w:rsidRPr="0007222A" w:rsidP="0094248F" w14:paraId="7F4936FB" w14:textId="77777777">
            <w:pPr>
              <w:keepNext/>
              <w:jc w:val="center"/>
            </w:pPr>
            <w:r>
              <w:t>(</w:t>
            </w:r>
            <w:r w:rsidRPr="006E1A53">
              <w:t>$</w:t>
            </w:r>
            <w:r w:rsidR="00394E00">
              <w:t>55</w:t>
            </w:r>
            <w:r w:rsidRPr="006E1A53">
              <w:t>,000</w:t>
            </w:r>
            <w:r>
              <w:t>)</w:t>
            </w:r>
          </w:p>
        </w:tc>
        <w:tc>
          <w:tcPr>
            <w:tcW w:w="1107" w:type="pct"/>
            <w:noWrap/>
            <w:hideMark/>
          </w:tcPr>
          <w:p w:rsidR="0094248F" w:rsidRPr="0007222A" w:rsidP="0094248F" w14:paraId="7F4936FC" w14:textId="77777777">
            <w:pPr>
              <w:keepNext/>
              <w:jc w:val="center"/>
            </w:pPr>
            <w:r>
              <w:t>(</w:t>
            </w:r>
            <w:r w:rsidRPr="006E1A53">
              <w:t>$</w:t>
            </w:r>
            <w:r w:rsidR="00394E00">
              <w:t>43</w:t>
            </w:r>
            <w:r w:rsidRPr="006E1A53">
              <w:t>,000</w:t>
            </w:r>
            <w:r>
              <w:t>)</w:t>
            </w:r>
          </w:p>
        </w:tc>
        <w:tc>
          <w:tcPr>
            <w:tcW w:w="1007" w:type="pct"/>
            <w:noWrap/>
            <w:hideMark/>
          </w:tcPr>
          <w:p w:rsidR="0094248F" w:rsidRPr="0007222A" w:rsidP="0094248F" w14:paraId="7F4936FD" w14:textId="77777777">
            <w:pPr>
              <w:keepNext/>
              <w:jc w:val="center"/>
            </w:pPr>
            <w:r>
              <w:t>(</w:t>
            </w:r>
            <w:r w:rsidRPr="006E1A53">
              <w:t>$</w:t>
            </w:r>
            <w:r w:rsidR="00485062">
              <w:t>98,</w:t>
            </w:r>
            <w:r w:rsidRPr="006E1A53">
              <w:t>000</w:t>
            </w:r>
            <w:r>
              <w:t>)</w:t>
            </w:r>
          </w:p>
        </w:tc>
      </w:tr>
      <w:tr w14:paraId="7F493704"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6FF" w14:textId="77777777">
            <w:pPr>
              <w:keepNext/>
              <w:jc w:val="center"/>
              <w:rPr>
                <w:b/>
              </w:rPr>
            </w:pPr>
            <w:r w:rsidRPr="0007222A">
              <w:rPr>
                <w:b/>
              </w:rPr>
              <w:t>9</w:t>
            </w:r>
          </w:p>
        </w:tc>
        <w:tc>
          <w:tcPr>
            <w:tcW w:w="1173" w:type="pct"/>
            <w:noWrap/>
            <w:hideMark/>
          </w:tcPr>
          <w:p w:rsidR="0094248F" w:rsidRPr="0007222A" w:rsidP="0094248F" w14:paraId="7F493700" w14:textId="77777777">
            <w:pPr>
              <w:keepNext/>
              <w:jc w:val="center"/>
              <w:rPr>
                <w:b/>
              </w:rPr>
            </w:pPr>
            <w:r w:rsidRPr="0007222A">
              <w:rPr>
                <w:b/>
              </w:rPr>
              <w:t>2028</w:t>
            </w:r>
          </w:p>
        </w:tc>
        <w:tc>
          <w:tcPr>
            <w:tcW w:w="1011" w:type="pct"/>
            <w:noWrap/>
            <w:hideMark/>
          </w:tcPr>
          <w:p w:rsidR="0094248F" w:rsidRPr="0007222A" w:rsidP="0094248F" w14:paraId="7F493701" w14:textId="77777777">
            <w:pPr>
              <w:keepNext/>
              <w:jc w:val="center"/>
            </w:pPr>
            <w:r>
              <w:t>(</w:t>
            </w:r>
            <w:r w:rsidRPr="006E1A53">
              <w:t>$</w:t>
            </w:r>
            <w:r w:rsidR="00485062">
              <w:t>72</w:t>
            </w:r>
            <w:r w:rsidRPr="006E1A53">
              <w:t>,000</w:t>
            </w:r>
            <w:r>
              <w:t>)</w:t>
            </w:r>
          </w:p>
        </w:tc>
        <w:tc>
          <w:tcPr>
            <w:tcW w:w="1107" w:type="pct"/>
            <w:noWrap/>
            <w:hideMark/>
          </w:tcPr>
          <w:p w:rsidR="0094248F" w:rsidRPr="0007222A" w:rsidP="0094248F" w14:paraId="7F493702" w14:textId="77777777">
            <w:pPr>
              <w:keepNext/>
              <w:jc w:val="center"/>
            </w:pPr>
            <w:r>
              <w:t>(</w:t>
            </w:r>
            <w:r w:rsidRPr="006E1A53">
              <w:t>$</w:t>
            </w:r>
            <w:r w:rsidR="00EF5374">
              <w:t>49</w:t>
            </w:r>
            <w:r w:rsidRPr="006E1A53">
              <w:t>,000</w:t>
            </w:r>
            <w:r>
              <w:t>)</w:t>
            </w:r>
          </w:p>
        </w:tc>
        <w:tc>
          <w:tcPr>
            <w:tcW w:w="1007" w:type="pct"/>
            <w:noWrap/>
            <w:hideMark/>
          </w:tcPr>
          <w:p w:rsidR="0094248F" w:rsidRPr="0007222A" w:rsidP="0094248F" w14:paraId="7F493703" w14:textId="77777777">
            <w:pPr>
              <w:keepNext/>
              <w:jc w:val="center"/>
            </w:pPr>
            <w:r>
              <w:t>(</w:t>
            </w:r>
            <w:r w:rsidRPr="006E1A53">
              <w:t>$1</w:t>
            </w:r>
            <w:r w:rsidR="00EF5374">
              <w:t>2</w:t>
            </w:r>
            <w:r w:rsidRPr="006E1A53">
              <w:t>0,000</w:t>
            </w:r>
            <w:r>
              <w:t>)</w:t>
            </w:r>
          </w:p>
        </w:tc>
      </w:tr>
      <w:tr w14:paraId="7F49370A"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05" w14:textId="77777777">
            <w:pPr>
              <w:keepNext/>
              <w:jc w:val="center"/>
              <w:rPr>
                <w:b/>
              </w:rPr>
            </w:pPr>
            <w:r w:rsidRPr="0007222A">
              <w:rPr>
                <w:b/>
              </w:rPr>
              <w:t>10</w:t>
            </w:r>
          </w:p>
        </w:tc>
        <w:tc>
          <w:tcPr>
            <w:tcW w:w="1173" w:type="pct"/>
            <w:noWrap/>
            <w:hideMark/>
          </w:tcPr>
          <w:p w:rsidR="0094248F" w:rsidRPr="0007222A" w:rsidP="0094248F" w14:paraId="7F493706" w14:textId="77777777">
            <w:pPr>
              <w:keepNext/>
              <w:jc w:val="center"/>
              <w:rPr>
                <w:b/>
              </w:rPr>
            </w:pPr>
            <w:r w:rsidRPr="0007222A">
              <w:rPr>
                <w:b/>
              </w:rPr>
              <w:t>2029</w:t>
            </w:r>
          </w:p>
        </w:tc>
        <w:tc>
          <w:tcPr>
            <w:tcW w:w="1011" w:type="pct"/>
            <w:noWrap/>
            <w:hideMark/>
          </w:tcPr>
          <w:p w:rsidR="0094248F" w:rsidRPr="0007222A" w:rsidP="0094248F" w14:paraId="7F493707" w14:textId="77777777">
            <w:pPr>
              <w:keepNext/>
              <w:jc w:val="center"/>
            </w:pPr>
            <w:r>
              <w:t>(</w:t>
            </w:r>
            <w:r w:rsidRPr="006E1A53">
              <w:t>$</w:t>
            </w:r>
            <w:r w:rsidR="00EF5374">
              <w:t>24</w:t>
            </w:r>
            <w:r w:rsidRPr="006E1A53">
              <w:t>,000</w:t>
            </w:r>
            <w:r>
              <w:t>)</w:t>
            </w:r>
          </w:p>
        </w:tc>
        <w:tc>
          <w:tcPr>
            <w:tcW w:w="1107" w:type="pct"/>
            <w:noWrap/>
            <w:hideMark/>
          </w:tcPr>
          <w:p w:rsidR="0094248F" w:rsidRPr="0007222A" w:rsidP="0094248F" w14:paraId="7F493708" w14:textId="77777777">
            <w:pPr>
              <w:keepNext/>
              <w:jc w:val="center"/>
            </w:pPr>
            <w:r>
              <w:t>(</w:t>
            </w:r>
            <w:r w:rsidRPr="006E1A53">
              <w:t>$2</w:t>
            </w:r>
            <w:r w:rsidR="00A7039A">
              <w:t>1</w:t>
            </w:r>
            <w:r w:rsidRPr="006E1A53">
              <w:t>,000</w:t>
            </w:r>
            <w:r>
              <w:t>)</w:t>
            </w:r>
          </w:p>
        </w:tc>
        <w:tc>
          <w:tcPr>
            <w:tcW w:w="1007" w:type="pct"/>
            <w:noWrap/>
            <w:hideMark/>
          </w:tcPr>
          <w:p w:rsidR="0094248F" w:rsidRPr="0007222A" w:rsidP="0094248F" w14:paraId="7F493709" w14:textId="77777777">
            <w:pPr>
              <w:keepNext/>
              <w:jc w:val="center"/>
            </w:pPr>
            <w:r>
              <w:t>(</w:t>
            </w:r>
            <w:r w:rsidRPr="006E1A53">
              <w:t>$</w:t>
            </w:r>
            <w:r w:rsidR="00A7039A">
              <w:t>46</w:t>
            </w:r>
            <w:r w:rsidRPr="006E1A53">
              <w:t>,000</w:t>
            </w:r>
            <w:r>
              <w:t>)</w:t>
            </w:r>
          </w:p>
        </w:tc>
      </w:tr>
      <w:tr w14:paraId="7F493710"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0B" w14:textId="77777777">
            <w:pPr>
              <w:keepNext/>
              <w:jc w:val="center"/>
              <w:rPr>
                <w:b/>
              </w:rPr>
            </w:pPr>
            <w:r w:rsidRPr="0007222A">
              <w:rPr>
                <w:b/>
              </w:rPr>
              <w:t>11</w:t>
            </w:r>
          </w:p>
        </w:tc>
        <w:tc>
          <w:tcPr>
            <w:tcW w:w="1173" w:type="pct"/>
            <w:noWrap/>
            <w:hideMark/>
          </w:tcPr>
          <w:p w:rsidR="0094248F" w:rsidRPr="0007222A" w:rsidP="0094248F" w14:paraId="7F49370C" w14:textId="77777777">
            <w:pPr>
              <w:keepNext/>
              <w:jc w:val="center"/>
              <w:rPr>
                <w:b/>
              </w:rPr>
            </w:pPr>
            <w:r w:rsidRPr="0007222A">
              <w:rPr>
                <w:b/>
              </w:rPr>
              <w:t>2030</w:t>
            </w:r>
          </w:p>
        </w:tc>
        <w:tc>
          <w:tcPr>
            <w:tcW w:w="1011" w:type="pct"/>
            <w:noWrap/>
            <w:hideMark/>
          </w:tcPr>
          <w:p w:rsidR="0094248F" w:rsidRPr="0007222A" w:rsidP="0094248F" w14:paraId="7F49370D" w14:textId="77777777">
            <w:pPr>
              <w:keepNext/>
              <w:jc w:val="center"/>
            </w:pPr>
            <w:r>
              <w:t>(</w:t>
            </w:r>
            <w:r w:rsidRPr="006E1A53">
              <w:t>$1</w:t>
            </w:r>
            <w:r w:rsidR="00DA0D12">
              <w:t>4</w:t>
            </w:r>
            <w:r w:rsidRPr="006E1A53">
              <w:t>,000</w:t>
            </w:r>
            <w:r>
              <w:t>)</w:t>
            </w:r>
          </w:p>
        </w:tc>
        <w:tc>
          <w:tcPr>
            <w:tcW w:w="1107" w:type="pct"/>
            <w:noWrap/>
            <w:hideMark/>
          </w:tcPr>
          <w:p w:rsidR="0094248F" w:rsidRPr="0007222A" w:rsidP="0094248F" w14:paraId="7F49370E" w14:textId="77777777">
            <w:pPr>
              <w:keepNext/>
              <w:jc w:val="center"/>
            </w:pPr>
            <w:r>
              <w:t>(</w:t>
            </w:r>
            <w:r w:rsidRPr="006E1A53">
              <w:t>$1</w:t>
            </w:r>
            <w:r w:rsidR="00DA0D12">
              <w:t>0</w:t>
            </w:r>
            <w:r w:rsidRPr="006E1A53">
              <w:t>,000</w:t>
            </w:r>
            <w:r>
              <w:t>)</w:t>
            </w:r>
          </w:p>
        </w:tc>
        <w:tc>
          <w:tcPr>
            <w:tcW w:w="1007" w:type="pct"/>
            <w:noWrap/>
            <w:hideMark/>
          </w:tcPr>
          <w:p w:rsidR="0094248F" w:rsidRPr="0007222A" w:rsidP="0094248F" w14:paraId="7F49370F" w14:textId="77777777">
            <w:pPr>
              <w:keepNext/>
              <w:jc w:val="center"/>
            </w:pPr>
            <w:r>
              <w:t>(</w:t>
            </w:r>
            <w:r w:rsidRPr="006E1A53">
              <w:t>$</w:t>
            </w:r>
            <w:r w:rsidR="00DA0D12">
              <w:t>25</w:t>
            </w:r>
            <w:r w:rsidRPr="006E1A53">
              <w:t>,000</w:t>
            </w:r>
            <w:r>
              <w:t>)</w:t>
            </w:r>
          </w:p>
        </w:tc>
      </w:tr>
      <w:tr w14:paraId="7F493716"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11" w14:textId="77777777">
            <w:pPr>
              <w:keepNext/>
              <w:jc w:val="center"/>
              <w:rPr>
                <w:b/>
              </w:rPr>
            </w:pPr>
            <w:r w:rsidRPr="0007222A">
              <w:rPr>
                <w:b/>
              </w:rPr>
              <w:t>12</w:t>
            </w:r>
          </w:p>
        </w:tc>
        <w:tc>
          <w:tcPr>
            <w:tcW w:w="1173" w:type="pct"/>
            <w:noWrap/>
            <w:hideMark/>
          </w:tcPr>
          <w:p w:rsidR="0094248F" w:rsidRPr="0007222A" w:rsidP="0094248F" w14:paraId="7F493712" w14:textId="77777777">
            <w:pPr>
              <w:keepNext/>
              <w:jc w:val="center"/>
              <w:rPr>
                <w:b/>
              </w:rPr>
            </w:pPr>
            <w:r w:rsidRPr="0007222A">
              <w:rPr>
                <w:b/>
              </w:rPr>
              <w:t>2031</w:t>
            </w:r>
          </w:p>
        </w:tc>
        <w:tc>
          <w:tcPr>
            <w:tcW w:w="1011" w:type="pct"/>
            <w:noWrap/>
            <w:hideMark/>
          </w:tcPr>
          <w:p w:rsidR="0094248F" w:rsidRPr="0007222A" w:rsidP="0094248F" w14:paraId="7F493713" w14:textId="77777777">
            <w:pPr>
              <w:keepNext/>
              <w:jc w:val="center"/>
            </w:pPr>
            <w:r>
              <w:t>(</w:t>
            </w:r>
            <w:r w:rsidRPr="006E1A53">
              <w:t>$</w:t>
            </w:r>
            <w:r w:rsidR="00EB47DD">
              <w:t>46</w:t>
            </w:r>
            <w:r w:rsidRPr="006E1A53">
              <w:t>,000</w:t>
            </w:r>
            <w:r>
              <w:t>)</w:t>
            </w:r>
          </w:p>
        </w:tc>
        <w:tc>
          <w:tcPr>
            <w:tcW w:w="1107" w:type="pct"/>
            <w:noWrap/>
            <w:hideMark/>
          </w:tcPr>
          <w:p w:rsidR="0094248F" w:rsidRPr="0007222A" w:rsidP="0094248F" w14:paraId="7F493714" w14:textId="77777777">
            <w:pPr>
              <w:keepNext/>
              <w:jc w:val="center"/>
            </w:pPr>
            <w:r>
              <w:t>($</w:t>
            </w:r>
            <w:r w:rsidR="00B21F94">
              <w:t>3</w:t>
            </w:r>
            <w:r w:rsidRPr="006E1A53">
              <w:t>3,000</w:t>
            </w:r>
            <w:r>
              <w:t>)</w:t>
            </w:r>
          </w:p>
        </w:tc>
        <w:tc>
          <w:tcPr>
            <w:tcW w:w="1007" w:type="pct"/>
            <w:noWrap/>
            <w:hideMark/>
          </w:tcPr>
          <w:p w:rsidR="0094248F" w:rsidRPr="0007222A" w:rsidP="0094248F" w14:paraId="7F493715" w14:textId="77777777">
            <w:pPr>
              <w:keepNext/>
              <w:jc w:val="center"/>
            </w:pPr>
            <w:r>
              <w:t>(</w:t>
            </w:r>
            <w:r w:rsidRPr="006E1A53">
              <w:t>$</w:t>
            </w:r>
            <w:r w:rsidR="00B21F94">
              <w:t>78</w:t>
            </w:r>
            <w:r w:rsidRPr="006E1A53">
              <w:t>,000</w:t>
            </w:r>
            <w:r>
              <w:t>)</w:t>
            </w:r>
          </w:p>
        </w:tc>
      </w:tr>
      <w:tr w14:paraId="7F49371C"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17" w14:textId="77777777">
            <w:pPr>
              <w:keepNext/>
              <w:jc w:val="center"/>
              <w:rPr>
                <w:b/>
              </w:rPr>
            </w:pPr>
            <w:r w:rsidRPr="0007222A">
              <w:rPr>
                <w:b/>
              </w:rPr>
              <w:t>13</w:t>
            </w:r>
          </w:p>
        </w:tc>
        <w:tc>
          <w:tcPr>
            <w:tcW w:w="1173" w:type="pct"/>
            <w:noWrap/>
            <w:hideMark/>
          </w:tcPr>
          <w:p w:rsidR="0094248F" w:rsidRPr="0007222A" w:rsidP="0094248F" w14:paraId="7F493718" w14:textId="77777777">
            <w:pPr>
              <w:keepNext/>
              <w:jc w:val="center"/>
              <w:rPr>
                <w:b/>
              </w:rPr>
            </w:pPr>
            <w:r w:rsidRPr="0007222A">
              <w:rPr>
                <w:b/>
              </w:rPr>
              <w:t>2032</w:t>
            </w:r>
          </w:p>
        </w:tc>
        <w:tc>
          <w:tcPr>
            <w:tcW w:w="1011" w:type="pct"/>
            <w:noWrap/>
            <w:hideMark/>
          </w:tcPr>
          <w:p w:rsidR="0094248F" w:rsidRPr="0007222A" w:rsidP="0094248F" w14:paraId="7F493719" w14:textId="77777777">
            <w:pPr>
              <w:keepNext/>
              <w:jc w:val="center"/>
            </w:pPr>
            <w:r>
              <w:t>(</w:t>
            </w:r>
            <w:r w:rsidRPr="006E1A53">
              <w:t>$</w:t>
            </w:r>
            <w:r w:rsidR="00B21F94">
              <w:t>55</w:t>
            </w:r>
            <w:r w:rsidRPr="006E1A53">
              <w:t>,000</w:t>
            </w:r>
            <w:r>
              <w:t>)</w:t>
            </w:r>
          </w:p>
        </w:tc>
        <w:tc>
          <w:tcPr>
            <w:tcW w:w="1107" w:type="pct"/>
            <w:noWrap/>
            <w:hideMark/>
          </w:tcPr>
          <w:p w:rsidR="0094248F" w:rsidRPr="0007222A" w:rsidP="0094248F" w14:paraId="7F49371A" w14:textId="77777777">
            <w:pPr>
              <w:keepNext/>
              <w:jc w:val="center"/>
            </w:pPr>
            <w:r>
              <w:t>(</w:t>
            </w:r>
            <w:r w:rsidRPr="006E1A53">
              <w:t>$</w:t>
            </w:r>
            <w:r w:rsidR="002D0B65">
              <w:t>43</w:t>
            </w:r>
            <w:r w:rsidRPr="006E1A53">
              <w:t>,000</w:t>
            </w:r>
            <w:r>
              <w:t>)</w:t>
            </w:r>
          </w:p>
        </w:tc>
        <w:tc>
          <w:tcPr>
            <w:tcW w:w="1007" w:type="pct"/>
            <w:noWrap/>
            <w:hideMark/>
          </w:tcPr>
          <w:p w:rsidR="0094248F" w:rsidRPr="0007222A" w:rsidP="0094248F" w14:paraId="7F49371B" w14:textId="77777777">
            <w:pPr>
              <w:keepNext/>
              <w:jc w:val="center"/>
            </w:pPr>
            <w:r>
              <w:t>(</w:t>
            </w:r>
            <w:r w:rsidRPr="006E1A53">
              <w:t>$</w:t>
            </w:r>
            <w:r w:rsidR="002D0B65">
              <w:t>98</w:t>
            </w:r>
            <w:r w:rsidRPr="006E1A53">
              <w:t>,000</w:t>
            </w:r>
            <w:r>
              <w:t>)</w:t>
            </w:r>
          </w:p>
        </w:tc>
      </w:tr>
      <w:tr w14:paraId="7F493722"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1D" w14:textId="77777777">
            <w:pPr>
              <w:keepNext/>
              <w:jc w:val="center"/>
              <w:rPr>
                <w:b/>
              </w:rPr>
            </w:pPr>
            <w:r w:rsidRPr="0007222A">
              <w:rPr>
                <w:b/>
              </w:rPr>
              <w:t>14</w:t>
            </w:r>
          </w:p>
        </w:tc>
        <w:tc>
          <w:tcPr>
            <w:tcW w:w="1173" w:type="pct"/>
            <w:noWrap/>
            <w:hideMark/>
          </w:tcPr>
          <w:p w:rsidR="0094248F" w:rsidRPr="0007222A" w:rsidP="0094248F" w14:paraId="7F49371E" w14:textId="77777777">
            <w:pPr>
              <w:keepNext/>
              <w:jc w:val="center"/>
              <w:rPr>
                <w:b/>
              </w:rPr>
            </w:pPr>
            <w:r w:rsidRPr="0007222A">
              <w:rPr>
                <w:b/>
              </w:rPr>
              <w:t>2033</w:t>
            </w:r>
          </w:p>
        </w:tc>
        <w:tc>
          <w:tcPr>
            <w:tcW w:w="1011" w:type="pct"/>
            <w:noWrap/>
            <w:hideMark/>
          </w:tcPr>
          <w:p w:rsidR="0094248F" w:rsidRPr="0007222A" w:rsidP="0094248F" w14:paraId="7F49371F" w14:textId="77777777">
            <w:pPr>
              <w:keepNext/>
              <w:jc w:val="center"/>
            </w:pPr>
            <w:r>
              <w:t>(</w:t>
            </w:r>
            <w:r w:rsidRPr="006E1A53">
              <w:t>$</w:t>
            </w:r>
            <w:r w:rsidR="005A4DE2">
              <w:t>5</w:t>
            </w:r>
            <w:r w:rsidRPr="006E1A53">
              <w:t>7,000</w:t>
            </w:r>
            <w:r>
              <w:t>)</w:t>
            </w:r>
          </w:p>
        </w:tc>
        <w:tc>
          <w:tcPr>
            <w:tcW w:w="1107" w:type="pct"/>
            <w:noWrap/>
            <w:hideMark/>
          </w:tcPr>
          <w:p w:rsidR="0094248F" w:rsidRPr="0007222A" w:rsidP="0094248F" w14:paraId="7F493720" w14:textId="77777777">
            <w:pPr>
              <w:keepNext/>
              <w:jc w:val="center"/>
            </w:pPr>
            <w:r>
              <w:t>(</w:t>
            </w:r>
            <w:r w:rsidRPr="006E1A53">
              <w:t>$</w:t>
            </w:r>
            <w:r w:rsidR="005A4DE2">
              <w:t>44</w:t>
            </w:r>
            <w:r w:rsidRPr="006E1A53">
              <w:t>,000</w:t>
            </w:r>
            <w:r>
              <w:t>)</w:t>
            </w:r>
          </w:p>
        </w:tc>
        <w:tc>
          <w:tcPr>
            <w:tcW w:w="1007" w:type="pct"/>
            <w:noWrap/>
            <w:hideMark/>
          </w:tcPr>
          <w:p w:rsidR="0094248F" w:rsidRPr="0007222A" w:rsidP="0094248F" w14:paraId="7F493721" w14:textId="77777777">
            <w:pPr>
              <w:keepNext/>
              <w:jc w:val="center"/>
            </w:pPr>
            <w:r>
              <w:t>(</w:t>
            </w:r>
            <w:r w:rsidRPr="006E1A53">
              <w:t>$1</w:t>
            </w:r>
            <w:r w:rsidR="005A4DE2">
              <w:t>0</w:t>
            </w:r>
            <w:r w:rsidRPr="006E1A53">
              <w:t>0,000</w:t>
            </w:r>
            <w:r>
              <w:t>)</w:t>
            </w:r>
          </w:p>
        </w:tc>
      </w:tr>
      <w:tr w14:paraId="7F493728"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23" w14:textId="77777777">
            <w:pPr>
              <w:keepNext/>
              <w:jc w:val="center"/>
              <w:rPr>
                <w:b/>
              </w:rPr>
            </w:pPr>
            <w:r w:rsidRPr="0007222A">
              <w:rPr>
                <w:b/>
              </w:rPr>
              <w:t>15</w:t>
            </w:r>
          </w:p>
        </w:tc>
        <w:tc>
          <w:tcPr>
            <w:tcW w:w="1173" w:type="pct"/>
            <w:noWrap/>
            <w:hideMark/>
          </w:tcPr>
          <w:p w:rsidR="0094248F" w:rsidRPr="0007222A" w:rsidP="0094248F" w14:paraId="7F493724" w14:textId="77777777">
            <w:pPr>
              <w:keepNext/>
              <w:jc w:val="center"/>
              <w:rPr>
                <w:b/>
              </w:rPr>
            </w:pPr>
            <w:r w:rsidRPr="0007222A">
              <w:rPr>
                <w:b/>
              </w:rPr>
              <w:t>2034</w:t>
            </w:r>
          </w:p>
        </w:tc>
        <w:tc>
          <w:tcPr>
            <w:tcW w:w="1011" w:type="pct"/>
            <w:noWrap/>
            <w:hideMark/>
          </w:tcPr>
          <w:p w:rsidR="0094248F" w:rsidRPr="0007222A" w:rsidP="0094248F" w14:paraId="7F493725" w14:textId="77777777">
            <w:pPr>
              <w:keepNext/>
              <w:jc w:val="center"/>
            </w:pPr>
            <w:r>
              <w:t>(</w:t>
            </w:r>
            <w:r w:rsidRPr="006E1A53">
              <w:t>$</w:t>
            </w:r>
            <w:r w:rsidR="005A4DE2">
              <w:t>24</w:t>
            </w:r>
            <w:r w:rsidRPr="006E1A53">
              <w:t>,000</w:t>
            </w:r>
            <w:r>
              <w:t>)</w:t>
            </w:r>
          </w:p>
        </w:tc>
        <w:tc>
          <w:tcPr>
            <w:tcW w:w="1107" w:type="pct"/>
            <w:noWrap/>
            <w:hideMark/>
          </w:tcPr>
          <w:p w:rsidR="0094248F" w:rsidRPr="0007222A" w:rsidP="0094248F" w14:paraId="7F493726" w14:textId="77777777">
            <w:pPr>
              <w:keepNext/>
              <w:jc w:val="center"/>
            </w:pPr>
            <w:r>
              <w:t>(</w:t>
            </w:r>
            <w:r w:rsidRPr="006E1A53">
              <w:t>$2</w:t>
            </w:r>
            <w:r w:rsidR="00333889">
              <w:t>1</w:t>
            </w:r>
            <w:r w:rsidRPr="006E1A53">
              <w:t>,000</w:t>
            </w:r>
            <w:r>
              <w:t>)</w:t>
            </w:r>
          </w:p>
        </w:tc>
        <w:tc>
          <w:tcPr>
            <w:tcW w:w="1007" w:type="pct"/>
            <w:noWrap/>
            <w:hideMark/>
          </w:tcPr>
          <w:p w:rsidR="0094248F" w:rsidRPr="0007222A" w:rsidP="0094248F" w14:paraId="7F493727" w14:textId="77777777">
            <w:pPr>
              <w:keepNext/>
              <w:jc w:val="center"/>
            </w:pPr>
            <w:r>
              <w:t>(</w:t>
            </w:r>
            <w:r w:rsidRPr="006E1A53">
              <w:t>$</w:t>
            </w:r>
            <w:r w:rsidR="00333889">
              <w:t>46</w:t>
            </w:r>
            <w:r w:rsidRPr="006E1A53">
              <w:t>,000</w:t>
            </w:r>
            <w:r>
              <w:t>)</w:t>
            </w:r>
          </w:p>
        </w:tc>
      </w:tr>
      <w:tr w14:paraId="7F49372E"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29" w14:textId="77777777">
            <w:pPr>
              <w:keepNext/>
              <w:jc w:val="center"/>
              <w:rPr>
                <w:b/>
              </w:rPr>
            </w:pPr>
            <w:r w:rsidRPr="0007222A">
              <w:rPr>
                <w:b/>
              </w:rPr>
              <w:t>16</w:t>
            </w:r>
          </w:p>
        </w:tc>
        <w:tc>
          <w:tcPr>
            <w:tcW w:w="1173" w:type="pct"/>
            <w:noWrap/>
            <w:hideMark/>
          </w:tcPr>
          <w:p w:rsidR="0094248F" w:rsidRPr="0007222A" w:rsidP="0094248F" w14:paraId="7F49372A" w14:textId="77777777">
            <w:pPr>
              <w:keepNext/>
              <w:jc w:val="center"/>
              <w:rPr>
                <w:b/>
              </w:rPr>
            </w:pPr>
            <w:r w:rsidRPr="0007222A">
              <w:rPr>
                <w:b/>
              </w:rPr>
              <w:t>2035</w:t>
            </w:r>
          </w:p>
        </w:tc>
        <w:tc>
          <w:tcPr>
            <w:tcW w:w="1011" w:type="pct"/>
            <w:noWrap/>
            <w:hideMark/>
          </w:tcPr>
          <w:p w:rsidR="0094248F" w:rsidRPr="0007222A" w:rsidP="0094248F" w14:paraId="7F49372B" w14:textId="77777777">
            <w:pPr>
              <w:keepNext/>
              <w:jc w:val="center"/>
            </w:pPr>
            <w:r>
              <w:t>(</w:t>
            </w:r>
            <w:r w:rsidRPr="006E1A53">
              <w:t>$1</w:t>
            </w:r>
            <w:r w:rsidR="00333889">
              <w:t>4</w:t>
            </w:r>
            <w:r w:rsidRPr="006E1A53">
              <w:t>,000</w:t>
            </w:r>
            <w:r>
              <w:t>)</w:t>
            </w:r>
          </w:p>
        </w:tc>
        <w:tc>
          <w:tcPr>
            <w:tcW w:w="1107" w:type="pct"/>
            <w:noWrap/>
            <w:hideMark/>
          </w:tcPr>
          <w:p w:rsidR="0094248F" w:rsidRPr="0007222A" w:rsidP="0094248F" w14:paraId="7F49372C" w14:textId="77777777">
            <w:pPr>
              <w:keepNext/>
              <w:jc w:val="center"/>
            </w:pPr>
            <w:r>
              <w:t>(</w:t>
            </w:r>
            <w:r w:rsidRPr="006E1A53">
              <w:t>$1</w:t>
            </w:r>
            <w:r w:rsidR="00333889">
              <w:t>0</w:t>
            </w:r>
            <w:r w:rsidRPr="006E1A53">
              <w:t>,000</w:t>
            </w:r>
            <w:r>
              <w:t>)</w:t>
            </w:r>
          </w:p>
        </w:tc>
        <w:tc>
          <w:tcPr>
            <w:tcW w:w="1007" w:type="pct"/>
            <w:noWrap/>
            <w:hideMark/>
          </w:tcPr>
          <w:p w:rsidR="0094248F" w:rsidRPr="0007222A" w:rsidP="0094248F" w14:paraId="7F49372D" w14:textId="77777777">
            <w:pPr>
              <w:keepNext/>
              <w:jc w:val="center"/>
            </w:pPr>
            <w:r>
              <w:t>(</w:t>
            </w:r>
            <w:r w:rsidRPr="006E1A53">
              <w:t>$</w:t>
            </w:r>
            <w:r w:rsidR="00333889">
              <w:t>25</w:t>
            </w:r>
            <w:r w:rsidRPr="006E1A53">
              <w:t>,000</w:t>
            </w:r>
            <w:r>
              <w:t>)</w:t>
            </w:r>
          </w:p>
        </w:tc>
      </w:tr>
      <w:tr w14:paraId="7F493734"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2F" w14:textId="77777777">
            <w:pPr>
              <w:keepNext/>
              <w:jc w:val="center"/>
              <w:rPr>
                <w:b/>
              </w:rPr>
            </w:pPr>
            <w:r w:rsidRPr="0007222A">
              <w:rPr>
                <w:b/>
              </w:rPr>
              <w:t>17</w:t>
            </w:r>
          </w:p>
        </w:tc>
        <w:tc>
          <w:tcPr>
            <w:tcW w:w="1173" w:type="pct"/>
            <w:noWrap/>
            <w:hideMark/>
          </w:tcPr>
          <w:p w:rsidR="0094248F" w:rsidRPr="0007222A" w:rsidP="0094248F" w14:paraId="7F493730" w14:textId="77777777">
            <w:pPr>
              <w:keepNext/>
              <w:jc w:val="center"/>
              <w:rPr>
                <w:b/>
              </w:rPr>
            </w:pPr>
            <w:r w:rsidRPr="0007222A">
              <w:rPr>
                <w:b/>
              </w:rPr>
              <w:t>2036</w:t>
            </w:r>
          </w:p>
        </w:tc>
        <w:tc>
          <w:tcPr>
            <w:tcW w:w="1011" w:type="pct"/>
            <w:noWrap/>
            <w:hideMark/>
          </w:tcPr>
          <w:p w:rsidR="0094248F" w:rsidRPr="0007222A" w:rsidP="0094248F" w14:paraId="7F493731" w14:textId="77777777">
            <w:pPr>
              <w:keepNext/>
              <w:jc w:val="center"/>
            </w:pPr>
            <w:r>
              <w:t>(</w:t>
            </w:r>
            <w:r w:rsidRPr="006E1A53">
              <w:t>$</w:t>
            </w:r>
            <w:r w:rsidR="0012271F">
              <w:t>46</w:t>
            </w:r>
            <w:r w:rsidRPr="006E1A53">
              <w:t>,000</w:t>
            </w:r>
            <w:r>
              <w:t>)</w:t>
            </w:r>
          </w:p>
        </w:tc>
        <w:tc>
          <w:tcPr>
            <w:tcW w:w="1107" w:type="pct"/>
            <w:noWrap/>
            <w:hideMark/>
          </w:tcPr>
          <w:p w:rsidR="0094248F" w:rsidRPr="0007222A" w:rsidP="0094248F" w14:paraId="7F493732" w14:textId="77777777">
            <w:pPr>
              <w:keepNext/>
              <w:jc w:val="center"/>
            </w:pPr>
            <w:r>
              <w:t>(</w:t>
            </w:r>
            <w:r w:rsidRPr="006E1A53">
              <w:t>$</w:t>
            </w:r>
            <w:r w:rsidR="0012271F">
              <w:t>33</w:t>
            </w:r>
            <w:r w:rsidRPr="006E1A53">
              <w:t>,000</w:t>
            </w:r>
            <w:r>
              <w:t>)</w:t>
            </w:r>
          </w:p>
        </w:tc>
        <w:tc>
          <w:tcPr>
            <w:tcW w:w="1007" w:type="pct"/>
            <w:noWrap/>
            <w:hideMark/>
          </w:tcPr>
          <w:p w:rsidR="0094248F" w:rsidRPr="0007222A" w:rsidP="0094248F" w14:paraId="7F493733" w14:textId="77777777">
            <w:pPr>
              <w:keepNext/>
              <w:jc w:val="center"/>
            </w:pPr>
            <w:r>
              <w:t>(</w:t>
            </w:r>
            <w:r w:rsidRPr="006E1A53">
              <w:t>$</w:t>
            </w:r>
            <w:r w:rsidR="0012271F">
              <w:t>78</w:t>
            </w:r>
            <w:r w:rsidRPr="006E1A53">
              <w:t>,000</w:t>
            </w:r>
            <w:r>
              <w:t>)</w:t>
            </w:r>
          </w:p>
        </w:tc>
      </w:tr>
      <w:tr w14:paraId="7F49373A"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35" w14:textId="77777777">
            <w:pPr>
              <w:keepNext/>
              <w:jc w:val="center"/>
              <w:rPr>
                <w:b/>
              </w:rPr>
            </w:pPr>
            <w:r w:rsidRPr="0007222A">
              <w:rPr>
                <w:b/>
              </w:rPr>
              <w:t>18</w:t>
            </w:r>
          </w:p>
        </w:tc>
        <w:tc>
          <w:tcPr>
            <w:tcW w:w="1173" w:type="pct"/>
            <w:noWrap/>
            <w:hideMark/>
          </w:tcPr>
          <w:p w:rsidR="0094248F" w:rsidRPr="0007222A" w:rsidP="0094248F" w14:paraId="7F493736" w14:textId="77777777">
            <w:pPr>
              <w:keepNext/>
              <w:jc w:val="center"/>
              <w:rPr>
                <w:b/>
              </w:rPr>
            </w:pPr>
            <w:r w:rsidRPr="0007222A">
              <w:rPr>
                <w:b/>
              </w:rPr>
              <w:t>2037</w:t>
            </w:r>
          </w:p>
        </w:tc>
        <w:tc>
          <w:tcPr>
            <w:tcW w:w="1011" w:type="pct"/>
            <w:noWrap/>
            <w:hideMark/>
          </w:tcPr>
          <w:p w:rsidR="0094248F" w:rsidRPr="0007222A" w:rsidP="0094248F" w14:paraId="7F493737" w14:textId="77777777">
            <w:pPr>
              <w:keepNext/>
              <w:jc w:val="center"/>
            </w:pPr>
            <w:r>
              <w:t>(</w:t>
            </w:r>
            <w:r w:rsidRPr="006E1A53">
              <w:t>$</w:t>
            </w:r>
            <w:r w:rsidR="00DC34FF">
              <w:t>55</w:t>
            </w:r>
            <w:r w:rsidRPr="006E1A53">
              <w:t>,000</w:t>
            </w:r>
            <w:r>
              <w:t>)</w:t>
            </w:r>
          </w:p>
        </w:tc>
        <w:tc>
          <w:tcPr>
            <w:tcW w:w="1107" w:type="pct"/>
            <w:noWrap/>
            <w:hideMark/>
          </w:tcPr>
          <w:p w:rsidR="0094248F" w:rsidRPr="0007222A" w:rsidP="0094248F" w14:paraId="7F493738" w14:textId="77777777">
            <w:pPr>
              <w:keepNext/>
              <w:jc w:val="center"/>
            </w:pPr>
            <w:r>
              <w:t>(</w:t>
            </w:r>
            <w:r w:rsidRPr="006E1A53">
              <w:t>$</w:t>
            </w:r>
            <w:r w:rsidR="00DC34FF">
              <w:t>43</w:t>
            </w:r>
            <w:r w:rsidRPr="006E1A53">
              <w:t>,000</w:t>
            </w:r>
            <w:r>
              <w:t>)</w:t>
            </w:r>
          </w:p>
        </w:tc>
        <w:tc>
          <w:tcPr>
            <w:tcW w:w="1007" w:type="pct"/>
            <w:noWrap/>
            <w:hideMark/>
          </w:tcPr>
          <w:p w:rsidR="0094248F" w:rsidRPr="0007222A" w:rsidP="0094248F" w14:paraId="7F493739" w14:textId="77777777">
            <w:pPr>
              <w:keepNext/>
              <w:jc w:val="center"/>
            </w:pPr>
            <w:r>
              <w:t>(</w:t>
            </w:r>
            <w:r w:rsidRPr="006E1A53">
              <w:t>$</w:t>
            </w:r>
            <w:r w:rsidR="00DC34FF">
              <w:t>98</w:t>
            </w:r>
            <w:r w:rsidRPr="006E1A53">
              <w:t>,000</w:t>
            </w:r>
            <w:r>
              <w:t>)</w:t>
            </w:r>
          </w:p>
        </w:tc>
      </w:tr>
      <w:tr w14:paraId="7F493740" w14:textId="77777777" w:rsidTr="00346B95">
        <w:tblPrEx>
          <w:tblW w:w="5000" w:type="pct"/>
          <w:jc w:val="center"/>
          <w:tblLayout w:type="fixed"/>
          <w:tblLook w:val="04A0"/>
        </w:tblPrEx>
        <w:trPr>
          <w:trHeight w:val="285"/>
          <w:jc w:val="center"/>
        </w:trPr>
        <w:tc>
          <w:tcPr>
            <w:tcW w:w="702" w:type="pct"/>
            <w:noWrap/>
            <w:hideMark/>
          </w:tcPr>
          <w:p w:rsidR="0094248F" w:rsidRPr="0007222A" w:rsidP="0094248F" w14:paraId="7F49373B" w14:textId="77777777">
            <w:pPr>
              <w:keepNext/>
              <w:jc w:val="center"/>
              <w:rPr>
                <w:b/>
              </w:rPr>
            </w:pPr>
            <w:r w:rsidRPr="0007222A">
              <w:rPr>
                <w:b/>
              </w:rPr>
              <w:t>19</w:t>
            </w:r>
          </w:p>
        </w:tc>
        <w:tc>
          <w:tcPr>
            <w:tcW w:w="1173" w:type="pct"/>
            <w:noWrap/>
            <w:hideMark/>
          </w:tcPr>
          <w:p w:rsidR="0094248F" w:rsidRPr="0007222A" w:rsidP="0094248F" w14:paraId="7F49373C" w14:textId="77777777">
            <w:pPr>
              <w:keepNext/>
              <w:jc w:val="center"/>
              <w:rPr>
                <w:b/>
              </w:rPr>
            </w:pPr>
            <w:r w:rsidRPr="0007222A">
              <w:rPr>
                <w:b/>
              </w:rPr>
              <w:t>2038</w:t>
            </w:r>
          </w:p>
        </w:tc>
        <w:tc>
          <w:tcPr>
            <w:tcW w:w="1011" w:type="pct"/>
            <w:noWrap/>
            <w:hideMark/>
          </w:tcPr>
          <w:p w:rsidR="0094248F" w:rsidRPr="0007222A" w:rsidP="0094248F" w14:paraId="7F49373D" w14:textId="77777777">
            <w:pPr>
              <w:keepNext/>
              <w:jc w:val="center"/>
            </w:pPr>
            <w:r>
              <w:t>(</w:t>
            </w:r>
            <w:r w:rsidRPr="006E1A53">
              <w:t>$</w:t>
            </w:r>
            <w:r w:rsidR="00DC34FF">
              <w:t>57</w:t>
            </w:r>
            <w:r w:rsidRPr="006E1A53">
              <w:t>,000</w:t>
            </w:r>
            <w:r>
              <w:t>)</w:t>
            </w:r>
          </w:p>
        </w:tc>
        <w:tc>
          <w:tcPr>
            <w:tcW w:w="1107" w:type="pct"/>
            <w:noWrap/>
            <w:hideMark/>
          </w:tcPr>
          <w:p w:rsidR="0094248F" w:rsidRPr="0007222A" w:rsidP="0094248F" w14:paraId="7F49373E" w14:textId="77777777">
            <w:pPr>
              <w:keepNext/>
              <w:jc w:val="center"/>
            </w:pPr>
            <w:r>
              <w:t>(</w:t>
            </w:r>
            <w:r w:rsidRPr="006E1A53">
              <w:t>$</w:t>
            </w:r>
            <w:r w:rsidR="00665F6F">
              <w:t>44</w:t>
            </w:r>
            <w:r w:rsidRPr="006E1A53">
              <w:t>,000</w:t>
            </w:r>
            <w:r>
              <w:t>)</w:t>
            </w:r>
          </w:p>
        </w:tc>
        <w:tc>
          <w:tcPr>
            <w:tcW w:w="1007" w:type="pct"/>
            <w:noWrap/>
            <w:hideMark/>
          </w:tcPr>
          <w:p w:rsidR="0094248F" w:rsidRPr="0007222A" w:rsidP="0094248F" w14:paraId="7F49373F" w14:textId="77777777">
            <w:pPr>
              <w:keepNext/>
              <w:jc w:val="center"/>
            </w:pPr>
            <w:r>
              <w:t>(</w:t>
            </w:r>
            <w:r w:rsidRPr="006E1A53">
              <w:t>$1</w:t>
            </w:r>
            <w:r w:rsidR="00665F6F">
              <w:t>00</w:t>
            </w:r>
            <w:r w:rsidRPr="006E1A53">
              <w:t>,000</w:t>
            </w:r>
            <w:r>
              <w:t>)</w:t>
            </w:r>
          </w:p>
        </w:tc>
      </w:tr>
      <w:tr w14:paraId="7F493746" w14:textId="77777777" w:rsidTr="00346B95">
        <w:tblPrEx>
          <w:tblW w:w="5000" w:type="pct"/>
          <w:jc w:val="center"/>
          <w:tblLayout w:type="fixed"/>
          <w:tblLook w:val="04A0"/>
        </w:tblPrEx>
        <w:trPr>
          <w:trHeight w:val="293"/>
          <w:jc w:val="center"/>
        </w:trPr>
        <w:tc>
          <w:tcPr>
            <w:tcW w:w="702" w:type="pct"/>
            <w:noWrap/>
            <w:hideMark/>
          </w:tcPr>
          <w:p w:rsidR="0094248F" w:rsidRPr="0007222A" w:rsidP="0094248F" w14:paraId="7F493741" w14:textId="77777777">
            <w:pPr>
              <w:keepNext/>
              <w:jc w:val="center"/>
              <w:rPr>
                <w:b/>
              </w:rPr>
            </w:pPr>
            <w:r w:rsidRPr="0007222A">
              <w:rPr>
                <w:b/>
              </w:rPr>
              <w:t>20</w:t>
            </w:r>
          </w:p>
        </w:tc>
        <w:tc>
          <w:tcPr>
            <w:tcW w:w="1173" w:type="pct"/>
            <w:noWrap/>
            <w:hideMark/>
          </w:tcPr>
          <w:p w:rsidR="0094248F" w:rsidRPr="0007222A" w:rsidP="0094248F" w14:paraId="7F493742" w14:textId="77777777">
            <w:pPr>
              <w:keepNext/>
              <w:jc w:val="center"/>
              <w:rPr>
                <w:b/>
              </w:rPr>
            </w:pPr>
            <w:r w:rsidRPr="00D839EE">
              <w:rPr>
                <w:rFonts w:cs="Arial"/>
                <w:b/>
              </w:rPr>
              <w:t>2039</w:t>
            </w:r>
          </w:p>
        </w:tc>
        <w:tc>
          <w:tcPr>
            <w:tcW w:w="1011" w:type="pct"/>
            <w:noWrap/>
            <w:hideMark/>
          </w:tcPr>
          <w:p w:rsidR="0094248F" w:rsidRPr="0007222A" w:rsidP="0094248F" w14:paraId="7F493743" w14:textId="77777777">
            <w:pPr>
              <w:keepNext/>
              <w:jc w:val="center"/>
            </w:pPr>
            <w:r>
              <w:t>(</w:t>
            </w:r>
            <w:r w:rsidRPr="006E1A53">
              <w:t>$</w:t>
            </w:r>
            <w:r w:rsidR="00665F6F">
              <w:t>24</w:t>
            </w:r>
            <w:r w:rsidRPr="006E1A53">
              <w:t>,000</w:t>
            </w:r>
            <w:r>
              <w:t>)</w:t>
            </w:r>
          </w:p>
        </w:tc>
        <w:tc>
          <w:tcPr>
            <w:tcW w:w="1107" w:type="pct"/>
            <w:noWrap/>
            <w:hideMark/>
          </w:tcPr>
          <w:p w:rsidR="0094248F" w:rsidRPr="0007222A" w:rsidP="0094248F" w14:paraId="7F493744" w14:textId="77777777">
            <w:pPr>
              <w:keepNext/>
              <w:jc w:val="center"/>
            </w:pPr>
            <w:r>
              <w:t>(</w:t>
            </w:r>
            <w:r w:rsidRPr="006E1A53">
              <w:t>$2</w:t>
            </w:r>
            <w:r w:rsidR="00665F6F">
              <w:t>1</w:t>
            </w:r>
            <w:r w:rsidRPr="006E1A53">
              <w:t>,000</w:t>
            </w:r>
            <w:r>
              <w:t>)</w:t>
            </w:r>
          </w:p>
        </w:tc>
        <w:tc>
          <w:tcPr>
            <w:tcW w:w="1007" w:type="pct"/>
            <w:noWrap/>
            <w:hideMark/>
          </w:tcPr>
          <w:p w:rsidR="0094248F" w:rsidRPr="0007222A" w:rsidP="0094248F" w14:paraId="7F493745" w14:textId="77777777">
            <w:pPr>
              <w:keepNext/>
              <w:jc w:val="center"/>
            </w:pPr>
            <w:r>
              <w:t>(</w:t>
            </w:r>
            <w:r w:rsidRPr="006E1A53">
              <w:t>$</w:t>
            </w:r>
            <w:r w:rsidR="00665F6F">
              <w:t>46</w:t>
            </w:r>
            <w:r w:rsidRPr="006E1A53">
              <w:t>,000</w:t>
            </w:r>
            <w:r>
              <w:t>)</w:t>
            </w:r>
          </w:p>
        </w:tc>
      </w:tr>
      <w:tr w14:paraId="7F49374B" w14:textId="77777777" w:rsidTr="00346B95">
        <w:tblPrEx>
          <w:tblW w:w="5000" w:type="pct"/>
          <w:jc w:val="center"/>
          <w:tblLayout w:type="fixed"/>
          <w:tblLook w:val="04A0"/>
        </w:tblPrEx>
        <w:trPr>
          <w:trHeight w:val="293"/>
          <w:jc w:val="center"/>
        </w:trPr>
        <w:tc>
          <w:tcPr>
            <w:tcW w:w="1875" w:type="pct"/>
            <w:gridSpan w:val="2"/>
            <w:noWrap/>
            <w:hideMark/>
          </w:tcPr>
          <w:p w:rsidR="00B6327C" w:rsidRPr="0007222A" w:rsidP="00B6327C" w14:paraId="7F493747" w14:textId="77777777">
            <w:pPr>
              <w:keepNext/>
              <w:jc w:val="center"/>
              <w:rPr>
                <w:b/>
              </w:rPr>
            </w:pPr>
            <w:r w:rsidRPr="0007222A">
              <w:rPr>
                <w:b/>
              </w:rPr>
              <w:t>Undiscounted 20-year total</w:t>
            </w:r>
          </w:p>
        </w:tc>
        <w:tc>
          <w:tcPr>
            <w:tcW w:w="1011" w:type="pct"/>
            <w:noWrap/>
            <w:hideMark/>
          </w:tcPr>
          <w:p w:rsidR="00B6327C" w:rsidRPr="0007222A" w:rsidP="00B6327C" w14:paraId="7F493748" w14:textId="77777777">
            <w:pPr>
              <w:keepNext/>
              <w:jc w:val="center"/>
            </w:pPr>
            <w:r>
              <w:t>(</w:t>
            </w:r>
            <w:r w:rsidRPr="00010809">
              <w:t>$1,</w:t>
            </w:r>
            <w:r w:rsidR="00665F6F">
              <w:t>5</w:t>
            </w:r>
            <w:r w:rsidRPr="00010809">
              <w:t>00,000</w:t>
            </w:r>
            <w:r>
              <w:t>)</w:t>
            </w:r>
          </w:p>
        </w:tc>
        <w:tc>
          <w:tcPr>
            <w:tcW w:w="1107" w:type="pct"/>
            <w:noWrap/>
            <w:hideMark/>
          </w:tcPr>
          <w:p w:rsidR="00B6327C" w:rsidRPr="0007222A" w:rsidP="00B6327C" w14:paraId="7F493749" w14:textId="77777777">
            <w:pPr>
              <w:keepNext/>
              <w:jc w:val="center"/>
            </w:pPr>
            <w:r>
              <w:t>(</w:t>
            </w:r>
            <w:r w:rsidRPr="00010809">
              <w:t>$</w:t>
            </w:r>
            <w:r w:rsidR="00665F6F">
              <w:t>80</w:t>
            </w:r>
            <w:r w:rsidRPr="00010809">
              <w:t>0,000</w:t>
            </w:r>
            <w:r>
              <w:t>)</w:t>
            </w:r>
          </w:p>
        </w:tc>
        <w:tc>
          <w:tcPr>
            <w:tcW w:w="1007" w:type="pct"/>
            <w:noWrap/>
            <w:hideMark/>
          </w:tcPr>
          <w:p w:rsidR="00B6327C" w:rsidRPr="0007222A" w:rsidP="00B6327C" w14:paraId="7F49374A" w14:textId="77777777">
            <w:pPr>
              <w:keepNext/>
              <w:jc w:val="center"/>
            </w:pPr>
            <w:r>
              <w:t>(</w:t>
            </w:r>
            <w:r w:rsidRPr="00010809">
              <w:t>$2,300,000</w:t>
            </w:r>
            <w:r>
              <w:t>)</w:t>
            </w:r>
          </w:p>
        </w:tc>
      </w:tr>
      <w:tr w14:paraId="7F493750" w14:textId="77777777" w:rsidTr="00346B95">
        <w:tblPrEx>
          <w:tblW w:w="5000" w:type="pct"/>
          <w:jc w:val="center"/>
          <w:tblLayout w:type="fixed"/>
          <w:tblLook w:val="04A0"/>
        </w:tblPrEx>
        <w:trPr>
          <w:trHeight w:val="285"/>
          <w:jc w:val="center"/>
        </w:trPr>
        <w:tc>
          <w:tcPr>
            <w:tcW w:w="1875" w:type="pct"/>
            <w:gridSpan w:val="2"/>
            <w:noWrap/>
            <w:hideMark/>
          </w:tcPr>
          <w:p w:rsidR="00B6327C" w:rsidRPr="0007222A" w:rsidP="00B6327C" w14:paraId="7F49374C" w14:textId="77777777">
            <w:pPr>
              <w:keepNext/>
              <w:jc w:val="center"/>
              <w:rPr>
                <w:b/>
              </w:rPr>
            </w:pPr>
            <w:r w:rsidRPr="0007222A">
              <w:rPr>
                <w:b/>
              </w:rPr>
              <w:t>20-year total with 3% discounting</w:t>
            </w:r>
          </w:p>
        </w:tc>
        <w:tc>
          <w:tcPr>
            <w:tcW w:w="1011" w:type="pct"/>
            <w:noWrap/>
            <w:hideMark/>
          </w:tcPr>
          <w:p w:rsidR="00B6327C" w:rsidRPr="0007222A" w:rsidP="00B6327C" w14:paraId="7F49374D" w14:textId="77777777">
            <w:pPr>
              <w:keepNext/>
              <w:jc w:val="center"/>
            </w:pPr>
            <w:r>
              <w:t>(</w:t>
            </w:r>
            <w:r w:rsidRPr="00010809">
              <w:t>$1,</w:t>
            </w:r>
            <w:r w:rsidR="00665F6F">
              <w:t>3</w:t>
            </w:r>
            <w:r w:rsidRPr="00010809">
              <w:t>00,000</w:t>
            </w:r>
            <w:r>
              <w:t>)</w:t>
            </w:r>
          </w:p>
        </w:tc>
        <w:tc>
          <w:tcPr>
            <w:tcW w:w="1107" w:type="pct"/>
            <w:noWrap/>
            <w:hideMark/>
          </w:tcPr>
          <w:p w:rsidR="00B6327C" w:rsidRPr="0007222A" w:rsidP="00B6327C" w14:paraId="7F49374E" w14:textId="77777777">
            <w:pPr>
              <w:keepNext/>
              <w:jc w:val="center"/>
            </w:pPr>
            <w:r>
              <w:t>(</w:t>
            </w:r>
            <w:r w:rsidRPr="00010809">
              <w:t>$</w:t>
            </w:r>
            <w:r w:rsidR="00665F6F">
              <w:t>64</w:t>
            </w:r>
            <w:r w:rsidRPr="00010809">
              <w:t>0,000</w:t>
            </w:r>
            <w:r>
              <w:t>)</w:t>
            </w:r>
          </w:p>
        </w:tc>
        <w:tc>
          <w:tcPr>
            <w:tcW w:w="1007" w:type="pct"/>
            <w:noWrap/>
            <w:hideMark/>
          </w:tcPr>
          <w:p w:rsidR="00B6327C" w:rsidRPr="0007222A" w:rsidP="00B6327C" w14:paraId="7F49374F" w14:textId="77777777">
            <w:pPr>
              <w:keepNext/>
              <w:jc w:val="center"/>
            </w:pPr>
            <w:r>
              <w:t>(</w:t>
            </w:r>
            <w:r w:rsidRPr="00010809">
              <w:t>$1,</w:t>
            </w:r>
            <w:r w:rsidR="00665F6F">
              <w:t>9</w:t>
            </w:r>
            <w:r w:rsidRPr="00010809">
              <w:t>00,000</w:t>
            </w:r>
            <w:r>
              <w:t>)</w:t>
            </w:r>
          </w:p>
        </w:tc>
      </w:tr>
      <w:tr w14:paraId="7F493755" w14:textId="77777777" w:rsidTr="00346B95">
        <w:tblPrEx>
          <w:tblW w:w="5000" w:type="pct"/>
          <w:jc w:val="center"/>
          <w:tblLayout w:type="fixed"/>
          <w:tblLook w:val="04A0"/>
        </w:tblPrEx>
        <w:trPr>
          <w:trHeight w:val="293"/>
          <w:jc w:val="center"/>
        </w:trPr>
        <w:tc>
          <w:tcPr>
            <w:tcW w:w="1875" w:type="pct"/>
            <w:gridSpan w:val="2"/>
            <w:noWrap/>
            <w:hideMark/>
          </w:tcPr>
          <w:p w:rsidR="00B6327C" w:rsidRPr="0007222A" w:rsidP="00B6327C" w14:paraId="7F493751" w14:textId="77777777">
            <w:pPr>
              <w:keepNext/>
              <w:jc w:val="center"/>
              <w:rPr>
                <w:b/>
              </w:rPr>
            </w:pPr>
            <w:r w:rsidRPr="0007222A">
              <w:rPr>
                <w:b/>
              </w:rPr>
              <w:t>20-year total with 7% discounting</w:t>
            </w:r>
          </w:p>
        </w:tc>
        <w:tc>
          <w:tcPr>
            <w:tcW w:w="1011" w:type="pct"/>
            <w:noWrap/>
            <w:hideMark/>
          </w:tcPr>
          <w:p w:rsidR="00B6327C" w:rsidRPr="0007222A" w:rsidP="00B6327C" w14:paraId="7F493752" w14:textId="77777777">
            <w:pPr>
              <w:keepNext/>
              <w:jc w:val="center"/>
            </w:pPr>
            <w:r>
              <w:t>(</w:t>
            </w:r>
            <w:r w:rsidR="00CF3E37">
              <w:t>$1,100</w:t>
            </w:r>
            <w:r w:rsidRPr="00010809">
              <w:t>,000</w:t>
            </w:r>
            <w:r>
              <w:t>)</w:t>
            </w:r>
          </w:p>
        </w:tc>
        <w:tc>
          <w:tcPr>
            <w:tcW w:w="1107" w:type="pct"/>
            <w:noWrap/>
            <w:hideMark/>
          </w:tcPr>
          <w:p w:rsidR="00B6327C" w:rsidRPr="0007222A" w:rsidP="00B6327C" w14:paraId="7F493753" w14:textId="77777777">
            <w:pPr>
              <w:keepNext/>
              <w:jc w:val="center"/>
            </w:pPr>
            <w:r>
              <w:t>(</w:t>
            </w:r>
            <w:r w:rsidRPr="00010809">
              <w:t>$5</w:t>
            </w:r>
            <w:r w:rsidR="00CF3E37">
              <w:t>0</w:t>
            </w:r>
            <w:r w:rsidRPr="00010809">
              <w:t>0,000</w:t>
            </w:r>
            <w:r>
              <w:t>)</w:t>
            </w:r>
          </w:p>
        </w:tc>
        <w:tc>
          <w:tcPr>
            <w:tcW w:w="1007" w:type="pct"/>
            <w:noWrap/>
            <w:hideMark/>
          </w:tcPr>
          <w:p w:rsidR="00B6327C" w:rsidRPr="0007222A" w:rsidP="00B6327C" w14:paraId="7F493754" w14:textId="77777777">
            <w:pPr>
              <w:keepNext/>
              <w:jc w:val="center"/>
            </w:pPr>
            <w:r>
              <w:t>(</w:t>
            </w:r>
            <w:r w:rsidRPr="00010809">
              <w:t>$1,</w:t>
            </w:r>
            <w:r w:rsidR="00CF3E37">
              <w:t>6</w:t>
            </w:r>
            <w:r w:rsidRPr="00010809">
              <w:t>00,000</w:t>
            </w:r>
            <w:r>
              <w:t>)</w:t>
            </w:r>
          </w:p>
        </w:tc>
      </w:tr>
      <w:tr w14:paraId="7F49375A" w14:textId="77777777" w:rsidTr="00346B95">
        <w:tblPrEx>
          <w:tblW w:w="5000" w:type="pct"/>
          <w:jc w:val="center"/>
          <w:tblLayout w:type="fixed"/>
          <w:tblLook w:val="04A0"/>
        </w:tblPrEx>
        <w:trPr>
          <w:trHeight w:val="293"/>
          <w:jc w:val="center"/>
        </w:trPr>
        <w:tc>
          <w:tcPr>
            <w:tcW w:w="1875" w:type="pct"/>
            <w:gridSpan w:val="2"/>
            <w:noWrap/>
            <w:hideMark/>
          </w:tcPr>
          <w:p w:rsidR="00B6327C" w:rsidRPr="0007222A" w:rsidP="00B6327C" w14:paraId="7F493756" w14:textId="77777777">
            <w:pPr>
              <w:keepNext/>
              <w:jc w:val="center"/>
              <w:rPr>
                <w:b/>
              </w:rPr>
            </w:pPr>
            <w:r w:rsidRPr="0007222A">
              <w:rPr>
                <w:b/>
              </w:rPr>
              <w:t xml:space="preserve">20-year </w:t>
            </w:r>
            <w:r w:rsidR="00BE707E">
              <w:rPr>
                <w:rFonts w:cs="Arial"/>
                <w:b/>
                <w:bCs/>
              </w:rPr>
              <w:t>a</w:t>
            </w:r>
            <w:r w:rsidRPr="00D839EE">
              <w:rPr>
                <w:rFonts w:cs="Arial"/>
                <w:b/>
                <w:bCs/>
              </w:rPr>
              <w:t>verage</w:t>
            </w:r>
          </w:p>
        </w:tc>
        <w:tc>
          <w:tcPr>
            <w:tcW w:w="1011" w:type="pct"/>
            <w:noWrap/>
            <w:hideMark/>
          </w:tcPr>
          <w:p w:rsidR="00B6327C" w:rsidRPr="0007222A" w:rsidP="00B6327C" w14:paraId="7F493757" w14:textId="77777777">
            <w:pPr>
              <w:keepNext/>
              <w:jc w:val="center"/>
            </w:pPr>
            <w:r>
              <w:t>(</w:t>
            </w:r>
            <w:r w:rsidRPr="00010809">
              <w:t>$</w:t>
            </w:r>
            <w:r w:rsidR="00CF3E37">
              <w:t>75</w:t>
            </w:r>
            <w:r w:rsidRPr="00010809">
              <w:t>,000</w:t>
            </w:r>
            <w:r>
              <w:t>)</w:t>
            </w:r>
          </w:p>
        </w:tc>
        <w:tc>
          <w:tcPr>
            <w:tcW w:w="1107" w:type="pct"/>
            <w:noWrap/>
            <w:hideMark/>
          </w:tcPr>
          <w:p w:rsidR="00B6327C" w:rsidRPr="0007222A" w:rsidP="00B6327C" w14:paraId="7F493758" w14:textId="77777777">
            <w:pPr>
              <w:keepNext/>
              <w:jc w:val="center"/>
            </w:pPr>
            <w:r>
              <w:t>(</w:t>
            </w:r>
            <w:r w:rsidRPr="00010809">
              <w:t>$4</w:t>
            </w:r>
            <w:r w:rsidR="00CF3E37">
              <w:t>0</w:t>
            </w:r>
            <w:r w:rsidRPr="00010809">
              <w:t>,000</w:t>
            </w:r>
            <w:r>
              <w:t>)</w:t>
            </w:r>
          </w:p>
        </w:tc>
        <w:tc>
          <w:tcPr>
            <w:tcW w:w="1007" w:type="pct"/>
            <w:noWrap/>
            <w:hideMark/>
          </w:tcPr>
          <w:p w:rsidR="00B6327C" w:rsidRPr="0007222A" w:rsidP="00B6327C" w14:paraId="7F493759" w14:textId="77777777">
            <w:pPr>
              <w:keepNext/>
              <w:jc w:val="center"/>
            </w:pPr>
            <w:r>
              <w:t>(</w:t>
            </w:r>
            <w:r w:rsidRPr="00010809">
              <w:t>$1</w:t>
            </w:r>
            <w:r w:rsidR="002E7B38">
              <w:t>2</w:t>
            </w:r>
            <w:r w:rsidRPr="00010809">
              <w:t>0,000</w:t>
            </w:r>
            <w:r>
              <w:t>)</w:t>
            </w:r>
          </w:p>
        </w:tc>
      </w:tr>
      <w:tr w14:paraId="7F49375F" w14:textId="77777777" w:rsidTr="00346B95">
        <w:tblPrEx>
          <w:tblW w:w="5000" w:type="pct"/>
          <w:jc w:val="center"/>
          <w:tblLayout w:type="fixed"/>
          <w:tblLook w:val="04A0"/>
        </w:tblPrEx>
        <w:trPr>
          <w:trHeight w:val="285"/>
          <w:jc w:val="center"/>
        </w:trPr>
        <w:tc>
          <w:tcPr>
            <w:tcW w:w="1875" w:type="pct"/>
            <w:gridSpan w:val="2"/>
            <w:noWrap/>
            <w:hideMark/>
          </w:tcPr>
          <w:p w:rsidR="00B6327C" w:rsidRPr="0007222A" w:rsidP="00B6327C" w14:paraId="7F49375B" w14:textId="77777777">
            <w:pPr>
              <w:keepNext/>
              <w:jc w:val="center"/>
              <w:rPr>
                <w:b/>
              </w:rPr>
            </w:pPr>
            <w:r w:rsidRPr="0007222A">
              <w:rPr>
                <w:b/>
              </w:rPr>
              <w:t>Annualized with 3% discounting</w:t>
            </w:r>
          </w:p>
        </w:tc>
        <w:tc>
          <w:tcPr>
            <w:tcW w:w="1011" w:type="pct"/>
            <w:noWrap/>
            <w:hideMark/>
          </w:tcPr>
          <w:p w:rsidR="00B6327C" w:rsidRPr="0007222A" w:rsidP="00B6327C" w14:paraId="7F49375C" w14:textId="77777777">
            <w:pPr>
              <w:keepNext/>
              <w:jc w:val="center"/>
            </w:pPr>
            <w:r>
              <w:t>(</w:t>
            </w:r>
            <w:r w:rsidRPr="00010809">
              <w:t>$</w:t>
            </w:r>
            <w:r w:rsidR="002E7B38">
              <w:t>85</w:t>
            </w:r>
            <w:r w:rsidRPr="00010809">
              <w:t>,000</w:t>
            </w:r>
            <w:r>
              <w:t>)</w:t>
            </w:r>
          </w:p>
        </w:tc>
        <w:tc>
          <w:tcPr>
            <w:tcW w:w="1107" w:type="pct"/>
            <w:noWrap/>
            <w:hideMark/>
          </w:tcPr>
          <w:p w:rsidR="00B6327C" w:rsidRPr="0007222A" w:rsidP="00B6327C" w14:paraId="7F49375D" w14:textId="77777777">
            <w:pPr>
              <w:keepNext/>
              <w:jc w:val="center"/>
            </w:pPr>
            <w:r>
              <w:t>(</w:t>
            </w:r>
            <w:r w:rsidRPr="00010809">
              <w:t>$</w:t>
            </w:r>
            <w:r w:rsidR="002E7B38">
              <w:t>43</w:t>
            </w:r>
            <w:r w:rsidRPr="00010809">
              <w:t>,000</w:t>
            </w:r>
            <w:r>
              <w:t>)</w:t>
            </w:r>
          </w:p>
        </w:tc>
        <w:tc>
          <w:tcPr>
            <w:tcW w:w="1007" w:type="pct"/>
            <w:noWrap/>
            <w:hideMark/>
          </w:tcPr>
          <w:p w:rsidR="00B6327C" w:rsidRPr="0007222A" w:rsidP="00B6327C" w14:paraId="7F49375E" w14:textId="77777777">
            <w:pPr>
              <w:keepNext/>
              <w:jc w:val="center"/>
            </w:pPr>
            <w:r>
              <w:t>(</w:t>
            </w:r>
            <w:r w:rsidRPr="00010809">
              <w:t>$1</w:t>
            </w:r>
            <w:r w:rsidR="002E7B38">
              <w:t>3</w:t>
            </w:r>
            <w:r w:rsidRPr="00010809">
              <w:t>0,000</w:t>
            </w:r>
            <w:r>
              <w:t>)</w:t>
            </w:r>
          </w:p>
        </w:tc>
      </w:tr>
      <w:tr w14:paraId="7F493764" w14:textId="77777777" w:rsidTr="00346B95">
        <w:tblPrEx>
          <w:tblW w:w="5000" w:type="pct"/>
          <w:jc w:val="center"/>
          <w:tblLayout w:type="fixed"/>
          <w:tblLook w:val="04A0"/>
        </w:tblPrEx>
        <w:trPr>
          <w:trHeight w:val="293"/>
          <w:jc w:val="center"/>
        </w:trPr>
        <w:tc>
          <w:tcPr>
            <w:tcW w:w="1875" w:type="pct"/>
            <w:gridSpan w:val="2"/>
            <w:noWrap/>
            <w:hideMark/>
          </w:tcPr>
          <w:p w:rsidR="00B6327C" w:rsidRPr="0007222A" w:rsidP="00B6327C" w14:paraId="7F493760" w14:textId="77777777">
            <w:pPr>
              <w:keepNext/>
              <w:jc w:val="center"/>
              <w:rPr>
                <w:b/>
              </w:rPr>
            </w:pPr>
            <w:r w:rsidRPr="0007222A">
              <w:rPr>
                <w:b/>
              </w:rPr>
              <w:t>Annualized with 7% discounting</w:t>
            </w:r>
          </w:p>
        </w:tc>
        <w:tc>
          <w:tcPr>
            <w:tcW w:w="1011" w:type="pct"/>
            <w:noWrap/>
            <w:hideMark/>
          </w:tcPr>
          <w:p w:rsidR="00B6327C" w:rsidRPr="0007222A" w:rsidP="00B6327C" w14:paraId="7F493761" w14:textId="77777777">
            <w:pPr>
              <w:keepNext/>
              <w:jc w:val="center"/>
            </w:pPr>
            <w:r>
              <w:t>(</w:t>
            </w:r>
            <w:r w:rsidRPr="00010809">
              <w:t>$</w:t>
            </w:r>
            <w:r w:rsidR="002E7B38">
              <w:t>99</w:t>
            </w:r>
            <w:r w:rsidRPr="00010809">
              <w:t>,000</w:t>
            </w:r>
            <w:r>
              <w:t>)</w:t>
            </w:r>
          </w:p>
        </w:tc>
        <w:tc>
          <w:tcPr>
            <w:tcW w:w="1107" w:type="pct"/>
            <w:noWrap/>
            <w:hideMark/>
          </w:tcPr>
          <w:p w:rsidR="00B6327C" w:rsidRPr="0007222A" w:rsidP="00B6327C" w14:paraId="7F493762" w14:textId="77777777">
            <w:pPr>
              <w:keepNext/>
              <w:jc w:val="center"/>
            </w:pPr>
            <w:r>
              <w:t>(</w:t>
            </w:r>
            <w:r w:rsidRPr="00010809">
              <w:t>$</w:t>
            </w:r>
            <w:r w:rsidR="002E7B38">
              <w:t>48</w:t>
            </w:r>
            <w:r w:rsidRPr="00010809">
              <w:t>,000</w:t>
            </w:r>
            <w:r>
              <w:t>)</w:t>
            </w:r>
          </w:p>
        </w:tc>
        <w:tc>
          <w:tcPr>
            <w:tcW w:w="1007" w:type="pct"/>
            <w:noWrap/>
            <w:hideMark/>
          </w:tcPr>
          <w:p w:rsidR="00B6327C" w:rsidRPr="0007222A" w:rsidP="00B6327C" w14:paraId="7F493763" w14:textId="77777777">
            <w:pPr>
              <w:keepNext/>
              <w:jc w:val="center"/>
            </w:pPr>
            <w:r>
              <w:t>(</w:t>
            </w:r>
            <w:r w:rsidRPr="00010809">
              <w:t>$1</w:t>
            </w:r>
            <w:r w:rsidR="002E7B38">
              <w:t>5</w:t>
            </w:r>
            <w:r w:rsidRPr="00010809">
              <w:t>0,000</w:t>
            </w:r>
            <w:r>
              <w:t>)</w:t>
            </w:r>
          </w:p>
        </w:tc>
      </w:tr>
    </w:tbl>
    <w:p w:rsidR="008102FB" w:rsidRPr="00D839EE" w:rsidP="0007222A" w14:paraId="7F493765" w14:textId="77777777">
      <w:pPr>
        <w:rPr>
          <w:rFonts w:cs="Arial"/>
          <w:iCs/>
          <w:sz w:val="18"/>
          <w:szCs w:val="18"/>
        </w:rPr>
      </w:pPr>
      <w:r w:rsidRPr="00D839EE">
        <w:rPr>
          <w:rFonts w:cs="Arial"/>
          <w:sz w:val="18"/>
          <w:szCs w:val="18"/>
        </w:rPr>
        <w:t xml:space="preserve">The following formula was used to calculate discounted annualized costs and benefits (where r is the discount rate and n is the number of years </w:t>
      </w:r>
      <w:r w:rsidR="007E6E02">
        <w:rPr>
          <w:rFonts w:cs="Arial"/>
          <w:sz w:val="18"/>
          <w:szCs w:val="18"/>
        </w:rPr>
        <w:t>(</w:t>
      </w:r>
      <w:r w:rsidR="00F0709E">
        <w:rPr>
          <w:rFonts w:cs="Arial"/>
          <w:sz w:val="18"/>
          <w:szCs w:val="18"/>
        </w:rPr>
        <w:t xml:space="preserve">i.e., </w:t>
      </w:r>
      <w:r w:rsidRPr="00D839EE">
        <w:rPr>
          <w:rFonts w:cs="Arial"/>
          <w:sz w:val="18"/>
          <w:szCs w:val="18"/>
        </w:rPr>
        <w:t>20</w:t>
      </w:r>
      <w:r w:rsidR="00F0709E">
        <w:rPr>
          <w:rFonts w:cs="Arial"/>
          <w:sz w:val="18"/>
          <w:szCs w:val="18"/>
        </w:rPr>
        <w:t xml:space="preserve"> years</w:t>
      </w:r>
      <w:r w:rsidR="008112B1">
        <w:rPr>
          <w:rFonts w:cs="Arial"/>
          <w:sz w:val="18"/>
          <w:szCs w:val="18"/>
        </w:rPr>
        <w:t>)</w:t>
      </w:r>
      <w:r w:rsidRPr="00D839EE">
        <w:rPr>
          <w:rFonts w:cs="Arial"/>
          <w:sz w:val="18"/>
          <w:szCs w:val="18"/>
        </w:rPr>
        <w:t xml:space="preserve">): </w:t>
      </w:r>
      <m:oMath>
        <m:r>
          <w:rPr>
            <w:rFonts w:ascii="Cambria Math" w:hAnsi="Cambria Math"/>
          </w:rPr>
          <m:t xml:space="preserve"> </m:t>
        </m:r>
        <m:r>
          <w:rPr>
            <w:rFonts w:ascii="Cambria Math" w:hAnsi="Cambria Math" w:cs="Arial"/>
            <w:sz w:val="18"/>
            <w:szCs w:val="18"/>
          </w:rPr>
          <m:t>Annualized Cost=Present Value Cost∙</m:t>
        </m:r>
        <m:f>
          <m:fPr>
            <m:ctrlPr>
              <w:rPr>
                <w:rFonts w:ascii="Cambria Math" w:hAnsi="Cambria Math" w:cs="Arial"/>
                <w:i/>
                <w:iCs/>
                <w:sz w:val="18"/>
                <w:szCs w:val="18"/>
              </w:rPr>
            </m:ctrlPr>
          </m:fPr>
          <m:num>
            <m:r>
              <w:rPr>
                <w:rFonts w:ascii="Cambria Math" w:hAnsi="Cambria Math" w:cs="Arial"/>
                <w:sz w:val="18"/>
                <w:szCs w:val="18"/>
              </w:rPr>
              <m:t>r∙</m:t>
            </m:r>
            <m:sSup>
              <m:sSupPr>
                <m:ctrlPr>
                  <w:rPr>
                    <w:rFonts w:ascii="Cambria Math" w:hAnsi="Cambria Math" w:cs="Arial"/>
                    <w:i/>
                    <w:iCs/>
                    <w:sz w:val="18"/>
                    <w:szCs w:val="18"/>
                  </w:rPr>
                </m:ctrlPr>
              </m:sSupPr>
              <m:e>
                <m:d>
                  <m:dPr>
                    <m:ctrlPr>
                      <w:rPr>
                        <w:rFonts w:ascii="Cambria Math" w:hAnsi="Cambria Math" w:cs="Arial"/>
                        <w:i/>
                        <w:iCs/>
                        <w:sz w:val="18"/>
                        <w:szCs w:val="18"/>
                      </w:rPr>
                    </m:ctrlPr>
                  </m:dPr>
                  <m:e>
                    <m:r>
                      <w:rPr>
                        <w:rFonts w:ascii="Cambria Math" w:hAnsi="Cambria Math" w:cs="Arial"/>
                        <w:sz w:val="18"/>
                        <w:szCs w:val="18"/>
                      </w:rPr>
                      <m:t>1+r</m:t>
                    </m:r>
                  </m:e>
                </m:d>
              </m:e>
              <m:sup>
                <m:r>
                  <w:rPr>
                    <w:rFonts w:ascii="Cambria Math" w:hAnsi="Cambria Math" w:cs="Arial"/>
                    <w:sz w:val="18"/>
                    <w:szCs w:val="18"/>
                  </w:rPr>
                  <m:t>n</m:t>
                </m:r>
              </m:sup>
            </m:sSup>
          </m:num>
          <m:den>
            <m:sSup>
              <m:sSupPr>
                <m:ctrlPr>
                  <w:rPr>
                    <w:rFonts w:ascii="Cambria Math" w:hAnsi="Cambria Math" w:cs="Arial"/>
                    <w:i/>
                    <w:iCs/>
                    <w:sz w:val="18"/>
                    <w:szCs w:val="18"/>
                  </w:rPr>
                </m:ctrlPr>
              </m:sSupPr>
              <m:e>
                <m:r>
                  <w:rPr>
                    <w:rFonts w:ascii="Cambria Math" w:hAnsi="Cambria Math" w:cs="Arial"/>
                    <w:sz w:val="18"/>
                    <w:szCs w:val="18"/>
                  </w:rPr>
                  <m:t>(1+r)</m:t>
                </m:r>
              </m:e>
              <m:sup>
                <m:r>
                  <w:rPr>
                    <w:rFonts w:ascii="Cambria Math" w:hAnsi="Cambria Math" w:cs="Arial"/>
                    <w:sz w:val="18"/>
                    <w:szCs w:val="18"/>
                  </w:rPr>
                  <m:t>n</m:t>
                </m:r>
              </m:sup>
            </m:sSup>
            <m:r>
              <w:rPr>
                <w:rFonts w:ascii="Cambria Math" w:hAnsi="Cambria Math" w:cs="Arial"/>
                <w:sz w:val="18"/>
                <w:szCs w:val="18"/>
              </w:rPr>
              <m:t>-1</m:t>
            </m:r>
          </m:den>
        </m:f>
      </m:oMath>
      <w:r w:rsidRPr="00D839EE">
        <w:rPr>
          <w:rFonts w:cs="Arial"/>
          <w:iCs/>
          <w:sz w:val="18"/>
          <w:szCs w:val="18"/>
        </w:rPr>
        <w:t xml:space="preserve"> .</w:t>
      </w:r>
    </w:p>
    <w:p w:rsidR="00BA2FD6" w:rsidRPr="00D839EE" w:rsidP="0007222A" w14:paraId="7F493766" w14:textId="77777777">
      <w:pPr>
        <w:rPr>
          <w:rFonts w:cs="Arial"/>
          <w:sz w:val="18"/>
        </w:rPr>
      </w:pPr>
      <w:r w:rsidRPr="00D839EE">
        <w:rPr>
          <w:rFonts w:cs="Arial"/>
          <w:sz w:val="18"/>
        </w:rPr>
        <w:t>Note that the annualized cost estimates at 3 percent and 7 percent are higher than the undiscounted yearly average cost estimate because the annualized cost formula described above</w:t>
      </w:r>
      <w:r w:rsidRPr="00D839EE" w:rsidR="001C35B4">
        <w:rPr>
          <w:rFonts w:cs="Arial"/>
          <w:sz w:val="18"/>
        </w:rPr>
        <w:t xml:space="preserve"> </w:t>
      </w:r>
      <w:r w:rsidRPr="00D839EE">
        <w:rPr>
          <w:rFonts w:cs="Arial"/>
          <w:sz w:val="18"/>
        </w:rPr>
        <w:t>accounts for both the number of periods (20</w:t>
      </w:r>
      <w:r w:rsidR="008112B1">
        <w:rPr>
          <w:rFonts w:cs="Arial"/>
          <w:sz w:val="18"/>
        </w:rPr>
        <w:t> </w:t>
      </w:r>
      <w:r w:rsidRPr="00D839EE">
        <w:rPr>
          <w:rFonts w:cs="Arial"/>
          <w:sz w:val="18"/>
        </w:rPr>
        <w:t xml:space="preserve">years) and the discount rate, which together in this formula serve as a growth rate. </w:t>
      </w:r>
    </w:p>
    <w:p w:rsidR="00BF5AC4" w:rsidRPr="00D839EE" w:rsidP="0007222A" w14:paraId="7F493767" w14:textId="77777777">
      <w:pPr>
        <w:rPr>
          <w:rFonts w:cs="Arial"/>
          <w:sz w:val="18"/>
        </w:rPr>
      </w:pPr>
      <w:r w:rsidRPr="00D839EE">
        <w:rPr>
          <w:rFonts w:cs="Arial"/>
          <w:sz w:val="18"/>
        </w:rPr>
        <w:t xml:space="preserve">Totals may not </w:t>
      </w:r>
      <w:r w:rsidR="00E54C1E">
        <w:rPr>
          <w:rFonts w:cs="Arial"/>
          <w:sz w:val="18"/>
        </w:rPr>
        <w:t>match</w:t>
      </w:r>
      <w:r w:rsidRPr="00D839EE" w:rsidR="00E54C1E">
        <w:rPr>
          <w:rFonts w:cs="Arial"/>
          <w:sz w:val="18"/>
        </w:rPr>
        <w:t xml:space="preserve"> </w:t>
      </w:r>
      <w:r w:rsidRPr="00D839EE">
        <w:rPr>
          <w:rFonts w:cs="Arial"/>
          <w:sz w:val="18"/>
        </w:rPr>
        <w:t>due to rounding.</w:t>
      </w:r>
    </w:p>
    <w:p w:rsidR="00BF5AC4" w:rsidRPr="00D839EE" w:rsidP="00BF5AC4" w14:paraId="7F493768" w14:textId="77777777">
      <w:pPr>
        <w:rPr>
          <w:rFonts w:cs="Arial"/>
          <w:sz w:val="18"/>
        </w:rPr>
      </w:pPr>
    </w:p>
    <w:p w:rsidR="002F0F5F" w:rsidRPr="00D839EE" w:rsidP="00BF5AC4" w14:paraId="7F493769" w14:textId="144EB8E5">
      <w:pPr>
        <w:rPr>
          <w:rFonts w:cs="Arial"/>
        </w:rPr>
      </w:pPr>
      <w:r>
        <w:rPr>
          <w:rFonts w:cs="Arial"/>
          <w:sz w:val="22"/>
          <w:szCs w:val="22"/>
        </w:rPr>
        <w:t>Implementation of</w:t>
      </w:r>
      <w:r w:rsidRPr="00D839EE" w:rsidR="00BF5AC4">
        <w:rPr>
          <w:rFonts w:cs="Arial"/>
          <w:sz w:val="22"/>
          <w:szCs w:val="22"/>
        </w:rPr>
        <w:t xml:space="preserve"> Option 3</w:t>
      </w:r>
      <w:r w:rsidR="004D0A48">
        <w:rPr>
          <w:rFonts w:cs="Arial"/>
          <w:sz w:val="22"/>
          <w:szCs w:val="22"/>
        </w:rPr>
        <w:t xml:space="preserve"> </w:t>
      </w:r>
      <w:r w:rsidR="00C036AC">
        <w:rPr>
          <w:rFonts w:cs="Arial"/>
          <w:sz w:val="22"/>
          <w:szCs w:val="22"/>
        </w:rPr>
        <w:t xml:space="preserve">will realize </w:t>
      </w:r>
      <w:r w:rsidRPr="00D839EE" w:rsidR="00BF5AC4">
        <w:rPr>
          <w:rFonts w:cs="Arial"/>
          <w:sz w:val="22"/>
          <w:szCs w:val="22"/>
        </w:rPr>
        <w:t xml:space="preserve">a number of </w:t>
      </w:r>
      <w:r w:rsidR="00685F98">
        <w:rPr>
          <w:rFonts w:cs="Arial"/>
          <w:sz w:val="22"/>
          <w:szCs w:val="22"/>
        </w:rPr>
        <w:t>benefits and averted costs</w:t>
      </w:r>
      <w:r w:rsidRPr="00D839EE" w:rsidR="00BF5AC4">
        <w:rPr>
          <w:rFonts w:cs="Arial"/>
          <w:sz w:val="22"/>
          <w:szCs w:val="22"/>
        </w:rPr>
        <w:t xml:space="preserve"> </w:t>
      </w:r>
      <w:r w:rsidR="004D0A48">
        <w:rPr>
          <w:rFonts w:cs="Arial"/>
          <w:sz w:val="22"/>
          <w:szCs w:val="22"/>
        </w:rPr>
        <w:t>to both the NRC and NPUFs</w:t>
      </w:r>
      <w:r w:rsidRPr="00D839EE" w:rsidR="00BF5AC4">
        <w:rPr>
          <w:rFonts w:cs="Arial"/>
          <w:sz w:val="22"/>
          <w:szCs w:val="22"/>
        </w:rPr>
        <w:t xml:space="preserve">, as the license renewal process </w:t>
      </w:r>
      <w:r w:rsidRPr="00D839EE" w:rsidR="00BC5E9F">
        <w:rPr>
          <w:rFonts w:cs="Arial"/>
          <w:sz w:val="22"/>
          <w:szCs w:val="22"/>
        </w:rPr>
        <w:t>will</w:t>
      </w:r>
      <w:r w:rsidRPr="00D839EE" w:rsidR="00BF5AC4">
        <w:rPr>
          <w:rFonts w:cs="Arial"/>
          <w:sz w:val="22"/>
          <w:szCs w:val="22"/>
        </w:rPr>
        <w:t xml:space="preserve"> be </w:t>
      </w:r>
      <w:r w:rsidR="000027C8">
        <w:rPr>
          <w:rFonts w:cs="Arial"/>
          <w:sz w:val="22"/>
          <w:szCs w:val="22"/>
        </w:rPr>
        <w:t>replaced with</w:t>
      </w:r>
      <w:r w:rsidRPr="00D839EE" w:rsidR="00BF5AC4">
        <w:rPr>
          <w:rFonts w:cs="Arial"/>
          <w:sz w:val="22"/>
          <w:szCs w:val="22"/>
        </w:rPr>
        <w:t xml:space="preserve"> non</w:t>
      </w:r>
      <w:r w:rsidR="004D0A48">
        <w:rPr>
          <w:rFonts w:cs="Arial"/>
          <w:sz w:val="22"/>
          <w:szCs w:val="22"/>
        </w:rPr>
        <w:t>-</w:t>
      </w:r>
      <w:r w:rsidRPr="00D839EE" w:rsidR="00BF5AC4">
        <w:rPr>
          <w:rFonts w:cs="Arial"/>
          <w:sz w:val="22"/>
          <w:szCs w:val="22"/>
        </w:rPr>
        <w:t>expiring licenses for qualifying facilities.  The NRC estimates the benefits of Option 3 (</w:t>
      </w:r>
      <w:r w:rsidR="004446FF">
        <w:rPr>
          <w:rFonts w:cs="Arial"/>
          <w:sz w:val="22"/>
          <w:szCs w:val="22"/>
        </w:rPr>
        <w:t xml:space="preserve">i.e., costs </w:t>
      </w:r>
      <w:r w:rsidR="00273490">
        <w:rPr>
          <w:rFonts w:cs="Arial"/>
          <w:sz w:val="22"/>
          <w:szCs w:val="22"/>
        </w:rPr>
        <w:t>averted</w:t>
      </w:r>
      <w:r w:rsidR="004446FF">
        <w:rPr>
          <w:rFonts w:cs="Arial"/>
          <w:sz w:val="22"/>
          <w:szCs w:val="22"/>
        </w:rPr>
        <w:t xml:space="preserve"> from license renewals that will not occur</w:t>
      </w:r>
      <w:r w:rsidRPr="00D839EE" w:rsidR="00BF5AC4">
        <w:rPr>
          <w:rFonts w:cs="Arial"/>
          <w:sz w:val="22"/>
          <w:szCs w:val="22"/>
        </w:rPr>
        <w:t>) by estimating the cost of the current license renewal process.  By moving to non</w:t>
      </w:r>
      <w:r w:rsidR="004D0A48">
        <w:rPr>
          <w:rFonts w:cs="Arial"/>
          <w:sz w:val="22"/>
          <w:szCs w:val="22"/>
        </w:rPr>
        <w:t>-</w:t>
      </w:r>
      <w:r w:rsidRPr="00D839EE" w:rsidR="00BF5AC4">
        <w:rPr>
          <w:rFonts w:cs="Arial"/>
          <w:sz w:val="22"/>
          <w:szCs w:val="22"/>
        </w:rPr>
        <w:t>expiring licenses, Option</w:t>
      </w:r>
      <w:r w:rsidR="008112B1">
        <w:rPr>
          <w:rFonts w:cs="Arial"/>
          <w:sz w:val="22"/>
          <w:szCs w:val="22"/>
        </w:rPr>
        <w:t> </w:t>
      </w:r>
      <w:r w:rsidRPr="00D839EE" w:rsidR="00BF5AC4">
        <w:rPr>
          <w:rFonts w:cs="Arial"/>
          <w:sz w:val="22"/>
          <w:szCs w:val="22"/>
        </w:rPr>
        <w:t xml:space="preserve">3 </w:t>
      </w:r>
      <w:r w:rsidRPr="00D839EE" w:rsidR="00BC5E9F">
        <w:rPr>
          <w:rFonts w:cs="Arial"/>
          <w:sz w:val="22"/>
          <w:szCs w:val="22"/>
        </w:rPr>
        <w:t>will</w:t>
      </w:r>
      <w:r w:rsidRPr="00D839EE" w:rsidR="00BF5AC4">
        <w:rPr>
          <w:rFonts w:cs="Arial"/>
          <w:sz w:val="22"/>
          <w:szCs w:val="22"/>
        </w:rPr>
        <w:t xml:space="preserve"> result in incremental </w:t>
      </w:r>
      <w:r w:rsidR="007F22A0">
        <w:rPr>
          <w:rFonts w:cs="Arial"/>
          <w:sz w:val="22"/>
          <w:szCs w:val="22"/>
        </w:rPr>
        <w:t>averted costs</w:t>
      </w:r>
      <w:r w:rsidRPr="00D839EE" w:rsidR="007F22A0">
        <w:rPr>
          <w:rFonts w:cs="Arial"/>
          <w:sz w:val="22"/>
          <w:szCs w:val="22"/>
        </w:rPr>
        <w:t xml:space="preserve"> </w:t>
      </w:r>
      <w:r w:rsidRPr="00D839EE" w:rsidR="00BF5AC4">
        <w:rPr>
          <w:rFonts w:cs="Arial"/>
          <w:sz w:val="22"/>
          <w:szCs w:val="22"/>
        </w:rPr>
        <w:t xml:space="preserve">of </w:t>
      </w:r>
      <w:r w:rsidRPr="00D839EE" w:rsidR="00E302A6">
        <w:rPr>
          <w:rFonts w:cs="Arial"/>
          <w:sz w:val="22"/>
          <w:szCs w:val="22"/>
        </w:rPr>
        <w:t>$1</w:t>
      </w:r>
      <w:r w:rsidR="00E302A6">
        <w:rPr>
          <w:rFonts w:cs="Arial"/>
          <w:sz w:val="22"/>
          <w:szCs w:val="22"/>
        </w:rPr>
        <w:t xml:space="preserve">4 million </w:t>
      </w:r>
      <w:r w:rsidRPr="00D839EE" w:rsidR="00E302A6">
        <w:rPr>
          <w:rFonts w:cs="Arial"/>
          <w:sz w:val="22"/>
          <w:szCs w:val="22"/>
        </w:rPr>
        <w:t>using a 3</w:t>
      </w:r>
      <w:r w:rsidR="00E302A6">
        <w:rPr>
          <w:rFonts w:cs="Arial"/>
          <w:sz w:val="22"/>
          <w:szCs w:val="22"/>
        </w:rPr>
        <w:t>-</w:t>
      </w:r>
      <w:r w:rsidRPr="00D839EE" w:rsidR="00E302A6">
        <w:rPr>
          <w:rFonts w:cs="Arial"/>
          <w:sz w:val="22"/>
          <w:szCs w:val="22"/>
        </w:rPr>
        <w:t xml:space="preserve">percent discount rate </w:t>
      </w:r>
      <w:r w:rsidR="00E302A6">
        <w:rPr>
          <w:rFonts w:cs="Arial"/>
          <w:sz w:val="22"/>
          <w:szCs w:val="22"/>
        </w:rPr>
        <w:t xml:space="preserve">or </w:t>
      </w:r>
      <w:r w:rsidRPr="00D839EE" w:rsidR="00BF5AC4">
        <w:rPr>
          <w:rFonts w:cs="Arial"/>
          <w:sz w:val="22"/>
          <w:szCs w:val="22"/>
        </w:rPr>
        <w:t>$</w:t>
      </w:r>
      <w:r w:rsidRPr="00D839EE" w:rsidR="00564C0D">
        <w:rPr>
          <w:rFonts w:cs="Arial"/>
          <w:sz w:val="22"/>
          <w:szCs w:val="22"/>
        </w:rPr>
        <w:t>1</w:t>
      </w:r>
      <w:r w:rsidR="00986969">
        <w:rPr>
          <w:rFonts w:cs="Arial"/>
          <w:sz w:val="22"/>
          <w:szCs w:val="22"/>
        </w:rPr>
        <w:t>0</w:t>
      </w:r>
      <w:r w:rsidRPr="00D839EE" w:rsidR="008C1FD2">
        <w:rPr>
          <w:rFonts w:cs="Arial"/>
          <w:sz w:val="22"/>
          <w:szCs w:val="22"/>
        </w:rPr>
        <w:t xml:space="preserve"> </w:t>
      </w:r>
      <w:r w:rsidRPr="00D839EE" w:rsidR="00BF5AC4">
        <w:rPr>
          <w:rFonts w:cs="Arial"/>
          <w:sz w:val="22"/>
          <w:szCs w:val="22"/>
        </w:rPr>
        <w:t>million using a 7</w:t>
      </w:r>
      <w:r w:rsidR="008112B1">
        <w:rPr>
          <w:rFonts w:cs="Arial"/>
          <w:sz w:val="22"/>
          <w:szCs w:val="22"/>
        </w:rPr>
        <w:t>-</w:t>
      </w:r>
      <w:r w:rsidRPr="00D839EE" w:rsidR="00BF5AC4">
        <w:rPr>
          <w:rFonts w:cs="Arial"/>
          <w:sz w:val="22"/>
          <w:szCs w:val="22"/>
        </w:rPr>
        <w:t xml:space="preserve">percent discount rate over the 20-year analysis period.  </w:t>
      </w:r>
      <w:r w:rsidRPr="00CF41A7" w:rsidR="00642562">
        <w:rPr>
          <w:rFonts w:cs="Arial"/>
          <w:sz w:val="22"/>
          <w:szCs w:val="22"/>
        </w:rPr>
        <w:fldChar w:fldCharType="begin"/>
      </w:r>
      <w:r w:rsidRPr="00CF41A7" w:rsidR="00642562">
        <w:rPr>
          <w:rFonts w:cs="Arial"/>
          <w:sz w:val="22"/>
          <w:szCs w:val="22"/>
        </w:rPr>
        <w:instrText xml:space="preserve"> REF _Ref534035100 \h </w:instrText>
      </w:r>
      <w:r w:rsidRPr="00B45BB6" w:rsidR="00642562">
        <w:rPr>
          <w:rFonts w:cs="Arial"/>
          <w:sz w:val="22"/>
          <w:szCs w:val="22"/>
        </w:rPr>
        <w:instrText xml:space="preserve"> \* MERGEFORMAT </w:instrText>
      </w:r>
      <w:r w:rsidRPr="00CF41A7" w:rsidR="00642562">
        <w:rPr>
          <w:rFonts w:cs="Arial"/>
          <w:sz w:val="22"/>
          <w:szCs w:val="22"/>
        </w:rPr>
        <w:fldChar w:fldCharType="separate"/>
      </w:r>
      <w:r w:rsidRPr="00977795" w:rsidR="00977795">
        <w:rPr>
          <w:sz w:val="22"/>
          <w:szCs w:val="22"/>
        </w:rPr>
        <w:t>Exhibit 3</w:t>
      </w:r>
      <w:r w:rsidRPr="00977795" w:rsidR="00977795">
        <w:rPr>
          <w:sz w:val="22"/>
          <w:szCs w:val="22"/>
        </w:rPr>
        <w:noBreakHyphen/>
        <w:t>8</w:t>
      </w:r>
      <w:r w:rsidRPr="00CF41A7" w:rsidR="00642562">
        <w:rPr>
          <w:rFonts w:cs="Arial"/>
          <w:sz w:val="22"/>
          <w:szCs w:val="22"/>
        </w:rPr>
        <w:fldChar w:fldCharType="end"/>
      </w:r>
      <w:r w:rsidR="00642562">
        <w:rPr>
          <w:rFonts w:cs="Arial"/>
          <w:sz w:val="22"/>
          <w:szCs w:val="22"/>
        </w:rPr>
        <w:t xml:space="preserve"> </w:t>
      </w:r>
      <w:r w:rsidRPr="00D839EE" w:rsidR="00BF5AC4">
        <w:rPr>
          <w:rFonts w:cs="Arial"/>
          <w:sz w:val="22"/>
          <w:szCs w:val="22"/>
        </w:rPr>
        <w:t xml:space="preserve">presents the breakdown of total </w:t>
      </w:r>
      <w:r w:rsidR="00E8226D">
        <w:rPr>
          <w:rFonts w:cs="Arial"/>
          <w:sz w:val="22"/>
          <w:szCs w:val="22"/>
        </w:rPr>
        <w:t>averted cost</w:t>
      </w:r>
      <w:r w:rsidRPr="00D839EE" w:rsidR="00E8226D">
        <w:rPr>
          <w:rFonts w:cs="Arial"/>
          <w:sz w:val="22"/>
          <w:szCs w:val="22"/>
        </w:rPr>
        <w:t>s</w:t>
      </w:r>
      <w:r w:rsidRPr="00D839EE" w:rsidR="00BF5AC4">
        <w:rPr>
          <w:rFonts w:cs="Arial"/>
        </w:rPr>
        <w:t xml:space="preserve">. </w:t>
      </w:r>
    </w:p>
    <w:p w:rsidR="002F0F5F" w:rsidRPr="00D21283" w:rsidP="00BF5AC4" w14:paraId="7F49376A" w14:textId="77777777">
      <w:pPr>
        <w:rPr>
          <w:rFonts w:cs="Arial"/>
          <w:sz w:val="22"/>
          <w:szCs w:val="22"/>
        </w:rPr>
      </w:pPr>
    </w:p>
    <w:p w:rsidR="005C3593" w:rsidRPr="000F7FD1" w:rsidP="00282C4C" w14:paraId="7F49376B" w14:textId="357FB27D">
      <w:pPr>
        <w:pStyle w:val="Caption"/>
        <w:keepNext/>
        <w:spacing w:after="0"/>
        <w:jc w:val="center"/>
        <w:rPr>
          <w:b/>
          <w:color w:val="auto"/>
          <w:sz w:val="22"/>
          <w:szCs w:val="22"/>
        </w:rPr>
      </w:pPr>
      <w:bookmarkStart w:id="178" w:name="_Ref534035100"/>
      <w:bookmarkStart w:id="179" w:name="_Toc534037056"/>
      <w:bookmarkStart w:id="180" w:name="_Toc534709843"/>
      <w:bookmarkStart w:id="181" w:name="_Toc534710001"/>
      <w:bookmarkStart w:id="182" w:name="_Toc534711686"/>
      <w:bookmarkStart w:id="183" w:name="_Toc534711933"/>
      <w:bookmarkStart w:id="184" w:name="_Toc534712119"/>
      <w:bookmarkStart w:id="185" w:name="_Toc534712696"/>
      <w:bookmarkStart w:id="186" w:name="_Toc534713205"/>
      <w:bookmarkStart w:id="187" w:name="_Toc9526465"/>
      <w:bookmarkStart w:id="188" w:name="_Toc536603414"/>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8</w:t>
      </w:r>
      <w:r w:rsidRPr="000F7FD1" w:rsidR="00C276FC">
        <w:rPr>
          <w:b/>
          <w:i w:val="0"/>
          <w:color w:val="auto"/>
          <w:sz w:val="22"/>
          <w:szCs w:val="22"/>
        </w:rPr>
        <w:fldChar w:fldCharType="end"/>
      </w:r>
      <w:bookmarkEnd w:id="178"/>
      <w:r w:rsidRPr="000F7FD1">
        <w:rPr>
          <w:b/>
          <w:i w:val="0"/>
          <w:color w:val="auto"/>
          <w:sz w:val="22"/>
          <w:szCs w:val="22"/>
        </w:rPr>
        <w:t>. Summary of Total Averted Costs for Option 3 [Selected-Final Rule] (</w:t>
      </w:r>
      <w:r w:rsidRPr="000F7FD1" w:rsidR="009170F7">
        <w:rPr>
          <w:b/>
          <w:i w:val="0"/>
          <w:color w:val="auto"/>
          <w:sz w:val="22"/>
          <w:szCs w:val="22"/>
        </w:rPr>
        <w:t>2020$</w:t>
      </w:r>
      <w:r w:rsidRPr="000F7FD1">
        <w:rPr>
          <w:b/>
          <w:i w:val="0"/>
          <w:color w:val="auto"/>
          <w:sz w:val="22"/>
          <w:szCs w:val="22"/>
        </w:rPr>
        <w:t>)</w:t>
      </w:r>
      <w:bookmarkEnd w:id="179"/>
      <w:bookmarkEnd w:id="180"/>
      <w:bookmarkEnd w:id="181"/>
      <w:bookmarkEnd w:id="182"/>
      <w:bookmarkEnd w:id="183"/>
      <w:bookmarkEnd w:id="184"/>
      <w:bookmarkEnd w:id="185"/>
      <w:bookmarkEnd w:id="186"/>
      <w:bookmarkEnd w:id="187"/>
      <w:bookmarkEnd w:id="188"/>
    </w:p>
    <w:tbl>
      <w:tblPr>
        <w:tblStyle w:val="TableGrid"/>
        <w:tblW w:w="9324" w:type="dxa"/>
        <w:jc w:val="center"/>
        <w:tblLayout w:type="fixed"/>
        <w:tblLook w:val="04A0"/>
      </w:tblPr>
      <w:tblGrid>
        <w:gridCol w:w="1403"/>
        <w:gridCol w:w="2637"/>
        <w:gridCol w:w="2028"/>
        <w:gridCol w:w="1606"/>
        <w:gridCol w:w="1650"/>
      </w:tblGrid>
      <w:tr w14:paraId="7F493770" w14:textId="77777777" w:rsidTr="00DF41C8">
        <w:tblPrEx>
          <w:tblW w:w="9324" w:type="dxa"/>
          <w:jc w:val="center"/>
          <w:tblLayout w:type="fixed"/>
          <w:tblLook w:val="04A0"/>
        </w:tblPrEx>
        <w:trPr>
          <w:trHeight w:val="206"/>
          <w:jc w:val="center"/>
        </w:trPr>
        <w:tc>
          <w:tcPr>
            <w:tcW w:w="4040" w:type="dxa"/>
            <w:gridSpan w:val="2"/>
            <w:vMerge w:val="restart"/>
            <w:noWrap/>
            <w:hideMark/>
          </w:tcPr>
          <w:p w:rsidR="00746558" w:rsidRPr="0007222A" w:rsidP="005F6062" w14:paraId="7F49376C" w14:textId="77777777">
            <w:pPr>
              <w:keepNext/>
              <w:jc w:val="center"/>
              <w:rPr>
                <w:b/>
              </w:rPr>
            </w:pPr>
            <w:r w:rsidRPr="0007222A">
              <w:rPr>
                <w:b/>
              </w:rPr>
              <w:t>Year</w:t>
            </w:r>
          </w:p>
        </w:tc>
        <w:tc>
          <w:tcPr>
            <w:tcW w:w="2028" w:type="dxa"/>
            <w:noWrap/>
            <w:hideMark/>
          </w:tcPr>
          <w:p w:rsidR="00746558" w:rsidRPr="0007222A" w:rsidP="005F6062" w14:paraId="7F49376D" w14:textId="77777777">
            <w:pPr>
              <w:keepNext/>
              <w:jc w:val="center"/>
              <w:rPr>
                <w:b/>
              </w:rPr>
            </w:pPr>
            <w:r w:rsidRPr="00D839EE">
              <w:rPr>
                <w:rFonts w:cs="Arial"/>
                <w:b/>
                <w:bCs/>
              </w:rPr>
              <w:t xml:space="preserve">Licensee </w:t>
            </w:r>
            <w:r w:rsidR="00E8226D">
              <w:rPr>
                <w:b/>
              </w:rPr>
              <w:t>Averted Costs</w:t>
            </w:r>
          </w:p>
        </w:tc>
        <w:tc>
          <w:tcPr>
            <w:tcW w:w="1606" w:type="dxa"/>
            <w:noWrap/>
            <w:hideMark/>
          </w:tcPr>
          <w:p w:rsidR="00746558" w:rsidRPr="0007222A" w:rsidP="005F6062" w14:paraId="7F49376E" w14:textId="77777777">
            <w:pPr>
              <w:keepNext/>
              <w:jc w:val="center"/>
              <w:rPr>
                <w:b/>
              </w:rPr>
            </w:pPr>
            <w:r w:rsidRPr="0007222A">
              <w:rPr>
                <w:b/>
              </w:rPr>
              <w:t>NRC</w:t>
            </w:r>
            <w:r w:rsidRPr="00D839EE">
              <w:rPr>
                <w:rFonts w:cs="Arial"/>
                <w:b/>
                <w:bCs/>
              </w:rPr>
              <w:t xml:space="preserve"> </w:t>
            </w:r>
            <w:r w:rsidR="00E8226D">
              <w:rPr>
                <w:b/>
              </w:rPr>
              <w:t>Averted Costs</w:t>
            </w:r>
          </w:p>
        </w:tc>
        <w:tc>
          <w:tcPr>
            <w:tcW w:w="1650" w:type="dxa"/>
            <w:noWrap/>
            <w:hideMark/>
          </w:tcPr>
          <w:p w:rsidR="00746558" w:rsidRPr="0007222A" w:rsidP="005F6062" w14:paraId="7F49376F" w14:textId="77777777">
            <w:pPr>
              <w:keepNext/>
              <w:jc w:val="center"/>
              <w:rPr>
                <w:b/>
              </w:rPr>
            </w:pPr>
            <w:r w:rsidRPr="0007222A">
              <w:rPr>
                <w:b/>
              </w:rPr>
              <w:t>Total</w:t>
            </w:r>
            <w:r w:rsidRPr="00D839EE">
              <w:rPr>
                <w:rFonts w:cs="Arial"/>
                <w:b/>
                <w:bCs/>
              </w:rPr>
              <w:t xml:space="preserve"> </w:t>
            </w:r>
            <w:r w:rsidR="00E8226D">
              <w:rPr>
                <w:b/>
              </w:rPr>
              <w:t>Averted Costs</w:t>
            </w:r>
          </w:p>
        </w:tc>
      </w:tr>
      <w:tr w14:paraId="7F493775" w14:textId="77777777" w:rsidTr="00DF41C8">
        <w:tblPrEx>
          <w:tblW w:w="9324" w:type="dxa"/>
          <w:jc w:val="center"/>
          <w:tblLayout w:type="fixed"/>
          <w:tblLook w:val="04A0"/>
        </w:tblPrEx>
        <w:trPr>
          <w:trHeight w:val="62"/>
          <w:jc w:val="center"/>
        </w:trPr>
        <w:tc>
          <w:tcPr>
            <w:tcW w:w="4040" w:type="dxa"/>
            <w:gridSpan w:val="2"/>
            <w:vMerge/>
            <w:hideMark/>
          </w:tcPr>
          <w:p w:rsidR="00746558" w:rsidRPr="0007222A" w:rsidP="005F6062" w14:paraId="7F493771" w14:textId="77777777">
            <w:pPr>
              <w:keepNext/>
              <w:jc w:val="center"/>
              <w:rPr>
                <w:b/>
              </w:rPr>
            </w:pPr>
          </w:p>
        </w:tc>
        <w:tc>
          <w:tcPr>
            <w:tcW w:w="2028" w:type="dxa"/>
            <w:noWrap/>
            <w:hideMark/>
          </w:tcPr>
          <w:p w:rsidR="00746558" w:rsidRPr="0007222A" w:rsidP="005F6062" w14:paraId="7F493772" w14:textId="77777777">
            <w:pPr>
              <w:keepNext/>
              <w:jc w:val="center"/>
              <w:rPr>
                <w:b/>
              </w:rPr>
            </w:pPr>
            <w:r w:rsidRPr="0007222A">
              <w:rPr>
                <w:b/>
              </w:rPr>
              <w:t>A</w:t>
            </w:r>
          </w:p>
        </w:tc>
        <w:tc>
          <w:tcPr>
            <w:tcW w:w="1606" w:type="dxa"/>
            <w:noWrap/>
            <w:hideMark/>
          </w:tcPr>
          <w:p w:rsidR="00746558" w:rsidRPr="0007222A" w:rsidP="005F6062" w14:paraId="7F493773" w14:textId="77777777">
            <w:pPr>
              <w:keepNext/>
              <w:jc w:val="center"/>
              <w:rPr>
                <w:b/>
              </w:rPr>
            </w:pPr>
            <w:r w:rsidRPr="0007222A">
              <w:rPr>
                <w:b/>
              </w:rPr>
              <w:t>B</w:t>
            </w:r>
          </w:p>
        </w:tc>
        <w:tc>
          <w:tcPr>
            <w:tcW w:w="1650" w:type="dxa"/>
            <w:noWrap/>
            <w:hideMark/>
          </w:tcPr>
          <w:p w:rsidR="00746558" w:rsidRPr="0007222A" w:rsidP="005F6062" w14:paraId="7F493774" w14:textId="77777777">
            <w:pPr>
              <w:keepNext/>
              <w:jc w:val="center"/>
              <w:rPr>
                <w:b/>
              </w:rPr>
            </w:pPr>
            <w:r w:rsidRPr="0007222A">
              <w:rPr>
                <w:b/>
              </w:rPr>
              <w:t>C = A + B</w:t>
            </w:r>
          </w:p>
        </w:tc>
      </w:tr>
      <w:tr w14:paraId="7F49377B"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76" w14:textId="77777777">
            <w:pPr>
              <w:keepNext/>
              <w:jc w:val="center"/>
              <w:rPr>
                <w:b/>
              </w:rPr>
            </w:pPr>
            <w:r w:rsidRPr="0007222A">
              <w:rPr>
                <w:b/>
              </w:rPr>
              <w:t>1</w:t>
            </w:r>
          </w:p>
        </w:tc>
        <w:tc>
          <w:tcPr>
            <w:tcW w:w="2637" w:type="dxa"/>
            <w:noWrap/>
            <w:hideMark/>
          </w:tcPr>
          <w:p w:rsidR="00F81E48" w:rsidRPr="0007222A" w:rsidP="005F6062" w14:paraId="7F493777" w14:textId="77777777">
            <w:pPr>
              <w:keepNext/>
              <w:jc w:val="center"/>
              <w:rPr>
                <w:b/>
              </w:rPr>
            </w:pPr>
            <w:r w:rsidRPr="0007222A">
              <w:rPr>
                <w:b/>
              </w:rPr>
              <w:t>2020</w:t>
            </w:r>
          </w:p>
        </w:tc>
        <w:tc>
          <w:tcPr>
            <w:tcW w:w="2028" w:type="dxa"/>
            <w:noWrap/>
            <w:hideMark/>
          </w:tcPr>
          <w:p w:rsidR="00F81E48" w:rsidRPr="0007222A" w:rsidP="005F6062" w14:paraId="7F493778" w14:textId="77777777">
            <w:pPr>
              <w:keepNext/>
              <w:jc w:val="center"/>
            </w:pPr>
            <w:r w:rsidRPr="00750D47">
              <w:t>$0</w:t>
            </w:r>
          </w:p>
        </w:tc>
        <w:tc>
          <w:tcPr>
            <w:tcW w:w="1606" w:type="dxa"/>
            <w:noWrap/>
            <w:hideMark/>
          </w:tcPr>
          <w:p w:rsidR="00F81E48" w:rsidRPr="0007222A" w:rsidP="005F6062" w14:paraId="7F493779" w14:textId="77777777">
            <w:pPr>
              <w:keepNext/>
              <w:jc w:val="center"/>
            </w:pPr>
            <w:r w:rsidRPr="00750D47">
              <w:t>$0</w:t>
            </w:r>
          </w:p>
        </w:tc>
        <w:tc>
          <w:tcPr>
            <w:tcW w:w="1650" w:type="dxa"/>
            <w:noWrap/>
            <w:hideMark/>
          </w:tcPr>
          <w:p w:rsidR="00F81E48" w:rsidRPr="0007222A" w:rsidP="005F6062" w14:paraId="7F49377A" w14:textId="77777777">
            <w:pPr>
              <w:keepNext/>
              <w:jc w:val="center"/>
            </w:pPr>
            <w:r w:rsidRPr="00750D47">
              <w:t>$0</w:t>
            </w:r>
          </w:p>
        </w:tc>
      </w:tr>
      <w:tr w14:paraId="7F493781"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7C" w14:textId="77777777">
            <w:pPr>
              <w:keepNext/>
              <w:jc w:val="center"/>
              <w:rPr>
                <w:b/>
              </w:rPr>
            </w:pPr>
            <w:r w:rsidRPr="0007222A">
              <w:rPr>
                <w:b/>
              </w:rPr>
              <w:t>2</w:t>
            </w:r>
          </w:p>
        </w:tc>
        <w:tc>
          <w:tcPr>
            <w:tcW w:w="2637" w:type="dxa"/>
            <w:noWrap/>
            <w:hideMark/>
          </w:tcPr>
          <w:p w:rsidR="00F81E48" w:rsidRPr="0007222A" w:rsidP="005F6062" w14:paraId="7F49377D" w14:textId="77777777">
            <w:pPr>
              <w:keepNext/>
              <w:jc w:val="center"/>
              <w:rPr>
                <w:b/>
              </w:rPr>
            </w:pPr>
            <w:r w:rsidRPr="0007222A">
              <w:rPr>
                <w:b/>
              </w:rPr>
              <w:t>2021</w:t>
            </w:r>
          </w:p>
        </w:tc>
        <w:tc>
          <w:tcPr>
            <w:tcW w:w="2028" w:type="dxa"/>
            <w:noWrap/>
            <w:hideMark/>
          </w:tcPr>
          <w:p w:rsidR="00F81E48" w:rsidRPr="0007222A" w:rsidP="005F6062" w14:paraId="7F49377E" w14:textId="77777777">
            <w:pPr>
              <w:keepNext/>
              <w:jc w:val="center"/>
            </w:pPr>
            <w:r w:rsidRPr="00750D47">
              <w:t>$</w:t>
            </w:r>
            <w:r w:rsidRPr="00750D47" w:rsidR="00371B4C">
              <w:t>2</w:t>
            </w:r>
            <w:r w:rsidR="00371B4C">
              <w:t>1</w:t>
            </w:r>
            <w:r w:rsidRPr="00750D47" w:rsidR="00371B4C">
              <w:t>0</w:t>
            </w:r>
            <w:r w:rsidRPr="00750D47">
              <w:t>,000</w:t>
            </w:r>
          </w:p>
        </w:tc>
        <w:tc>
          <w:tcPr>
            <w:tcW w:w="1606" w:type="dxa"/>
            <w:noWrap/>
            <w:hideMark/>
          </w:tcPr>
          <w:p w:rsidR="00F81E48" w:rsidRPr="0007222A" w:rsidP="005F6062" w14:paraId="7F49377F" w14:textId="77777777">
            <w:pPr>
              <w:keepNext/>
              <w:jc w:val="center"/>
            </w:pPr>
            <w:r w:rsidRPr="00750D47">
              <w:t>$350,000</w:t>
            </w:r>
          </w:p>
        </w:tc>
        <w:tc>
          <w:tcPr>
            <w:tcW w:w="1650" w:type="dxa"/>
            <w:noWrap/>
            <w:hideMark/>
          </w:tcPr>
          <w:p w:rsidR="00F81E48" w:rsidRPr="0007222A" w:rsidP="005F6062" w14:paraId="7F493780" w14:textId="77777777">
            <w:pPr>
              <w:keepNext/>
              <w:jc w:val="center"/>
            </w:pPr>
            <w:r w:rsidRPr="00750D47">
              <w:t>$</w:t>
            </w:r>
            <w:r w:rsidRPr="00750D47" w:rsidR="00371B4C">
              <w:t>5</w:t>
            </w:r>
            <w:r w:rsidR="00371B4C">
              <w:t>6</w:t>
            </w:r>
            <w:r w:rsidRPr="00750D47" w:rsidR="00371B4C">
              <w:t>0</w:t>
            </w:r>
            <w:r w:rsidRPr="00750D47">
              <w:t>,000</w:t>
            </w:r>
          </w:p>
        </w:tc>
      </w:tr>
      <w:tr w14:paraId="7F493787"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82" w14:textId="77777777">
            <w:pPr>
              <w:keepNext/>
              <w:jc w:val="center"/>
              <w:rPr>
                <w:b/>
              </w:rPr>
            </w:pPr>
            <w:r w:rsidRPr="0007222A">
              <w:rPr>
                <w:b/>
              </w:rPr>
              <w:t>3</w:t>
            </w:r>
          </w:p>
        </w:tc>
        <w:tc>
          <w:tcPr>
            <w:tcW w:w="2637" w:type="dxa"/>
            <w:noWrap/>
            <w:hideMark/>
          </w:tcPr>
          <w:p w:rsidR="00F81E48" w:rsidRPr="0007222A" w:rsidP="005F6062" w14:paraId="7F493783" w14:textId="77777777">
            <w:pPr>
              <w:keepNext/>
              <w:jc w:val="center"/>
              <w:rPr>
                <w:b/>
              </w:rPr>
            </w:pPr>
            <w:r w:rsidRPr="0007222A">
              <w:rPr>
                <w:b/>
              </w:rPr>
              <w:t>2022</w:t>
            </w:r>
          </w:p>
        </w:tc>
        <w:tc>
          <w:tcPr>
            <w:tcW w:w="2028" w:type="dxa"/>
            <w:noWrap/>
            <w:hideMark/>
          </w:tcPr>
          <w:p w:rsidR="00F81E48" w:rsidRPr="0007222A" w:rsidP="005F6062" w14:paraId="7F493784" w14:textId="77777777">
            <w:pPr>
              <w:keepNext/>
              <w:jc w:val="center"/>
            </w:pPr>
            <w:r w:rsidRPr="00750D47">
              <w:t>$0</w:t>
            </w:r>
          </w:p>
        </w:tc>
        <w:tc>
          <w:tcPr>
            <w:tcW w:w="1606" w:type="dxa"/>
            <w:noWrap/>
            <w:hideMark/>
          </w:tcPr>
          <w:p w:rsidR="00F81E48" w:rsidRPr="0007222A" w:rsidP="005F6062" w14:paraId="7F493785" w14:textId="77777777">
            <w:pPr>
              <w:keepNext/>
              <w:jc w:val="center"/>
            </w:pPr>
            <w:r w:rsidRPr="00750D47">
              <w:t>$0</w:t>
            </w:r>
          </w:p>
        </w:tc>
        <w:tc>
          <w:tcPr>
            <w:tcW w:w="1650" w:type="dxa"/>
            <w:noWrap/>
            <w:hideMark/>
          </w:tcPr>
          <w:p w:rsidR="00F81E48" w:rsidRPr="0007222A" w:rsidP="005F6062" w14:paraId="7F493786" w14:textId="77777777">
            <w:pPr>
              <w:keepNext/>
              <w:jc w:val="center"/>
            </w:pPr>
            <w:r w:rsidRPr="00750D47">
              <w:t>$0</w:t>
            </w:r>
          </w:p>
        </w:tc>
      </w:tr>
      <w:tr w14:paraId="7F49378D"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88" w14:textId="77777777">
            <w:pPr>
              <w:keepNext/>
              <w:jc w:val="center"/>
              <w:rPr>
                <w:b/>
              </w:rPr>
            </w:pPr>
            <w:r w:rsidRPr="0007222A">
              <w:rPr>
                <w:b/>
              </w:rPr>
              <w:t>4</w:t>
            </w:r>
          </w:p>
        </w:tc>
        <w:tc>
          <w:tcPr>
            <w:tcW w:w="2637" w:type="dxa"/>
            <w:noWrap/>
            <w:hideMark/>
          </w:tcPr>
          <w:p w:rsidR="00F81E48" w:rsidRPr="0007222A" w:rsidP="005F6062" w14:paraId="7F493789" w14:textId="77777777">
            <w:pPr>
              <w:keepNext/>
              <w:jc w:val="center"/>
              <w:rPr>
                <w:b/>
              </w:rPr>
            </w:pPr>
            <w:r w:rsidRPr="0007222A">
              <w:rPr>
                <w:b/>
              </w:rPr>
              <w:t>2023</w:t>
            </w:r>
          </w:p>
        </w:tc>
        <w:tc>
          <w:tcPr>
            <w:tcW w:w="2028" w:type="dxa"/>
            <w:noWrap/>
            <w:hideMark/>
          </w:tcPr>
          <w:p w:rsidR="00F81E48" w:rsidRPr="0007222A" w:rsidP="005F6062" w14:paraId="7F49378A" w14:textId="77777777">
            <w:pPr>
              <w:keepNext/>
              <w:jc w:val="center"/>
            </w:pPr>
            <w:r w:rsidRPr="00750D47">
              <w:t>$0</w:t>
            </w:r>
          </w:p>
        </w:tc>
        <w:tc>
          <w:tcPr>
            <w:tcW w:w="1606" w:type="dxa"/>
            <w:noWrap/>
            <w:hideMark/>
          </w:tcPr>
          <w:p w:rsidR="00F81E48" w:rsidRPr="0007222A" w:rsidP="005F6062" w14:paraId="7F49378B" w14:textId="77777777">
            <w:pPr>
              <w:keepNext/>
              <w:jc w:val="center"/>
            </w:pPr>
            <w:r w:rsidRPr="00750D47">
              <w:t>$0</w:t>
            </w:r>
          </w:p>
        </w:tc>
        <w:tc>
          <w:tcPr>
            <w:tcW w:w="1650" w:type="dxa"/>
            <w:noWrap/>
            <w:hideMark/>
          </w:tcPr>
          <w:p w:rsidR="00F81E48" w:rsidRPr="0007222A" w:rsidP="005F6062" w14:paraId="7F49378C" w14:textId="77777777">
            <w:pPr>
              <w:keepNext/>
              <w:jc w:val="center"/>
            </w:pPr>
            <w:r w:rsidRPr="00750D47">
              <w:t>$0</w:t>
            </w:r>
          </w:p>
        </w:tc>
      </w:tr>
      <w:tr w14:paraId="7F493793"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8E" w14:textId="77777777">
            <w:pPr>
              <w:keepNext/>
              <w:jc w:val="center"/>
              <w:rPr>
                <w:b/>
              </w:rPr>
            </w:pPr>
            <w:r w:rsidRPr="0007222A">
              <w:rPr>
                <w:b/>
              </w:rPr>
              <w:t>5</w:t>
            </w:r>
          </w:p>
        </w:tc>
        <w:tc>
          <w:tcPr>
            <w:tcW w:w="2637" w:type="dxa"/>
            <w:noWrap/>
            <w:hideMark/>
          </w:tcPr>
          <w:p w:rsidR="00F81E48" w:rsidRPr="0007222A" w:rsidP="005F6062" w14:paraId="7F49378F" w14:textId="77777777">
            <w:pPr>
              <w:keepNext/>
              <w:jc w:val="center"/>
              <w:rPr>
                <w:b/>
              </w:rPr>
            </w:pPr>
            <w:r w:rsidRPr="0007222A">
              <w:rPr>
                <w:b/>
              </w:rPr>
              <w:t>2024</w:t>
            </w:r>
          </w:p>
        </w:tc>
        <w:tc>
          <w:tcPr>
            <w:tcW w:w="2028" w:type="dxa"/>
            <w:noWrap/>
            <w:hideMark/>
          </w:tcPr>
          <w:p w:rsidR="00F81E48" w:rsidRPr="0007222A" w:rsidP="005F6062" w14:paraId="7F493790" w14:textId="77777777">
            <w:pPr>
              <w:keepNext/>
              <w:jc w:val="center"/>
            </w:pPr>
            <w:r w:rsidRPr="00750D47">
              <w:t>$0</w:t>
            </w:r>
          </w:p>
        </w:tc>
        <w:tc>
          <w:tcPr>
            <w:tcW w:w="1606" w:type="dxa"/>
            <w:noWrap/>
            <w:hideMark/>
          </w:tcPr>
          <w:p w:rsidR="00F81E48" w:rsidRPr="0007222A" w:rsidP="005F6062" w14:paraId="7F493791" w14:textId="77777777">
            <w:pPr>
              <w:keepNext/>
              <w:jc w:val="center"/>
            </w:pPr>
            <w:r w:rsidRPr="00750D47">
              <w:t>$0</w:t>
            </w:r>
          </w:p>
        </w:tc>
        <w:tc>
          <w:tcPr>
            <w:tcW w:w="1650" w:type="dxa"/>
            <w:noWrap/>
            <w:hideMark/>
          </w:tcPr>
          <w:p w:rsidR="00F81E48" w:rsidRPr="0007222A" w:rsidP="005F6062" w14:paraId="7F493792" w14:textId="77777777">
            <w:pPr>
              <w:keepNext/>
              <w:jc w:val="center"/>
            </w:pPr>
            <w:r w:rsidRPr="00750D47">
              <w:t>$0</w:t>
            </w:r>
          </w:p>
        </w:tc>
      </w:tr>
      <w:tr w14:paraId="7F493799"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94" w14:textId="77777777">
            <w:pPr>
              <w:keepNext/>
              <w:jc w:val="center"/>
              <w:rPr>
                <w:b/>
              </w:rPr>
            </w:pPr>
            <w:r w:rsidRPr="0007222A">
              <w:rPr>
                <w:b/>
              </w:rPr>
              <w:t>6</w:t>
            </w:r>
          </w:p>
        </w:tc>
        <w:tc>
          <w:tcPr>
            <w:tcW w:w="2637" w:type="dxa"/>
            <w:noWrap/>
            <w:hideMark/>
          </w:tcPr>
          <w:p w:rsidR="00F81E48" w:rsidRPr="0007222A" w:rsidP="005F6062" w14:paraId="7F493795" w14:textId="77777777">
            <w:pPr>
              <w:keepNext/>
              <w:jc w:val="center"/>
              <w:rPr>
                <w:b/>
              </w:rPr>
            </w:pPr>
            <w:r w:rsidRPr="0007222A">
              <w:rPr>
                <w:b/>
              </w:rPr>
              <w:t>2025</w:t>
            </w:r>
          </w:p>
        </w:tc>
        <w:tc>
          <w:tcPr>
            <w:tcW w:w="2028" w:type="dxa"/>
            <w:noWrap/>
            <w:hideMark/>
          </w:tcPr>
          <w:p w:rsidR="00F81E48" w:rsidRPr="0007222A" w:rsidP="005F6062" w14:paraId="7F493796" w14:textId="77777777">
            <w:pPr>
              <w:keepNext/>
              <w:jc w:val="center"/>
            </w:pPr>
            <w:r w:rsidRPr="00750D47">
              <w:t>$0</w:t>
            </w:r>
          </w:p>
        </w:tc>
        <w:tc>
          <w:tcPr>
            <w:tcW w:w="1606" w:type="dxa"/>
            <w:noWrap/>
            <w:hideMark/>
          </w:tcPr>
          <w:p w:rsidR="00F81E48" w:rsidRPr="0007222A" w:rsidP="005F6062" w14:paraId="7F493797" w14:textId="77777777">
            <w:pPr>
              <w:keepNext/>
              <w:jc w:val="center"/>
            </w:pPr>
            <w:r w:rsidRPr="00750D47">
              <w:t>$0</w:t>
            </w:r>
          </w:p>
        </w:tc>
        <w:tc>
          <w:tcPr>
            <w:tcW w:w="1650" w:type="dxa"/>
            <w:noWrap/>
            <w:hideMark/>
          </w:tcPr>
          <w:p w:rsidR="00F81E48" w:rsidRPr="0007222A" w:rsidP="005F6062" w14:paraId="7F493798" w14:textId="77777777">
            <w:pPr>
              <w:keepNext/>
              <w:jc w:val="center"/>
            </w:pPr>
            <w:r w:rsidRPr="00750D47">
              <w:t>$0</w:t>
            </w:r>
          </w:p>
        </w:tc>
      </w:tr>
      <w:tr w14:paraId="7F49379F"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9A" w14:textId="77777777">
            <w:pPr>
              <w:keepNext/>
              <w:jc w:val="center"/>
              <w:rPr>
                <w:b/>
              </w:rPr>
            </w:pPr>
            <w:r w:rsidRPr="0007222A">
              <w:rPr>
                <w:b/>
              </w:rPr>
              <w:t>7</w:t>
            </w:r>
          </w:p>
        </w:tc>
        <w:tc>
          <w:tcPr>
            <w:tcW w:w="2637" w:type="dxa"/>
            <w:noWrap/>
            <w:hideMark/>
          </w:tcPr>
          <w:p w:rsidR="00F81E48" w:rsidRPr="0007222A" w:rsidP="005F6062" w14:paraId="7F49379B" w14:textId="77777777">
            <w:pPr>
              <w:keepNext/>
              <w:jc w:val="center"/>
              <w:rPr>
                <w:b/>
              </w:rPr>
            </w:pPr>
            <w:r w:rsidRPr="0007222A">
              <w:rPr>
                <w:b/>
              </w:rPr>
              <w:t>2026</w:t>
            </w:r>
          </w:p>
        </w:tc>
        <w:tc>
          <w:tcPr>
            <w:tcW w:w="2028" w:type="dxa"/>
            <w:noWrap/>
            <w:hideMark/>
          </w:tcPr>
          <w:p w:rsidR="00F81E48" w:rsidRPr="0007222A" w:rsidP="005F6062" w14:paraId="7F49379C" w14:textId="77777777">
            <w:pPr>
              <w:keepNext/>
              <w:jc w:val="center"/>
            </w:pPr>
            <w:r w:rsidRPr="00750D47">
              <w:t>$</w:t>
            </w:r>
            <w:r w:rsidRPr="00750D47" w:rsidR="00371B4C">
              <w:t>4</w:t>
            </w:r>
            <w:r w:rsidR="00371B4C">
              <w:t>8</w:t>
            </w:r>
            <w:r w:rsidRPr="00750D47" w:rsidR="00371B4C">
              <w:t>0</w:t>
            </w:r>
            <w:r w:rsidRPr="00750D47">
              <w:t>,000</w:t>
            </w:r>
          </w:p>
        </w:tc>
        <w:tc>
          <w:tcPr>
            <w:tcW w:w="1606" w:type="dxa"/>
            <w:noWrap/>
            <w:hideMark/>
          </w:tcPr>
          <w:p w:rsidR="00F81E48" w:rsidRPr="0007222A" w:rsidP="005F6062" w14:paraId="7F49379D" w14:textId="77777777">
            <w:pPr>
              <w:keepNext/>
              <w:jc w:val="center"/>
            </w:pPr>
            <w:r w:rsidRPr="00750D47">
              <w:t>$</w:t>
            </w:r>
            <w:r w:rsidR="00371B4C">
              <w:t>82</w:t>
            </w:r>
            <w:r w:rsidRPr="00750D47">
              <w:t>0,000</w:t>
            </w:r>
          </w:p>
        </w:tc>
        <w:tc>
          <w:tcPr>
            <w:tcW w:w="1650" w:type="dxa"/>
            <w:noWrap/>
            <w:hideMark/>
          </w:tcPr>
          <w:p w:rsidR="00F81E48" w:rsidRPr="0007222A" w:rsidP="005F6062" w14:paraId="7F49379E" w14:textId="77777777">
            <w:pPr>
              <w:keepNext/>
              <w:jc w:val="center"/>
            </w:pPr>
            <w:r w:rsidRPr="00750D47">
              <w:t>$1,</w:t>
            </w:r>
            <w:r w:rsidR="00371B4C">
              <w:t>3</w:t>
            </w:r>
            <w:r w:rsidRPr="00750D47" w:rsidR="00371B4C">
              <w:t>00</w:t>
            </w:r>
            <w:r w:rsidRPr="00750D47">
              <w:t>,000</w:t>
            </w:r>
          </w:p>
        </w:tc>
      </w:tr>
      <w:tr w14:paraId="7F4937A5"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A0" w14:textId="77777777">
            <w:pPr>
              <w:keepNext/>
              <w:jc w:val="center"/>
              <w:rPr>
                <w:b/>
              </w:rPr>
            </w:pPr>
            <w:r w:rsidRPr="0007222A">
              <w:rPr>
                <w:b/>
              </w:rPr>
              <w:t>8</w:t>
            </w:r>
          </w:p>
        </w:tc>
        <w:tc>
          <w:tcPr>
            <w:tcW w:w="2637" w:type="dxa"/>
            <w:noWrap/>
            <w:hideMark/>
          </w:tcPr>
          <w:p w:rsidR="00F81E48" w:rsidRPr="0007222A" w:rsidP="005F6062" w14:paraId="7F4937A1" w14:textId="77777777">
            <w:pPr>
              <w:keepNext/>
              <w:jc w:val="center"/>
              <w:rPr>
                <w:b/>
              </w:rPr>
            </w:pPr>
            <w:r w:rsidRPr="0007222A">
              <w:rPr>
                <w:b/>
              </w:rPr>
              <w:t>2027</w:t>
            </w:r>
          </w:p>
        </w:tc>
        <w:tc>
          <w:tcPr>
            <w:tcW w:w="2028" w:type="dxa"/>
            <w:noWrap/>
            <w:hideMark/>
          </w:tcPr>
          <w:p w:rsidR="00F81E48" w:rsidRPr="0007222A" w:rsidP="005F6062" w14:paraId="7F4937A2" w14:textId="77777777">
            <w:pPr>
              <w:keepNext/>
              <w:jc w:val="center"/>
            </w:pPr>
            <w:r w:rsidRPr="00750D47">
              <w:t>$0</w:t>
            </w:r>
          </w:p>
        </w:tc>
        <w:tc>
          <w:tcPr>
            <w:tcW w:w="1606" w:type="dxa"/>
            <w:noWrap/>
            <w:hideMark/>
          </w:tcPr>
          <w:p w:rsidR="00F81E48" w:rsidRPr="0007222A" w:rsidP="005F6062" w14:paraId="7F4937A3" w14:textId="77777777">
            <w:pPr>
              <w:keepNext/>
              <w:jc w:val="center"/>
            </w:pPr>
            <w:r w:rsidRPr="00750D47">
              <w:t>$0</w:t>
            </w:r>
          </w:p>
        </w:tc>
        <w:tc>
          <w:tcPr>
            <w:tcW w:w="1650" w:type="dxa"/>
            <w:noWrap/>
            <w:hideMark/>
          </w:tcPr>
          <w:p w:rsidR="00F81E48" w:rsidRPr="0007222A" w:rsidP="005F6062" w14:paraId="7F4937A4" w14:textId="77777777">
            <w:pPr>
              <w:keepNext/>
              <w:jc w:val="center"/>
            </w:pPr>
            <w:r w:rsidRPr="00750D47">
              <w:t>$0</w:t>
            </w:r>
          </w:p>
        </w:tc>
      </w:tr>
      <w:tr w14:paraId="7F4937AB"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A6" w14:textId="77777777">
            <w:pPr>
              <w:keepNext/>
              <w:jc w:val="center"/>
              <w:rPr>
                <w:b/>
              </w:rPr>
            </w:pPr>
            <w:r w:rsidRPr="0007222A">
              <w:rPr>
                <w:b/>
              </w:rPr>
              <w:t>9</w:t>
            </w:r>
          </w:p>
        </w:tc>
        <w:tc>
          <w:tcPr>
            <w:tcW w:w="2637" w:type="dxa"/>
            <w:noWrap/>
            <w:hideMark/>
          </w:tcPr>
          <w:p w:rsidR="00F81E48" w:rsidRPr="0007222A" w:rsidP="005F6062" w14:paraId="7F4937A7" w14:textId="77777777">
            <w:pPr>
              <w:keepNext/>
              <w:jc w:val="center"/>
              <w:rPr>
                <w:b/>
              </w:rPr>
            </w:pPr>
            <w:r w:rsidRPr="0007222A">
              <w:rPr>
                <w:b/>
              </w:rPr>
              <w:t>2028</w:t>
            </w:r>
          </w:p>
        </w:tc>
        <w:tc>
          <w:tcPr>
            <w:tcW w:w="2028" w:type="dxa"/>
            <w:noWrap/>
            <w:hideMark/>
          </w:tcPr>
          <w:p w:rsidR="00F81E48" w:rsidRPr="0007222A" w:rsidP="005F6062" w14:paraId="7F4937A8" w14:textId="77777777">
            <w:pPr>
              <w:keepNext/>
              <w:jc w:val="center"/>
            </w:pPr>
            <w:r w:rsidRPr="00750D47">
              <w:t>$1,</w:t>
            </w:r>
            <w:r w:rsidR="00B809BE">
              <w:t>6</w:t>
            </w:r>
            <w:r w:rsidRPr="00750D47" w:rsidR="00B809BE">
              <w:t>00</w:t>
            </w:r>
            <w:r w:rsidRPr="00750D47">
              <w:t>,000</w:t>
            </w:r>
          </w:p>
        </w:tc>
        <w:tc>
          <w:tcPr>
            <w:tcW w:w="1606" w:type="dxa"/>
            <w:noWrap/>
            <w:hideMark/>
          </w:tcPr>
          <w:p w:rsidR="00F81E48" w:rsidRPr="0007222A" w:rsidP="005F6062" w14:paraId="7F4937A9" w14:textId="77777777">
            <w:pPr>
              <w:keepNext/>
              <w:jc w:val="center"/>
            </w:pPr>
            <w:r w:rsidRPr="00750D47">
              <w:t>$</w:t>
            </w:r>
            <w:r w:rsidR="00B809BE">
              <w:t>2,900</w:t>
            </w:r>
            <w:r w:rsidRPr="00750D47">
              <w:t>,000</w:t>
            </w:r>
          </w:p>
        </w:tc>
        <w:tc>
          <w:tcPr>
            <w:tcW w:w="1650" w:type="dxa"/>
            <w:noWrap/>
            <w:hideMark/>
          </w:tcPr>
          <w:p w:rsidR="00F81E48" w:rsidRPr="0007222A" w:rsidP="005F6062" w14:paraId="7F4937AA" w14:textId="77777777">
            <w:pPr>
              <w:keepNext/>
              <w:jc w:val="center"/>
            </w:pPr>
            <w:r w:rsidRPr="00750D47">
              <w:t>$</w:t>
            </w:r>
            <w:r w:rsidR="003F5FA8">
              <w:t>4,500</w:t>
            </w:r>
            <w:r w:rsidRPr="00750D47">
              <w:t>,000</w:t>
            </w:r>
          </w:p>
        </w:tc>
      </w:tr>
      <w:tr w14:paraId="7F4937B1"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AC" w14:textId="77777777">
            <w:pPr>
              <w:keepNext/>
              <w:jc w:val="center"/>
              <w:rPr>
                <w:b/>
              </w:rPr>
            </w:pPr>
            <w:r w:rsidRPr="0007222A">
              <w:rPr>
                <w:b/>
              </w:rPr>
              <w:t>10</w:t>
            </w:r>
          </w:p>
        </w:tc>
        <w:tc>
          <w:tcPr>
            <w:tcW w:w="2637" w:type="dxa"/>
            <w:noWrap/>
            <w:hideMark/>
          </w:tcPr>
          <w:p w:rsidR="00F81E48" w:rsidRPr="0007222A" w:rsidP="005F6062" w14:paraId="7F4937AD" w14:textId="77777777">
            <w:pPr>
              <w:keepNext/>
              <w:jc w:val="center"/>
              <w:rPr>
                <w:b/>
              </w:rPr>
            </w:pPr>
            <w:r w:rsidRPr="0007222A">
              <w:rPr>
                <w:b/>
              </w:rPr>
              <w:t>2029</w:t>
            </w:r>
          </w:p>
        </w:tc>
        <w:tc>
          <w:tcPr>
            <w:tcW w:w="2028" w:type="dxa"/>
            <w:noWrap/>
            <w:hideMark/>
          </w:tcPr>
          <w:p w:rsidR="00F81E48" w:rsidRPr="0007222A" w:rsidP="005F6062" w14:paraId="7F4937AE" w14:textId="77777777">
            <w:pPr>
              <w:keepNext/>
              <w:jc w:val="center"/>
            </w:pPr>
            <w:r w:rsidRPr="00750D47">
              <w:t>$1,</w:t>
            </w:r>
            <w:r w:rsidR="00BC7BFA">
              <w:t>4</w:t>
            </w:r>
            <w:r w:rsidRPr="00750D47" w:rsidR="00BC7BFA">
              <w:t>00</w:t>
            </w:r>
            <w:r w:rsidRPr="00750D47">
              <w:t>,000</w:t>
            </w:r>
          </w:p>
        </w:tc>
        <w:tc>
          <w:tcPr>
            <w:tcW w:w="1606" w:type="dxa"/>
            <w:noWrap/>
            <w:hideMark/>
          </w:tcPr>
          <w:p w:rsidR="00F81E48" w:rsidRPr="0007222A" w:rsidP="005F6062" w14:paraId="7F4937AF" w14:textId="77777777">
            <w:pPr>
              <w:keepNext/>
              <w:jc w:val="center"/>
            </w:pPr>
            <w:r w:rsidRPr="00750D47">
              <w:t>$</w:t>
            </w:r>
            <w:r w:rsidR="00171C08">
              <w:t>2,600</w:t>
            </w:r>
            <w:r w:rsidRPr="00750D47">
              <w:t>,000</w:t>
            </w:r>
          </w:p>
        </w:tc>
        <w:tc>
          <w:tcPr>
            <w:tcW w:w="1650" w:type="dxa"/>
            <w:noWrap/>
            <w:hideMark/>
          </w:tcPr>
          <w:p w:rsidR="00F81E48" w:rsidRPr="0007222A" w:rsidP="005F6062" w14:paraId="7F4937B0" w14:textId="77777777">
            <w:pPr>
              <w:keepNext/>
              <w:jc w:val="center"/>
            </w:pPr>
            <w:r w:rsidRPr="00750D47">
              <w:t>$</w:t>
            </w:r>
            <w:r w:rsidR="008D0038">
              <w:t>4,000</w:t>
            </w:r>
            <w:r w:rsidRPr="00750D47">
              <w:t>,000</w:t>
            </w:r>
          </w:p>
        </w:tc>
      </w:tr>
      <w:tr w14:paraId="7F4937B7"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B2" w14:textId="77777777">
            <w:pPr>
              <w:keepNext/>
              <w:jc w:val="center"/>
              <w:rPr>
                <w:b/>
              </w:rPr>
            </w:pPr>
            <w:r w:rsidRPr="0007222A">
              <w:rPr>
                <w:b/>
              </w:rPr>
              <w:t>11</w:t>
            </w:r>
          </w:p>
        </w:tc>
        <w:tc>
          <w:tcPr>
            <w:tcW w:w="2637" w:type="dxa"/>
            <w:noWrap/>
            <w:hideMark/>
          </w:tcPr>
          <w:p w:rsidR="00F81E48" w:rsidRPr="0007222A" w:rsidP="005F6062" w14:paraId="7F4937B3" w14:textId="77777777">
            <w:pPr>
              <w:keepNext/>
              <w:jc w:val="center"/>
              <w:rPr>
                <w:b/>
              </w:rPr>
            </w:pPr>
            <w:r w:rsidRPr="0007222A">
              <w:rPr>
                <w:b/>
              </w:rPr>
              <w:t>2030</w:t>
            </w:r>
          </w:p>
        </w:tc>
        <w:tc>
          <w:tcPr>
            <w:tcW w:w="2028" w:type="dxa"/>
            <w:noWrap/>
            <w:hideMark/>
          </w:tcPr>
          <w:p w:rsidR="00F81E48" w:rsidRPr="0007222A" w:rsidP="005F6062" w14:paraId="7F4937B4" w14:textId="77777777">
            <w:pPr>
              <w:keepNext/>
              <w:jc w:val="center"/>
            </w:pPr>
            <w:r w:rsidRPr="00750D47">
              <w:t>$</w:t>
            </w:r>
            <w:r w:rsidRPr="00750D47" w:rsidR="00082E6C">
              <w:t>2</w:t>
            </w:r>
            <w:r w:rsidR="00082E6C">
              <w:t>7</w:t>
            </w:r>
            <w:r w:rsidRPr="00750D47" w:rsidR="00082E6C">
              <w:t>0</w:t>
            </w:r>
            <w:r w:rsidRPr="00750D47">
              <w:t>,000</w:t>
            </w:r>
          </w:p>
        </w:tc>
        <w:tc>
          <w:tcPr>
            <w:tcW w:w="1606" w:type="dxa"/>
            <w:noWrap/>
            <w:hideMark/>
          </w:tcPr>
          <w:p w:rsidR="00F81E48" w:rsidRPr="0007222A" w:rsidP="005F6062" w14:paraId="7F4937B5" w14:textId="77777777">
            <w:pPr>
              <w:keepNext/>
              <w:jc w:val="center"/>
            </w:pPr>
            <w:r w:rsidRPr="00750D47">
              <w:t>$</w:t>
            </w:r>
            <w:r w:rsidR="002A300D">
              <w:t>47</w:t>
            </w:r>
            <w:r w:rsidRPr="00750D47" w:rsidR="002A300D">
              <w:t>0</w:t>
            </w:r>
            <w:r w:rsidRPr="00750D47">
              <w:t>,000</w:t>
            </w:r>
          </w:p>
        </w:tc>
        <w:tc>
          <w:tcPr>
            <w:tcW w:w="1650" w:type="dxa"/>
            <w:noWrap/>
            <w:hideMark/>
          </w:tcPr>
          <w:p w:rsidR="00F81E48" w:rsidRPr="0007222A" w:rsidP="005F6062" w14:paraId="7F4937B6" w14:textId="77777777">
            <w:pPr>
              <w:keepNext/>
              <w:jc w:val="center"/>
            </w:pPr>
            <w:r w:rsidRPr="00750D47">
              <w:t>$</w:t>
            </w:r>
            <w:r w:rsidR="002A300D">
              <w:t>74</w:t>
            </w:r>
            <w:r w:rsidRPr="00750D47" w:rsidR="002A300D">
              <w:t>0</w:t>
            </w:r>
            <w:r w:rsidRPr="00750D47">
              <w:t>,000</w:t>
            </w:r>
          </w:p>
        </w:tc>
      </w:tr>
      <w:tr w14:paraId="7F4937BD"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B8" w14:textId="77777777">
            <w:pPr>
              <w:keepNext/>
              <w:jc w:val="center"/>
              <w:rPr>
                <w:b/>
              </w:rPr>
            </w:pPr>
            <w:r w:rsidRPr="0007222A">
              <w:rPr>
                <w:b/>
              </w:rPr>
              <w:t>12</w:t>
            </w:r>
          </w:p>
        </w:tc>
        <w:tc>
          <w:tcPr>
            <w:tcW w:w="2637" w:type="dxa"/>
            <w:noWrap/>
            <w:hideMark/>
          </w:tcPr>
          <w:p w:rsidR="00F81E48" w:rsidRPr="0007222A" w:rsidP="005F6062" w14:paraId="7F4937B9" w14:textId="77777777">
            <w:pPr>
              <w:keepNext/>
              <w:jc w:val="center"/>
              <w:rPr>
                <w:b/>
              </w:rPr>
            </w:pPr>
            <w:r w:rsidRPr="0007222A">
              <w:rPr>
                <w:b/>
              </w:rPr>
              <w:t>2031</w:t>
            </w:r>
          </w:p>
        </w:tc>
        <w:tc>
          <w:tcPr>
            <w:tcW w:w="2028" w:type="dxa"/>
            <w:noWrap/>
            <w:hideMark/>
          </w:tcPr>
          <w:p w:rsidR="00F81E48" w:rsidRPr="0007222A" w:rsidP="005F6062" w14:paraId="7F4937BA" w14:textId="77777777">
            <w:pPr>
              <w:keepNext/>
              <w:jc w:val="center"/>
            </w:pPr>
            <w:r w:rsidRPr="00750D47">
              <w:t>$1,</w:t>
            </w:r>
            <w:r w:rsidR="001B3DEB">
              <w:t>4</w:t>
            </w:r>
            <w:r w:rsidRPr="00750D47" w:rsidR="001B3DEB">
              <w:t>00</w:t>
            </w:r>
            <w:r w:rsidRPr="00750D47">
              <w:t>,000</w:t>
            </w:r>
          </w:p>
        </w:tc>
        <w:tc>
          <w:tcPr>
            <w:tcW w:w="1606" w:type="dxa"/>
            <w:noWrap/>
            <w:hideMark/>
          </w:tcPr>
          <w:p w:rsidR="00F81E48" w:rsidRPr="0007222A" w:rsidP="005F6062" w14:paraId="7F4937BB" w14:textId="77777777">
            <w:pPr>
              <w:keepNext/>
              <w:jc w:val="center"/>
            </w:pPr>
            <w:r w:rsidRPr="00750D47">
              <w:t>$</w:t>
            </w:r>
            <w:r w:rsidR="00B93E52">
              <w:t>2,400</w:t>
            </w:r>
            <w:r w:rsidRPr="00750D47">
              <w:t>,000</w:t>
            </w:r>
          </w:p>
        </w:tc>
        <w:tc>
          <w:tcPr>
            <w:tcW w:w="1650" w:type="dxa"/>
            <w:noWrap/>
            <w:hideMark/>
          </w:tcPr>
          <w:p w:rsidR="00F81E48" w:rsidRPr="0007222A" w:rsidP="005F6062" w14:paraId="7F4937BC" w14:textId="77777777">
            <w:pPr>
              <w:keepNext/>
              <w:jc w:val="center"/>
            </w:pPr>
            <w:r w:rsidRPr="00750D47">
              <w:t>$</w:t>
            </w:r>
            <w:r w:rsidR="00B93E52">
              <w:t>3,8</w:t>
            </w:r>
            <w:r w:rsidRPr="00750D47">
              <w:t>00,000</w:t>
            </w:r>
          </w:p>
        </w:tc>
      </w:tr>
      <w:tr w14:paraId="7F4937C3"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BE" w14:textId="77777777">
            <w:pPr>
              <w:keepNext/>
              <w:jc w:val="center"/>
              <w:rPr>
                <w:b/>
              </w:rPr>
            </w:pPr>
            <w:r w:rsidRPr="0007222A">
              <w:rPr>
                <w:b/>
              </w:rPr>
              <w:t>13</w:t>
            </w:r>
          </w:p>
        </w:tc>
        <w:tc>
          <w:tcPr>
            <w:tcW w:w="2637" w:type="dxa"/>
            <w:noWrap/>
            <w:hideMark/>
          </w:tcPr>
          <w:p w:rsidR="00F81E48" w:rsidRPr="0007222A" w:rsidP="005F6062" w14:paraId="7F4937BF" w14:textId="77777777">
            <w:pPr>
              <w:keepNext/>
              <w:jc w:val="center"/>
              <w:rPr>
                <w:b/>
              </w:rPr>
            </w:pPr>
            <w:r w:rsidRPr="0007222A">
              <w:rPr>
                <w:b/>
              </w:rPr>
              <w:t>2032</w:t>
            </w:r>
          </w:p>
        </w:tc>
        <w:tc>
          <w:tcPr>
            <w:tcW w:w="2028" w:type="dxa"/>
            <w:noWrap/>
            <w:hideMark/>
          </w:tcPr>
          <w:p w:rsidR="00F81E48" w:rsidRPr="0007222A" w:rsidP="005F6062" w14:paraId="7F4937C0" w14:textId="77777777">
            <w:pPr>
              <w:keepNext/>
              <w:jc w:val="center"/>
            </w:pPr>
            <w:r w:rsidRPr="00750D47">
              <w:t>$</w:t>
            </w:r>
            <w:r w:rsidRPr="00750D47" w:rsidR="00265FEC">
              <w:t>2</w:t>
            </w:r>
            <w:r w:rsidR="00265FEC">
              <w:t>7</w:t>
            </w:r>
            <w:r w:rsidRPr="00750D47" w:rsidR="00265FEC">
              <w:t>0</w:t>
            </w:r>
            <w:r w:rsidRPr="00750D47">
              <w:t>,000</w:t>
            </w:r>
          </w:p>
        </w:tc>
        <w:tc>
          <w:tcPr>
            <w:tcW w:w="1606" w:type="dxa"/>
            <w:noWrap/>
            <w:hideMark/>
          </w:tcPr>
          <w:p w:rsidR="00F81E48" w:rsidRPr="0007222A" w:rsidP="005F6062" w14:paraId="7F4937C1" w14:textId="77777777">
            <w:pPr>
              <w:keepNext/>
              <w:jc w:val="center"/>
            </w:pPr>
            <w:r w:rsidRPr="00750D47">
              <w:t>$</w:t>
            </w:r>
            <w:r w:rsidR="00265FEC">
              <w:t>47</w:t>
            </w:r>
            <w:r w:rsidRPr="00750D47" w:rsidR="00265FEC">
              <w:t>0</w:t>
            </w:r>
            <w:r w:rsidRPr="00750D47">
              <w:t>,000</w:t>
            </w:r>
          </w:p>
        </w:tc>
        <w:tc>
          <w:tcPr>
            <w:tcW w:w="1650" w:type="dxa"/>
            <w:noWrap/>
            <w:hideMark/>
          </w:tcPr>
          <w:p w:rsidR="00F81E48" w:rsidRPr="0007222A" w:rsidP="005F6062" w14:paraId="7F4937C2" w14:textId="77777777">
            <w:pPr>
              <w:keepNext/>
              <w:jc w:val="center"/>
            </w:pPr>
            <w:r w:rsidRPr="00750D47">
              <w:t>$</w:t>
            </w:r>
            <w:r w:rsidR="00265FEC">
              <w:t>74</w:t>
            </w:r>
            <w:r w:rsidRPr="00750D47" w:rsidR="00265FEC">
              <w:t>0</w:t>
            </w:r>
            <w:r w:rsidRPr="00750D47">
              <w:t>,000</w:t>
            </w:r>
          </w:p>
        </w:tc>
      </w:tr>
      <w:tr w14:paraId="7F4937C9"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C4" w14:textId="77777777">
            <w:pPr>
              <w:keepNext/>
              <w:jc w:val="center"/>
              <w:rPr>
                <w:b/>
              </w:rPr>
            </w:pPr>
            <w:r w:rsidRPr="0007222A">
              <w:rPr>
                <w:b/>
              </w:rPr>
              <w:t>14</w:t>
            </w:r>
          </w:p>
        </w:tc>
        <w:tc>
          <w:tcPr>
            <w:tcW w:w="2637" w:type="dxa"/>
            <w:noWrap/>
            <w:hideMark/>
          </w:tcPr>
          <w:p w:rsidR="00F81E48" w:rsidRPr="0007222A" w:rsidP="005F6062" w14:paraId="7F4937C5" w14:textId="77777777">
            <w:pPr>
              <w:keepNext/>
              <w:jc w:val="center"/>
              <w:rPr>
                <w:b/>
              </w:rPr>
            </w:pPr>
            <w:r w:rsidRPr="0007222A">
              <w:rPr>
                <w:b/>
              </w:rPr>
              <w:t>2033</w:t>
            </w:r>
          </w:p>
        </w:tc>
        <w:tc>
          <w:tcPr>
            <w:tcW w:w="2028" w:type="dxa"/>
            <w:noWrap/>
            <w:hideMark/>
          </w:tcPr>
          <w:p w:rsidR="00F81E48" w:rsidRPr="0007222A" w:rsidP="005F6062" w14:paraId="7F4937C6" w14:textId="77777777">
            <w:pPr>
              <w:keepNext/>
              <w:jc w:val="center"/>
            </w:pPr>
            <w:r w:rsidRPr="00750D47">
              <w:t>$0</w:t>
            </w:r>
          </w:p>
        </w:tc>
        <w:tc>
          <w:tcPr>
            <w:tcW w:w="1606" w:type="dxa"/>
            <w:noWrap/>
            <w:hideMark/>
          </w:tcPr>
          <w:p w:rsidR="00F81E48" w:rsidRPr="0007222A" w:rsidP="005F6062" w14:paraId="7F4937C7" w14:textId="77777777">
            <w:pPr>
              <w:keepNext/>
              <w:jc w:val="center"/>
            </w:pPr>
            <w:r w:rsidRPr="00750D47">
              <w:t>$0</w:t>
            </w:r>
          </w:p>
        </w:tc>
        <w:tc>
          <w:tcPr>
            <w:tcW w:w="1650" w:type="dxa"/>
            <w:noWrap/>
            <w:hideMark/>
          </w:tcPr>
          <w:p w:rsidR="00F81E48" w:rsidRPr="0007222A" w:rsidP="005F6062" w14:paraId="7F4937C8" w14:textId="77777777">
            <w:pPr>
              <w:keepNext/>
              <w:jc w:val="center"/>
            </w:pPr>
            <w:r w:rsidRPr="00750D47">
              <w:t>$0</w:t>
            </w:r>
          </w:p>
        </w:tc>
      </w:tr>
      <w:tr w14:paraId="7F4937CF"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CA" w14:textId="77777777">
            <w:pPr>
              <w:keepNext/>
              <w:jc w:val="center"/>
              <w:rPr>
                <w:b/>
              </w:rPr>
            </w:pPr>
            <w:r w:rsidRPr="0007222A">
              <w:rPr>
                <w:b/>
              </w:rPr>
              <w:t>15</w:t>
            </w:r>
          </w:p>
        </w:tc>
        <w:tc>
          <w:tcPr>
            <w:tcW w:w="2637" w:type="dxa"/>
            <w:noWrap/>
            <w:hideMark/>
          </w:tcPr>
          <w:p w:rsidR="00F81E48" w:rsidRPr="0007222A" w:rsidP="005F6062" w14:paraId="7F4937CB" w14:textId="77777777">
            <w:pPr>
              <w:keepNext/>
              <w:jc w:val="center"/>
              <w:rPr>
                <w:b/>
              </w:rPr>
            </w:pPr>
            <w:r w:rsidRPr="0007222A">
              <w:rPr>
                <w:b/>
              </w:rPr>
              <w:t>2034</w:t>
            </w:r>
          </w:p>
        </w:tc>
        <w:tc>
          <w:tcPr>
            <w:tcW w:w="2028" w:type="dxa"/>
            <w:noWrap/>
            <w:hideMark/>
          </w:tcPr>
          <w:p w:rsidR="00F81E48" w:rsidRPr="0007222A" w:rsidP="005F6062" w14:paraId="7F4937CC" w14:textId="77777777">
            <w:pPr>
              <w:keepNext/>
              <w:jc w:val="center"/>
            </w:pPr>
            <w:r w:rsidRPr="00750D47">
              <w:t>$</w:t>
            </w:r>
            <w:r w:rsidR="00E9701E">
              <w:t>54</w:t>
            </w:r>
            <w:r w:rsidRPr="00750D47" w:rsidR="00E9701E">
              <w:t>0</w:t>
            </w:r>
            <w:r w:rsidRPr="00750D47">
              <w:t>,000</w:t>
            </w:r>
          </w:p>
        </w:tc>
        <w:tc>
          <w:tcPr>
            <w:tcW w:w="1606" w:type="dxa"/>
            <w:noWrap/>
            <w:hideMark/>
          </w:tcPr>
          <w:p w:rsidR="00F81E48" w:rsidRPr="0007222A" w:rsidP="005F6062" w14:paraId="7F4937CD" w14:textId="77777777">
            <w:pPr>
              <w:keepNext/>
              <w:jc w:val="center"/>
            </w:pPr>
            <w:r w:rsidRPr="00750D47">
              <w:t>$</w:t>
            </w:r>
            <w:r w:rsidR="00E9701E">
              <w:t>940</w:t>
            </w:r>
            <w:r w:rsidRPr="00750D47">
              <w:t>,000</w:t>
            </w:r>
          </w:p>
        </w:tc>
        <w:tc>
          <w:tcPr>
            <w:tcW w:w="1650" w:type="dxa"/>
            <w:noWrap/>
            <w:hideMark/>
          </w:tcPr>
          <w:p w:rsidR="00F81E48" w:rsidRPr="0007222A" w:rsidP="005F6062" w14:paraId="7F4937CE" w14:textId="77777777">
            <w:pPr>
              <w:keepNext/>
              <w:jc w:val="center"/>
            </w:pPr>
            <w:r w:rsidRPr="00750D47">
              <w:t>$1,</w:t>
            </w:r>
            <w:r w:rsidR="00D658DD">
              <w:t>5</w:t>
            </w:r>
            <w:r w:rsidRPr="00750D47" w:rsidR="00D658DD">
              <w:t>00</w:t>
            </w:r>
            <w:r w:rsidRPr="00750D47">
              <w:t>,000</w:t>
            </w:r>
          </w:p>
        </w:tc>
      </w:tr>
      <w:tr w14:paraId="7F4937D5"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D0" w14:textId="77777777">
            <w:pPr>
              <w:keepNext/>
              <w:jc w:val="center"/>
              <w:rPr>
                <w:b/>
              </w:rPr>
            </w:pPr>
            <w:r w:rsidRPr="0007222A">
              <w:rPr>
                <w:b/>
              </w:rPr>
              <w:t>16</w:t>
            </w:r>
          </w:p>
        </w:tc>
        <w:tc>
          <w:tcPr>
            <w:tcW w:w="2637" w:type="dxa"/>
            <w:noWrap/>
            <w:hideMark/>
          </w:tcPr>
          <w:p w:rsidR="00F81E48" w:rsidRPr="0007222A" w:rsidP="005F6062" w14:paraId="7F4937D1" w14:textId="77777777">
            <w:pPr>
              <w:keepNext/>
              <w:jc w:val="center"/>
              <w:rPr>
                <w:b/>
              </w:rPr>
            </w:pPr>
            <w:r w:rsidRPr="0007222A">
              <w:rPr>
                <w:b/>
              </w:rPr>
              <w:t>2035</w:t>
            </w:r>
          </w:p>
        </w:tc>
        <w:tc>
          <w:tcPr>
            <w:tcW w:w="2028" w:type="dxa"/>
            <w:noWrap/>
            <w:hideMark/>
          </w:tcPr>
          <w:p w:rsidR="00F81E48" w:rsidRPr="0007222A" w:rsidP="005F6062" w14:paraId="7F4937D2" w14:textId="77777777">
            <w:pPr>
              <w:keepNext/>
              <w:jc w:val="center"/>
            </w:pPr>
            <w:r w:rsidRPr="00750D47">
              <w:t>$</w:t>
            </w:r>
            <w:r w:rsidR="00B43FDE">
              <w:t>270</w:t>
            </w:r>
            <w:r w:rsidRPr="00750D47">
              <w:t>,000</w:t>
            </w:r>
          </w:p>
        </w:tc>
        <w:tc>
          <w:tcPr>
            <w:tcW w:w="1606" w:type="dxa"/>
            <w:noWrap/>
            <w:hideMark/>
          </w:tcPr>
          <w:p w:rsidR="00F81E48" w:rsidRPr="0007222A" w:rsidP="005F6062" w14:paraId="7F4937D3" w14:textId="77777777">
            <w:pPr>
              <w:keepNext/>
              <w:jc w:val="center"/>
            </w:pPr>
            <w:r w:rsidRPr="00750D47">
              <w:t>$</w:t>
            </w:r>
            <w:r w:rsidR="00C961B2">
              <w:t>470</w:t>
            </w:r>
            <w:r w:rsidRPr="00750D47">
              <w:t>,000</w:t>
            </w:r>
          </w:p>
        </w:tc>
        <w:tc>
          <w:tcPr>
            <w:tcW w:w="1650" w:type="dxa"/>
            <w:noWrap/>
            <w:hideMark/>
          </w:tcPr>
          <w:p w:rsidR="00F81E48" w:rsidRPr="0007222A" w:rsidP="005F6062" w14:paraId="7F4937D4" w14:textId="77777777">
            <w:pPr>
              <w:keepNext/>
              <w:jc w:val="center"/>
            </w:pPr>
            <w:r w:rsidRPr="00750D47">
              <w:t>$</w:t>
            </w:r>
            <w:r w:rsidR="00636543">
              <w:t>74</w:t>
            </w:r>
            <w:r w:rsidR="00C961B2">
              <w:t>0</w:t>
            </w:r>
            <w:r w:rsidRPr="00750D47">
              <w:t>,000</w:t>
            </w:r>
          </w:p>
        </w:tc>
      </w:tr>
      <w:tr w14:paraId="7F4937DB"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D6" w14:textId="77777777">
            <w:pPr>
              <w:keepNext/>
              <w:jc w:val="center"/>
              <w:rPr>
                <w:b/>
              </w:rPr>
            </w:pPr>
            <w:r w:rsidRPr="0007222A">
              <w:rPr>
                <w:b/>
              </w:rPr>
              <w:t>17</w:t>
            </w:r>
          </w:p>
        </w:tc>
        <w:tc>
          <w:tcPr>
            <w:tcW w:w="2637" w:type="dxa"/>
            <w:noWrap/>
            <w:hideMark/>
          </w:tcPr>
          <w:p w:rsidR="00F81E48" w:rsidRPr="0007222A" w:rsidP="005F6062" w14:paraId="7F4937D7" w14:textId="77777777">
            <w:pPr>
              <w:keepNext/>
              <w:jc w:val="center"/>
              <w:rPr>
                <w:b/>
              </w:rPr>
            </w:pPr>
            <w:r w:rsidRPr="0007222A">
              <w:rPr>
                <w:b/>
              </w:rPr>
              <w:t>2036</w:t>
            </w:r>
          </w:p>
        </w:tc>
        <w:tc>
          <w:tcPr>
            <w:tcW w:w="2028" w:type="dxa"/>
            <w:noWrap/>
            <w:hideMark/>
          </w:tcPr>
          <w:p w:rsidR="00F81E48" w:rsidRPr="0007222A" w:rsidP="005F6062" w14:paraId="7F4937D8" w14:textId="77777777">
            <w:pPr>
              <w:keepNext/>
              <w:jc w:val="center"/>
            </w:pPr>
            <w:r w:rsidRPr="00750D47">
              <w:t>$</w:t>
            </w:r>
            <w:r w:rsidRPr="00750D47" w:rsidR="00C961B2">
              <w:t>2</w:t>
            </w:r>
            <w:r w:rsidR="00C961B2">
              <w:t>7</w:t>
            </w:r>
            <w:r w:rsidRPr="00750D47" w:rsidR="00C961B2">
              <w:t>0</w:t>
            </w:r>
            <w:r w:rsidRPr="00750D47">
              <w:t>,000</w:t>
            </w:r>
          </w:p>
        </w:tc>
        <w:tc>
          <w:tcPr>
            <w:tcW w:w="1606" w:type="dxa"/>
            <w:noWrap/>
            <w:hideMark/>
          </w:tcPr>
          <w:p w:rsidR="00F81E48" w:rsidRPr="0007222A" w:rsidP="005F6062" w14:paraId="7F4937D9" w14:textId="77777777">
            <w:pPr>
              <w:keepNext/>
              <w:jc w:val="center"/>
            </w:pPr>
            <w:r w:rsidRPr="00750D47">
              <w:t>$</w:t>
            </w:r>
            <w:r w:rsidR="00C961B2">
              <w:t>470</w:t>
            </w:r>
            <w:r w:rsidRPr="00750D47">
              <w:t>,000</w:t>
            </w:r>
          </w:p>
        </w:tc>
        <w:tc>
          <w:tcPr>
            <w:tcW w:w="1650" w:type="dxa"/>
            <w:noWrap/>
            <w:hideMark/>
          </w:tcPr>
          <w:p w:rsidR="00F81E48" w:rsidRPr="0007222A" w:rsidP="005F6062" w14:paraId="7F4937DA" w14:textId="77777777">
            <w:pPr>
              <w:keepNext/>
              <w:jc w:val="center"/>
            </w:pPr>
            <w:r w:rsidRPr="00750D47">
              <w:t>$</w:t>
            </w:r>
            <w:r w:rsidR="00636543">
              <w:t>740</w:t>
            </w:r>
            <w:r w:rsidRPr="00750D47">
              <w:t>,000</w:t>
            </w:r>
          </w:p>
        </w:tc>
      </w:tr>
      <w:tr w14:paraId="7F4937E1" w14:textId="77777777" w:rsidTr="00DF41C8">
        <w:tblPrEx>
          <w:tblW w:w="9324" w:type="dxa"/>
          <w:jc w:val="center"/>
          <w:tblLayout w:type="fixed"/>
          <w:tblLook w:val="04A0"/>
        </w:tblPrEx>
        <w:trPr>
          <w:trHeight w:val="293"/>
          <w:jc w:val="center"/>
        </w:trPr>
        <w:tc>
          <w:tcPr>
            <w:tcW w:w="1403" w:type="dxa"/>
            <w:noWrap/>
            <w:hideMark/>
          </w:tcPr>
          <w:p w:rsidR="00F81E48" w:rsidRPr="0007222A" w:rsidP="005F6062" w14:paraId="7F4937DC" w14:textId="77777777">
            <w:pPr>
              <w:keepNext/>
              <w:jc w:val="center"/>
              <w:rPr>
                <w:b/>
              </w:rPr>
            </w:pPr>
            <w:r w:rsidRPr="0007222A">
              <w:rPr>
                <w:b/>
              </w:rPr>
              <w:t>18</w:t>
            </w:r>
          </w:p>
        </w:tc>
        <w:tc>
          <w:tcPr>
            <w:tcW w:w="2637" w:type="dxa"/>
            <w:noWrap/>
            <w:hideMark/>
          </w:tcPr>
          <w:p w:rsidR="00F81E48" w:rsidRPr="0007222A" w:rsidP="005F6062" w14:paraId="7F4937DD" w14:textId="77777777">
            <w:pPr>
              <w:keepNext/>
              <w:jc w:val="center"/>
              <w:rPr>
                <w:b/>
              </w:rPr>
            </w:pPr>
            <w:r w:rsidRPr="0007222A">
              <w:rPr>
                <w:b/>
              </w:rPr>
              <w:t>2037</w:t>
            </w:r>
          </w:p>
        </w:tc>
        <w:tc>
          <w:tcPr>
            <w:tcW w:w="2028" w:type="dxa"/>
            <w:noWrap/>
            <w:hideMark/>
          </w:tcPr>
          <w:p w:rsidR="00F81E48" w:rsidRPr="0007222A" w:rsidP="005F6062" w14:paraId="7F4937DE" w14:textId="77777777">
            <w:pPr>
              <w:keepNext/>
              <w:jc w:val="center"/>
            </w:pPr>
            <w:r w:rsidRPr="00750D47">
              <w:t>$</w:t>
            </w:r>
            <w:r w:rsidR="00636543">
              <w:t>270</w:t>
            </w:r>
            <w:r w:rsidRPr="00750D47">
              <w:t>,000</w:t>
            </w:r>
          </w:p>
        </w:tc>
        <w:tc>
          <w:tcPr>
            <w:tcW w:w="1606" w:type="dxa"/>
            <w:noWrap/>
            <w:hideMark/>
          </w:tcPr>
          <w:p w:rsidR="00F81E48" w:rsidRPr="0007222A" w:rsidP="005F6062" w14:paraId="7F4937DF" w14:textId="77777777">
            <w:pPr>
              <w:keepNext/>
              <w:jc w:val="center"/>
            </w:pPr>
            <w:r w:rsidRPr="00750D47">
              <w:t>$</w:t>
            </w:r>
            <w:r w:rsidR="00636543">
              <w:t>470</w:t>
            </w:r>
            <w:r w:rsidRPr="00750D47">
              <w:t>,000</w:t>
            </w:r>
          </w:p>
        </w:tc>
        <w:tc>
          <w:tcPr>
            <w:tcW w:w="1650" w:type="dxa"/>
            <w:noWrap/>
            <w:hideMark/>
          </w:tcPr>
          <w:p w:rsidR="00F81E48" w:rsidRPr="0007222A" w:rsidP="005F6062" w14:paraId="7F4937E0" w14:textId="77777777">
            <w:pPr>
              <w:keepNext/>
              <w:jc w:val="center"/>
            </w:pPr>
            <w:r w:rsidRPr="00750D47">
              <w:t>$</w:t>
            </w:r>
            <w:r w:rsidR="00636543">
              <w:t>740</w:t>
            </w:r>
            <w:r w:rsidRPr="00750D47">
              <w:t>,000</w:t>
            </w:r>
          </w:p>
        </w:tc>
      </w:tr>
      <w:tr w14:paraId="7F4937E7" w14:textId="77777777" w:rsidTr="00DF41C8">
        <w:tblPrEx>
          <w:tblW w:w="9324" w:type="dxa"/>
          <w:jc w:val="center"/>
          <w:tblLayout w:type="fixed"/>
          <w:tblLook w:val="04A0"/>
        </w:tblPrEx>
        <w:trPr>
          <w:trHeight w:val="285"/>
          <w:jc w:val="center"/>
        </w:trPr>
        <w:tc>
          <w:tcPr>
            <w:tcW w:w="1403" w:type="dxa"/>
            <w:noWrap/>
            <w:hideMark/>
          </w:tcPr>
          <w:p w:rsidR="00F81E48" w:rsidRPr="0007222A" w:rsidP="005F6062" w14:paraId="7F4937E2" w14:textId="77777777">
            <w:pPr>
              <w:keepNext/>
              <w:jc w:val="center"/>
              <w:rPr>
                <w:b/>
              </w:rPr>
            </w:pPr>
            <w:r w:rsidRPr="0007222A">
              <w:rPr>
                <w:b/>
              </w:rPr>
              <w:t>19</w:t>
            </w:r>
          </w:p>
        </w:tc>
        <w:tc>
          <w:tcPr>
            <w:tcW w:w="2637" w:type="dxa"/>
            <w:noWrap/>
            <w:hideMark/>
          </w:tcPr>
          <w:p w:rsidR="00F81E48" w:rsidRPr="0007222A" w:rsidP="005F6062" w14:paraId="7F4937E3" w14:textId="77777777">
            <w:pPr>
              <w:keepNext/>
              <w:jc w:val="center"/>
              <w:rPr>
                <w:b/>
              </w:rPr>
            </w:pPr>
            <w:r w:rsidRPr="0007222A">
              <w:rPr>
                <w:b/>
              </w:rPr>
              <w:t>2038</w:t>
            </w:r>
          </w:p>
        </w:tc>
        <w:tc>
          <w:tcPr>
            <w:tcW w:w="2028" w:type="dxa"/>
            <w:noWrap/>
            <w:hideMark/>
          </w:tcPr>
          <w:p w:rsidR="00F81E48" w:rsidRPr="0007222A" w:rsidP="005F6062" w14:paraId="7F4937E4" w14:textId="77777777">
            <w:pPr>
              <w:keepNext/>
              <w:jc w:val="center"/>
            </w:pPr>
            <w:r w:rsidRPr="00750D47">
              <w:t>$0</w:t>
            </w:r>
          </w:p>
        </w:tc>
        <w:tc>
          <w:tcPr>
            <w:tcW w:w="1606" w:type="dxa"/>
            <w:noWrap/>
            <w:hideMark/>
          </w:tcPr>
          <w:p w:rsidR="00F81E48" w:rsidRPr="0007222A" w:rsidP="005F6062" w14:paraId="7F4937E5" w14:textId="77777777">
            <w:pPr>
              <w:keepNext/>
              <w:jc w:val="center"/>
            </w:pPr>
            <w:r w:rsidRPr="00750D47">
              <w:t>$0</w:t>
            </w:r>
          </w:p>
        </w:tc>
        <w:tc>
          <w:tcPr>
            <w:tcW w:w="1650" w:type="dxa"/>
            <w:noWrap/>
            <w:hideMark/>
          </w:tcPr>
          <w:p w:rsidR="00F81E48" w:rsidRPr="0007222A" w:rsidP="005F6062" w14:paraId="7F4937E6" w14:textId="77777777">
            <w:pPr>
              <w:keepNext/>
              <w:jc w:val="center"/>
            </w:pPr>
            <w:r w:rsidRPr="00750D47">
              <w:t>$0</w:t>
            </w:r>
          </w:p>
        </w:tc>
      </w:tr>
      <w:tr w14:paraId="7F4937ED" w14:textId="77777777" w:rsidTr="00DF41C8">
        <w:tblPrEx>
          <w:tblW w:w="9324" w:type="dxa"/>
          <w:jc w:val="center"/>
          <w:tblLayout w:type="fixed"/>
          <w:tblLook w:val="04A0"/>
        </w:tblPrEx>
        <w:trPr>
          <w:trHeight w:val="293"/>
          <w:jc w:val="center"/>
        </w:trPr>
        <w:tc>
          <w:tcPr>
            <w:tcW w:w="1403" w:type="dxa"/>
            <w:noWrap/>
            <w:hideMark/>
          </w:tcPr>
          <w:p w:rsidR="00F81E48" w:rsidRPr="0007222A" w:rsidP="005F6062" w14:paraId="7F4937E8" w14:textId="77777777">
            <w:pPr>
              <w:keepNext/>
              <w:jc w:val="center"/>
              <w:rPr>
                <w:b/>
              </w:rPr>
            </w:pPr>
            <w:r w:rsidRPr="0007222A">
              <w:rPr>
                <w:b/>
              </w:rPr>
              <w:t>20</w:t>
            </w:r>
          </w:p>
        </w:tc>
        <w:tc>
          <w:tcPr>
            <w:tcW w:w="2637" w:type="dxa"/>
            <w:noWrap/>
            <w:hideMark/>
          </w:tcPr>
          <w:p w:rsidR="00F81E48" w:rsidRPr="0007222A" w:rsidP="005F6062" w14:paraId="7F4937E9" w14:textId="77777777">
            <w:pPr>
              <w:keepNext/>
              <w:jc w:val="center"/>
              <w:rPr>
                <w:b/>
              </w:rPr>
            </w:pPr>
            <w:r w:rsidRPr="00D839EE">
              <w:rPr>
                <w:rFonts w:cs="Arial"/>
                <w:b/>
              </w:rPr>
              <w:t>2039</w:t>
            </w:r>
          </w:p>
        </w:tc>
        <w:tc>
          <w:tcPr>
            <w:tcW w:w="2028" w:type="dxa"/>
            <w:noWrap/>
            <w:hideMark/>
          </w:tcPr>
          <w:p w:rsidR="00F81E48" w:rsidRPr="0007222A" w:rsidP="005F6062" w14:paraId="7F4937EA" w14:textId="77777777">
            <w:pPr>
              <w:keepNext/>
              <w:jc w:val="center"/>
            </w:pPr>
            <w:r w:rsidRPr="00750D47">
              <w:t>$0</w:t>
            </w:r>
          </w:p>
        </w:tc>
        <w:tc>
          <w:tcPr>
            <w:tcW w:w="1606" w:type="dxa"/>
            <w:noWrap/>
            <w:hideMark/>
          </w:tcPr>
          <w:p w:rsidR="00F81E48" w:rsidRPr="0007222A" w:rsidP="005F6062" w14:paraId="7F4937EB" w14:textId="77777777">
            <w:pPr>
              <w:keepNext/>
              <w:jc w:val="center"/>
            </w:pPr>
            <w:r w:rsidRPr="00750D47">
              <w:t>$0</w:t>
            </w:r>
          </w:p>
        </w:tc>
        <w:tc>
          <w:tcPr>
            <w:tcW w:w="1650" w:type="dxa"/>
            <w:noWrap/>
            <w:hideMark/>
          </w:tcPr>
          <w:p w:rsidR="00F81E48" w:rsidRPr="0007222A" w:rsidP="005F6062" w14:paraId="7F4937EC" w14:textId="77777777">
            <w:pPr>
              <w:keepNext/>
              <w:jc w:val="center"/>
            </w:pPr>
            <w:r w:rsidRPr="00750D47">
              <w:t>$0</w:t>
            </w:r>
          </w:p>
        </w:tc>
      </w:tr>
      <w:tr w14:paraId="7F4937F2" w14:textId="77777777" w:rsidTr="00DF41C8">
        <w:tblPrEx>
          <w:tblW w:w="9324" w:type="dxa"/>
          <w:jc w:val="center"/>
          <w:tblLayout w:type="fixed"/>
          <w:tblLook w:val="04A0"/>
        </w:tblPrEx>
        <w:trPr>
          <w:trHeight w:val="293"/>
          <w:jc w:val="center"/>
        </w:trPr>
        <w:tc>
          <w:tcPr>
            <w:tcW w:w="4040" w:type="dxa"/>
            <w:gridSpan w:val="2"/>
            <w:noWrap/>
            <w:hideMark/>
          </w:tcPr>
          <w:p w:rsidR="00E360BC" w:rsidRPr="0007222A" w:rsidP="005F6062" w14:paraId="7F4937EE" w14:textId="77777777">
            <w:pPr>
              <w:keepNext/>
              <w:jc w:val="center"/>
              <w:rPr>
                <w:b/>
              </w:rPr>
            </w:pPr>
            <w:r w:rsidRPr="0007222A">
              <w:rPr>
                <w:b/>
              </w:rPr>
              <w:t>Undiscounted 20-year total</w:t>
            </w:r>
          </w:p>
        </w:tc>
        <w:tc>
          <w:tcPr>
            <w:tcW w:w="2028" w:type="dxa"/>
            <w:noWrap/>
            <w:hideMark/>
          </w:tcPr>
          <w:p w:rsidR="00E360BC" w:rsidRPr="0007222A" w:rsidP="005F6062" w14:paraId="7F4937EF" w14:textId="77777777">
            <w:pPr>
              <w:keepNext/>
              <w:jc w:val="center"/>
            </w:pPr>
            <w:r w:rsidRPr="00866988">
              <w:t>$</w:t>
            </w:r>
            <w:r w:rsidR="0024786F">
              <w:t>7,000</w:t>
            </w:r>
            <w:r w:rsidRPr="00866988">
              <w:t>,000</w:t>
            </w:r>
          </w:p>
        </w:tc>
        <w:tc>
          <w:tcPr>
            <w:tcW w:w="1606" w:type="dxa"/>
            <w:noWrap/>
            <w:hideMark/>
          </w:tcPr>
          <w:p w:rsidR="00E360BC" w:rsidRPr="0007222A" w:rsidP="005F6062" w14:paraId="7F4937F0" w14:textId="77777777">
            <w:pPr>
              <w:keepNext/>
              <w:jc w:val="center"/>
            </w:pPr>
            <w:r w:rsidRPr="00866988">
              <w:t>$</w:t>
            </w:r>
            <w:r w:rsidR="0024786F">
              <w:t>12</w:t>
            </w:r>
            <w:r w:rsidRPr="00866988">
              <w:t>,000,000</w:t>
            </w:r>
          </w:p>
        </w:tc>
        <w:tc>
          <w:tcPr>
            <w:tcW w:w="1650" w:type="dxa"/>
            <w:noWrap/>
            <w:hideMark/>
          </w:tcPr>
          <w:p w:rsidR="00E360BC" w:rsidRPr="0007222A" w:rsidP="005F6062" w14:paraId="7F4937F1" w14:textId="77777777">
            <w:pPr>
              <w:keepNext/>
              <w:jc w:val="center"/>
            </w:pPr>
            <w:r w:rsidRPr="00866988">
              <w:t>$</w:t>
            </w:r>
            <w:r w:rsidR="0024786F">
              <w:t>19</w:t>
            </w:r>
            <w:r w:rsidRPr="00866988">
              <w:t>,000,000</w:t>
            </w:r>
          </w:p>
        </w:tc>
      </w:tr>
      <w:tr w14:paraId="7F4937F7" w14:textId="77777777" w:rsidTr="00DF41C8">
        <w:tblPrEx>
          <w:tblW w:w="9324" w:type="dxa"/>
          <w:jc w:val="center"/>
          <w:tblLayout w:type="fixed"/>
          <w:tblLook w:val="04A0"/>
        </w:tblPrEx>
        <w:trPr>
          <w:trHeight w:val="285"/>
          <w:jc w:val="center"/>
        </w:trPr>
        <w:tc>
          <w:tcPr>
            <w:tcW w:w="4040" w:type="dxa"/>
            <w:gridSpan w:val="2"/>
            <w:noWrap/>
            <w:hideMark/>
          </w:tcPr>
          <w:p w:rsidR="00E360BC" w:rsidRPr="0007222A" w:rsidP="005F6062" w14:paraId="7F4937F3" w14:textId="77777777">
            <w:pPr>
              <w:keepNext/>
              <w:jc w:val="center"/>
              <w:rPr>
                <w:b/>
              </w:rPr>
            </w:pPr>
            <w:r w:rsidRPr="0007222A">
              <w:rPr>
                <w:b/>
              </w:rPr>
              <w:t>20-year total with 3% discounting</w:t>
            </w:r>
          </w:p>
        </w:tc>
        <w:tc>
          <w:tcPr>
            <w:tcW w:w="2028" w:type="dxa"/>
            <w:noWrap/>
            <w:hideMark/>
          </w:tcPr>
          <w:p w:rsidR="00E360BC" w:rsidRPr="0007222A" w:rsidP="005F6062" w14:paraId="7F4937F4" w14:textId="77777777">
            <w:pPr>
              <w:keepNext/>
              <w:jc w:val="center"/>
            </w:pPr>
            <w:r w:rsidRPr="00866988">
              <w:t>$</w:t>
            </w:r>
            <w:r w:rsidR="005A2901">
              <w:t>5,200</w:t>
            </w:r>
            <w:r w:rsidRPr="00866988">
              <w:t>,000</w:t>
            </w:r>
          </w:p>
        </w:tc>
        <w:tc>
          <w:tcPr>
            <w:tcW w:w="1606" w:type="dxa"/>
            <w:noWrap/>
            <w:hideMark/>
          </w:tcPr>
          <w:p w:rsidR="00E360BC" w:rsidRPr="0007222A" w:rsidP="005F6062" w14:paraId="7F4937F5" w14:textId="77777777">
            <w:pPr>
              <w:keepNext/>
              <w:jc w:val="center"/>
            </w:pPr>
            <w:r w:rsidRPr="00866988">
              <w:t>$</w:t>
            </w:r>
            <w:r w:rsidR="005A2901">
              <w:t>9,200</w:t>
            </w:r>
            <w:r w:rsidRPr="00866988">
              <w:t>,000</w:t>
            </w:r>
          </w:p>
        </w:tc>
        <w:tc>
          <w:tcPr>
            <w:tcW w:w="1650" w:type="dxa"/>
            <w:noWrap/>
            <w:hideMark/>
          </w:tcPr>
          <w:p w:rsidR="00E360BC" w:rsidRPr="0007222A" w:rsidP="005F6062" w14:paraId="7F4937F6" w14:textId="77777777">
            <w:pPr>
              <w:keepNext/>
              <w:jc w:val="center"/>
            </w:pPr>
            <w:r w:rsidRPr="00866988">
              <w:t>$</w:t>
            </w:r>
            <w:r w:rsidRPr="00866988" w:rsidR="005A2901">
              <w:t>1</w:t>
            </w:r>
            <w:r w:rsidR="005A2901">
              <w:t>4</w:t>
            </w:r>
            <w:r w:rsidRPr="00866988">
              <w:t>,000,000</w:t>
            </w:r>
          </w:p>
        </w:tc>
      </w:tr>
      <w:tr w14:paraId="7F4937FC" w14:textId="77777777" w:rsidTr="00DF41C8">
        <w:tblPrEx>
          <w:tblW w:w="9324" w:type="dxa"/>
          <w:jc w:val="center"/>
          <w:tblLayout w:type="fixed"/>
          <w:tblLook w:val="04A0"/>
        </w:tblPrEx>
        <w:trPr>
          <w:trHeight w:val="293"/>
          <w:jc w:val="center"/>
        </w:trPr>
        <w:tc>
          <w:tcPr>
            <w:tcW w:w="4040" w:type="dxa"/>
            <w:gridSpan w:val="2"/>
            <w:noWrap/>
            <w:hideMark/>
          </w:tcPr>
          <w:p w:rsidR="00E360BC" w:rsidRPr="0007222A" w:rsidP="005F6062" w14:paraId="7F4937F8" w14:textId="77777777">
            <w:pPr>
              <w:keepNext/>
              <w:jc w:val="center"/>
              <w:rPr>
                <w:b/>
              </w:rPr>
            </w:pPr>
            <w:r w:rsidRPr="0007222A">
              <w:rPr>
                <w:b/>
              </w:rPr>
              <w:t>20-year total with 7% discounting</w:t>
            </w:r>
          </w:p>
        </w:tc>
        <w:tc>
          <w:tcPr>
            <w:tcW w:w="2028" w:type="dxa"/>
            <w:noWrap/>
            <w:hideMark/>
          </w:tcPr>
          <w:p w:rsidR="00E360BC" w:rsidRPr="0007222A" w:rsidP="005F6062" w14:paraId="7F4937F9" w14:textId="77777777">
            <w:pPr>
              <w:keepNext/>
              <w:jc w:val="center"/>
            </w:pPr>
            <w:r w:rsidRPr="00866988">
              <w:t>$3,</w:t>
            </w:r>
            <w:r w:rsidR="00E84BFE">
              <w:t>6</w:t>
            </w:r>
            <w:r w:rsidRPr="00866988" w:rsidR="00E84BFE">
              <w:t>00</w:t>
            </w:r>
            <w:r w:rsidRPr="00866988">
              <w:t>,000</w:t>
            </w:r>
          </w:p>
        </w:tc>
        <w:tc>
          <w:tcPr>
            <w:tcW w:w="1606" w:type="dxa"/>
            <w:noWrap/>
            <w:hideMark/>
          </w:tcPr>
          <w:p w:rsidR="00E360BC" w:rsidRPr="0007222A" w:rsidP="005F6062" w14:paraId="7F4937FA" w14:textId="77777777">
            <w:pPr>
              <w:keepNext/>
              <w:jc w:val="center"/>
            </w:pPr>
            <w:r w:rsidRPr="00866988">
              <w:t>$</w:t>
            </w:r>
            <w:r w:rsidR="00E84BFE">
              <w:t>6,400</w:t>
            </w:r>
            <w:r w:rsidRPr="00866988">
              <w:t>,000</w:t>
            </w:r>
          </w:p>
        </w:tc>
        <w:tc>
          <w:tcPr>
            <w:tcW w:w="1650" w:type="dxa"/>
            <w:noWrap/>
            <w:hideMark/>
          </w:tcPr>
          <w:p w:rsidR="00E360BC" w:rsidRPr="0007222A" w:rsidP="005F6062" w14:paraId="7F4937FB" w14:textId="77777777">
            <w:pPr>
              <w:keepNext/>
              <w:jc w:val="center"/>
            </w:pPr>
            <w:r w:rsidRPr="00866988">
              <w:t>$</w:t>
            </w:r>
            <w:r w:rsidR="006B18DE">
              <w:t>10</w:t>
            </w:r>
            <w:r w:rsidRPr="00866988">
              <w:t>,000,000</w:t>
            </w:r>
          </w:p>
        </w:tc>
      </w:tr>
      <w:tr w14:paraId="7F493801" w14:textId="77777777" w:rsidTr="00DF41C8">
        <w:tblPrEx>
          <w:tblW w:w="9324" w:type="dxa"/>
          <w:jc w:val="center"/>
          <w:tblLayout w:type="fixed"/>
          <w:tblLook w:val="04A0"/>
        </w:tblPrEx>
        <w:trPr>
          <w:trHeight w:val="293"/>
          <w:jc w:val="center"/>
        </w:trPr>
        <w:tc>
          <w:tcPr>
            <w:tcW w:w="4040" w:type="dxa"/>
            <w:gridSpan w:val="2"/>
            <w:noWrap/>
            <w:hideMark/>
          </w:tcPr>
          <w:p w:rsidR="00E360BC" w:rsidRPr="0007222A" w:rsidP="005F6062" w14:paraId="7F4937FD" w14:textId="77777777">
            <w:pPr>
              <w:keepNext/>
              <w:jc w:val="center"/>
              <w:rPr>
                <w:b/>
              </w:rPr>
            </w:pPr>
            <w:r w:rsidRPr="0007222A">
              <w:rPr>
                <w:b/>
              </w:rPr>
              <w:t xml:space="preserve">20-year </w:t>
            </w:r>
            <w:r w:rsidR="00CF1BED">
              <w:rPr>
                <w:rFonts w:cs="Arial"/>
                <w:b/>
                <w:bCs/>
              </w:rPr>
              <w:t>a</w:t>
            </w:r>
            <w:r w:rsidRPr="00D839EE">
              <w:rPr>
                <w:rFonts w:cs="Arial"/>
                <w:b/>
                <w:bCs/>
              </w:rPr>
              <w:t>verage</w:t>
            </w:r>
          </w:p>
        </w:tc>
        <w:tc>
          <w:tcPr>
            <w:tcW w:w="2028" w:type="dxa"/>
            <w:noWrap/>
            <w:hideMark/>
          </w:tcPr>
          <w:p w:rsidR="00E360BC" w:rsidRPr="0007222A" w:rsidP="005F6062" w14:paraId="7F4937FE" w14:textId="77777777">
            <w:pPr>
              <w:keepNext/>
              <w:jc w:val="center"/>
            </w:pPr>
            <w:r w:rsidRPr="00866988">
              <w:t>$</w:t>
            </w:r>
            <w:r w:rsidRPr="00866988" w:rsidR="006B18DE">
              <w:t>3</w:t>
            </w:r>
            <w:r w:rsidR="006B18DE">
              <w:t>5</w:t>
            </w:r>
            <w:r w:rsidRPr="00866988" w:rsidR="006B18DE">
              <w:t>0</w:t>
            </w:r>
            <w:r w:rsidRPr="00866988">
              <w:t>,000</w:t>
            </w:r>
          </w:p>
        </w:tc>
        <w:tc>
          <w:tcPr>
            <w:tcW w:w="1606" w:type="dxa"/>
            <w:noWrap/>
            <w:hideMark/>
          </w:tcPr>
          <w:p w:rsidR="00E360BC" w:rsidRPr="0007222A" w:rsidP="005F6062" w14:paraId="7F4937FF" w14:textId="77777777">
            <w:pPr>
              <w:keepNext/>
              <w:jc w:val="center"/>
            </w:pPr>
            <w:r w:rsidRPr="00866988">
              <w:t>$</w:t>
            </w:r>
            <w:r w:rsidR="006B18DE">
              <w:t>62</w:t>
            </w:r>
            <w:r w:rsidRPr="00866988" w:rsidR="006B18DE">
              <w:t>0</w:t>
            </w:r>
            <w:r w:rsidRPr="00866988">
              <w:t>,000</w:t>
            </w:r>
          </w:p>
        </w:tc>
        <w:tc>
          <w:tcPr>
            <w:tcW w:w="1650" w:type="dxa"/>
            <w:noWrap/>
            <w:hideMark/>
          </w:tcPr>
          <w:p w:rsidR="00E360BC" w:rsidRPr="0007222A" w:rsidP="005F6062" w14:paraId="7F493800" w14:textId="77777777">
            <w:pPr>
              <w:keepNext/>
              <w:jc w:val="center"/>
            </w:pPr>
            <w:r w:rsidRPr="00866988">
              <w:t>$</w:t>
            </w:r>
            <w:r w:rsidR="006B18DE">
              <w:t>970</w:t>
            </w:r>
            <w:r w:rsidRPr="00866988">
              <w:t>,000</w:t>
            </w:r>
          </w:p>
        </w:tc>
      </w:tr>
      <w:tr w14:paraId="7F493806" w14:textId="77777777" w:rsidTr="00DF41C8">
        <w:tblPrEx>
          <w:tblW w:w="9324" w:type="dxa"/>
          <w:jc w:val="center"/>
          <w:tblLayout w:type="fixed"/>
          <w:tblLook w:val="04A0"/>
        </w:tblPrEx>
        <w:trPr>
          <w:trHeight w:val="285"/>
          <w:jc w:val="center"/>
        </w:trPr>
        <w:tc>
          <w:tcPr>
            <w:tcW w:w="4040" w:type="dxa"/>
            <w:gridSpan w:val="2"/>
            <w:noWrap/>
            <w:hideMark/>
          </w:tcPr>
          <w:p w:rsidR="00E360BC" w:rsidRPr="0007222A" w:rsidP="005F6062" w14:paraId="7F493802" w14:textId="77777777">
            <w:pPr>
              <w:keepNext/>
              <w:jc w:val="center"/>
              <w:rPr>
                <w:b/>
              </w:rPr>
            </w:pPr>
            <w:r w:rsidRPr="0007222A">
              <w:rPr>
                <w:b/>
              </w:rPr>
              <w:t>Annualized with 3% discounting</w:t>
            </w:r>
          </w:p>
        </w:tc>
        <w:tc>
          <w:tcPr>
            <w:tcW w:w="2028" w:type="dxa"/>
            <w:noWrap/>
            <w:hideMark/>
          </w:tcPr>
          <w:p w:rsidR="00E360BC" w:rsidRPr="0007222A" w:rsidP="005F6062" w14:paraId="7F493803" w14:textId="77777777">
            <w:pPr>
              <w:keepNext/>
              <w:jc w:val="center"/>
            </w:pPr>
            <w:r w:rsidRPr="00866988">
              <w:t>$</w:t>
            </w:r>
            <w:r w:rsidR="006B18DE">
              <w:t>35</w:t>
            </w:r>
            <w:r w:rsidRPr="00866988" w:rsidR="006B18DE">
              <w:t>0</w:t>
            </w:r>
            <w:r w:rsidRPr="00866988">
              <w:t>,000</w:t>
            </w:r>
          </w:p>
        </w:tc>
        <w:tc>
          <w:tcPr>
            <w:tcW w:w="1606" w:type="dxa"/>
            <w:noWrap/>
            <w:hideMark/>
          </w:tcPr>
          <w:p w:rsidR="00E360BC" w:rsidRPr="0007222A" w:rsidP="005F6062" w14:paraId="7F493804" w14:textId="77777777">
            <w:pPr>
              <w:keepNext/>
              <w:jc w:val="center"/>
            </w:pPr>
            <w:r w:rsidRPr="00866988">
              <w:t>$</w:t>
            </w:r>
            <w:r w:rsidR="006B18DE">
              <w:t>62</w:t>
            </w:r>
            <w:r w:rsidRPr="00866988" w:rsidR="006B18DE">
              <w:t>0</w:t>
            </w:r>
            <w:r w:rsidRPr="00866988">
              <w:t>,000</w:t>
            </w:r>
          </w:p>
        </w:tc>
        <w:tc>
          <w:tcPr>
            <w:tcW w:w="1650" w:type="dxa"/>
            <w:noWrap/>
            <w:hideMark/>
          </w:tcPr>
          <w:p w:rsidR="00E360BC" w:rsidRPr="0007222A" w:rsidP="005F6062" w14:paraId="7F493805" w14:textId="77777777">
            <w:pPr>
              <w:keepNext/>
              <w:jc w:val="center"/>
            </w:pPr>
            <w:r w:rsidRPr="00866988">
              <w:t>$</w:t>
            </w:r>
            <w:r w:rsidR="006B18DE">
              <w:t>970</w:t>
            </w:r>
            <w:r w:rsidRPr="00866988">
              <w:t>,000</w:t>
            </w:r>
          </w:p>
        </w:tc>
      </w:tr>
      <w:tr w14:paraId="7F49380B" w14:textId="77777777" w:rsidTr="00DF41C8">
        <w:tblPrEx>
          <w:tblW w:w="9324" w:type="dxa"/>
          <w:jc w:val="center"/>
          <w:tblLayout w:type="fixed"/>
          <w:tblLook w:val="04A0"/>
        </w:tblPrEx>
        <w:trPr>
          <w:trHeight w:val="293"/>
          <w:jc w:val="center"/>
        </w:trPr>
        <w:tc>
          <w:tcPr>
            <w:tcW w:w="4040" w:type="dxa"/>
            <w:gridSpan w:val="2"/>
            <w:noWrap/>
            <w:hideMark/>
          </w:tcPr>
          <w:p w:rsidR="00E360BC" w:rsidRPr="0007222A" w:rsidP="005F6062" w14:paraId="7F493807" w14:textId="77777777">
            <w:pPr>
              <w:keepNext/>
              <w:jc w:val="center"/>
              <w:rPr>
                <w:b/>
              </w:rPr>
            </w:pPr>
            <w:r w:rsidRPr="0007222A">
              <w:rPr>
                <w:b/>
              </w:rPr>
              <w:t>Annualized with 7% discounting</w:t>
            </w:r>
          </w:p>
        </w:tc>
        <w:tc>
          <w:tcPr>
            <w:tcW w:w="2028" w:type="dxa"/>
            <w:noWrap/>
            <w:hideMark/>
          </w:tcPr>
          <w:p w:rsidR="00E360BC" w:rsidRPr="0007222A" w:rsidP="005F6062" w14:paraId="7F493808" w14:textId="77777777">
            <w:pPr>
              <w:keepNext/>
              <w:jc w:val="center"/>
            </w:pPr>
            <w:r w:rsidRPr="00866988">
              <w:t>$</w:t>
            </w:r>
            <w:r w:rsidR="00305E1E">
              <w:t>34</w:t>
            </w:r>
            <w:r w:rsidRPr="00866988" w:rsidR="00305E1E">
              <w:t>0</w:t>
            </w:r>
            <w:r w:rsidRPr="00866988">
              <w:t>,000</w:t>
            </w:r>
          </w:p>
        </w:tc>
        <w:tc>
          <w:tcPr>
            <w:tcW w:w="1606" w:type="dxa"/>
            <w:noWrap/>
            <w:hideMark/>
          </w:tcPr>
          <w:p w:rsidR="00E360BC" w:rsidRPr="0007222A" w:rsidP="005F6062" w14:paraId="7F493809" w14:textId="77777777">
            <w:pPr>
              <w:keepNext/>
              <w:jc w:val="center"/>
            </w:pPr>
            <w:r w:rsidRPr="00866988">
              <w:t>$</w:t>
            </w:r>
            <w:r w:rsidR="00305E1E">
              <w:t>60</w:t>
            </w:r>
            <w:r w:rsidRPr="00866988" w:rsidR="00305E1E">
              <w:t>0</w:t>
            </w:r>
            <w:r w:rsidRPr="00866988">
              <w:t>,000</w:t>
            </w:r>
          </w:p>
        </w:tc>
        <w:tc>
          <w:tcPr>
            <w:tcW w:w="1650" w:type="dxa"/>
            <w:noWrap/>
            <w:hideMark/>
          </w:tcPr>
          <w:p w:rsidR="00E360BC" w:rsidRPr="0007222A" w:rsidP="005F6062" w14:paraId="7F49380A" w14:textId="77777777">
            <w:pPr>
              <w:keepNext/>
              <w:jc w:val="center"/>
            </w:pPr>
            <w:r w:rsidRPr="00866988">
              <w:t>$</w:t>
            </w:r>
            <w:r w:rsidR="00305E1E">
              <w:t>940</w:t>
            </w:r>
            <w:r w:rsidRPr="00866988">
              <w:t>,000</w:t>
            </w:r>
          </w:p>
        </w:tc>
      </w:tr>
    </w:tbl>
    <w:p w:rsidR="008102FB" w:rsidRPr="00D839EE" w:rsidP="005F6062" w14:paraId="7F49380C" w14:textId="77777777">
      <w:pPr>
        <w:keepNext/>
        <w:rPr>
          <w:rFonts w:cs="Arial"/>
          <w:iCs/>
          <w:sz w:val="18"/>
          <w:szCs w:val="18"/>
        </w:rPr>
      </w:pPr>
      <w:r w:rsidRPr="00D839EE">
        <w:rPr>
          <w:rFonts w:cs="Arial"/>
          <w:sz w:val="18"/>
          <w:szCs w:val="18"/>
        </w:rPr>
        <w:t xml:space="preserve">The following formula was used to calculate discounted annualized costs and </w:t>
      </w:r>
      <w:r w:rsidR="004B4B0D">
        <w:rPr>
          <w:rFonts w:cs="Arial"/>
          <w:sz w:val="18"/>
          <w:szCs w:val="18"/>
        </w:rPr>
        <w:t>averted costs</w:t>
      </w:r>
      <w:r w:rsidRPr="00D839EE">
        <w:rPr>
          <w:rFonts w:cs="Arial"/>
          <w:sz w:val="18"/>
          <w:szCs w:val="18"/>
        </w:rPr>
        <w:t xml:space="preserve"> (where r is the discount rate and n is the number of years </w:t>
      </w:r>
      <w:r w:rsidR="007E6E02">
        <w:rPr>
          <w:rFonts w:cs="Arial"/>
          <w:sz w:val="18"/>
          <w:szCs w:val="18"/>
        </w:rPr>
        <w:t>(</w:t>
      </w:r>
      <w:r w:rsidR="00F0709E">
        <w:rPr>
          <w:rFonts w:cs="Arial"/>
          <w:sz w:val="18"/>
          <w:szCs w:val="18"/>
        </w:rPr>
        <w:t xml:space="preserve">i.e., </w:t>
      </w:r>
      <w:r w:rsidRPr="00D839EE">
        <w:rPr>
          <w:rFonts w:cs="Arial"/>
          <w:sz w:val="18"/>
          <w:szCs w:val="18"/>
        </w:rPr>
        <w:t>20</w:t>
      </w:r>
      <w:r w:rsidR="00F0709E">
        <w:rPr>
          <w:rFonts w:cs="Arial"/>
          <w:sz w:val="18"/>
          <w:szCs w:val="18"/>
        </w:rPr>
        <w:t xml:space="preserve"> years</w:t>
      </w:r>
      <w:r w:rsidR="00CF1BED">
        <w:rPr>
          <w:rFonts w:cs="Arial"/>
          <w:sz w:val="18"/>
          <w:szCs w:val="18"/>
        </w:rPr>
        <w:t>)</w:t>
      </w:r>
      <w:r w:rsidRPr="00D839EE">
        <w:rPr>
          <w:rFonts w:cs="Arial"/>
          <w:sz w:val="18"/>
          <w:szCs w:val="18"/>
        </w:rPr>
        <w:t xml:space="preserve">): </w:t>
      </w:r>
      <m:oMath>
        <m:r>
          <w:rPr>
            <w:rFonts w:ascii="Cambria Math" w:hAnsi="Cambria Math"/>
          </w:rPr>
          <m:t xml:space="preserve"> </m:t>
        </m:r>
        <m:r>
          <w:rPr>
            <w:rFonts w:ascii="Cambria Math" w:hAnsi="Cambria Math" w:cs="Arial"/>
            <w:sz w:val="18"/>
            <w:szCs w:val="18"/>
          </w:rPr>
          <m:t>Annualized Cost=Present Value Cost∙</m:t>
        </m:r>
        <m:f>
          <m:fPr>
            <m:ctrlPr>
              <w:rPr>
                <w:rFonts w:ascii="Cambria Math" w:hAnsi="Cambria Math" w:cs="Arial"/>
                <w:i/>
                <w:iCs/>
                <w:sz w:val="18"/>
                <w:szCs w:val="18"/>
              </w:rPr>
            </m:ctrlPr>
          </m:fPr>
          <m:num>
            <m:r>
              <w:rPr>
                <w:rFonts w:ascii="Cambria Math" w:hAnsi="Cambria Math" w:cs="Arial"/>
                <w:sz w:val="18"/>
                <w:szCs w:val="18"/>
              </w:rPr>
              <m:t>r∙</m:t>
            </m:r>
            <m:sSup>
              <m:sSupPr>
                <m:ctrlPr>
                  <w:rPr>
                    <w:rFonts w:ascii="Cambria Math" w:hAnsi="Cambria Math" w:cs="Arial"/>
                    <w:i/>
                    <w:iCs/>
                    <w:sz w:val="18"/>
                    <w:szCs w:val="18"/>
                  </w:rPr>
                </m:ctrlPr>
              </m:sSupPr>
              <m:e>
                <m:d>
                  <m:dPr>
                    <m:ctrlPr>
                      <w:rPr>
                        <w:rFonts w:ascii="Cambria Math" w:hAnsi="Cambria Math" w:cs="Arial"/>
                        <w:i/>
                        <w:iCs/>
                        <w:sz w:val="18"/>
                        <w:szCs w:val="18"/>
                      </w:rPr>
                    </m:ctrlPr>
                  </m:dPr>
                  <m:e>
                    <m:r>
                      <w:rPr>
                        <w:rFonts w:ascii="Cambria Math" w:hAnsi="Cambria Math" w:cs="Arial"/>
                        <w:sz w:val="18"/>
                        <w:szCs w:val="18"/>
                      </w:rPr>
                      <m:t>1+r</m:t>
                    </m:r>
                  </m:e>
                </m:d>
              </m:e>
              <m:sup>
                <m:r>
                  <w:rPr>
                    <w:rFonts w:ascii="Cambria Math" w:hAnsi="Cambria Math" w:cs="Arial"/>
                    <w:sz w:val="18"/>
                    <w:szCs w:val="18"/>
                  </w:rPr>
                  <m:t>n</m:t>
                </m:r>
              </m:sup>
            </m:sSup>
          </m:num>
          <m:den>
            <m:sSup>
              <m:sSupPr>
                <m:ctrlPr>
                  <w:rPr>
                    <w:rFonts w:ascii="Cambria Math" w:hAnsi="Cambria Math" w:cs="Arial"/>
                    <w:i/>
                    <w:iCs/>
                    <w:sz w:val="18"/>
                    <w:szCs w:val="18"/>
                  </w:rPr>
                </m:ctrlPr>
              </m:sSupPr>
              <m:e>
                <m:r>
                  <w:rPr>
                    <w:rFonts w:ascii="Cambria Math" w:hAnsi="Cambria Math" w:cs="Arial"/>
                    <w:sz w:val="18"/>
                    <w:szCs w:val="18"/>
                  </w:rPr>
                  <m:t>(1+r)</m:t>
                </m:r>
              </m:e>
              <m:sup>
                <m:r>
                  <w:rPr>
                    <w:rFonts w:ascii="Cambria Math" w:hAnsi="Cambria Math" w:cs="Arial"/>
                    <w:sz w:val="18"/>
                    <w:szCs w:val="18"/>
                  </w:rPr>
                  <m:t>n</m:t>
                </m:r>
              </m:sup>
            </m:sSup>
            <m:r>
              <w:rPr>
                <w:rFonts w:ascii="Cambria Math" w:hAnsi="Cambria Math" w:cs="Arial"/>
                <w:sz w:val="18"/>
                <w:szCs w:val="18"/>
              </w:rPr>
              <m:t>-1</m:t>
            </m:r>
          </m:den>
        </m:f>
      </m:oMath>
      <w:r w:rsidRPr="00D839EE">
        <w:rPr>
          <w:rFonts w:cs="Arial"/>
          <w:iCs/>
          <w:sz w:val="18"/>
          <w:szCs w:val="18"/>
        </w:rPr>
        <w:t xml:space="preserve"> .</w:t>
      </w:r>
    </w:p>
    <w:p w:rsidR="00BF5AC4" w:rsidRPr="00D839EE" w:rsidP="0007222A" w14:paraId="7F49380D" w14:textId="77777777">
      <w:pPr>
        <w:rPr>
          <w:rFonts w:cs="Arial"/>
          <w:sz w:val="18"/>
        </w:rPr>
      </w:pPr>
      <w:r w:rsidRPr="00D839EE">
        <w:rPr>
          <w:rFonts w:cs="Arial"/>
          <w:sz w:val="18"/>
        </w:rPr>
        <w:t xml:space="preserve">Totals may not </w:t>
      </w:r>
      <w:r w:rsidR="00E54C1E">
        <w:rPr>
          <w:rFonts w:cs="Arial"/>
          <w:sz w:val="18"/>
        </w:rPr>
        <w:t>match</w:t>
      </w:r>
      <w:r w:rsidRPr="00D839EE" w:rsidR="00E54C1E">
        <w:rPr>
          <w:rFonts w:cs="Arial"/>
          <w:sz w:val="18"/>
        </w:rPr>
        <w:t xml:space="preserve"> </w:t>
      </w:r>
      <w:r w:rsidRPr="00D839EE">
        <w:rPr>
          <w:rFonts w:cs="Arial"/>
          <w:sz w:val="18"/>
        </w:rPr>
        <w:t>due to rounding.</w:t>
      </w:r>
    </w:p>
    <w:p w:rsidR="00BF5AC4" w:rsidRPr="00D839EE" w:rsidP="00BF5AC4" w14:paraId="7F49380E" w14:textId="77777777">
      <w:pPr>
        <w:rPr>
          <w:rFonts w:cs="Arial"/>
          <w:sz w:val="18"/>
        </w:rPr>
      </w:pPr>
    </w:p>
    <w:p w:rsidR="00BF5AC4" w:rsidRPr="00D839EE" w:rsidP="002F0F5F" w14:paraId="7F49380F" w14:textId="150DC19B">
      <w:pPr>
        <w:rPr>
          <w:rFonts w:cs="Arial"/>
          <w:sz w:val="22"/>
          <w:szCs w:val="22"/>
        </w:rPr>
      </w:pPr>
      <w:r w:rsidRPr="00D839EE">
        <w:rPr>
          <w:rFonts w:cs="Arial"/>
          <w:sz w:val="22"/>
          <w:szCs w:val="22"/>
        </w:rPr>
        <w:t>Th</w:t>
      </w:r>
      <w:r w:rsidR="00AB17D3">
        <w:rPr>
          <w:rFonts w:cs="Arial"/>
          <w:sz w:val="22"/>
          <w:szCs w:val="22"/>
        </w:rPr>
        <w:t>is</w:t>
      </w:r>
      <w:r w:rsidRPr="00D839EE">
        <w:rPr>
          <w:rFonts w:cs="Arial"/>
          <w:sz w:val="22"/>
          <w:szCs w:val="22"/>
        </w:rPr>
        <w:t xml:space="preserv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ease the burden on licensees by creating non</w:t>
      </w:r>
      <w:r w:rsidR="00A56CAF">
        <w:rPr>
          <w:rFonts w:cs="Arial"/>
          <w:sz w:val="22"/>
          <w:szCs w:val="22"/>
        </w:rPr>
        <w:t>-</w:t>
      </w:r>
      <w:r w:rsidRPr="00D839EE">
        <w:rPr>
          <w:rFonts w:cs="Arial"/>
          <w:sz w:val="22"/>
          <w:szCs w:val="22"/>
        </w:rPr>
        <w:t xml:space="preserve">expiring licenses </w:t>
      </w:r>
      <w:r w:rsidR="00CF1BED">
        <w:rPr>
          <w:rFonts w:cs="Arial"/>
          <w:sz w:val="22"/>
          <w:szCs w:val="22"/>
        </w:rPr>
        <w:t>that</w:t>
      </w:r>
      <w:r w:rsidRPr="00D839EE">
        <w:rPr>
          <w:rFonts w:cs="Arial"/>
          <w:sz w:val="22"/>
          <w:szCs w:val="22"/>
        </w:rPr>
        <w:t xml:space="preserve"> will result in considerable time and cost savings as compared to Options 1 and 2. </w:t>
      </w:r>
      <w:r w:rsidR="007E6E02">
        <w:rPr>
          <w:rFonts w:cs="Arial"/>
          <w:sz w:val="22"/>
          <w:szCs w:val="22"/>
        </w:rPr>
        <w:t xml:space="preserve"> </w:t>
      </w:r>
      <w:r w:rsidR="003E3906">
        <w:rPr>
          <w:rFonts w:cs="Arial"/>
          <w:sz w:val="22"/>
          <w:szCs w:val="22"/>
        </w:rPr>
        <w:t xml:space="preserve">Under this option, cost savings will not accrue to </w:t>
      </w:r>
      <w:r w:rsidR="005260CF">
        <w:rPr>
          <w:rFonts w:cs="Arial"/>
          <w:sz w:val="22"/>
          <w:szCs w:val="22"/>
        </w:rPr>
        <w:t>G</w:t>
      </w:r>
      <w:r w:rsidR="008617DA">
        <w:rPr>
          <w:rFonts w:cs="Arial"/>
          <w:sz w:val="22"/>
          <w:szCs w:val="22"/>
        </w:rPr>
        <w:t xml:space="preserve">roup 4 licensees as they will still be subject to </w:t>
      </w:r>
      <w:r w:rsidR="009E2B8B">
        <w:rPr>
          <w:rFonts w:cs="Arial"/>
          <w:sz w:val="22"/>
          <w:szCs w:val="22"/>
        </w:rPr>
        <w:t xml:space="preserve">the </w:t>
      </w:r>
      <w:r w:rsidR="008617DA">
        <w:rPr>
          <w:rFonts w:cs="Arial"/>
          <w:sz w:val="22"/>
          <w:szCs w:val="22"/>
        </w:rPr>
        <w:t xml:space="preserve">current license </w:t>
      </w:r>
      <w:r w:rsidR="009E2B8B">
        <w:rPr>
          <w:rFonts w:cs="Arial"/>
          <w:sz w:val="22"/>
          <w:szCs w:val="22"/>
        </w:rPr>
        <w:t xml:space="preserve">renewal </w:t>
      </w:r>
      <w:r w:rsidR="008617DA">
        <w:rPr>
          <w:rFonts w:cs="Arial"/>
          <w:sz w:val="22"/>
          <w:szCs w:val="22"/>
        </w:rPr>
        <w:t>requirements.</w:t>
      </w:r>
      <w:r w:rsidR="007E6E02">
        <w:rPr>
          <w:rFonts w:cs="Arial"/>
          <w:sz w:val="22"/>
          <w:szCs w:val="22"/>
        </w:rPr>
        <w:t xml:space="preserve"> </w:t>
      </w:r>
      <w:r w:rsidR="003A7F24">
        <w:rPr>
          <w:rFonts w:cs="Arial"/>
          <w:sz w:val="22"/>
          <w:szCs w:val="22"/>
        </w:rPr>
        <w:t xml:space="preserve"> </w:t>
      </w:r>
      <w:r w:rsidR="008617DA">
        <w:rPr>
          <w:rFonts w:cs="Arial"/>
          <w:sz w:val="22"/>
          <w:szCs w:val="22"/>
        </w:rPr>
        <w:t>For further discussion, see Section 3.3.</w:t>
      </w:r>
      <w:r w:rsidRPr="00D839EE">
        <w:rPr>
          <w:rFonts w:cs="Arial"/>
          <w:sz w:val="22"/>
          <w:szCs w:val="22"/>
        </w:rPr>
        <w:t xml:space="preserve">  </w:t>
      </w:r>
      <w:r w:rsidRPr="00CF41A7" w:rsidR="00642562">
        <w:rPr>
          <w:rFonts w:cs="Arial"/>
          <w:sz w:val="22"/>
          <w:szCs w:val="22"/>
        </w:rPr>
        <w:fldChar w:fldCharType="begin"/>
      </w:r>
      <w:r w:rsidRPr="00CF41A7" w:rsidR="00642562">
        <w:rPr>
          <w:rFonts w:cs="Arial"/>
          <w:sz w:val="22"/>
          <w:szCs w:val="22"/>
        </w:rPr>
        <w:instrText xml:space="preserve"> REF _Ref534035122 \h </w:instrText>
      </w:r>
      <w:r w:rsidRPr="00B45BB6" w:rsidR="00642562">
        <w:rPr>
          <w:rFonts w:cs="Arial"/>
          <w:sz w:val="22"/>
          <w:szCs w:val="22"/>
        </w:rPr>
        <w:instrText xml:space="preserve"> \* MERGEFORMAT </w:instrText>
      </w:r>
      <w:r w:rsidRPr="00CF41A7" w:rsidR="00642562">
        <w:rPr>
          <w:rFonts w:cs="Arial"/>
          <w:sz w:val="22"/>
          <w:szCs w:val="22"/>
        </w:rPr>
        <w:fldChar w:fldCharType="separate"/>
      </w:r>
      <w:r w:rsidRPr="00977795" w:rsidR="00977795">
        <w:rPr>
          <w:sz w:val="22"/>
          <w:szCs w:val="22"/>
        </w:rPr>
        <w:t>Exhibit 3</w:t>
      </w:r>
      <w:r w:rsidRPr="00977795" w:rsidR="00977795">
        <w:rPr>
          <w:sz w:val="22"/>
          <w:szCs w:val="22"/>
        </w:rPr>
        <w:noBreakHyphen/>
        <w:t>9</w:t>
      </w:r>
      <w:r w:rsidRPr="00CF41A7" w:rsidR="00642562">
        <w:rPr>
          <w:rFonts w:cs="Arial"/>
          <w:sz w:val="22"/>
          <w:szCs w:val="22"/>
        </w:rPr>
        <w:fldChar w:fldCharType="end"/>
      </w:r>
      <w:r w:rsidRPr="00642562" w:rsidR="00642562">
        <w:rPr>
          <w:rFonts w:cs="Arial"/>
          <w:sz w:val="22"/>
          <w:szCs w:val="22"/>
        </w:rPr>
        <w:t xml:space="preserve"> </w:t>
      </w:r>
      <w:r w:rsidRPr="00D839EE">
        <w:rPr>
          <w:rFonts w:cs="Arial"/>
          <w:sz w:val="22"/>
          <w:szCs w:val="22"/>
        </w:rPr>
        <w:t xml:space="preserve">summarizes the incremental costs and </w:t>
      </w:r>
      <w:r w:rsidR="00E8226D">
        <w:rPr>
          <w:rFonts w:cs="Arial"/>
          <w:sz w:val="22"/>
          <w:szCs w:val="22"/>
        </w:rPr>
        <w:t>averted costs</w:t>
      </w:r>
      <w:r w:rsidRPr="00D839EE" w:rsidR="00E8226D">
        <w:rPr>
          <w:rFonts w:cs="Arial"/>
          <w:sz w:val="22"/>
          <w:szCs w:val="22"/>
        </w:rPr>
        <w:t xml:space="preserve"> </w:t>
      </w:r>
      <w:r w:rsidRPr="00D839EE">
        <w:rPr>
          <w:rFonts w:cs="Arial"/>
          <w:sz w:val="22"/>
          <w:szCs w:val="22"/>
        </w:rPr>
        <w:t xml:space="preserve">of the </w:t>
      </w:r>
      <w:r w:rsidRPr="00D839EE" w:rsidR="00BC5E9F">
        <w:rPr>
          <w:rFonts w:cs="Arial"/>
          <w:sz w:val="22"/>
          <w:szCs w:val="22"/>
        </w:rPr>
        <w:t>final</w:t>
      </w:r>
      <w:r w:rsidRPr="00D839EE">
        <w:rPr>
          <w:rFonts w:cs="Arial"/>
          <w:sz w:val="22"/>
          <w:szCs w:val="22"/>
        </w:rPr>
        <w:t xml:space="preserve"> rule under Option 3.  Option</w:t>
      </w:r>
      <w:r w:rsidR="00695FDA">
        <w:rPr>
          <w:rFonts w:cs="Arial"/>
          <w:sz w:val="22"/>
          <w:szCs w:val="22"/>
        </w:rPr>
        <w:t> </w:t>
      </w:r>
      <w:r w:rsidRPr="00D839EE">
        <w:rPr>
          <w:rFonts w:cs="Arial"/>
          <w:sz w:val="22"/>
          <w:szCs w:val="22"/>
        </w:rPr>
        <w:t xml:space="preserve">3 </w:t>
      </w:r>
      <w:r w:rsidRPr="00D839EE" w:rsidR="00BC5E9F">
        <w:rPr>
          <w:rFonts w:cs="Arial"/>
          <w:sz w:val="22"/>
          <w:szCs w:val="22"/>
        </w:rPr>
        <w:t>will</w:t>
      </w:r>
      <w:r w:rsidRPr="00D839EE">
        <w:rPr>
          <w:rFonts w:cs="Arial"/>
          <w:sz w:val="22"/>
          <w:szCs w:val="22"/>
        </w:rPr>
        <w:t xml:space="preserve"> result in net benefits of </w:t>
      </w:r>
      <w:r w:rsidRPr="00D839EE" w:rsidR="00B91A63">
        <w:rPr>
          <w:rFonts w:cs="Arial"/>
          <w:sz w:val="22"/>
          <w:szCs w:val="22"/>
        </w:rPr>
        <w:t>$</w:t>
      </w:r>
      <w:r w:rsidR="00B91A63">
        <w:rPr>
          <w:rFonts w:cs="Arial"/>
          <w:sz w:val="22"/>
          <w:szCs w:val="22"/>
        </w:rPr>
        <w:t>12</w:t>
      </w:r>
      <w:r w:rsidRPr="00D839EE" w:rsidR="00B91A63">
        <w:rPr>
          <w:rFonts w:cs="Arial"/>
          <w:sz w:val="22"/>
          <w:szCs w:val="22"/>
        </w:rPr>
        <w:t> million using a 3</w:t>
      </w:r>
      <w:r w:rsidR="00B91A63">
        <w:rPr>
          <w:rFonts w:cs="Arial"/>
          <w:sz w:val="22"/>
          <w:szCs w:val="22"/>
        </w:rPr>
        <w:noBreakHyphen/>
      </w:r>
      <w:r w:rsidRPr="00D839EE" w:rsidR="00B91A63">
        <w:rPr>
          <w:rFonts w:cs="Arial"/>
          <w:sz w:val="22"/>
          <w:szCs w:val="22"/>
        </w:rPr>
        <w:t>percent discount rate</w:t>
      </w:r>
      <w:r w:rsidR="00B91A63">
        <w:rPr>
          <w:rFonts w:cs="Arial"/>
          <w:sz w:val="22"/>
          <w:szCs w:val="22"/>
        </w:rPr>
        <w:t xml:space="preserve"> or</w:t>
      </w:r>
      <w:r w:rsidRPr="00D839EE" w:rsidR="00B91A63">
        <w:rPr>
          <w:rFonts w:cs="Arial"/>
          <w:sz w:val="22"/>
          <w:szCs w:val="22"/>
        </w:rPr>
        <w:t xml:space="preserve"> </w:t>
      </w:r>
      <w:r w:rsidRPr="00D839EE">
        <w:rPr>
          <w:rFonts w:cs="Arial"/>
          <w:sz w:val="22"/>
          <w:szCs w:val="22"/>
        </w:rPr>
        <w:t>$</w:t>
      </w:r>
      <w:r w:rsidR="00436324">
        <w:rPr>
          <w:rFonts w:cs="Arial"/>
          <w:sz w:val="22"/>
          <w:szCs w:val="22"/>
        </w:rPr>
        <w:t>8.4</w:t>
      </w:r>
      <w:r w:rsidRPr="00D839EE" w:rsidR="00436324">
        <w:rPr>
          <w:rFonts w:cs="Arial"/>
          <w:sz w:val="22"/>
          <w:szCs w:val="22"/>
        </w:rPr>
        <w:t xml:space="preserve"> </w:t>
      </w:r>
      <w:r w:rsidRPr="00D839EE">
        <w:rPr>
          <w:rFonts w:cs="Arial"/>
          <w:sz w:val="22"/>
          <w:szCs w:val="22"/>
        </w:rPr>
        <w:t>million using a 7</w:t>
      </w:r>
      <w:r w:rsidR="00695FDA">
        <w:rPr>
          <w:rFonts w:cs="Arial"/>
          <w:sz w:val="22"/>
          <w:szCs w:val="22"/>
        </w:rPr>
        <w:t>-</w:t>
      </w:r>
      <w:r w:rsidRPr="00D839EE">
        <w:rPr>
          <w:rFonts w:cs="Arial"/>
          <w:sz w:val="22"/>
          <w:szCs w:val="22"/>
        </w:rPr>
        <w:t xml:space="preserve">percent discount rate over the 20-year analysis period. </w:t>
      </w:r>
    </w:p>
    <w:p w:rsidR="000C35CC" w:rsidRPr="00D839EE" w:rsidP="000C35CC" w14:paraId="7F493810" w14:textId="77777777">
      <w:pPr>
        <w:rPr>
          <w:rFonts w:cs="Arial"/>
        </w:rPr>
      </w:pPr>
    </w:p>
    <w:p w:rsidR="00282C4C" w:rsidP="00282C4C" w14:paraId="7F493811" w14:textId="118A788B">
      <w:pPr>
        <w:pStyle w:val="Caption"/>
        <w:keepNext/>
        <w:spacing w:after="0"/>
        <w:jc w:val="center"/>
        <w:rPr>
          <w:b/>
          <w:i w:val="0"/>
          <w:color w:val="auto"/>
          <w:sz w:val="22"/>
          <w:szCs w:val="22"/>
        </w:rPr>
      </w:pPr>
      <w:bookmarkStart w:id="189" w:name="_Ref534035122"/>
      <w:bookmarkStart w:id="190" w:name="_Toc9526466"/>
      <w:bookmarkStart w:id="191" w:name="_Toc536603415"/>
      <w:bookmarkStart w:id="192" w:name="_Toc534037057"/>
      <w:bookmarkStart w:id="193" w:name="_Toc534709844"/>
      <w:bookmarkStart w:id="194" w:name="_Toc534710002"/>
      <w:bookmarkStart w:id="195" w:name="_Toc534711687"/>
      <w:bookmarkStart w:id="196" w:name="_Toc534712120"/>
      <w:bookmarkStart w:id="197" w:name="_Toc534712697"/>
      <w:bookmarkStart w:id="198" w:name="_Toc534713206"/>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9</w:t>
      </w:r>
      <w:r w:rsidRPr="000F7FD1" w:rsidR="00C276FC">
        <w:rPr>
          <w:b/>
          <w:i w:val="0"/>
          <w:color w:val="auto"/>
          <w:sz w:val="22"/>
          <w:szCs w:val="22"/>
        </w:rPr>
        <w:fldChar w:fldCharType="end"/>
      </w:r>
      <w:bookmarkEnd w:id="189"/>
      <w:r w:rsidRPr="000F7FD1">
        <w:rPr>
          <w:b/>
          <w:i w:val="0"/>
          <w:color w:val="auto"/>
          <w:sz w:val="22"/>
          <w:szCs w:val="22"/>
        </w:rPr>
        <w:t>. Summary of Incremental Costs &amp; Averted Costs for</w:t>
      </w:r>
      <w:bookmarkEnd w:id="190"/>
      <w:bookmarkEnd w:id="191"/>
      <w:r w:rsidRPr="000F7FD1">
        <w:rPr>
          <w:b/>
          <w:i w:val="0"/>
          <w:color w:val="auto"/>
          <w:sz w:val="22"/>
          <w:szCs w:val="22"/>
        </w:rPr>
        <w:t xml:space="preserve"> </w:t>
      </w:r>
    </w:p>
    <w:p w:rsidR="005C3593" w:rsidRPr="000F7FD1" w:rsidP="00282C4C" w14:paraId="7F493812" w14:textId="77777777">
      <w:pPr>
        <w:pStyle w:val="Caption"/>
        <w:keepNext/>
        <w:spacing w:after="0"/>
        <w:jc w:val="center"/>
        <w:rPr>
          <w:b/>
          <w:color w:val="auto"/>
          <w:sz w:val="22"/>
          <w:szCs w:val="22"/>
        </w:rPr>
      </w:pPr>
      <w:r w:rsidRPr="000F7FD1">
        <w:rPr>
          <w:b/>
          <w:i w:val="0"/>
          <w:color w:val="auto"/>
          <w:sz w:val="22"/>
          <w:szCs w:val="22"/>
        </w:rPr>
        <w:t>Option 3 [Selected-Final Rule] (</w:t>
      </w:r>
      <w:r w:rsidRPr="000F7FD1" w:rsidR="009170F7">
        <w:rPr>
          <w:b/>
          <w:i w:val="0"/>
          <w:color w:val="auto"/>
          <w:sz w:val="22"/>
          <w:szCs w:val="22"/>
        </w:rPr>
        <w:t>2020$</w:t>
      </w:r>
      <w:r w:rsidRPr="000F7FD1">
        <w:rPr>
          <w:b/>
          <w:i w:val="0"/>
          <w:color w:val="auto"/>
          <w:sz w:val="22"/>
          <w:szCs w:val="22"/>
        </w:rPr>
        <w:t>)</w:t>
      </w:r>
      <w:bookmarkEnd w:id="192"/>
      <w:bookmarkEnd w:id="193"/>
      <w:bookmarkEnd w:id="194"/>
      <w:bookmarkEnd w:id="195"/>
      <w:bookmarkEnd w:id="196"/>
      <w:bookmarkEnd w:id="197"/>
      <w:bookmarkEnd w:id="198"/>
    </w:p>
    <w:tbl>
      <w:tblPr>
        <w:tblStyle w:val="TableGrid"/>
        <w:tblW w:w="9413" w:type="dxa"/>
        <w:jc w:val="center"/>
        <w:tblLayout w:type="fixed"/>
        <w:tblLook w:val="04A0"/>
      </w:tblPr>
      <w:tblGrid>
        <w:gridCol w:w="1403"/>
        <w:gridCol w:w="2372"/>
        <w:gridCol w:w="2185"/>
        <w:gridCol w:w="1687"/>
        <w:gridCol w:w="1766"/>
      </w:tblGrid>
      <w:tr w14:paraId="7F493817" w14:textId="77777777" w:rsidTr="008050FA">
        <w:tblPrEx>
          <w:tblW w:w="9413" w:type="dxa"/>
          <w:jc w:val="center"/>
          <w:tblLayout w:type="fixed"/>
          <w:tblLook w:val="04A0"/>
        </w:tblPrEx>
        <w:trPr>
          <w:trHeight w:val="224"/>
          <w:jc w:val="center"/>
        </w:trPr>
        <w:tc>
          <w:tcPr>
            <w:tcW w:w="3775" w:type="dxa"/>
            <w:gridSpan w:val="2"/>
            <w:vMerge w:val="restart"/>
            <w:noWrap/>
            <w:hideMark/>
          </w:tcPr>
          <w:p w:rsidR="008050FA" w:rsidRPr="000E1D6B" w14:paraId="7F493813" w14:textId="77777777">
            <w:pPr>
              <w:keepNext/>
              <w:ind w:left="270"/>
              <w:jc w:val="center"/>
              <w:rPr>
                <w:b/>
              </w:rPr>
            </w:pPr>
            <w:r w:rsidRPr="000E1D6B">
              <w:rPr>
                <w:b/>
              </w:rPr>
              <w:t>Year</w:t>
            </w:r>
          </w:p>
        </w:tc>
        <w:tc>
          <w:tcPr>
            <w:tcW w:w="2185" w:type="dxa"/>
            <w:noWrap/>
            <w:hideMark/>
          </w:tcPr>
          <w:p w:rsidR="008050FA" w:rsidRPr="000E1D6B" w14:paraId="7F493814" w14:textId="77777777">
            <w:pPr>
              <w:keepNext/>
              <w:ind w:left="270"/>
              <w:jc w:val="center"/>
              <w:rPr>
                <w:b/>
              </w:rPr>
            </w:pPr>
            <w:r w:rsidRPr="000E1D6B">
              <w:rPr>
                <w:b/>
              </w:rPr>
              <w:t xml:space="preserve">Total </w:t>
            </w:r>
            <w:r w:rsidR="00E8226D">
              <w:rPr>
                <w:b/>
              </w:rPr>
              <w:t>Averted Costs</w:t>
            </w:r>
          </w:p>
        </w:tc>
        <w:tc>
          <w:tcPr>
            <w:tcW w:w="1687" w:type="dxa"/>
            <w:noWrap/>
            <w:hideMark/>
          </w:tcPr>
          <w:p w:rsidR="008050FA" w:rsidRPr="000E1D6B" w14:paraId="7F493815" w14:textId="77777777">
            <w:pPr>
              <w:keepNext/>
              <w:ind w:left="270"/>
              <w:jc w:val="center"/>
              <w:rPr>
                <w:b/>
              </w:rPr>
            </w:pPr>
            <w:r w:rsidRPr="000E1D6B">
              <w:rPr>
                <w:b/>
              </w:rPr>
              <w:t>Total Costs</w:t>
            </w:r>
          </w:p>
        </w:tc>
        <w:tc>
          <w:tcPr>
            <w:tcW w:w="1766" w:type="dxa"/>
            <w:noWrap/>
            <w:hideMark/>
          </w:tcPr>
          <w:p w:rsidR="008050FA" w:rsidRPr="000E1D6B" w14:paraId="7F493816" w14:textId="77777777">
            <w:pPr>
              <w:keepNext/>
              <w:ind w:left="270"/>
              <w:jc w:val="center"/>
              <w:rPr>
                <w:b/>
              </w:rPr>
            </w:pPr>
            <w:r w:rsidRPr="000E1D6B">
              <w:rPr>
                <w:b/>
              </w:rPr>
              <w:t>Net Benefits</w:t>
            </w:r>
          </w:p>
        </w:tc>
      </w:tr>
      <w:tr w14:paraId="7F49381C" w14:textId="77777777" w:rsidTr="008050FA">
        <w:tblPrEx>
          <w:tblW w:w="9413" w:type="dxa"/>
          <w:jc w:val="center"/>
          <w:tblLayout w:type="fixed"/>
          <w:tblLook w:val="04A0"/>
        </w:tblPrEx>
        <w:trPr>
          <w:trHeight w:val="161"/>
          <w:jc w:val="center"/>
        </w:trPr>
        <w:tc>
          <w:tcPr>
            <w:tcW w:w="3775" w:type="dxa"/>
            <w:gridSpan w:val="2"/>
            <w:vMerge/>
            <w:hideMark/>
          </w:tcPr>
          <w:p w:rsidR="008050FA" w:rsidRPr="000E1D6B" w14:paraId="7F493818" w14:textId="77777777">
            <w:pPr>
              <w:keepNext/>
              <w:ind w:left="270"/>
              <w:jc w:val="center"/>
              <w:rPr>
                <w:b/>
              </w:rPr>
            </w:pPr>
          </w:p>
        </w:tc>
        <w:tc>
          <w:tcPr>
            <w:tcW w:w="2185" w:type="dxa"/>
            <w:noWrap/>
            <w:hideMark/>
          </w:tcPr>
          <w:p w:rsidR="008050FA" w:rsidRPr="000E1D6B" w14:paraId="7F493819" w14:textId="77777777">
            <w:pPr>
              <w:keepNext/>
              <w:ind w:left="270"/>
              <w:jc w:val="center"/>
              <w:rPr>
                <w:b/>
              </w:rPr>
            </w:pPr>
            <w:r w:rsidRPr="000E1D6B">
              <w:rPr>
                <w:b/>
              </w:rPr>
              <w:t>A</w:t>
            </w:r>
          </w:p>
        </w:tc>
        <w:tc>
          <w:tcPr>
            <w:tcW w:w="1687" w:type="dxa"/>
            <w:noWrap/>
            <w:hideMark/>
          </w:tcPr>
          <w:p w:rsidR="008050FA" w:rsidRPr="000E1D6B" w14:paraId="7F49381A" w14:textId="77777777">
            <w:pPr>
              <w:keepNext/>
              <w:ind w:left="270"/>
              <w:jc w:val="center"/>
              <w:rPr>
                <w:b/>
              </w:rPr>
            </w:pPr>
            <w:r w:rsidRPr="000E1D6B">
              <w:rPr>
                <w:b/>
              </w:rPr>
              <w:t>B</w:t>
            </w:r>
          </w:p>
        </w:tc>
        <w:tc>
          <w:tcPr>
            <w:tcW w:w="1766" w:type="dxa"/>
            <w:noWrap/>
            <w:hideMark/>
          </w:tcPr>
          <w:p w:rsidR="008050FA" w:rsidRPr="000E1D6B" w14:paraId="7F49381B" w14:textId="77777777">
            <w:pPr>
              <w:keepNext/>
              <w:ind w:left="270"/>
              <w:jc w:val="center"/>
              <w:rPr>
                <w:b/>
              </w:rPr>
            </w:pPr>
            <w:r w:rsidRPr="000E1D6B">
              <w:rPr>
                <w:b/>
              </w:rPr>
              <w:t xml:space="preserve">C = A </w:t>
            </w:r>
            <w:r w:rsidR="00743DD8">
              <w:rPr>
                <w:b/>
              </w:rPr>
              <w:t>–</w:t>
            </w:r>
            <w:r w:rsidRPr="000E1D6B">
              <w:rPr>
                <w:b/>
              </w:rPr>
              <w:t xml:space="preserve"> B</w:t>
            </w:r>
          </w:p>
        </w:tc>
      </w:tr>
      <w:tr w14:paraId="7F493822"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1D" w14:textId="77777777">
            <w:pPr>
              <w:keepNext/>
              <w:ind w:left="270"/>
              <w:jc w:val="center"/>
              <w:rPr>
                <w:b/>
              </w:rPr>
            </w:pPr>
            <w:r w:rsidRPr="000E1D6B">
              <w:rPr>
                <w:b/>
              </w:rPr>
              <w:t>1</w:t>
            </w:r>
          </w:p>
        </w:tc>
        <w:tc>
          <w:tcPr>
            <w:tcW w:w="2372" w:type="dxa"/>
            <w:noWrap/>
            <w:hideMark/>
          </w:tcPr>
          <w:p w:rsidR="008050FA" w:rsidRPr="000E1D6B" w:rsidP="005F6062" w14:paraId="7F49381E" w14:textId="77777777">
            <w:pPr>
              <w:keepNext/>
              <w:ind w:left="270"/>
              <w:jc w:val="center"/>
              <w:rPr>
                <w:b/>
              </w:rPr>
            </w:pPr>
            <w:r w:rsidRPr="000E1D6B">
              <w:rPr>
                <w:b/>
              </w:rPr>
              <w:t>2020</w:t>
            </w:r>
          </w:p>
        </w:tc>
        <w:tc>
          <w:tcPr>
            <w:tcW w:w="2185" w:type="dxa"/>
            <w:noWrap/>
            <w:hideMark/>
          </w:tcPr>
          <w:p w:rsidR="008050FA" w:rsidRPr="000E1D6B" w:rsidP="005F6062" w14:paraId="7F49381F" w14:textId="77777777">
            <w:pPr>
              <w:keepNext/>
              <w:ind w:left="270"/>
              <w:jc w:val="center"/>
            </w:pPr>
            <w:r w:rsidRPr="00407D8B">
              <w:t>$0</w:t>
            </w:r>
          </w:p>
        </w:tc>
        <w:tc>
          <w:tcPr>
            <w:tcW w:w="1687" w:type="dxa"/>
            <w:noWrap/>
            <w:hideMark/>
          </w:tcPr>
          <w:p w:rsidR="008050FA" w:rsidRPr="000E1D6B" w:rsidP="005F6062" w14:paraId="7F493820" w14:textId="77777777">
            <w:pPr>
              <w:keepNext/>
              <w:ind w:left="270"/>
              <w:jc w:val="center"/>
            </w:pPr>
            <w:r>
              <w:t>(</w:t>
            </w:r>
            <w:r w:rsidRPr="00407D8B">
              <w:t>$</w:t>
            </w:r>
            <w:r w:rsidRPr="00407D8B" w:rsidR="00436324">
              <w:t>2</w:t>
            </w:r>
            <w:r w:rsidR="00436324">
              <w:t>6</w:t>
            </w:r>
            <w:r w:rsidRPr="00407D8B" w:rsidR="00436324">
              <w:t>0</w:t>
            </w:r>
            <w:r w:rsidRPr="00407D8B">
              <w:t>,000</w:t>
            </w:r>
            <w:r>
              <w:t>)</w:t>
            </w:r>
          </w:p>
        </w:tc>
        <w:tc>
          <w:tcPr>
            <w:tcW w:w="1766" w:type="dxa"/>
            <w:noWrap/>
            <w:hideMark/>
          </w:tcPr>
          <w:p w:rsidR="008050FA" w:rsidRPr="000E1D6B" w:rsidP="005F6062" w14:paraId="7F493821" w14:textId="77777777">
            <w:pPr>
              <w:keepNext/>
              <w:ind w:left="270"/>
              <w:jc w:val="center"/>
            </w:pPr>
            <w:r w:rsidRPr="00407D8B">
              <w:t>($</w:t>
            </w:r>
            <w:r w:rsidRPr="00407D8B" w:rsidR="00436324">
              <w:t>2</w:t>
            </w:r>
            <w:r w:rsidR="00436324">
              <w:t>6</w:t>
            </w:r>
            <w:r w:rsidRPr="00407D8B" w:rsidR="00436324">
              <w:t>0</w:t>
            </w:r>
            <w:r w:rsidRPr="00407D8B">
              <w:t>,000)</w:t>
            </w:r>
          </w:p>
        </w:tc>
      </w:tr>
      <w:tr w14:paraId="7F493828"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23" w14:textId="77777777">
            <w:pPr>
              <w:keepNext/>
              <w:ind w:left="270"/>
              <w:jc w:val="center"/>
              <w:rPr>
                <w:b/>
              </w:rPr>
            </w:pPr>
            <w:r w:rsidRPr="000E1D6B">
              <w:rPr>
                <w:b/>
              </w:rPr>
              <w:t>2</w:t>
            </w:r>
          </w:p>
        </w:tc>
        <w:tc>
          <w:tcPr>
            <w:tcW w:w="2372" w:type="dxa"/>
            <w:noWrap/>
            <w:hideMark/>
          </w:tcPr>
          <w:p w:rsidR="008050FA" w:rsidRPr="000E1D6B" w:rsidP="005F6062" w14:paraId="7F493824" w14:textId="77777777">
            <w:pPr>
              <w:keepNext/>
              <w:ind w:left="270"/>
              <w:jc w:val="center"/>
              <w:rPr>
                <w:b/>
              </w:rPr>
            </w:pPr>
            <w:r w:rsidRPr="000E1D6B">
              <w:rPr>
                <w:b/>
              </w:rPr>
              <w:t>2021</w:t>
            </w:r>
          </w:p>
        </w:tc>
        <w:tc>
          <w:tcPr>
            <w:tcW w:w="2185" w:type="dxa"/>
            <w:noWrap/>
            <w:hideMark/>
          </w:tcPr>
          <w:p w:rsidR="008050FA" w:rsidRPr="000E1D6B" w:rsidP="005F6062" w14:paraId="7F493825" w14:textId="77777777">
            <w:pPr>
              <w:keepNext/>
              <w:ind w:left="270"/>
              <w:jc w:val="center"/>
            </w:pPr>
            <w:r w:rsidRPr="00407D8B">
              <w:t>$</w:t>
            </w:r>
            <w:r w:rsidR="006D6B21">
              <w:t>56</w:t>
            </w:r>
            <w:r w:rsidRPr="00407D8B" w:rsidR="006D6B21">
              <w:t>0</w:t>
            </w:r>
            <w:r w:rsidRPr="00407D8B">
              <w:t>,000</w:t>
            </w:r>
          </w:p>
        </w:tc>
        <w:tc>
          <w:tcPr>
            <w:tcW w:w="1687" w:type="dxa"/>
            <w:noWrap/>
            <w:hideMark/>
          </w:tcPr>
          <w:p w:rsidR="008050FA" w:rsidRPr="000E1D6B" w:rsidP="005F6062" w14:paraId="7F493826" w14:textId="77777777">
            <w:pPr>
              <w:keepNext/>
              <w:ind w:left="270"/>
              <w:jc w:val="center"/>
            </w:pPr>
            <w:r>
              <w:t>(</w:t>
            </w:r>
            <w:r w:rsidRPr="00407D8B">
              <w:t>$</w:t>
            </w:r>
            <w:r w:rsidR="006D6B21">
              <w:t>120</w:t>
            </w:r>
            <w:r w:rsidRPr="00407D8B">
              <w:t>,000</w:t>
            </w:r>
            <w:r>
              <w:t>)</w:t>
            </w:r>
          </w:p>
        </w:tc>
        <w:tc>
          <w:tcPr>
            <w:tcW w:w="1766" w:type="dxa"/>
            <w:noWrap/>
            <w:hideMark/>
          </w:tcPr>
          <w:p w:rsidR="008050FA" w:rsidRPr="000E1D6B" w:rsidP="005F6062" w14:paraId="7F493827" w14:textId="77777777">
            <w:pPr>
              <w:keepNext/>
              <w:ind w:left="270"/>
              <w:jc w:val="center"/>
            </w:pPr>
            <w:r w:rsidRPr="00407D8B">
              <w:t>$</w:t>
            </w:r>
            <w:r w:rsidRPr="00407D8B" w:rsidR="006D6B21">
              <w:t>4</w:t>
            </w:r>
            <w:r w:rsidR="006D6B21">
              <w:t>4</w:t>
            </w:r>
            <w:r w:rsidRPr="00407D8B" w:rsidR="006D6B21">
              <w:t>0</w:t>
            </w:r>
            <w:r w:rsidRPr="00407D8B">
              <w:t xml:space="preserve">,000 </w:t>
            </w:r>
          </w:p>
        </w:tc>
      </w:tr>
      <w:tr w14:paraId="7F49382E"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29" w14:textId="77777777">
            <w:pPr>
              <w:keepNext/>
              <w:ind w:left="270"/>
              <w:jc w:val="center"/>
              <w:rPr>
                <w:b/>
              </w:rPr>
            </w:pPr>
            <w:r w:rsidRPr="000E1D6B">
              <w:rPr>
                <w:b/>
              </w:rPr>
              <w:t>3</w:t>
            </w:r>
          </w:p>
        </w:tc>
        <w:tc>
          <w:tcPr>
            <w:tcW w:w="2372" w:type="dxa"/>
            <w:noWrap/>
            <w:hideMark/>
          </w:tcPr>
          <w:p w:rsidR="008050FA" w:rsidRPr="000E1D6B" w:rsidP="005F6062" w14:paraId="7F49382A" w14:textId="77777777">
            <w:pPr>
              <w:keepNext/>
              <w:ind w:left="270"/>
              <w:jc w:val="center"/>
              <w:rPr>
                <w:b/>
              </w:rPr>
            </w:pPr>
            <w:r w:rsidRPr="000E1D6B">
              <w:rPr>
                <w:b/>
              </w:rPr>
              <w:t>2022</w:t>
            </w:r>
          </w:p>
        </w:tc>
        <w:tc>
          <w:tcPr>
            <w:tcW w:w="2185" w:type="dxa"/>
            <w:noWrap/>
            <w:hideMark/>
          </w:tcPr>
          <w:p w:rsidR="008050FA" w:rsidRPr="000E1D6B" w:rsidP="005F6062" w14:paraId="7F49382B" w14:textId="77777777">
            <w:pPr>
              <w:keepNext/>
              <w:ind w:left="270"/>
              <w:jc w:val="center"/>
            </w:pPr>
            <w:r w:rsidRPr="00407D8B">
              <w:t>$0</w:t>
            </w:r>
          </w:p>
        </w:tc>
        <w:tc>
          <w:tcPr>
            <w:tcW w:w="1687" w:type="dxa"/>
            <w:noWrap/>
            <w:hideMark/>
          </w:tcPr>
          <w:p w:rsidR="008050FA" w:rsidRPr="000E1D6B" w:rsidP="005F6062" w14:paraId="7F49382C" w14:textId="77777777">
            <w:pPr>
              <w:keepNext/>
              <w:ind w:left="270"/>
              <w:jc w:val="center"/>
            </w:pPr>
            <w:r>
              <w:t>(</w:t>
            </w:r>
            <w:r w:rsidRPr="00407D8B">
              <w:t>$</w:t>
            </w:r>
            <w:r w:rsidR="003F4B15">
              <w:t>30</w:t>
            </w:r>
            <w:r w:rsidRPr="00407D8B" w:rsidR="003F4B15">
              <w:t>0</w:t>
            </w:r>
            <w:r w:rsidRPr="00407D8B">
              <w:t>,000</w:t>
            </w:r>
            <w:r>
              <w:t>)</w:t>
            </w:r>
          </w:p>
        </w:tc>
        <w:tc>
          <w:tcPr>
            <w:tcW w:w="1766" w:type="dxa"/>
            <w:noWrap/>
            <w:hideMark/>
          </w:tcPr>
          <w:p w:rsidR="008050FA" w:rsidRPr="000E1D6B" w:rsidP="005F6062" w14:paraId="7F49382D" w14:textId="77777777">
            <w:pPr>
              <w:keepNext/>
              <w:ind w:left="270"/>
              <w:jc w:val="center"/>
            </w:pPr>
            <w:r w:rsidRPr="00407D8B">
              <w:t>($</w:t>
            </w:r>
            <w:r w:rsidR="003F4B15">
              <w:t>30</w:t>
            </w:r>
            <w:r w:rsidRPr="00407D8B" w:rsidR="003F4B15">
              <w:t>0</w:t>
            </w:r>
            <w:r w:rsidRPr="00407D8B">
              <w:t>,000)</w:t>
            </w:r>
          </w:p>
        </w:tc>
      </w:tr>
      <w:tr w14:paraId="7F493834"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2F" w14:textId="77777777">
            <w:pPr>
              <w:keepNext/>
              <w:ind w:left="270"/>
              <w:jc w:val="center"/>
              <w:rPr>
                <w:b/>
              </w:rPr>
            </w:pPr>
            <w:r w:rsidRPr="000E1D6B">
              <w:rPr>
                <w:b/>
              </w:rPr>
              <w:t>4</w:t>
            </w:r>
          </w:p>
        </w:tc>
        <w:tc>
          <w:tcPr>
            <w:tcW w:w="2372" w:type="dxa"/>
            <w:noWrap/>
            <w:hideMark/>
          </w:tcPr>
          <w:p w:rsidR="008050FA" w:rsidRPr="000E1D6B" w:rsidP="005F6062" w14:paraId="7F493830" w14:textId="77777777">
            <w:pPr>
              <w:keepNext/>
              <w:ind w:left="270"/>
              <w:jc w:val="center"/>
              <w:rPr>
                <w:b/>
              </w:rPr>
            </w:pPr>
            <w:r w:rsidRPr="000E1D6B">
              <w:rPr>
                <w:b/>
              </w:rPr>
              <w:t>2023</w:t>
            </w:r>
          </w:p>
        </w:tc>
        <w:tc>
          <w:tcPr>
            <w:tcW w:w="2185" w:type="dxa"/>
            <w:noWrap/>
            <w:hideMark/>
          </w:tcPr>
          <w:p w:rsidR="008050FA" w:rsidRPr="000E1D6B" w:rsidP="005F6062" w14:paraId="7F493831" w14:textId="77777777">
            <w:pPr>
              <w:keepNext/>
              <w:ind w:left="270"/>
              <w:jc w:val="center"/>
            </w:pPr>
            <w:r w:rsidRPr="00407D8B">
              <w:t>$0</w:t>
            </w:r>
          </w:p>
        </w:tc>
        <w:tc>
          <w:tcPr>
            <w:tcW w:w="1687" w:type="dxa"/>
            <w:noWrap/>
            <w:hideMark/>
          </w:tcPr>
          <w:p w:rsidR="008050FA" w:rsidRPr="000E1D6B" w:rsidP="005F6062" w14:paraId="7F493832" w14:textId="77777777">
            <w:pPr>
              <w:keepNext/>
              <w:ind w:left="270"/>
              <w:jc w:val="center"/>
            </w:pPr>
            <w:r>
              <w:t>(</w:t>
            </w:r>
            <w:r w:rsidRPr="00407D8B">
              <w:t>$</w:t>
            </w:r>
            <w:r w:rsidR="00247D25">
              <w:t>28</w:t>
            </w:r>
            <w:r w:rsidRPr="00407D8B" w:rsidR="00247D25">
              <w:t>0</w:t>
            </w:r>
            <w:r w:rsidRPr="00407D8B">
              <w:t>,000</w:t>
            </w:r>
            <w:r>
              <w:t>)</w:t>
            </w:r>
          </w:p>
        </w:tc>
        <w:tc>
          <w:tcPr>
            <w:tcW w:w="1766" w:type="dxa"/>
            <w:noWrap/>
            <w:hideMark/>
          </w:tcPr>
          <w:p w:rsidR="008050FA" w:rsidRPr="000E1D6B" w:rsidP="005F6062" w14:paraId="7F493833" w14:textId="77777777">
            <w:pPr>
              <w:keepNext/>
              <w:ind w:left="270"/>
              <w:jc w:val="center"/>
            </w:pPr>
            <w:r w:rsidRPr="00407D8B">
              <w:t>($</w:t>
            </w:r>
            <w:r w:rsidR="00247D25">
              <w:t>28</w:t>
            </w:r>
            <w:r w:rsidRPr="00407D8B" w:rsidR="00247D25">
              <w:t>0</w:t>
            </w:r>
            <w:r w:rsidRPr="00407D8B">
              <w:t>,000)</w:t>
            </w:r>
          </w:p>
        </w:tc>
      </w:tr>
      <w:tr w14:paraId="7F49383A"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35" w14:textId="77777777">
            <w:pPr>
              <w:keepNext/>
              <w:ind w:left="270"/>
              <w:jc w:val="center"/>
              <w:rPr>
                <w:b/>
              </w:rPr>
            </w:pPr>
            <w:r w:rsidRPr="000E1D6B">
              <w:rPr>
                <w:b/>
              </w:rPr>
              <w:t>5</w:t>
            </w:r>
          </w:p>
        </w:tc>
        <w:tc>
          <w:tcPr>
            <w:tcW w:w="2372" w:type="dxa"/>
            <w:noWrap/>
            <w:hideMark/>
          </w:tcPr>
          <w:p w:rsidR="008050FA" w:rsidRPr="000E1D6B" w:rsidP="005F6062" w14:paraId="7F493836" w14:textId="77777777">
            <w:pPr>
              <w:keepNext/>
              <w:ind w:left="270"/>
              <w:jc w:val="center"/>
              <w:rPr>
                <w:b/>
              </w:rPr>
            </w:pPr>
            <w:r w:rsidRPr="000E1D6B">
              <w:rPr>
                <w:b/>
              </w:rPr>
              <w:t>2024</w:t>
            </w:r>
          </w:p>
        </w:tc>
        <w:tc>
          <w:tcPr>
            <w:tcW w:w="2185" w:type="dxa"/>
            <w:noWrap/>
            <w:hideMark/>
          </w:tcPr>
          <w:p w:rsidR="008050FA" w:rsidRPr="000E1D6B" w:rsidP="005F6062" w14:paraId="7F493837" w14:textId="77777777">
            <w:pPr>
              <w:keepNext/>
              <w:ind w:left="270"/>
              <w:jc w:val="center"/>
            </w:pPr>
            <w:r w:rsidRPr="00407D8B">
              <w:t>$0</w:t>
            </w:r>
          </w:p>
        </w:tc>
        <w:tc>
          <w:tcPr>
            <w:tcW w:w="1687" w:type="dxa"/>
            <w:noWrap/>
            <w:hideMark/>
          </w:tcPr>
          <w:p w:rsidR="008050FA" w:rsidRPr="000E1D6B" w:rsidP="005F6062" w14:paraId="7F493838" w14:textId="77777777">
            <w:pPr>
              <w:keepNext/>
              <w:ind w:left="270"/>
              <w:jc w:val="center"/>
            </w:pPr>
            <w:r>
              <w:t>(</w:t>
            </w:r>
            <w:r w:rsidRPr="00407D8B">
              <w:t>$</w:t>
            </w:r>
            <w:r w:rsidR="00121B0B">
              <w:t>140</w:t>
            </w:r>
            <w:r w:rsidRPr="00407D8B">
              <w:t>,000</w:t>
            </w:r>
            <w:r>
              <w:t>)</w:t>
            </w:r>
          </w:p>
        </w:tc>
        <w:tc>
          <w:tcPr>
            <w:tcW w:w="1766" w:type="dxa"/>
            <w:noWrap/>
            <w:hideMark/>
          </w:tcPr>
          <w:p w:rsidR="008050FA" w:rsidRPr="000E1D6B" w:rsidP="005F6062" w14:paraId="7F493839" w14:textId="77777777">
            <w:pPr>
              <w:keepNext/>
              <w:ind w:left="270"/>
              <w:jc w:val="center"/>
            </w:pPr>
            <w:r w:rsidRPr="00407D8B">
              <w:t>($</w:t>
            </w:r>
            <w:r w:rsidR="00121B0B">
              <w:t>140</w:t>
            </w:r>
            <w:r w:rsidRPr="00407D8B">
              <w:t>,000)</w:t>
            </w:r>
          </w:p>
        </w:tc>
      </w:tr>
      <w:tr w14:paraId="7F493840"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3B" w14:textId="77777777">
            <w:pPr>
              <w:keepNext/>
              <w:ind w:left="270"/>
              <w:jc w:val="center"/>
              <w:rPr>
                <w:b/>
              </w:rPr>
            </w:pPr>
            <w:r w:rsidRPr="000E1D6B">
              <w:rPr>
                <w:b/>
              </w:rPr>
              <w:t>6</w:t>
            </w:r>
          </w:p>
        </w:tc>
        <w:tc>
          <w:tcPr>
            <w:tcW w:w="2372" w:type="dxa"/>
            <w:noWrap/>
            <w:hideMark/>
          </w:tcPr>
          <w:p w:rsidR="008050FA" w:rsidRPr="000E1D6B" w:rsidP="005F6062" w14:paraId="7F49383C" w14:textId="77777777">
            <w:pPr>
              <w:keepNext/>
              <w:ind w:left="270"/>
              <w:jc w:val="center"/>
              <w:rPr>
                <w:b/>
              </w:rPr>
            </w:pPr>
            <w:r w:rsidRPr="000E1D6B">
              <w:rPr>
                <w:b/>
              </w:rPr>
              <w:t>2025</w:t>
            </w:r>
          </w:p>
        </w:tc>
        <w:tc>
          <w:tcPr>
            <w:tcW w:w="2185" w:type="dxa"/>
            <w:noWrap/>
            <w:hideMark/>
          </w:tcPr>
          <w:p w:rsidR="008050FA" w:rsidRPr="000E1D6B" w:rsidP="005F6062" w14:paraId="7F49383D" w14:textId="77777777">
            <w:pPr>
              <w:keepNext/>
              <w:ind w:left="270"/>
              <w:jc w:val="center"/>
            </w:pPr>
            <w:r w:rsidRPr="00407D8B">
              <w:t>$0</w:t>
            </w:r>
          </w:p>
        </w:tc>
        <w:tc>
          <w:tcPr>
            <w:tcW w:w="1687" w:type="dxa"/>
            <w:noWrap/>
            <w:hideMark/>
          </w:tcPr>
          <w:p w:rsidR="008050FA" w:rsidRPr="000E1D6B" w:rsidP="005F6062" w14:paraId="7F49383E" w14:textId="77777777">
            <w:pPr>
              <w:keepNext/>
              <w:ind w:left="270"/>
              <w:jc w:val="center"/>
            </w:pPr>
            <w:r>
              <w:t>(</w:t>
            </w:r>
            <w:r w:rsidRPr="00407D8B">
              <w:t>$</w:t>
            </w:r>
            <w:r w:rsidR="00AA1704">
              <w:t>78</w:t>
            </w:r>
            <w:r w:rsidRPr="00407D8B">
              <w:t>,000</w:t>
            </w:r>
            <w:r>
              <w:t>)</w:t>
            </w:r>
          </w:p>
        </w:tc>
        <w:tc>
          <w:tcPr>
            <w:tcW w:w="1766" w:type="dxa"/>
            <w:noWrap/>
            <w:hideMark/>
          </w:tcPr>
          <w:p w:rsidR="008050FA" w:rsidRPr="000E1D6B" w:rsidP="005F6062" w14:paraId="7F49383F" w14:textId="77777777">
            <w:pPr>
              <w:keepNext/>
              <w:ind w:left="270"/>
              <w:jc w:val="center"/>
            </w:pPr>
            <w:r w:rsidRPr="00407D8B">
              <w:t>($</w:t>
            </w:r>
            <w:r w:rsidR="00AA1704">
              <w:t>78</w:t>
            </w:r>
            <w:r w:rsidRPr="00407D8B">
              <w:t>,000)</w:t>
            </w:r>
          </w:p>
        </w:tc>
      </w:tr>
      <w:tr w14:paraId="7F493846"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41" w14:textId="77777777">
            <w:pPr>
              <w:keepNext/>
              <w:ind w:left="270"/>
              <w:jc w:val="center"/>
              <w:rPr>
                <w:b/>
              </w:rPr>
            </w:pPr>
            <w:r w:rsidRPr="000E1D6B">
              <w:rPr>
                <w:b/>
              </w:rPr>
              <w:t>7</w:t>
            </w:r>
          </w:p>
        </w:tc>
        <w:tc>
          <w:tcPr>
            <w:tcW w:w="2372" w:type="dxa"/>
            <w:noWrap/>
            <w:hideMark/>
          </w:tcPr>
          <w:p w:rsidR="008050FA" w:rsidRPr="000E1D6B" w:rsidP="005F6062" w14:paraId="7F493842" w14:textId="77777777">
            <w:pPr>
              <w:keepNext/>
              <w:ind w:left="270"/>
              <w:jc w:val="center"/>
              <w:rPr>
                <w:b/>
              </w:rPr>
            </w:pPr>
            <w:r w:rsidRPr="000E1D6B">
              <w:rPr>
                <w:b/>
              </w:rPr>
              <w:t>2026</w:t>
            </w:r>
          </w:p>
        </w:tc>
        <w:tc>
          <w:tcPr>
            <w:tcW w:w="2185" w:type="dxa"/>
            <w:noWrap/>
            <w:hideMark/>
          </w:tcPr>
          <w:p w:rsidR="008050FA" w:rsidRPr="000E1D6B" w:rsidP="005F6062" w14:paraId="7F493843" w14:textId="77777777">
            <w:pPr>
              <w:keepNext/>
              <w:ind w:left="270"/>
              <w:jc w:val="center"/>
            </w:pPr>
            <w:r w:rsidRPr="00407D8B">
              <w:t>$1,</w:t>
            </w:r>
            <w:r w:rsidR="00936D36">
              <w:t>300</w:t>
            </w:r>
            <w:r w:rsidRPr="00407D8B">
              <w:t>,000</w:t>
            </w:r>
          </w:p>
        </w:tc>
        <w:tc>
          <w:tcPr>
            <w:tcW w:w="1687" w:type="dxa"/>
            <w:noWrap/>
            <w:hideMark/>
          </w:tcPr>
          <w:p w:rsidR="008050FA" w:rsidRPr="000E1D6B" w:rsidP="005F6062" w14:paraId="7F493844" w14:textId="77777777">
            <w:pPr>
              <w:keepNext/>
              <w:ind w:left="270"/>
              <w:jc w:val="center"/>
            </w:pPr>
            <w:r>
              <w:t>(</w:t>
            </w:r>
            <w:r w:rsidRPr="00407D8B">
              <w:t>$</w:t>
            </w:r>
            <w:r w:rsidRPr="00407D8B" w:rsidR="00861D9F">
              <w:t>1</w:t>
            </w:r>
            <w:r w:rsidR="00861D9F">
              <w:t>7</w:t>
            </w:r>
            <w:r w:rsidRPr="00407D8B" w:rsidR="00861D9F">
              <w:t>0</w:t>
            </w:r>
            <w:r w:rsidRPr="00407D8B">
              <w:t>,000</w:t>
            </w:r>
            <w:r>
              <w:t>)</w:t>
            </w:r>
          </w:p>
        </w:tc>
        <w:tc>
          <w:tcPr>
            <w:tcW w:w="1766" w:type="dxa"/>
            <w:noWrap/>
            <w:hideMark/>
          </w:tcPr>
          <w:p w:rsidR="008050FA" w:rsidRPr="000E1D6B" w:rsidP="005F6062" w14:paraId="7F493845" w14:textId="77777777">
            <w:pPr>
              <w:keepNext/>
              <w:ind w:left="270"/>
              <w:jc w:val="center"/>
            </w:pPr>
            <w:r w:rsidRPr="00407D8B">
              <w:t>$1,</w:t>
            </w:r>
            <w:r w:rsidR="00861D9F">
              <w:t>1</w:t>
            </w:r>
            <w:r w:rsidRPr="00407D8B" w:rsidR="00861D9F">
              <w:t>00</w:t>
            </w:r>
            <w:r w:rsidRPr="00407D8B">
              <w:t xml:space="preserve">,000 </w:t>
            </w:r>
          </w:p>
        </w:tc>
      </w:tr>
      <w:tr w14:paraId="7F49384C"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47" w14:textId="77777777">
            <w:pPr>
              <w:keepNext/>
              <w:ind w:left="270"/>
              <w:jc w:val="center"/>
              <w:rPr>
                <w:b/>
              </w:rPr>
            </w:pPr>
            <w:r w:rsidRPr="000E1D6B">
              <w:rPr>
                <w:b/>
              </w:rPr>
              <w:t>8</w:t>
            </w:r>
          </w:p>
        </w:tc>
        <w:tc>
          <w:tcPr>
            <w:tcW w:w="2372" w:type="dxa"/>
            <w:noWrap/>
            <w:hideMark/>
          </w:tcPr>
          <w:p w:rsidR="008050FA" w:rsidRPr="000E1D6B" w:rsidP="005F6062" w14:paraId="7F493848" w14:textId="77777777">
            <w:pPr>
              <w:keepNext/>
              <w:ind w:left="270"/>
              <w:jc w:val="center"/>
              <w:rPr>
                <w:b/>
              </w:rPr>
            </w:pPr>
            <w:r w:rsidRPr="000E1D6B">
              <w:rPr>
                <w:b/>
              </w:rPr>
              <w:t>2027</w:t>
            </w:r>
          </w:p>
        </w:tc>
        <w:tc>
          <w:tcPr>
            <w:tcW w:w="2185" w:type="dxa"/>
            <w:noWrap/>
            <w:hideMark/>
          </w:tcPr>
          <w:p w:rsidR="008050FA" w:rsidRPr="000E1D6B" w:rsidP="005F6062" w14:paraId="7F493849" w14:textId="77777777">
            <w:pPr>
              <w:keepNext/>
              <w:ind w:left="270"/>
              <w:jc w:val="center"/>
            </w:pPr>
            <w:r w:rsidRPr="00407D8B">
              <w:t>$0</w:t>
            </w:r>
          </w:p>
        </w:tc>
        <w:tc>
          <w:tcPr>
            <w:tcW w:w="1687" w:type="dxa"/>
            <w:noWrap/>
            <w:hideMark/>
          </w:tcPr>
          <w:p w:rsidR="008050FA" w:rsidRPr="000E1D6B" w:rsidP="005F6062" w14:paraId="7F49384A" w14:textId="77777777">
            <w:pPr>
              <w:keepNext/>
              <w:ind w:left="270"/>
              <w:jc w:val="center"/>
            </w:pPr>
            <w:r>
              <w:t>(</w:t>
            </w:r>
            <w:r w:rsidRPr="00407D8B">
              <w:t>$</w:t>
            </w:r>
            <w:r w:rsidR="00861D9F">
              <w:t>98</w:t>
            </w:r>
            <w:r w:rsidRPr="00407D8B">
              <w:t>,000</w:t>
            </w:r>
            <w:r>
              <w:t>)</w:t>
            </w:r>
          </w:p>
        </w:tc>
        <w:tc>
          <w:tcPr>
            <w:tcW w:w="1766" w:type="dxa"/>
            <w:noWrap/>
            <w:hideMark/>
          </w:tcPr>
          <w:p w:rsidR="008050FA" w:rsidRPr="000E1D6B" w:rsidP="005F6062" w14:paraId="7F49384B" w14:textId="77777777">
            <w:pPr>
              <w:keepNext/>
              <w:ind w:left="270"/>
              <w:jc w:val="center"/>
            </w:pPr>
            <w:r w:rsidRPr="00407D8B">
              <w:t>($</w:t>
            </w:r>
            <w:r w:rsidR="00734FDF">
              <w:t>98</w:t>
            </w:r>
            <w:r w:rsidRPr="00407D8B">
              <w:t>,000)</w:t>
            </w:r>
          </w:p>
        </w:tc>
      </w:tr>
      <w:tr w14:paraId="7F493852"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4D" w14:textId="77777777">
            <w:pPr>
              <w:keepNext/>
              <w:ind w:left="270"/>
              <w:jc w:val="center"/>
              <w:rPr>
                <w:b/>
              </w:rPr>
            </w:pPr>
            <w:r w:rsidRPr="000E1D6B">
              <w:rPr>
                <w:b/>
              </w:rPr>
              <w:t>9</w:t>
            </w:r>
          </w:p>
        </w:tc>
        <w:tc>
          <w:tcPr>
            <w:tcW w:w="2372" w:type="dxa"/>
            <w:noWrap/>
            <w:hideMark/>
          </w:tcPr>
          <w:p w:rsidR="008050FA" w:rsidRPr="000E1D6B" w:rsidP="005F6062" w14:paraId="7F49384E" w14:textId="77777777">
            <w:pPr>
              <w:keepNext/>
              <w:ind w:left="270"/>
              <w:jc w:val="center"/>
              <w:rPr>
                <w:b/>
              </w:rPr>
            </w:pPr>
            <w:r w:rsidRPr="000E1D6B">
              <w:rPr>
                <w:b/>
              </w:rPr>
              <w:t>2028</w:t>
            </w:r>
          </w:p>
        </w:tc>
        <w:tc>
          <w:tcPr>
            <w:tcW w:w="2185" w:type="dxa"/>
            <w:noWrap/>
            <w:hideMark/>
          </w:tcPr>
          <w:p w:rsidR="008050FA" w:rsidRPr="000E1D6B" w:rsidP="005F6062" w14:paraId="7F49384F" w14:textId="77777777">
            <w:pPr>
              <w:keepNext/>
              <w:ind w:left="270"/>
              <w:jc w:val="center"/>
            </w:pPr>
            <w:r w:rsidRPr="00407D8B">
              <w:t>$</w:t>
            </w:r>
            <w:r w:rsidR="00734FDF">
              <w:t>4,500</w:t>
            </w:r>
            <w:r w:rsidRPr="00407D8B">
              <w:t>,000</w:t>
            </w:r>
          </w:p>
        </w:tc>
        <w:tc>
          <w:tcPr>
            <w:tcW w:w="1687" w:type="dxa"/>
            <w:noWrap/>
            <w:hideMark/>
          </w:tcPr>
          <w:p w:rsidR="008050FA" w:rsidRPr="000E1D6B" w:rsidP="005F6062" w14:paraId="7F493850" w14:textId="77777777">
            <w:pPr>
              <w:keepNext/>
              <w:ind w:left="270"/>
              <w:jc w:val="center"/>
            </w:pPr>
            <w:r>
              <w:t>(</w:t>
            </w:r>
            <w:r w:rsidRPr="00407D8B">
              <w:t>$</w:t>
            </w:r>
            <w:r w:rsidR="00734FDF">
              <w:t>120</w:t>
            </w:r>
            <w:r w:rsidRPr="00407D8B">
              <w:t>,000</w:t>
            </w:r>
            <w:r>
              <w:t>)</w:t>
            </w:r>
          </w:p>
        </w:tc>
        <w:tc>
          <w:tcPr>
            <w:tcW w:w="1766" w:type="dxa"/>
            <w:noWrap/>
            <w:hideMark/>
          </w:tcPr>
          <w:p w:rsidR="008050FA" w:rsidRPr="000E1D6B" w:rsidP="005F6062" w14:paraId="7F493851" w14:textId="77777777">
            <w:pPr>
              <w:keepNext/>
              <w:ind w:left="270"/>
              <w:jc w:val="center"/>
            </w:pPr>
            <w:r w:rsidRPr="00407D8B">
              <w:t>$</w:t>
            </w:r>
            <w:r w:rsidR="00001E08">
              <w:t>4,400</w:t>
            </w:r>
            <w:r w:rsidRPr="00407D8B">
              <w:t xml:space="preserve">,000 </w:t>
            </w:r>
          </w:p>
        </w:tc>
      </w:tr>
      <w:tr w14:paraId="7F493858"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53" w14:textId="77777777">
            <w:pPr>
              <w:keepNext/>
              <w:ind w:left="270"/>
              <w:jc w:val="center"/>
              <w:rPr>
                <w:b/>
              </w:rPr>
            </w:pPr>
            <w:r w:rsidRPr="000E1D6B">
              <w:rPr>
                <w:b/>
              </w:rPr>
              <w:t>10</w:t>
            </w:r>
          </w:p>
        </w:tc>
        <w:tc>
          <w:tcPr>
            <w:tcW w:w="2372" w:type="dxa"/>
            <w:noWrap/>
            <w:hideMark/>
          </w:tcPr>
          <w:p w:rsidR="008050FA" w:rsidRPr="000E1D6B" w:rsidP="005F6062" w14:paraId="7F493854" w14:textId="77777777">
            <w:pPr>
              <w:keepNext/>
              <w:ind w:left="270"/>
              <w:jc w:val="center"/>
              <w:rPr>
                <w:b/>
              </w:rPr>
            </w:pPr>
            <w:r w:rsidRPr="000E1D6B">
              <w:rPr>
                <w:b/>
              </w:rPr>
              <w:t>2029</w:t>
            </w:r>
          </w:p>
        </w:tc>
        <w:tc>
          <w:tcPr>
            <w:tcW w:w="2185" w:type="dxa"/>
            <w:noWrap/>
            <w:hideMark/>
          </w:tcPr>
          <w:p w:rsidR="008050FA" w:rsidRPr="000E1D6B" w:rsidP="005F6062" w14:paraId="7F493855" w14:textId="77777777">
            <w:pPr>
              <w:keepNext/>
              <w:ind w:left="270"/>
              <w:jc w:val="center"/>
            </w:pPr>
            <w:r w:rsidRPr="00407D8B">
              <w:t>$4,</w:t>
            </w:r>
            <w:r w:rsidR="00001E08">
              <w:t>0</w:t>
            </w:r>
            <w:r w:rsidRPr="00407D8B" w:rsidR="00001E08">
              <w:t>00</w:t>
            </w:r>
            <w:r w:rsidRPr="00407D8B">
              <w:t>,000</w:t>
            </w:r>
          </w:p>
        </w:tc>
        <w:tc>
          <w:tcPr>
            <w:tcW w:w="1687" w:type="dxa"/>
            <w:noWrap/>
            <w:hideMark/>
          </w:tcPr>
          <w:p w:rsidR="008050FA" w:rsidRPr="000E1D6B" w:rsidP="005F6062" w14:paraId="7F493856" w14:textId="77777777">
            <w:pPr>
              <w:keepNext/>
              <w:ind w:left="270"/>
              <w:jc w:val="center"/>
            </w:pPr>
            <w:r>
              <w:t>(</w:t>
            </w:r>
            <w:r w:rsidRPr="00407D8B">
              <w:t>$</w:t>
            </w:r>
            <w:r w:rsidR="00001E08">
              <w:t>46</w:t>
            </w:r>
            <w:r w:rsidRPr="00407D8B">
              <w:t>,000</w:t>
            </w:r>
            <w:r>
              <w:t>)</w:t>
            </w:r>
          </w:p>
        </w:tc>
        <w:tc>
          <w:tcPr>
            <w:tcW w:w="1766" w:type="dxa"/>
            <w:noWrap/>
            <w:hideMark/>
          </w:tcPr>
          <w:p w:rsidR="008050FA" w:rsidRPr="000E1D6B" w:rsidP="005F6062" w14:paraId="7F493857" w14:textId="77777777">
            <w:pPr>
              <w:keepNext/>
              <w:ind w:left="270"/>
              <w:jc w:val="center"/>
            </w:pPr>
            <w:r w:rsidRPr="00407D8B">
              <w:t>$</w:t>
            </w:r>
            <w:r w:rsidR="00001E08">
              <w:t>3,900</w:t>
            </w:r>
            <w:r w:rsidRPr="00407D8B">
              <w:t xml:space="preserve">,000 </w:t>
            </w:r>
          </w:p>
        </w:tc>
      </w:tr>
      <w:tr w14:paraId="7F49385E"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59" w14:textId="77777777">
            <w:pPr>
              <w:keepNext/>
              <w:ind w:left="270"/>
              <w:jc w:val="center"/>
              <w:rPr>
                <w:b/>
              </w:rPr>
            </w:pPr>
            <w:r w:rsidRPr="000E1D6B">
              <w:rPr>
                <w:b/>
              </w:rPr>
              <w:t>11</w:t>
            </w:r>
          </w:p>
        </w:tc>
        <w:tc>
          <w:tcPr>
            <w:tcW w:w="2372" w:type="dxa"/>
            <w:noWrap/>
            <w:hideMark/>
          </w:tcPr>
          <w:p w:rsidR="008050FA" w:rsidRPr="000E1D6B" w:rsidP="005F6062" w14:paraId="7F49385A" w14:textId="77777777">
            <w:pPr>
              <w:keepNext/>
              <w:ind w:left="270"/>
              <w:jc w:val="center"/>
              <w:rPr>
                <w:b/>
              </w:rPr>
            </w:pPr>
            <w:r w:rsidRPr="000E1D6B">
              <w:rPr>
                <w:b/>
              </w:rPr>
              <w:t>2030</w:t>
            </w:r>
          </w:p>
        </w:tc>
        <w:tc>
          <w:tcPr>
            <w:tcW w:w="2185" w:type="dxa"/>
            <w:noWrap/>
            <w:hideMark/>
          </w:tcPr>
          <w:p w:rsidR="008050FA" w:rsidRPr="000E1D6B" w:rsidP="005F6062" w14:paraId="7F49385B" w14:textId="77777777">
            <w:pPr>
              <w:keepNext/>
              <w:ind w:left="270"/>
              <w:jc w:val="center"/>
            </w:pPr>
            <w:r w:rsidRPr="00407D8B">
              <w:t>$</w:t>
            </w:r>
            <w:r w:rsidR="004A1794">
              <w:t>740</w:t>
            </w:r>
            <w:r w:rsidRPr="00407D8B">
              <w:t>,000</w:t>
            </w:r>
          </w:p>
        </w:tc>
        <w:tc>
          <w:tcPr>
            <w:tcW w:w="1687" w:type="dxa"/>
            <w:noWrap/>
            <w:hideMark/>
          </w:tcPr>
          <w:p w:rsidR="008050FA" w:rsidRPr="000E1D6B" w:rsidP="005F6062" w14:paraId="7F49385C" w14:textId="77777777">
            <w:pPr>
              <w:keepNext/>
              <w:ind w:left="270"/>
              <w:jc w:val="center"/>
            </w:pPr>
            <w:r>
              <w:t>(</w:t>
            </w:r>
            <w:r w:rsidRPr="00407D8B">
              <w:t>$</w:t>
            </w:r>
            <w:r w:rsidR="004A1794">
              <w:t>25</w:t>
            </w:r>
            <w:r w:rsidRPr="00407D8B">
              <w:t>,000</w:t>
            </w:r>
            <w:r>
              <w:t>)</w:t>
            </w:r>
          </w:p>
        </w:tc>
        <w:tc>
          <w:tcPr>
            <w:tcW w:w="1766" w:type="dxa"/>
            <w:noWrap/>
            <w:hideMark/>
          </w:tcPr>
          <w:p w:rsidR="008050FA" w:rsidRPr="000E1D6B" w:rsidP="005F6062" w14:paraId="7F49385D" w14:textId="77777777">
            <w:pPr>
              <w:keepNext/>
              <w:ind w:left="270"/>
              <w:jc w:val="center"/>
            </w:pPr>
            <w:r w:rsidRPr="00407D8B">
              <w:t>$</w:t>
            </w:r>
            <w:r w:rsidR="00857735">
              <w:t>72</w:t>
            </w:r>
            <w:r w:rsidRPr="00407D8B" w:rsidR="00857735">
              <w:t>0</w:t>
            </w:r>
            <w:r w:rsidRPr="00407D8B">
              <w:t xml:space="preserve">,000 </w:t>
            </w:r>
          </w:p>
        </w:tc>
      </w:tr>
      <w:tr w14:paraId="7F493864"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5F" w14:textId="77777777">
            <w:pPr>
              <w:keepNext/>
              <w:ind w:left="270"/>
              <w:jc w:val="center"/>
              <w:rPr>
                <w:b/>
              </w:rPr>
            </w:pPr>
            <w:r w:rsidRPr="000E1D6B">
              <w:rPr>
                <w:b/>
              </w:rPr>
              <w:t>12</w:t>
            </w:r>
          </w:p>
        </w:tc>
        <w:tc>
          <w:tcPr>
            <w:tcW w:w="2372" w:type="dxa"/>
            <w:noWrap/>
            <w:hideMark/>
          </w:tcPr>
          <w:p w:rsidR="008050FA" w:rsidRPr="000E1D6B" w:rsidP="005F6062" w14:paraId="7F493860" w14:textId="77777777">
            <w:pPr>
              <w:keepNext/>
              <w:ind w:left="270"/>
              <w:jc w:val="center"/>
              <w:rPr>
                <w:b/>
              </w:rPr>
            </w:pPr>
            <w:r w:rsidRPr="000E1D6B">
              <w:rPr>
                <w:b/>
              </w:rPr>
              <w:t>2031</w:t>
            </w:r>
          </w:p>
        </w:tc>
        <w:tc>
          <w:tcPr>
            <w:tcW w:w="2185" w:type="dxa"/>
            <w:noWrap/>
            <w:hideMark/>
          </w:tcPr>
          <w:p w:rsidR="008050FA" w:rsidRPr="000E1D6B" w:rsidP="005F6062" w14:paraId="7F493861" w14:textId="77777777">
            <w:pPr>
              <w:keepNext/>
              <w:ind w:left="270"/>
              <w:jc w:val="center"/>
            </w:pPr>
            <w:r w:rsidRPr="00407D8B">
              <w:t>$</w:t>
            </w:r>
            <w:r w:rsidR="0060130D">
              <w:t>3,800</w:t>
            </w:r>
            <w:r w:rsidRPr="00407D8B">
              <w:t>,000</w:t>
            </w:r>
          </w:p>
        </w:tc>
        <w:tc>
          <w:tcPr>
            <w:tcW w:w="1687" w:type="dxa"/>
            <w:noWrap/>
            <w:hideMark/>
          </w:tcPr>
          <w:p w:rsidR="008050FA" w:rsidRPr="000E1D6B" w:rsidP="005F6062" w14:paraId="7F493862" w14:textId="77777777">
            <w:pPr>
              <w:keepNext/>
              <w:ind w:left="270"/>
              <w:jc w:val="center"/>
            </w:pPr>
            <w:r>
              <w:t>(</w:t>
            </w:r>
            <w:r w:rsidRPr="00407D8B">
              <w:t>$</w:t>
            </w:r>
            <w:r w:rsidR="0060130D">
              <w:t>78</w:t>
            </w:r>
            <w:r w:rsidRPr="00407D8B">
              <w:t>,000</w:t>
            </w:r>
            <w:r>
              <w:t>)</w:t>
            </w:r>
          </w:p>
        </w:tc>
        <w:tc>
          <w:tcPr>
            <w:tcW w:w="1766" w:type="dxa"/>
            <w:noWrap/>
            <w:hideMark/>
          </w:tcPr>
          <w:p w:rsidR="008050FA" w:rsidRPr="000E1D6B" w:rsidP="005F6062" w14:paraId="7F493863" w14:textId="77777777">
            <w:pPr>
              <w:keepNext/>
              <w:ind w:left="270"/>
              <w:jc w:val="center"/>
            </w:pPr>
            <w:r w:rsidRPr="00407D8B">
              <w:t>$</w:t>
            </w:r>
            <w:r w:rsidR="00E90D81">
              <w:t>3,700,</w:t>
            </w:r>
            <w:r w:rsidRPr="00407D8B">
              <w:t xml:space="preserve">000 </w:t>
            </w:r>
          </w:p>
        </w:tc>
      </w:tr>
      <w:tr w14:paraId="7F49386A"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65" w14:textId="77777777">
            <w:pPr>
              <w:keepNext/>
              <w:ind w:left="270"/>
              <w:jc w:val="center"/>
              <w:rPr>
                <w:b/>
              </w:rPr>
            </w:pPr>
            <w:r w:rsidRPr="000E1D6B">
              <w:rPr>
                <w:b/>
              </w:rPr>
              <w:t>13</w:t>
            </w:r>
          </w:p>
        </w:tc>
        <w:tc>
          <w:tcPr>
            <w:tcW w:w="2372" w:type="dxa"/>
            <w:noWrap/>
            <w:hideMark/>
          </w:tcPr>
          <w:p w:rsidR="008050FA" w:rsidRPr="000E1D6B" w:rsidP="005F6062" w14:paraId="7F493866" w14:textId="77777777">
            <w:pPr>
              <w:keepNext/>
              <w:ind w:left="270"/>
              <w:jc w:val="center"/>
              <w:rPr>
                <w:b/>
              </w:rPr>
            </w:pPr>
            <w:r w:rsidRPr="000E1D6B">
              <w:rPr>
                <w:b/>
              </w:rPr>
              <w:t>2032</w:t>
            </w:r>
          </w:p>
        </w:tc>
        <w:tc>
          <w:tcPr>
            <w:tcW w:w="2185" w:type="dxa"/>
            <w:noWrap/>
            <w:hideMark/>
          </w:tcPr>
          <w:p w:rsidR="008050FA" w:rsidRPr="000E1D6B" w:rsidP="005F6062" w14:paraId="7F493867" w14:textId="77777777">
            <w:pPr>
              <w:keepNext/>
              <w:ind w:left="270"/>
              <w:jc w:val="center"/>
            </w:pPr>
            <w:r w:rsidRPr="00407D8B">
              <w:t>$</w:t>
            </w:r>
            <w:r w:rsidR="00E90D81">
              <w:t>740</w:t>
            </w:r>
            <w:r w:rsidRPr="00407D8B">
              <w:t>,000</w:t>
            </w:r>
          </w:p>
        </w:tc>
        <w:tc>
          <w:tcPr>
            <w:tcW w:w="1687" w:type="dxa"/>
            <w:noWrap/>
            <w:hideMark/>
          </w:tcPr>
          <w:p w:rsidR="008050FA" w:rsidRPr="000E1D6B" w:rsidP="005F6062" w14:paraId="7F493868" w14:textId="77777777">
            <w:pPr>
              <w:keepNext/>
              <w:ind w:left="270"/>
              <w:jc w:val="center"/>
            </w:pPr>
            <w:r>
              <w:t>(</w:t>
            </w:r>
            <w:r w:rsidRPr="00407D8B">
              <w:t>$</w:t>
            </w:r>
            <w:r w:rsidR="00E90D81">
              <w:t>98</w:t>
            </w:r>
            <w:r w:rsidRPr="00407D8B">
              <w:t>,000</w:t>
            </w:r>
            <w:r>
              <w:t>)</w:t>
            </w:r>
          </w:p>
        </w:tc>
        <w:tc>
          <w:tcPr>
            <w:tcW w:w="1766" w:type="dxa"/>
            <w:noWrap/>
            <w:hideMark/>
          </w:tcPr>
          <w:p w:rsidR="008050FA" w:rsidRPr="000E1D6B" w:rsidP="005F6062" w14:paraId="7F493869" w14:textId="77777777">
            <w:pPr>
              <w:keepNext/>
              <w:ind w:left="270"/>
              <w:jc w:val="center"/>
            </w:pPr>
            <w:r w:rsidRPr="00407D8B">
              <w:t>$</w:t>
            </w:r>
            <w:r w:rsidR="0064143A">
              <w:t>64</w:t>
            </w:r>
            <w:r w:rsidRPr="00407D8B" w:rsidR="0064143A">
              <w:t>0</w:t>
            </w:r>
            <w:r w:rsidRPr="00407D8B">
              <w:t xml:space="preserve">,000 </w:t>
            </w:r>
          </w:p>
        </w:tc>
      </w:tr>
      <w:tr w14:paraId="7F493870"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6B" w14:textId="77777777">
            <w:pPr>
              <w:keepNext/>
              <w:ind w:left="270"/>
              <w:jc w:val="center"/>
              <w:rPr>
                <w:b/>
              </w:rPr>
            </w:pPr>
            <w:r w:rsidRPr="000E1D6B">
              <w:rPr>
                <w:b/>
              </w:rPr>
              <w:t>14</w:t>
            </w:r>
          </w:p>
        </w:tc>
        <w:tc>
          <w:tcPr>
            <w:tcW w:w="2372" w:type="dxa"/>
            <w:noWrap/>
            <w:hideMark/>
          </w:tcPr>
          <w:p w:rsidR="008050FA" w:rsidRPr="000E1D6B" w:rsidP="005F6062" w14:paraId="7F49386C" w14:textId="77777777">
            <w:pPr>
              <w:keepNext/>
              <w:ind w:left="270"/>
              <w:jc w:val="center"/>
              <w:rPr>
                <w:b/>
              </w:rPr>
            </w:pPr>
            <w:r w:rsidRPr="000E1D6B">
              <w:rPr>
                <w:b/>
              </w:rPr>
              <w:t>2033</w:t>
            </w:r>
          </w:p>
        </w:tc>
        <w:tc>
          <w:tcPr>
            <w:tcW w:w="2185" w:type="dxa"/>
            <w:noWrap/>
            <w:hideMark/>
          </w:tcPr>
          <w:p w:rsidR="008050FA" w:rsidRPr="000E1D6B" w:rsidP="005F6062" w14:paraId="7F49386D" w14:textId="77777777">
            <w:pPr>
              <w:keepNext/>
              <w:ind w:left="270"/>
              <w:jc w:val="center"/>
            </w:pPr>
            <w:r w:rsidRPr="00407D8B">
              <w:t>$0</w:t>
            </w:r>
          </w:p>
        </w:tc>
        <w:tc>
          <w:tcPr>
            <w:tcW w:w="1687" w:type="dxa"/>
            <w:noWrap/>
            <w:hideMark/>
          </w:tcPr>
          <w:p w:rsidR="008050FA" w:rsidRPr="000E1D6B" w:rsidP="005F6062" w14:paraId="7F49386E" w14:textId="77777777">
            <w:pPr>
              <w:keepNext/>
              <w:ind w:left="270"/>
              <w:jc w:val="center"/>
            </w:pPr>
            <w:r>
              <w:t>(</w:t>
            </w:r>
            <w:r w:rsidRPr="00407D8B">
              <w:t>$</w:t>
            </w:r>
            <w:r w:rsidRPr="00407D8B" w:rsidR="0064143A">
              <w:t>1</w:t>
            </w:r>
            <w:r w:rsidR="0064143A">
              <w:t>0</w:t>
            </w:r>
            <w:r w:rsidRPr="00407D8B" w:rsidR="0064143A">
              <w:t>0</w:t>
            </w:r>
            <w:r w:rsidRPr="00407D8B">
              <w:t>,000</w:t>
            </w:r>
            <w:r>
              <w:t>)</w:t>
            </w:r>
          </w:p>
        </w:tc>
        <w:tc>
          <w:tcPr>
            <w:tcW w:w="1766" w:type="dxa"/>
            <w:noWrap/>
            <w:hideMark/>
          </w:tcPr>
          <w:p w:rsidR="008050FA" w:rsidRPr="000E1D6B" w:rsidP="005F6062" w14:paraId="7F49386F" w14:textId="77777777">
            <w:pPr>
              <w:keepNext/>
              <w:ind w:left="270"/>
              <w:jc w:val="center"/>
            </w:pPr>
            <w:r w:rsidRPr="00407D8B">
              <w:t>($</w:t>
            </w:r>
            <w:r w:rsidRPr="00407D8B" w:rsidR="0064143A">
              <w:t>1</w:t>
            </w:r>
            <w:r w:rsidR="0064143A">
              <w:t>0</w:t>
            </w:r>
            <w:r w:rsidRPr="00407D8B" w:rsidR="0064143A">
              <w:t>0</w:t>
            </w:r>
            <w:r w:rsidRPr="00407D8B">
              <w:t>,000)</w:t>
            </w:r>
          </w:p>
        </w:tc>
      </w:tr>
      <w:tr w14:paraId="7F493876"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71" w14:textId="77777777">
            <w:pPr>
              <w:keepNext/>
              <w:ind w:left="270"/>
              <w:jc w:val="center"/>
              <w:rPr>
                <w:b/>
              </w:rPr>
            </w:pPr>
            <w:r w:rsidRPr="000E1D6B">
              <w:rPr>
                <w:b/>
              </w:rPr>
              <w:t>15</w:t>
            </w:r>
          </w:p>
        </w:tc>
        <w:tc>
          <w:tcPr>
            <w:tcW w:w="2372" w:type="dxa"/>
            <w:noWrap/>
            <w:hideMark/>
          </w:tcPr>
          <w:p w:rsidR="008050FA" w:rsidRPr="000E1D6B" w:rsidP="005F6062" w14:paraId="7F493872" w14:textId="77777777">
            <w:pPr>
              <w:keepNext/>
              <w:ind w:left="270"/>
              <w:jc w:val="center"/>
              <w:rPr>
                <w:b/>
              </w:rPr>
            </w:pPr>
            <w:r w:rsidRPr="000E1D6B">
              <w:rPr>
                <w:b/>
              </w:rPr>
              <w:t>2034</w:t>
            </w:r>
          </w:p>
        </w:tc>
        <w:tc>
          <w:tcPr>
            <w:tcW w:w="2185" w:type="dxa"/>
            <w:noWrap/>
            <w:hideMark/>
          </w:tcPr>
          <w:p w:rsidR="008050FA" w:rsidRPr="000E1D6B" w:rsidP="005F6062" w14:paraId="7F493873" w14:textId="77777777">
            <w:pPr>
              <w:keepNext/>
              <w:ind w:left="270"/>
              <w:jc w:val="center"/>
            </w:pPr>
            <w:r w:rsidRPr="00407D8B">
              <w:t>$1,</w:t>
            </w:r>
            <w:r w:rsidR="00E70B0B">
              <w:t>5</w:t>
            </w:r>
            <w:r w:rsidRPr="00407D8B" w:rsidR="00E70B0B">
              <w:t>00</w:t>
            </w:r>
            <w:r w:rsidRPr="00407D8B">
              <w:t>,000</w:t>
            </w:r>
          </w:p>
        </w:tc>
        <w:tc>
          <w:tcPr>
            <w:tcW w:w="1687" w:type="dxa"/>
            <w:noWrap/>
            <w:hideMark/>
          </w:tcPr>
          <w:p w:rsidR="008050FA" w:rsidRPr="000E1D6B" w:rsidP="005F6062" w14:paraId="7F493874" w14:textId="77777777">
            <w:pPr>
              <w:keepNext/>
              <w:ind w:left="270"/>
              <w:jc w:val="center"/>
            </w:pPr>
            <w:r>
              <w:t>(</w:t>
            </w:r>
            <w:r w:rsidRPr="00407D8B">
              <w:t>$</w:t>
            </w:r>
            <w:r w:rsidR="00E70B0B">
              <w:t>46</w:t>
            </w:r>
            <w:r w:rsidRPr="00407D8B">
              <w:t>,000</w:t>
            </w:r>
            <w:r>
              <w:t>)</w:t>
            </w:r>
          </w:p>
        </w:tc>
        <w:tc>
          <w:tcPr>
            <w:tcW w:w="1766" w:type="dxa"/>
            <w:noWrap/>
            <w:hideMark/>
          </w:tcPr>
          <w:p w:rsidR="008050FA" w:rsidRPr="000E1D6B" w:rsidP="005F6062" w14:paraId="7F493875" w14:textId="77777777">
            <w:pPr>
              <w:keepNext/>
              <w:ind w:left="270"/>
              <w:jc w:val="center"/>
            </w:pPr>
            <w:r w:rsidRPr="00407D8B">
              <w:t>$1,</w:t>
            </w:r>
            <w:r w:rsidR="00E70B0B">
              <w:t>4</w:t>
            </w:r>
            <w:r w:rsidRPr="00407D8B" w:rsidR="00E70B0B">
              <w:t>00</w:t>
            </w:r>
            <w:r w:rsidRPr="00407D8B">
              <w:t xml:space="preserve">,000 </w:t>
            </w:r>
          </w:p>
        </w:tc>
      </w:tr>
      <w:tr w14:paraId="7F49387C"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77" w14:textId="77777777">
            <w:pPr>
              <w:keepNext/>
              <w:ind w:left="270"/>
              <w:jc w:val="center"/>
              <w:rPr>
                <w:b/>
              </w:rPr>
            </w:pPr>
            <w:r w:rsidRPr="000E1D6B">
              <w:rPr>
                <w:b/>
              </w:rPr>
              <w:t>16</w:t>
            </w:r>
          </w:p>
        </w:tc>
        <w:tc>
          <w:tcPr>
            <w:tcW w:w="2372" w:type="dxa"/>
            <w:noWrap/>
            <w:hideMark/>
          </w:tcPr>
          <w:p w:rsidR="008050FA" w:rsidRPr="000E1D6B" w:rsidP="005F6062" w14:paraId="7F493878" w14:textId="77777777">
            <w:pPr>
              <w:keepNext/>
              <w:ind w:left="270"/>
              <w:jc w:val="center"/>
              <w:rPr>
                <w:b/>
              </w:rPr>
            </w:pPr>
            <w:r w:rsidRPr="000E1D6B">
              <w:rPr>
                <w:b/>
              </w:rPr>
              <w:t>2035</w:t>
            </w:r>
          </w:p>
        </w:tc>
        <w:tc>
          <w:tcPr>
            <w:tcW w:w="2185" w:type="dxa"/>
            <w:noWrap/>
            <w:hideMark/>
          </w:tcPr>
          <w:p w:rsidR="008050FA" w:rsidRPr="000E1D6B" w:rsidP="005F6062" w14:paraId="7F493879" w14:textId="77777777">
            <w:pPr>
              <w:keepNext/>
              <w:ind w:left="270"/>
              <w:jc w:val="center"/>
            </w:pPr>
            <w:r w:rsidRPr="00407D8B">
              <w:t>$</w:t>
            </w:r>
            <w:r w:rsidR="000B4457">
              <w:t>74</w:t>
            </w:r>
            <w:r w:rsidRPr="00407D8B" w:rsidR="000B4457">
              <w:t>0</w:t>
            </w:r>
            <w:r w:rsidRPr="00407D8B">
              <w:t>,000</w:t>
            </w:r>
          </w:p>
        </w:tc>
        <w:tc>
          <w:tcPr>
            <w:tcW w:w="1687" w:type="dxa"/>
            <w:noWrap/>
            <w:hideMark/>
          </w:tcPr>
          <w:p w:rsidR="008050FA" w:rsidRPr="000E1D6B" w:rsidP="005F6062" w14:paraId="7F49387A" w14:textId="77777777">
            <w:pPr>
              <w:keepNext/>
              <w:ind w:left="270"/>
              <w:jc w:val="center"/>
            </w:pPr>
            <w:r>
              <w:t>(</w:t>
            </w:r>
            <w:r w:rsidRPr="00407D8B">
              <w:t>$</w:t>
            </w:r>
            <w:r w:rsidR="000B4457">
              <w:t>25</w:t>
            </w:r>
            <w:r w:rsidRPr="00407D8B">
              <w:t>,000</w:t>
            </w:r>
            <w:r>
              <w:t>)</w:t>
            </w:r>
          </w:p>
        </w:tc>
        <w:tc>
          <w:tcPr>
            <w:tcW w:w="1766" w:type="dxa"/>
            <w:noWrap/>
            <w:hideMark/>
          </w:tcPr>
          <w:p w:rsidR="008050FA" w:rsidRPr="000E1D6B" w:rsidP="005F6062" w14:paraId="7F49387B" w14:textId="77777777">
            <w:pPr>
              <w:keepNext/>
              <w:ind w:left="270"/>
              <w:jc w:val="center"/>
            </w:pPr>
            <w:r w:rsidRPr="00407D8B">
              <w:t>$</w:t>
            </w:r>
            <w:r w:rsidR="000B4457">
              <w:t>720</w:t>
            </w:r>
            <w:r w:rsidRPr="00407D8B">
              <w:t xml:space="preserve">,000 </w:t>
            </w:r>
          </w:p>
        </w:tc>
      </w:tr>
      <w:tr w14:paraId="7F493882"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7D" w14:textId="77777777">
            <w:pPr>
              <w:keepNext/>
              <w:ind w:left="270"/>
              <w:jc w:val="center"/>
              <w:rPr>
                <w:b/>
              </w:rPr>
            </w:pPr>
            <w:r w:rsidRPr="000E1D6B">
              <w:rPr>
                <w:b/>
              </w:rPr>
              <w:t>17</w:t>
            </w:r>
          </w:p>
        </w:tc>
        <w:tc>
          <w:tcPr>
            <w:tcW w:w="2372" w:type="dxa"/>
            <w:noWrap/>
            <w:hideMark/>
          </w:tcPr>
          <w:p w:rsidR="008050FA" w:rsidRPr="000E1D6B" w:rsidP="005F6062" w14:paraId="7F49387E" w14:textId="77777777">
            <w:pPr>
              <w:keepNext/>
              <w:ind w:left="270"/>
              <w:jc w:val="center"/>
              <w:rPr>
                <w:b/>
              </w:rPr>
            </w:pPr>
            <w:r w:rsidRPr="000E1D6B">
              <w:rPr>
                <w:b/>
              </w:rPr>
              <w:t>2036</w:t>
            </w:r>
          </w:p>
        </w:tc>
        <w:tc>
          <w:tcPr>
            <w:tcW w:w="2185" w:type="dxa"/>
            <w:noWrap/>
            <w:hideMark/>
          </w:tcPr>
          <w:p w:rsidR="008050FA" w:rsidRPr="000E1D6B" w:rsidP="005F6062" w14:paraId="7F49387F" w14:textId="77777777">
            <w:pPr>
              <w:keepNext/>
              <w:ind w:left="270"/>
              <w:jc w:val="center"/>
            </w:pPr>
            <w:r w:rsidRPr="00407D8B">
              <w:t>$</w:t>
            </w:r>
            <w:r w:rsidR="000B4457">
              <w:t>74</w:t>
            </w:r>
            <w:r w:rsidRPr="00407D8B" w:rsidR="000B4457">
              <w:t>0</w:t>
            </w:r>
            <w:r w:rsidRPr="00407D8B">
              <w:t>,000</w:t>
            </w:r>
          </w:p>
        </w:tc>
        <w:tc>
          <w:tcPr>
            <w:tcW w:w="1687" w:type="dxa"/>
            <w:noWrap/>
            <w:hideMark/>
          </w:tcPr>
          <w:p w:rsidR="008050FA" w:rsidRPr="000E1D6B" w:rsidP="005F6062" w14:paraId="7F493880" w14:textId="77777777">
            <w:pPr>
              <w:keepNext/>
              <w:ind w:left="270"/>
              <w:jc w:val="center"/>
            </w:pPr>
            <w:r>
              <w:t>(</w:t>
            </w:r>
            <w:r w:rsidRPr="00407D8B">
              <w:t>$</w:t>
            </w:r>
            <w:r w:rsidR="001F4ACC">
              <w:t>78</w:t>
            </w:r>
            <w:r w:rsidRPr="00407D8B">
              <w:t>,000</w:t>
            </w:r>
            <w:r>
              <w:t>)</w:t>
            </w:r>
          </w:p>
        </w:tc>
        <w:tc>
          <w:tcPr>
            <w:tcW w:w="1766" w:type="dxa"/>
            <w:noWrap/>
            <w:hideMark/>
          </w:tcPr>
          <w:p w:rsidR="008050FA" w:rsidRPr="000E1D6B" w:rsidP="005F6062" w14:paraId="7F493881" w14:textId="77777777">
            <w:pPr>
              <w:keepNext/>
              <w:ind w:left="270"/>
              <w:jc w:val="center"/>
            </w:pPr>
            <w:r w:rsidRPr="00407D8B">
              <w:t>$</w:t>
            </w:r>
            <w:r w:rsidR="001F4ACC">
              <w:t>66</w:t>
            </w:r>
            <w:r w:rsidRPr="00407D8B" w:rsidR="001F4ACC">
              <w:t>0</w:t>
            </w:r>
            <w:r w:rsidRPr="00407D8B">
              <w:t xml:space="preserve">,000 </w:t>
            </w:r>
          </w:p>
        </w:tc>
      </w:tr>
      <w:tr w14:paraId="7F493888" w14:textId="77777777" w:rsidTr="008050FA">
        <w:tblPrEx>
          <w:tblW w:w="9413" w:type="dxa"/>
          <w:jc w:val="center"/>
          <w:tblLayout w:type="fixed"/>
          <w:tblLook w:val="04A0"/>
        </w:tblPrEx>
        <w:trPr>
          <w:trHeight w:val="293"/>
          <w:jc w:val="center"/>
        </w:trPr>
        <w:tc>
          <w:tcPr>
            <w:tcW w:w="1403" w:type="dxa"/>
            <w:noWrap/>
            <w:hideMark/>
          </w:tcPr>
          <w:p w:rsidR="008050FA" w:rsidRPr="000E1D6B" w:rsidP="005F6062" w14:paraId="7F493883" w14:textId="77777777">
            <w:pPr>
              <w:keepNext/>
              <w:ind w:left="270"/>
              <w:jc w:val="center"/>
              <w:rPr>
                <w:b/>
              </w:rPr>
            </w:pPr>
            <w:r w:rsidRPr="000E1D6B">
              <w:rPr>
                <w:b/>
              </w:rPr>
              <w:t>18</w:t>
            </w:r>
          </w:p>
        </w:tc>
        <w:tc>
          <w:tcPr>
            <w:tcW w:w="2372" w:type="dxa"/>
            <w:noWrap/>
            <w:hideMark/>
          </w:tcPr>
          <w:p w:rsidR="008050FA" w:rsidRPr="000E1D6B" w:rsidP="005F6062" w14:paraId="7F493884" w14:textId="77777777">
            <w:pPr>
              <w:keepNext/>
              <w:ind w:left="270"/>
              <w:jc w:val="center"/>
              <w:rPr>
                <w:b/>
              </w:rPr>
            </w:pPr>
            <w:r w:rsidRPr="000E1D6B">
              <w:rPr>
                <w:b/>
              </w:rPr>
              <w:t>2037</w:t>
            </w:r>
          </w:p>
        </w:tc>
        <w:tc>
          <w:tcPr>
            <w:tcW w:w="2185" w:type="dxa"/>
            <w:noWrap/>
            <w:hideMark/>
          </w:tcPr>
          <w:p w:rsidR="008050FA" w:rsidRPr="000E1D6B" w:rsidP="005F6062" w14:paraId="7F493885" w14:textId="77777777">
            <w:pPr>
              <w:keepNext/>
              <w:ind w:left="270"/>
              <w:jc w:val="center"/>
            </w:pPr>
            <w:r w:rsidRPr="00407D8B">
              <w:t>$</w:t>
            </w:r>
            <w:r w:rsidR="001F4ACC">
              <w:t>74</w:t>
            </w:r>
            <w:r w:rsidRPr="00407D8B" w:rsidR="001F4ACC">
              <w:t>0</w:t>
            </w:r>
            <w:r w:rsidRPr="00407D8B">
              <w:t>,000</w:t>
            </w:r>
          </w:p>
        </w:tc>
        <w:tc>
          <w:tcPr>
            <w:tcW w:w="1687" w:type="dxa"/>
            <w:noWrap/>
            <w:hideMark/>
          </w:tcPr>
          <w:p w:rsidR="008050FA" w:rsidRPr="000E1D6B" w:rsidP="005F6062" w14:paraId="7F493886" w14:textId="77777777">
            <w:pPr>
              <w:keepNext/>
              <w:ind w:left="270"/>
              <w:jc w:val="center"/>
            </w:pPr>
            <w:r>
              <w:t>(</w:t>
            </w:r>
            <w:r w:rsidRPr="00407D8B">
              <w:t>$</w:t>
            </w:r>
            <w:r w:rsidR="003E0D6A">
              <w:t>98</w:t>
            </w:r>
            <w:r w:rsidRPr="00407D8B">
              <w:t>,000</w:t>
            </w:r>
            <w:r>
              <w:t>)</w:t>
            </w:r>
          </w:p>
        </w:tc>
        <w:tc>
          <w:tcPr>
            <w:tcW w:w="1766" w:type="dxa"/>
            <w:noWrap/>
            <w:hideMark/>
          </w:tcPr>
          <w:p w:rsidR="008050FA" w:rsidRPr="000E1D6B" w:rsidP="005F6062" w14:paraId="7F493887" w14:textId="77777777">
            <w:pPr>
              <w:keepNext/>
              <w:ind w:left="270"/>
              <w:jc w:val="center"/>
            </w:pPr>
            <w:r w:rsidRPr="00407D8B">
              <w:t>$</w:t>
            </w:r>
            <w:r w:rsidR="00A15D5E">
              <w:t>64</w:t>
            </w:r>
            <w:r w:rsidRPr="00407D8B" w:rsidR="00A15D5E">
              <w:t>0</w:t>
            </w:r>
            <w:r w:rsidRPr="00407D8B">
              <w:t xml:space="preserve">,000 </w:t>
            </w:r>
          </w:p>
        </w:tc>
      </w:tr>
      <w:tr w14:paraId="7F49388E" w14:textId="77777777" w:rsidTr="008050FA">
        <w:tblPrEx>
          <w:tblW w:w="9413" w:type="dxa"/>
          <w:jc w:val="center"/>
          <w:tblLayout w:type="fixed"/>
          <w:tblLook w:val="04A0"/>
        </w:tblPrEx>
        <w:trPr>
          <w:trHeight w:val="285"/>
          <w:jc w:val="center"/>
        </w:trPr>
        <w:tc>
          <w:tcPr>
            <w:tcW w:w="1403" w:type="dxa"/>
            <w:noWrap/>
            <w:hideMark/>
          </w:tcPr>
          <w:p w:rsidR="008050FA" w:rsidRPr="000E1D6B" w:rsidP="005F6062" w14:paraId="7F493889" w14:textId="77777777">
            <w:pPr>
              <w:keepNext/>
              <w:ind w:left="270"/>
              <w:jc w:val="center"/>
              <w:rPr>
                <w:b/>
              </w:rPr>
            </w:pPr>
            <w:r w:rsidRPr="000E1D6B">
              <w:rPr>
                <w:b/>
              </w:rPr>
              <w:t>19</w:t>
            </w:r>
          </w:p>
        </w:tc>
        <w:tc>
          <w:tcPr>
            <w:tcW w:w="2372" w:type="dxa"/>
            <w:noWrap/>
            <w:hideMark/>
          </w:tcPr>
          <w:p w:rsidR="008050FA" w:rsidRPr="000E1D6B" w:rsidP="005F6062" w14:paraId="7F49388A" w14:textId="77777777">
            <w:pPr>
              <w:keepNext/>
              <w:ind w:left="270"/>
              <w:jc w:val="center"/>
              <w:rPr>
                <w:b/>
              </w:rPr>
            </w:pPr>
            <w:r w:rsidRPr="000E1D6B">
              <w:rPr>
                <w:b/>
              </w:rPr>
              <w:t>2038</w:t>
            </w:r>
          </w:p>
        </w:tc>
        <w:tc>
          <w:tcPr>
            <w:tcW w:w="2185" w:type="dxa"/>
            <w:noWrap/>
            <w:hideMark/>
          </w:tcPr>
          <w:p w:rsidR="008050FA" w:rsidRPr="000E1D6B" w:rsidP="005F6062" w14:paraId="7F49388B" w14:textId="77777777">
            <w:pPr>
              <w:keepNext/>
              <w:ind w:left="270"/>
              <w:jc w:val="center"/>
            </w:pPr>
            <w:r w:rsidRPr="00407D8B">
              <w:t>$0</w:t>
            </w:r>
          </w:p>
        </w:tc>
        <w:tc>
          <w:tcPr>
            <w:tcW w:w="1687" w:type="dxa"/>
            <w:noWrap/>
            <w:hideMark/>
          </w:tcPr>
          <w:p w:rsidR="008050FA" w:rsidRPr="000E1D6B" w:rsidP="005F6062" w14:paraId="7F49388C" w14:textId="77777777">
            <w:pPr>
              <w:keepNext/>
              <w:ind w:left="270"/>
              <w:jc w:val="center"/>
            </w:pPr>
            <w:r>
              <w:t>(</w:t>
            </w:r>
            <w:r w:rsidRPr="00407D8B">
              <w:t>$</w:t>
            </w:r>
            <w:r w:rsidRPr="00407D8B" w:rsidR="001C3DE9">
              <w:t>1</w:t>
            </w:r>
            <w:r w:rsidR="001C3DE9">
              <w:t>0</w:t>
            </w:r>
            <w:r w:rsidRPr="00407D8B" w:rsidR="001C3DE9">
              <w:t>0</w:t>
            </w:r>
            <w:r w:rsidRPr="00407D8B">
              <w:t>,000</w:t>
            </w:r>
            <w:r>
              <w:t>)</w:t>
            </w:r>
          </w:p>
        </w:tc>
        <w:tc>
          <w:tcPr>
            <w:tcW w:w="1766" w:type="dxa"/>
            <w:noWrap/>
            <w:hideMark/>
          </w:tcPr>
          <w:p w:rsidR="008050FA" w:rsidRPr="000E1D6B" w:rsidP="005F6062" w14:paraId="7F49388D" w14:textId="77777777">
            <w:pPr>
              <w:keepNext/>
              <w:ind w:left="270"/>
              <w:jc w:val="center"/>
            </w:pPr>
            <w:r w:rsidRPr="00407D8B">
              <w:t>($</w:t>
            </w:r>
            <w:r w:rsidRPr="00407D8B" w:rsidR="00427E6C">
              <w:t>1</w:t>
            </w:r>
            <w:r w:rsidR="00427E6C">
              <w:t>0</w:t>
            </w:r>
            <w:r w:rsidRPr="00407D8B" w:rsidR="00427E6C">
              <w:t>0</w:t>
            </w:r>
            <w:r w:rsidRPr="00407D8B">
              <w:t>,000)</w:t>
            </w:r>
          </w:p>
        </w:tc>
      </w:tr>
      <w:tr w14:paraId="7F493894" w14:textId="77777777" w:rsidTr="008050FA">
        <w:tblPrEx>
          <w:tblW w:w="9413" w:type="dxa"/>
          <w:jc w:val="center"/>
          <w:tblLayout w:type="fixed"/>
          <w:tblLook w:val="04A0"/>
        </w:tblPrEx>
        <w:trPr>
          <w:trHeight w:val="293"/>
          <w:jc w:val="center"/>
        </w:trPr>
        <w:tc>
          <w:tcPr>
            <w:tcW w:w="1403" w:type="dxa"/>
            <w:noWrap/>
            <w:hideMark/>
          </w:tcPr>
          <w:p w:rsidR="008050FA" w:rsidRPr="000E1D6B" w:rsidP="005F6062" w14:paraId="7F49388F" w14:textId="77777777">
            <w:pPr>
              <w:keepNext/>
              <w:ind w:left="270"/>
              <w:jc w:val="center"/>
              <w:rPr>
                <w:b/>
              </w:rPr>
            </w:pPr>
            <w:r w:rsidRPr="000E1D6B">
              <w:rPr>
                <w:b/>
              </w:rPr>
              <w:t>20</w:t>
            </w:r>
          </w:p>
        </w:tc>
        <w:tc>
          <w:tcPr>
            <w:tcW w:w="2372" w:type="dxa"/>
            <w:noWrap/>
            <w:hideMark/>
          </w:tcPr>
          <w:p w:rsidR="008050FA" w:rsidRPr="000E1D6B" w:rsidP="005F6062" w14:paraId="7F493890" w14:textId="77777777">
            <w:pPr>
              <w:keepNext/>
              <w:ind w:left="270"/>
              <w:jc w:val="center"/>
              <w:rPr>
                <w:b/>
              </w:rPr>
            </w:pPr>
            <w:r w:rsidRPr="00D839EE">
              <w:rPr>
                <w:rFonts w:cs="Arial"/>
                <w:b/>
              </w:rPr>
              <w:t>2039</w:t>
            </w:r>
          </w:p>
        </w:tc>
        <w:tc>
          <w:tcPr>
            <w:tcW w:w="2185" w:type="dxa"/>
            <w:noWrap/>
            <w:hideMark/>
          </w:tcPr>
          <w:p w:rsidR="008050FA" w:rsidRPr="000E1D6B" w:rsidP="005F6062" w14:paraId="7F493891" w14:textId="77777777">
            <w:pPr>
              <w:keepNext/>
              <w:ind w:left="270"/>
              <w:jc w:val="center"/>
            </w:pPr>
            <w:r w:rsidRPr="00407D8B">
              <w:t>$0</w:t>
            </w:r>
          </w:p>
        </w:tc>
        <w:tc>
          <w:tcPr>
            <w:tcW w:w="1687" w:type="dxa"/>
            <w:noWrap/>
            <w:hideMark/>
          </w:tcPr>
          <w:p w:rsidR="008050FA" w:rsidRPr="000E1D6B" w:rsidP="005F6062" w14:paraId="7F493892" w14:textId="77777777">
            <w:pPr>
              <w:keepNext/>
              <w:ind w:left="270"/>
              <w:jc w:val="center"/>
            </w:pPr>
            <w:r>
              <w:t>(</w:t>
            </w:r>
            <w:r w:rsidRPr="00407D8B">
              <w:t>$</w:t>
            </w:r>
            <w:r w:rsidR="00427E6C">
              <w:t>46</w:t>
            </w:r>
            <w:r w:rsidRPr="00407D8B">
              <w:t>,000</w:t>
            </w:r>
            <w:r>
              <w:t>)</w:t>
            </w:r>
          </w:p>
        </w:tc>
        <w:tc>
          <w:tcPr>
            <w:tcW w:w="1766" w:type="dxa"/>
            <w:noWrap/>
            <w:hideMark/>
          </w:tcPr>
          <w:p w:rsidR="008050FA" w:rsidRPr="000E1D6B" w:rsidP="005F6062" w14:paraId="7F493893" w14:textId="77777777">
            <w:pPr>
              <w:keepNext/>
              <w:ind w:left="270"/>
              <w:jc w:val="center"/>
            </w:pPr>
            <w:r w:rsidRPr="00407D8B">
              <w:t>($</w:t>
            </w:r>
            <w:r w:rsidR="00427E6C">
              <w:t>46</w:t>
            </w:r>
            <w:r w:rsidRPr="00407D8B">
              <w:t>,000)</w:t>
            </w:r>
          </w:p>
        </w:tc>
      </w:tr>
      <w:tr w14:paraId="7F493899" w14:textId="77777777" w:rsidTr="008050FA">
        <w:tblPrEx>
          <w:tblW w:w="9413" w:type="dxa"/>
          <w:jc w:val="center"/>
          <w:tblLayout w:type="fixed"/>
          <w:tblLook w:val="04A0"/>
        </w:tblPrEx>
        <w:trPr>
          <w:trHeight w:val="293"/>
          <w:jc w:val="center"/>
        </w:trPr>
        <w:tc>
          <w:tcPr>
            <w:tcW w:w="3775" w:type="dxa"/>
            <w:gridSpan w:val="2"/>
            <w:noWrap/>
            <w:hideMark/>
          </w:tcPr>
          <w:p w:rsidR="008050FA" w:rsidRPr="000E1D6B" w:rsidP="005F6062" w14:paraId="7F493895" w14:textId="77777777">
            <w:pPr>
              <w:keepNext/>
              <w:ind w:left="270"/>
              <w:jc w:val="center"/>
              <w:rPr>
                <w:b/>
              </w:rPr>
            </w:pPr>
            <w:r w:rsidRPr="000E1D6B">
              <w:rPr>
                <w:b/>
              </w:rPr>
              <w:t>Undiscounted 20-year total</w:t>
            </w:r>
          </w:p>
        </w:tc>
        <w:tc>
          <w:tcPr>
            <w:tcW w:w="2185" w:type="dxa"/>
            <w:noWrap/>
            <w:hideMark/>
          </w:tcPr>
          <w:p w:rsidR="008050FA" w:rsidRPr="000E1D6B" w:rsidP="005F6062" w14:paraId="7F493896" w14:textId="77777777">
            <w:pPr>
              <w:keepNext/>
              <w:ind w:left="270"/>
              <w:jc w:val="center"/>
            </w:pPr>
            <w:r w:rsidRPr="00FF70CF">
              <w:t>$</w:t>
            </w:r>
            <w:r w:rsidR="00887A23">
              <w:t>19</w:t>
            </w:r>
            <w:r w:rsidRPr="00FF70CF">
              <w:t>,000,000</w:t>
            </w:r>
          </w:p>
        </w:tc>
        <w:tc>
          <w:tcPr>
            <w:tcW w:w="1687" w:type="dxa"/>
            <w:noWrap/>
            <w:hideMark/>
          </w:tcPr>
          <w:p w:rsidR="008050FA" w:rsidRPr="000E1D6B" w:rsidP="005F6062" w14:paraId="7F493897" w14:textId="77777777">
            <w:pPr>
              <w:keepNext/>
              <w:ind w:left="270"/>
              <w:jc w:val="center"/>
            </w:pPr>
            <w:r>
              <w:t>(</w:t>
            </w:r>
            <w:r w:rsidRPr="00FF70CF">
              <w:t>$2,300,000</w:t>
            </w:r>
            <w:r>
              <w:t>)</w:t>
            </w:r>
          </w:p>
        </w:tc>
        <w:tc>
          <w:tcPr>
            <w:tcW w:w="1766" w:type="dxa"/>
            <w:noWrap/>
            <w:hideMark/>
          </w:tcPr>
          <w:p w:rsidR="008050FA" w:rsidRPr="000E1D6B" w:rsidP="005F6062" w14:paraId="7F493898" w14:textId="77777777">
            <w:pPr>
              <w:keepNext/>
              <w:ind w:left="270"/>
              <w:jc w:val="center"/>
            </w:pPr>
            <w:r w:rsidRPr="00FF70CF">
              <w:t>$</w:t>
            </w:r>
            <w:r w:rsidR="00887A23">
              <w:t>17</w:t>
            </w:r>
            <w:r w:rsidRPr="00FF70CF">
              <w:t xml:space="preserve">,000,000 </w:t>
            </w:r>
          </w:p>
        </w:tc>
      </w:tr>
      <w:tr w14:paraId="7F49389E" w14:textId="77777777" w:rsidTr="008050FA">
        <w:tblPrEx>
          <w:tblW w:w="9413" w:type="dxa"/>
          <w:jc w:val="center"/>
          <w:tblLayout w:type="fixed"/>
          <w:tblLook w:val="04A0"/>
        </w:tblPrEx>
        <w:trPr>
          <w:trHeight w:val="285"/>
          <w:jc w:val="center"/>
        </w:trPr>
        <w:tc>
          <w:tcPr>
            <w:tcW w:w="3775" w:type="dxa"/>
            <w:gridSpan w:val="2"/>
            <w:noWrap/>
            <w:hideMark/>
          </w:tcPr>
          <w:p w:rsidR="008050FA" w:rsidRPr="000E1D6B" w:rsidP="005F6062" w14:paraId="7F49389A" w14:textId="77777777">
            <w:pPr>
              <w:keepNext/>
              <w:ind w:left="270"/>
              <w:jc w:val="center"/>
              <w:rPr>
                <w:b/>
              </w:rPr>
            </w:pPr>
            <w:r w:rsidRPr="000E1D6B">
              <w:rPr>
                <w:b/>
              </w:rPr>
              <w:t>20-year total with 3% discounting</w:t>
            </w:r>
          </w:p>
        </w:tc>
        <w:tc>
          <w:tcPr>
            <w:tcW w:w="2185" w:type="dxa"/>
            <w:noWrap/>
            <w:hideMark/>
          </w:tcPr>
          <w:p w:rsidR="008050FA" w:rsidRPr="000E1D6B" w:rsidP="005F6062" w14:paraId="7F49389B" w14:textId="77777777">
            <w:pPr>
              <w:keepNext/>
              <w:ind w:left="270"/>
              <w:jc w:val="center"/>
            </w:pPr>
            <w:r w:rsidRPr="00FF70CF">
              <w:t>$</w:t>
            </w:r>
            <w:r w:rsidR="008A7E85">
              <w:t>14</w:t>
            </w:r>
            <w:r w:rsidRPr="00FF70CF">
              <w:t>,000,000</w:t>
            </w:r>
          </w:p>
        </w:tc>
        <w:tc>
          <w:tcPr>
            <w:tcW w:w="1687" w:type="dxa"/>
            <w:noWrap/>
            <w:hideMark/>
          </w:tcPr>
          <w:p w:rsidR="008050FA" w:rsidRPr="000E1D6B" w:rsidP="005F6062" w14:paraId="7F49389C" w14:textId="77777777">
            <w:pPr>
              <w:keepNext/>
              <w:ind w:left="270"/>
              <w:jc w:val="center"/>
            </w:pPr>
            <w:r>
              <w:t>(</w:t>
            </w:r>
            <w:r w:rsidRPr="00FF70CF">
              <w:t>$1,</w:t>
            </w:r>
            <w:r w:rsidR="008A7E85">
              <w:t>9</w:t>
            </w:r>
            <w:r w:rsidRPr="00FF70CF" w:rsidR="008A7E85">
              <w:t>00</w:t>
            </w:r>
            <w:r w:rsidRPr="00FF70CF">
              <w:t>,000</w:t>
            </w:r>
            <w:r>
              <w:t>)</w:t>
            </w:r>
          </w:p>
        </w:tc>
        <w:tc>
          <w:tcPr>
            <w:tcW w:w="1766" w:type="dxa"/>
            <w:noWrap/>
            <w:hideMark/>
          </w:tcPr>
          <w:p w:rsidR="008050FA" w:rsidRPr="000E1D6B" w:rsidP="005F6062" w14:paraId="7F49389D" w14:textId="77777777">
            <w:pPr>
              <w:keepNext/>
              <w:ind w:left="270"/>
              <w:jc w:val="center"/>
            </w:pPr>
            <w:r w:rsidRPr="00FF70CF">
              <w:t>$</w:t>
            </w:r>
            <w:r w:rsidR="008A7E85">
              <w:t>12</w:t>
            </w:r>
            <w:r w:rsidRPr="00FF70CF">
              <w:t xml:space="preserve">,000,000 </w:t>
            </w:r>
          </w:p>
        </w:tc>
      </w:tr>
      <w:tr w14:paraId="7F4938A3" w14:textId="77777777" w:rsidTr="008050FA">
        <w:tblPrEx>
          <w:tblW w:w="9413" w:type="dxa"/>
          <w:jc w:val="center"/>
          <w:tblLayout w:type="fixed"/>
          <w:tblLook w:val="04A0"/>
        </w:tblPrEx>
        <w:trPr>
          <w:trHeight w:val="293"/>
          <w:jc w:val="center"/>
        </w:trPr>
        <w:tc>
          <w:tcPr>
            <w:tcW w:w="3775" w:type="dxa"/>
            <w:gridSpan w:val="2"/>
            <w:noWrap/>
            <w:hideMark/>
          </w:tcPr>
          <w:p w:rsidR="008050FA" w:rsidRPr="000E1D6B" w:rsidP="005F6062" w14:paraId="7F49389F" w14:textId="77777777">
            <w:pPr>
              <w:keepNext/>
              <w:ind w:left="270"/>
              <w:jc w:val="center"/>
              <w:rPr>
                <w:b/>
              </w:rPr>
            </w:pPr>
            <w:r w:rsidRPr="000E1D6B">
              <w:rPr>
                <w:b/>
              </w:rPr>
              <w:t>20-year total with 7% discounting</w:t>
            </w:r>
          </w:p>
        </w:tc>
        <w:tc>
          <w:tcPr>
            <w:tcW w:w="2185" w:type="dxa"/>
            <w:noWrap/>
            <w:hideMark/>
          </w:tcPr>
          <w:p w:rsidR="008050FA" w:rsidRPr="000E1D6B" w:rsidP="005F6062" w14:paraId="7F4938A0" w14:textId="77777777">
            <w:pPr>
              <w:keepNext/>
              <w:ind w:left="270"/>
              <w:jc w:val="center"/>
            </w:pPr>
            <w:r w:rsidRPr="00FF70CF">
              <w:t>$</w:t>
            </w:r>
            <w:r w:rsidRPr="00FF70CF" w:rsidR="00BC08B6">
              <w:t>1</w:t>
            </w:r>
            <w:r w:rsidR="00DB02BD">
              <w:t>0</w:t>
            </w:r>
            <w:r w:rsidRPr="00FF70CF">
              <w:t>,000,000</w:t>
            </w:r>
          </w:p>
        </w:tc>
        <w:tc>
          <w:tcPr>
            <w:tcW w:w="1687" w:type="dxa"/>
            <w:noWrap/>
            <w:hideMark/>
          </w:tcPr>
          <w:p w:rsidR="008050FA" w:rsidRPr="000E1D6B" w:rsidP="005F6062" w14:paraId="7F4938A1" w14:textId="77777777">
            <w:pPr>
              <w:keepNext/>
              <w:ind w:left="270"/>
              <w:jc w:val="center"/>
            </w:pPr>
            <w:r>
              <w:t>(</w:t>
            </w:r>
            <w:r w:rsidRPr="00FF70CF">
              <w:t>$1,</w:t>
            </w:r>
            <w:r w:rsidR="00DB02BD">
              <w:t>6</w:t>
            </w:r>
            <w:r w:rsidRPr="00FF70CF" w:rsidR="00BC08B6">
              <w:t>00</w:t>
            </w:r>
            <w:r w:rsidRPr="00FF70CF">
              <w:t>,000</w:t>
            </w:r>
            <w:r>
              <w:t>)</w:t>
            </w:r>
          </w:p>
        </w:tc>
        <w:tc>
          <w:tcPr>
            <w:tcW w:w="1766" w:type="dxa"/>
            <w:noWrap/>
            <w:hideMark/>
          </w:tcPr>
          <w:p w:rsidR="008050FA" w:rsidRPr="000E1D6B" w:rsidP="005F6062" w14:paraId="7F4938A2" w14:textId="77777777">
            <w:pPr>
              <w:keepNext/>
              <w:ind w:left="270"/>
              <w:jc w:val="center"/>
            </w:pPr>
            <w:r w:rsidRPr="00FF70CF">
              <w:t>$</w:t>
            </w:r>
            <w:r w:rsidR="00DB02BD">
              <w:t>8,4</w:t>
            </w:r>
            <w:r w:rsidRPr="00FF70CF">
              <w:t xml:space="preserve">00,000 </w:t>
            </w:r>
          </w:p>
        </w:tc>
      </w:tr>
      <w:tr w14:paraId="7F4938A8" w14:textId="77777777" w:rsidTr="008050FA">
        <w:tblPrEx>
          <w:tblW w:w="9413" w:type="dxa"/>
          <w:jc w:val="center"/>
          <w:tblLayout w:type="fixed"/>
          <w:tblLook w:val="04A0"/>
        </w:tblPrEx>
        <w:trPr>
          <w:trHeight w:val="293"/>
          <w:jc w:val="center"/>
        </w:trPr>
        <w:tc>
          <w:tcPr>
            <w:tcW w:w="3775" w:type="dxa"/>
            <w:gridSpan w:val="2"/>
            <w:noWrap/>
            <w:hideMark/>
          </w:tcPr>
          <w:p w:rsidR="008050FA" w:rsidRPr="000E1D6B" w:rsidP="005F6062" w14:paraId="7F4938A4" w14:textId="77777777">
            <w:pPr>
              <w:keepNext/>
              <w:ind w:left="270"/>
              <w:jc w:val="center"/>
              <w:rPr>
                <w:b/>
              </w:rPr>
            </w:pPr>
            <w:r w:rsidRPr="000E1D6B">
              <w:rPr>
                <w:b/>
              </w:rPr>
              <w:t xml:space="preserve">20-year </w:t>
            </w:r>
            <w:r w:rsidRPr="00D839EE">
              <w:rPr>
                <w:rFonts w:cs="Arial"/>
                <w:b/>
                <w:bCs/>
              </w:rPr>
              <w:t>Average</w:t>
            </w:r>
          </w:p>
        </w:tc>
        <w:tc>
          <w:tcPr>
            <w:tcW w:w="2185" w:type="dxa"/>
            <w:noWrap/>
            <w:hideMark/>
          </w:tcPr>
          <w:p w:rsidR="008050FA" w:rsidRPr="000E1D6B" w:rsidP="005F6062" w14:paraId="7F4938A5" w14:textId="77777777">
            <w:pPr>
              <w:keepNext/>
              <w:ind w:left="270"/>
              <w:jc w:val="center"/>
            </w:pPr>
            <w:r w:rsidRPr="00FF70CF">
              <w:t>$</w:t>
            </w:r>
            <w:r w:rsidR="00DB02BD">
              <w:t>970</w:t>
            </w:r>
            <w:r w:rsidRPr="00FF70CF">
              <w:t>,000</w:t>
            </w:r>
          </w:p>
        </w:tc>
        <w:tc>
          <w:tcPr>
            <w:tcW w:w="1687" w:type="dxa"/>
            <w:noWrap/>
            <w:hideMark/>
          </w:tcPr>
          <w:p w:rsidR="008050FA" w:rsidRPr="000E1D6B" w:rsidP="005F6062" w14:paraId="7F4938A6" w14:textId="77777777">
            <w:pPr>
              <w:keepNext/>
              <w:ind w:left="270"/>
              <w:jc w:val="center"/>
            </w:pPr>
            <w:r>
              <w:t>(</w:t>
            </w:r>
            <w:r w:rsidRPr="00FF70CF">
              <w:t>$</w:t>
            </w:r>
            <w:r w:rsidRPr="00FF70CF" w:rsidR="00DB02BD">
              <w:t>1</w:t>
            </w:r>
            <w:r w:rsidR="00DB02BD">
              <w:t>2</w:t>
            </w:r>
            <w:r w:rsidRPr="00FF70CF" w:rsidR="00DB02BD">
              <w:t>0</w:t>
            </w:r>
            <w:r w:rsidRPr="00FF70CF">
              <w:t>,000</w:t>
            </w:r>
            <w:r>
              <w:t>)</w:t>
            </w:r>
          </w:p>
        </w:tc>
        <w:tc>
          <w:tcPr>
            <w:tcW w:w="1766" w:type="dxa"/>
            <w:noWrap/>
            <w:hideMark/>
          </w:tcPr>
          <w:p w:rsidR="008050FA" w:rsidRPr="000E1D6B" w:rsidP="005F6062" w14:paraId="7F4938A7" w14:textId="77777777">
            <w:pPr>
              <w:keepNext/>
              <w:ind w:left="270"/>
              <w:jc w:val="center"/>
            </w:pPr>
            <w:r w:rsidRPr="00FF70CF">
              <w:t>$</w:t>
            </w:r>
            <w:r w:rsidR="00DB02BD">
              <w:t>850</w:t>
            </w:r>
            <w:r w:rsidRPr="00FF70CF">
              <w:t xml:space="preserve">,000 </w:t>
            </w:r>
          </w:p>
        </w:tc>
      </w:tr>
      <w:tr w14:paraId="7F4938AD" w14:textId="77777777" w:rsidTr="008050FA">
        <w:tblPrEx>
          <w:tblW w:w="9413" w:type="dxa"/>
          <w:jc w:val="center"/>
          <w:tblLayout w:type="fixed"/>
          <w:tblLook w:val="04A0"/>
        </w:tblPrEx>
        <w:trPr>
          <w:trHeight w:val="285"/>
          <w:jc w:val="center"/>
        </w:trPr>
        <w:tc>
          <w:tcPr>
            <w:tcW w:w="3775" w:type="dxa"/>
            <w:gridSpan w:val="2"/>
            <w:noWrap/>
            <w:hideMark/>
          </w:tcPr>
          <w:p w:rsidR="008050FA" w:rsidRPr="000E1D6B" w:rsidP="005F6062" w14:paraId="7F4938A9" w14:textId="77777777">
            <w:pPr>
              <w:keepNext/>
              <w:ind w:left="270"/>
              <w:jc w:val="center"/>
              <w:rPr>
                <w:b/>
              </w:rPr>
            </w:pPr>
            <w:r w:rsidRPr="000E1D6B">
              <w:rPr>
                <w:b/>
              </w:rPr>
              <w:t>Annualized with 3% discounting</w:t>
            </w:r>
          </w:p>
        </w:tc>
        <w:tc>
          <w:tcPr>
            <w:tcW w:w="2185" w:type="dxa"/>
            <w:noWrap/>
            <w:hideMark/>
          </w:tcPr>
          <w:p w:rsidR="008050FA" w:rsidRPr="000E1D6B" w:rsidP="005F6062" w14:paraId="7F4938AA" w14:textId="77777777">
            <w:pPr>
              <w:keepNext/>
              <w:ind w:left="270"/>
              <w:jc w:val="center"/>
            </w:pPr>
            <w:r w:rsidRPr="00FF70CF">
              <w:t>$</w:t>
            </w:r>
            <w:r w:rsidR="00F543B8">
              <w:t>970</w:t>
            </w:r>
            <w:r w:rsidRPr="00FF70CF">
              <w:t>,000</w:t>
            </w:r>
          </w:p>
        </w:tc>
        <w:tc>
          <w:tcPr>
            <w:tcW w:w="1687" w:type="dxa"/>
            <w:noWrap/>
            <w:hideMark/>
          </w:tcPr>
          <w:p w:rsidR="008050FA" w:rsidRPr="000E1D6B" w:rsidP="005F6062" w14:paraId="7F4938AB" w14:textId="77777777">
            <w:pPr>
              <w:keepNext/>
              <w:ind w:left="270"/>
              <w:jc w:val="center"/>
            </w:pPr>
            <w:r>
              <w:t>(</w:t>
            </w:r>
            <w:r w:rsidRPr="00FF70CF">
              <w:t>$</w:t>
            </w:r>
            <w:r w:rsidRPr="00FF70CF" w:rsidR="00F543B8">
              <w:t>1</w:t>
            </w:r>
            <w:r w:rsidR="00F543B8">
              <w:t>3</w:t>
            </w:r>
            <w:r w:rsidRPr="00FF70CF" w:rsidR="00F543B8">
              <w:t>0</w:t>
            </w:r>
            <w:r w:rsidRPr="00FF70CF">
              <w:t>,000</w:t>
            </w:r>
            <w:r>
              <w:t>)</w:t>
            </w:r>
          </w:p>
        </w:tc>
        <w:tc>
          <w:tcPr>
            <w:tcW w:w="1766" w:type="dxa"/>
            <w:noWrap/>
            <w:hideMark/>
          </w:tcPr>
          <w:p w:rsidR="008050FA" w:rsidRPr="000E1D6B" w:rsidP="005F6062" w14:paraId="7F4938AC" w14:textId="77777777">
            <w:pPr>
              <w:keepNext/>
              <w:ind w:left="270"/>
              <w:jc w:val="center"/>
            </w:pPr>
            <w:r w:rsidRPr="00FF70CF">
              <w:t>$</w:t>
            </w:r>
            <w:r w:rsidR="00F543B8">
              <w:t>840</w:t>
            </w:r>
            <w:r w:rsidRPr="00FF70CF">
              <w:t xml:space="preserve">,000 </w:t>
            </w:r>
          </w:p>
        </w:tc>
      </w:tr>
      <w:tr w14:paraId="7F4938B2" w14:textId="77777777" w:rsidTr="008050FA">
        <w:tblPrEx>
          <w:tblW w:w="9413" w:type="dxa"/>
          <w:jc w:val="center"/>
          <w:tblLayout w:type="fixed"/>
          <w:tblLook w:val="04A0"/>
        </w:tblPrEx>
        <w:trPr>
          <w:trHeight w:val="293"/>
          <w:jc w:val="center"/>
        </w:trPr>
        <w:tc>
          <w:tcPr>
            <w:tcW w:w="3775" w:type="dxa"/>
            <w:gridSpan w:val="2"/>
            <w:noWrap/>
            <w:hideMark/>
          </w:tcPr>
          <w:p w:rsidR="008050FA" w:rsidRPr="000E1D6B" w:rsidP="005F6062" w14:paraId="7F4938AE" w14:textId="77777777">
            <w:pPr>
              <w:keepNext/>
              <w:ind w:left="270"/>
              <w:jc w:val="center"/>
              <w:rPr>
                <w:b/>
              </w:rPr>
            </w:pPr>
            <w:r w:rsidRPr="000E1D6B">
              <w:rPr>
                <w:b/>
              </w:rPr>
              <w:t>Annualized with 7% discounting</w:t>
            </w:r>
          </w:p>
        </w:tc>
        <w:tc>
          <w:tcPr>
            <w:tcW w:w="2185" w:type="dxa"/>
            <w:noWrap/>
            <w:hideMark/>
          </w:tcPr>
          <w:p w:rsidR="008050FA" w:rsidRPr="000E1D6B" w:rsidP="005F6062" w14:paraId="7F4938AF" w14:textId="77777777">
            <w:pPr>
              <w:keepNext/>
              <w:ind w:left="270"/>
              <w:jc w:val="center"/>
            </w:pPr>
            <w:r w:rsidRPr="00FF70CF">
              <w:t>$</w:t>
            </w:r>
            <w:r w:rsidR="00F543B8">
              <w:t>940</w:t>
            </w:r>
            <w:r w:rsidRPr="00FF70CF">
              <w:t>,000</w:t>
            </w:r>
          </w:p>
        </w:tc>
        <w:tc>
          <w:tcPr>
            <w:tcW w:w="1687" w:type="dxa"/>
            <w:noWrap/>
            <w:hideMark/>
          </w:tcPr>
          <w:p w:rsidR="008050FA" w:rsidRPr="000E1D6B" w:rsidP="005F6062" w14:paraId="7F4938B0" w14:textId="77777777">
            <w:pPr>
              <w:keepNext/>
              <w:ind w:left="270"/>
              <w:jc w:val="center"/>
            </w:pPr>
            <w:r>
              <w:t>(</w:t>
            </w:r>
            <w:r w:rsidRPr="00FF70CF">
              <w:t>$</w:t>
            </w:r>
            <w:r w:rsidRPr="00FF70CF" w:rsidR="00F543B8">
              <w:t>1</w:t>
            </w:r>
            <w:r w:rsidR="00F543B8">
              <w:t>5</w:t>
            </w:r>
            <w:r w:rsidRPr="00FF70CF" w:rsidR="00F543B8">
              <w:t>0</w:t>
            </w:r>
            <w:r w:rsidRPr="00FF70CF">
              <w:t>,000</w:t>
            </w:r>
            <w:r>
              <w:t>)</w:t>
            </w:r>
          </w:p>
        </w:tc>
        <w:tc>
          <w:tcPr>
            <w:tcW w:w="1766" w:type="dxa"/>
            <w:noWrap/>
            <w:hideMark/>
          </w:tcPr>
          <w:p w:rsidR="008050FA" w:rsidRPr="000E1D6B" w:rsidP="005F6062" w14:paraId="7F4938B1" w14:textId="77777777">
            <w:pPr>
              <w:keepNext/>
              <w:ind w:left="270"/>
              <w:jc w:val="center"/>
            </w:pPr>
            <w:r w:rsidRPr="00FF70CF">
              <w:t>$</w:t>
            </w:r>
            <w:r w:rsidR="00F543B8">
              <w:t>80</w:t>
            </w:r>
            <w:r w:rsidRPr="00FF70CF" w:rsidR="00F543B8">
              <w:t>0</w:t>
            </w:r>
            <w:r w:rsidRPr="00FF70CF">
              <w:t xml:space="preserve">,000 </w:t>
            </w:r>
          </w:p>
        </w:tc>
      </w:tr>
    </w:tbl>
    <w:p w:rsidR="008102FB" w:rsidRPr="00D839EE" w:rsidP="005F6062" w14:paraId="7F4938B3" w14:textId="77777777">
      <w:pPr>
        <w:keepNext/>
        <w:rPr>
          <w:rFonts w:cs="Arial"/>
          <w:iCs/>
          <w:sz w:val="18"/>
          <w:szCs w:val="18"/>
        </w:rPr>
      </w:pPr>
      <w:r w:rsidRPr="00D839EE">
        <w:rPr>
          <w:rFonts w:cs="Arial"/>
          <w:sz w:val="18"/>
          <w:szCs w:val="18"/>
        </w:rPr>
        <w:t xml:space="preserve">The following formula was used to calculate discounted annualized costs and benefits (where r is the discount rate and n is the number of years </w:t>
      </w:r>
      <w:r w:rsidR="007E6E02">
        <w:rPr>
          <w:rFonts w:cs="Arial"/>
          <w:sz w:val="18"/>
          <w:szCs w:val="18"/>
        </w:rPr>
        <w:t>(</w:t>
      </w:r>
      <w:r w:rsidR="00F0709E">
        <w:rPr>
          <w:rFonts w:cs="Arial"/>
          <w:sz w:val="18"/>
          <w:szCs w:val="18"/>
        </w:rPr>
        <w:t xml:space="preserve">i.e., </w:t>
      </w:r>
      <w:r w:rsidRPr="00D839EE">
        <w:rPr>
          <w:rFonts w:cs="Arial"/>
          <w:sz w:val="18"/>
          <w:szCs w:val="18"/>
        </w:rPr>
        <w:t>20</w:t>
      </w:r>
      <w:r w:rsidR="00F0709E">
        <w:rPr>
          <w:rFonts w:cs="Arial"/>
          <w:sz w:val="18"/>
          <w:szCs w:val="18"/>
        </w:rPr>
        <w:t xml:space="preserve"> years</w:t>
      </w:r>
      <w:r w:rsidR="00743DD8">
        <w:rPr>
          <w:rFonts w:cs="Arial"/>
          <w:sz w:val="18"/>
          <w:szCs w:val="18"/>
        </w:rPr>
        <w:t>)</w:t>
      </w:r>
      <w:r w:rsidRPr="00D839EE">
        <w:rPr>
          <w:rFonts w:cs="Arial"/>
          <w:sz w:val="18"/>
          <w:szCs w:val="18"/>
        </w:rPr>
        <w:t xml:space="preserve">): </w:t>
      </w:r>
      <m:oMath>
        <m:r>
          <w:rPr>
            <w:rFonts w:ascii="Cambria Math" w:hAnsi="Cambria Math" w:cs="Arial"/>
          </w:rPr>
          <m:t xml:space="preserve"> </m:t>
        </m:r>
        <m:r>
          <w:rPr>
            <w:rFonts w:ascii="Cambria Math" w:hAnsi="Cambria Math" w:cs="Arial"/>
            <w:sz w:val="18"/>
            <w:szCs w:val="18"/>
          </w:rPr>
          <m:t>Annualized Cost=Present Value Cost∙</m:t>
        </m:r>
        <m:f>
          <m:fPr>
            <m:ctrlPr>
              <w:rPr>
                <w:rFonts w:ascii="Cambria Math" w:hAnsi="Cambria Math" w:cs="Arial"/>
                <w:i/>
                <w:iCs/>
                <w:sz w:val="18"/>
                <w:szCs w:val="18"/>
              </w:rPr>
            </m:ctrlPr>
          </m:fPr>
          <m:num>
            <m:r>
              <w:rPr>
                <w:rFonts w:ascii="Cambria Math" w:hAnsi="Cambria Math" w:cs="Arial"/>
                <w:sz w:val="18"/>
                <w:szCs w:val="18"/>
              </w:rPr>
              <m:t>r∙</m:t>
            </m:r>
            <m:sSup>
              <m:sSupPr>
                <m:ctrlPr>
                  <w:rPr>
                    <w:rFonts w:ascii="Cambria Math" w:hAnsi="Cambria Math" w:cs="Arial"/>
                    <w:i/>
                    <w:iCs/>
                    <w:sz w:val="18"/>
                    <w:szCs w:val="18"/>
                  </w:rPr>
                </m:ctrlPr>
              </m:sSupPr>
              <m:e>
                <m:d>
                  <m:dPr>
                    <m:ctrlPr>
                      <w:rPr>
                        <w:rFonts w:ascii="Cambria Math" w:hAnsi="Cambria Math" w:cs="Arial"/>
                        <w:i/>
                        <w:iCs/>
                        <w:sz w:val="18"/>
                        <w:szCs w:val="18"/>
                      </w:rPr>
                    </m:ctrlPr>
                  </m:dPr>
                  <m:e>
                    <m:r>
                      <w:rPr>
                        <w:rFonts w:ascii="Cambria Math" w:hAnsi="Cambria Math" w:cs="Arial"/>
                        <w:sz w:val="18"/>
                        <w:szCs w:val="18"/>
                      </w:rPr>
                      <m:t>1+r</m:t>
                    </m:r>
                  </m:e>
                </m:d>
              </m:e>
              <m:sup>
                <m:r>
                  <w:rPr>
                    <w:rFonts w:ascii="Cambria Math" w:hAnsi="Cambria Math" w:cs="Arial"/>
                    <w:sz w:val="18"/>
                    <w:szCs w:val="18"/>
                  </w:rPr>
                  <m:t>n</m:t>
                </m:r>
              </m:sup>
            </m:sSup>
          </m:num>
          <m:den>
            <m:sSup>
              <m:sSupPr>
                <m:ctrlPr>
                  <w:rPr>
                    <w:rFonts w:ascii="Cambria Math" w:hAnsi="Cambria Math" w:cs="Arial"/>
                    <w:i/>
                    <w:iCs/>
                    <w:sz w:val="18"/>
                    <w:szCs w:val="18"/>
                  </w:rPr>
                </m:ctrlPr>
              </m:sSupPr>
              <m:e>
                <m:r>
                  <w:rPr>
                    <w:rFonts w:ascii="Cambria Math" w:hAnsi="Cambria Math" w:cs="Arial"/>
                    <w:sz w:val="18"/>
                    <w:szCs w:val="18"/>
                  </w:rPr>
                  <m:t>(1+r)</m:t>
                </m:r>
              </m:e>
              <m:sup>
                <m:r>
                  <w:rPr>
                    <w:rFonts w:ascii="Cambria Math" w:hAnsi="Cambria Math" w:cs="Arial"/>
                    <w:sz w:val="18"/>
                    <w:szCs w:val="18"/>
                  </w:rPr>
                  <m:t>n</m:t>
                </m:r>
              </m:sup>
            </m:sSup>
            <m:r>
              <w:rPr>
                <w:rFonts w:ascii="Cambria Math" w:hAnsi="Cambria Math" w:cs="Arial"/>
                <w:sz w:val="18"/>
                <w:szCs w:val="18"/>
              </w:rPr>
              <m:t>-1</m:t>
            </m:r>
          </m:den>
        </m:f>
      </m:oMath>
      <w:r w:rsidRPr="00D839EE">
        <w:rPr>
          <w:rFonts w:cs="Arial"/>
          <w:iCs/>
          <w:sz w:val="18"/>
          <w:szCs w:val="18"/>
        </w:rPr>
        <w:t xml:space="preserve"> .</w:t>
      </w:r>
    </w:p>
    <w:p w:rsidR="00BA2FD6" w:rsidRPr="00D839EE" w:rsidP="005F6062" w14:paraId="7F4938B4" w14:textId="77777777">
      <w:pPr>
        <w:keepNext/>
        <w:rPr>
          <w:rFonts w:cs="Arial"/>
          <w:sz w:val="18"/>
        </w:rPr>
      </w:pPr>
      <w:r w:rsidRPr="00D839EE">
        <w:rPr>
          <w:rFonts w:cs="Arial"/>
          <w:sz w:val="18"/>
        </w:rPr>
        <w:t>Note that the annualized cost estimates at 3 percent and 7 percent are higher than the undiscounted yearly average cost estimate because the annualized cost formula described above</w:t>
      </w:r>
      <w:r w:rsidRPr="00D839EE" w:rsidR="001C35B4">
        <w:rPr>
          <w:rFonts w:cs="Arial"/>
          <w:sz w:val="18"/>
        </w:rPr>
        <w:t xml:space="preserve"> </w:t>
      </w:r>
      <w:r w:rsidRPr="00D839EE">
        <w:rPr>
          <w:rFonts w:cs="Arial"/>
          <w:sz w:val="18"/>
        </w:rPr>
        <w:t>accounts for both the number of periods (20</w:t>
      </w:r>
      <w:r w:rsidR="00743DD8">
        <w:rPr>
          <w:rFonts w:cs="Arial"/>
          <w:sz w:val="18"/>
        </w:rPr>
        <w:t> </w:t>
      </w:r>
      <w:r w:rsidRPr="00D839EE">
        <w:rPr>
          <w:rFonts w:cs="Arial"/>
          <w:sz w:val="18"/>
        </w:rPr>
        <w:t xml:space="preserve">years) and the discount rate, which together in this formula serve as a growth rate. </w:t>
      </w:r>
    </w:p>
    <w:p w:rsidR="00BF5AC4" w:rsidRPr="00D839EE" w:rsidP="000E1D6B" w14:paraId="7F4938B5" w14:textId="77777777">
      <w:pPr>
        <w:rPr>
          <w:rFonts w:cs="Arial"/>
          <w:sz w:val="18"/>
        </w:rPr>
      </w:pPr>
      <w:r w:rsidRPr="00D839EE">
        <w:rPr>
          <w:rFonts w:cs="Arial"/>
          <w:sz w:val="18"/>
        </w:rPr>
        <w:t xml:space="preserve">Totals may not </w:t>
      </w:r>
      <w:r w:rsidR="00E54C1E">
        <w:rPr>
          <w:rFonts w:cs="Arial"/>
          <w:sz w:val="18"/>
        </w:rPr>
        <w:t>match</w:t>
      </w:r>
      <w:r w:rsidRPr="00D839EE" w:rsidR="00E54C1E">
        <w:rPr>
          <w:rFonts w:cs="Arial"/>
          <w:sz w:val="18"/>
        </w:rPr>
        <w:t xml:space="preserve"> </w:t>
      </w:r>
      <w:r w:rsidRPr="00D839EE">
        <w:rPr>
          <w:rFonts w:cs="Arial"/>
          <w:sz w:val="18"/>
        </w:rPr>
        <w:t>due to rounding.</w:t>
      </w:r>
    </w:p>
    <w:p w:rsidR="008102FB" w:rsidRPr="00D839EE" w:rsidP="00BF5AC4" w14:paraId="7F4938B6" w14:textId="77777777">
      <w:pPr>
        <w:ind w:left="900"/>
        <w:rPr>
          <w:rFonts w:cs="Arial"/>
          <w:sz w:val="18"/>
        </w:rPr>
      </w:pPr>
    </w:p>
    <w:p w:rsidR="000D562F" w:rsidP="00DF41C8" w14:paraId="7F4938B7" w14:textId="77777777">
      <w:pPr>
        <w:rPr>
          <w:rFonts w:cs="Arial"/>
          <w:sz w:val="22"/>
          <w:szCs w:val="22"/>
        </w:rPr>
      </w:pPr>
      <w:r w:rsidRPr="00D839EE">
        <w:rPr>
          <w:rFonts w:cs="Arial"/>
          <w:sz w:val="22"/>
          <w:szCs w:val="22"/>
        </w:rPr>
        <w:t xml:space="preserve">The facilities in </w:t>
      </w:r>
      <w:r>
        <w:rPr>
          <w:rFonts w:cs="Arial"/>
          <w:sz w:val="22"/>
          <w:szCs w:val="22"/>
        </w:rPr>
        <w:t xml:space="preserve">Group 3 (Aerotest, </w:t>
      </w:r>
      <w:r w:rsidR="002D752E">
        <w:rPr>
          <w:rFonts w:cs="Arial"/>
          <w:sz w:val="22"/>
          <w:szCs w:val="22"/>
        </w:rPr>
        <w:t>GE-Hitachi, TAMU (</w:t>
      </w:r>
      <w:r w:rsidR="00984FE2">
        <w:rPr>
          <w:rFonts w:cs="Arial"/>
          <w:sz w:val="22"/>
          <w:szCs w:val="22"/>
        </w:rPr>
        <w:t>A</w:t>
      </w:r>
      <w:r w:rsidR="002D752E">
        <w:rPr>
          <w:rFonts w:cs="Arial"/>
          <w:sz w:val="22"/>
          <w:szCs w:val="22"/>
        </w:rPr>
        <w:t xml:space="preserve">), and </w:t>
      </w:r>
      <w:r>
        <w:rPr>
          <w:rFonts w:cs="Arial"/>
          <w:sz w:val="22"/>
          <w:szCs w:val="22"/>
        </w:rPr>
        <w:t>UC</w:t>
      </w:r>
      <w:r w:rsidR="00DA6F7A">
        <w:rPr>
          <w:rFonts w:cs="Arial"/>
          <w:sz w:val="22"/>
          <w:szCs w:val="22"/>
        </w:rPr>
        <w:t>/</w:t>
      </w:r>
      <w:r>
        <w:rPr>
          <w:rFonts w:cs="Arial"/>
          <w:sz w:val="22"/>
          <w:szCs w:val="22"/>
        </w:rPr>
        <w:t xml:space="preserve">Davis) </w:t>
      </w:r>
      <w:r w:rsidR="008C0701">
        <w:rPr>
          <w:rFonts w:cs="Arial"/>
          <w:sz w:val="22"/>
          <w:szCs w:val="22"/>
        </w:rPr>
        <w:t>will be required to renew their facility operating licenses using the ISG and NUREG-1537 as part of receiving a non</w:t>
      </w:r>
      <w:r w:rsidR="00A56CAF">
        <w:rPr>
          <w:rFonts w:cs="Arial"/>
          <w:sz w:val="22"/>
          <w:szCs w:val="22"/>
        </w:rPr>
        <w:t>-</w:t>
      </w:r>
      <w:r w:rsidR="008C0701">
        <w:rPr>
          <w:rFonts w:cs="Arial"/>
          <w:sz w:val="22"/>
          <w:szCs w:val="22"/>
        </w:rPr>
        <w:t>expiring license</w:t>
      </w:r>
      <w:r>
        <w:rPr>
          <w:rFonts w:cs="Arial"/>
          <w:sz w:val="22"/>
          <w:szCs w:val="22"/>
        </w:rPr>
        <w:t>.  Aerotest and UC</w:t>
      </w:r>
      <w:r w:rsidR="00DA6F7A">
        <w:rPr>
          <w:rFonts w:cs="Arial"/>
          <w:sz w:val="22"/>
          <w:szCs w:val="22"/>
        </w:rPr>
        <w:t>/</w:t>
      </w:r>
      <w:r>
        <w:rPr>
          <w:rFonts w:cs="Arial"/>
          <w:sz w:val="22"/>
          <w:szCs w:val="22"/>
        </w:rPr>
        <w:t>Davis are expected to undergo license renewal in 2020</w:t>
      </w:r>
      <w:r w:rsidR="00B93B53">
        <w:rPr>
          <w:rFonts w:cs="Arial"/>
          <w:sz w:val="22"/>
          <w:szCs w:val="22"/>
        </w:rPr>
        <w:t>,</w:t>
      </w:r>
      <w:r>
        <w:rPr>
          <w:rFonts w:cs="Arial"/>
          <w:sz w:val="22"/>
          <w:szCs w:val="22"/>
        </w:rPr>
        <w:t xml:space="preserve"> </w:t>
      </w:r>
      <w:r w:rsidR="00EB4D09">
        <w:rPr>
          <w:rFonts w:cs="Arial"/>
          <w:sz w:val="22"/>
          <w:szCs w:val="22"/>
        </w:rPr>
        <w:t>TAMU (A) in</w:t>
      </w:r>
      <w:r>
        <w:rPr>
          <w:rFonts w:cs="Arial"/>
          <w:sz w:val="22"/>
          <w:szCs w:val="22"/>
        </w:rPr>
        <w:t xml:space="preserve"> 2021</w:t>
      </w:r>
      <w:r w:rsidR="00B93B53">
        <w:rPr>
          <w:rFonts w:cs="Arial"/>
          <w:sz w:val="22"/>
          <w:szCs w:val="22"/>
        </w:rPr>
        <w:t xml:space="preserve">, </w:t>
      </w:r>
      <w:r w:rsidR="00EB4D09">
        <w:rPr>
          <w:rFonts w:cs="Arial"/>
          <w:sz w:val="22"/>
          <w:szCs w:val="22"/>
        </w:rPr>
        <w:t>and GE-Hitachi, in 2023</w:t>
      </w:r>
      <w:r>
        <w:rPr>
          <w:rFonts w:cs="Arial"/>
          <w:sz w:val="22"/>
          <w:szCs w:val="22"/>
        </w:rPr>
        <w:t xml:space="preserve">.  </w:t>
      </w:r>
      <w:r w:rsidR="00A56CAF">
        <w:rPr>
          <w:rFonts w:cs="Arial"/>
          <w:sz w:val="22"/>
          <w:szCs w:val="22"/>
        </w:rPr>
        <w:t xml:space="preserve">Group 3 specific costs and averted costs are presented in </w:t>
      </w:r>
      <w:r w:rsidR="009D66E4">
        <w:rPr>
          <w:rFonts w:cs="Arial"/>
          <w:sz w:val="22"/>
          <w:szCs w:val="22"/>
        </w:rPr>
        <w:t xml:space="preserve">Sections 3.3 and </w:t>
      </w:r>
      <w:r w:rsidR="00A56CAF">
        <w:rPr>
          <w:rFonts w:cs="Arial"/>
          <w:sz w:val="22"/>
          <w:szCs w:val="22"/>
        </w:rPr>
        <w:t xml:space="preserve">Section </w:t>
      </w:r>
      <w:r w:rsidR="009D66E4">
        <w:rPr>
          <w:rFonts w:cs="Arial"/>
          <w:sz w:val="22"/>
          <w:szCs w:val="22"/>
        </w:rPr>
        <w:t>3.4</w:t>
      </w:r>
      <w:r w:rsidR="00A56CAF">
        <w:rPr>
          <w:rFonts w:cs="Arial"/>
          <w:sz w:val="22"/>
          <w:szCs w:val="22"/>
        </w:rPr>
        <w:t>.</w:t>
      </w:r>
      <w:r w:rsidR="009D66E4">
        <w:rPr>
          <w:rFonts w:cs="Arial"/>
          <w:sz w:val="22"/>
          <w:szCs w:val="22"/>
        </w:rPr>
        <w:t xml:space="preserve"> </w:t>
      </w:r>
    </w:p>
    <w:p w:rsidR="000D562F" w:rsidP="00DF41C8" w14:paraId="7F4938B8" w14:textId="77777777">
      <w:pPr>
        <w:rPr>
          <w:rFonts w:cs="Arial"/>
          <w:sz w:val="22"/>
          <w:szCs w:val="22"/>
        </w:rPr>
      </w:pPr>
    </w:p>
    <w:p w:rsidR="00A10576" w:rsidRPr="008D1A70" w:rsidP="00C83766" w14:paraId="7F4938B9" w14:textId="130ED6A7">
      <w:pPr>
        <w:rPr>
          <w:rFonts w:cs="Arial"/>
          <w:sz w:val="22"/>
          <w:szCs w:val="22"/>
        </w:rPr>
      </w:pPr>
      <w:r w:rsidRPr="00D839EE">
        <w:rPr>
          <w:rFonts w:cs="Arial"/>
          <w:sz w:val="22"/>
          <w:szCs w:val="22"/>
        </w:rPr>
        <w:t xml:space="preserve">The facilities in </w:t>
      </w:r>
      <w:r w:rsidR="00460B31">
        <w:rPr>
          <w:rFonts w:cs="Arial"/>
          <w:sz w:val="22"/>
          <w:szCs w:val="22"/>
        </w:rPr>
        <w:t>Group 4 (</w:t>
      </w:r>
      <w:r w:rsidR="000316C1">
        <w:rPr>
          <w:rFonts w:cs="Arial"/>
          <w:sz w:val="22"/>
          <w:szCs w:val="22"/>
        </w:rPr>
        <w:t xml:space="preserve">SHINE, </w:t>
      </w:r>
      <w:r w:rsidR="00460B31">
        <w:rPr>
          <w:rFonts w:cs="Arial"/>
          <w:sz w:val="22"/>
          <w:szCs w:val="22"/>
        </w:rPr>
        <w:t>NWMI</w:t>
      </w:r>
      <w:r w:rsidR="00DF41C8">
        <w:rPr>
          <w:rFonts w:cs="Arial"/>
          <w:sz w:val="22"/>
          <w:szCs w:val="22"/>
        </w:rPr>
        <w:t>, and NIST</w:t>
      </w:r>
      <w:r w:rsidR="00460B31">
        <w:rPr>
          <w:rFonts w:cs="Arial"/>
          <w:sz w:val="22"/>
          <w:szCs w:val="22"/>
        </w:rPr>
        <w:t>)</w:t>
      </w:r>
      <w:r w:rsidRPr="00D839EE">
        <w:rPr>
          <w:rFonts w:cs="Arial"/>
          <w:sz w:val="22"/>
          <w:szCs w:val="22"/>
        </w:rPr>
        <w:t xml:space="preserve"> are </w:t>
      </w:r>
      <w:r w:rsidR="008C0701">
        <w:rPr>
          <w:rFonts w:cs="Arial"/>
          <w:sz w:val="22"/>
          <w:szCs w:val="22"/>
        </w:rPr>
        <w:t>s</w:t>
      </w:r>
      <w:r w:rsidRPr="00D839EE">
        <w:rPr>
          <w:rFonts w:cs="Arial"/>
          <w:sz w:val="22"/>
          <w:szCs w:val="22"/>
        </w:rPr>
        <w:t xml:space="preserve">ubject </w:t>
      </w:r>
      <w:r w:rsidRPr="00D839EE" w:rsidR="009217F6">
        <w:rPr>
          <w:rFonts w:cs="Arial"/>
          <w:sz w:val="22"/>
          <w:szCs w:val="22"/>
        </w:rPr>
        <w:t xml:space="preserve">to </w:t>
      </w:r>
      <w:r w:rsidRPr="00D839EE" w:rsidR="00BF5AC4">
        <w:rPr>
          <w:rFonts w:cs="Arial"/>
          <w:sz w:val="22"/>
          <w:szCs w:val="22"/>
        </w:rPr>
        <w:t>the license renewal proc</w:t>
      </w:r>
      <w:r w:rsidR="00334211">
        <w:rPr>
          <w:rFonts w:cs="Arial"/>
          <w:sz w:val="22"/>
          <w:szCs w:val="22"/>
        </w:rPr>
        <w:t>ess and</w:t>
      </w:r>
      <w:r w:rsidR="008C0701">
        <w:rPr>
          <w:rFonts w:cs="Arial"/>
          <w:sz w:val="22"/>
          <w:szCs w:val="22"/>
        </w:rPr>
        <w:t xml:space="preserve"> will not receive a non</w:t>
      </w:r>
      <w:r w:rsidR="00E20B71">
        <w:rPr>
          <w:rFonts w:cs="Arial"/>
          <w:sz w:val="22"/>
          <w:szCs w:val="22"/>
        </w:rPr>
        <w:t>-</w:t>
      </w:r>
      <w:r w:rsidR="008C0701">
        <w:rPr>
          <w:rFonts w:cs="Arial"/>
          <w:sz w:val="22"/>
          <w:szCs w:val="22"/>
        </w:rPr>
        <w:t>expiring license</w:t>
      </w:r>
      <w:r w:rsidRPr="00D839EE" w:rsidR="00BF5AC4">
        <w:rPr>
          <w:rFonts w:cs="Arial"/>
          <w:sz w:val="22"/>
          <w:szCs w:val="22"/>
        </w:rPr>
        <w:t xml:space="preserve">.  These requirements result in the full costs of the </w:t>
      </w:r>
      <w:r w:rsidRPr="00D839EE" w:rsidR="00BC5E9F">
        <w:rPr>
          <w:rFonts w:cs="Arial"/>
          <w:sz w:val="22"/>
          <w:szCs w:val="22"/>
        </w:rPr>
        <w:t>final</w:t>
      </w:r>
      <w:r w:rsidRPr="00D839EE" w:rsidR="00BF5AC4">
        <w:rPr>
          <w:rFonts w:cs="Arial"/>
          <w:sz w:val="22"/>
          <w:szCs w:val="22"/>
        </w:rPr>
        <w:t xml:space="preserve"> rule, without any of the </w:t>
      </w:r>
      <w:r w:rsidRPr="007854B3" w:rsidR="00E8226D">
        <w:rPr>
          <w:rFonts w:cs="Arial"/>
          <w:sz w:val="22"/>
          <w:szCs w:val="22"/>
        </w:rPr>
        <w:t>averted costs</w:t>
      </w:r>
      <w:r w:rsidRPr="007854B3" w:rsidR="00BF5AC4">
        <w:rPr>
          <w:rFonts w:cs="Arial"/>
          <w:sz w:val="22"/>
          <w:szCs w:val="22"/>
        </w:rPr>
        <w:t xml:space="preserve"> </w:t>
      </w:r>
      <w:r w:rsidRPr="00D839EE" w:rsidR="00BF5AC4">
        <w:rPr>
          <w:rFonts w:cs="Arial"/>
          <w:sz w:val="22"/>
          <w:szCs w:val="22"/>
        </w:rPr>
        <w:t xml:space="preserve">(as the </w:t>
      </w:r>
      <w:r w:rsidR="00DF41C8">
        <w:rPr>
          <w:rFonts w:cs="Arial"/>
          <w:sz w:val="22"/>
          <w:szCs w:val="22"/>
        </w:rPr>
        <w:t xml:space="preserve">current </w:t>
      </w:r>
      <w:r w:rsidRPr="00D839EE" w:rsidR="003C0564">
        <w:rPr>
          <w:rFonts w:cs="Arial"/>
          <w:sz w:val="22"/>
          <w:szCs w:val="22"/>
        </w:rPr>
        <w:t xml:space="preserve">NPUF </w:t>
      </w:r>
      <w:r w:rsidRPr="00D839EE" w:rsidR="00BF5AC4">
        <w:rPr>
          <w:rFonts w:cs="Arial"/>
          <w:sz w:val="22"/>
          <w:szCs w:val="22"/>
        </w:rPr>
        <w:t>license renewal application process will continue).  The total 20-year undiscounted cost</w:t>
      </w:r>
      <w:r w:rsidRPr="00D839EE" w:rsidR="008719BD">
        <w:rPr>
          <w:rFonts w:cs="Arial"/>
          <w:sz w:val="22"/>
          <w:szCs w:val="22"/>
        </w:rPr>
        <w:t xml:space="preserve"> of the </w:t>
      </w:r>
      <w:r w:rsidRPr="00D839EE" w:rsidR="00BC5E9F">
        <w:rPr>
          <w:rFonts w:cs="Arial"/>
          <w:sz w:val="22"/>
          <w:szCs w:val="22"/>
        </w:rPr>
        <w:t>final</w:t>
      </w:r>
      <w:r w:rsidRPr="00D839EE" w:rsidR="000D0EDD">
        <w:rPr>
          <w:rFonts w:cs="Arial"/>
          <w:sz w:val="22"/>
          <w:szCs w:val="22"/>
        </w:rPr>
        <w:t xml:space="preserve"> </w:t>
      </w:r>
      <w:r w:rsidRPr="00D839EE" w:rsidR="008719BD">
        <w:rPr>
          <w:rFonts w:cs="Arial"/>
          <w:sz w:val="22"/>
          <w:szCs w:val="22"/>
        </w:rPr>
        <w:t>rule</w:t>
      </w:r>
      <w:r w:rsidRPr="00D839EE" w:rsidR="00BF5AC4">
        <w:rPr>
          <w:rFonts w:cs="Arial"/>
          <w:sz w:val="22"/>
          <w:szCs w:val="22"/>
        </w:rPr>
        <w:t xml:space="preserve"> to </w:t>
      </w:r>
      <w:r w:rsidR="00460B31">
        <w:rPr>
          <w:rFonts w:cs="Arial"/>
          <w:sz w:val="22"/>
          <w:szCs w:val="22"/>
        </w:rPr>
        <w:t xml:space="preserve">Group 4 </w:t>
      </w:r>
      <w:r w:rsidRPr="00D839EE" w:rsidR="00C96BE6">
        <w:rPr>
          <w:rFonts w:cs="Arial"/>
          <w:sz w:val="22"/>
          <w:szCs w:val="22"/>
        </w:rPr>
        <w:t xml:space="preserve">NPUFs </w:t>
      </w:r>
      <w:r w:rsidRPr="00D839EE" w:rsidR="00BF5AC4">
        <w:rPr>
          <w:rFonts w:cs="Arial"/>
          <w:sz w:val="22"/>
          <w:szCs w:val="22"/>
        </w:rPr>
        <w:t xml:space="preserve">is estimated at </w:t>
      </w:r>
      <w:r w:rsidRPr="007854B3" w:rsidR="00180B66">
        <w:rPr>
          <w:rFonts w:cs="Arial"/>
          <w:sz w:val="22"/>
          <w:szCs w:val="22"/>
        </w:rPr>
        <w:t>(</w:t>
      </w:r>
      <w:r w:rsidRPr="007854B3" w:rsidR="00155A5C">
        <w:rPr>
          <w:rFonts w:cs="Arial"/>
          <w:sz w:val="22"/>
          <w:szCs w:val="22"/>
        </w:rPr>
        <w:t>$</w:t>
      </w:r>
      <w:r w:rsidR="00D2673E">
        <w:rPr>
          <w:rFonts w:cs="Arial"/>
          <w:sz w:val="22"/>
          <w:szCs w:val="22"/>
        </w:rPr>
        <w:t>22</w:t>
      </w:r>
      <w:r w:rsidR="00993751">
        <w:rPr>
          <w:rFonts w:cs="Arial"/>
          <w:sz w:val="22"/>
          <w:szCs w:val="22"/>
        </w:rPr>
        <w:t>0,000</w:t>
      </w:r>
      <w:r w:rsidRPr="007854B3" w:rsidR="00180B66">
        <w:rPr>
          <w:rFonts w:cs="Arial"/>
          <w:sz w:val="22"/>
          <w:szCs w:val="22"/>
        </w:rPr>
        <w:t>)</w:t>
      </w:r>
      <w:r w:rsidR="00D20C8E">
        <w:rPr>
          <w:rFonts w:cs="Arial"/>
          <w:sz w:val="22"/>
          <w:szCs w:val="22"/>
        </w:rPr>
        <w:t>,</w:t>
      </w:r>
      <w:r w:rsidRPr="00D839EE" w:rsidR="00373B3B">
        <w:rPr>
          <w:rFonts w:cs="Arial"/>
          <w:sz w:val="22"/>
          <w:szCs w:val="22"/>
        </w:rPr>
        <w:t xml:space="preserve"> </w:t>
      </w:r>
      <w:r w:rsidRPr="00D839EE" w:rsidR="00BF5AC4">
        <w:rPr>
          <w:rFonts w:cs="Arial"/>
          <w:sz w:val="22"/>
          <w:szCs w:val="22"/>
        </w:rPr>
        <w:t xml:space="preserve">with an incremental operation cost estimated at </w:t>
      </w:r>
      <w:r w:rsidRPr="007854B3" w:rsidR="00180B66">
        <w:rPr>
          <w:rFonts w:cs="Arial"/>
          <w:sz w:val="22"/>
          <w:szCs w:val="22"/>
        </w:rPr>
        <w:t>(</w:t>
      </w:r>
      <w:r w:rsidRPr="007854B3" w:rsidR="00BF5AC4">
        <w:rPr>
          <w:rFonts w:cs="Arial"/>
          <w:sz w:val="22"/>
          <w:szCs w:val="22"/>
        </w:rPr>
        <w:t>$</w:t>
      </w:r>
      <w:r w:rsidR="004C2359">
        <w:rPr>
          <w:rFonts w:cs="Arial"/>
          <w:sz w:val="22"/>
          <w:szCs w:val="22"/>
        </w:rPr>
        <w:t>11,0</w:t>
      </w:r>
      <w:r w:rsidRPr="001F3201" w:rsidR="007854B3">
        <w:rPr>
          <w:rFonts w:cs="Arial"/>
          <w:sz w:val="22"/>
          <w:szCs w:val="22"/>
        </w:rPr>
        <w:t>00</w:t>
      </w:r>
      <w:r w:rsidRPr="007854B3" w:rsidR="00180B66">
        <w:rPr>
          <w:rFonts w:cs="Arial"/>
          <w:sz w:val="22"/>
          <w:szCs w:val="22"/>
        </w:rPr>
        <w:t>)</w:t>
      </w:r>
      <w:r w:rsidRPr="00D839EE" w:rsidR="00BF5AC4">
        <w:rPr>
          <w:rFonts w:cs="Arial"/>
          <w:sz w:val="22"/>
          <w:szCs w:val="22"/>
        </w:rPr>
        <w:t xml:space="preserve"> per </w:t>
      </w:r>
      <w:r w:rsidR="005A49DA">
        <w:rPr>
          <w:rFonts w:cs="Arial"/>
          <w:sz w:val="22"/>
          <w:szCs w:val="22"/>
        </w:rPr>
        <w:t xml:space="preserve">subsequent </w:t>
      </w:r>
      <w:r w:rsidRPr="00D839EE" w:rsidR="00BF5AC4">
        <w:rPr>
          <w:rFonts w:cs="Arial"/>
          <w:sz w:val="22"/>
          <w:szCs w:val="22"/>
        </w:rPr>
        <w:t>FSAR update.  At the time</w:t>
      </w:r>
      <w:r w:rsidR="00D20C8E">
        <w:rPr>
          <w:rFonts w:cs="Arial"/>
          <w:sz w:val="22"/>
          <w:szCs w:val="22"/>
        </w:rPr>
        <w:t xml:space="preserve"> the staff drafted</w:t>
      </w:r>
      <w:r w:rsidRPr="00D839EE" w:rsidR="00BF5AC4">
        <w:rPr>
          <w:rFonts w:cs="Arial"/>
          <w:sz w:val="22"/>
          <w:szCs w:val="22"/>
        </w:rPr>
        <w:t xml:space="preserve"> this report, </w:t>
      </w:r>
      <w:r w:rsidRPr="00D839EE" w:rsidR="00A97836">
        <w:rPr>
          <w:rFonts w:cs="Arial"/>
          <w:sz w:val="22"/>
          <w:szCs w:val="22"/>
        </w:rPr>
        <w:t>SHINE, NWMI</w:t>
      </w:r>
      <w:r w:rsidR="00DF41C8">
        <w:rPr>
          <w:rFonts w:cs="Arial"/>
          <w:sz w:val="22"/>
          <w:szCs w:val="22"/>
        </w:rPr>
        <w:t xml:space="preserve">, and </w:t>
      </w:r>
      <w:r w:rsidRPr="00D839EE" w:rsidR="00DF41C8">
        <w:rPr>
          <w:rFonts w:cs="Arial"/>
          <w:sz w:val="22"/>
          <w:szCs w:val="22"/>
        </w:rPr>
        <w:t>NIST</w:t>
      </w:r>
      <w:r w:rsidRPr="00D839EE" w:rsidR="00BF5AC4">
        <w:rPr>
          <w:rFonts w:cs="Arial"/>
          <w:sz w:val="22"/>
          <w:szCs w:val="22"/>
        </w:rPr>
        <w:t xml:space="preserve"> </w:t>
      </w:r>
      <w:r w:rsidRPr="00D839EE" w:rsidR="00A97836">
        <w:rPr>
          <w:rFonts w:cs="Arial"/>
          <w:sz w:val="22"/>
          <w:szCs w:val="22"/>
        </w:rPr>
        <w:t>are</w:t>
      </w:r>
      <w:r w:rsidRPr="00D839EE" w:rsidR="00BF5AC4">
        <w:rPr>
          <w:rFonts w:cs="Arial"/>
          <w:sz w:val="22"/>
          <w:szCs w:val="22"/>
        </w:rPr>
        <w:t xml:space="preserve"> </w:t>
      </w:r>
      <w:r w:rsidR="007B2C15">
        <w:rPr>
          <w:rFonts w:cs="Arial"/>
          <w:sz w:val="22"/>
          <w:szCs w:val="22"/>
        </w:rPr>
        <w:t xml:space="preserve">anticipated to be </w:t>
      </w:r>
      <w:r w:rsidRPr="00D839EE" w:rsidR="00BF5AC4">
        <w:rPr>
          <w:rFonts w:cs="Arial"/>
          <w:sz w:val="22"/>
          <w:szCs w:val="22"/>
        </w:rPr>
        <w:t>the only NPUF</w:t>
      </w:r>
      <w:r w:rsidRPr="00D839EE" w:rsidR="00A97836">
        <w:rPr>
          <w:rFonts w:cs="Arial"/>
          <w:sz w:val="22"/>
          <w:szCs w:val="22"/>
        </w:rPr>
        <w:t>s</w:t>
      </w:r>
      <w:r w:rsidRPr="00D839EE" w:rsidR="00BF5AC4">
        <w:rPr>
          <w:rFonts w:cs="Arial"/>
          <w:sz w:val="22"/>
          <w:szCs w:val="22"/>
        </w:rPr>
        <w:t xml:space="preserve"> </w:t>
      </w:r>
      <w:r w:rsidR="00D20C8E">
        <w:rPr>
          <w:rFonts w:cs="Arial"/>
          <w:sz w:val="22"/>
          <w:szCs w:val="22"/>
        </w:rPr>
        <w:t>that</w:t>
      </w:r>
      <w:r w:rsidRPr="00D839EE" w:rsidR="00BF5AC4">
        <w:rPr>
          <w:rFonts w:cs="Arial"/>
          <w:sz w:val="22"/>
          <w:szCs w:val="22"/>
        </w:rPr>
        <w:t xml:space="preserve"> </w:t>
      </w:r>
      <w:r w:rsidRPr="00D839EE" w:rsidR="00BC5E9F">
        <w:rPr>
          <w:rFonts w:cs="Arial"/>
          <w:sz w:val="22"/>
          <w:szCs w:val="22"/>
        </w:rPr>
        <w:t>will</w:t>
      </w:r>
      <w:r w:rsidRPr="00D839EE" w:rsidR="00BF5AC4">
        <w:rPr>
          <w:rFonts w:cs="Arial"/>
          <w:sz w:val="22"/>
          <w:szCs w:val="22"/>
        </w:rPr>
        <w:t xml:space="preserve"> not be eligible for a non</w:t>
      </w:r>
      <w:r w:rsidR="00E20B71">
        <w:rPr>
          <w:rFonts w:cs="Arial"/>
          <w:sz w:val="22"/>
          <w:szCs w:val="22"/>
        </w:rPr>
        <w:t>-</w:t>
      </w:r>
      <w:r w:rsidRPr="00D839EE" w:rsidR="00BF5AC4">
        <w:rPr>
          <w:rFonts w:cs="Arial"/>
          <w:sz w:val="22"/>
          <w:szCs w:val="22"/>
        </w:rPr>
        <w:t xml:space="preserve">expiring license term. </w:t>
      </w:r>
    </w:p>
    <w:p w:rsidR="00BF5AC4" w:rsidRPr="00346B95" w:rsidP="00346B95" w14:paraId="7F4938BA" w14:textId="77777777">
      <w:pPr>
        <w:pStyle w:val="Heading2"/>
        <w:spacing w:after="220"/>
      </w:pPr>
      <w:bookmarkStart w:id="199" w:name="_Toc434330229"/>
      <w:bookmarkStart w:id="200" w:name="_Toc443852795"/>
      <w:bookmarkStart w:id="201" w:name="_Toc530073284"/>
      <w:bookmarkStart w:id="202" w:name="_Toc534037101"/>
      <w:bookmarkStart w:id="203" w:name="_Toc534699721"/>
      <w:bookmarkStart w:id="204" w:name="_Toc536603289"/>
      <w:r w:rsidRPr="00346B95">
        <w:t>3.3</w:t>
      </w:r>
      <w:r w:rsidRPr="00346B95">
        <w:tab/>
        <w:t xml:space="preserve">Costs of the </w:t>
      </w:r>
      <w:r w:rsidRPr="00346B95" w:rsidR="00BC5E9F">
        <w:t>Final</w:t>
      </w:r>
      <w:r w:rsidRPr="00346B95">
        <w:t xml:space="preserve"> Rule</w:t>
      </w:r>
      <w:bookmarkEnd w:id="199"/>
      <w:bookmarkEnd w:id="200"/>
      <w:bookmarkEnd w:id="201"/>
      <w:bookmarkEnd w:id="202"/>
      <w:bookmarkEnd w:id="203"/>
      <w:bookmarkEnd w:id="204"/>
    </w:p>
    <w:p w:rsidR="00BF5AC4" w:rsidRPr="00D839EE" w:rsidP="00BF5AC4" w14:paraId="7F4938BB" w14:textId="77777777">
      <w:pPr>
        <w:contextualSpacing/>
        <w:rPr>
          <w:rFonts w:cs="Arial"/>
          <w:sz w:val="22"/>
          <w:szCs w:val="22"/>
        </w:rPr>
      </w:pPr>
      <w:r w:rsidRPr="00D839EE">
        <w:rPr>
          <w:rFonts w:cs="Arial"/>
          <w:sz w:val="22"/>
          <w:szCs w:val="22"/>
        </w:rPr>
        <w:t xml:space="preserve">This section details the estimated costs and </w:t>
      </w:r>
      <w:r w:rsidR="00E8226D">
        <w:rPr>
          <w:rFonts w:cs="Arial"/>
          <w:sz w:val="22"/>
          <w:szCs w:val="22"/>
        </w:rPr>
        <w:t xml:space="preserve">averted </w:t>
      </w:r>
      <w:r w:rsidR="001E41D8">
        <w:rPr>
          <w:rFonts w:cs="Arial"/>
          <w:sz w:val="22"/>
          <w:szCs w:val="22"/>
        </w:rPr>
        <w:t>costs</w:t>
      </w:r>
      <w:r w:rsidRPr="00D839EE">
        <w:rPr>
          <w:rFonts w:cs="Arial"/>
          <w:sz w:val="22"/>
          <w:szCs w:val="22"/>
        </w:rPr>
        <w:t xml:space="preserve"> of the </w:t>
      </w:r>
      <w:r w:rsidRPr="00D839EE" w:rsidR="00BC5E9F">
        <w:rPr>
          <w:rFonts w:cs="Arial"/>
          <w:sz w:val="22"/>
          <w:szCs w:val="22"/>
        </w:rPr>
        <w:t>final</w:t>
      </w:r>
      <w:r w:rsidRPr="00D839EE">
        <w:rPr>
          <w:rFonts w:cs="Arial"/>
          <w:sz w:val="22"/>
          <w:szCs w:val="22"/>
        </w:rPr>
        <w:t xml:space="preserve"> rule.  Under the </w:t>
      </w:r>
      <w:r w:rsidRPr="00D839EE" w:rsidR="00BC5E9F">
        <w:rPr>
          <w:rFonts w:cs="Arial"/>
          <w:sz w:val="22"/>
          <w:szCs w:val="22"/>
        </w:rPr>
        <w:t>final</w:t>
      </w:r>
      <w:r w:rsidRPr="00D839EE">
        <w:rPr>
          <w:rFonts w:cs="Arial"/>
          <w:sz w:val="22"/>
          <w:szCs w:val="22"/>
        </w:rPr>
        <w:t xml:space="preserve"> rule, the following change to 10 CFR </w:t>
      </w:r>
      <w:r w:rsidR="00F603A2">
        <w:rPr>
          <w:rFonts w:cs="Arial"/>
          <w:sz w:val="22"/>
          <w:szCs w:val="22"/>
        </w:rPr>
        <w:t>P</w:t>
      </w:r>
      <w:r w:rsidRPr="00D839EE">
        <w:rPr>
          <w:rFonts w:cs="Arial"/>
          <w:sz w:val="22"/>
          <w:szCs w:val="22"/>
        </w:rPr>
        <w:t>art 50</w:t>
      </w:r>
      <w:r w:rsidR="00AF7FF1">
        <w:rPr>
          <w:rFonts w:cs="Arial"/>
          <w:sz w:val="22"/>
          <w:szCs w:val="22"/>
        </w:rPr>
        <w:t>, “</w:t>
      </w:r>
      <w:r w:rsidRPr="00AF7FF1" w:rsidR="00AF7FF1">
        <w:rPr>
          <w:rFonts w:cs="Arial"/>
          <w:sz w:val="22"/>
          <w:szCs w:val="22"/>
        </w:rPr>
        <w:t xml:space="preserve">Domestic Licensing </w:t>
      </w:r>
      <w:r w:rsidR="00AF7FF1">
        <w:rPr>
          <w:rFonts w:cs="Arial"/>
          <w:sz w:val="22"/>
          <w:szCs w:val="22"/>
        </w:rPr>
        <w:t>o</w:t>
      </w:r>
      <w:r w:rsidRPr="00AF7FF1" w:rsidR="00AF7FF1">
        <w:rPr>
          <w:rFonts w:cs="Arial"/>
          <w:sz w:val="22"/>
          <w:szCs w:val="22"/>
        </w:rPr>
        <w:t xml:space="preserve">f Production </w:t>
      </w:r>
      <w:r w:rsidR="00AF7FF1">
        <w:rPr>
          <w:rFonts w:cs="Arial"/>
          <w:sz w:val="22"/>
          <w:szCs w:val="22"/>
        </w:rPr>
        <w:t>an</w:t>
      </w:r>
      <w:r w:rsidRPr="00AF7FF1" w:rsidR="00AF7FF1">
        <w:rPr>
          <w:rFonts w:cs="Arial"/>
          <w:sz w:val="22"/>
          <w:szCs w:val="22"/>
        </w:rPr>
        <w:t>d Utilization Facilities</w:t>
      </w:r>
      <w:r w:rsidR="00AF7FF1">
        <w:rPr>
          <w:rFonts w:cs="Arial"/>
          <w:sz w:val="22"/>
          <w:szCs w:val="22"/>
        </w:rPr>
        <w:t>,”</w:t>
      </w:r>
      <w:r w:rsidRPr="00D839EE">
        <w:rPr>
          <w:rFonts w:cs="Arial"/>
          <w:sz w:val="22"/>
          <w:szCs w:val="22"/>
        </w:rPr>
        <w:t xml:space="preserve"> </w:t>
      </w:r>
      <w:r w:rsidRPr="00D839EE" w:rsidR="00BC5E9F">
        <w:rPr>
          <w:rFonts w:cs="Arial"/>
          <w:sz w:val="22"/>
          <w:szCs w:val="22"/>
        </w:rPr>
        <w:t>will</w:t>
      </w:r>
      <w:r w:rsidRPr="00D839EE">
        <w:rPr>
          <w:rFonts w:cs="Arial"/>
          <w:sz w:val="22"/>
          <w:szCs w:val="22"/>
        </w:rPr>
        <w:t xml:space="preserve"> result in costs:</w:t>
      </w:r>
    </w:p>
    <w:p w:rsidR="00BF5AC4" w:rsidRPr="00D839EE" w:rsidP="00BF5AC4" w14:paraId="7F4938BC" w14:textId="77777777">
      <w:pPr>
        <w:contextualSpacing/>
        <w:rPr>
          <w:rFonts w:cs="Arial"/>
          <w:sz w:val="22"/>
          <w:szCs w:val="22"/>
        </w:rPr>
      </w:pPr>
    </w:p>
    <w:p w:rsidR="00BF5AC4" w:rsidRPr="00D839EE" w:rsidP="00346B95" w14:paraId="7F4938BD" w14:textId="77777777">
      <w:pPr>
        <w:numPr>
          <w:ilvl w:val="0"/>
          <w:numId w:val="8"/>
        </w:numPr>
        <w:ind w:hanging="720"/>
        <w:contextualSpacing/>
        <w:rPr>
          <w:rFonts w:cs="Arial"/>
          <w:sz w:val="22"/>
          <w:szCs w:val="22"/>
        </w:rPr>
      </w:pPr>
      <w:r>
        <w:rPr>
          <w:sz w:val="22"/>
          <w:szCs w:val="22"/>
        </w:rPr>
        <w:t>10 CFR </w:t>
      </w:r>
      <w:r w:rsidRPr="00D839EE">
        <w:rPr>
          <w:rFonts w:cs="Arial"/>
          <w:sz w:val="22"/>
          <w:szCs w:val="22"/>
        </w:rPr>
        <w:t xml:space="preserve">50.71(e) </w:t>
      </w:r>
      <w:r w:rsidRPr="00D839EE" w:rsidR="00BC5E9F">
        <w:rPr>
          <w:rFonts w:cs="Arial"/>
          <w:sz w:val="22"/>
          <w:szCs w:val="22"/>
        </w:rPr>
        <w:t>will</w:t>
      </w:r>
      <w:r w:rsidRPr="00D839EE">
        <w:rPr>
          <w:rFonts w:cs="Arial"/>
          <w:sz w:val="22"/>
          <w:szCs w:val="22"/>
        </w:rPr>
        <w:t xml:space="preserve"> require each NPUF licensee to </w:t>
      </w:r>
      <w:r w:rsidRPr="0012580F" w:rsidR="00477236">
        <w:rPr>
          <w:sz w:val="22"/>
          <w:szCs w:val="22"/>
        </w:rPr>
        <w:t xml:space="preserve">submit </w:t>
      </w:r>
      <w:r w:rsidRPr="00BF5AC4">
        <w:rPr>
          <w:rFonts w:cs="Arial"/>
          <w:sz w:val="22"/>
          <w:szCs w:val="22"/>
        </w:rPr>
        <w:t xml:space="preserve">an </w:t>
      </w:r>
      <w:r w:rsidRPr="0012580F" w:rsidR="00477236">
        <w:rPr>
          <w:sz w:val="22"/>
          <w:szCs w:val="22"/>
        </w:rPr>
        <w:t>updated FSAR and subsequent FSAR updates to the NRC at intervals not to exceed 5 years</w:t>
      </w:r>
      <w:r w:rsidRPr="00D839EE">
        <w:rPr>
          <w:rFonts w:cs="Arial"/>
          <w:sz w:val="22"/>
          <w:szCs w:val="22"/>
        </w:rPr>
        <w:t>.</w:t>
      </w:r>
      <w:r w:rsidR="00477236">
        <w:rPr>
          <w:rFonts w:cs="Arial"/>
          <w:sz w:val="22"/>
          <w:szCs w:val="22"/>
        </w:rPr>
        <w:t xml:space="preserve">  </w:t>
      </w:r>
      <w:r w:rsidR="00DC2A54">
        <w:rPr>
          <w:rFonts w:cs="Arial"/>
          <w:sz w:val="22"/>
          <w:szCs w:val="22"/>
        </w:rPr>
        <w:t>Although</w:t>
      </w:r>
      <w:r w:rsidR="00644861">
        <w:rPr>
          <w:rFonts w:cs="Arial"/>
          <w:sz w:val="22"/>
          <w:szCs w:val="22"/>
        </w:rPr>
        <w:t xml:space="preserve"> t</w:t>
      </w:r>
      <w:r w:rsidR="00477236">
        <w:rPr>
          <w:rFonts w:cs="Arial"/>
          <w:sz w:val="22"/>
          <w:szCs w:val="22"/>
        </w:rPr>
        <w:t xml:space="preserve">he initial updated FSAR will be a complete submittal of the FSAR, </w:t>
      </w:r>
      <w:r w:rsidR="00644861">
        <w:rPr>
          <w:rFonts w:cs="Arial"/>
          <w:sz w:val="22"/>
          <w:szCs w:val="22"/>
        </w:rPr>
        <w:t xml:space="preserve">licensees </w:t>
      </w:r>
      <w:r w:rsidR="00DA0CCB">
        <w:rPr>
          <w:rFonts w:cs="Arial"/>
          <w:sz w:val="22"/>
          <w:szCs w:val="22"/>
        </w:rPr>
        <w:t xml:space="preserve">will incur a lower cost for </w:t>
      </w:r>
      <w:r w:rsidRPr="00D839EE" w:rsidR="00477236">
        <w:rPr>
          <w:rFonts w:cs="Arial"/>
          <w:sz w:val="22"/>
          <w:szCs w:val="22"/>
        </w:rPr>
        <w:t xml:space="preserve">subsequent FSAR updates </w:t>
      </w:r>
      <w:r w:rsidR="00DA0CCB">
        <w:rPr>
          <w:rFonts w:cs="Arial"/>
          <w:sz w:val="22"/>
          <w:szCs w:val="22"/>
        </w:rPr>
        <w:t>because the NRC anticipates there will be fewer changes for which to account</w:t>
      </w:r>
      <w:r w:rsidRPr="00D839EE" w:rsidR="00477236">
        <w:rPr>
          <w:rFonts w:cs="Arial"/>
          <w:sz w:val="22"/>
          <w:szCs w:val="22"/>
        </w:rPr>
        <w:t>.</w:t>
      </w:r>
    </w:p>
    <w:p w:rsidR="00BF5AC4" w:rsidRPr="00D839EE" w:rsidP="00BF5AC4" w14:paraId="7F4938BE" w14:textId="77777777">
      <w:pPr>
        <w:contextualSpacing/>
        <w:rPr>
          <w:rFonts w:cs="Arial"/>
          <w:sz w:val="22"/>
          <w:szCs w:val="22"/>
        </w:rPr>
      </w:pPr>
    </w:p>
    <w:p w:rsidR="00BF5AC4" w:rsidRPr="00D839EE" w:rsidP="00BF5AC4" w14:paraId="7F4938BF" w14:textId="77777777">
      <w:pPr>
        <w:contextualSpacing/>
        <w:rPr>
          <w:rFonts w:cs="Arial"/>
          <w:sz w:val="22"/>
          <w:szCs w:val="22"/>
        </w:rPr>
      </w:pPr>
      <w:r w:rsidRPr="00D839EE">
        <w:rPr>
          <w:rFonts w:cs="Arial"/>
          <w:sz w:val="22"/>
          <w:szCs w:val="22"/>
        </w:rPr>
        <w:t xml:space="preserve">The following </w:t>
      </w:r>
      <w:r w:rsidRPr="00D839EE" w:rsidR="00BC5E9F">
        <w:rPr>
          <w:rFonts w:cs="Arial"/>
          <w:sz w:val="22"/>
          <w:szCs w:val="22"/>
        </w:rPr>
        <w:t>final</w:t>
      </w:r>
      <w:r w:rsidRPr="00D839EE">
        <w:rPr>
          <w:rFonts w:cs="Arial"/>
          <w:sz w:val="22"/>
          <w:szCs w:val="22"/>
        </w:rPr>
        <w:t xml:space="preserve"> rule change </w:t>
      </w:r>
      <w:r w:rsidRPr="00D839EE" w:rsidR="00BC5E9F">
        <w:rPr>
          <w:rFonts w:cs="Arial"/>
          <w:sz w:val="22"/>
          <w:szCs w:val="22"/>
        </w:rPr>
        <w:t>will</w:t>
      </w:r>
      <w:r w:rsidRPr="00D839EE">
        <w:rPr>
          <w:rFonts w:cs="Arial"/>
          <w:sz w:val="22"/>
          <w:szCs w:val="22"/>
        </w:rPr>
        <w:t xml:space="preserve"> result in cost savings (see Section 3.4 </w:t>
      </w:r>
      <w:r w:rsidR="00862705">
        <w:rPr>
          <w:rFonts w:cs="Arial"/>
          <w:sz w:val="22"/>
          <w:szCs w:val="22"/>
        </w:rPr>
        <w:t>for a</w:t>
      </w:r>
      <w:r w:rsidRPr="00D839EE">
        <w:rPr>
          <w:rFonts w:cs="Arial"/>
          <w:sz w:val="22"/>
          <w:szCs w:val="22"/>
        </w:rPr>
        <w:t xml:space="preserve"> detailed discussion of cost savings):</w:t>
      </w:r>
    </w:p>
    <w:p w:rsidR="00BF5AC4" w:rsidRPr="00D839EE" w:rsidP="00BF5AC4" w14:paraId="7F4938C0" w14:textId="77777777">
      <w:pPr>
        <w:contextualSpacing/>
        <w:rPr>
          <w:rFonts w:cs="Arial"/>
          <w:sz w:val="22"/>
          <w:szCs w:val="22"/>
        </w:rPr>
      </w:pPr>
    </w:p>
    <w:p w:rsidR="00BF5AC4" w:rsidRPr="00D839EE" w:rsidP="00346B95" w14:paraId="7F4938C1" w14:textId="77777777">
      <w:pPr>
        <w:numPr>
          <w:ilvl w:val="0"/>
          <w:numId w:val="8"/>
        </w:numPr>
        <w:ind w:hanging="720"/>
        <w:contextualSpacing/>
        <w:rPr>
          <w:rFonts w:cs="Arial"/>
          <w:sz w:val="22"/>
          <w:szCs w:val="22"/>
        </w:rPr>
      </w:pPr>
      <w:r>
        <w:rPr>
          <w:sz w:val="22"/>
          <w:szCs w:val="22"/>
        </w:rPr>
        <w:t>10 CFR </w:t>
      </w:r>
      <w:r w:rsidRPr="00D839EE">
        <w:rPr>
          <w:rFonts w:cs="Arial"/>
          <w:sz w:val="22"/>
          <w:szCs w:val="22"/>
        </w:rPr>
        <w:t>50.51</w:t>
      </w:r>
      <w:r w:rsidRPr="00D839EE" w:rsidR="00764AB7">
        <w:rPr>
          <w:rFonts w:cs="Arial"/>
          <w:sz w:val="22"/>
          <w:szCs w:val="22"/>
        </w:rPr>
        <w:t>(a) and (c)</w:t>
      </w:r>
      <w:r w:rsidRPr="00D839EE">
        <w:rPr>
          <w:rFonts w:cs="Arial"/>
          <w:sz w:val="22"/>
          <w:szCs w:val="22"/>
        </w:rPr>
        <w:t xml:space="preserve"> </w:t>
      </w:r>
      <w:r w:rsidRPr="00D839EE" w:rsidR="00BC5E9F">
        <w:rPr>
          <w:rFonts w:cs="Arial"/>
          <w:sz w:val="22"/>
          <w:szCs w:val="22"/>
        </w:rPr>
        <w:t>will</w:t>
      </w:r>
      <w:r w:rsidRPr="00D839EE">
        <w:rPr>
          <w:rFonts w:cs="Arial"/>
          <w:sz w:val="22"/>
          <w:szCs w:val="22"/>
        </w:rPr>
        <w:t xml:space="preserve"> eliminate fixed license terms for NPUFs licensed under </w:t>
      </w:r>
      <w:r w:rsidR="007009C1">
        <w:rPr>
          <w:rFonts w:cs="Arial"/>
          <w:sz w:val="22"/>
          <w:szCs w:val="22"/>
        </w:rPr>
        <w:t xml:space="preserve">10 CFR </w:t>
      </w:r>
      <w:r w:rsidRPr="00D839EE">
        <w:rPr>
          <w:rFonts w:cs="Arial"/>
          <w:sz w:val="22"/>
          <w:szCs w:val="22"/>
        </w:rPr>
        <w:t xml:space="preserve">50.21(a) or (c), other than </w:t>
      </w:r>
      <w:r w:rsidR="001E3093">
        <w:rPr>
          <w:rFonts w:cs="Arial"/>
          <w:sz w:val="22"/>
          <w:szCs w:val="22"/>
        </w:rPr>
        <w:t xml:space="preserve">Class 103 licensees and </w:t>
      </w:r>
      <w:r w:rsidRPr="00D839EE">
        <w:rPr>
          <w:rFonts w:cs="Arial"/>
          <w:sz w:val="22"/>
          <w:szCs w:val="22"/>
        </w:rPr>
        <w:t xml:space="preserve">testing facilities.  This rule change </w:t>
      </w:r>
      <w:r w:rsidRPr="00D839EE" w:rsidR="00BC5E9F">
        <w:rPr>
          <w:rFonts w:cs="Arial"/>
          <w:sz w:val="22"/>
          <w:szCs w:val="22"/>
        </w:rPr>
        <w:t>will</w:t>
      </w:r>
      <w:r w:rsidRPr="00D839EE">
        <w:rPr>
          <w:rFonts w:cs="Arial"/>
          <w:sz w:val="22"/>
          <w:szCs w:val="22"/>
        </w:rPr>
        <w:t xml:space="preserve"> result in cost savings </w:t>
      </w:r>
      <w:r w:rsidR="00334211">
        <w:rPr>
          <w:rFonts w:cs="Arial"/>
          <w:sz w:val="22"/>
          <w:szCs w:val="22"/>
        </w:rPr>
        <w:t>because</w:t>
      </w:r>
      <w:r w:rsidRPr="00D839EE">
        <w:rPr>
          <w:rFonts w:cs="Arial"/>
          <w:sz w:val="22"/>
          <w:szCs w:val="22"/>
        </w:rPr>
        <w:t xml:space="preserve"> the affected NPUFs </w:t>
      </w:r>
      <w:r w:rsidRPr="00D839EE" w:rsidR="00BC5E9F">
        <w:rPr>
          <w:rFonts w:cs="Arial"/>
          <w:sz w:val="22"/>
          <w:szCs w:val="22"/>
        </w:rPr>
        <w:t>will</w:t>
      </w:r>
      <w:r w:rsidRPr="00D839EE">
        <w:rPr>
          <w:rFonts w:cs="Arial"/>
          <w:sz w:val="22"/>
          <w:szCs w:val="22"/>
        </w:rPr>
        <w:t xml:space="preserve"> no longer be required to go through the license renewal application process. </w:t>
      </w:r>
    </w:p>
    <w:p w:rsidR="00BF5AC4" w:rsidRPr="00D839EE" w:rsidP="00BF5AC4" w14:paraId="7F4938C2" w14:textId="77777777">
      <w:pPr>
        <w:contextualSpacing/>
        <w:rPr>
          <w:rFonts w:cs="Arial"/>
          <w:sz w:val="22"/>
          <w:szCs w:val="22"/>
        </w:rPr>
      </w:pPr>
    </w:p>
    <w:p w:rsidR="00BF5AC4" w:rsidRPr="00D839EE" w:rsidP="00BF5AC4" w14:paraId="7F4938C3" w14:textId="77777777">
      <w:pPr>
        <w:contextualSpacing/>
        <w:rPr>
          <w:rFonts w:cs="Arial"/>
          <w:sz w:val="22"/>
          <w:szCs w:val="22"/>
        </w:rPr>
      </w:pPr>
      <w:r w:rsidRPr="00D839EE">
        <w:rPr>
          <w:rFonts w:cs="Arial"/>
          <w:sz w:val="22"/>
          <w:szCs w:val="22"/>
        </w:rPr>
        <w:t xml:space="preserve">In addition, the </w:t>
      </w:r>
      <w:r w:rsidRPr="00D839EE" w:rsidR="00BC5E9F">
        <w:rPr>
          <w:rFonts w:cs="Arial"/>
          <w:sz w:val="22"/>
          <w:szCs w:val="22"/>
        </w:rPr>
        <w:t>final</w:t>
      </w:r>
      <w:r w:rsidRPr="00D839EE">
        <w:rPr>
          <w:rFonts w:cs="Arial"/>
          <w:sz w:val="22"/>
          <w:szCs w:val="22"/>
        </w:rPr>
        <w:t xml:space="preserve"> rule also </w:t>
      </w:r>
      <w:r w:rsidRPr="00D839EE" w:rsidR="00BC5E9F">
        <w:rPr>
          <w:rFonts w:cs="Arial"/>
          <w:sz w:val="22"/>
          <w:szCs w:val="22"/>
        </w:rPr>
        <w:t>will</w:t>
      </w:r>
      <w:r w:rsidRPr="00D839EE">
        <w:rPr>
          <w:rFonts w:cs="Arial"/>
          <w:sz w:val="22"/>
          <w:szCs w:val="22"/>
        </w:rPr>
        <w:t xml:space="preserve"> include the following changes, which </w:t>
      </w:r>
      <w:r w:rsidR="00D91313">
        <w:rPr>
          <w:rFonts w:cs="Arial"/>
          <w:sz w:val="22"/>
          <w:szCs w:val="22"/>
        </w:rPr>
        <w:t>the staff did</w:t>
      </w:r>
      <w:r w:rsidRPr="00D839EE">
        <w:rPr>
          <w:rFonts w:cs="Arial"/>
          <w:sz w:val="22"/>
          <w:szCs w:val="22"/>
        </w:rPr>
        <w:t xml:space="preserve"> not </w:t>
      </w:r>
      <w:r w:rsidR="00893113">
        <w:rPr>
          <w:rFonts w:cs="Arial"/>
          <w:sz w:val="22"/>
          <w:szCs w:val="22"/>
        </w:rPr>
        <w:t>quantify</w:t>
      </w:r>
      <w:r w:rsidRPr="00D839EE" w:rsidR="00893113">
        <w:rPr>
          <w:rFonts w:cs="Arial"/>
          <w:sz w:val="22"/>
          <w:szCs w:val="22"/>
        </w:rPr>
        <w:t xml:space="preserve"> </w:t>
      </w:r>
      <w:r w:rsidRPr="00D839EE">
        <w:rPr>
          <w:rFonts w:cs="Arial"/>
          <w:sz w:val="22"/>
          <w:szCs w:val="22"/>
        </w:rPr>
        <w:t>in this regulatory analysis:</w:t>
      </w:r>
    </w:p>
    <w:p w:rsidR="00BF5AC4" w:rsidRPr="00D839EE" w:rsidP="00BF5AC4" w14:paraId="7F4938C4" w14:textId="77777777">
      <w:pPr>
        <w:contextualSpacing/>
        <w:rPr>
          <w:rFonts w:cs="Arial"/>
          <w:sz w:val="22"/>
          <w:szCs w:val="22"/>
        </w:rPr>
      </w:pPr>
    </w:p>
    <w:p w:rsidR="00BF5AC4" w:rsidRPr="00D839EE" w:rsidP="00346B95" w14:paraId="7F4938C5" w14:textId="77777777">
      <w:pPr>
        <w:numPr>
          <w:ilvl w:val="0"/>
          <w:numId w:val="9"/>
        </w:numPr>
        <w:ind w:hanging="720"/>
        <w:contextualSpacing/>
        <w:rPr>
          <w:rFonts w:cs="Arial"/>
          <w:sz w:val="22"/>
          <w:szCs w:val="22"/>
        </w:rPr>
      </w:pPr>
      <w:r w:rsidRPr="00D839EE">
        <w:rPr>
          <w:rFonts w:cs="Arial"/>
          <w:sz w:val="22"/>
          <w:szCs w:val="22"/>
        </w:rPr>
        <w:t>C</w:t>
      </w:r>
      <w:r w:rsidRPr="00D839EE">
        <w:rPr>
          <w:rFonts w:cs="Arial"/>
          <w:sz w:val="22"/>
          <w:szCs w:val="22"/>
        </w:rPr>
        <w:t xml:space="preserve">hanges </w:t>
      </w:r>
      <w:r w:rsidR="007009C1">
        <w:rPr>
          <w:rFonts w:cs="Arial"/>
          <w:sz w:val="22"/>
          <w:szCs w:val="22"/>
        </w:rPr>
        <w:t>to</w:t>
      </w:r>
      <w:r w:rsidRPr="00D839EE">
        <w:rPr>
          <w:rFonts w:cs="Arial"/>
          <w:sz w:val="22"/>
          <w:szCs w:val="22"/>
        </w:rPr>
        <w:t xml:space="preserve"> </w:t>
      </w:r>
      <w:r w:rsidRPr="00D839EE" w:rsidR="0051723E">
        <w:rPr>
          <w:sz w:val="22"/>
          <w:szCs w:val="22"/>
        </w:rPr>
        <w:t>10 CFR</w:t>
      </w:r>
      <w:r w:rsidRPr="00D839EE" w:rsidR="000F2548">
        <w:rPr>
          <w:sz w:val="22"/>
          <w:szCs w:val="22"/>
        </w:rPr>
        <w:t> </w:t>
      </w:r>
      <w:r w:rsidRPr="00D839EE">
        <w:rPr>
          <w:rFonts w:cs="Arial"/>
          <w:sz w:val="22"/>
          <w:szCs w:val="22"/>
        </w:rPr>
        <w:t xml:space="preserve">2.109 </w:t>
      </w:r>
      <w:r w:rsidRPr="00D839EE">
        <w:rPr>
          <w:rFonts w:cs="Arial"/>
          <w:sz w:val="22"/>
          <w:szCs w:val="22"/>
        </w:rPr>
        <w:t>will</w:t>
      </w:r>
      <w:r w:rsidRPr="00D839EE">
        <w:rPr>
          <w:rFonts w:cs="Arial"/>
          <w:sz w:val="22"/>
          <w:szCs w:val="22"/>
        </w:rPr>
        <w:t xml:space="preserve"> require </w:t>
      </w:r>
      <w:r w:rsidRPr="00D839EE" w:rsidR="001D014C">
        <w:rPr>
          <w:rFonts w:cs="Arial"/>
          <w:sz w:val="22"/>
          <w:szCs w:val="22"/>
        </w:rPr>
        <w:t xml:space="preserve">certain </w:t>
      </w:r>
      <w:r w:rsidRPr="00D839EE">
        <w:rPr>
          <w:rFonts w:cs="Arial"/>
          <w:sz w:val="22"/>
          <w:szCs w:val="22"/>
        </w:rPr>
        <w:t xml:space="preserve">NPUF licensees to file an application for license renewal at least </w:t>
      </w:r>
      <w:r w:rsidR="007009C1">
        <w:rPr>
          <w:rFonts w:cs="Arial"/>
          <w:sz w:val="22"/>
          <w:szCs w:val="22"/>
        </w:rPr>
        <w:t>2</w:t>
      </w:r>
      <w:r w:rsidRPr="00D839EE">
        <w:rPr>
          <w:rFonts w:cs="Arial"/>
          <w:sz w:val="22"/>
          <w:szCs w:val="22"/>
        </w:rPr>
        <w:t xml:space="preserve"> years </w:t>
      </w:r>
      <w:r w:rsidRPr="00D839EE" w:rsidR="00471334">
        <w:rPr>
          <w:rFonts w:cs="Arial"/>
          <w:sz w:val="22"/>
          <w:szCs w:val="22"/>
        </w:rPr>
        <w:t xml:space="preserve">(rather than the current 30 days) </w:t>
      </w:r>
      <w:r w:rsidRPr="00D839EE">
        <w:rPr>
          <w:rFonts w:cs="Arial"/>
          <w:sz w:val="22"/>
          <w:szCs w:val="22"/>
        </w:rPr>
        <w:t xml:space="preserve">before the expiration of the existing license.  This </w:t>
      </w:r>
      <w:r w:rsidRPr="00D839EE">
        <w:rPr>
          <w:rFonts w:cs="Arial"/>
          <w:sz w:val="22"/>
          <w:szCs w:val="22"/>
        </w:rPr>
        <w:t>final</w:t>
      </w:r>
      <w:r w:rsidRPr="00D839EE">
        <w:rPr>
          <w:rFonts w:cs="Arial"/>
          <w:sz w:val="22"/>
          <w:szCs w:val="22"/>
        </w:rPr>
        <w:t xml:space="preserve"> rule provision </w:t>
      </w:r>
      <w:r w:rsidRPr="00D839EE">
        <w:rPr>
          <w:rFonts w:cs="Arial"/>
          <w:sz w:val="22"/>
          <w:szCs w:val="22"/>
        </w:rPr>
        <w:t>will</w:t>
      </w:r>
      <w:r w:rsidRPr="00D839EE">
        <w:rPr>
          <w:rFonts w:cs="Arial"/>
          <w:sz w:val="22"/>
          <w:szCs w:val="22"/>
        </w:rPr>
        <w:t xml:space="preserve"> not impose </w:t>
      </w:r>
      <w:r w:rsidR="0097487E">
        <w:rPr>
          <w:rFonts w:cs="Arial"/>
          <w:sz w:val="22"/>
          <w:szCs w:val="22"/>
        </w:rPr>
        <w:t>any significant</w:t>
      </w:r>
      <w:r w:rsidRPr="00D839EE">
        <w:rPr>
          <w:rFonts w:cs="Arial"/>
          <w:sz w:val="22"/>
          <w:szCs w:val="22"/>
        </w:rPr>
        <w:t xml:space="preserve"> incremental costs </w:t>
      </w:r>
      <w:r w:rsidR="0097487E">
        <w:rPr>
          <w:rFonts w:cs="Arial"/>
          <w:sz w:val="22"/>
          <w:szCs w:val="22"/>
        </w:rPr>
        <w:t xml:space="preserve">(see Section 3.5 for more information) </w:t>
      </w:r>
      <w:r w:rsidRPr="00D839EE">
        <w:rPr>
          <w:rFonts w:cs="Arial"/>
          <w:sz w:val="22"/>
          <w:szCs w:val="22"/>
        </w:rPr>
        <w:t>on the NPUF</w:t>
      </w:r>
      <w:r w:rsidRPr="00D839EE" w:rsidR="00393981">
        <w:rPr>
          <w:rFonts w:cs="Arial"/>
          <w:sz w:val="22"/>
          <w:szCs w:val="22"/>
        </w:rPr>
        <w:t>s</w:t>
      </w:r>
      <w:r w:rsidRPr="00D839EE">
        <w:rPr>
          <w:rFonts w:cs="Arial"/>
          <w:sz w:val="22"/>
          <w:szCs w:val="22"/>
        </w:rPr>
        <w:t xml:space="preserve"> that </w:t>
      </w:r>
      <w:r w:rsidRPr="00D839EE">
        <w:rPr>
          <w:rFonts w:cs="Arial"/>
          <w:sz w:val="22"/>
          <w:szCs w:val="22"/>
        </w:rPr>
        <w:t>will</w:t>
      </w:r>
      <w:r w:rsidRPr="00D839EE">
        <w:rPr>
          <w:rFonts w:cs="Arial"/>
          <w:sz w:val="22"/>
          <w:szCs w:val="22"/>
        </w:rPr>
        <w:t xml:space="preserve"> </w:t>
      </w:r>
      <w:r w:rsidRPr="00D839EE" w:rsidR="00393981">
        <w:rPr>
          <w:rFonts w:cs="Arial"/>
          <w:sz w:val="22"/>
          <w:szCs w:val="22"/>
        </w:rPr>
        <w:t xml:space="preserve">continue to </w:t>
      </w:r>
      <w:r w:rsidRPr="00D839EE">
        <w:rPr>
          <w:rFonts w:cs="Arial"/>
          <w:sz w:val="22"/>
          <w:szCs w:val="22"/>
        </w:rPr>
        <w:t xml:space="preserve">be subject to license renewal, as this activity occurs in the baseline, albeit at a different time (30 days before expiration of the existing license).  In addition, the NRC expects this </w:t>
      </w:r>
      <w:r w:rsidRPr="00D839EE">
        <w:rPr>
          <w:rFonts w:cs="Arial"/>
          <w:sz w:val="22"/>
          <w:szCs w:val="22"/>
        </w:rPr>
        <w:t>final</w:t>
      </w:r>
      <w:r w:rsidRPr="00D839EE">
        <w:rPr>
          <w:rFonts w:cs="Arial"/>
          <w:sz w:val="22"/>
          <w:szCs w:val="22"/>
        </w:rPr>
        <w:t xml:space="preserve"> rule change to provide cost savings </w:t>
      </w:r>
      <w:r w:rsidR="00AC410D">
        <w:rPr>
          <w:rFonts w:cs="Arial"/>
          <w:sz w:val="22"/>
          <w:szCs w:val="22"/>
        </w:rPr>
        <w:t>as a result of</w:t>
      </w:r>
      <w:r w:rsidRPr="00D839EE">
        <w:rPr>
          <w:rFonts w:cs="Arial"/>
          <w:sz w:val="22"/>
          <w:szCs w:val="22"/>
        </w:rPr>
        <w:t xml:space="preserve"> efficiency gains during the license renewal process.  </w:t>
      </w:r>
      <w:r w:rsidR="00AC410D">
        <w:rPr>
          <w:rFonts w:cs="Arial"/>
          <w:sz w:val="22"/>
          <w:szCs w:val="22"/>
        </w:rPr>
        <w:t>Although</w:t>
      </w:r>
      <w:r w:rsidRPr="00D839EE" w:rsidR="00AE4BB0">
        <w:rPr>
          <w:rFonts w:cs="Arial"/>
          <w:sz w:val="22"/>
          <w:szCs w:val="22"/>
        </w:rPr>
        <w:t xml:space="preserve"> this requirement </w:t>
      </w:r>
      <w:r w:rsidRPr="00D839EE">
        <w:rPr>
          <w:rFonts w:cs="Arial"/>
          <w:sz w:val="22"/>
          <w:szCs w:val="22"/>
        </w:rPr>
        <w:t>will</w:t>
      </w:r>
      <w:r w:rsidRPr="00D839EE" w:rsidR="00AE4BB0">
        <w:rPr>
          <w:rFonts w:cs="Arial"/>
          <w:sz w:val="22"/>
          <w:szCs w:val="22"/>
        </w:rPr>
        <w:t xml:space="preserve"> result in gain</w:t>
      </w:r>
      <w:r w:rsidRPr="00D839EE" w:rsidR="00B050BB">
        <w:rPr>
          <w:rFonts w:cs="Arial"/>
          <w:sz w:val="22"/>
          <w:szCs w:val="22"/>
        </w:rPr>
        <w:t>s</w:t>
      </w:r>
      <w:r w:rsidRPr="00D839EE" w:rsidR="00AE4BB0">
        <w:rPr>
          <w:rFonts w:cs="Arial"/>
          <w:sz w:val="22"/>
          <w:szCs w:val="22"/>
        </w:rPr>
        <w:t xml:space="preserve"> in efficiency during the license renewal process, the NRC </w:t>
      </w:r>
      <w:r w:rsidRPr="00D839EE" w:rsidR="00BA2AA1">
        <w:rPr>
          <w:rFonts w:cs="Arial"/>
          <w:sz w:val="22"/>
          <w:szCs w:val="22"/>
        </w:rPr>
        <w:t xml:space="preserve">did </w:t>
      </w:r>
      <w:r w:rsidRPr="00D839EE" w:rsidR="00AE4BB0">
        <w:rPr>
          <w:rFonts w:cs="Arial"/>
          <w:sz w:val="22"/>
          <w:szCs w:val="22"/>
        </w:rPr>
        <w:t>not attempt to quantify or monetize th</w:t>
      </w:r>
      <w:r w:rsidR="002E7E0C">
        <w:rPr>
          <w:rFonts w:cs="Arial"/>
          <w:sz w:val="22"/>
          <w:szCs w:val="22"/>
        </w:rPr>
        <w:t>i</w:t>
      </w:r>
      <w:r w:rsidRPr="00D839EE" w:rsidR="00AE4BB0">
        <w:rPr>
          <w:rFonts w:cs="Arial"/>
          <w:sz w:val="22"/>
          <w:szCs w:val="22"/>
        </w:rPr>
        <w:t xml:space="preserve">s </w:t>
      </w:r>
      <w:r w:rsidR="002E7E0C">
        <w:rPr>
          <w:rFonts w:cs="Arial"/>
          <w:sz w:val="22"/>
          <w:szCs w:val="22"/>
        </w:rPr>
        <w:t>improvement</w:t>
      </w:r>
      <w:r w:rsidRPr="00D839EE" w:rsidR="00AE4BB0">
        <w:rPr>
          <w:rFonts w:cs="Arial"/>
          <w:sz w:val="22"/>
          <w:szCs w:val="22"/>
        </w:rPr>
        <w:t>.</w:t>
      </w:r>
    </w:p>
    <w:p w:rsidR="00BF5AC4" w:rsidRPr="00D839EE" w:rsidP="00BF5AC4" w14:paraId="7F4938C6" w14:textId="77777777">
      <w:pPr>
        <w:ind w:left="720"/>
        <w:contextualSpacing/>
        <w:rPr>
          <w:rFonts w:cs="Arial"/>
          <w:sz w:val="22"/>
          <w:szCs w:val="22"/>
        </w:rPr>
      </w:pPr>
    </w:p>
    <w:p w:rsidR="00BF5AC4" w:rsidP="00346B95" w14:paraId="7F4938C7" w14:textId="517ADB4E">
      <w:pPr>
        <w:numPr>
          <w:ilvl w:val="0"/>
          <w:numId w:val="9"/>
        </w:numPr>
        <w:ind w:hanging="720"/>
        <w:contextualSpacing/>
        <w:rPr>
          <w:rFonts w:cs="Arial"/>
          <w:sz w:val="22"/>
          <w:szCs w:val="22"/>
        </w:rPr>
      </w:pPr>
      <w:r w:rsidRPr="00D839EE">
        <w:rPr>
          <w:rFonts w:cs="Arial"/>
          <w:sz w:val="22"/>
          <w:szCs w:val="22"/>
        </w:rPr>
        <w:t>C</w:t>
      </w:r>
      <w:r w:rsidRPr="00D839EE">
        <w:rPr>
          <w:rFonts w:cs="Arial"/>
          <w:sz w:val="22"/>
          <w:szCs w:val="22"/>
        </w:rPr>
        <w:t xml:space="preserve">hanges </w:t>
      </w:r>
      <w:r w:rsidR="00AC410D">
        <w:rPr>
          <w:rFonts w:cs="Arial"/>
          <w:sz w:val="22"/>
          <w:szCs w:val="22"/>
        </w:rPr>
        <w:t>to</w:t>
      </w:r>
      <w:r w:rsidRPr="00D839EE">
        <w:rPr>
          <w:rFonts w:cs="Arial"/>
          <w:sz w:val="22"/>
          <w:szCs w:val="22"/>
        </w:rPr>
        <w:t xml:space="preserve"> </w:t>
      </w:r>
      <w:r w:rsidR="00AC410D">
        <w:rPr>
          <w:rFonts w:cs="Arial"/>
          <w:sz w:val="22"/>
          <w:szCs w:val="22"/>
        </w:rPr>
        <w:t>10 CFR</w:t>
      </w:r>
      <w:r w:rsidRPr="00D839EE" w:rsidR="00F35D6B">
        <w:rPr>
          <w:sz w:val="22"/>
          <w:szCs w:val="22"/>
        </w:rPr>
        <w:t xml:space="preserve"> </w:t>
      </w:r>
      <w:r w:rsidRPr="00D839EE">
        <w:rPr>
          <w:rFonts w:cs="Arial"/>
          <w:sz w:val="22"/>
          <w:szCs w:val="22"/>
        </w:rPr>
        <w:t xml:space="preserve">50.2 </w:t>
      </w:r>
      <w:r w:rsidR="00552705">
        <w:rPr>
          <w:rFonts w:cs="Arial"/>
          <w:sz w:val="22"/>
          <w:szCs w:val="22"/>
        </w:rPr>
        <w:t>under the final rule</w:t>
      </w:r>
      <w:r w:rsidRPr="00D839EE">
        <w:rPr>
          <w:rFonts w:cs="Arial"/>
          <w:sz w:val="22"/>
          <w:szCs w:val="22"/>
        </w:rPr>
        <w:t xml:space="preserve"> </w:t>
      </w:r>
      <w:r w:rsidRPr="00D839EE">
        <w:rPr>
          <w:rFonts w:cs="Arial"/>
          <w:sz w:val="22"/>
          <w:szCs w:val="22"/>
        </w:rPr>
        <w:t>will</w:t>
      </w:r>
      <w:r w:rsidRPr="00D839EE">
        <w:rPr>
          <w:rFonts w:cs="Arial"/>
          <w:sz w:val="22"/>
          <w:szCs w:val="22"/>
        </w:rPr>
        <w:t xml:space="preserve"> </w:t>
      </w:r>
      <w:r w:rsidR="00F92957">
        <w:rPr>
          <w:rFonts w:cs="Arial"/>
          <w:sz w:val="22"/>
          <w:szCs w:val="22"/>
        </w:rPr>
        <w:t>revise the definitions of “non-power reactor,” “testing facility,” and “research reactor.”  T</w:t>
      </w:r>
      <w:r w:rsidRPr="00D839EE" w:rsidR="00F92957">
        <w:rPr>
          <w:rFonts w:cs="Arial"/>
          <w:sz w:val="22"/>
          <w:szCs w:val="22"/>
        </w:rPr>
        <w:t>h</w:t>
      </w:r>
      <w:r w:rsidR="00F92957">
        <w:rPr>
          <w:rFonts w:cs="Arial"/>
          <w:sz w:val="22"/>
          <w:szCs w:val="22"/>
        </w:rPr>
        <w:t>e</w:t>
      </w:r>
      <w:r w:rsidRPr="00D839EE" w:rsidR="00F92957">
        <w:rPr>
          <w:rFonts w:cs="Arial"/>
          <w:sz w:val="22"/>
          <w:szCs w:val="22"/>
        </w:rPr>
        <w:t>s</w:t>
      </w:r>
      <w:r w:rsidR="00F92957">
        <w:rPr>
          <w:rFonts w:cs="Arial"/>
          <w:sz w:val="22"/>
          <w:szCs w:val="22"/>
        </w:rPr>
        <w:t>e</w:t>
      </w:r>
      <w:r w:rsidRPr="00D839EE" w:rsidR="00F92957">
        <w:rPr>
          <w:rFonts w:cs="Arial"/>
          <w:sz w:val="22"/>
          <w:szCs w:val="22"/>
        </w:rPr>
        <w:t xml:space="preserve"> change</w:t>
      </w:r>
      <w:r w:rsidR="00F92957">
        <w:rPr>
          <w:rFonts w:cs="Arial"/>
          <w:sz w:val="22"/>
          <w:szCs w:val="22"/>
        </w:rPr>
        <w:t>s</w:t>
      </w:r>
      <w:r w:rsidRPr="00D839EE" w:rsidR="00F92957">
        <w:rPr>
          <w:rFonts w:cs="Arial"/>
          <w:sz w:val="22"/>
          <w:szCs w:val="22"/>
        </w:rPr>
        <w:t xml:space="preserve"> will not result in any </w:t>
      </w:r>
      <w:r w:rsidR="00675F31">
        <w:rPr>
          <w:rFonts w:cs="Arial"/>
          <w:sz w:val="22"/>
          <w:szCs w:val="22"/>
        </w:rPr>
        <w:t xml:space="preserve">quantifiable </w:t>
      </w:r>
      <w:r w:rsidR="00F92957">
        <w:rPr>
          <w:rFonts w:cs="Arial"/>
          <w:sz w:val="22"/>
          <w:szCs w:val="22"/>
        </w:rPr>
        <w:t>costs or cost</w:t>
      </w:r>
      <w:r w:rsidRPr="00D839EE" w:rsidR="00F92957">
        <w:rPr>
          <w:rFonts w:cs="Arial"/>
          <w:sz w:val="22"/>
          <w:szCs w:val="22"/>
        </w:rPr>
        <w:t xml:space="preserve"> savings during the 20-year period of analysis.</w:t>
      </w:r>
      <w:r w:rsidR="00F92957">
        <w:rPr>
          <w:rFonts w:cs="Arial"/>
          <w:sz w:val="22"/>
          <w:szCs w:val="22"/>
        </w:rPr>
        <w:t xml:space="preserve">  </w:t>
      </w:r>
    </w:p>
    <w:p w:rsidR="00F92957" w:rsidP="00B073B5" w14:paraId="7F4938C8" w14:textId="77777777">
      <w:pPr>
        <w:pStyle w:val="ListParagraph"/>
        <w:rPr>
          <w:rFonts w:cs="Arial"/>
          <w:sz w:val="22"/>
          <w:szCs w:val="22"/>
        </w:rPr>
      </w:pPr>
    </w:p>
    <w:p w:rsidR="00F92957" w:rsidRPr="00D839EE" w:rsidP="00F92957" w14:paraId="7F4938C9" w14:textId="5BAF10E9">
      <w:pPr>
        <w:ind w:left="720"/>
        <w:contextualSpacing/>
        <w:rPr>
          <w:rFonts w:cs="Arial"/>
          <w:sz w:val="22"/>
          <w:szCs w:val="22"/>
        </w:rPr>
      </w:pPr>
      <w:r>
        <w:rPr>
          <w:rFonts w:cs="Arial"/>
          <w:sz w:val="22"/>
          <w:szCs w:val="22"/>
        </w:rPr>
        <w:t>The final rule also makes conforming changes to</w:t>
      </w:r>
      <w:r w:rsidR="0091699F">
        <w:rPr>
          <w:rFonts w:cs="Arial"/>
          <w:sz w:val="22"/>
          <w:szCs w:val="22"/>
        </w:rPr>
        <w:t xml:space="preserve"> terminology used throughout 10 CFR </w:t>
      </w:r>
      <w:r>
        <w:rPr>
          <w:rFonts w:cs="Arial"/>
          <w:sz w:val="22"/>
          <w:szCs w:val="22"/>
        </w:rPr>
        <w:t xml:space="preserve">Chapter I.  </w:t>
      </w:r>
      <w:r w:rsidRPr="00F92957">
        <w:rPr>
          <w:rFonts w:cs="Arial"/>
          <w:sz w:val="22"/>
          <w:szCs w:val="22"/>
        </w:rPr>
        <w:t xml:space="preserve">Where appropriate, the NRC added, corrected, or standardized the terminology and definitions.  </w:t>
      </w:r>
      <w:r w:rsidRPr="00B073B5" w:rsidR="00B073B5">
        <w:rPr>
          <w:rFonts w:cs="Arial"/>
          <w:sz w:val="22"/>
          <w:szCs w:val="22"/>
        </w:rPr>
        <w:t>Additionally, the final rule standardizes the terminology in other parts of the regulations, where appropriate, to modify the intended scope of regulations citing “research and test reactors” to be either “non-power reactors” or “non-power production or utilization facilities.”</w:t>
      </w:r>
      <w:r w:rsidRPr="00F92957">
        <w:rPr>
          <w:rFonts w:cs="Arial"/>
          <w:sz w:val="22"/>
          <w:szCs w:val="22"/>
        </w:rPr>
        <w:t xml:space="preserve">  Also, where appropriate, the uses in other parts of the regulations for “testing facility,” “research reactor,” and “non</w:t>
      </w:r>
      <w:r w:rsidR="009F6273">
        <w:rPr>
          <w:rFonts w:cs="Arial"/>
          <w:sz w:val="22"/>
          <w:szCs w:val="22"/>
        </w:rPr>
        <w:noBreakHyphen/>
      </w:r>
      <w:r w:rsidRPr="00F92957">
        <w:rPr>
          <w:rFonts w:cs="Arial"/>
          <w:sz w:val="22"/>
          <w:szCs w:val="22"/>
        </w:rPr>
        <w:t xml:space="preserve">power reactor” are changed to only reference one definition in the part where that definition is used most, unless the specific meaning is needed and different for a given part.  These changes improve clarity by providing definitions for all NPUF-related terms where used in the regulations while removing the possibility for unintended consequences of possible errors </w:t>
      </w:r>
      <w:r w:rsidR="009F6273">
        <w:rPr>
          <w:rFonts w:cs="Arial"/>
          <w:sz w:val="22"/>
          <w:szCs w:val="22"/>
        </w:rPr>
        <w:t>as a result of</w:t>
      </w:r>
      <w:r w:rsidRPr="00F92957">
        <w:rPr>
          <w:rFonts w:cs="Arial"/>
          <w:sz w:val="22"/>
          <w:szCs w:val="22"/>
        </w:rPr>
        <w:t xml:space="preserve"> variations in definitions</w:t>
      </w:r>
      <w:r w:rsidR="009F6273">
        <w:rPr>
          <w:rFonts w:cs="Arial"/>
          <w:sz w:val="22"/>
          <w:szCs w:val="22"/>
        </w:rPr>
        <w:t>.</w:t>
      </w:r>
      <w:r>
        <w:rPr>
          <w:rFonts w:cs="Arial"/>
          <w:sz w:val="22"/>
          <w:szCs w:val="22"/>
        </w:rPr>
        <w:t xml:space="preserve"> </w:t>
      </w:r>
      <w:r w:rsidR="009F6273">
        <w:rPr>
          <w:rFonts w:cs="Arial"/>
          <w:sz w:val="22"/>
          <w:szCs w:val="22"/>
        </w:rPr>
        <w:t xml:space="preserve"> The changes </w:t>
      </w:r>
      <w:r>
        <w:rPr>
          <w:rFonts w:cs="Arial"/>
          <w:sz w:val="22"/>
          <w:szCs w:val="22"/>
        </w:rPr>
        <w:t>are not anticipated to impose</w:t>
      </w:r>
      <w:r w:rsidR="00F9436D">
        <w:rPr>
          <w:rFonts w:cs="Arial"/>
          <w:sz w:val="22"/>
          <w:szCs w:val="22"/>
        </w:rPr>
        <w:t xml:space="preserve"> quantifiable</w:t>
      </w:r>
      <w:r>
        <w:rPr>
          <w:rFonts w:cs="Arial"/>
          <w:sz w:val="22"/>
          <w:szCs w:val="22"/>
        </w:rPr>
        <w:t xml:space="preserve"> incremental costs or cost savings on licensees.</w:t>
      </w:r>
      <w:r w:rsidR="006A4490">
        <w:rPr>
          <w:rFonts w:cs="Arial"/>
          <w:sz w:val="22"/>
          <w:szCs w:val="22"/>
        </w:rPr>
        <w:t xml:space="preserve">  In a few instances, the</w:t>
      </w:r>
      <w:r w:rsidR="00E03D8E">
        <w:rPr>
          <w:rFonts w:cs="Arial"/>
          <w:sz w:val="22"/>
          <w:szCs w:val="22"/>
        </w:rPr>
        <w:t xml:space="preserve"> NRC replaced the</w:t>
      </w:r>
      <w:r w:rsidR="006A4490">
        <w:rPr>
          <w:rFonts w:cs="Arial"/>
          <w:sz w:val="22"/>
          <w:szCs w:val="22"/>
        </w:rPr>
        <w:t xml:space="preserve"> term </w:t>
      </w:r>
      <w:r w:rsidR="00BA1553">
        <w:rPr>
          <w:rFonts w:cs="Arial"/>
          <w:sz w:val="22"/>
          <w:szCs w:val="22"/>
        </w:rPr>
        <w:t>“</w:t>
      </w:r>
      <w:r w:rsidR="006A4490">
        <w:rPr>
          <w:rFonts w:cs="Arial"/>
          <w:sz w:val="22"/>
          <w:szCs w:val="22"/>
        </w:rPr>
        <w:t>non-power reactor</w:t>
      </w:r>
      <w:r w:rsidR="00BA1553">
        <w:rPr>
          <w:rFonts w:cs="Arial"/>
          <w:sz w:val="22"/>
          <w:szCs w:val="22"/>
        </w:rPr>
        <w:t>”</w:t>
      </w:r>
      <w:r w:rsidR="006A4490">
        <w:rPr>
          <w:rFonts w:cs="Arial"/>
          <w:sz w:val="22"/>
          <w:szCs w:val="22"/>
        </w:rPr>
        <w:t xml:space="preserve"> with </w:t>
      </w:r>
      <w:r w:rsidR="00BA1553">
        <w:rPr>
          <w:rFonts w:cs="Arial"/>
          <w:sz w:val="22"/>
          <w:szCs w:val="22"/>
        </w:rPr>
        <w:t>“</w:t>
      </w:r>
      <w:r w:rsidR="006A4490">
        <w:rPr>
          <w:rFonts w:cs="Arial"/>
          <w:sz w:val="22"/>
          <w:szCs w:val="22"/>
        </w:rPr>
        <w:t>non-power production or utilization facility</w:t>
      </w:r>
      <w:r w:rsidR="00BA1553">
        <w:rPr>
          <w:rFonts w:cs="Arial"/>
          <w:sz w:val="22"/>
          <w:szCs w:val="22"/>
        </w:rPr>
        <w:t>”</w:t>
      </w:r>
      <w:r w:rsidR="006A4490">
        <w:rPr>
          <w:rFonts w:cs="Arial"/>
          <w:sz w:val="22"/>
          <w:szCs w:val="22"/>
        </w:rPr>
        <w:t xml:space="preserve"> to include </w:t>
      </w:r>
      <w:r w:rsidR="006C02F0">
        <w:rPr>
          <w:rFonts w:cs="Arial"/>
          <w:sz w:val="22"/>
          <w:szCs w:val="22"/>
        </w:rPr>
        <w:t xml:space="preserve">potential </w:t>
      </w:r>
      <w:r w:rsidR="006A4490">
        <w:rPr>
          <w:rFonts w:cs="Arial"/>
          <w:sz w:val="22"/>
          <w:szCs w:val="22"/>
        </w:rPr>
        <w:t xml:space="preserve">future NPUF licensees, such as SHINE and NWMI.  However, in the absence of the </w:t>
      </w:r>
      <w:r w:rsidR="00AB17D3">
        <w:rPr>
          <w:rFonts w:cs="Arial"/>
          <w:sz w:val="22"/>
          <w:szCs w:val="22"/>
        </w:rPr>
        <w:t xml:space="preserve">final </w:t>
      </w:r>
      <w:r w:rsidR="006A4490">
        <w:rPr>
          <w:rFonts w:cs="Arial"/>
          <w:sz w:val="22"/>
          <w:szCs w:val="22"/>
        </w:rPr>
        <w:t>rule, the NRC anticipates that these requirements</w:t>
      </w:r>
      <w:r w:rsidR="00BA1553">
        <w:rPr>
          <w:rFonts w:cs="Arial"/>
          <w:sz w:val="22"/>
          <w:szCs w:val="22"/>
        </w:rPr>
        <w:t>, if applicable,</w:t>
      </w:r>
      <w:r w:rsidR="006A4490">
        <w:rPr>
          <w:rFonts w:cs="Arial"/>
          <w:sz w:val="22"/>
          <w:szCs w:val="22"/>
        </w:rPr>
        <w:t xml:space="preserve"> would be imposed on medical radioisotope facilities </w:t>
      </w:r>
      <w:r w:rsidR="00E03D8E">
        <w:rPr>
          <w:rFonts w:cs="Arial"/>
          <w:sz w:val="22"/>
          <w:szCs w:val="22"/>
        </w:rPr>
        <w:t>through</w:t>
      </w:r>
      <w:r w:rsidR="006A4490">
        <w:rPr>
          <w:rFonts w:cs="Arial"/>
          <w:sz w:val="22"/>
          <w:szCs w:val="22"/>
        </w:rPr>
        <w:t xml:space="preserve"> license conditions.  Therefore, these changes will not result in any </w:t>
      </w:r>
      <w:r w:rsidR="00F9436D">
        <w:rPr>
          <w:rFonts w:cs="Arial"/>
          <w:sz w:val="22"/>
          <w:szCs w:val="22"/>
        </w:rPr>
        <w:t xml:space="preserve">quantifiable incremental </w:t>
      </w:r>
      <w:r w:rsidR="006A4490">
        <w:rPr>
          <w:rFonts w:cs="Arial"/>
          <w:sz w:val="22"/>
          <w:szCs w:val="22"/>
        </w:rPr>
        <w:t>costs or cost savings during the 20-year period of analysis.</w:t>
      </w:r>
    </w:p>
    <w:p w:rsidR="00BF5AC4" w:rsidRPr="00D839EE" w:rsidP="00BF5AC4" w14:paraId="7F4938CA" w14:textId="77777777">
      <w:pPr>
        <w:ind w:left="720"/>
        <w:contextualSpacing/>
        <w:rPr>
          <w:rFonts w:cs="Arial"/>
          <w:sz w:val="22"/>
          <w:szCs w:val="22"/>
        </w:rPr>
      </w:pPr>
    </w:p>
    <w:p w:rsidR="00BF5AC4" w:rsidRPr="00D839EE" w:rsidP="00346B95" w14:paraId="7F4938CB" w14:textId="77777777">
      <w:pPr>
        <w:numPr>
          <w:ilvl w:val="0"/>
          <w:numId w:val="9"/>
        </w:numPr>
        <w:ind w:hanging="720"/>
        <w:contextualSpacing/>
        <w:rPr>
          <w:rFonts w:cs="Arial"/>
          <w:sz w:val="22"/>
          <w:szCs w:val="22"/>
        </w:rPr>
      </w:pPr>
      <w:r w:rsidRPr="00D839EE">
        <w:rPr>
          <w:rFonts w:cs="Arial"/>
          <w:sz w:val="22"/>
          <w:szCs w:val="22"/>
        </w:rPr>
        <w:t>C</w:t>
      </w:r>
      <w:r w:rsidRPr="00D839EE">
        <w:rPr>
          <w:rFonts w:cs="Arial"/>
          <w:sz w:val="22"/>
          <w:szCs w:val="22"/>
        </w:rPr>
        <w:t xml:space="preserve">hanges </w:t>
      </w:r>
      <w:r w:rsidR="002527C5">
        <w:rPr>
          <w:rFonts w:cs="Arial"/>
          <w:sz w:val="22"/>
          <w:szCs w:val="22"/>
        </w:rPr>
        <w:t>to</w:t>
      </w:r>
      <w:r w:rsidRPr="00D839EE">
        <w:rPr>
          <w:rFonts w:cs="Arial"/>
          <w:sz w:val="22"/>
          <w:szCs w:val="22"/>
        </w:rPr>
        <w:t xml:space="preserve"> </w:t>
      </w:r>
      <w:r w:rsidR="00F479DA">
        <w:rPr>
          <w:rFonts w:cs="Arial"/>
          <w:sz w:val="22"/>
          <w:szCs w:val="22"/>
        </w:rPr>
        <w:t>10 CFR </w:t>
      </w:r>
      <w:r w:rsidRPr="00D839EE">
        <w:rPr>
          <w:rFonts w:cs="Arial"/>
          <w:sz w:val="22"/>
          <w:szCs w:val="22"/>
        </w:rPr>
        <w:t xml:space="preserve">50.33(f)(2) </w:t>
      </w:r>
      <w:r w:rsidRPr="00D839EE">
        <w:rPr>
          <w:rFonts w:cs="Arial"/>
          <w:sz w:val="22"/>
          <w:szCs w:val="22"/>
        </w:rPr>
        <w:t>will</w:t>
      </w:r>
      <w:r w:rsidRPr="00D839EE">
        <w:rPr>
          <w:rFonts w:cs="Arial"/>
          <w:sz w:val="22"/>
          <w:szCs w:val="22"/>
        </w:rPr>
        <w:t xml:space="preserve"> </w:t>
      </w:r>
      <w:r w:rsidRPr="00D839EE" w:rsidR="009577E5">
        <w:rPr>
          <w:rFonts w:cs="Arial"/>
          <w:sz w:val="22"/>
          <w:szCs w:val="22"/>
        </w:rPr>
        <w:t>eliminate</w:t>
      </w:r>
      <w:r w:rsidRPr="00D839EE">
        <w:rPr>
          <w:rFonts w:cs="Arial"/>
          <w:sz w:val="22"/>
          <w:szCs w:val="22"/>
        </w:rPr>
        <w:t xml:space="preserve"> the requirement that </w:t>
      </w:r>
      <w:r w:rsidRPr="00D839EE" w:rsidR="00AD1363">
        <w:rPr>
          <w:rFonts w:cs="Arial"/>
          <w:sz w:val="22"/>
          <w:szCs w:val="22"/>
        </w:rPr>
        <w:t xml:space="preserve">NPUF </w:t>
      </w:r>
      <w:r w:rsidRPr="00D839EE">
        <w:rPr>
          <w:rFonts w:cs="Arial"/>
          <w:sz w:val="22"/>
          <w:szCs w:val="22"/>
        </w:rPr>
        <w:t>applicants need to submit financial information in their license renewal applications</w:t>
      </w:r>
      <w:r w:rsidRPr="00D839EE" w:rsidR="009A3F99">
        <w:rPr>
          <w:rFonts w:cs="Arial"/>
          <w:sz w:val="22"/>
          <w:szCs w:val="22"/>
        </w:rPr>
        <w:t xml:space="preserve"> that is</w:t>
      </w:r>
      <w:r w:rsidRPr="00D839EE">
        <w:rPr>
          <w:rFonts w:cs="Arial"/>
          <w:sz w:val="22"/>
          <w:szCs w:val="22"/>
        </w:rPr>
        <w:t xml:space="preserve"> equivalent to </w:t>
      </w:r>
      <w:r w:rsidRPr="00D839EE" w:rsidR="009A3F99">
        <w:rPr>
          <w:rFonts w:cs="Arial"/>
          <w:sz w:val="22"/>
          <w:szCs w:val="22"/>
        </w:rPr>
        <w:t xml:space="preserve">financial information </w:t>
      </w:r>
      <w:r w:rsidRPr="00D839EE">
        <w:rPr>
          <w:rFonts w:cs="Arial"/>
          <w:sz w:val="22"/>
          <w:szCs w:val="22"/>
        </w:rPr>
        <w:t xml:space="preserve">included at the time of initial licensing.  </w:t>
      </w:r>
      <w:r w:rsidR="006246DB">
        <w:rPr>
          <w:rFonts w:cs="Arial"/>
          <w:sz w:val="22"/>
          <w:szCs w:val="22"/>
        </w:rPr>
        <w:t>Although</w:t>
      </w:r>
      <w:r w:rsidRPr="00D839EE" w:rsidR="00AE4BB0">
        <w:rPr>
          <w:rFonts w:cs="Arial"/>
          <w:sz w:val="22"/>
          <w:szCs w:val="22"/>
        </w:rPr>
        <w:t xml:space="preserve"> this requirement </w:t>
      </w:r>
      <w:r w:rsidRPr="00D839EE">
        <w:rPr>
          <w:rFonts w:cs="Arial"/>
          <w:sz w:val="22"/>
          <w:szCs w:val="22"/>
        </w:rPr>
        <w:t>will</w:t>
      </w:r>
      <w:r w:rsidRPr="00D839EE" w:rsidR="00AE4BB0">
        <w:rPr>
          <w:rFonts w:cs="Arial"/>
          <w:sz w:val="22"/>
          <w:szCs w:val="22"/>
        </w:rPr>
        <w:t xml:space="preserve"> result in cost savings during the license renewal process, the NRC </w:t>
      </w:r>
      <w:r w:rsidRPr="00D839EE" w:rsidR="00BA2AA1">
        <w:rPr>
          <w:rFonts w:cs="Arial"/>
          <w:sz w:val="22"/>
          <w:szCs w:val="22"/>
        </w:rPr>
        <w:t>di</w:t>
      </w:r>
      <w:r w:rsidRPr="00D839EE" w:rsidR="00AE4BB0">
        <w:rPr>
          <w:rFonts w:cs="Arial"/>
          <w:sz w:val="22"/>
          <w:szCs w:val="22"/>
        </w:rPr>
        <w:t xml:space="preserve">d not attempt to quantify or monetize these </w:t>
      </w:r>
      <w:r w:rsidR="00EB4D09">
        <w:rPr>
          <w:rFonts w:cs="Arial"/>
          <w:sz w:val="22"/>
          <w:szCs w:val="22"/>
        </w:rPr>
        <w:t>savings given the small fraction of the review this represents and the narrow applicability of the new license renewal provision</w:t>
      </w:r>
      <w:r w:rsidRPr="00D839EE" w:rsidR="00AE4BB0">
        <w:rPr>
          <w:rFonts w:cs="Arial"/>
          <w:sz w:val="22"/>
          <w:szCs w:val="22"/>
        </w:rPr>
        <w:t>.</w:t>
      </w:r>
    </w:p>
    <w:p w:rsidR="00BF5AC4" w:rsidRPr="00D839EE" w:rsidP="00BF5AC4" w14:paraId="7F4938CC" w14:textId="77777777">
      <w:pPr>
        <w:ind w:left="720"/>
        <w:contextualSpacing/>
        <w:rPr>
          <w:rFonts w:cs="Arial"/>
          <w:sz w:val="22"/>
          <w:szCs w:val="22"/>
        </w:rPr>
      </w:pPr>
    </w:p>
    <w:p w:rsidR="00BF5AC4" w:rsidRPr="00D839EE" w:rsidP="00346B95" w14:paraId="7F4938CD" w14:textId="77777777">
      <w:pPr>
        <w:numPr>
          <w:ilvl w:val="0"/>
          <w:numId w:val="9"/>
        </w:numPr>
        <w:ind w:hanging="720"/>
        <w:contextualSpacing/>
        <w:rPr>
          <w:rFonts w:cs="Arial"/>
          <w:sz w:val="22"/>
          <w:szCs w:val="22"/>
        </w:rPr>
      </w:pPr>
      <w:r w:rsidRPr="00D839EE">
        <w:rPr>
          <w:rFonts w:cs="Arial"/>
          <w:sz w:val="22"/>
          <w:szCs w:val="22"/>
        </w:rPr>
        <w:t>C</w:t>
      </w:r>
      <w:r w:rsidRPr="00D839EE">
        <w:rPr>
          <w:rFonts w:cs="Arial"/>
          <w:sz w:val="22"/>
          <w:szCs w:val="22"/>
        </w:rPr>
        <w:t xml:space="preserve">hanges </w:t>
      </w:r>
      <w:r w:rsidR="006246DB">
        <w:rPr>
          <w:rFonts w:cs="Arial"/>
          <w:sz w:val="22"/>
          <w:szCs w:val="22"/>
        </w:rPr>
        <w:t>to</w:t>
      </w:r>
      <w:r w:rsidRPr="00D839EE">
        <w:rPr>
          <w:rFonts w:cs="Arial"/>
          <w:sz w:val="22"/>
          <w:szCs w:val="22"/>
        </w:rPr>
        <w:t xml:space="preserve"> </w:t>
      </w:r>
      <w:r w:rsidR="006246DB">
        <w:rPr>
          <w:rFonts w:cs="Arial"/>
          <w:sz w:val="22"/>
          <w:szCs w:val="22"/>
        </w:rPr>
        <w:t>10 CFR</w:t>
      </w:r>
      <w:r w:rsidRPr="00D839EE" w:rsidR="00F35D6B">
        <w:rPr>
          <w:sz w:val="22"/>
          <w:szCs w:val="22"/>
        </w:rPr>
        <w:t xml:space="preserve"> </w:t>
      </w:r>
      <w:r w:rsidRPr="00D839EE">
        <w:rPr>
          <w:rFonts w:cs="Arial"/>
          <w:sz w:val="22"/>
          <w:szCs w:val="22"/>
        </w:rPr>
        <w:t xml:space="preserve">50.34 </w:t>
      </w:r>
      <w:r w:rsidRPr="00D839EE">
        <w:rPr>
          <w:rFonts w:cs="Arial"/>
          <w:sz w:val="22"/>
          <w:szCs w:val="22"/>
        </w:rPr>
        <w:t>will</w:t>
      </w:r>
      <w:r w:rsidRPr="00D839EE">
        <w:rPr>
          <w:rFonts w:cs="Arial"/>
          <w:sz w:val="22"/>
          <w:szCs w:val="22"/>
        </w:rPr>
        <w:t xml:space="preserve"> establish </w:t>
      </w:r>
      <w:r w:rsidRPr="00D839EE" w:rsidR="00447F80">
        <w:rPr>
          <w:rFonts w:cs="Arial"/>
          <w:sz w:val="22"/>
          <w:szCs w:val="22"/>
        </w:rPr>
        <w:t xml:space="preserve">an </w:t>
      </w:r>
      <w:r w:rsidRPr="00D839EE">
        <w:rPr>
          <w:rFonts w:cs="Arial"/>
          <w:sz w:val="22"/>
          <w:szCs w:val="22"/>
        </w:rPr>
        <w:t>accident dose criteri</w:t>
      </w:r>
      <w:r w:rsidRPr="00D839EE" w:rsidR="00447F80">
        <w:rPr>
          <w:rFonts w:cs="Arial"/>
          <w:sz w:val="22"/>
          <w:szCs w:val="22"/>
        </w:rPr>
        <w:t>on</w:t>
      </w:r>
      <w:r w:rsidRPr="00D839EE">
        <w:rPr>
          <w:rFonts w:cs="Arial"/>
          <w:sz w:val="22"/>
          <w:szCs w:val="22"/>
        </w:rPr>
        <w:t xml:space="preserve"> for </w:t>
      </w:r>
      <w:r w:rsidRPr="00AA6761" w:rsidR="006C02F0">
        <w:rPr>
          <w:sz w:val="22"/>
          <w:szCs w:val="22"/>
        </w:rPr>
        <w:t>NPUFs other than testing facilities</w:t>
      </w:r>
      <w:r w:rsidRPr="00D839EE">
        <w:rPr>
          <w:rFonts w:cs="Arial"/>
          <w:sz w:val="22"/>
          <w:szCs w:val="22"/>
        </w:rPr>
        <w:t xml:space="preserve">.  Existing licensees </w:t>
      </w:r>
      <w:r w:rsidRPr="00D839EE">
        <w:rPr>
          <w:rFonts w:cs="Arial"/>
          <w:sz w:val="22"/>
          <w:szCs w:val="22"/>
        </w:rPr>
        <w:t>will</w:t>
      </w:r>
      <w:r w:rsidRPr="00D839EE">
        <w:rPr>
          <w:rFonts w:cs="Arial"/>
          <w:sz w:val="22"/>
          <w:szCs w:val="22"/>
        </w:rPr>
        <w:t xml:space="preserve"> not need to change any existing practices.  Therefore, this provision </w:t>
      </w:r>
      <w:r w:rsidRPr="00D839EE">
        <w:rPr>
          <w:rFonts w:cs="Arial"/>
          <w:sz w:val="22"/>
          <w:szCs w:val="22"/>
        </w:rPr>
        <w:t>will</w:t>
      </w:r>
      <w:r w:rsidRPr="00D839EE">
        <w:rPr>
          <w:rFonts w:cs="Arial"/>
          <w:sz w:val="22"/>
          <w:szCs w:val="22"/>
        </w:rPr>
        <w:t xml:space="preserve"> not impose incremental costs on licensees.</w:t>
      </w:r>
    </w:p>
    <w:p w:rsidR="00C2030C" w:rsidRPr="00D839EE" w:rsidP="00346B95" w14:paraId="7F4938CE" w14:textId="77777777">
      <w:pPr>
        <w:ind w:hanging="720"/>
        <w:contextualSpacing/>
        <w:rPr>
          <w:rFonts w:cs="Arial"/>
          <w:sz w:val="22"/>
          <w:szCs w:val="22"/>
        </w:rPr>
      </w:pPr>
    </w:p>
    <w:p w:rsidR="00BF5AC4" w:rsidRPr="00D839EE" w:rsidP="00346B95" w14:paraId="7F4938CF" w14:textId="77777777">
      <w:pPr>
        <w:numPr>
          <w:ilvl w:val="0"/>
          <w:numId w:val="9"/>
        </w:numPr>
        <w:ind w:hanging="720"/>
        <w:contextualSpacing/>
        <w:rPr>
          <w:rFonts w:cs="Arial"/>
          <w:sz w:val="22"/>
          <w:szCs w:val="22"/>
        </w:rPr>
      </w:pPr>
      <w:r w:rsidRPr="00D839EE">
        <w:rPr>
          <w:rFonts w:cs="Arial"/>
          <w:sz w:val="22"/>
          <w:szCs w:val="22"/>
        </w:rPr>
        <w:t>C</w:t>
      </w:r>
      <w:r w:rsidRPr="00D839EE">
        <w:rPr>
          <w:rFonts w:cs="Arial"/>
          <w:sz w:val="22"/>
          <w:szCs w:val="22"/>
        </w:rPr>
        <w:t xml:space="preserve">hanges </w:t>
      </w:r>
      <w:r w:rsidR="006246DB">
        <w:rPr>
          <w:rFonts w:cs="Arial"/>
          <w:sz w:val="22"/>
          <w:szCs w:val="22"/>
        </w:rPr>
        <w:t>to</w:t>
      </w:r>
      <w:r w:rsidR="00D87F3C">
        <w:rPr>
          <w:rFonts w:cs="Arial"/>
          <w:sz w:val="22"/>
          <w:szCs w:val="22"/>
        </w:rPr>
        <w:t xml:space="preserve"> </w:t>
      </w:r>
      <w:r w:rsidR="006246DB">
        <w:rPr>
          <w:sz w:val="22"/>
          <w:szCs w:val="22"/>
        </w:rPr>
        <w:t>10 CFR</w:t>
      </w:r>
      <w:r w:rsidRPr="00D839EE" w:rsidR="00F35D6B">
        <w:rPr>
          <w:sz w:val="22"/>
          <w:szCs w:val="22"/>
        </w:rPr>
        <w:t xml:space="preserve"> </w:t>
      </w:r>
      <w:r w:rsidRPr="00D839EE">
        <w:rPr>
          <w:rFonts w:cs="Arial"/>
          <w:sz w:val="22"/>
          <w:szCs w:val="22"/>
        </w:rPr>
        <w:t xml:space="preserve">50.59(b) </w:t>
      </w:r>
      <w:r w:rsidRPr="00D839EE">
        <w:rPr>
          <w:rFonts w:cs="Arial"/>
          <w:sz w:val="22"/>
          <w:szCs w:val="22"/>
        </w:rPr>
        <w:t>will</w:t>
      </w:r>
      <w:r w:rsidRPr="00D839EE">
        <w:rPr>
          <w:rFonts w:cs="Arial"/>
          <w:sz w:val="22"/>
          <w:szCs w:val="22"/>
        </w:rPr>
        <w:t xml:space="preserve"> extend the applicability of </w:t>
      </w:r>
      <w:r w:rsidR="006246DB">
        <w:rPr>
          <w:rFonts w:cs="Arial"/>
          <w:sz w:val="22"/>
          <w:szCs w:val="22"/>
        </w:rPr>
        <w:t>10 CFR </w:t>
      </w:r>
      <w:r w:rsidRPr="00D839EE">
        <w:rPr>
          <w:rFonts w:cs="Arial"/>
          <w:sz w:val="22"/>
          <w:szCs w:val="22"/>
        </w:rPr>
        <w:t xml:space="preserve">50.59 to NPUFs that have permanently ceased operations and returned fuel to </w:t>
      </w:r>
      <w:r w:rsidR="00AE779E">
        <w:rPr>
          <w:rFonts w:cs="Arial"/>
          <w:sz w:val="22"/>
          <w:szCs w:val="22"/>
        </w:rPr>
        <w:t>the U.S. Department of Energy</w:t>
      </w:r>
      <w:r w:rsidRPr="00D839EE">
        <w:rPr>
          <w:rFonts w:cs="Arial"/>
          <w:sz w:val="22"/>
          <w:szCs w:val="22"/>
        </w:rPr>
        <w:t xml:space="preserve">.  </w:t>
      </w:r>
      <w:r w:rsidR="00BA1553">
        <w:rPr>
          <w:rFonts w:cs="Arial"/>
          <w:sz w:val="22"/>
          <w:szCs w:val="22"/>
        </w:rPr>
        <w:t>This will allow licensees</w:t>
      </w:r>
      <w:r w:rsidR="00B33B48">
        <w:rPr>
          <w:rFonts w:cs="Arial"/>
          <w:sz w:val="22"/>
          <w:szCs w:val="22"/>
        </w:rPr>
        <w:t>,</w:t>
      </w:r>
      <w:r w:rsidR="00BA1553">
        <w:rPr>
          <w:rFonts w:cs="Arial"/>
          <w:sz w:val="22"/>
          <w:szCs w:val="22"/>
        </w:rPr>
        <w:t xml:space="preserve"> in some cases, to make changes without the additional burden of requesting prior NRC approval.  </w:t>
      </w:r>
      <w:r w:rsidRPr="00D839EE" w:rsidR="00911DF2">
        <w:rPr>
          <w:rFonts w:cs="Arial"/>
          <w:sz w:val="22"/>
          <w:szCs w:val="22"/>
        </w:rPr>
        <w:t xml:space="preserve">For the purposes of this analysis, the NRC </w:t>
      </w:r>
      <w:r w:rsidRPr="00D839EE" w:rsidR="005973AD">
        <w:rPr>
          <w:rFonts w:cs="Arial"/>
          <w:sz w:val="22"/>
          <w:szCs w:val="22"/>
        </w:rPr>
        <w:t xml:space="preserve">does not </w:t>
      </w:r>
      <w:r w:rsidRPr="00D839EE" w:rsidR="00D97625">
        <w:rPr>
          <w:rFonts w:cs="Arial"/>
          <w:sz w:val="22"/>
          <w:szCs w:val="22"/>
        </w:rPr>
        <w:t>anticipate</w:t>
      </w:r>
      <w:r w:rsidRPr="00D839EE" w:rsidR="005973AD">
        <w:rPr>
          <w:rFonts w:cs="Arial"/>
          <w:sz w:val="22"/>
          <w:szCs w:val="22"/>
        </w:rPr>
        <w:t xml:space="preserve"> </w:t>
      </w:r>
      <w:r w:rsidR="00D87F3C">
        <w:rPr>
          <w:rFonts w:cs="Arial"/>
          <w:sz w:val="22"/>
          <w:szCs w:val="22"/>
        </w:rPr>
        <w:t>operating</w:t>
      </w:r>
      <w:r w:rsidRPr="00D839EE" w:rsidR="00D87F3C">
        <w:rPr>
          <w:rFonts w:cs="Arial"/>
          <w:sz w:val="22"/>
          <w:szCs w:val="22"/>
        </w:rPr>
        <w:t xml:space="preserve"> </w:t>
      </w:r>
      <w:r w:rsidRPr="00D839EE" w:rsidR="00911DF2">
        <w:rPr>
          <w:rFonts w:cs="Arial"/>
          <w:sz w:val="22"/>
          <w:szCs w:val="22"/>
        </w:rPr>
        <w:t xml:space="preserve">NPUF licensees </w:t>
      </w:r>
      <w:r w:rsidR="002B2F55">
        <w:rPr>
          <w:rFonts w:cs="Arial"/>
          <w:sz w:val="22"/>
          <w:szCs w:val="22"/>
        </w:rPr>
        <w:t>will</w:t>
      </w:r>
      <w:r w:rsidRPr="00D839EE" w:rsidR="00911DF2">
        <w:rPr>
          <w:rFonts w:cs="Arial"/>
          <w:sz w:val="22"/>
          <w:szCs w:val="22"/>
        </w:rPr>
        <w:t xml:space="preserve"> permanently cease operations</w:t>
      </w:r>
      <w:r w:rsidRPr="00D839EE" w:rsidR="005973AD">
        <w:rPr>
          <w:rFonts w:cs="Arial"/>
          <w:sz w:val="22"/>
          <w:szCs w:val="22"/>
        </w:rPr>
        <w:t xml:space="preserve"> and retur</w:t>
      </w:r>
      <w:r w:rsidR="0091699F">
        <w:rPr>
          <w:rFonts w:cs="Arial"/>
          <w:sz w:val="22"/>
          <w:szCs w:val="22"/>
        </w:rPr>
        <w:t xml:space="preserve">n </w:t>
      </w:r>
      <w:r w:rsidR="00AE779E">
        <w:rPr>
          <w:rFonts w:cs="Arial"/>
          <w:sz w:val="22"/>
          <w:szCs w:val="22"/>
        </w:rPr>
        <w:t xml:space="preserve">their </w:t>
      </w:r>
      <w:r w:rsidR="0091699F">
        <w:rPr>
          <w:rFonts w:cs="Arial"/>
          <w:sz w:val="22"/>
          <w:szCs w:val="22"/>
        </w:rPr>
        <w:t>fuel during the 20</w:t>
      </w:r>
      <w:r w:rsidR="0091699F">
        <w:rPr>
          <w:rFonts w:cs="Arial"/>
          <w:sz w:val="22"/>
          <w:szCs w:val="22"/>
        </w:rPr>
        <w:noBreakHyphen/>
      </w:r>
      <w:r w:rsidRPr="00D839EE" w:rsidR="005973AD">
        <w:rPr>
          <w:rFonts w:cs="Arial"/>
          <w:sz w:val="22"/>
          <w:szCs w:val="22"/>
        </w:rPr>
        <w:t>year period of analysis</w:t>
      </w:r>
      <w:r w:rsidRPr="00D839EE" w:rsidR="00911DF2">
        <w:rPr>
          <w:rFonts w:cs="Arial"/>
          <w:sz w:val="22"/>
          <w:szCs w:val="22"/>
        </w:rPr>
        <w:t>.</w:t>
      </w:r>
      <w:r w:rsidRPr="00D839EE" w:rsidR="005973AD">
        <w:rPr>
          <w:rFonts w:cs="Arial"/>
          <w:sz w:val="22"/>
          <w:szCs w:val="22"/>
        </w:rPr>
        <w:t xml:space="preserve">  Therefore, t</w:t>
      </w:r>
      <w:r w:rsidRPr="00D839EE">
        <w:rPr>
          <w:rFonts w:cs="Arial"/>
          <w:sz w:val="22"/>
          <w:szCs w:val="22"/>
        </w:rPr>
        <w:t xml:space="preserve">his administrative change </w:t>
      </w:r>
      <w:r w:rsidRPr="00D839EE">
        <w:rPr>
          <w:rFonts w:cs="Arial"/>
          <w:sz w:val="22"/>
          <w:szCs w:val="22"/>
        </w:rPr>
        <w:t>will</w:t>
      </w:r>
      <w:r w:rsidRPr="00D839EE">
        <w:rPr>
          <w:rFonts w:cs="Arial"/>
          <w:sz w:val="22"/>
          <w:szCs w:val="22"/>
        </w:rPr>
        <w:t xml:space="preserve"> </w:t>
      </w:r>
      <w:r w:rsidRPr="00D839EE" w:rsidR="005973AD">
        <w:rPr>
          <w:rFonts w:cs="Arial"/>
          <w:sz w:val="22"/>
          <w:szCs w:val="22"/>
        </w:rPr>
        <w:t xml:space="preserve">not </w:t>
      </w:r>
      <w:r w:rsidRPr="00D839EE">
        <w:rPr>
          <w:rFonts w:cs="Arial"/>
          <w:sz w:val="22"/>
          <w:szCs w:val="22"/>
        </w:rPr>
        <w:t xml:space="preserve">result in </w:t>
      </w:r>
      <w:r w:rsidRPr="00D839EE" w:rsidR="005973AD">
        <w:rPr>
          <w:rFonts w:cs="Arial"/>
          <w:sz w:val="22"/>
          <w:szCs w:val="22"/>
        </w:rPr>
        <w:t xml:space="preserve">any </w:t>
      </w:r>
      <w:r w:rsidR="00D87F3C">
        <w:rPr>
          <w:rFonts w:cs="Arial"/>
          <w:sz w:val="22"/>
          <w:szCs w:val="22"/>
        </w:rPr>
        <w:t xml:space="preserve">quantifiable incremental </w:t>
      </w:r>
      <w:r w:rsidRPr="00D839EE">
        <w:rPr>
          <w:rFonts w:cs="Arial"/>
          <w:sz w:val="22"/>
          <w:szCs w:val="22"/>
        </w:rPr>
        <w:t>cost savings</w:t>
      </w:r>
      <w:r w:rsidRPr="00D839EE" w:rsidR="00D97625">
        <w:rPr>
          <w:rFonts w:cs="Arial"/>
          <w:sz w:val="22"/>
          <w:szCs w:val="22"/>
        </w:rPr>
        <w:t xml:space="preserve"> during the 20-year period of analysis</w:t>
      </w:r>
      <w:r w:rsidRPr="00D839EE">
        <w:rPr>
          <w:rFonts w:cs="Arial"/>
          <w:sz w:val="22"/>
          <w:szCs w:val="22"/>
        </w:rPr>
        <w:t>.</w:t>
      </w:r>
      <w:r w:rsidR="00FD7526">
        <w:rPr>
          <w:rFonts w:cs="Arial"/>
          <w:sz w:val="22"/>
          <w:szCs w:val="22"/>
        </w:rPr>
        <w:t xml:space="preserve">  See Section 3.6.3 for sensitivities around decommissioning. </w:t>
      </w:r>
    </w:p>
    <w:p w:rsidR="00BF5AC4" w:rsidRPr="00D839EE" w:rsidP="00346B95" w14:paraId="7F4938D0" w14:textId="77777777">
      <w:pPr>
        <w:ind w:left="720" w:hanging="720"/>
        <w:contextualSpacing/>
        <w:rPr>
          <w:rFonts w:cs="Arial"/>
          <w:sz w:val="22"/>
          <w:szCs w:val="22"/>
        </w:rPr>
      </w:pPr>
    </w:p>
    <w:p w:rsidR="00BF5AC4" w:rsidRPr="00D839EE" w:rsidP="00346B95" w14:paraId="7F4938D1" w14:textId="77777777">
      <w:pPr>
        <w:numPr>
          <w:ilvl w:val="0"/>
          <w:numId w:val="9"/>
        </w:numPr>
        <w:ind w:hanging="720"/>
        <w:contextualSpacing/>
        <w:rPr>
          <w:rFonts w:cs="Arial"/>
          <w:sz w:val="22"/>
          <w:szCs w:val="22"/>
        </w:rPr>
      </w:pPr>
      <w:r w:rsidRPr="00D839EE">
        <w:rPr>
          <w:rFonts w:cs="Arial"/>
          <w:sz w:val="22"/>
          <w:szCs w:val="22"/>
        </w:rPr>
        <w:t>C</w:t>
      </w:r>
      <w:r w:rsidRPr="00D839EE">
        <w:rPr>
          <w:rFonts w:cs="Arial"/>
          <w:sz w:val="22"/>
          <w:szCs w:val="22"/>
        </w:rPr>
        <w:t xml:space="preserve">hanges </w:t>
      </w:r>
      <w:r w:rsidR="006246DB">
        <w:rPr>
          <w:rFonts w:cs="Arial"/>
          <w:sz w:val="22"/>
          <w:szCs w:val="22"/>
        </w:rPr>
        <w:t>to</w:t>
      </w:r>
      <w:r w:rsidRPr="00D839EE">
        <w:rPr>
          <w:rFonts w:cs="Arial"/>
          <w:sz w:val="22"/>
          <w:szCs w:val="22"/>
        </w:rPr>
        <w:t xml:space="preserve"> </w:t>
      </w:r>
      <w:r w:rsidR="006246DB">
        <w:rPr>
          <w:rFonts w:cs="Arial"/>
          <w:sz w:val="22"/>
          <w:szCs w:val="22"/>
        </w:rPr>
        <w:t>10 CFR</w:t>
      </w:r>
      <w:r w:rsidRPr="00D839EE" w:rsidR="00F35D6B">
        <w:rPr>
          <w:sz w:val="22"/>
          <w:szCs w:val="22"/>
        </w:rPr>
        <w:t xml:space="preserve"> </w:t>
      </w:r>
      <w:r w:rsidRPr="00D839EE">
        <w:rPr>
          <w:rFonts w:cs="Arial"/>
          <w:sz w:val="22"/>
          <w:szCs w:val="22"/>
        </w:rPr>
        <w:t>50.82</w:t>
      </w:r>
      <w:r w:rsidR="00BD55D2">
        <w:rPr>
          <w:rFonts w:cs="Arial"/>
          <w:sz w:val="22"/>
          <w:szCs w:val="22"/>
        </w:rPr>
        <w:t xml:space="preserve">, “Termination of </w:t>
      </w:r>
      <w:r w:rsidR="00EB4D09">
        <w:rPr>
          <w:rFonts w:cs="Arial"/>
          <w:sz w:val="22"/>
          <w:szCs w:val="22"/>
        </w:rPr>
        <w:t>l</w:t>
      </w:r>
      <w:r w:rsidR="00BD55D2">
        <w:rPr>
          <w:rFonts w:cs="Arial"/>
          <w:sz w:val="22"/>
          <w:szCs w:val="22"/>
        </w:rPr>
        <w:t>icense,”</w:t>
      </w:r>
      <w:r w:rsidRPr="00D839EE">
        <w:rPr>
          <w:rFonts w:cs="Arial"/>
          <w:sz w:val="22"/>
          <w:szCs w:val="22"/>
        </w:rPr>
        <w:t xml:space="preserve"> </w:t>
      </w:r>
      <w:r w:rsidRPr="00D839EE">
        <w:rPr>
          <w:rFonts w:cs="Arial"/>
          <w:sz w:val="22"/>
          <w:szCs w:val="22"/>
        </w:rPr>
        <w:t>will</w:t>
      </w:r>
      <w:r w:rsidRPr="00D839EE">
        <w:rPr>
          <w:rFonts w:cs="Arial"/>
          <w:sz w:val="22"/>
          <w:szCs w:val="22"/>
        </w:rPr>
        <w:t xml:space="preserve"> make conforming changes to existing requirements to align terminology and existing requirements </w:t>
      </w:r>
      <w:r w:rsidR="00B37394">
        <w:rPr>
          <w:rFonts w:cs="Arial"/>
          <w:sz w:val="22"/>
          <w:szCs w:val="22"/>
        </w:rPr>
        <w:t>with</w:t>
      </w:r>
      <w:r w:rsidRPr="00D839EE">
        <w:rPr>
          <w:rFonts w:cs="Arial"/>
          <w:sz w:val="22"/>
          <w:szCs w:val="22"/>
        </w:rPr>
        <w:t xml:space="preserve"> the </w:t>
      </w:r>
      <w:r w:rsidR="00367C20">
        <w:rPr>
          <w:rFonts w:cs="Arial"/>
          <w:sz w:val="22"/>
          <w:szCs w:val="22"/>
        </w:rPr>
        <w:t xml:space="preserve">final rule’s </w:t>
      </w:r>
      <w:r w:rsidRPr="00D839EE">
        <w:rPr>
          <w:rFonts w:cs="Arial"/>
          <w:sz w:val="22"/>
          <w:szCs w:val="22"/>
        </w:rPr>
        <w:t>terminology and non</w:t>
      </w:r>
      <w:r w:rsidR="005A145F">
        <w:rPr>
          <w:rFonts w:cs="Arial"/>
          <w:sz w:val="22"/>
          <w:szCs w:val="22"/>
        </w:rPr>
        <w:t>-</w:t>
      </w:r>
      <w:r w:rsidRPr="00D839EE">
        <w:rPr>
          <w:rFonts w:cs="Arial"/>
          <w:sz w:val="22"/>
          <w:szCs w:val="22"/>
        </w:rPr>
        <w:t>expiring license terms.  The</w:t>
      </w:r>
      <w:r w:rsidR="00FD7526">
        <w:rPr>
          <w:rFonts w:cs="Arial"/>
          <w:sz w:val="22"/>
          <w:szCs w:val="22"/>
        </w:rPr>
        <w:t xml:space="preserve"> costs associated with the</w:t>
      </w:r>
      <w:r w:rsidRPr="00D839EE">
        <w:rPr>
          <w:rFonts w:cs="Arial"/>
          <w:sz w:val="22"/>
          <w:szCs w:val="22"/>
        </w:rPr>
        <w:t xml:space="preserve">se administrative changes </w:t>
      </w:r>
      <w:r w:rsidR="00FD7526">
        <w:rPr>
          <w:rFonts w:cs="Arial"/>
          <w:sz w:val="22"/>
          <w:szCs w:val="22"/>
        </w:rPr>
        <w:t>are accounted for in the model through guidance and training costs for NRC and implementation costs for licensees (see Section 3.3.3 and 3.3.4).</w:t>
      </w:r>
    </w:p>
    <w:p w:rsidR="00BF5AC4" w:rsidRPr="00D839EE" w:rsidP="00346B95" w14:paraId="7F4938D2" w14:textId="77777777">
      <w:pPr>
        <w:ind w:left="720" w:hanging="720"/>
        <w:contextualSpacing/>
        <w:rPr>
          <w:rFonts w:cs="Arial"/>
          <w:sz w:val="22"/>
          <w:szCs w:val="22"/>
        </w:rPr>
      </w:pPr>
    </w:p>
    <w:p w:rsidR="00BF5AC4" w:rsidRPr="00D839EE" w:rsidP="00346B95" w14:paraId="7F4938D3" w14:textId="77777777">
      <w:pPr>
        <w:numPr>
          <w:ilvl w:val="0"/>
          <w:numId w:val="9"/>
        </w:numPr>
        <w:spacing w:after="220"/>
        <w:ind w:hanging="720"/>
        <w:rPr>
          <w:rFonts w:cs="Arial"/>
          <w:sz w:val="22"/>
          <w:szCs w:val="22"/>
        </w:rPr>
      </w:pPr>
      <w:r>
        <w:rPr>
          <w:rFonts w:cs="Arial"/>
          <w:sz w:val="22"/>
          <w:szCs w:val="22"/>
        </w:rPr>
        <w:t>The n</w:t>
      </w:r>
      <w:r w:rsidRPr="00D839EE" w:rsidR="00BC5E9F">
        <w:rPr>
          <w:rFonts w:cs="Arial"/>
          <w:sz w:val="22"/>
          <w:szCs w:val="22"/>
        </w:rPr>
        <w:t>ew</w:t>
      </w:r>
      <w:r w:rsidRPr="00D839EE">
        <w:rPr>
          <w:rFonts w:cs="Arial"/>
          <w:sz w:val="22"/>
          <w:szCs w:val="22"/>
        </w:rPr>
        <w:t xml:space="preserve"> </w:t>
      </w:r>
      <w:r>
        <w:rPr>
          <w:rFonts w:cs="Arial"/>
          <w:sz w:val="22"/>
          <w:szCs w:val="22"/>
        </w:rPr>
        <w:t>10 CFR</w:t>
      </w:r>
      <w:r w:rsidRPr="00D839EE" w:rsidR="00F35D6B">
        <w:rPr>
          <w:sz w:val="22"/>
          <w:szCs w:val="22"/>
        </w:rPr>
        <w:t xml:space="preserve"> </w:t>
      </w:r>
      <w:r w:rsidRPr="00D839EE">
        <w:rPr>
          <w:rFonts w:cs="Arial"/>
          <w:sz w:val="22"/>
          <w:szCs w:val="22"/>
        </w:rPr>
        <w:t>50.</w:t>
      </w:r>
      <w:r w:rsidRPr="00D839EE" w:rsidR="00B12370">
        <w:rPr>
          <w:rFonts w:cs="Arial"/>
          <w:sz w:val="22"/>
          <w:szCs w:val="22"/>
        </w:rPr>
        <w:t>135</w:t>
      </w:r>
      <w:r w:rsidRPr="00D839EE">
        <w:rPr>
          <w:rFonts w:cs="Arial"/>
          <w:sz w:val="22"/>
          <w:szCs w:val="22"/>
        </w:rPr>
        <w:t xml:space="preserve"> </w:t>
      </w:r>
      <w:r w:rsidRPr="00D839EE" w:rsidR="00BC5E9F">
        <w:rPr>
          <w:rFonts w:cs="Arial"/>
          <w:sz w:val="22"/>
          <w:szCs w:val="22"/>
        </w:rPr>
        <w:t>will</w:t>
      </w:r>
      <w:r w:rsidRPr="00D839EE">
        <w:rPr>
          <w:rFonts w:cs="Arial"/>
          <w:sz w:val="22"/>
          <w:szCs w:val="22"/>
        </w:rPr>
        <w:t xml:space="preserve"> </w:t>
      </w:r>
      <w:r w:rsidRPr="00D839EE" w:rsidR="00D86E0B">
        <w:rPr>
          <w:rFonts w:cs="Arial"/>
          <w:sz w:val="22"/>
          <w:szCs w:val="22"/>
        </w:rPr>
        <w:t>define a</w:t>
      </w:r>
      <w:r w:rsidRPr="00D839EE">
        <w:rPr>
          <w:rFonts w:cs="Arial"/>
          <w:sz w:val="22"/>
          <w:szCs w:val="22"/>
        </w:rPr>
        <w:t xml:space="preserve"> license renewal </w:t>
      </w:r>
      <w:r w:rsidRPr="00D839EE" w:rsidR="00D86E0B">
        <w:rPr>
          <w:rFonts w:cs="Arial"/>
          <w:sz w:val="22"/>
          <w:szCs w:val="22"/>
        </w:rPr>
        <w:t>proces</w:t>
      </w:r>
      <w:r w:rsidRPr="00D839EE">
        <w:rPr>
          <w:rFonts w:cs="Arial"/>
          <w:sz w:val="22"/>
          <w:szCs w:val="22"/>
        </w:rPr>
        <w:t xml:space="preserve">s </w:t>
      </w:r>
      <w:r w:rsidRPr="00D839EE" w:rsidR="00D86E0B">
        <w:rPr>
          <w:rFonts w:cs="Arial"/>
          <w:sz w:val="22"/>
          <w:szCs w:val="22"/>
        </w:rPr>
        <w:t xml:space="preserve">specific to NPUFs </w:t>
      </w:r>
      <w:r w:rsidR="00B2040D">
        <w:rPr>
          <w:rFonts w:cs="Arial"/>
          <w:sz w:val="22"/>
          <w:szCs w:val="22"/>
        </w:rPr>
        <w:t xml:space="preserve">(including testing facilities) </w:t>
      </w:r>
      <w:r w:rsidRPr="00D839EE" w:rsidR="00D86E0B">
        <w:rPr>
          <w:rFonts w:cs="Arial"/>
          <w:sz w:val="22"/>
          <w:szCs w:val="22"/>
        </w:rPr>
        <w:t xml:space="preserve">with licenses issued under </w:t>
      </w:r>
      <w:r>
        <w:rPr>
          <w:rFonts w:cs="Arial"/>
          <w:sz w:val="22"/>
          <w:szCs w:val="22"/>
        </w:rPr>
        <w:t>10 CFR </w:t>
      </w:r>
      <w:r w:rsidRPr="00D839EE" w:rsidR="00D86E0B">
        <w:rPr>
          <w:sz w:val="22"/>
          <w:szCs w:val="22"/>
        </w:rPr>
        <w:t>50.22 and testing facilities</w:t>
      </w:r>
      <w:r w:rsidRPr="00D839EE" w:rsidR="00B854A1">
        <w:rPr>
          <w:sz w:val="22"/>
          <w:szCs w:val="22"/>
        </w:rPr>
        <w:t xml:space="preserve"> licensed under </w:t>
      </w:r>
      <w:r>
        <w:rPr>
          <w:sz w:val="22"/>
          <w:szCs w:val="22"/>
        </w:rPr>
        <w:t>10 CFR </w:t>
      </w:r>
      <w:r w:rsidRPr="00D839EE" w:rsidR="00B854A1">
        <w:rPr>
          <w:sz w:val="22"/>
          <w:szCs w:val="22"/>
        </w:rPr>
        <w:t>50.21(c)</w:t>
      </w:r>
      <w:r w:rsidRPr="00D839EE" w:rsidR="00D86E0B">
        <w:rPr>
          <w:sz w:val="22"/>
          <w:szCs w:val="22"/>
        </w:rPr>
        <w:t xml:space="preserve">, consolidating existing requirements for current and </w:t>
      </w:r>
      <w:r w:rsidR="00457083">
        <w:rPr>
          <w:sz w:val="22"/>
          <w:szCs w:val="22"/>
        </w:rPr>
        <w:t xml:space="preserve">potential </w:t>
      </w:r>
      <w:r w:rsidRPr="00D839EE" w:rsidR="00D86E0B">
        <w:rPr>
          <w:sz w:val="22"/>
          <w:szCs w:val="22"/>
        </w:rPr>
        <w:t>future licensees in one section</w:t>
      </w:r>
      <w:r w:rsidRPr="00D839EE">
        <w:rPr>
          <w:rFonts w:cs="Arial"/>
          <w:sz w:val="22"/>
          <w:szCs w:val="22"/>
        </w:rPr>
        <w:t xml:space="preserve">.  The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not change the license renewal process from current requirements.  Therefore, the analysis does not include incremental costs for these requirements.</w:t>
      </w:r>
    </w:p>
    <w:p w:rsidR="00BF5AC4" w:rsidRPr="00D839EE" w:rsidP="007A673F" w14:paraId="7F4938D4" w14:textId="77777777">
      <w:pPr>
        <w:numPr>
          <w:ilvl w:val="0"/>
          <w:numId w:val="9"/>
        </w:numPr>
        <w:contextualSpacing/>
        <w:rPr>
          <w:rFonts w:cs="Arial"/>
          <w:sz w:val="22"/>
          <w:szCs w:val="22"/>
        </w:rPr>
      </w:pPr>
      <w:r w:rsidRPr="00D839EE">
        <w:rPr>
          <w:rFonts w:cs="Arial"/>
          <w:sz w:val="22"/>
          <w:szCs w:val="22"/>
        </w:rPr>
        <w:t>C</w:t>
      </w:r>
      <w:r w:rsidRPr="00D839EE">
        <w:rPr>
          <w:rFonts w:cs="Arial"/>
          <w:sz w:val="22"/>
          <w:szCs w:val="22"/>
        </w:rPr>
        <w:t xml:space="preserve">hanges </w:t>
      </w:r>
      <w:r w:rsidR="00C50688">
        <w:rPr>
          <w:rFonts w:cs="Arial"/>
          <w:sz w:val="22"/>
          <w:szCs w:val="22"/>
        </w:rPr>
        <w:t>to</w:t>
      </w:r>
      <w:r w:rsidRPr="00D839EE">
        <w:rPr>
          <w:rFonts w:cs="Arial"/>
          <w:sz w:val="22"/>
          <w:szCs w:val="22"/>
        </w:rPr>
        <w:t xml:space="preserve"> </w:t>
      </w:r>
      <w:r w:rsidR="00C50688">
        <w:rPr>
          <w:rFonts w:cs="Arial"/>
          <w:sz w:val="22"/>
          <w:szCs w:val="22"/>
        </w:rPr>
        <w:t>10 CFR</w:t>
      </w:r>
      <w:r w:rsidRPr="00D839EE" w:rsidR="00F35D6B">
        <w:rPr>
          <w:sz w:val="22"/>
          <w:szCs w:val="22"/>
        </w:rPr>
        <w:t xml:space="preserve"> </w:t>
      </w:r>
      <w:r w:rsidRPr="00D839EE">
        <w:rPr>
          <w:rFonts w:cs="Arial"/>
          <w:sz w:val="22"/>
          <w:szCs w:val="22"/>
        </w:rPr>
        <w:t xml:space="preserve">51.45 </w:t>
      </w:r>
      <w:r w:rsidRPr="00D839EE">
        <w:rPr>
          <w:rFonts w:cs="Arial"/>
          <w:sz w:val="22"/>
          <w:szCs w:val="22"/>
        </w:rPr>
        <w:t>will</w:t>
      </w:r>
      <w:r w:rsidRPr="00D839EE">
        <w:rPr>
          <w:rFonts w:cs="Arial"/>
          <w:sz w:val="22"/>
          <w:szCs w:val="22"/>
        </w:rPr>
        <w:t xml:space="preserve"> cite </w:t>
      </w:r>
      <w:r w:rsidRPr="00D839EE" w:rsidR="00BA2AA1">
        <w:rPr>
          <w:rFonts w:cs="Arial"/>
          <w:sz w:val="22"/>
          <w:szCs w:val="22"/>
        </w:rPr>
        <w:t xml:space="preserve">a </w:t>
      </w:r>
      <w:r w:rsidRPr="00D839EE">
        <w:rPr>
          <w:rFonts w:cs="Arial"/>
          <w:sz w:val="22"/>
          <w:szCs w:val="22"/>
        </w:rPr>
        <w:t xml:space="preserve">new </w:t>
      </w:r>
      <w:r w:rsidR="00C50688">
        <w:rPr>
          <w:rFonts w:cs="Arial"/>
          <w:sz w:val="22"/>
          <w:szCs w:val="22"/>
        </w:rPr>
        <w:t>10 CFR </w:t>
      </w:r>
      <w:r w:rsidRPr="00D839EE">
        <w:rPr>
          <w:rFonts w:cs="Arial"/>
          <w:sz w:val="22"/>
          <w:szCs w:val="22"/>
        </w:rPr>
        <w:t>51.56</w:t>
      </w:r>
      <w:r w:rsidR="007A673F">
        <w:rPr>
          <w:rFonts w:cs="Arial"/>
          <w:sz w:val="22"/>
          <w:szCs w:val="22"/>
        </w:rPr>
        <w:t>, “</w:t>
      </w:r>
      <w:r w:rsidRPr="007A673F" w:rsidR="007A673F">
        <w:rPr>
          <w:rFonts w:cs="Arial"/>
          <w:sz w:val="22"/>
          <w:szCs w:val="22"/>
        </w:rPr>
        <w:t>Environmental report—non-power production or utilization facility</w:t>
      </w:r>
      <w:r w:rsidR="007A673F">
        <w:rPr>
          <w:rFonts w:cs="Arial"/>
          <w:sz w:val="22"/>
          <w:szCs w:val="22"/>
        </w:rPr>
        <w:t>,”</w:t>
      </w:r>
      <w:r w:rsidRPr="00D839EE">
        <w:rPr>
          <w:rFonts w:cs="Arial"/>
          <w:sz w:val="22"/>
          <w:szCs w:val="22"/>
        </w:rPr>
        <w:t xml:space="preserve"> in the list of sections </w:t>
      </w:r>
      <w:r w:rsidRPr="00D839EE" w:rsidR="007B1CB2">
        <w:rPr>
          <w:rFonts w:cs="Arial"/>
          <w:sz w:val="22"/>
          <w:szCs w:val="22"/>
        </w:rPr>
        <w:t xml:space="preserve">that </w:t>
      </w:r>
      <w:r w:rsidR="002648D8">
        <w:rPr>
          <w:rFonts w:cs="Arial"/>
          <w:sz w:val="22"/>
          <w:szCs w:val="22"/>
        </w:rPr>
        <w:t>clarify the requirements for an</w:t>
      </w:r>
      <w:r w:rsidRPr="00D839EE">
        <w:rPr>
          <w:rFonts w:cs="Arial"/>
          <w:sz w:val="22"/>
          <w:szCs w:val="22"/>
        </w:rPr>
        <w:t xml:space="preserve"> applicant or petitioner to submit an environmental report.  This </w:t>
      </w:r>
      <w:r w:rsidRPr="00D839EE">
        <w:rPr>
          <w:rFonts w:cs="Arial"/>
          <w:sz w:val="22"/>
          <w:szCs w:val="22"/>
        </w:rPr>
        <w:t>will</w:t>
      </w:r>
      <w:r w:rsidRPr="00D839EE">
        <w:rPr>
          <w:rFonts w:cs="Arial"/>
          <w:sz w:val="22"/>
          <w:szCs w:val="22"/>
        </w:rPr>
        <w:t xml:space="preserve"> be an administrative change that </w:t>
      </w:r>
      <w:r w:rsidRPr="00D839EE">
        <w:rPr>
          <w:rFonts w:cs="Arial"/>
          <w:sz w:val="22"/>
          <w:szCs w:val="22"/>
        </w:rPr>
        <w:t>will</w:t>
      </w:r>
      <w:r w:rsidRPr="00D839EE">
        <w:rPr>
          <w:rFonts w:cs="Arial"/>
          <w:sz w:val="22"/>
          <w:szCs w:val="22"/>
        </w:rPr>
        <w:t xml:space="preserve"> not impose incremental costs on licensees or the NRC.</w:t>
      </w:r>
    </w:p>
    <w:p w:rsidR="00BF5AC4" w:rsidRPr="00D839EE" w:rsidP="00BF5AC4" w14:paraId="7F4938D5" w14:textId="77777777">
      <w:pPr>
        <w:ind w:left="720"/>
        <w:contextualSpacing/>
        <w:rPr>
          <w:rFonts w:cs="Arial"/>
          <w:sz w:val="22"/>
          <w:szCs w:val="22"/>
        </w:rPr>
      </w:pPr>
    </w:p>
    <w:p w:rsidR="00BF5AC4" w:rsidRPr="00D839EE" w:rsidP="00346B95" w14:paraId="7F4938D6" w14:textId="77777777">
      <w:pPr>
        <w:numPr>
          <w:ilvl w:val="0"/>
          <w:numId w:val="9"/>
        </w:numPr>
        <w:ind w:hanging="720"/>
        <w:contextualSpacing/>
        <w:rPr>
          <w:rFonts w:cs="Arial"/>
          <w:sz w:val="22"/>
          <w:szCs w:val="22"/>
        </w:rPr>
      </w:pPr>
      <w:r>
        <w:rPr>
          <w:rFonts w:cs="Arial"/>
          <w:sz w:val="22"/>
          <w:szCs w:val="22"/>
        </w:rPr>
        <w:t>The n</w:t>
      </w:r>
      <w:r w:rsidRPr="00D839EE" w:rsidR="00BC5E9F">
        <w:rPr>
          <w:rFonts w:cs="Arial"/>
          <w:sz w:val="22"/>
          <w:szCs w:val="22"/>
        </w:rPr>
        <w:t>ew</w:t>
      </w:r>
      <w:r w:rsidRPr="00D839EE">
        <w:rPr>
          <w:rFonts w:cs="Arial"/>
          <w:sz w:val="22"/>
          <w:szCs w:val="22"/>
        </w:rPr>
        <w:t xml:space="preserve"> </w:t>
      </w:r>
      <w:r>
        <w:rPr>
          <w:rFonts w:cs="Arial"/>
          <w:sz w:val="22"/>
          <w:szCs w:val="22"/>
        </w:rPr>
        <w:t>10 CFR </w:t>
      </w:r>
      <w:r w:rsidRPr="00D839EE">
        <w:rPr>
          <w:rFonts w:cs="Arial"/>
          <w:sz w:val="22"/>
          <w:szCs w:val="22"/>
        </w:rPr>
        <w:t xml:space="preserve">51.56 </w:t>
      </w:r>
      <w:r w:rsidRPr="00D839EE" w:rsidR="00BC5E9F">
        <w:rPr>
          <w:rFonts w:cs="Arial"/>
          <w:sz w:val="22"/>
          <w:szCs w:val="22"/>
        </w:rPr>
        <w:t>will</w:t>
      </w:r>
      <w:r w:rsidRPr="00D839EE">
        <w:rPr>
          <w:rFonts w:cs="Arial"/>
          <w:sz w:val="22"/>
          <w:szCs w:val="22"/>
        </w:rPr>
        <w:t xml:space="preserve"> </w:t>
      </w:r>
      <w:r w:rsidRPr="00D839EE" w:rsidR="001B41D4">
        <w:rPr>
          <w:rFonts w:cs="Arial"/>
          <w:sz w:val="22"/>
          <w:szCs w:val="22"/>
        </w:rPr>
        <w:t>clarify the existing requirements for</w:t>
      </w:r>
      <w:r w:rsidRPr="00D839EE">
        <w:rPr>
          <w:rFonts w:cs="Arial"/>
          <w:sz w:val="22"/>
          <w:szCs w:val="22"/>
        </w:rPr>
        <w:t xml:space="preserve"> each applicant for a</w:t>
      </w:r>
      <w:r w:rsidRPr="00D839EE" w:rsidR="00BA2AA1">
        <w:rPr>
          <w:rFonts w:cs="Arial"/>
          <w:sz w:val="22"/>
          <w:szCs w:val="22"/>
        </w:rPr>
        <w:t>n</w:t>
      </w:r>
      <w:r w:rsidRPr="00D839EE">
        <w:rPr>
          <w:rFonts w:cs="Arial"/>
          <w:sz w:val="22"/>
          <w:szCs w:val="22"/>
        </w:rPr>
        <w:t xml:space="preserve"> NPUF license or license renewal to submit an environmental report.  Th</w:t>
      </w:r>
      <w:r w:rsidRPr="00D839EE" w:rsidR="00C12D16">
        <w:rPr>
          <w:rFonts w:cs="Arial"/>
          <w:sz w:val="22"/>
          <w:szCs w:val="22"/>
        </w:rPr>
        <w:t xml:space="preserve">e NRC currently requires licensees to submit </w:t>
      </w:r>
      <w:r w:rsidRPr="00D839EE" w:rsidR="00F930DF">
        <w:rPr>
          <w:rFonts w:cs="Arial"/>
          <w:sz w:val="22"/>
          <w:szCs w:val="22"/>
        </w:rPr>
        <w:t xml:space="preserve">equivalent </w:t>
      </w:r>
      <w:r w:rsidRPr="00D839EE" w:rsidR="00C12D16">
        <w:rPr>
          <w:rFonts w:cs="Arial"/>
          <w:sz w:val="22"/>
          <w:szCs w:val="22"/>
        </w:rPr>
        <w:t xml:space="preserve">environmental information </w:t>
      </w:r>
      <w:r w:rsidRPr="00D839EE">
        <w:rPr>
          <w:rFonts w:cs="Arial"/>
          <w:sz w:val="22"/>
          <w:szCs w:val="22"/>
        </w:rPr>
        <w:t xml:space="preserve">in the baseline.  This section </w:t>
      </w:r>
      <w:r w:rsidRPr="00D839EE" w:rsidR="00BC5E9F">
        <w:rPr>
          <w:rFonts w:cs="Arial"/>
          <w:sz w:val="22"/>
          <w:szCs w:val="22"/>
        </w:rPr>
        <w:t>will</w:t>
      </w:r>
      <w:r w:rsidRPr="00D839EE" w:rsidR="00966DAE">
        <w:rPr>
          <w:rFonts w:cs="Arial"/>
          <w:sz w:val="22"/>
          <w:szCs w:val="22"/>
        </w:rPr>
        <w:t xml:space="preserve"> </w:t>
      </w:r>
      <w:r w:rsidRPr="00D839EE">
        <w:rPr>
          <w:rFonts w:cs="Arial"/>
          <w:sz w:val="22"/>
          <w:szCs w:val="22"/>
        </w:rPr>
        <w:t xml:space="preserve">establish the regulatory framework, which currently does not exist.  </w:t>
      </w:r>
      <w:r w:rsidR="00F421C8">
        <w:rPr>
          <w:rFonts w:cs="Arial"/>
          <w:sz w:val="22"/>
          <w:szCs w:val="22"/>
        </w:rPr>
        <w:t>This new paragraph is not an expansion of the current regulations, and t</w:t>
      </w:r>
      <w:r w:rsidRPr="00D839EE">
        <w:rPr>
          <w:rFonts w:cs="Arial"/>
          <w:sz w:val="22"/>
          <w:szCs w:val="22"/>
        </w:rPr>
        <w:t xml:space="preserve">herefore, the </w:t>
      </w:r>
      <w:r w:rsidRPr="00D839EE" w:rsidR="00BC5E9F">
        <w:rPr>
          <w:rFonts w:cs="Arial"/>
          <w:sz w:val="22"/>
          <w:szCs w:val="22"/>
        </w:rPr>
        <w:t>final</w:t>
      </w:r>
      <w:r w:rsidRPr="00D839EE">
        <w:rPr>
          <w:rFonts w:cs="Arial"/>
          <w:sz w:val="22"/>
          <w:szCs w:val="22"/>
        </w:rPr>
        <w:t xml:space="preserve"> provision </w:t>
      </w:r>
      <w:r w:rsidRPr="00D839EE" w:rsidR="00BC5E9F">
        <w:rPr>
          <w:rFonts w:cs="Arial"/>
          <w:sz w:val="22"/>
          <w:szCs w:val="22"/>
        </w:rPr>
        <w:t>will</w:t>
      </w:r>
      <w:r w:rsidRPr="00D839EE">
        <w:rPr>
          <w:rFonts w:cs="Arial"/>
          <w:sz w:val="22"/>
          <w:szCs w:val="22"/>
        </w:rPr>
        <w:t xml:space="preserve"> not result in any incremental costs.</w:t>
      </w:r>
    </w:p>
    <w:p w:rsidR="00601D4F" w:rsidP="00601D4F" w14:paraId="7F4938D7" w14:textId="77777777">
      <w:pPr>
        <w:pStyle w:val="ListParagraph"/>
        <w:rPr>
          <w:rFonts w:cs="Arial"/>
          <w:sz w:val="22"/>
          <w:szCs w:val="22"/>
        </w:rPr>
      </w:pPr>
    </w:p>
    <w:p w:rsidR="00601D4F" w:rsidRPr="00601D4F" w:rsidP="00346B95" w14:paraId="7F4938D8" w14:textId="77777777">
      <w:pPr>
        <w:contextualSpacing/>
        <w:rPr>
          <w:rFonts w:cs="Arial"/>
          <w:sz w:val="22"/>
          <w:szCs w:val="22"/>
        </w:rPr>
      </w:pPr>
      <w:r w:rsidRPr="00601D4F">
        <w:rPr>
          <w:rFonts w:cs="Arial"/>
          <w:sz w:val="22"/>
          <w:szCs w:val="22"/>
        </w:rPr>
        <w:t xml:space="preserve">The estimated costs and </w:t>
      </w:r>
      <w:r w:rsidR="00E8226D">
        <w:rPr>
          <w:rFonts w:cs="Arial"/>
          <w:sz w:val="22"/>
          <w:szCs w:val="22"/>
        </w:rPr>
        <w:t xml:space="preserve">averted </w:t>
      </w:r>
      <w:r w:rsidR="001E41D8">
        <w:rPr>
          <w:rFonts w:cs="Arial"/>
          <w:sz w:val="22"/>
          <w:szCs w:val="22"/>
        </w:rPr>
        <w:t>costs</w:t>
      </w:r>
      <w:r w:rsidRPr="00601D4F">
        <w:rPr>
          <w:rFonts w:cs="Arial"/>
          <w:sz w:val="22"/>
          <w:szCs w:val="22"/>
        </w:rPr>
        <w:t xml:space="preserve"> (i.e., cost savings) of the final rule are higher relative to the proposed rule for the following reasons:</w:t>
      </w:r>
    </w:p>
    <w:p w:rsidR="00601D4F" w:rsidRPr="00601D4F" w:rsidP="00601D4F" w14:paraId="7F4938D9" w14:textId="77777777">
      <w:pPr>
        <w:ind w:left="360"/>
        <w:contextualSpacing/>
        <w:rPr>
          <w:rFonts w:cs="Arial"/>
          <w:sz w:val="22"/>
          <w:szCs w:val="22"/>
        </w:rPr>
      </w:pPr>
    </w:p>
    <w:p w:rsidR="00601D4F" w:rsidRPr="00601D4F" w:rsidP="00346B95" w14:paraId="7F4938DA" w14:textId="4D62DBCA">
      <w:pPr>
        <w:pStyle w:val="ListParagraph"/>
        <w:numPr>
          <w:ilvl w:val="0"/>
          <w:numId w:val="34"/>
        </w:numPr>
        <w:ind w:hanging="720"/>
        <w:rPr>
          <w:rFonts w:cs="Arial"/>
          <w:sz w:val="22"/>
          <w:szCs w:val="22"/>
        </w:rPr>
      </w:pPr>
      <w:r w:rsidRPr="00601D4F">
        <w:rPr>
          <w:rFonts w:cs="Arial"/>
          <w:sz w:val="22"/>
          <w:szCs w:val="22"/>
        </w:rPr>
        <w:t xml:space="preserve">The </w:t>
      </w:r>
      <w:r w:rsidRPr="00EC79F7">
        <w:rPr>
          <w:sz w:val="22"/>
        </w:rPr>
        <w:t>NRC issued construction permits to SHINE on February</w:t>
      </w:r>
      <w:r w:rsidRPr="00EC79F7" w:rsidR="00CC1184">
        <w:rPr>
          <w:sz w:val="22"/>
        </w:rPr>
        <w:t> </w:t>
      </w:r>
      <w:r w:rsidRPr="00EC79F7">
        <w:rPr>
          <w:sz w:val="22"/>
        </w:rPr>
        <w:t>29,</w:t>
      </w:r>
      <w:r w:rsidRPr="00EC79F7" w:rsidR="00CC1184">
        <w:rPr>
          <w:sz w:val="22"/>
        </w:rPr>
        <w:t> </w:t>
      </w:r>
      <w:r w:rsidRPr="00EC79F7">
        <w:rPr>
          <w:sz w:val="22"/>
        </w:rPr>
        <w:t xml:space="preserve">2016 </w:t>
      </w:r>
      <w:r w:rsidRPr="00307344" w:rsidR="00365B86">
        <w:rPr>
          <w:rFonts w:cs="Arial"/>
          <w:sz w:val="22"/>
          <w:szCs w:val="22"/>
        </w:rPr>
        <w:t xml:space="preserve">(Ref. </w:t>
      </w:r>
      <w:r w:rsidR="00AA56A2">
        <w:rPr>
          <w:rFonts w:cs="Arial"/>
          <w:sz w:val="22"/>
          <w:szCs w:val="22"/>
        </w:rPr>
        <w:t>30</w:t>
      </w:r>
      <w:r w:rsidRPr="00601D4F">
        <w:rPr>
          <w:rFonts w:cs="Arial"/>
          <w:sz w:val="22"/>
          <w:szCs w:val="22"/>
        </w:rPr>
        <w:t>)</w:t>
      </w:r>
      <w:r w:rsidRPr="00EC79F7">
        <w:rPr>
          <w:sz w:val="22"/>
        </w:rPr>
        <w:t>,</w:t>
      </w:r>
      <w:r w:rsidRPr="00601D4F">
        <w:rPr>
          <w:rFonts w:cs="Arial"/>
          <w:sz w:val="22"/>
          <w:szCs w:val="22"/>
        </w:rPr>
        <w:t xml:space="preserve"> and </w:t>
      </w:r>
      <w:r w:rsidRPr="00EC79F7">
        <w:rPr>
          <w:sz w:val="22"/>
        </w:rPr>
        <w:t>N</w:t>
      </w:r>
      <w:r w:rsidRPr="00EC79F7" w:rsidR="00782BAE">
        <w:rPr>
          <w:sz w:val="22"/>
        </w:rPr>
        <w:t>WMI</w:t>
      </w:r>
      <w:r w:rsidRPr="00EC79F7">
        <w:rPr>
          <w:sz w:val="22"/>
        </w:rPr>
        <w:t xml:space="preserve"> on May 9, 2018 </w:t>
      </w:r>
      <w:r w:rsidRPr="00307344" w:rsidR="00365B86">
        <w:rPr>
          <w:rFonts w:cs="Arial"/>
          <w:sz w:val="22"/>
          <w:szCs w:val="22"/>
        </w:rPr>
        <w:t xml:space="preserve">(Ref. </w:t>
      </w:r>
      <w:r w:rsidR="00AA56A2">
        <w:rPr>
          <w:rFonts w:cs="Arial"/>
          <w:sz w:val="22"/>
          <w:szCs w:val="22"/>
        </w:rPr>
        <w:t>31</w:t>
      </w:r>
      <w:r w:rsidRPr="00601D4F">
        <w:rPr>
          <w:rFonts w:cs="Arial"/>
          <w:sz w:val="22"/>
          <w:szCs w:val="22"/>
        </w:rPr>
        <w:t xml:space="preserve">).  The scope of the proposed rule’s </w:t>
      </w:r>
      <w:r w:rsidR="00C24A12">
        <w:rPr>
          <w:rFonts w:cs="Arial"/>
          <w:sz w:val="22"/>
          <w:szCs w:val="22"/>
        </w:rPr>
        <w:t>regulatory analysis</w:t>
      </w:r>
      <w:r w:rsidR="00CC1184">
        <w:rPr>
          <w:rFonts w:cs="Arial"/>
          <w:sz w:val="22"/>
          <w:szCs w:val="22"/>
        </w:rPr>
        <w:t xml:space="preserve"> </w:t>
      </w:r>
      <w:r w:rsidR="000B26C8">
        <w:rPr>
          <w:rFonts w:cs="Arial"/>
          <w:sz w:val="22"/>
          <w:szCs w:val="22"/>
        </w:rPr>
        <w:t xml:space="preserve">did </w:t>
      </w:r>
      <w:r w:rsidR="00CC1184">
        <w:rPr>
          <w:rFonts w:cs="Arial"/>
          <w:sz w:val="22"/>
          <w:szCs w:val="22"/>
        </w:rPr>
        <w:t>not include these construction permit holders</w:t>
      </w:r>
      <w:r w:rsidRPr="00601D4F">
        <w:rPr>
          <w:rFonts w:cs="Arial"/>
          <w:sz w:val="22"/>
          <w:szCs w:val="22"/>
        </w:rPr>
        <w:t>.</w:t>
      </w:r>
      <w:r w:rsidR="0052260A">
        <w:rPr>
          <w:rFonts w:cs="Arial"/>
          <w:sz w:val="22"/>
          <w:szCs w:val="22"/>
        </w:rPr>
        <w:t xml:space="preserve"> </w:t>
      </w:r>
      <w:r w:rsidR="003A7F24">
        <w:rPr>
          <w:rFonts w:cs="Arial"/>
          <w:sz w:val="22"/>
          <w:szCs w:val="22"/>
        </w:rPr>
        <w:t xml:space="preserve"> </w:t>
      </w:r>
      <w:r w:rsidRPr="00601D4F">
        <w:rPr>
          <w:rFonts w:cs="Arial"/>
          <w:sz w:val="22"/>
          <w:szCs w:val="22"/>
        </w:rPr>
        <w:t xml:space="preserve">The final rule’s </w:t>
      </w:r>
      <w:r>
        <w:rPr>
          <w:rFonts w:cs="Arial"/>
          <w:sz w:val="22"/>
          <w:szCs w:val="22"/>
        </w:rPr>
        <w:t>regulatory analysis</w:t>
      </w:r>
      <w:r w:rsidRPr="00601D4F">
        <w:rPr>
          <w:rFonts w:cs="Arial"/>
          <w:sz w:val="22"/>
          <w:szCs w:val="22"/>
        </w:rPr>
        <w:t xml:space="preserve"> accounts for the rule’s impact on these two construction permit holders. </w:t>
      </w:r>
    </w:p>
    <w:p w:rsidR="00601D4F" w:rsidRPr="00601D4F" w:rsidP="00346B95" w14:paraId="7F4938DB" w14:textId="77777777">
      <w:pPr>
        <w:pStyle w:val="ListParagraph"/>
        <w:ind w:hanging="720"/>
        <w:rPr>
          <w:rFonts w:cs="Arial"/>
          <w:sz w:val="22"/>
          <w:szCs w:val="22"/>
        </w:rPr>
      </w:pPr>
    </w:p>
    <w:p w:rsidR="00601D4F" w:rsidRPr="00601D4F" w:rsidP="00346B95" w14:paraId="7F4938DC" w14:textId="77777777">
      <w:pPr>
        <w:pStyle w:val="ListParagraph"/>
        <w:numPr>
          <w:ilvl w:val="0"/>
          <w:numId w:val="34"/>
        </w:numPr>
        <w:ind w:hanging="720"/>
        <w:rPr>
          <w:rFonts w:cs="Arial"/>
          <w:sz w:val="22"/>
          <w:szCs w:val="22"/>
        </w:rPr>
      </w:pPr>
      <w:r w:rsidRPr="00601D4F">
        <w:rPr>
          <w:rFonts w:cs="Arial"/>
          <w:sz w:val="22"/>
          <w:szCs w:val="22"/>
        </w:rPr>
        <w:t xml:space="preserve">Since 2017, </w:t>
      </w:r>
      <w:r w:rsidR="000F5D5E">
        <w:rPr>
          <w:rFonts w:cs="Arial"/>
          <w:sz w:val="22"/>
          <w:szCs w:val="22"/>
        </w:rPr>
        <w:t xml:space="preserve">the NRC has concluded </w:t>
      </w:r>
      <w:r w:rsidRPr="00601D4F">
        <w:rPr>
          <w:rFonts w:cs="Arial"/>
          <w:sz w:val="22"/>
          <w:szCs w:val="22"/>
        </w:rPr>
        <w:t>additional license renewal application</w:t>
      </w:r>
      <w:r w:rsidR="00A54D23">
        <w:rPr>
          <w:rFonts w:cs="Arial"/>
          <w:sz w:val="22"/>
          <w:szCs w:val="22"/>
        </w:rPr>
        <w:t xml:space="preserve"> reviews</w:t>
      </w:r>
      <w:r w:rsidRPr="00601D4F">
        <w:rPr>
          <w:rFonts w:cs="Arial"/>
          <w:sz w:val="22"/>
          <w:szCs w:val="22"/>
        </w:rPr>
        <w:t xml:space="preserve">.  The final rule’s </w:t>
      </w:r>
      <w:r>
        <w:rPr>
          <w:rFonts w:cs="Arial"/>
          <w:sz w:val="22"/>
          <w:szCs w:val="22"/>
        </w:rPr>
        <w:t>regulatory analysis</w:t>
      </w:r>
      <w:r w:rsidRPr="00601D4F">
        <w:rPr>
          <w:rFonts w:cs="Arial"/>
          <w:sz w:val="22"/>
          <w:szCs w:val="22"/>
        </w:rPr>
        <w:t xml:space="preserve"> accounts for the additional data on the costs associated with the license renewal process.</w:t>
      </w:r>
      <w:r w:rsidR="00F421C8">
        <w:rPr>
          <w:rFonts w:cs="Arial"/>
          <w:sz w:val="22"/>
          <w:szCs w:val="22"/>
        </w:rPr>
        <w:t xml:space="preserve">  Any costs associated with license renewal applications prior to the publication of the rulemaking are assumed to be sunk costs, and not included in the analysis</w:t>
      </w:r>
      <w:r w:rsidRPr="00601D4F">
        <w:rPr>
          <w:rFonts w:cs="Arial"/>
          <w:sz w:val="22"/>
          <w:szCs w:val="22"/>
        </w:rPr>
        <w:t>.</w:t>
      </w:r>
    </w:p>
    <w:p w:rsidR="00601D4F" w:rsidRPr="00601D4F" w:rsidP="00346B95" w14:paraId="7F4938DD" w14:textId="77777777">
      <w:pPr>
        <w:ind w:hanging="720"/>
        <w:rPr>
          <w:rFonts w:cs="Arial"/>
          <w:sz w:val="22"/>
          <w:szCs w:val="22"/>
        </w:rPr>
      </w:pPr>
    </w:p>
    <w:p w:rsidR="00601D4F" w:rsidRPr="00601D4F" w:rsidP="00346B95" w14:paraId="7F4938DE" w14:textId="77777777">
      <w:pPr>
        <w:pStyle w:val="ListParagraph"/>
        <w:numPr>
          <w:ilvl w:val="0"/>
          <w:numId w:val="34"/>
        </w:numPr>
        <w:ind w:hanging="720"/>
        <w:rPr>
          <w:rFonts w:cs="Arial"/>
          <w:sz w:val="22"/>
          <w:szCs w:val="22"/>
        </w:rPr>
      </w:pPr>
      <w:r w:rsidRPr="00601D4F">
        <w:rPr>
          <w:rFonts w:cs="Arial"/>
          <w:sz w:val="22"/>
          <w:szCs w:val="22"/>
        </w:rPr>
        <w:t xml:space="preserve">The NRC adjusted assumptions related to the timing and </w:t>
      </w:r>
      <w:r w:rsidR="000F5D5E">
        <w:rPr>
          <w:rFonts w:cs="Arial"/>
          <w:sz w:val="22"/>
          <w:szCs w:val="22"/>
        </w:rPr>
        <w:t>LOE</w:t>
      </w:r>
      <w:r w:rsidRPr="00601D4F">
        <w:rPr>
          <w:rFonts w:cs="Arial"/>
          <w:sz w:val="22"/>
          <w:szCs w:val="22"/>
        </w:rPr>
        <w:t xml:space="preserve"> associated with the submittal of updated FSARs and subsequent FSAR updates</w:t>
      </w:r>
      <w:r w:rsidR="00FA24FC">
        <w:rPr>
          <w:rFonts w:cs="Arial"/>
          <w:sz w:val="22"/>
          <w:szCs w:val="22"/>
        </w:rPr>
        <w:t xml:space="preserve"> to reflect the NRC</w:t>
      </w:r>
      <w:r w:rsidR="00C24A12">
        <w:rPr>
          <w:rFonts w:cs="Arial"/>
          <w:sz w:val="22"/>
          <w:szCs w:val="22"/>
        </w:rPr>
        <w:t>’</w:t>
      </w:r>
      <w:r w:rsidR="00FA24FC">
        <w:rPr>
          <w:rFonts w:cs="Arial"/>
          <w:sz w:val="22"/>
          <w:szCs w:val="22"/>
        </w:rPr>
        <w:t xml:space="preserve">s approach to </w:t>
      </w:r>
      <w:r w:rsidR="00A54D23">
        <w:rPr>
          <w:rFonts w:cs="Arial"/>
          <w:sz w:val="22"/>
          <w:szCs w:val="22"/>
        </w:rPr>
        <w:t>applying the</w:t>
      </w:r>
      <w:r w:rsidR="00FA24FC">
        <w:rPr>
          <w:rFonts w:cs="Arial"/>
          <w:sz w:val="22"/>
          <w:szCs w:val="22"/>
        </w:rPr>
        <w:t xml:space="preserve"> requirements in </w:t>
      </w:r>
      <w:r w:rsidR="000F5D5E">
        <w:rPr>
          <w:rFonts w:cs="Arial"/>
          <w:sz w:val="22"/>
          <w:szCs w:val="22"/>
        </w:rPr>
        <w:t>10 CFR </w:t>
      </w:r>
      <w:r w:rsidR="00FA24FC">
        <w:rPr>
          <w:rFonts w:cs="Arial"/>
          <w:sz w:val="22"/>
          <w:szCs w:val="22"/>
        </w:rPr>
        <w:t>50.71(e)</w:t>
      </w:r>
      <w:r w:rsidR="00A54D23">
        <w:rPr>
          <w:rFonts w:cs="Arial"/>
          <w:sz w:val="22"/>
          <w:szCs w:val="22"/>
        </w:rPr>
        <w:t xml:space="preserve"> to NPUF licensees</w:t>
      </w:r>
      <w:r w:rsidRPr="00601D4F">
        <w:rPr>
          <w:rFonts w:cs="Arial"/>
          <w:sz w:val="22"/>
          <w:szCs w:val="22"/>
        </w:rPr>
        <w:t>.</w:t>
      </w:r>
      <w:r>
        <w:rPr>
          <w:rFonts w:cs="Arial"/>
          <w:sz w:val="22"/>
          <w:szCs w:val="22"/>
        </w:rPr>
        <w:t xml:space="preserve">  </w:t>
      </w:r>
    </w:p>
    <w:p w:rsidR="00601D4F" w:rsidP="00601D4F" w14:paraId="7F4938DF" w14:textId="77777777">
      <w:pPr>
        <w:rPr>
          <w:rFonts w:cs="Arial"/>
          <w:sz w:val="22"/>
          <w:szCs w:val="22"/>
        </w:rPr>
      </w:pPr>
    </w:p>
    <w:p w:rsidR="00FA24FC" w:rsidRPr="00601D4F" w:rsidP="00601D4F" w14:paraId="7F4938E0" w14:textId="77777777">
      <w:pPr>
        <w:rPr>
          <w:rFonts w:cs="Arial"/>
          <w:sz w:val="22"/>
          <w:szCs w:val="22"/>
        </w:rPr>
      </w:pPr>
      <w:r>
        <w:rPr>
          <w:rFonts w:cs="Arial"/>
          <w:sz w:val="22"/>
          <w:szCs w:val="22"/>
        </w:rPr>
        <w:t xml:space="preserve">In addition, the NRC updated elements of the analysis that have changed as </w:t>
      </w:r>
      <w:r w:rsidR="00E53766">
        <w:rPr>
          <w:rFonts w:cs="Arial"/>
          <w:sz w:val="22"/>
          <w:szCs w:val="22"/>
        </w:rPr>
        <w:t>a</w:t>
      </w:r>
      <w:r>
        <w:rPr>
          <w:rFonts w:cs="Arial"/>
          <w:sz w:val="22"/>
          <w:szCs w:val="22"/>
        </w:rPr>
        <w:t xml:space="preserve"> result of the passage of time between the proposed rule and the final rule (e.g., wage rates, period of analysis).</w:t>
      </w:r>
    </w:p>
    <w:p w:rsidR="00627548" w:rsidRPr="00C67E91" w:rsidP="00C67E91" w14:paraId="7F4938E1" w14:textId="77777777">
      <w:pPr>
        <w:pStyle w:val="Heading3"/>
        <w:spacing w:after="220"/>
      </w:pPr>
      <w:bookmarkStart w:id="205" w:name="_Toc534037102"/>
      <w:bookmarkStart w:id="206" w:name="_Toc534699722"/>
      <w:bookmarkStart w:id="207" w:name="_Toc536603290"/>
      <w:r w:rsidRPr="00346B95">
        <w:t>3.3.1</w:t>
      </w:r>
      <w:r>
        <w:tab/>
      </w:r>
      <w:r w:rsidRPr="00C67E91" w:rsidR="00F218A9">
        <w:t>Independent Cost Estimate</w:t>
      </w:r>
      <w:bookmarkEnd w:id="205"/>
      <w:bookmarkEnd w:id="206"/>
      <w:bookmarkEnd w:id="207"/>
    </w:p>
    <w:p w:rsidR="00627548" w:rsidRPr="001E41D8" w14:paraId="7F4938E2" w14:textId="77777777">
      <w:pPr>
        <w:rPr>
          <w:rFonts w:eastAsiaTheme="minorHAnsi" w:cs="Arial"/>
          <w:sz w:val="22"/>
          <w:szCs w:val="22"/>
        </w:rPr>
      </w:pPr>
      <w:r w:rsidRPr="0028276B">
        <w:rPr>
          <w:rFonts w:eastAsiaTheme="minorHAnsi" w:cs="Arial"/>
          <w:sz w:val="22"/>
          <w:szCs w:val="22"/>
        </w:rPr>
        <w:t xml:space="preserve">In December 2014, the </w:t>
      </w:r>
      <w:r w:rsidRPr="00EC79F7">
        <w:rPr>
          <w:rFonts w:eastAsiaTheme="minorHAnsi"/>
          <w:sz w:val="22"/>
        </w:rPr>
        <w:t>United States Government Accountability Office (GAO) published</w:t>
      </w:r>
      <w:r w:rsidR="00AA56A2">
        <w:rPr>
          <w:rFonts w:eastAsiaTheme="minorHAnsi"/>
          <w:sz w:val="22"/>
        </w:rPr>
        <w:t xml:space="preserve"> </w:t>
      </w:r>
      <w:r w:rsidRPr="00EC79F7">
        <w:rPr>
          <w:rFonts w:eastAsiaTheme="minorHAnsi"/>
          <w:sz w:val="22"/>
        </w:rPr>
        <w:t>GAO-15</w:t>
      </w:r>
      <w:r w:rsidR="00EB4D09">
        <w:rPr>
          <w:rFonts w:eastAsiaTheme="minorHAnsi"/>
          <w:sz w:val="22"/>
        </w:rPr>
        <w:t>-</w:t>
      </w:r>
      <w:r w:rsidRPr="00EC79F7">
        <w:rPr>
          <w:rFonts w:eastAsiaTheme="minorHAnsi"/>
          <w:sz w:val="22"/>
        </w:rPr>
        <w:t>98, “Nuclear Regulatory Commission—NRC Needs to Improve Its Cost Estimates by</w:t>
      </w:r>
      <w:r w:rsidR="00AA56A2">
        <w:rPr>
          <w:rFonts w:eastAsiaTheme="minorHAnsi"/>
          <w:sz w:val="22"/>
        </w:rPr>
        <w:t xml:space="preserve"> </w:t>
      </w:r>
      <w:r w:rsidRPr="00EC79F7">
        <w:rPr>
          <w:rFonts w:eastAsiaTheme="minorHAnsi"/>
          <w:sz w:val="22"/>
        </w:rPr>
        <w:t xml:space="preserve">Incorporating More Best Practices” (Ref. </w:t>
      </w:r>
      <w:r w:rsidR="00AA56A2">
        <w:rPr>
          <w:rFonts w:eastAsiaTheme="minorHAnsi" w:cs="Arial"/>
          <w:sz w:val="22"/>
          <w:szCs w:val="22"/>
        </w:rPr>
        <w:t>32</w:t>
      </w:r>
      <w:r w:rsidRPr="009B03D0">
        <w:rPr>
          <w:rFonts w:eastAsiaTheme="minorHAnsi" w:cs="Arial"/>
          <w:sz w:val="22"/>
          <w:szCs w:val="22"/>
        </w:rPr>
        <w:t>).</w:t>
      </w:r>
      <w:r w:rsidR="0052260A">
        <w:rPr>
          <w:rFonts w:eastAsiaTheme="minorHAnsi" w:cs="Arial"/>
          <w:sz w:val="22"/>
          <w:szCs w:val="22"/>
        </w:rPr>
        <w:t xml:space="preserve"> </w:t>
      </w:r>
      <w:r w:rsidR="00B563CE">
        <w:rPr>
          <w:rFonts w:eastAsiaTheme="minorHAnsi" w:cs="Arial"/>
          <w:sz w:val="22"/>
          <w:szCs w:val="22"/>
        </w:rPr>
        <w:t xml:space="preserve"> </w:t>
      </w:r>
      <w:r w:rsidRPr="009B03D0">
        <w:rPr>
          <w:rFonts w:eastAsiaTheme="minorHAnsi" w:cs="Arial"/>
          <w:sz w:val="22"/>
          <w:szCs w:val="22"/>
        </w:rPr>
        <w:t>The GAO report examined the extent to which</w:t>
      </w:r>
      <w:r w:rsidR="00367C20">
        <w:rPr>
          <w:rFonts w:eastAsiaTheme="minorHAnsi" w:cs="Arial"/>
          <w:sz w:val="22"/>
          <w:szCs w:val="22"/>
        </w:rPr>
        <w:t xml:space="preserve"> the</w:t>
      </w:r>
      <w:r w:rsidR="00AA56A2">
        <w:rPr>
          <w:rFonts w:eastAsiaTheme="minorHAnsi" w:cs="Arial"/>
          <w:sz w:val="22"/>
          <w:szCs w:val="22"/>
        </w:rPr>
        <w:t xml:space="preserve"> </w:t>
      </w:r>
      <w:r w:rsidRPr="009B03D0">
        <w:rPr>
          <w:rFonts w:eastAsiaTheme="minorHAnsi" w:cs="Arial"/>
          <w:sz w:val="22"/>
          <w:szCs w:val="22"/>
        </w:rPr>
        <w:t>NRC’s cost estimating procedures support development of reliable cost estimates and follow</w:t>
      </w:r>
      <w:r w:rsidRPr="009B03D0" w:rsidR="001E41D8">
        <w:rPr>
          <w:rFonts w:eastAsiaTheme="minorHAnsi" w:cs="Arial"/>
          <w:sz w:val="22"/>
          <w:szCs w:val="22"/>
        </w:rPr>
        <w:t xml:space="preserve"> </w:t>
      </w:r>
      <w:r w:rsidRPr="009B03D0">
        <w:rPr>
          <w:rFonts w:eastAsiaTheme="minorHAnsi" w:cs="Arial"/>
          <w:sz w:val="22"/>
          <w:szCs w:val="22"/>
        </w:rPr>
        <w:t xml:space="preserve">specific best practices that are identified in </w:t>
      </w:r>
      <w:r w:rsidRPr="00EC79F7">
        <w:rPr>
          <w:rFonts w:eastAsiaTheme="minorHAnsi"/>
          <w:sz w:val="22"/>
        </w:rPr>
        <w:t>GAO</w:t>
      </w:r>
      <w:r w:rsidR="00EB4D09">
        <w:rPr>
          <w:rFonts w:eastAsiaTheme="minorHAnsi"/>
          <w:sz w:val="22"/>
        </w:rPr>
        <w:t>-</w:t>
      </w:r>
      <w:r w:rsidRPr="00EC79F7">
        <w:rPr>
          <w:rFonts w:eastAsiaTheme="minorHAnsi"/>
          <w:sz w:val="22"/>
        </w:rPr>
        <w:t>09</w:t>
      </w:r>
      <w:r w:rsidR="00EB4D09">
        <w:rPr>
          <w:rFonts w:eastAsiaTheme="minorHAnsi"/>
          <w:sz w:val="22"/>
        </w:rPr>
        <w:t>-</w:t>
      </w:r>
      <w:r w:rsidRPr="00EC79F7">
        <w:rPr>
          <w:rFonts w:eastAsiaTheme="minorHAnsi"/>
          <w:sz w:val="22"/>
        </w:rPr>
        <w:t>3SP, “GAO Cost Estimating and Managing</w:t>
      </w:r>
      <w:r w:rsidR="00AA56A2">
        <w:rPr>
          <w:rFonts w:eastAsiaTheme="minorHAnsi"/>
          <w:sz w:val="22"/>
        </w:rPr>
        <w:t xml:space="preserve"> </w:t>
      </w:r>
      <w:r w:rsidRPr="00EC79F7">
        <w:rPr>
          <w:rFonts w:eastAsiaTheme="minorHAnsi"/>
          <w:sz w:val="22"/>
        </w:rPr>
        <w:t>Capital Program Costs”</w:t>
      </w:r>
      <w:r w:rsidRPr="00EC79F7" w:rsidR="0052260A">
        <w:rPr>
          <w:rFonts w:eastAsiaTheme="minorHAnsi"/>
          <w:sz w:val="22"/>
        </w:rPr>
        <w:t xml:space="preserve"> </w:t>
      </w:r>
      <w:r w:rsidRPr="00C520D9" w:rsidR="00FD0BEB">
        <w:rPr>
          <w:rFonts w:eastAsiaTheme="minorHAnsi" w:cs="Arial"/>
          <w:sz w:val="22"/>
          <w:szCs w:val="22"/>
        </w:rPr>
        <w:t>(Ref</w:t>
      </w:r>
      <w:r w:rsidR="00844084">
        <w:rPr>
          <w:rFonts w:eastAsiaTheme="minorHAnsi" w:cs="Arial"/>
          <w:sz w:val="22"/>
          <w:szCs w:val="22"/>
        </w:rPr>
        <w:t>.</w:t>
      </w:r>
      <w:r w:rsidRPr="00C520D9" w:rsidR="00FD0BEB">
        <w:rPr>
          <w:rFonts w:eastAsiaTheme="minorHAnsi" w:cs="Arial"/>
          <w:sz w:val="22"/>
          <w:szCs w:val="22"/>
        </w:rPr>
        <w:t xml:space="preserve"> </w:t>
      </w:r>
      <w:r w:rsidR="00AA56A2">
        <w:rPr>
          <w:rFonts w:eastAsiaTheme="minorHAnsi" w:cs="Arial"/>
          <w:sz w:val="22"/>
          <w:szCs w:val="22"/>
        </w:rPr>
        <w:t>33</w:t>
      </w:r>
      <w:r w:rsidRPr="00C520D9" w:rsidR="00FD0BEB">
        <w:rPr>
          <w:rFonts w:eastAsiaTheme="minorHAnsi" w:cs="Arial"/>
          <w:sz w:val="22"/>
          <w:szCs w:val="22"/>
        </w:rPr>
        <w:t>)</w:t>
      </w:r>
      <w:r w:rsidR="00844084">
        <w:rPr>
          <w:rFonts w:eastAsiaTheme="minorHAnsi" w:cs="Arial"/>
          <w:sz w:val="22"/>
          <w:szCs w:val="22"/>
        </w:rPr>
        <w:t>.</w:t>
      </w:r>
      <w:r w:rsidR="00B4757F">
        <w:rPr>
          <w:rFonts w:eastAsiaTheme="minorHAnsi" w:cs="Arial"/>
          <w:sz w:val="22"/>
          <w:szCs w:val="22"/>
        </w:rPr>
        <w:t xml:space="preserve">  </w:t>
      </w:r>
      <w:r w:rsidRPr="009B03D0">
        <w:rPr>
          <w:rFonts w:eastAsiaTheme="minorHAnsi" w:cs="Arial"/>
          <w:sz w:val="22"/>
          <w:szCs w:val="22"/>
        </w:rPr>
        <w:t xml:space="preserve">As a result of this audit, the GAO recommended that </w:t>
      </w:r>
      <w:r w:rsidR="00367C20">
        <w:rPr>
          <w:rFonts w:eastAsiaTheme="minorHAnsi" w:cs="Arial"/>
          <w:sz w:val="22"/>
          <w:szCs w:val="22"/>
        </w:rPr>
        <w:t xml:space="preserve">the </w:t>
      </w:r>
      <w:r w:rsidRPr="009B03D0">
        <w:rPr>
          <w:rFonts w:eastAsiaTheme="minorHAnsi" w:cs="Arial"/>
          <w:sz w:val="22"/>
          <w:szCs w:val="22"/>
        </w:rPr>
        <w:t>NRC align its</w:t>
      </w:r>
      <w:r w:rsidRPr="009B03D0" w:rsidR="001E41D8">
        <w:rPr>
          <w:rFonts w:eastAsiaTheme="minorHAnsi" w:cs="Arial"/>
          <w:sz w:val="22"/>
          <w:szCs w:val="22"/>
        </w:rPr>
        <w:t xml:space="preserve"> </w:t>
      </w:r>
      <w:r w:rsidRPr="009B03D0">
        <w:rPr>
          <w:rFonts w:eastAsiaTheme="minorHAnsi" w:cs="Arial"/>
          <w:sz w:val="22"/>
          <w:szCs w:val="22"/>
        </w:rPr>
        <w:t>cost estimating procedures with relevant cost estimating best practices stated in GAO</w:t>
      </w:r>
      <w:r w:rsidR="00B4757F">
        <w:rPr>
          <w:rFonts w:eastAsiaTheme="minorHAnsi" w:cs="Arial"/>
          <w:sz w:val="22"/>
          <w:szCs w:val="22"/>
        </w:rPr>
        <w:noBreakHyphen/>
      </w:r>
      <w:r w:rsidRPr="009B03D0">
        <w:rPr>
          <w:rFonts w:eastAsiaTheme="minorHAnsi" w:cs="Arial"/>
          <w:sz w:val="22"/>
          <w:szCs w:val="22"/>
        </w:rPr>
        <w:t>09</w:t>
      </w:r>
      <w:r w:rsidR="00B4757F">
        <w:rPr>
          <w:rFonts w:eastAsiaTheme="minorHAnsi" w:cs="Arial"/>
          <w:sz w:val="22"/>
          <w:szCs w:val="22"/>
        </w:rPr>
        <w:noBreakHyphen/>
      </w:r>
      <w:r w:rsidRPr="009B03D0">
        <w:rPr>
          <w:rFonts w:eastAsiaTheme="minorHAnsi" w:cs="Arial"/>
          <w:sz w:val="22"/>
          <w:szCs w:val="22"/>
        </w:rPr>
        <w:t>3SP in an effort to ensure that the</w:t>
      </w:r>
      <w:r w:rsidR="00367C20">
        <w:rPr>
          <w:rFonts w:eastAsiaTheme="minorHAnsi" w:cs="Arial"/>
          <w:sz w:val="22"/>
          <w:szCs w:val="22"/>
        </w:rPr>
        <w:t xml:space="preserve"> NRC’s</w:t>
      </w:r>
      <w:r w:rsidRPr="0028276B">
        <w:rPr>
          <w:rFonts w:eastAsiaTheme="minorHAnsi" w:cs="Arial"/>
          <w:sz w:val="22"/>
          <w:szCs w:val="22"/>
        </w:rPr>
        <w:t xml:space="preserve"> future cost estimates are prepared in accordance</w:t>
      </w:r>
      <w:r w:rsidR="001E41D8">
        <w:rPr>
          <w:rFonts w:eastAsiaTheme="minorHAnsi" w:cs="Arial"/>
          <w:sz w:val="22"/>
          <w:szCs w:val="22"/>
        </w:rPr>
        <w:t xml:space="preserve"> </w:t>
      </w:r>
      <w:r w:rsidRPr="0028276B">
        <w:rPr>
          <w:rFonts w:eastAsiaTheme="minorHAnsi" w:cs="Arial"/>
          <w:sz w:val="22"/>
          <w:szCs w:val="22"/>
        </w:rPr>
        <w:t>with relevant cost estimating best practices.</w:t>
      </w:r>
      <w:r w:rsidR="0052260A">
        <w:rPr>
          <w:rFonts w:eastAsiaTheme="minorHAnsi" w:cs="Arial"/>
          <w:sz w:val="22"/>
          <w:szCs w:val="22"/>
        </w:rPr>
        <w:t xml:space="preserve"> </w:t>
      </w:r>
      <w:r w:rsidR="003A7F24">
        <w:rPr>
          <w:rFonts w:eastAsiaTheme="minorHAnsi" w:cs="Arial"/>
          <w:sz w:val="22"/>
          <w:szCs w:val="22"/>
        </w:rPr>
        <w:t xml:space="preserve"> </w:t>
      </w:r>
      <w:r w:rsidRPr="0028276B">
        <w:rPr>
          <w:rFonts w:eastAsiaTheme="minorHAnsi" w:cs="Arial"/>
          <w:sz w:val="22"/>
          <w:szCs w:val="22"/>
        </w:rPr>
        <w:t>Additionally</w:t>
      </w:r>
      <w:r w:rsidR="00EB4D09">
        <w:rPr>
          <w:rFonts w:eastAsiaTheme="minorHAnsi" w:cs="Arial"/>
          <w:sz w:val="22"/>
          <w:szCs w:val="22"/>
        </w:rPr>
        <w:t>,</w:t>
      </w:r>
      <w:r w:rsidRPr="0028276B">
        <w:rPr>
          <w:rFonts w:eastAsiaTheme="minorHAnsi" w:cs="Arial"/>
          <w:sz w:val="22"/>
          <w:szCs w:val="22"/>
        </w:rPr>
        <w:t xml:space="preserve"> the GAO recommended that the NRC</w:t>
      </w:r>
      <w:r w:rsidR="001E41D8">
        <w:rPr>
          <w:rFonts w:eastAsiaTheme="minorHAnsi" w:cs="Arial"/>
          <w:sz w:val="22"/>
          <w:szCs w:val="22"/>
        </w:rPr>
        <w:t xml:space="preserve"> </w:t>
      </w:r>
      <w:r w:rsidRPr="0028276B">
        <w:rPr>
          <w:rFonts w:eastAsiaTheme="minorHAnsi" w:cs="Arial"/>
          <w:sz w:val="22"/>
          <w:szCs w:val="22"/>
        </w:rPr>
        <w:t>demonstrate credibility in its cost estimates by cross-checking their results with independent</w:t>
      </w:r>
      <w:r w:rsidR="001E41D8">
        <w:rPr>
          <w:rFonts w:eastAsiaTheme="minorHAnsi" w:cs="Arial"/>
          <w:sz w:val="22"/>
          <w:szCs w:val="22"/>
        </w:rPr>
        <w:t xml:space="preserve"> </w:t>
      </w:r>
      <w:r w:rsidRPr="0028276B">
        <w:rPr>
          <w:rFonts w:eastAsiaTheme="minorHAnsi" w:cs="Arial"/>
          <w:sz w:val="22"/>
          <w:szCs w:val="22"/>
        </w:rPr>
        <w:t>cost estimates (ICEs) that are developed by others and conducting sensitivity analysis to</w:t>
      </w:r>
      <w:r w:rsidR="001E41D8">
        <w:rPr>
          <w:rFonts w:eastAsiaTheme="minorHAnsi" w:cs="Arial"/>
          <w:sz w:val="22"/>
          <w:szCs w:val="22"/>
        </w:rPr>
        <w:t xml:space="preserve"> </w:t>
      </w:r>
      <w:r w:rsidRPr="0028276B">
        <w:rPr>
          <w:rFonts w:eastAsiaTheme="minorHAnsi" w:cs="Arial"/>
          <w:sz w:val="22"/>
          <w:szCs w:val="22"/>
        </w:rPr>
        <w:t>identify variables most affecting cost estimates (i.e.</w:t>
      </w:r>
      <w:r w:rsidR="007A673F">
        <w:rPr>
          <w:rFonts w:eastAsiaTheme="minorHAnsi" w:cs="Arial"/>
          <w:sz w:val="22"/>
          <w:szCs w:val="22"/>
        </w:rPr>
        <w:t>,</w:t>
      </w:r>
      <w:r w:rsidRPr="0028276B">
        <w:rPr>
          <w:rFonts w:eastAsiaTheme="minorHAnsi" w:cs="Arial"/>
          <w:sz w:val="22"/>
          <w:szCs w:val="22"/>
        </w:rPr>
        <w:t xml:space="preserve"> cost drivers).</w:t>
      </w:r>
    </w:p>
    <w:p w:rsidR="0028276B" w:rsidP="00726C22" w14:paraId="7F4938E3" w14:textId="77777777">
      <w:pPr>
        <w:rPr>
          <w:rFonts w:eastAsiaTheme="minorHAnsi" w:cs="Arial"/>
          <w:sz w:val="22"/>
          <w:szCs w:val="22"/>
        </w:rPr>
      </w:pPr>
      <w:r w:rsidRPr="0028276B">
        <w:rPr>
          <w:rFonts w:eastAsiaTheme="minorHAnsi" w:cs="Arial"/>
          <w:sz w:val="22"/>
          <w:szCs w:val="22"/>
        </w:rPr>
        <w:t xml:space="preserve">In response to the GAO concerns and recommendations, </w:t>
      </w:r>
      <w:r w:rsidRPr="001E41D8">
        <w:rPr>
          <w:rFonts w:eastAsiaTheme="minorHAnsi" w:cs="Arial"/>
          <w:sz w:val="22"/>
          <w:szCs w:val="22"/>
        </w:rPr>
        <w:t>an ICE was performed for this regulatory action.</w:t>
      </w:r>
      <w:r w:rsidR="0052260A">
        <w:rPr>
          <w:rFonts w:eastAsiaTheme="minorHAnsi" w:cs="Arial"/>
          <w:sz w:val="22"/>
          <w:szCs w:val="22"/>
        </w:rPr>
        <w:t xml:space="preserve"> </w:t>
      </w:r>
      <w:r w:rsidRPr="001E41D8">
        <w:rPr>
          <w:rFonts w:eastAsiaTheme="minorHAnsi" w:cs="Arial"/>
          <w:sz w:val="22"/>
          <w:szCs w:val="22"/>
        </w:rPr>
        <w:t xml:space="preserve">The cost estimating procedures used to </w:t>
      </w:r>
      <w:r w:rsidRPr="003422DE">
        <w:rPr>
          <w:rFonts w:eastAsiaTheme="minorHAnsi" w:cs="Arial"/>
          <w:sz w:val="22"/>
          <w:szCs w:val="22"/>
        </w:rPr>
        <w:t>develop NRC cost estimates (e.g.,</w:t>
      </w:r>
      <w:r w:rsidR="00EB4D09">
        <w:rPr>
          <w:rFonts w:eastAsiaTheme="minorHAnsi" w:cs="Arial"/>
          <w:sz w:val="22"/>
          <w:szCs w:val="22"/>
        </w:rPr>
        <w:t xml:space="preserve"> draft final </w:t>
      </w:r>
      <w:r w:rsidRPr="003422DE">
        <w:rPr>
          <w:rFonts w:eastAsiaTheme="minorHAnsi" w:cs="Arial"/>
          <w:sz w:val="22"/>
          <w:szCs w:val="22"/>
        </w:rPr>
        <w:t xml:space="preserve">NUREG/BR-0058 </w:t>
      </w:r>
      <w:r w:rsidR="00FD0BEB">
        <w:rPr>
          <w:rFonts w:eastAsiaTheme="minorHAnsi" w:cs="Arial"/>
          <w:sz w:val="22"/>
          <w:szCs w:val="22"/>
        </w:rPr>
        <w:t>(</w:t>
      </w:r>
      <w:r w:rsidRPr="00C520D9" w:rsidR="00FD0BEB">
        <w:rPr>
          <w:rFonts w:eastAsiaTheme="minorHAnsi" w:cs="Arial"/>
          <w:sz w:val="22"/>
          <w:szCs w:val="22"/>
        </w:rPr>
        <w:t xml:space="preserve">Ref. </w:t>
      </w:r>
      <w:r w:rsidRPr="00C520D9" w:rsidR="00AA56A2">
        <w:rPr>
          <w:rFonts w:eastAsiaTheme="minorHAnsi" w:cs="Arial"/>
          <w:sz w:val="22"/>
          <w:szCs w:val="22"/>
        </w:rPr>
        <w:t>2</w:t>
      </w:r>
      <w:r w:rsidR="00AA56A2">
        <w:rPr>
          <w:rFonts w:eastAsiaTheme="minorHAnsi" w:cs="Arial"/>
          <w:sz w:val="22"/>
          <w:szCs w:val="22"/>
        </w:rPr>
        <w:t>4</w:t>
      </w:r>
      <w:r w:rsidRPr="00C520D9" w:rsidR="00FD0BEB">
        <w:rPr>
          <w:rFonts w:eastAsiaTheme="minorHAnsi" w:cs="Arial"/>
          <w:sz w:val="22"/>
          <w:szCs w:val="22"/>
        </w:rPr>
        <w:t>)</w:t>
      </w:r>
      <w:r w:rsidR="00FD0BEB">
        <w:rPr>
          <w:rFonts w:eastAsiaTheme="minorHAnsi" w:cs="Arial"/>
          <w:sz w:val="22"/>
          <w:szCs w:val="22"/>
        </w:rPr>
        <w:t xml:space="preserve"> </w:t>
      </w:r>
      <w:r w:rsidRPr="003422DE">
        <w:rPr>
          <w:rFonts w:eastAsiaTheme="minorHAnsi" w:cs="Arial"/>
          <w:sz w:val="22"/>
          <w:szCs w:val="22"/>
        </w:rPr>
        <w:t xml:space="preserve">and </w:t>
      </w:r>
      <w:r w:rsidRPr="00EC79F7">
        <w:rPr>
          <w:rFonts w:eastAsiaTheme="minorHAnsi"/>
          <w:sz w:val="22"/>
        </w:rPr>
        <w:t>NUREG/BR-0184</w:t>
      </w:r>
      <w:r w:rsidRPr="00C520D9" w:rsidR="00FD0BEB">
        <w:rPr>
          <w:rFonts w:eastAsiaTheme="minorHAnsi" w:cs="Arial"/>
          <w:sz w:val="22"/>
          <w:szCs w:val="22"/>
        </w:rPr>
        <w:t xml:space="preserve"> (Ref</w:t>
      </w:r>
      <w:r w:rsidRPr="00C520D9" w:rsidR="00E81920">
        <w:rPr>
          <w:rFonts w:eastAsiaTheme="minorHAnsi" w:cs="Arial"/>
          <w:sz w:val="22"/>
          <w:szCs w:val="22"/>
        </w:rPr>
        <w:t>.</w:t>
      </w:r>
      <w:r w:rsidRPr="00C520D9" w:rsidR="00FD0BEB">
        <w:rPr>
          <w:rFonts w:eastAsiaTheme="minorHAnsi" w:cs="Arial"/>
          <w:sz w:val="22"/>
          <w:szCs w:val="22"/>
        </w:rPr>
        <w:t xml:space="preserve"> </w:t>
      </w:r>
      <w:r w:rsidR="00AA56A2">
        <w:rPr>
          <w:rFonts w:eastAsiaTheme="minorHAnsi" w:cs="Arial"/>
          <w:sz w:val="22"/>
          <w:szCs w:val="22"/>
        </w:rPr>
        <w:t>34</w:t>
      </w:r>
      <w:r w:rsidRPr="00C520D9" w:rsidR="00FD0BEB">
        <w:rPr>
          <w:rFonts w:eastAsiaTheme="minorHAnsi" w:cs="Arial"/>
          <w:sz w:val="22"/>
          <w:szCs w:val="22"/>
        </w:rPr>
        <w:t>))</w:t>
      </w:r>
      <w:r w:rsidRPr="003422DE">
        <w:rPr>
          <w:rFonts w:eastAsiaTheme="minorHAnsi" w:cs="Arial"/>
          <w:sz w:val="22"/>
          <w:szCs w:val="22"/>
        </w:rPr>
        <w:t xml:space="preserve"> were </w:t>
      </w:r>
      <w:r>
        <w:rPr>
          <w:rFonts w:eastAsiaTheme="minorHAnsi" w:cs="Arial"/>
          <w:sz w:val="22"/>
          <w:szCs w:val="22"/>
        </w:rPr>
        <w:t>the same as those used in the ICE, but the methods and techniques used in the ICE were independent of those used in the regulatory analysis.</w:t>
      </w:r>
      <w:r w:rsidR="0052260A">
        <w:rPr>
          <w:rFonts w:eastAsiaTheme="minorHAnsi" w:cs="Arial"/>
          <w:sz w:val="22"/>
          <w:szCs w:val="22"/>
        </w:rPr>
        <w:t xml:space="preserve"> </w:t>
      </w:r>
      <w:r w:rsidR="00DB036C">
        <w:rPr>
          <w:rFonts w:eastAsiaTheme="minorHAnsi" w:cs="Arial"/>
          <w:sz w:val="22"/>
          <w:szCs w:val="22"/>
        </w:rPr>
        <w:t>The key differences are the following:</w:t>
      </w:r>
    </w:p>
    <w:p w:rsidR="007A673F" w:rsidP="00726C22" w14:paraId="7F4938E4" w14:textId="77777777">
      <w:pPr>
        <w:rPr>
          <w:rFonts w:eastAsiaTheme="minorHAnsi" w:cs="Arial"/>
          <w:sz w:val="22"/>
          <w:szCs w:val="22"/>
        </w:rPr>
      </w:pPr>
    </w:p>
    <w:p w:rsidR="00F06080" w:rsidP="00F06080" w14:paraId="7F4938E5" w14:textId="77777777">
      <w:pPr>
        <w:pStyle w:val="ListParagraph"/>
        <w:numPr>
          <w:ilvl w:val="0"/>
          <w:numId w:val="41"/>
        </w:numPr>
        <w:rPr>
          <w:rFonts w:eastAsiaTheme="minorHAnsi" w:cs="Arial"/>
          <w:sz w:val="22"/>
          <w:szCs w:val="22"/>
        </w:rPr>
      </w:pPr>
      <w:r>
        <w:rPr>
          <w:rFonts w:eastAsiaTheme="minorHAnsi" w:cs="Arial"/>
          <w:sz w:val="22"/>
          <w:szCs w:val="22"/>
        </w:rPr>
        <w:t>The regulatory analysis and the independent cost estimate use different labor mixes.</w:t>
      </w:r>
    </w:p>
    <w:p w:rsidR="00F06080" w:rsidP="00F06080" w14:paraId="7F4938E6" w14:textId="77777777">
      <w:pPr>
        <w:pStyle w:val="ListParagraph"/>
        <w:numPr>
          <w:ilvl w:val="0"/>
          <w:numId w:val="41"/>
        </w:numPr>
        <w:rPr>
          <w:rFonts w:eastAsiaTheme="minorHAnsi" w:cs="Arial"/>
          <w:sz w:val="22"/>
          <w:szCs w:val="22"/>
        </w:rPr>
      </w:pPr>
      <w:r>
        <w:rPr>
          <w:rFonts w:eastAsiaTheme="minorHAnsi" w:cs="Arial"/>
          <w:sz w:val="22"/>
          <w:szCs w:val="22"/>
        </w:rPr>
        <w:t>The regulatory analysis and the independent cost estimate use different quantities of labor.</w:t>
      </w:r>
    </w:p>
    <w:p w:rsidR="004C2359" w:rsidP="004C2359" w14:paraId="7F4938E7" w14:textId="77777777">
      <w:pPr>
        <w:pStyle w:val="ListParagraph"/>
        <w:rPr>
          <w:rFonts w:eastAsiaTheme="minorHAnsi" w:cs="Arial"/>
          <w:sz w:val="22"/>
          <w:szCs w:val="22"/>
        </w:rPr>
      </w:pPr>
    </w:p>
    <w:p w:rsidR="00F5589A" w:rsidP="001F3201" w14:paraId="7F4938E8" w14:textId="380A2657">
      <w:pPr>
        <w:rPr>
          <w:rFonts w:eastAsiaTheme="minorHAnsi" w:cs="Arial"/>
          <w:sz w:val="22"/>
          <w:szCs w:val="22"/>
        </w:rPr>
      </w:pPr>
      <w:r w:rsidRPr="00CF41A7">
        <w:rPr>
          <w:rFonts w:eastAsiaTheme="minorHAnsi" w:cs="Arial"/>
          <w:sz w:val="22"/>
          <w:szCs w:val="22"/>
        </w:rPr>
        <w:fldChar w:fldCharType="begin"/>
      </w:r>
      <w:r w:rsidRPr="00CF41A7">
        <w:rPr>
          <w:rFonts w:eastAsiaTheme="minorHAnsi" w:cs="Arial"/>
          <w:sz w:val="22"/>
          <w:szCs w:val="22"/>
        </w:rPr>
        <w:instrText xml:space="preserve"> REF _Ref534035149 \h </w:instrText>
      </w:r>
      <w:r w:rsidRPr="00B45BB6">
        <w:rPr>
          <w:rFonts w:eastAsiaTheme="minorHAnsi" w:cs="Arial"/>
          <w:sz w:val="22"/>
          <w:szCs w:val="22"/>
        </w:rPr>
        <w:instrText xml:space="preserve"> \* MERGEFORMAT </w:instrText>
      </w:r>
      <w:r w:rsidRPr="00CF41A7">
        <w:rPr>
          <w:rFonts w:eastAsiaTheme="minorHAnsi" w:cs="Arial"/>
          <w:sz w:val="22"/>
          <w:szCs w:val="22"/>
        </w:rPr>
        <w:fldChar w:fldCharType="separate"/>
      </w:r>
      <w:r w:rsidRPr="00977795" w:rsidR="00977795">
        <w:rPr>
          <w:sz w:val="22"/>
          <w:szCs w:val="22"/>
        </w:rPr>
        <w:t>Exhibit 3</w:t>
      </w:r>
      <w:r w:rsidRPr="00977795" w:rsidR="00977795">
        <w:rPr>
          <w:sz w:val="22"/>
          <w:szCs w:val="22"/>
        </w:rPr>
        <w:noBreakHyphen/>
        <w:t>10</w:t>
      </w:r>
      <w:r w:rsidRPr="00CF41A7">
        <w:rPr>
          <w:rFonts w:eastAsiaTheme="minorHAnsi" w:cs="Arial"/>
          <w:sz w:val="22"/>
          <w:szCs w:val="22"/>
        </w:rPr>
        <w:fldChar w:fldCharType="end"/>
      </w:r>
      <w:r>
        <w:rPr>
          <w:rFonts w:eastAsiaTheme="minorHAnsi" w:cs="Arial"/>
          <w:sz w:val="22"/>
          <w:szCs w:val="22"/>
        </w:rPr>
        <w:t xml:space="preserve"> </w:t>
      </w:r>
      <w:r>
        <w:rPr>
          <w:rFonts w:eastAsiaTheme="minorHAnsi" w:cs="Arial"/>
          <w:sz w:val="22"/>
          <w:szCs w:val="22"/>
        </w:rPr>
        <w:t xml:space="preserve">shows the difference between the </w:t>
      </w:r>
      <w:r w:rsidR="00DF6A04">
        <w:rPr>
          <w:rFonts w:eastAsiaTheme="minorHAnsi" w:cs="Arial"/>
          <w:sz w:val="22"/>
          <w:szCs w:val="22"/>
        </w:rPr>
        <w:t xml:space="preserve">ICE and the </w:t>
      </w:r>
      <w:r w:rsidR="00EB4D09">
        <w:rPr>
          <w:rFonts w:eastAsiaTheme="minorHAnsi" w:cs="Arial"/>
          <w:sz w:val="22"/>
          <w:szCs w:val="22"/>
        </w:rPr>
        <w:t xml:space="preserve">regulatory analysis </w:t>
      </w:r>
      <w:r w:rsidR="00DF6A04">
        <w:rPr>
          <w:rFonts w:eastAsiaTheme="minorHAnsi" w:cs="Arial"/>
          <w:sz w:val="22"/>
          <w:szCs w:val="22"/>
        </w:rPr>
        <w:t xml:space="preserve">for Net Benefits, Total Costs, </w:t>
      </w:r>
      <w:r w:rsidR="00557834">
        <w:rPr>
          <w:rFonts w:eastAsiaTheme="minorHAnsi" w:cs="Arial"/>
          <w:sz w:val="22"/>
          <w:szCs w:val="22"/>
        </w:rPr>
        <w:t>a</w:t>
      </w:r>
      <w:r w:rsidR="00DF6A04">
        <w:rPr>
          <w:rFonts w:eastAsiaTheme="minorHAnsi" w:cs="Arial"/>
          <w:sz w:val="22"/>
          <w:szCs w:val="22"/>
        </w:rPr>
        <w:t>nd Total Averted Costs.</w:t>
      </w:r>
      <w:r w:rsidR="0052260A">
        <w:rPr>
          <w:rFonts w:eastAsiaTheme="minorHAnsi" w:cs="Arial"/>
          <w:sz w:val="22"/>
          <w:szCs w:val="22"/>
        </w:rPr>
        <w:t xml:space="preserve"> </w:t>
      </w:r>
      <w:r w:rsidR="00DF6A04">
        <w:rPr>
          <w:rFonts w:eastAsiaTheme="minorHAnsi" w:cs="Arial"/>
          <w:sz w:val="22"/>
          <w:szCs w:val="22"/>
        </w:rPr>
        <w:t xml:space="preserve">Based on the slight difference between </w:t>
      </w:r>
      <w:r w:rsidR="00A044F8">
        <w:rPr>
          <w:rFonts w:eastAsiaTheme="minorHAnsi" w:cs="Arial"/>
          <w:sz w:val="22"/>
          <w:szCs w:val="22"/>
        </w:rPr>
        <w:t>t</w:t>
      </w:r>
      <w:r w:rsidR="00DF6A04">
        <w:rPr>
          <w:rFonts w:eastAsiaTheme="minorHAnsi" w:cs="Arial"/>
          <w:sz w:val="22"/>
          <w:szCs w:val="22"/>
        </w:rPr>
        <w:t xml:space="preserve">he ICE and </w:t>
      </w:r>
      <w:r w:rsidR="00EB4D09">
        <w:rPr>
          <w:rFonts w:eastAsiaTheme="minorHAnsi" w:cs="Arial"/>
          <w:sz w:val="22"/>
          <w:szCs w:val="22"/>
        </w:rPr>
        <w:t>regulatory analysis</w:t>
      </w:r>
      <w:r w:rsidR="00DF6A04">
        <w:rPr>
          <w:rFonts w:eastAsiaTheme="minorHAnsi" w:cs="Arial"/>
          <w:sz w:val="22"/>
          <w:szCs w:val="22"/>
        </w:rPr>
        <w:t xml:space="preserve">, no changes were made to the estimates in the </w:t>
      </w:r>
      <w:r w:rsidR="00EB4D09">
        <w:rPr>
          <w:rFonts w:eastAsiaTheme="minorHAnsi" w:cs="Arial"/>
          <w:sz w:val="22"/>
          <w:szCs w:val="22"/>
        </w:rPr>
        <w:t>regulatory analysis</w:t>
      </w:r>
      <w:r w:rsidR="00DF6A04">
        <w:rPr>
          <w:rFonts w:eastAsiaTheme="minorHAnsi" w:cs="Arial"/>
          <w:sz w:val="22"/>
          <w:szCs w:val="22"/>
        </w:rPr>
        <w:t>.</w:t>
      </w:r>
    </w:p>
    <w:p w:rsidR="00DF6A04" w:rsidRPr="00F5589A" w:rsidP="001E41D8" w14:paraId="7F4938E9" w14:textId="77777777">
      <w:pPr>
        <w:ind w:left="360"/>
        <w:rPr>
          <w:rFonts w:eastAsiaTheme="minorHAnsi" w:cs="Arial"/>
          <w:sz w:val="22"/>
          <w:szCs w:val="22"/>
        </w:rPr>
      </w:pPr>
    </w:p>
    <w:p w:rsidR="005C3593" w:rsidRPr="000F7FD1" w:rsidP="00AC71D8" w14:paraId="7F4938EA" w14:textId="0587E0B8">
      <w:pPr>
        <w:pStyle w:val="Caption"/>
        <w:keepNext/>
        <w:spacing w:after="0"/>
        <w:jc w:val="center"/>
        <w:rPr>
          <w:b/>
          <w:color w:val="auto"/>
          <w:sz w:val="22"/>
          <w:szCs w:val="22"/>
        </w:rPr>
      </w:pPr>
      <w:bookmarkStart w:id="208" w:name="_Ref534035149"/>
      <w:bookmarkStart w:id="209" w:name="_Toc534037058"/>
      <w:bookmarkStart w:id="210" w:name="_Toc534709845"/>
      <w:bookmarkStart w:id="211" w:name="_Toc534710003"/>
      <w:bookmarkStart w:id="212" w:name="_Toc534711688"/>
      <w:bookmarkStart w:id="213" w:name="_Toc534712121"/>
      <w:bookmarkStart w:id="214" w:name="_Toc534712698"/>
      <w:bookmarkStart w:id="215" w:name="_Toc534713207"/>
      <w:bookmarkStart w:id="216" w:name="_Toc9526467"/>
      <w:bookmarkStart w:id="217" w:name="_Toc536603416"/>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10</w:t>
      </w:r>
      <w:r w:rsidRPr="000F7FD1" w:rsidR="00C276FC">
        <w:rPr>
          <w:b/>
          <w:i w:val="0"/>
          <w:color w:val="auto"/>
          <w:sz w:val="22"/>
          <w:szCs w:val="22"/>
        </w:rPr>
        <w:fldChar w:fldCharType="end"/>
      </w:r>
      <w:bookmarkEnd w:id="208"/>
      <w:r w:rsidRPr="000F7FD1">
        <w:rPr>
          <w:b/>
          <w:i w:val="0"/>
          <w:color w:val="auto"/>
          <w:sz w:val="22"/>
          <w:szCs w:val="22"/>
        </w:rPr>
        <w:t>. Independent Cost Estimate Comparison</w:t>
      </w:r>
      <w:bookmarkEnd w:id="209"/>
      <w:bookmarkEnd w:id="210"/>
      <w:bookmarkEnd w:id="211"/>
      <w:bookmarkEnd w:id="212"/>
      <w:bookmarkEnd w:id="213"/>
      <w:bookmarkEnd w:id="214"/>
      <w:bookmarkEnd w:id="215"/>
      <w:bookmarkEnd w:id="216"/>
      <w:bookmarkEnd w:id="217"/>
    </w:p>
    <w:tbl>
      <w:tblPr>
        <w:tblStyle w:val="TableGrid"/>
        <w:tblW w:w="0" w:type="auto"/>
        <w:tblLook w:val="04A0"/>
      </w:tblPr>
      <w:tblGrid>
        <w:gridCol w:w="2804"/>
        <w:gridCol w:w="1690"/>
        <w:gridCol w:w="1891"/>
        <w:gridCol w:w="1472"/>
        <w:gridCol w:w="1493"/>
      </w:tblGrid>
      <w:tr w14:paraId="7F4938F0" w14:textId="77777777" w:rsidTr="007A673F">
        <w:tblPrEx>
          <w:tblW w:w="0" w:type="auto"/>
          <w:tblLook w:val="04A0"/>
        </w:tblPrEx>
        <w:trPr>
          <w:trHeight w:val="278"/>
          <w:tblHeader/>
        </w:trPr>
        <w:tc>
          <w:tcPr>
            <w:tcW w:w="2804" w:type="dxa"/>
            <w:vMerge w:val="restart"/>
            <w:noWrap/>
            <w:hideMark/>
          </w:tcPr>
          <w:p w:rsidR="00EF3C7B" w:rsidRPr="001F3201" w:rsidP="00927BF1" w14:paraId="7F4938EB" w14:textId="77777777">
            <w:pPr>
              <w:jc w:val="center"/>
              <w:rPr>
                <w:rFonts w:cs="Arial"/>
                <w:b/>
              </w:rPr>
            </w:pPr>
          </w:p>
        </w:tc>
        <w:tc>
          <w:tcPr>
            <w:tcW w:w="1690" w:type="dxa"/>
            <w:noWrap/>
            <w:hideMark/>
          </w:tcPr>
          <w:p w:rsidR="00EF3C7B" w:rsidRPr="001F3201" w14:paraId="7F4938EC" w14:textId="77777777">
            <w:pPr>
              <w:jc w:val="center"/>
              <w:rPr>
                <w:rFonts w:cs="Arial"/>
                <w:b/>
              </w:rPr>
            </w:pPr>
            <w:r w:rsidRPr="001F3201">
              <w:rPr>
                <w:rFonts w:cs="Arial"/>
                <w:b/>
              </w:rPr>
              <w:t>A</w:t>
            </w:r>
          </w:p>
        </w:tc>
        <w:tc>
          <w:tcPr>
            <w:tcW w:w="1891" w:type="dxa"/>
            <w:noWrap/>
            <w:hideMark/>
          </w:tcPr>
          <w:p w:rsidR="00EF3C7B" w:rsidRPr="001F3201" w14:paraId="7F4938ED" w14:textId="77777777">
            <w:pPr>
              <w:jc w:val="center"/>
              <w:rPr>
                <w:rFonts w:cs="Arial"/>
                <w:b/>
              </w:rPr>
            </w:pPr>
            <w:r w:rsidRPr="001F3201">
              <w:rPr>
                <w:rFonts w:cs="Arial"/>
                <w:b/>
              </w:rPr>
              <w:t>B</w:t>
            </w:r>
          </w:p>
        </w:tc>
        <w:tc>
          <w:tcPr>
            <w:tcW w:w="1472" w:type="dxa"/>
            <w:noWrap/>
            <w:hideMark/>
          </w:tcPr>
          <w:p w:rsidR="00EF3C7B" w:rsidRPr="001F3201" w14:paraId="7F4938EE" w14:textId="77777777">
            <w:pPr>
              <w:jc w:val="center"/>
              <w:rPr>
                <w:rFonts w:cs="Arial"/>
                <w:b/>
              </w:rPr>
            </w:pPr>
            <w:r>
              <w:rPr>
                <w:rFonts w:cs="Arial"/>
                <w:b/>
              </w:rPr>
              <w:t xml:space="preserve">C = </w:t>
            </w:r>
            <w:r w:rsidRPr="001F3201">
              <w:rPr>
                <w:rFonts w:cs="Arial"/>
                <w:b/>
              </w:rPr>
              <w:t>B</w:t>
            </w:r>
            <w:r>
              <w:rPr>
                <w:rFonts w:cs="Arial"/>
                <w:b/>
              </w:rPr>
              <w:t xml:space="preserve"> - </w:t>
            </w:r>
            <w:r w:rsidRPr="001F3201">
              <w:rPr>
                <w:rFonts w:cs="Arial"/>
                <w:b/>
              </w:rPr>
              <w:t>A</w:t>
            </w:r>
          </w:p>
        </w:tc>
        <w:tc>
          <w:tcPr>
            <w:tcW w:w="1493" w:type="dxa"/>
          </w:tcPr>
          <w:p w:rsidR="00EF3C7B" w:rsidRPr="000365E1" w14:paraId="7F4938EF" w14:textId="77777777">
            <w:pPr>
              <w:jc w:val="center"/>
              <w:rPr>
                <w:rFonts w:cs="Arial"/>
                <w:b/>
              </w:rPr>
            </w:pPr>
            <w:r>
              <w:rPr>
                <w:rFonts w:cs="Arial"/>
                <w:b/>
              </w:rPr>
              <w:t>D = C / A</w:t>
            </w:r>
          </w:p>
        </w:tc>
      </w:tr>
      <w:tr w14:paraId="7F4938F6" w14:textId="77777777" w:rsidTr="007A673F">
        <w:tblPrEx>
          <w:tblW w:w="0" w:type="auto"/>
          <w:tblLook w:val="04A0"/>
        </w:tblPrEx>
        <w:trPr>
          <w:trHeight w:val="278"/>
          <w:tblHeader/>
        </w:trPr>
        <w:tc>
          <w:tcPr>
            <w:tcW w:w="2804" w:type="dxa"/>
            <w:vMerge/>
            <w:hideMark/>
          </w:tcPr>
          <w:p w:rsidR="00EF3C7B" w:rsidRPr="001F3201" w:rsidP="00927BF1" w14:paraId="7F4938F1" w14:textId="77777777">
            <w:pPr>
              <w:jc w:val="center"/>
              <w:rPr>
                <w:rFonts w:cs="Arial"/>
                <w:b/>
              </w:rPr>
            </w:pPr>
          </w:p>
        </w:tc>
        <w:tc>
          <w:tcPr>
            <w:tcW w:w="1690" w:type="dxa"/>
            <w:noWrap/>
            <w:hideMark/>
          </w:tcPr>
          <w:p w:rsidR="00EF3C7B" w:rsidRPr="001F3201" w14:paraId="7F4938F2" w14:textId="77777777">
            <w:pPr>
              <w:jc w:val="center"/>
              <w:rPr>
                <w:rFonts w:cs="Arial"/>
                <w:b/>
              </w:rPr>
            </w:pPr>
            <w:r w:rsidRPr="001F3201">
              <w:rPr>
                <w:rFonts w:cs="Arial"/>
                <w:b/>
              </w:rPr>
              <w:t>Independent Cost Estimate</w:t>
            </w:r>
          </w:p>
        </w:tc>
        <w:tc>
          <w:tcPr>
            <w:tcW w:w="1891" w:type="dxa"/>
            <w:noWrap/>
            <w:hideMark/>
          </w:tcPr>
          <w:p w:rsidR="00EF3C7B" w:rsidRPr="001F3201" w14:paraId="7F4938F3" w14:textId="77777777">
            <w:pPr>
              <w:jc w:val="center"/>
              <w:rPr>
                <w:rFonts w:cs="Arial"/>
                <w:b/>
              </w:rPr>
            </w:pPr>
            <w:r w:rsidRPr="001F3201">
              <w:rPr>
                <w:rFonts w:cs="Arial"/>
                <w:b/>
              </w:rPr>
              <w:t>Final Rule Reg</w:t>
            </w:r>
            <w:r w:rsidR="00EB4D09">
              <w:rPr>
                <w:rFonts w:cs="Arial"/>
                <w:b/>
              </w:rPr>
              <w:t>ulatory</w:t>
            </w:r>
            <w:r w:rsidRPr="001F3201">
              <w:rPr>
                <w:rFonts w:cs="Arial"/>
                <w:b/>
              </w:rPr>
              <w:t xml:space="preserve"> Analysis</w:t>
            </w:r>
          </w:p>
        </w:tc>
        <w:tc>
          <w:tcPr>
            <w:tcW w:w="2965" w:type="dxa"/>
            <w:gridSpan w:val="2"/>
            <w:noWrap/>
            <w:hideMark/>
          </w:tcPr>
          <w:p w:rsidR="00EF3C7B" w:rsidRPr="000365E1" w14:paraId="7F4938F4" w14:textId="77777777">
            <w:pPr>
              <w:jc w:val="center"/>
              <w:rPr>
                <w:rFonts w:cs="Arial"/>
                <w:b/>
              </w:rPr>
            </w:pPr>
            <w:r w:rsidRPr="00CA09D7">
              <w:rPr>
                <w:rFonts w:cs="Arial"/>
                <w:b/>
              </w:rPr>
              <w:t>Difference*</w:t>
            </w:r>
          </w:p>
          <w:p w:rsidR="00EF3C7B" w:rsidRPr="000365E1" w14:paraId="7F4938F5" w14:textId="77777777">
            <w:pPr>
              <w:jc w:val="center"/>
              <w:rPr>
                <w:rFonts w:cs="Arial"/>
                <w:b/>
              </w:rPr>
            </w:pPr>
          </w:p>
        </w:tc>
      </w:tr>
      <w:tr w14:paraId="7F4938FC" w14:textId="77777777" w:rsidTr="007A673F">
        <w:tblPrEx>
          <w:tblW w:w="0" w:type="auto"/>
          <w:tblLook w:val="04A0"/>
        </w:tblPrEx>
        <w:trPr>
          <w:trHeight w:val="278"/>
          <w:tblHeader/>
        </w:trPr>
        <w:tc>
          <w:tcPr>
            <w:tcW w:w="2804" w:type="dxa"/>
            <w:vMerge/>
            <w:hideMark/>
          </w:tcPr>
          <w:p w:rsidR="00EF3C7B" w:rsidRPr="001F3201" w:rsidP="00927BF1" w14:paraId="7F4938F7" w14:textId="77777777">
            <w:pPr>
              <w:jc w:val="center"/>
              <w:rPr>
                <w:rFonts w:cs="Arial"/>
                <w:b/>
              </w:rPr>
            </w:pPr>
          </w:p>
        </w:tc>
        <w:tc>
          <w:tcPr>
            <w:tcW w:w="1690" w:type="dxa"/>
            <w:noWrap/>
            <w:hideMark/>
          </w:tcPr>
          <w:p w:rsidR="00EF3C7B" w:rsidRPr="001F3201" w14:paraId="7F4938F8" w14:textId="77777777">
            <w:pPr>
              <w:jc w:val="center"/>
              <w:rPr>
                <w:rFonts w:cs="Arial"/>
                <w:b/>
              </w:rPr>
            </w:pPr>
            <w:r w:rsidRPr="001F3201">
              <w:rPr>
                <w:rFonts w:cs="Arial"/>
                <w:b/>
              </w:rPr>
              <w:t xml:space="preserve">Net Costs &amp; </w:t>
            </w:r>
            <w:r w:rsidRPr="001F3201">
              <w:rPr>
                <w:rFonts w:cs="Arial"/>
                <w:b/>
                <w:bCs/>
              </w:rPr>
              <w:t>Averted Cost</w:t>
            </w:r>
            <w:r w:rsidRPr="001F3201">
              <w:rPr>
                <w:rFonts w:cs="Arial"/>
                <w:b/>
              </w:rPr>
              <w:t>s</w:t>
            </w:r>
          </w:p>
        </w:tc>
        <w:tc>
          <w:tcPr>
            <w:tcW w:w="1891" w:type="dxa"/>
            <w:noWrap/>
            <w:hideMark/>
          </w:tcPr>
          <w:p w:rsidR="00EF3C7B" w:rsidRPr="001F3201" w14:paraId="7F4938F9" w14:textId="77777777">
            <w:pPr>
              <w:jc w:val="center"/>
              <w:rPr>
                <w:rFonts w:cs="Arial"/>
                <w:b/>
              </w:rPr>
            </w:pPr>
            <w:r w:rsidRPr="001F3201">
              <w:rPr>
                <w:rFonts w:cs="Arial"/>
                <w:b/>
              </w:rPr>
              <w:t xml:space="preserve">Net Costs &amp; </w:t>
            </w:r>
            <w:r w:rsidRPr="001F3201">
              <w:rPr>
                <w:rFonts w:cs="Arial"/>
                <w:b/>
                <w:bCs/>
              </w:rPr>
              <w:t>Averted Cost</w:t>
            </w:r>
            <w:r w:rsidRPr="001F3201">
              <w:rPr>
                <w:rFonts w:cs="Arial"/>
                <w:b/>
              </w:rPr>
              <w:t>s</w:t>
            </w:r>
          </w:p>
        </w:tc>
        <w:tc>
          <w:tcPr>
            <w:tcW w:w="1472" w:type="dxa"/>
            <w:noWrap/>
            <w:hideMark/>
          </w:tcPr>
          <w:p w:rsidR="00EF3C7B" w:rsidRPr="001F3201" w14:paraId="7F4938FA" w14:textId="77777777">
            <w:pPr>
              <w:jc w:val="center"/>
              <w:rPr>
                <w:rFonts w:cs="Arial"/>
                <w:b/>
              </w:rPr>
            </w:pPr>
            <w:r>
              <w:rPr>
                <w:rFonts w:cs="Arial"/>
                <w:b/>
              </w:rPr>
              <w:t>M</w:t>
            </w:r>
            <w:r w:rsidRPr="001F3201">
              <w:rPr>
                <w:rFonts w:cs="Arial"/>
                <w:b/>
              </w:rPr>
              <w:t>agnitude</w:t>
            </w:r>
            <w:r>
              <w:rPr>
                <w:rFonts w:cs="Arial"/>
                <w:b/>
              </w:rPr>
              <w:t>*</w:t>
            </w:r>
            <w:r w:rsidRPr="00EF3C7B">
              <w:rPr>
                <w:rFonts w:cs="Arial"/>
                <w:b/>
              </w:rPr>
              <w:t xml:space="preserve"> </w:t>
            </w:r>
          </w:p>
        </w:tc>
        <w:tc>
          <w:tcPr>
            <w:tcW w:w="1493" w:type="dxa"/>
          </w:tcPr>
          <w:p w:rsidR="00EF3C7B" w:rsidRPr="000365E1" w14:paraId="7F4938FB" w14:textId="77777777">
            <w:pPr>
              <w:jc w:val="center"/>
              <w:rPr>
                <w:rFonts w:cs="Arial"/>
                <w:b/>
              </w:rPr>
            </w:pPr>
            <w:r>
              <w:rPr>
                <w:rFonts w:cs="Arial"/>
                <w:b/>
              </w:rPr>
              <w:t>Percent</w:t>
            </w:r>
          </w:p>
        </w:tc>
      </w:tr>
      <w:tr w14:paraId="7F493902" w14:textId="77777777" w:rsidTr="001F3201">
        <w:tblPrEx>
          <w:tblW w:w="0" w:type="auto"/>
          <w:tblLook w:val="04A0"/>
        </w:tblPrEx>
        <w:trPr>
          <w:trHeight w:val="278"/>
        </w:trPr>
        <w:tc>
          <w:tcPr>
            <w:tcW w:w="2804" w:type="dxa"/>
            <w:noWrap/>
            <w:hideMark/>
          </w:tcPr>
          <w:p w:rsidR="00EF3C7B" w:rsidRPr="001F3201" w14:paraId="7F4938FD" w14:textId="77777777">
            <w:pPr>
              <w:jc w:val="center"/>
              <w:rPr>
                <w:rFonts w:cs="Arial"/>
                <w:b/>
              </w:rPr>
            </w:pPr>
            <w:r w:rsidRPr="001F3201">
              <w:rPr>
                <w:rFonts w:cs="Arial"/>
                <w:b/>
              </w:rPr>
              <w:t>Undiscounted 20-year total</w:t>
            </w:r>
          </w:p>
        </w:tc>
        <w:tc>
          <w:tcPr>
            <w:tcW w:w="1690" w:type="dxa"/>
            <w:noWrap/>
            <w:hideMark/>
          </w:tcPr>
          <w:p w:rsidR="00EF3C7B" w:rsidRPr="001F3201" w14:paraId="7F4938FE" w14:textId="77777777">
            <w:pPr>
              <w:jc w:val="center"/>
              <w:rPr>
                <w:rFonts w:cs="Arial"/>
              </w:rPr>
            </w:pPr>
            <w:r w:rsidRPr="001F3201">
              <w:rPr>
                <w:rFonts w:cs="Arial"/>
              </w:rPr>
              <w:t xml:space="preserve">17,000,000 </w:t>
            </w:r>
          </w:p>
        </w:tc>
        <w:tc>
          <w:tcPr>
            <w:tcW w:w="1891" w:type="dxa"/>
            <w:noWrap/>
            <w:hideMark/>
          </w:tcPr>
          <w:p w:rsidR="00EF3C7B" w:rsidRPr="001F3201" w14:paraId="7F4938FF" w14:textId="77777777">
            <w:pPr>
              <w:jc w:val="center"/>
              <w:rPr>
                <w:rFonts w:cs="Arial"/>
              </w:rPr>
            </w:pPr>
            <w:r w:rsidRPr="001F3201">
              <w:rPr>
                <w:rFonts w:cs="Arial"/>
              </w:rPr>
              <w:t xml:space="preserve">$17,000,000 </w:t>
            </w:r>
          </w:p>
        </w:tc>
        <w:tc>
          <w:tcPr>
            <w:tcW w:w="1472" w:type="dxa"/>
            <w:noWrap/>
            <w:hideMark/>
          </w:tcPr>
          <w:p w:rsidR="00EF3C7B" w:rsidRPr="001F3201" w:rsidP="00927BF1" w14:paraId="7F493900" w14:textId="77777777">
            <w:pPr>
              <w:jc w:val="center"/>
              <w:rPr>
                <w:rFonts w:cs="Arial"/>
              </w:rPr>
            </w:pPr>
            <w:r w:rsidRPr="001F3201">
              <w:rPr>
                <w:rFonts w:cs="Arial"/>
              </w:rPr>
              <w:t xml:space="preserve">$100,000 </w:t>
            </w:r>
          </w:p>
        </w:tc>
        <w:tc>
          <w:tcPr>
            <w:tcW w:w="1493" w:type="dxa"/>
          </w:tcPr>
          <w:p w:rsidR="00EF3C7B" w:rsidRPr="000365E1" w:rsidP="00927BF1" w14:paraId="7F493901" w14:textId="77777777">
            <w:pPr>
              <w:jc w:val="center"/>
              <w:rPr>
                <w:rFonts w:cs="Arial"/>
              </w:rPr>
            </w:pPr>
            <w:r>
              <w:rPr>
                <w:rFonts w:cs="Arial"/>
              </w:rPr>
              <w:t>1%</w:t>
            </w:r>
          </w:p>
        </w:tc>
      </w:tr>
      <w:tr w14:paraId="7F493908" w14:textId="77777777" w:rsidTr="001F3201">
        <w:tblPrEx>
          <w:tblW w:w="0" w:type="auto"/>
          <w:tblLook w:val="04A0"/>
        </w:tblPrEx>
        <w:trPr>
          <w:trHeight w:val="278"/>
        </w:trPr>
        <w:tc>
          <w:tcPr>
            <w:tcW w:w="2804" w:type="dxa"/>
            <w:noWrap/>
            <w:hideMark/>
          </w:tcPr>
          <w:p w:rsidR="00EF3C7B" w:rsidRPr="001F3201" w14:paraId="7F493903" w14:textId="77777777">
            <w:pPr>
              <w:jc w:val="center"/>
              <w:rPr>
                <w:rFonts w:cs="Arial"/>
                <w:b/>
              </w:rPr>
            </w:pPr>
            <w:r w:rsidRPr="001F3201">
              <w:rPr>
                <w:rFonts w:cs="Arial"/>
                <w:b/>
              </w:rPr>
              <w:t>20-year total with 3% discounting</w:t>
            </w:r>
          </w:p>
        </w:tc>
        <w:tc>
          <w:tcPr>
            <w:tcW w:w="1690" w:type="dxa"/>
            <w:noWrap/>
            <w:hideMark/>
          </w:tcPr>
          <w:p w:rsidR="00EF3C7B" w:rsidRPr="001F3201" w14:paraId="7F493904" w14:textId="77777777">
            <w:pPr>
              <w:jc w:val="center"/>
              <w:rPr>
                <w:rFonts w:cs="Arial"/>
              </w:rPr>
            </w:pPr>
            <w:r w:rsidRPr="001F3201">
              <w:rPr>
                <w:rFonts w:cs="Arial"/>
              </w:rPr>
              <w:t xml:space="preserve">12,000,000 </w:t>
            </w:r>
          </w:p>
        </w:tc>
        <w:tc>
          <w:tcPr>
            <w:tcW w:w="1891" w:type="dxa"/>
            <w:noWrap/>
            <w:hideMark/>
          </w:tcPr>
          <w:p w:rsidR="00EF3C7B" w:rsidRPr="001F3201" w14:paraId="7F493905" w14:textId="77777777">
            <w:pPr>
              <w:jc w:val="center"/>
              <w:rPr>
                <w:rFonts w:cs="Arial"/>
              </w:rPr>
            </w:pPr>
            <w:r w:rsidRPr="001F3201">
              <w:rPr>
                <w:rFonts w:cs="Arial"/>
              </w:rPr>
              <w:t xml:space="preserve">$12,000,000 </w:t>
            </w:r>
          </w:p>
        </w:tc>
        <w:tc>
          <w:tcPr>
            <w:tcW w:w="1472" w:type="dxa"/>
            <w:noWrap/>
            <w:hideMark/>
          </w:tcPr>
          <w:p w:rsidR="00EF3C7B" w:rsidRPr="001F3201" w:rsidP="00927BF1" w14:paraId="7F493906" w14:textId="77777777">
            <w:pPr>
              <w:jc w:val="center"/>
              <w:rPr>
                <w:rFonts w:cs="Arial"/>
              </w:rPr>
            </w:pPr>
            <w:r w:rsidRPr="001F3201">
              <w:rPr>
                <w:rFonts w:cs="Arial"/>
              </w:rPr>
              <w:t xml:space="preserve">$300,000 </w:t>
            </w:r>
          </w:p>
        </w:tc>
        <w:tc>
          <w:tcPr>
            <w:tcW w:w="1493" w:type="dxa"/>
          </w:tcPr>
          <w:p w:rsidR="00EF3C7B" w:rsidRPr="000365E1" w:rsidP="00927BF1" w14:paraId="7F493907" w14:textId="77777777">
            <w:pPr>
              <w:jc w:val="center"/>
              <w:rPr>
                <w:rFonts w:cs="Arial"/>
              </w:rPr>
            </w:pPr>
            <w:r>
              <w:rPr>
                <w:rFonts w:cs="Arial"/>
              </w:rPr>
              <w:t>3%</w:t>
            </w:r>
          </w:p>
        </w:tc>
      </w:tr>
      <w:tr w14:paraId="7F49390E" w14:textId="77777777" w:rsidTr="001F3201">
        <w:tblPrEx>
          <w:tblW w:w="0" w:type="auto"/>
          <w:tblLook w:val="04A0"/>
        </w:tblPrEx>
        <w:trPr>
          <w:trHeight w:val="278"/>
        </w:trPr>
        <w:tc>
          <w:tcPr>
            <w:tcW w:w="2804" w:type="dxa"/>
            <w:noWrap/>
            <w:hideMark/>
          </w:tcPr>
          <w:p w:rsidR="00EF3C7B" w:rsidRPr="001F3201" w14:paraId="7F493909" w14:textId="77777777">
            <w:pPr>
              <w:jc w:val="center"/>
              <w:rPr>
                <w:rFonts w:cs="Arial"/>
                <w:b/>
              </w:rPr>
            </w:pPr>
            <w:r w:rsidRPr="001F3201">
              <w:rPr>
                <w:rFonts w:cs="Arial"/>
                <w:b/>
              </w:rPr>
              <w:t>20-year total with 7% discounting</w:t>
            </w:r>
          </w:p>
        </w:tc>
        <w:tc>
          <w:tcPr>
            <w:tcW w:w="1690" w:type="dxa"/>
            <w:noWrap/>
            <w:hideMark/>
          </w:tcPr>
          <w:p w:rsidR="00EF3C7B" w:rsidRPr="001F3201" w14:paraId="7F49390A" w14:textId="77777777">
            <w:pPr>
              <w:jc w:val="center"/>
              <w:rPr>
                <w:rFonts w:cs="Arial"/>
              </w:rPr>
            </w:pPr>
            <w:r w:rsidRPr="001F3201">
              <w:rPr>
                <w:rFonts w:cs="Arial"/>
              </w:rPr>
              <w:t xml:space="preserve">8,000,000 </w:t>
            </w:r>
          </w:p>
        </w:tc>
        <w:tc>
          <w:tcPr>
            <w:tcW w:w="1891" w:type="dxa"/>
            <w:noWrap/>
            <w:hideMark/>
          </w:tcPr>
          <w:p w:rsidR="00EF3C7B" w:rsidRPr="001F3201" w14:paraId="7F49390B" w14:textId="77777777">
            <w:pPr>
              <w:jc w:val="center"/>
              <w:rPr>
                <w:rFonts w:cs="Arial"/>
              </w:rPr>
            </w:pPr>
            <w:r w:rsidRPr="001F3201">
              <w:rPr>
                <w:rFonts w:cs="Arial"/>
              </w:rPr>
              <w:t xml:space="preserve">$8,400,000 </w:t>
            </w:r>
          </w:p>
        </w:tc>
        <w:tc>
          <w:tcPr>
            <w:tcW w:w="1472" w:type="dxa"/>
            <w:noWrap/>
            <w:hideMark/>
          </w:tcPr>
          <w:p w:rsidR="00EF3C7B" w:rsidRPr="001F3201" w:rsidP="00927BF1" w14:paraId="7F49390C" w14:textId="77777777">
            <w:pPr>
              <w:jc w:val="center"/>
              <w:rPr>
                <w:rFonts w:cs="Arial"/>
              </w:rPr>
            </w:pPr>
            <w:r w:rsidRPr="001F3201">
              <w:rPr>
                <w:rFonts w:cs="Arial"/>
              </w:rPr>
              <w:t xml:space="preserve">$400,000 </w:t>
            </w:r>
          </w:p>
        </w:tc>
        <w:tc>
          <w:tcPr>
            <w:tcW w:w="1493" w:type="dxa"/>
          </w:tcPr>
          <w:p w:rsidR="00EF3C7B" w:rsidRPr="000365E1" w:rsidP="00927BF1" w14:paraId="7F49390D" w14:textId="77777777">
            <w:pPr>
              <w:jc w:val="center"/>
              <w:rPr>
                <w:rFonts w:cs="Arial"/>
              </w:rPr>
            </w:pPr>
            <w:r>
              <w:rPr>
                <w:rFonts w:cs="Arial"/>
              </w:rPr>
              <w:t>5%</w:t>
            </w:r>
          </w:p>
        </w:tc>
      </w:tr>
      <w:tr w14:paraId="7F493914" w14:textId="77777777" w:rsidTr="001F3201">
        <w:tblPrEx>
          <w:tblW w:w="0" w:type="auto"/>
          <w:tblLook w:val="04A0"/>
        </w:tblPrEx>
        <w:trPr>
          <w:trHeight w:val="278"/>
        </w:trPr>
        <w:tc>
          <w:tcPr>
            <w:tcW w:w="2804" w:type="dxa"/>
            <w:noWrap/>
            <w:hideMark/>
          </w:tcPr>
          <w:p w:rsidR="007E798E" w:rsidRPr="001F3201" w:rsidP="007E798E" w14:paraId="7F49390F" w14:textId="77777777">
            <w:pPr>
              <w:jc w:val="center"/>
              <w:rPr>
                <w:rFonts w:cs="Arial"/>
                <w:b/>
              </w:rPr>
            </w:pPr>
          </w:p>
        </w:tc>
        <w:tc>
          <w:tcPr>
            <w:tcW w:w="1690" w:type="dxa"/>
            <w:noWrap/>
            <w:hideMark/>
          </w:tcPr>
          <w:p w:rsidR="007E798E" w:rsidRPr="001F3201" w:rsidP="007E798E" w14:paraId="7F493910" w14:textId="77777777">
            <w:pPr>
              <w:jc w:val="center"/>
              <w:rPr>
                <w:rFonts w:cs="Arial"/>
                <w:b/>
              </w:rPr>
            </w:pPr>
            <w:r w:rsidRPr="001F3201">
              <w:rPr>
                <w:rFonts w:cs="Arial"/>
                <w:b/>
              </w:rPr>
              <w:t>Total Costs</w:t>
            </w:r>
          </w:p>
        </w:tc>
        <w:tc>
          <w:tcPr>
            <w:tcW w:w="1891" w:type="dxa"/>
            <w:noWrap/>
            <w:hideMark/>
          </w:tcPr>
          <w:p w:rsidR="007E798E" w:rsidRPr="001F3201" w:rsidP="007E798E" w14:paraId="7F493911" w14:textId="77777777">
            <w:pPr>
              <w:jc w:val="center"/>
              <w:rPr>
                <w:rFonts w:cs="Arial"/>
                <w:b/>
              </w:rPr>
            </w:pPr>
            <w:r w:rsidRPr="001F3201">
              <w:rPr>
                <w:rFonts w:cs="Arial"/>
                <w:b/>
              </w:rPr>
              <w:t>Total Costs</w:t>
            </w:r>
          </w:p>
        </w:tc>
        <w:tc>
          <w:tcPr>
            <w:tcW w:w="1472" w:type="dxa"/>
            <w:noWrap/>
            <w:hideMark/>
          </w:tcPr>
          <w:p w:rsidR="007E798E" w:rsidRPr="001F3201" w:rsidP="007E798E" w14:paraId="7F493912" w14:textId="77777777">
            <w:pPr>
              <w:jc w:val="center"/>
              <w:rPr>
                <w:rFonts w:cs="Arial"/>
                <w:b/>
              </w:rPr>
            </w:pPr>
            <w:r>
              <w:rPr>
                <w:rFonts w:cs="Arial"/>
                <w:b/>
              </w:rPr>
              <w:t>M</w:t>
            </w:r>
            <w:r w:rsidRPr="00CA09D7">
              <w:rPr>
                <w:rFonts w:cs="Arial"/>
                <w:b/>
              </w:rPr>
              <w:t>agnitude</w:t>
            </w:r>
            <w:r>
              <w:rPr>
                <w:rFonts w:cs="Arial"/>
                <w:b/>
              </w:rPr>
              <w:t>*</w:t>
            </w:r>
            <w:r w:rsidRPr="00CA09D7">
              <w:rPr>
                <w:rFonts w:cs="Arial"/>
                <w:b/>
              </w:rPr>
              <w:t xml:space="preserve"> </w:t>
            </w:r>
          </w:p>
        </w:tc>
        <w:tc>
          <w:tcPr>
            <w:tcW w:w="1493" w:type="dxa"/>
          </w:tcPr>
          <w:p w:rsidR="007E798E" w:rsidRPr="00EF3C7B" w:rsidP="007E798E" w14:paraId="7F493913" w14:textId="77777777">
            <w:pPr>
              <w:jc w:val="center"/>
              <w:rPr>
                <w:rFonts w:cs="Arial"/>
                <w:b/>
              </w:rPr>
            </w:pPr>
            <w:r>
              <w:rPr>
                <w:rFonts w:cs="Arial"/>
                <w:b/>
              </w:rPr>
              <w:t>Percent</w:t>
            </w:r>
          </w:p>
        </w:tc>
      </w:tr>
      <w:tr w14:paraId="7F49391A" w14:textId="77777777" w:rsidTr="001F3201">
        <w:tblPrEx>
          <w:tblW w:w="0" w:type="auto"/>
          <w:tblLook w:val="04A0"/>
        </w:tblPrEx>
        <w:trPr>
          <w:trHeight w:val="278"/>
        </w:trPr>
        <w:tc>
          <w:tcPr>
            <w:tcW w:w="2804" w:type="dxa"/>
            <w:noWrap/>
            <w:hideMark/>
          </w:tcPr>
          <w:p w:rsidR="00EF3C7B" w:rsidRPr="001F3201" w14:paraId="7F493915" w14:textId="77777777">
            <w:pPr>
              <w:jc w:val="center"/>
              <w:rPr>
                <w:rFonts w:cs="Arial"/>
                <w:b/>
              </w:rPr>
            </w:pPr>
            <w:r w:rsidRPr="001F3201">
              <w:rPr>
                <w:rFonts w:cs="Arial"/>
                <w:b/>
              </w:rPr>
              <w:t>Undiscounted 20-year total</w:t>
            </w:r>
          </w:p>
        </w:tc>
        <w:tc>
          <w:tcPr>
            <w:tcW w:w="1690" w:type="dxa"/>
            <w:noWrap/>
            <w:hideMark/>
          </w:tcPr>
          <w:p w:rsidR="00EF3C7B" w:rsidRPr="001F3201" w14:paraId="7F493916" w14:textId="77777777">
            <w:pPr>
              <w:jc w:val="center"/>
              <w:rPr>
                <w:rFonts w:cs="Arial"/>
              </w:rPr>
            </w:pPr>
            <w:r w:rsidRPr="001F3201">
              <w:rPr>
                <w:rFonts w:cs="Arial"/>
              </w:rPr>
              <w:t>($2,200,000)</w:t>
            </w:r>
          </w:p>
        </w:tc>
        <w:tc>
          <w:tcPr>
            <w:tcW w:w="1891" w:type="dxa"/>
            <w:noWrap/>
            <w:hideMark/>
          </w:tcPr>
          <w:p w:rsidR="00EF3C7B" w:rsidRPr="001F3201" w14:paraId="7F493917" w14:textId="77777777">
            <w:pPr>
              <w:jc w:val="center"/>
              <w:rPr>
                <w:rFonts w:cs="Arial"/>
              </w:rPr>
            </w:pPr>
            <w:r w:rsidRPr="001F3201">
              <w:rPr>
                <w:rFonts w:cs="Arial"/>
              </w:rPr>
              <w:t>($2,300,000)</w:t>
            </w:r>
          </w:p>
        </w:tc>
        <w:tc>
          <w:tcPr>
            <w:tcW w:w="1472" w:type="dxa"/>
            <w:noWrap/>
            <w:hideMark/>
          </w:tcPr>
          <w:p w:rsidR="00EF3C7B" w:rsidRPr="001F3201" w:rsidP="00927BF1" w14:paraId="7F493918" w14:textId="77777777">
            <w:pPr>
              <w:jc w:val="center"/>
              <w:rPr>
                <w:rFonts w:cs="Arial"/>
              </w:rPr>
            </w:pPr>
            <w:r w:rsidRPr="001F3201">
              <w:rPr>
                <w:rFonts w:cs="Arial"/>
              </w:rPr>
              <w:t>($100,000)</w:t>
            </w:r>
          </w:p>
        </w:tc>
        <w:tc>
          <w:tcPr>
            <w:tcW w:w="1493" w:type="dxa"/>
          </w:tcPr>
          <w:p w:rsidR="00EF3C7B" w:rsidRPr="00EF3C7B" w:rsidP="00EF3C7B" w14:paraId="7F493919" w14:textId="77777777">
            <w:pPr>
              <w:jc w:val="center"/>
              <w:rPr>
                <w:rFonts w:cs="Arial"/>
              </w:rPr>
            </w:pPr>
            <w:r>
              <w:rPr>
                <w:rFonts w:cs="Arial"/>
              </w:rPr>
              <w:t>5%</w:t>
            </w:r>
          </w:p>
        </w:tc>
      </w:tr>
      <w:tr w14:paraId="7F493920" w14:textId="77777777" w:rsidTr="001F3201">
        <w:tblPrEx>
          <w:tblW w:w="0" w:type="auto"/>
          <w:tblLook w:val="04A0"/>
        </w:tblPrEx>
        <w:trPr>
          <w:trHeight w:val="278"/>
        </w:trPr>
        <w:tc>
          <w:tcPr>
            <w:tcW w:w="2804" w:type="dxa"/>
            <w:noWrap/>
            <w:hideMark/>
          </w:tcPr>
          <w:p w:rsidR="00EF3C7B" w:rsidRPr="001F3201" w14:paraId="7F49391B" w14:textId="77777777">
            <w:pPr>
              <w:jc w:val="center"/>
              <w:rPr>
                <w:rFonts w:cs="Arial"/>
                <w:b/>
              </w:rPr>
            </w:pPr>
            <w:r w:rsidRPr="001F3201">
              <w:rPr>
                <w:rFonts w:cs="Arial"/>
                <w:b/>
              </w:rPr>
              <w:t>20-year total with 3% discounting</w:t>
            </w:r>
          </w:p>
        </w:tc>
        <w:tc>
          <w:tcPr>
            <w:tcW w:w="1690" w:type="dxa"/>
            <w:noWrap/>
            <w:hideMark/>
          </w:tcPr>
          <w:p w:rsidR="00EF3C7B" w:rsidRPr="001F3201" w14:paraId="7F49391C" w14:textId="77777777">
            <w:pPr>
              <w:jc w:val="center"/>
              <w:rPr>
                <w:rFonts w:cs="Arial"/>
              </w:rPr>
            </w:pPr>
            <w:r w:rsidRPr="001F3201">
              <w:rPr>
                <w:rFonts w:cs="Arial"/>
              </w:rPr>
              <w:t>($1,800,000)</w:t>
            </w:r>
          </w:p>
        </w:tc>
        <w:tc>
          <w:tcPr>
            <w:tcW w:w="1891" w:type="dxa"/>
            <w:noWrap/>
            <w:hideMark/>
          </w:tcPr>
          <w:p w:rsidR="00EF3C7B" w:rsidRPr="001F3201" w14:paraId="7F49391D" w14:textId="77777777">
            <w:pPr>
              <w:jc w:val="center"/>
              <w:rPr>
                <w:rFonts w:cs="Arial"/>
              </w:rPr>
            </w:pPr>
            <w:r w:rsidRPr="001F3201">
              <w:rPr>
                <w:rFonts w:cs="Arial"/>
              </w:rPr>
              <w:t>($1,900,000)</w:t>
            </w:r>
          </w:p>
        </w:tc>
        <w:tc>
          <w:tcPr>
            <w:tcW w:w="1472" w:type="dxa"/>
            <w:noWrap/>
            <w:hideMark/>
          </w:tcPr>
          <w:p w:rsidR="00EF3C7B" w:rsidRPr="001F3201" w:rsidP="00927BF1" w14:paraId="7F49391E" w14:textId="77777777">
            <w:pPr>
              <w:jc w:val="center"/>
              <w:rPr>
                <w:rFonts w:cs="Arial"/>
              </w:rPr>
            </w:pPr>
            <w:r w:rsidRPr="001F3201">
              <w:rPr>
                <w:rFonts w:cs="Arial"/>
              </w:rPr>
              <w:t>($100,000)</w:t>
            </w:r>
          </w:p>
        </w:tc>
        <w:tc>
          <w:tcPr>
            <w:tcW w:w="1493" w:type="dxa"/>
          </w:tcPr>
          <w:p w:rsidR="00EF3C7B" w:rsidRPr="00EF3C7B" w:rsidP="00927BF1" w14:paraId="7F49391F" w14:textId="77777777">
            <w:pPr>
              <w:jc w:val="center"/>
              <w:rPr>
                <w:rFonts w:cs="Arial"/>
              </w:rPr>
            </w:pPr>
            <w:r>
              <w:rPr>
                <w:rFonts w:cs="Arial"/>
              </w:rPr>
              <w:t>6%</w:t>
            </w:r>
          </w:p>
        </w:tc>
      </w:tr>
      <w:tr w14:paraId="7F493926" w14:textId="77777777" w:rsidTr="001F3201">
        <w:tblPrEx>
          <w:tblW w:w="0" w:type="auto"/>
          <w:tblLook w:val="04A0"/>
        </w:tblPrEx>
        <w:trPr>
          <w:trHeight w:val="440"/>
        </w:trPr>
        <w:tc>
          <w:tcPr>
            <w:tcW w:w="2804" w:type="dxa"/>
            <w:noWrap/>
            <w:hideMark/>
          </w:tcPr>
          <w:p w:rsidR="00EF3C7B" w:rsidRPr="001F3201" w14:paraId="7F493921" w14:textId="77777777">
            <w:pPr>
              <w:jc w:val="center"/>
              <w:rPr>
                <w:rFonts w:cs="Arial"/>
                <w:b/>
              </w:rPr>
            </w:pPr>
            <w:r w:rsidRPr="001F3201">
              <w:rPr>
                <w:rFonts w:cs="Arial"/>
                <w:b/>
              </w:rPr>
              <w:t>20-year total with 7% discounting</w:t>
            </w:r>
          </w:p>
        </w:tc>
        <w:tc>
          <w:tcPr>
            <w:tcW w:w="1690" w:type="dxa"/>
            <w:noWrap/>
            <w:hideMark/>
          </w:tcPr>
          <w:p w:rsidR="00EF3C7B" w:rsidRPr="001F3201" w14:paraId="7F493922" w14:textId="77777777">
            <w:pPr>
              <w:jc w:val="center"/>
              <w:rPr>
                <w:rFonts w:cs="Arial"/>
              </w:rPr>
            </w:pPr>
            <w:r w:rsidRPr="001F3201">
              <w:rPr>
                <w:rFonts w:cs="Arial"/>
              </w:rPr>
              <w:t>($1,400,000)</w:t>
            </w:r>
          </w:p>
        </w:tc>
        <w:tc>
          <w:tcPr>
            <w:tcW w:w="1891" w:type="dxa"/>
            <w:noWrap/>
            <w:hideMark/>
          </w:tcPr>
          <w:p w:rsidR="00EF3C7B" w:rsidRPr="001F3201" w14:paraId="7F493923" w14:textId="77777777">
            <w:pPr>
              <w:jc w:val="center"/>
              <w:rPr>
                <w:rFonts w:cs="Arial"/>
              </w:rPr>
            </w:pPr>
            <w:r w:rsidRPr="001F3201">
              <w:rPr>
                <w:rFonts w:cs="Arial"/>
              </w:rPr>
              <w:t>($1,500,000)</w:t>
            </w:r>
          </w:p>
        </w:tc>
        <w:tc>
          <w:tcPr>
            <w:tcW w:w="1472" w:type="dxa"/>
            <w:noWrap/>
            <w:hideMark/>
          </w:tcPr>
          <w:p w:rsidR="00EF3C7B" w:rsidRPr="001F3201" w:rsidP="00927BF1" w14:paraId="7F493924" w14:textId="77777777">
            <w:pPr>
              <w:jc w:val="center"/>
              <w:rPr>
                <w:rFonts w:cs="Arial"/>
              </w:rPr>
            </w:pPr>
            <w:r w:rsidRPr="001F3201">
              <w:rPr>
                <w:rFonts w:cs="Arial"/>
              </w:rPr>
              <w:t>($100,000)</w:t>
            </w:r>
          </w:p>
        </w:tc>
        <w:tc>
          <w:tcPr>
            <w:tcW w:w="1493" w:type="dxa"/>
          </w:tcPr>
          <w:p w:rsidR="00EF3C7B" w:rsidRPr="00EF3C7B" w:rsidP="00927BF1" w14:paraId="7F493925" w14:textId="77777777">
            <w:pPr>
              <w:jc w:val="center"/>
              <w:rPr>
                <w:rFonts w:cs="Arial"/>
              </w:rPr>
            </w:pPr>
            <w:r>
              <w:rPr>
                <w:rFonts w:cs="Arial"/>
              </w:rPr>
              <w:t>7%</w:t>
            </w:r>
          </w:p>
        </w:tc>
      </w:tr>
      <w:tr w14:paraId="7F49392C" w14:textId="77777777" w:rsidTr="001F3201">
        <w:tblPrEx>
          <w:tblW w:w="0" w:type="auto"/>
          <w:tblLook w:val="04A0"/>
        </w:tblPrEx>
        <w:trPr>
          <w:trHeight w:val="278"/>
        </w:trPr>
        <w:tc>
          <w:tcPr>
            <w:tcW w:w="2804" w:type="dxa"/>
            <w:noWrap/>
            <w:hideMark/>
          </w:tcPr>
          <w:p w:rsidR="007E798E" w:rsidRPr="001F3201" w:rsidP="007E798E" w14:paraId="7F493927" w14:textId="77777777">
            <w:pPr>
              <w:jc w:val="center"/>
              <w:rPr>
                <w:rFonts w:cs="Arial"/>
                <w:b/>
              </w:rPr>
            </w:pPr>
          </w:p>
        </w:tc>
        <w:tc>
          <w:tcPr>
            <w:tcW w:w="1690" w:type="dxa"/>
            <w:noWrap/>
            <w:hideMark/>
          </w:tcPr>
          <w:p w:rsidR="007E798E" w:rsidRPr="001F3201" w:rsidP="007E798E" w14:paraId="7F493928" w14:textId="77777777">
            <w:pPr>
              <w:jc w:val="center"/>
              <w:rPr>
                <w:rFonts w:cs="Arial"/>
                <w:b/>
              </w:rPr>
            </w:pPr>
            <w:r w:rsidRPr="001F3201">
              <w:rPr>
                <w:rFonts w:cs="Arial"/>
                <w:b/>
              </w:rPr>
              <w:t xml:space="preserve">Total </w:t>
            </w:r>
            <w:r w:rsidRPr="001F3201">
              <w:rPr>
                <w:rFonts w:cs="Arial"/>
                <w:b/>
                <w:bCs/>
              </w:rPr>
              <w:t>Averted Costs</w:t>
            </w:r>
          </w:p>
        </w:tc>
        <w:tc>
          <w:tcPr>
            <w:tcW w:w="1891" w:type="dxa"/>
            <w:noWrap/>
            <w:hideMark/>
          </w:tcPr>
          <w:p w:rsidR="007E798E" w:rsidRPr="001F3201" w:rsidP="007E798E" w14:paraId="7F493929" w14:textId="77777777">
            <w:pPr>
              <w:jc w:val="center"/>
              <w:rPr>
                <w:rFonts w:cs="Arial"/>
                <w:b/>
              </w:rPr>
            </w:pPr>
            <w:r w:rsidRPr="001F3201">
              <w:rPr>
                <w:rFonts w:cs="Arial"/>
                <w:b/>
              </w:rPr>
              <w:t xml:space="preserve">Total </w:t>
            </w:r>
            <w:r w:rsidRPr="001F3201">
              <w:rPr>
                <w:rFonts w:cs="Arial"/>
                <w:b/>
                <w:bCs/>
              </w:rPr>
              <w:t>Averted Costs</w:t>
            </w:r>
          </w:p>
        </w:tc>
        <w:tc>
          <w:tcPr>
            <w:tcW w:w="1472" w:type="dxa"/>
            <w:noWrap/>
            <w:hideMark/>
          </w:tcPr>
          <w:p w:rsidR="007E798E" w:rsidRPr="001F3201" w:rsidP="007E798E" w14:paraId="7F49392A" w14:textId="77777777">
            <w:pPr>
              <w:jc w:val="center"/>
              <w:rPr>
                <w:rFonts w:cs="Arial"/>
                <w:b/>
              </w:rPr>
            </w:pPr>
            <w:r>
              <w:rPr>
                <w:rFonts w:cs="Arial"/>
                <w:b/>
              </w:rPr>
              <w:t>M</w:t>
            </w:r>
            <w:r w:rsidRPr="00CA09D7">
              <w:rPr>
                <w:rFonts w:cs="Arial"/>
                <w:b/>
              </w:rPr>
              <w:t>agnitude</w:t>
            </w:r>
            <w:r>
              <w:rPr>
                <w:rFonts w:cs="Arial"/>
                <w:b/>
              </w:rPr>
              <w:t>*</w:t>
            </w:r>
            <w:r w:rsidRPr="00CA09D7">
              <w:rPr>
                <w:rFonts w:cs="Arial"/>
                <w:b/>
              </w:rPr>
              <w:t xml:space="preserve"> </w:t>
            </w:r>
          </w:p>
        </w:tc>
        <w:tc>
          <w:tcPr>
            <w:tcW w:w="1493" w:type="dxa"/>
          </w:tcPr>
          <w:p w:rsidR="007E798E" w:rsidRPr="00EF3C7B" w:rsidP="007E798E" w14:paraId="7F49392B" w14:textId="77777777">
            <w:pPr>
              <w:jc w:val="center"/>
              <w:rPr>
                <w:rFonts w:cs="Arial"/>
                <w:b/>
              </w:rPr>
            </w:pPr>
            <w:r>
              <w:rPr>
                <w:rFonts w:cs="Arial"/>
                <w:b/>
              </w:rPr>
              <w:t>Percent</w:t>
            </w:r>
          </w:p>
        </w:tc>
      </w:tr>
      <w:tr w14:paraId="7F493932" w14:textId="77777777" w:rsidTr="001F3201">
        <w:tblPrEx>
          <w:tblW w:w="0" w:type="auto"/>
          <w:tblLook w:val="04A0"/>
        </w:tblPrEx>
        <w:trPr>
          <w:trHeight w:val="278"/>
        </w:trPr>
        <w:tc>
          <w:tcPr>
            <w:tcW w:w="2804" w:type="dxa"/>
            <w:noWrap/>
            <w:hideMark/>
          </w:tcPr>
          <w:p w:rsidR="00EF3C7B" w:rsidRPr="001F3201" w14:paraId="7F49392D" w14:textId="77777777">
            <w:pPr>
              <w:jc w:val="center"/>
              <w:rPr>
                <w:rFonts w:cs="Arial"/>
                <w:b/>
              </w:rPr>
            </w:pPr>
            <w:r w:rsidRPr="001F3201">
              <w:rPr>
                <w:rFonts w:cs="Arial"/>
                <w:b/>
              </w:rPr>
              <w:t>Undiscounted 20-year total</w:t>
            </w:r>
          </w:p>
        </w:tc>
        <w:tc>
          <w:tcPr>
            <w:tcW w:w="1690" w:type="dxa"/>
            <w:noWrap/>
            <w:hideMark/>
          </w:tcPr>
          <w:p w:rsidR="00EF3C7B" w:rsidRPr="001F3201" w14:paraId="7F49392E" w14:textId="77777777">
            <w:pPr>
              <w:jc w:val="center"/>
              <w:rPr>
                <w:rFonts w:cs="Arial"/>
              </w:rPr>
            </w:pPr>
            <w:r w:rsidRPr="001F3201">
              <w:rPr>
                <w:rFonts w:cs="Arial"/>
              </w:rPr>
              <w:t xml:space="preserve">$19,000,000 </w:t>
            </w:r>
          </w:p>
        </w:tc>
        <w:tc>
          <w:tcPr>
            <w:tcW w:w="1891" w:type="dxa"/>
            <w:noWrap/>
            <w:hideMark/>
          </w:tcPr>
          <w:p w:rsidR="00EF3C7B" w:rsidRPr="001F3201" w:rsidP="00927BF1" w14:paraId="7F49392F" w14:textId="77777777">
            <w:pPr>
              <w:jc w:val="center"/>
              <w:rPr>
                <w:rFonts w:cs="Arial"/>
              </w:rPr>
            </w:pPr>
            <w:r w:rsidRPr="001F3201">
              <w:rPr>
                <w:rFonts w:cs="Arial"/>
              </w:rPr>
              <w:t xml:space="preserve">$19,000,000 </w:t>
            </w:r>
          </w:p>
        </w:tc>
        <w:tc>
          <w:tcPr>
            <w:tcW w:w="1472" w:type="dxa"/>
            <w:noWrap/>
            <w:hideMark/>
          </w:tcPr>
          <w:p w:rsidR="00EF3C7B" w:rsidRPr="001F3201" w:rsidP="00927BF1" w14:paraId="7F493930" w14:textId="77777777">
            <w:pPr>
              <w:jc w:val="center"/>
              <w:rPr>
                <w:rFonts w:cs="Arial"/>
              </w:rPr>
            </w:pPr>
            <w:r w:rsidRPr="001F3201">
              <w:rPr>
                <w:rFonts w:cs="Arial"/>
              </w:rPr>
              <w:t xml:space="preserve">$200,000 </w:t>
            </w:r>
          </w:p>
        </w:tc>
        <w:tc>
          <w:tcPr>
            <w:tcW w:w="1493" w:type="dxa"/>
          </w:tcPr>
          <w:p w:rsidR="00EF3C7B" w:rsidRPr="00EF3C7B" w:rsidP="00EF3C7B" w14:paraId="7F493931" w14:textId="77777777">
            <w:pPr>
              <w:jc w:val="center"/>
              <w:rPr>
                <w:rFonts w:cs="Arial"/>
              </w:rPr>
            </w:pPr>
            <w:r>
              <w:rPr>
                <w:rFonts w:cs="Arial"/>
              </w:rPr>
              <w:t>1%</w:t>
            </w:r>
          </w:p>
        </w:tc>
      </w:tr>
      <w:tr w14:paraId="7F493938" w14:textId="77777777" w:rsidTr="001F3201">
        <w:tblPrEx>
          <w:tblW w:w="0" w:type="auto"/>
          <w:tblLook w:val="04A0"/>
        </w:tblPrEx>
        <w:trPr>
          <w:trHeight w:val="278"/>
        </w:trPr>
        <w:tc>
          <w:tcPr>
            <w:tcW w:w="2804" w:type="dxa"/>
            <w:noWrap/>
            <w:hideMark/>
          </w:tcPr>
          <w:p w:rsidR="00EF3C7B" w:rsidRPr="001F3201" w14:paraId="7F493933" w14:textId="77777777">
            <w:pPr>
              <w:jc w:val="center"/>
              <w:rPr>
                <w:rFonts w:cs="Arial"/>
                <w:b/>
              </w:rPr>
            </w:pPr>
            <w:r w:rsidRPr="001F3201">
              <w:rPr>
                <w:rFonts w:cs="Arial"/>
                <w:b/>
              </w:rPr>
              <w:t>20-year total with 3% discounting</w:t>
            </w:r>
          </w:p>
        </w:tc>
        <w:tc>
          <w:tcPr>
            <w:tcW w:w="1690" w:type="dxa"/>
            <w:noWrap/>
            <w:hideMark/>
          </w:tcPr>
          <w:p w:rsidR="00EF3C7B" w:rsidRPr="001F3201" w14:paraId="7F493934" w14:textId="77777777">
            <w:pPr>
              <w:jc w:val="center"/>
              <w:rPr>
                <w:rFonts w:cs="Arial"/>
              </w:rPr>
            </w:pPr>
            <w:r w:rsidRPr="001F3201">
              <w:rPr>
                <w:rFonts w:cs="Arial"/>
              </w:rPr>
              <w:t xml:space="preserve">$14,000,000 </w:t>
            </w:r>
          </w:p>
        </w:tc>
        <w:tc>
          <w:tcPr>
            <w:tcW w:w="1891" w:type="dxa"/>
            <w:noWrap/>
            <w:hideMark/>
          </w:tcPr>
          <w:p w:rsidR="00EF3C7B" w:rsidRPr="001F3201" w:rsidP="00927BF1" w14:paraId="7F493935" w14:textId="77777777">
            <w:pPr>
              <w:jc w:val="center"/>
              <w:rPr>
                <w:rFonts w:cs="Arial"/>
              </w:rPr>
            </w:pPr>
            <w:r w:rsidRPr="001F3201">
              <w:rPr>
                <w:rFonts w:cs="Arial"/>
              </w:rPr>
              <w:t xml:space="preserve">$14,000,000 </w:t>
            </w:r>
          </w:p>
        </w:tc>
        <w:tc>
          <w:tcPr>
            <w:tcW w:w="1472" w:type="dxa"/>
            <w:noWrap/>
            <w:hideMark/>
          </w:tcPr>
          <w:p w:rsidR="00EF3C7B" w:rsidRPr="001F3201" w:rsidP="00927BF1" w14:paraId="7F493936" w14:textId="77777777">
            <w:pPr>
              <w:jc w:val="center"/>
              <w:rPr>
                <w:rFonts w:cs="Arial"/>
              </w:rPr>
            </w:pPr>
            <w:r w:rsidRPr="001F3201">
              <w:rPr>
                <w:rFonts w:cs="Arial"/>
              </w:rPr>
              <w:t xml:space="preserve">$500,000 </w:t>
            </w:r>
          </w:p>
        </w:tc>
        <w:tc>
          <w:tcPr>
            <w:tcW w:w="1493" w:type="dxa"/>
          </w:tcPr>
          <w:p w:rsidR="00EF3C7B" w:rsidRPr="00EF3C7B" w:rsidP="00EF3C7B" w14:paraId="7F493937" w14:textId="77777777">
            <w:pPr>
              <w:jc w:val="center"/>
              <w:rPr>
                <w:rFonts w:cs="Arial"/>
              </w:rPr>
            </w:pPr>
            <w:r>
              <w:rPr>
                <w:rFonts w:cs="Arial"/>
              </w:rPr>
              <w:t>4%</w:t>
            </w:r>
          </w:p>
        </w:tc>
      </w:tr>
      <w:tr w14:paraId="7F49393E" w14:textId="77777777" w:rsidTr="001F3201">
        <w:tblPrEx>
          <w:tblW w:w="0" w:type="auto"/>
          <w:tblLook w:val="04A0"/>
        </w:tblPrEx>
        <w:trPr>
          <w:trHeight w:val="278"/>
        </w:trPr>
        <w:tc>
          <w:tcPr>
            <w:tcW w:w="2804" w:type="dxa"/>
            <w:noWrap/>
            <w:hideMark/>
          </w:tcPr>
          <w:p w:rsidR="00EF3C7B" w:rsidRPr="001F3201" w14:paraId="7F493939" w14:textId="77777777">
            <w:pPr>
              <w:jc w:val="center"/>
              <w:rPr>
                <w:rFonts w:cs="Arial"/>
                <w:b/>
              </w:rPr>
            </w:pPr>
            <w:r w:rsidRPr="001F3201">
              <w:rPr>
                <w:rFonts w:cs="Arial"/>
                <w:b/>
              </w:rPr>
              <w:t>20-year total with 7% discounting</w:t>
            </w:r>
          </w:p>
        </w:tc>
        <w:tc>
          <w:tcPr>
            <w:tcW w:w="1690" w:type="dxa"/>
            <w:noWrap/>
            <w:hideMark/>
          </w:tcPr>
          <w:p w:rsidR="00EF3C7B" w:rsidRPr="001F3201" w14:paraId="7F49393A" w14:textId="77777777">
            <w:pPr>
              <w:jc w:val="center"/>
              <w:rPr>
                <w:rFonts w:cs="Arial"/>
              </w:rPr>
            </w:pPr>
            <w:r w:rsidRPr="001F3201">
              <w:rPr>
                <w:rFonts w:cs="Arial"/>
              </w:rPr>
              <w:t xml:space="preserve">$9,000,000 </w:t>
            </w:r>
          </w:p>
        </w:tc>
        <w:tc>
          <w:tcPr>
            <w:tcW w:w="1891" w:type="dxa"/>
            <w:noWrap/>
            <w:hideMark/>
          </w:tcPr>
          <w:p w:rsidR="00EF3C7B" w:rsidRPr="001F3201" w:rsidP="00927BF1" w14:paraId="7F49393B" w14:textId="77777777">
            <w:pPr>
              <w:jc w:val="center"/>
              <w:rPr>
                <w:rFonts w:cs="Arial"/>
              </w:rPr>
            </w:pPr>
            <w:r w:rsidRPr="001F3201">
              <w:rPr>
                <w:rFonts w:cs="Arial"/>
              </w:rPr>
              <w:t xml:space="preserve">$10,000,000 </w:t>
            </w:r>
          </w:p>
        </w:tc>
        <w:tc>
          <w:tcPr>
            <w:tcW w:w="1472" w:type="dxa"/>
            <w:noWrap/>
            <w:hideMark/>
          </w:tcPr>
          <w:p w:rsidR="00EF3C7B" w:rsidRPr="001E41D8" w:rsidP="00927BF1" w14:paraId="7F49393C" w14:textId="77777777">
            <w:pPr>
              <w:jc w:val="center"/>
              <w:rPr>
                <w:rFonts w:cs="Arial"/>
              </w:rPr>
            </w:pPr>
            <w:r w:rsidRPr="001F3201">
              <w:rPr>
                <w:rFonts w:cs="Arial"/>
              </w:rPr>
              <w:t>$700,000</w:t>
            </w:r>
            <w:r w:rsidRPr="00A0064B">
              <w:rPr>
                <w:rFonts w:cs="Arial"/>
              </w:rPr>
              <w:t xml:space="preserve"> </w:t>
            </w:r>
          </w:p>
        </w:tc>
        <w:tc>
          <w:tcPr>
            <w:tcW w:w="1493" w:type="dxa"/>
          </w:tcPr>
          <w:p w:rsidR="00EF3C7B" w:rsidRPr="00EF3C7B" w:rsidP="00EF3C7B" w14:paraId="7F49393D" w14:textId="77777777">
            <w:pPr>
              <w:jc w:val="center"/>
              <w:rPr>
                <w:rFonts w:cs="Arial"/>
              </w:rPr>
            </w:pPr>
            <w:r>
              <w:rPr>
                <w:rFonts w:cs="Arial"/>
              </w:rPr>
              <w:t>8%</w:t>
            </w:r>
          </w:p>
        </w:tc>
      </w:tr>
    </w:tbl>
    <w:p w:rsidR="00927BF1" w:rsidRPr="001E41D8" w14:paraId="7F49393F" w14:textId="77777777">
      <w:pPr>
        <w:rPr>
          <w:rFonts w:cs="Arial"/>
          <w:b/>
          <w:sz w:val="22"/>
          <w:szCs w:val="22"/>
        </w:rPr>
      </w:pPr>
      <w:r>
        <w:rPr>
          <w:rFonts w:cs="Arial"/>
          <w:b/>
          <w:sz w:val="22"/>
          <w:szCs w:val="22"/>
        </w:rPr>
        <w:t>*</w:t>
      </w:r>
      <w:r>
        <w:rPr>
          <w:rFonts w:cs="Arial"/>
          <w:sz w:val="18"/>
          <w:szCs w:val="22"/>
        </w:rPr>
        <w:t xml:space="preserve">Differences in </w:t>
      </w:r>
      <w:r w:rsidR="00EB4D09">
        <w:rPr>
          <w:rFonts w:cs="Arial"/>
          <w:sz w:val="18"/>
          <w:szCs w:val="22"/>
        </w:rPr>
        <w:t>ICE</w:t>
      </w:r>
      <w:r>
        <w:rPr>
          <w:rFonts w:cs="Arial"/>
          <w:sz w:val="18"/>
          <w:szCs w:val="22"/>
        </w:rPr>
        <w:t xml:space="preserve"> (Column A) or </w:t>
      </w:r>
      <w:r w:rsidR="00DB67E5">
        <w:rPr>
          <w:rFonts w:cs="Arial"/>
          <w:sz w:val="18"/>
          <w:szCs w:val="22"/>
        </w:rPr>
        <w:t>f</w:t>
      </w:r>
      <w:r>
        <w:rPr>
          <w:rFonts w:cs="Arial"/>
          <w:sz w:val="18"/>
          <w:szCs w:val="22"/>
        </w:rPr>
        <w:t xml:space="preserve">inal </w:t>
      </w:r>
      <w:r w:rsidR="00DB67E5">
        <w:rPr>
          <w:rFonts w:cs="Arial"/>
          <w:sz w:val="18"/>
          <w:szCs w:val="22"/>
        </w:rPr>
        <w:t>r</w:t>
      </w:r>
      <w:r>
        <w:rPr>
          <w:rFonts w:cs="Arial"/>
          <w:sz w:val="18"/>
          <w:szCs w:val="22"/>
        </w:rPr>
        <w:t xml:space="preserve">ule </w:t>
      </w:r>
      <w:r w:rsidR="00DB67E5">
        <w:rPr>
          <w:rFonts w:cs="Arial"/>
          <w:sz w:val="18"/>
          <w:szCs w:val="22"/>
        </w:rPr>
        <w:t>regulatory a</w:t>
      </w:r>
      <w:r>
        <w:rPr>
          <w:rFonts w:cs="Arial"/>
          <w:sz w:val="18"/>
          <w:szCs w:val="22"/>
        </w:rPr>
        <w:t xml:space="preserve">nalysis (Column B) </w:t>
      </w:r>
      <w:r w:rsidR="00DB67E5">
        <w:rPr>
          <w:rFonts w:cs="Arial"/>
          <w:sz w:val="18"/>
          <w:szCs w:val="22"/>
        </w:rPr>
        <w:t>may not be exact because of</w:t>
      </w:r>
      <w:r>
        <w:rPr>
          <w:rFonts w:cs="Arial"/>
          <w:sz w:val="18"/>
          <w:szCs w:val="22"/>
        </w:rPr>
        <w:t xml:space="preserve"> rounding.</w:t>
      </w:r>
    </w:p>
    <w:p w:rsidR="00BF5AC4" w:rsidRPr="00346B95" w:rsidP="00346B95" w14:paraId="7F493940" w14:textId="77777777">
      <w:pPr>
        <w:pStyle w:val="Heading3"/>
        <w:spacing w:after="220"/>
      </w:pPr>
      <w:bookmarkStart w:id="218" w:name="_Toc434330230"/>
      <w:bookmarkStart w:id="219" w:name="_Toc443852796"/>
      <w:bookmarkStart w:id="220" w:name="_Toc530073285"/>
      <w:bookmarkStart w:id="221" w:name="_Toc534037103"/>
      <w:bookmarkStart w:id="222" w:name="_Toc534699723"/>
      <w:bookmarkStart w:id="223" w:name="_Toc536603291"/>
      <w:r>
        <w:t>3.3.2</w:t>
      </w:r>
      <w:r w:rsidRPr="00346B95">
        <w:tab/>
        <w:t>Affected Entity Implementation</w:t>
      </w:r>
      <w:bookmarkEnd w:id="218"/>
      <w:bookmarkEnd w:id="219"/>
      <w:bookmarkEnd w:id="220"/>
      <w:bookmarkEnd w:id="221"/>
      <w:bookmarkEnd w:id="222"/>
      <w:bookmarkEnd w:id="223"/>
    </w:p>
    <w:p w:rsidR="00BF5AC4" w:rsidP="00BF5AC4" w14:paraId="7F493941" w14:textId="616C2E33">
      <w:pPr>
        <w:rPr>
          <w:rFonts w:cs="Arial"/>
          <w:sz w:val="22"/>
          <w:szCs w:val="22"/>
        </w:rPr>
      </w:pPr>
      <w:r w:rsidRPr="00D839EE">
        <w:rPr>
          <w:rFonts w:cs="Arial"/>
          <w:sz w:val="22"/>
          <w:szCs w:val="22"/>
        </w:rPr>
        <w:t xml:space="preserve">The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impose implementation costs on </w:t>
      </w:r>
      <w:r w:rsidR="00DB67E5">
        <w:rPr>
          <w:rFonts w:cs="Arial"/>
          <w:sz w:val="22"/>
          <w:szCs w:val="22"/>
        </w:rPr>
        <w:t xml:space="preserve">the </w:t>
      </w:r>
      <w:r w:rsidRPr="00D839EE" w:rsidR="00087986">
        <w:rPr>
          <w:rFonts w:cs="Arial"/>
          <w:sz w:val="22"/>
          <w:szCs w:val="22"/>
        </w:rPr>
        <w:t xml:space="preserve">33 </w:t>
      </w:r>
      <w:r w:rsidRPr="00D839EE">
        <w:rPr>
          <w:rFonts w:cs="Arial"/>
          <w:sz w:val="22"/>
          <w:szCs w:val="22"/>
        </w:rPr>
        <w:t>NPUF</w:t>
      </w:r>
      <w:r w:rsidR="00DB67E5">
        <w:rPr>
          <w:rFonts w:cs="Arial"/>
          <w:sz w:val="22"/>
          <w:szCs w:val="22"/>
        </w:rPr>
        <w:t>s</w:t>
      </w:r>
      <w:r w:rsidR="007A673F">
        <w:rPr>
          <w:rFonts w:cs="Arial"/>
          <w:sz w:val="22"/>
          <w:szCs w:val="22"/>
        </w:rPr>
        <w:t xml:space="preserve"> </w:t>
      </w:r>
      <w:r w:rsidR="00DB67E5">
        <w:rPr>
          <w:rFonts w:cs="Arial"/>
          <w:sz w:val="22"/>
          <w:szCs w:val="22"/>
        </w:rPr>
        <w:t xml:space="preserve">that are currently licensed to operate or </w:t>
      </w:r>
      <w:r w:rsidR="004113F3">
        <w:rPr>
          <w:rFonts w:cs="Arial"/>
          <w:sz w:val="22"/>
          <w:szCs w:val="22"/>
        </w:rPr>
        <w:t>anticipated</w:t>
      </w:r>
      <w:r w:rsidR="00DB67E5">
        <w:rPr>
          <w:rFonts w:cs="Arial"/>
          <w:sz w:val="22"/>
          <w:szCs w:val="22"/>
        </w:rPr>
        <w:t xml:space="preserve"> to be licensed to operate within the next 5 years</w:t>
      </w:r>
      <w:r w:rsidRPr="00D839EE">
        <w:rPr>
          <w:rFonts w:cs="Arial"/>
          <w:sz w:val="22"/>
          <w:szCs w:val="22"/>
        </w:rPr>
        <w:t>.</w:t>
      </w:r>
      <w:r>
        <w:rPr>
          <w:rStyle w:val="FootnoteReference"/>
          <w:rFonts w:cs="Arial"/>
          <w:sz w:val="22"/>
          <w:szCs w:val="22"/>
        </w:rPr>
        <w:footnoteReference w:id="13"/>
      </w:r>
      <w:r w:rsidRPr="00D839EE">
        <w:rPr>
          <w:rFonts w:cs="Arial"/>
          <w:sz w:val="22"/>
          <w:szCs w:val="22"/>
        </w:rPr>
        <w:t xml:space="preserve">  These incremental implementation costs incl</w:t>
      </w:r>
      <w:r w:rsidR="0070706D">
        <w:rPr>
          <w:rFonts w:cs="Arial"/>
          <w:sz w:val="22"/>
          <w:szCs w:val="22"/>
        </w:rPr>
        <w:t>u</w:t>
      </w:r>
      <w:r w:rsidRPr="00D839EE">
        <w:rPr>
          <w:rFonts w:cs="Arial"/>
          <w:sz w:val="22"/>
          <w:szCs w:val="22"/>
        </w:rPr>
        <w:t>de</w:t>
      </w:r>
      <w:r w:rsidR="0070706D">
        <w:rPr>
          <w:rFonts w:cs="Arial"/>
          <w:sz w:val="22"/>
          <w:szCs w:val="22"/>
        </w:rPr>
        <w:t>:</w:t>
      </w:r>
      <w:r w:rsidR="004A06B7">
        <w:rPr>
          <w:rFonts w:cs="Arial"/>
          <w:sz w:val="22"/>
          <w:szCs w:val="22"/>
        </w:rPr>
        <w:t xml:space="preserve"> </w:t>
      </w:r>
      <w:r w:rsidRPr="00D839EE">
        <w:rPr>
          <w:rFonts w:cs="Arial"/>
          <w:sz w:val="22"/>
          <w:szCs w:val="22"/>
        </w:rPr>
        <w:t xml:space="preserve">reviewing the finalized rule, reviewing the </w:t>
      </w:r>
      <w:r w:rsidRPr="00D839EE" w:rsidR="00F35D6B">
        <w:rPr>
          <w:rFonts w:cs="Arial"/>
          <w:sz w:val="22"/>
          <w:szCs w:val="22"/>
        </w:rPr>
        <w:t>NRC-</w:t>
      </w:r>
      <w:r w:rsidRPr="00D839EE">
        <w:rPr>
          <w:rFonts w:cs="Arial"/>
          <w:sz w:val="22"/>
          <w:szCs w:val="22"/>
        </w:rPr>
        <w:t xml:space="preserve">issued guidance documents, reviewing and updating facility procedures, and allowing the </w:t>
      </w:r>
      <w:r w:rsidR="00B36291">
        <w:rPr>
          <w:rFonts w:cs="Arial"/>
          <w:sz w:val="22"/>
          <w:szCs w:val="22"/>
        </w:rPr>
        <w:t>licensee</w:t>
      </w:r>
      <w:r w:rsidRPr="00D839EE">
        <w:rPr>
          <w:rFonts w:cs="Arial"/>
          <w:sz w:val="22"/>
          <w:szCs w:val="22"/>
        </w:rPr>
        <w:t>’s safety review board to review the rule and guidance.  One-time</w:t>
      </w:r>
      <w:r w:rsidR="003D5DD6">
        <w:rPr>
          <w:rFonts w:cs="Arial"/>
          <w:sz w:val="22"/>
          <w:szCs w:val="22"/>
        </w:rPr>
        <w:t xml:space="preserve"> license</w:t>
      </w:r>
      <w:r w:rsidR="007A673F">
        <w:rPr>
          <w:rFonts w:cs="Arial"/>
          <w:sz w:val="22"/>
          <w:szCs w:val="22"/>
        </w:rPr>
        <w:t>e</w:t>
      </w:r>
      <w:r w:rsidRPr="00D839EE">
        <w:rPr>
          <w:rFonts w:cs="Arial"/>
          <w:sz w:val="22"/>
          <w:szCs w:val="22"/>
        </w:rPr>
        <w:t xml:space="preserve"> implementation costs are assumed to accrue in 20</w:t>
      </w:r>
      <w:r w:rsidRPr="00D839EE" w:rsidR="00924158">
        <w:rPr>
          <w:rFonts w:cs="Arial"/>
          <w:sz w:val="22"/>
          <w:szCs w:val="22"/>
        </w:rPr>
        <w:t>20</w:t>
      </w:r>
      <w:r w:rsidRPr="00D839EE">
        <w:rPr>
          <w:rFonts w:cs="Arial"/>
          <w:sz w:val="22"/>
          <w:szCs w:val="22"/>
        </w:rPr>
        <w:t xml:space="preserve"> (the expected effective date of the rule).</w:t>
      </w:r>
    </w:p>
    <w:p w:rsidR="00977795" w:rsidRPr="00D839EE" w:rsidP="00BF5AC4" w14:paraId="0E3546A7" w14:textId="77777777">
      <w:pPr>
        <w:rPr>
          <w:rFonts w:cs="Arial"/>
          <w:sz w:val="22"/>
          <w:szCs w:val="22"/>
        </w:rPr>
      </w:pPr>
    </w:p>
    <w:p w:rsidR="00BF5AC4" w:rsidRPr="00D839EE" w:rsidP="00346B95" w14:paraId="7F493942" w14:textId="67A81D50">
      <w:pPr>
        <w:spacing w:after="220"/>
        <w:rPr>
          <w:rFonts w:cs="Arial"/>
          <w:sz w:val="22"/>
          <w:szCs w:val="22"/>
        </w:rPr>
      </w:pPr>
      <w:r w:rsidRPr="00CF41A7">
        <w:rPr>
          <w:rFonts w:cs="Arial"/>
          <w:sz w:val="22"/>
          <w:szCs w:val="22"/>
        </w:rPr>
        <w:fldChar w:fldCharType="begin"/>
      </w:r>
      <w:r w:rsidRPr="00CF41A7">
        <w:rPr>
          <w:rFonts w:cs="Arial"/>
          <w:sz w:val="22"/>
          <w:szCs w:val="22"/>
        </w:rPr>
        <w:instrText xml:space="preserve"> REF _Ref534035173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11</w:t>
      </w:r>
      <w:r w:rsidRPr="00CF41A7">
        <w:rPr>
          <w:rFonts w:cs="Arial"/>
          <w:sz w:val="22"/>
          <w:szCs w:val="22"/>
        </w:rPr>
        <w:fldChar w:fldCharType="end"/>
      </w:r>
      <w:r>
        <w:rPr>
          <w:rFonts w:cs="Arial"/>
          <w:sz w:val="22"/>
          <w:szCs w:val="22"/>
        </w:rPr>
        <w:t xml:space="preserve"> </w:t>
      </w:r>
      <w:r w:rsidRPr="00D839EE">
        <w:rPr>
          <w:rFonts w:cs="Arial"/>
          <w:sz w:val="22"/>
          <w:szCs w:val="22"/>
        </w:rPr>
        <w:t>break</w:t>
      </w:r>
      <w:r w:rsidR="00E53766">
        <w:rPr>
          <w:rFonts w:cs="Arial"/>
          <w:sz w:val="22"/>
          <w:szCs w:val="22"/>
        </w:rPr>
        <w:t xml:space="preserve">s </w:t>
      </w:r>
      <w:r w:rsidRPr="00D839EE">
        <w:rPr>
          <w:rFonts w:cs="Arial"/>
          <w:sz w:val="22"/>
          <w:szCs w:val="22"/>
        </w:rPr>
        <w:t xml:space="preserve">down the </w:t>
      </w:r>
      <w:r w:rsidR="003D5DD6">
        <w:rPr>
          <w:rFonts w:cs="Arial"/>
          <w:sz w:val="22"/>
          <w:szCs w:val="22"/>
        </w:rPr>
        <w:t>licensee</w:t>
      </w:r>
      <w:r w:rsidRPr="00D839EE">
        <w:rPr>
          <w:rFonts w:cs="Arial"/>
          <w:sz w:val="22"/>
          <w:szCs w:val="22"/>
        </w:rPr>
        <w:t xml:space="preserve"> implementation costs by the categories of NPUFs (Low, Medium, High</w:t>
      </w:r>
      <w:r w:rsidRPr="00D839EE" w:rsidR="001A0E60">
        <w:rPr>
          <w:rFonts w:cs="Arial"/>
          <w:sz w:val="22"/>
          <w:szCs w:val="22"/>
        </w:rPr>
        <w:t>, and Other NPUFs</w:t>
      </w:r>
      <w:r w:rsidR="00E53766">
        <w:rPr>
          <w:rFonts w:cs="Arial"/>
          <w:sz w:val="22"/>
          <w:szCs w:val="22"/>
        </w:rPr>
        <w:t>,</w:t>
      </w:r>
      <w:r w:rsidR="00466994">
        <w:rPr>
          <w:rFonts w:cs="Arial"/>
          <w:sz w:val="22"/>
          <w:szCs w:val="22"/>
        </w:rPr>
        <w:t xml:space="preserve"> as shown in </w:t>
      </w:r>
      <w:r w:rsidRPr="009105B6" w:rsidR="009105B6">
        <w:rPr>
          <w:rFonts w:cs="Arial"/>
          <w:sz w:val="22"/>
          <w:szCs w:val="22"/>
        </w:rPr>
        <w:fldChar w:fldCharType="begin"/>
      </w:r>
      <w:r w:rsidRPr="009105B6" w:rsidR="009105B6">
        <w:rPr>
          <w:rFonts w:cs="Arial"/>
          <w:sz w:val="22"/>
          <w:szCs w:val="22"/>
        </w:rPr>
        <w:instrText xml:space="preserve"> REF _Ref534710758 \h </w:instrText>
      </w:r>
      <w:r w:rsidRPr="00D96410" w:rsidR="009105B6">
        <w:rPr>
          <w:rFonts w:cs="Arial"/>
          <w:sz w:val="22"/>
          <w:szCs w:val="22"/>
        </w:rPr>
        <w:instrText xml:space="preserve"> \* MERGEFORMAT </w:instrText>
      </w:r>
      <w:r w:rsidRPr="009105B6" w:rsidR="009105B6">
        <w:rPr>
          <w:rFonts w:cs="Arial"/>
          <w:sz w:val="22"/>
          <w:szCs w:val="22"/>
        </w:rPr>
        <w:fldChar w:fldCharType="separate"/>
      </w:r>
      <w:r w:rsidRPr="00977795" w:rsidR="00977795">
        <w:rPr>
          <w:sz w:val="22"/>
        </w:rPr>
        <w:t>Exhibit 3</w:t>
      </w:r>
      <w:r w:rsidRPr="00977795" w:rsidR="00977795">
        <w:rPr>
          <w:sz w:val="22"/>
        </w:rPr>
        <w:noBreakHyphen/>
        <w:t>1</w:t>
      </w:r>
      <w:r w:rsidRPr="009105B6" w:rsidR="009105B6">
        <w:rPr>
          <w:rFonts w:cs="Arial"/>
          <w:sz w:val="22"/>
          <w:szCs w:val="22"/>
        </w:rPr>
        <w:fldChar w:fldCharType="end"/>
      </w:r>
      <w:r w:rsidRPr="00D839EE">
        <w:rPr>
          <w:rFonts w:cs="Arial"/>
          <w:sz w:val="22"/>
          <w:szCs w:val="22"/>
        </w:rPr>
        <w:t xml:space="preserve">).  The NRC estimates the implementation costs to range from </w:t>
      </w:r>
      <w:r w:rsidR="006F20E1">
        <w:rPr>
          <w:rFonts w:cs="Arial"/>
          <w:sz w:val="22"/>
          <w:szCs w:val="22"/>
        </w:rPr>
        <w:t>(</w:t>
      </w:r>
      <w:r w:rsidRPr="00D839EE">
        <w:rPr>
          <w:rFonts w:cs="Arial"/>
          <w:sz w:val="22"/>
          <w:szCs w:val="22"/>
        </w:rPr>
        <w:t>$</w:t>
      </w:r>
      <w:r w:rsidRPr="00D839EE" w:rsidR="00F11C2D">
        <w:rPr>
          <w:rFonts w:cs="Arial"/>
          <w:sz w:val="22"/>
          <w:szCs w:val="22"/>
        </w:rPr>
        <w:t>5,</w:t>
      </w:r>
      <w:r w:rsidR="00AA4AEF">
        <w:rPr>
          <w:rFonts w:cs="Arial"/>
          <w:sz w:val="22"/>
          <w:szCs w:val="22"/>
        </w:rPr>
        <w:t>6</w:t>
      </w:r>
      <w:r w:rsidRPr="00D839EE" w:rsidR="00AA4AEF">
        <w:rPr>
          <w:rFonts w:cs="Arial"/>
          <w:sz w:val="22"/>
          <w:szCs w:val="22"/>
        </w:rPr>
        <w:t>00</w:t>
      </w:r>
      <w:r w:rsidR="006F20E1">
        <w:rPr>
          <w:rFonts w:cs="Arial"/>
          <w:sz w:val="22"/>
          <w:szCs w:val="22"/>
        </w:rPr>
        <w:t>)</w:t>
      </w:r>
      <w:r w:rsidRPr="00D839EE">
        <w:rPr>
          <w:rFonts w:cs="Arial"/>
          <w:sz w:val="22"/>
          <w:szCs w:val="22"/>
        </w:rPr>
        <w:t xml:space="preserve"> for each NPUF in the Low</w:t>
      </w:r>
      <w:r w:rsidR="003C1C41">
        <w:rPr>
          <w:rFonts w:cs="Arial"/>
          <w:sz w:val="22"/>
          <w:szCs w:val="22"/>
        </w:rPr>
        <w:t>, Medium, and High</w:t>
      </w:r>
      <w:r w:rsidRPr="00D839EE">
        <w:rPr>
          <w:rFonts w:cs="Arial"/>
          <w:sz w:val="22"/>
          <w:szCs w:val="22"/>
        </w:rPr>
        <w:t xml:space="preserve"> categor</w:t>
      </w:r>
      <w:r w:rsidR="003C1C41">
        <w:rPr>
          <w:rFonts w:cs="Arial"/>
          <w:sz w:val="22"/>
          <w:szCs w:val="22"/>
        </w:rPr>
        <w:t>ies</w:t>
      </w:r>
      <w:r w:rsidRPr="00D839EE">
        <w:rPr>
          <w:rFonts w:cs="Arial"/>
          <w:sz w:val="22"/>
          <w:szCs w:val="22"/>
        </w:rPr>
        <w:t xml:space="preserve"> to </w:t>
      </w:r>
      <w:r w:rsidR="006F20E1">
        <w:rPr>
          <w:rFonts w:cs="Arial"/>
          <w:sz w:val="22"/>
          <w:szCs w:val="22"/>
        </w:rPr>
        <w:t>(</w:t>
      </w:r>
      <w:r w:rsidRPr="00D839EE">
        <w:rPr>
          <w:rFonts w:cs="Arial"/>
          <w:sz w:val="22"/>
          <w:szCs w:val="22"/>
        </w:rPr>
        <w:t>$</w:t>
      </w:r>
      <w:r w:rsidR="00582FC2">
        <w:rPr>
          <w:rFonts w:cs="Arial"/>
          <w:sz w:val="22"/>
          <w:szCs w:val="22"/>
        </w:rPr>
        <w:t>6,200</w:t>
      </w:r>
      <w:r w:rsidR="006F20E1">
        <w:rPr>
          <w:rFonts w:cs="Arial"/>
          <w:sz w:val="22"/>
          <w:szCs w:val="22"/>
        </w:rPr>
        <w:t>)</w:t>
      </w:r>
      <w:r w:rsidRPr="00D839EE" w:rsidR="00AD3372">
        <w:rPr>
          <w:rFonts w:cs="Arial"/>
          <w:sz w:val="22"/>
          <w:szCs w:val="22"/>
        </w:rPr>
        <w:t xml:space="preserve"> </w:t>
      </w:r>
      <w:r w:rsidRPr="00D839EE">
        <w:rPr>
          <w:rFonts w:cs="Arial"/>
          <w:sz w:val="22"/>
          <w:szCs w:val="22"/>
        </w:rPr>
        <w:t xml:space="preserve">for each NPUF in the </w:t>
      </w:r>
      <w:r w:rsidRPr="00D839EE" w:rsidR="00544815">
        <w:rPr>
          <w:rFonts w:cs="Arial"/>
          <w:sz w:val="22"/>
          <w:szCs w:val="22"/>
        </w:rPr>
        <w:t xml:space="preserve">Other NPUFs </w:t>
      </w:r>
      <w:r w:rsidRPr="00D839EE">
        <w:rPr>
          <w:rFonts w:cs="Arial"/>
          <w:sz w:val="22"/>
          <w:szCs w:val="22"/>
        </w:rPr>
        <w:t>category.</w:t>
      </w:r>
    </w:p>
    <w:p w:rsidR="005C3593" w:rsidRPr="000F7FD1" w:rsidP="00AC71D8" w14:paraId="7F493943" w14:textId="18C00D3C">
      <w:pPr>
        <w:pStyle w:val="Caption"/>
        <w:keepNext/>
        <w:spacing w:after="0"/>
        <w:jc w:val="center"/>
        <w:rPr>
          <w:b/>
          <w:color w:val="auto"/>
          <w:sz w:val="22"/>
          <w:szCs w:val="22"/>
        </w:rPr>
      </w:pPr>
      <w:bookmarkStart w:id="224" w:name="_Ref534035173"/>
      <w:bookmarkStart w:id="225" w:name="_Toc534037059"/>
      <w:bookmarkStart w:id="226" w:name="_Toc534709846"/>
      <w:bookmarkStart w:id="227" w:name="_Toc534710004"/>
      <w:bookmarkStart w:id="228" w:name="_Toc534711689"/>
      <w:bookmarkStart w:id="229" w:name="_Toc534712122"/>
      <w:bookmarkStart w:id="230" w:name="_Toc534712699"/>
      <w:bookmarkStart w:id="231" w:name="_Toc534713208"/>
      <w:bookmarkStart w:id="232" w:name="_Toc9526468"/>
      <w:bookmarkStart w:id="233" w:name="_Toc536603417"/>
      <w:r w:rsidRPr="000F7FD1">
        <w:rPr>
          <w:b/>
          <w:i w:val="0"/>
          <w:color w:val="auto"/>
          <w:sz w:val="22"/>
          <w:szCs w:val="22"/>
        </w:rPr>
        <w:t>Exhibit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11</w:t>
      </w:r>
      <w:r w:rsidRPr="000F7FD1" w:rsidR="00C276FC">
        <w:rPr>
          <w:b/>
          <w:i w:val="0"/>
          <w:color w:val="auto"/>
          <w:sz w:val="22"/>
          <w:szCs w:val="22"/>
        </w:rPr>
        <w:fldChar w:fldCharType="end"/>
      </w:r>
      <w:bookmarkEnd w:id="224"/>
      <w:r w:rsidRPr="000F7FD1">
        <w:rPr>
          <w:b/>
          <w:i w:val="0"/>
          <w:color w:val="auto"/>
          <w:sz w:val="22"/>
          <w:szCs w:val="22"/>
        </w:rPr>
        <w:t>. Breakdown of Affected Entity Implementation Costs per NPUF (</w:t>
      </w:r>
      <w:r w:rsidRPr="000F7FD1" w:rsidR="009170F7">
        <w:rPr>
          <w:b/>
          <w:i w:val="0"/>
          <w:color w:val="auto"/>
          <w:sz w:val="22"/>
          <w:szCs w:val="22"/>
        </w:rPr>
        <w:t>2020$</w:t>
      </w:r>
      <w:r w:rsidRPr="000F7FD1">
        <w:rPr>
          <w:b/>
          <w:i w:val="0"/>
          <w:color w:val="auto"/>
          <w:sz w:val="22"/>
          <w:szCs w:val="22"/>
        </w:rPr>
        <w:t>)</w:t>
      </w:r>
      <w:bookmarkEnd w:id="225"/>
      <w:bookmarkEnd w:id="226"/>
      <w:bookmarkEnd w:id="227"/>
      <w:bookmarkEnd w:id="228"/>
      <w:bookmarkEnd w:id="229"/>
      <w:bookmarkEnd w:id="230"/>
      <w:bookmarkEnd w:id="231"/>
      <w:bookmarkEnd w:id="232"/>
      <w:bookmarkEnd w:id="233"/>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5"/>
        <w:gridCol w:w="1080"/>
        <w:gridCol w:w="1080"/>
        <w:gridCol w:w="1080"/>
        <w:gridCol w:w="1473"/>
      </w:tblGrid>
      <w:tr w14:paraId="7F493949" w14:textId="77777777" w:rsidTr="00B634DF">
        <w:tblPrEx>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blHeader/>
          <w:jc w:val="center"/>
        </w:trPr>
        <w:tc>
          <w:tcPr>
            <w:tcW w:w="4315" w:type="dxa"/>
            <w:shd w:val="clear" w:color="auto" w:fill="auto"/>
            <w:noWrap/>
            <w:vAlign w:val="center"/>
            <w:hideMark/>
          </w:tcPr>
          <w:p w:rsidR="00345F48" w:rsidRPr="00D839EE" w:rsidP="003E2998" w14:paraId="7F493944" w14:textId="77777777">
            <w:pPr>
              <w:autoSpaceDE/>
              <w:autoSpaceDN/>
              <w:adjustRightInd/>
              <w:jc w:val="center"/>
              <w:rPr>
                <w:rFonts w:cs="Arial"/>
                <w:b/>
                <w:bCs/>
                <w:color w:val="000000"/>
              </w:rPr>
            </w:pPr>
            <w:r w:rsidRPr="00D839EE">
              <w:rPr>
                <w:rFonts w:cs="Arial"/>
                <w:b/>
                <w:bCs/>
                <w:color w:val="000000"/>
              </w:rPr>
              <w:t>One-</w:t>
            </w:r>
            <w:r w:rsidR="00F357D8">
              <w:rPr>
                <w:rFonts w:cs="Arial"/>
                <w:b/>
                <w:bCs/>
                <w:color w:val="000000"/>
              </w:rPr>
              <w:t>T</w:t>
            </w:r>
            <w:r w:rsidRPr="00D839EE">
              <w:rPr>
                <w:rFonts w:cs="Arial"/>
                <w:b/>
                <w:bCs/>
                <w:color w:val="000000"/>
              </w:rPr>
              <w:t>ime Implementation Costs</w:t>
            </w:r>
          </w:p>
        </w:tc>
        <w:tc>
          <w:tcPr>
            <w:tcW w:w="1080" w:type="dxa"/>
            <w:shd w:val="clear" w:color="auto" w:fill="auto"/>
            <w:noWrap/>
            <w:vAlign w:val="center"/>
            <w:hideMark/>
          </w:tcPr>
          <w:p w:rsidR="00345F48" w:rsidRPr="00D839EE" w:rsidP="00450393" w14:paraId="7F493945" w14:textId="77777777">
            <w:pPr>
              <w:autoSpaceDE/>
              <w:autoSpaceDN/>
              <w:adjustRightInd/>
              <w:jc w:val="center"/>
              <w:rPr>
                <w:rFonts w:cs="Arial"/>
                <w:b/>
                <w:color w:val="000000"/>
              </w:rPr>
            </w:pPr>
            <w:r w:rsidRPr="00D839EE">
              <w:rPr>
                <w:rFonts w:cs="Arial"/>
                <w:b/>
                <w:color w:val="000000"/>
              </w:rPr>
              <w:t>Low</w:t>
            </w:r>
          </w:p>
        </w:tc>
        <w:tc>
          <w:tcPr>
            <w:tcW w:w="1080" w:type="dxa"/>
            <w:shd w:val="clear" w:color="auto" w:fill="auto"/>
            <w:noWrap/>
            <w:vAlign w:val="center"/>
            <w:hideMark/>
          </w:tcPr>
          <w:p w:rsidR="00345F48" w:rsidRPr="00D839EE" w:rsidP="00450393" w14:paraId="7F493946" w14:textId="77777777">
            <w:pPr>
              <w:autoSpaceDE/>
              <w:autoSpaceDN/>
              <w:adjustRightInd/>
              <w:jc w:val="center"/>
              <w:rPr>
                <w:rFonts w:cs="Arial"/>
                <w:b/>
                <w:color w:val="000000"/>
              </w:rPr>
            </w:pPr>
            <w:r w:rsidRPr="00D839EE">
              <w:rPr>
                <w:rFonts w:cs="Arial"/>
                <w:b/>
                <w:color w:val="000000"/>
              </w:rPr>
              <w:t>Medium</w:t>
            </w:r>
          </w:p>
        </w:tc>
        <w:tc>
          <w:tcPr>
            <w:tcW w:w="1080" w:type="dxa"/>
            <w:shd w:val="clear" w:color="auto" w:fill="auto"/>
            <w:noWrap/>
            <w:vAlign w:val="center"/>
            <w:hideMark/>
          </w:tcPr>
          <w:p w:rsidR="00345F48" w:rsidRPr="00D839EE" w:rsidP="00450393" w14:paraId="7F493947" w14:textId="77777777">
            <w:pPr>
              <w:autoSpaceDE/>
              <w:autoSpaceDN/>
              <w:adjustRightInd/>
              <w:jc w:val="center"/>
              <w:rPr>
                <w:rFonts w:cs="Arial"/>
                <w:b/>
                <w:color w:val="000000"/>
              </w:rPr>
            </w:pPr>
            <w:r w:rsidRPr="00D839EE">
              <w:rPr>
                <w:rFonts w:cs="Arial"/>
                <w:b/>
                <w:color w:val="000000"/>
              </w:rPr>
              <w:t>High</w:t>
            </w:r>
          </w:p>
        </w:tc>
        <w:tc>
          <w:tcPr>
            <w:tcW w:w="1473" w:type="dxa"/>
            <w:shd w:val="clear" w:color="auto" w:fill="auto"/>
            <w:noWrap/>
            <w:vAlign w:val="center"/>
            <w:hideMark/>
          </w:tcPr>
          <w:p w:rsidR="00345F48" w:rsidRPr="00D839EE" w:rsidP="00345F48" w14:paraId="7F493948" w14:textId="77777777">
            <w:pPr>
              <w:autoSpaceDE/>
              <w:autoSpaceDN/>
              <w:adjustRightInd/>
              <w:jc w:val="center"/>
              <w:rPr>
                <w:rFonts w:cs="Arial"/>
                <w:b/>
                <w:color w:val="000000"/>
              </w:rPr>
            </w:pPr>
            <w:r w:rsidRPr="00D839EE">
              <w:rPr>
                <w:rFonts w:cs="Arial"/>
                <w:b/>
                <w:color w:val="000000"/>
              </w:rPr>
              <w:t>Other NPUFs</w:t>
            </w:r>
          </w:p>
        </w:tc>
      </w:tr>
      <w:tr w14:paraId="7F49394F" w14:textId="77777777" w:rsidTr="00346B95">
        <w:tblPrEx>
          <w:tblW w:w="9028" w:type="dxa"/>
          <w:jc w:val="center"/>
          <w:tblLayout w:type="fixed"/>
          <w:tblLook w:val="04A0"/>
        </w:tblPrEx>
        <w:trPr>
          <w:trHeight w:val="98"/>
          <w:jc w:val="center"/>
        </w:trPr>
        <w:tc>
          <w:tcPr>
            <w:tcW w:w="4315" w:type="dxa"/>
            <w:shd w:val="clear" w:color="auto" w:fill="auto"/>
            <w:noWrap/>
            <w:vAlign w:val="center"/>
            <w:hideMark/>
          </w:tcPr>
          <w:p w:rsidR="008F4E29" w:rsidRPr="00D839EE" w:rsidP="0083525A" w14:paraId="7F49394A" w14:textId="77777777">
            <w:pPr>
              <w:autoSpaceDE/>
              <w:autoSpaceDN/>
              <w:adjustRightInd/>
              <w:jc w:val="right"/>
              <w:rPr>
                <w:rFonts w:cs="Arial"/>
                <w:color w:val="000000"/>
              </w:rPr>
            </w:pPr>
            <w:r w:rsidRPr="00D839EE">
              <w:rPr>
                <w:rFonts w:cs="Arial"/>
                <w:color w:val="000000"/>
              </w:rPr>
              <w:t>Reviewing Finalized Rule</w:t>
            </w:r>
          </w:p>
        </w:tc>
        <w:tc>
          <w:tcPr>
            <w:tcW w:w="1080" w:type="dxa"/>
            <w:shd w:val="clear" w:color="auto" w:fill="auto"/>
            <w:noWrap/>
            <w:hideMark/>
          </w:tcPr>
          <w:p w:rsidR="008F4E29" w:rsidRPr="00D839EE" w:rsidP="008F4E29" w14:paraId="7F49394B" w14:textId="77777777">
            <w:pPr>
              <w:autoSpaceDE/>
              <w:autoSpaceDN/>
              <w:adjustRightInd/>
              <w:jc w:val="center"/>
              <w:rPr>
                <w:rFonts w:cs="Arial"/>
                <w:color w:val="000000"/>
              </w:rPr>
            </w:pPr>
            <w:r>
              <w:t>(</w:t>
            </w:r>
            <w:r w:rsidRPr="001446BB">
              <w:t>$1,</w:t>
            </w:r>
            <w:r w:rsidR="008A7C50">
              <w:t>300</w:t>
            </w:r>
            <w:r>
              <w:t>)</w:t>
            </w:r>
          </w:p>
        </w:tc>
        <w:tc>
          <w:tcPr>
            <w:tcW w:w="1080" w:type="dxa"/>
            <w:shd w:val="clear" w:color="auto" w:fill="auto"/>
            <w:noWrap/>
            <w:hideMark/>
          </w:tcPr>
          <w:p w:rsidR="008F4E29" w:rsidRPr="00D839EE" w:rsidP="008F4E29" w14:paraId="7F49394C" w14:textId="77777777">
            <w:pPr>
              <w:autoSpaceDE/>
              <w:autoSpaceDN/>
              <w:adjustRightInd/>
              <w:jc w:val="center"/>
              <w:rPr>
                <w:rFonts w:cs="Arial"/>
                <w:color w:val="000000"/>
              </w:rPr>
            </w:pPr>
            <w:r>
              <w:t>(</w:t>
            </w:r>
            <w:r w:rsidRPr="001446BB">
              <w:t>$1,</w:t>
            </w:r>
            <w:r w:rsidR="008A7C50">
              <w:t>3</w:t>
            </w:r>
            <w:r w:rsidRPr="001446BB" w:rsidR="008A7C50">
              <w:t>00</w:t>
            </w:r>
            <w:r>
              <w:t>)</w:t>
            </w:r>
          </w:p>
        </w:tc>
        <w:tc>
          <w:tcPr>
            <w:tcW w:w="1080" w:type="dxa"/>
            <w:shd w:val="clear" w:color="auto" w:fill="auto"/>
            <w:noWrap/>
            <w:hideMark/>
          </w:tcPr>
          <w:p w:rsidR="008F4E29" w:rsidRPr="00D839EE" w:rsidP="008F4E29" w14:paraId="7F49394D" w14:textId="77777777">
            <w:pPr>
              <w:autoSpaceDE/>
              <w:autoSpaceDN/>
              <w:adjustRightInd/>
              <w:jc w:val="center"/>
              <w:rPr>
                <w:rFonts w:cs="Arial"/>
                <w:color w:val="000000"/>
              </w:rPr>
            </w:pPr>
            <w:r>
              <w:t>(</w:t>
            </w:r>
            <w:r w:rsidRPr="001446BB">
              <w:t>$1,</w:t>
            </w:r>
            <w:r w:rsidR="00FC562D">
              <w:t>3</w:t>
            </w:r>
            <w:r w:rsidRPr="001446BB" w:rsidR="00FC562D">
              <w:t>00</w:t>
            </w:r>
            <w:r>
              <w:t>)</w:t>
            </w:r>
          </w:p>
        </w:tc>
        <w:tc>
          <w:tcPr>
            <w:tcW w:w="1473" w:type="dxa"/>
            <w:shd w:val="clear" w:color="auto" w:fill="auto"/>
            <w:noWrap/>
            <w:hideMark/>
          </w:tcPr>
          <w:p w:rsidR="008F4E29" w:rsidRPr="00D839EE" w:rsidP="008F4E29" w14:paraId="7F49394E" w14:textId="77777777">
            <w:pPr>
              <w:autoSpaceDE/>
              <w:autoSpaceDN/>
              <w:adjustRightInd/>
              <w:jc w:val="center"/>
              <w:rPr>
                <w:rFonts w:cs="Arial"/>
                <w:color w:val="000000"/>
              </w:rPr>
            </w:pPr>
            <w:r>
              <w:t>(</w:t>
            </w:r>
            <w:r w:rsidRPr="001446BB">
              <w:t>$1,400</w:t>
            </w:r>
            <w:r>
              <w:t>)</w:t>
            </w:r>
          </w:p>
        </w:tc>
      </w:tr>
      <w:tr w14:paraId="7F493955" w14:textId="77777777" w:rsidTr="00346B95">
        <w:tblPrEx>
          <w:tblW w:w="9028" w:type="dxa"/>
          <w:jc w:val="center"/>
          <w:tblLayout w:type="fixed"/>
          <w:tblLook w:val="04A0"/>
        </w:tblPrEx>
        <w:trPr>
          <w:trHeight w:val="224"/>
          <w:jc w:val="center"/>
        </w:trPr>
        <w:tc>
          <w:tcPr>
            <w:tcW w:w="4315" w:type="dxa"/>
            <w:shd w:val="clear" w:color="auto" w:fill="auto"/>
            <w:noWrap/>
            <w:vAlign w:val="center"/>
            <w:hideMark/>
          </w:tcPr>
          <w:p w:rsidR="008F4E29" w:rsidRPr="00D839EE" w:rsidP="0083525A" w14:paraId="7F493950" w14:textId="77777777">
            <w:pPr>
              <w:autoSpaceDE/>
              <w:autoSpaceDN/>
              <w:adjustRightInd/>
              <w:jc w:val="right"/>
              <w:rPr>
                <w:rFonts w:cs="Arial"/>
                <w:color w:val="000000"/>
              </w:rPr>
            </w:pPr>
            <w:r w:rsidRPr="00D839EE">
              <w:rPr>
                <w:rFonts w:cs="Arial"/>
                <w:color w:val="000000"/>
              </w:rPr>
              <w:t>Reviewing NRC</w:t>
            </w:r>
            <w:r w:rsidR="00274832">
              <w:rPr>
                <w:rFonts w:cs="Arial"/>
                <w:color w:val="000000"/>
              </w:rPr>
              <w:t>-</w:t>
            </w:r>
            <w:r w:rsidRPr="00D839EE">
              <w:rPr>
                <w:rFonts w:cs="Arial"/>
                <w:color w:val="000000"/>
              </w:rPr>
              <w:t>Issued Guidance Documents</w:t>
            </w:r>
          </w:p>
        </w:tc>
        <w:tc>
          <w:tcPr>
            <w:tcW w:w="1080" w:type="dxa"/>
            <w:shd w:val="clear" w:color="auto" w:fill="auto"/>
            <w:noWrap/>
            <w:hideMark/>
          </w:tcPr>
          <w:p w:rsidR="008F4E29" w:rsidRPr="00D839EE" w:rsidP="008F4E29" w14:paraId="7F493951" w14:textId="77777777">
            <w:pPr>
              <w:autoSpaceDE/>
              <w:autoSpaceDN/>
              <w:adjustRightInd/>
              <w:jc w:val="center"/>
              <w:rPr>
                <w:rFonts w:cs="Arial"/>
                <w:color w:val="000000"/>
              </w:rPr>
            </w:pPr>
            <w:r>
              <w:t>(</w:t>
            </w:r>
            <w:r w:rsidRPr="001446BB">
              <w:t>$1,200</w:t>
            </w:r>
            <w:r>
              <w:t>)</w:t>
            </w:r>
          </w:p>
        </w:tc>
        <w:tc>
          <w:tcPr>
            <w:tcW w:w="1080" w:type="dxa"/>
            <w:shd w:val="clear" w:color="auto" w:fill="auto"/>
            <w:noWrap/>
            <w:hideMark/>
          </w:tcPr>
          <w:p w:rsidR="008F4E29" w:rsidRPr="00D839EE" w:rsidP="008F4E29" w14:paraId="7F493952" w14:textId="77777777">
            <w:pPr>
              <w:autoSpaceDE/>
              <w:autoSpaceDN/>
              <w:adjustRightInd/>
              <w:jc w:val="center"/>
              <w:rPr>
                <w:rFonts w:cs="Arial"/>
                <w:color w:val="000000"/>
              </w:rPr>
            </w:pPr>
            <w:r>
              <w:t>(</w:t>
            </w:r>
            <w:r w:rsidRPr="001446BB">
              <w:t>$1,200</w:t>
            </w:r>
            <w:r w:rsidR="00152A45">
              <w:t>)</w:t>
            </w:r>
          </w:p>
        </w:tc>
        <w:tc>
          <w:tcPr>
            <w:tcW w:w="1080" w:type="dxa"/>
            <w:shd w:val="clear" w:color="auto" w:fill="auto"/>
            <w:noWrap/>
            <w:hideMark/>
          </w:tcPr>
          <w:p w:rsidR="008F4E29" w:rsidRPr="00D839EE" w:rsidP="008F4E29" w14:paraId="7F493953" w14:textId="77777777">
            <w:pPr>
              <w:autoSpaceDE/>
              <w:autoSpaceDN/>
              <w:adjustRightInd/>
              <w:jc w:val="center"/>
              <w:rPr>
                <w:rFonts w:cs="Arial"/>
                <w:color w:val="000000"/>
              </w:rPr>
            </w:pPr>
            <w:r>
              <w:t>(</w:t>
            </w:r>
            <w:r w:rsidRPr="001446BB">
              <w:t>$1,200</w:t>
            </w:r>
            <w:r>
              <w:t>)</w:t>
            </w:r>
          </w:p>
        </w:tc>
        <w:tc>
          <w:tcPr>
            <w:tcW w:w="1473" w:type="dxa"/>
            <w:shd w:val="clear" w:color="auto" w:fill="auto"/>
            <w:noWrap/>
            <w:hideMark/>
          </w:tcPr>
          <w:p w:rsidR="008F4E29" w:rsidRPr="00D839EE" w:rsidP="008F4E29" w14:paraId="7F493954" w14:textId="77777777">
            <w:pPr>
              <w:autoSpaceDE/>
              <w:autoSpaceDN/>
              <w:adjustRightInd/>
              <w:jc w:val="center"/>
              <w:rPr>
                <w:rFonts w:cs="Arial"/>
                <w:color w:val="000000"/>
              </w:rPr>
            </w:pPr>
            <w:r>
              <w:t>(</w:t>
            </w:r>
            <w:r w:rsidRPr="001446BB">
              <w:t>$1,</w:t>
            </w:r>
            <w:r w:rsidR="00FC562D">
              <w:t>4</w:t>
            </w:r>
            <w:r w:rsidRPr="001446BB" w:rsidR="00FC562D">
              <w:t>00</w:t>
            </w:r>
            <w:r>
              <w:t>)</w:t>
            </w:r>
          </w:p>
        </w:tc>
      </w:tr>
      <w:tr w14:paraId="7F49395B" w14:textId="77777777" w:rsidTr="00346B95">
        <w:tblPrEx>
          <w:tblW w:w="9028" w:type="dxa"/>
          <w:jc w:val="center"/>
          <w:tblLayout w:type="fixed"/>
          <w:tblLook w:val="04A0"/>
        </w:tblPrEx>
        <w:trPr>
          <w:trHeight w:val="62"/>
          <w:jc w:val="center"/>
        </w:trPr>
        <w:tc>
          <w:tcPr>
            <w:tcW w:w="4315" w:type="dxa"/>
            <w:shd w:val="clear" w:color="auto" w:fill="auto"/>
            <w:noWrap/>
            <w:vAlign w:val="center"/>
            <w:hideMark/>
          </w:tcPr>
          <w:p w:rsidR="008F4E29" w:rsidRPr="00D839EE" w:rsidP="0083525A" w14:paraId="7F493956" w14:textId="77777777">
            <w:pPr>
              <w:autoSpaceDE/>
              <w:autoSpaceDN/>
              <w:adjustRightInd/>
              <w:jc w:val="right"/>
              <w:rPr>
                <w:rFonts w:cs="Arial"/>
                <w:color w:val="000000"/>
              </w:rPr>
            </w:pPr>
            <w:r w:rsidRPr="00D839EE">
              <w:rPr>
                <w:rFonts w:cs="Arial"/>
                <w:color w:val="000000"/>
              </w:rPr>
              <w:t>Reviewing and Updating Procedures</w:t>
            </w:r>
          </w:p>
        </w:tc>
        <w:tc>
          <w:tcPr>
            <w:tcW w:w="1080" w:type="dxa"/>
            <w:shd w:val="clear" w:color="auto" w:fill="auto"/>
            <w:noWrap/>
            <w:hideMark/>
          </w:tcPr>
          <w:p w:rsidR="008F4E29" w:rsidRPr="00D839EE" w:rsidP="008F4E29" w14:paraId="7F493957" w14:textId="77777777">
            <w:pPr>
              <w:autoSpaceDE/>
              <w:autoSpaceDN/>
              <w:adjustRightInd/>
              <w:jc w:val="center"/>
              <w:rPr>
                <w:rFonts w:cs="Arial"/>
                <w:color w:val="000000"/>
              </w:rPr>
            </w:pPr>
            <w:r>
              <w:t>(</w:t>
            </w:r>
            <w:r w:rsidRPr="001446BB">
              <w:t>$2,</w:t>
            </w:r>
            <w:r w:rsidR="00B27CC0">
              <w:t>3</w:t>
            </w:r>
            <w:r w:rsidRPr="001446BB" w:rsidR="00B27CC0">
              <w:t>00</w:t>
            </w:r>
            <w:r>
              <w:t>)</w:t>
            </w:r>
          </w:p>
        </w:tc>
        <w:tc>
          <w:tcPr>
            <w:tcW w:w="1080" w:type="dxa"/>
            <w:shd w:val="clear" w:color="auto" w:fill="auto"/>
            <w:noWrap/>
            <w:hideMark/>
          </w:tcPr>
          <w:p w:rsidR="008F4E29" w:rsidRPr="00D839EE" w:rsidP="008F4E29" w14:paraId="7F493958" w14:textId="77777777">
            <w:pPr>
              <w:autoSpaceDE/>
              <w:autoSpaceDN/>
              <w:adjustRightInd/>
              <w:jc w:val="center"/>
              <w:rPr>
                <w:rFonts w:cs="Arial"/>
                <w:color w:val="000000"/>
              </w:rPr>
            </w:pPr>
            <w:r>
              <w:t>(</w:t>
            </w:r>
            <w:r w:rsidRPr="001446BB">
              <w:t>$2,</w:t>
            </w:r>
            <w:r w:rsidR="00B27CC0">
              <w:t>3</w:t>
            </w:r>
            <w:r w:rsidRPr="001446BB" w:rsidR="00B27CC0">
              <w:t>00</w:t>
            </w:r>
            <w:r>
              <w:t>)</w:t>
            </w:r>
          </w:p>
        </w:tc>
        <w:tc>
          <w:tcPr>
            <w:tcW w:w="1080" w:type="dxa"/>
            <w:shd w:val="clear" w:color="auto" w:fill="auto"/>
            <w:noWrap/>
            <w:hideMark/>
          </w:tcPr>
          <w:p w:rsidR="008F4E29" w:rsidRPr="00D839EE" w:rsidP="008F4E29" w14:paraId="7F493959" w14:textId="77777777">
            <w:pPr>
              <w:autoSpaceDE/>
              <w:autoSpaceDN/>
              <w:adjustRightInd/>
              <w:jc w:val="center"/>
              <w:rPr>
                <w:rFonts w:cs="Arial"/>
                <w:color w:val="000000"/>
              </w:rPr>
            </w:pPr>
            <w:r>
              <w:t>(</w:t>
            </w:r>
            <w:r w:rsidRPr="001446BB">
              <w:t>$2,</w:t>
            </w:r>
            <w:r w:rsidR="00B27CC0">
              <w:t>3</w:t>
            </w:r>
            <w:r w:rsidRPr="001446BB" w:rsidR="00B27CC0">
              <w:t>00</w:t>
            </w:r>
            <w:r>
              <w:t>)</w:t>
            </w:r>
          </w:p>
        </w:tc>
        <w:tc>
          <w:tcPr>
            <w:tcW w:w="1473" w:type="dxa"/>
            <w:shd w:val="clear" w:color="auto" w:fill="auto"/>
            <w:noWrap/>
            <w:hideMark/>
          </w:tcPr>
          <w:p w:rsidR="008F4E29" w:rsidRPr="00D839EE" w:rsidP="008F4E29" w14:paraId="7F49395A" w14:textId="77777777">
            <w:pPr>
              <w:autoSpaceDE/>
              <w:autoSpaceDN/>
              <w:adjustRightInd/>
              <w:jc w:val="center"/>
              <w:rPr>
                <w:rFonts w:cs="Arial"/>
                <w:color w:val="000000"/>
              </w:rPr>
            </w:pPr>
            <w:r>
              <w:t>(</w:t>
            </w:r>
            <w:r w:rsidRPr="001446BB">
              <w:t>$2,</w:t>
            </w:r>
            <w:r w:rsidR="00B27CC0">
              <w:t>6</w:t>
            </w:r>
            <w:r w:rsidRPr="001446BB" w:rsidR="00B27CC0">
              <w:t>00</w:t>
            </w:r>
            <w:r>
              <w:t>)</w:t>
            </w:r>
          </w:p>
        </w:tc>
      </w:tr>
      <w:tr w14:paraId="7F493961" w14:textId="77777777" w:rsidTr="00346B95">
        <w:tblPrEx>
          <w:tblW w:w="9028" w:type="dxa"/>
          <w:jc w:val="center"/>
          <w:tblLayout w:type="fixed"/>
          <w:tblLook w:val="04A0"/>
        </w:tblPrEx>
        <w:trPr>
          <w:trHeight w:val="98"/>
          <w:jc w:val="center"/>
        </w:trPr>
        <w:tc>
          <w:tcPr>
            <w:tcW w:w="4315" w:type="dxa"/>
            <w:shd w:val="clear" w:color="auto" w:fill="auto"/>
            <w:noWrap/>
            <w:vAlign w:val="center"/>
            <w:hideMark/>
          </w:tcPr>
          <w:p w:rsidR="008F4E29" w:rsidRPr="00D839EE" w:rsidP="0083525A" w14:paraId="7F49395C" w14:textId="77777777">
            <w:pPr>
              <w:autoSpaceDE/>
              <w:autoSpaceDN/>
              <w:adjustRightInd/>
              <w:jc w:val="right"/>
              <w:rPr>
                <w:rFonts w:cs="Arial"/>
                <w:color w:val="000000"/>
              </w:rPr>
            </w:pPr>
            <w:r>
              <w:rPr>
                <w:rFonts w:cs="Arial"/>
                <w:color w:val="000000"/>
              </w:rPr>
              <w:t xml:space="preserve">Allowing Review by </w:t>
            </w:r>
            <w:r w:rsidRPr="00D839EE">
              <w:rPr>
                <w:rFonts w:cs="Arial"/>
                <w:color w:val="000000"/>
              </w:rPr>
              <w:t>Safety Review Board</w:t>
            </w:r>
          </w:p>
        </w:tc>
        <w:tc>
          <w:tcPr>
            <w:tcW w:w="1080" w:type="dxa"/>
            <w:shd w:val="clear" w:color="auto" w:fill="auto"/>
            <w:noWrap/>
            <w:hideMark/>
          </w:tcPr>
          <w:p w:rsidR="008F4E29" w:rsidRPr="00D839EE" w:rsidP="008F4E29" w14:paraId="7F49395D" w14:textId="77777777">
            <w:pPr>
              <w:autoSpaceDE/>
              <w:autoSpaceDN/>
              <w:adjustRightInd/>
              <w:jc w:val="center"/>
              <w:rPr>
                <w:rFonts w:cs="Arial"/>
                <w:color w:val="000000"/>
              </w:rPr>
            </w:pPr>
            <w:r>
              <w:t>(</w:t>
            </w:r>
            <w:r w:rsidRPr="001446BB">
              <w:t>$</w:t>
            </w:r>
            <w:r w:rsidRPr="001446BB" w:rsidR="0002082D">
              <w:t>7</w:t>
            </w:r>
            <w:r w:rsidR="0002082D">
              <w:t>9</w:t>
            </w:r>
            <w:r w:rsidRPr="001446BB" w:rsidR="0002082D">
              <w:t>0</w:t>
            </w:r>
            <w:r>
              <w:t>)</w:t>
            </w:r>
          </w:p>
        </w:tc>
        <w:tc>
          <w:tcPr>
            <w:tcW w:w="1080" w:type="dxa"/>
            <w:shd w:val="clear" w:color="auto" w:fill="auto"/>
            <w:noWrap/>
            <w:hideMark/>
          </w:tcPr>
          <w:p w:rsidR="008F4E29" w:rsidRPr="00D839EE" w:rsidP="008F4E29" w14:paraId="7F49395E" w14:textId="77777777">
            <w:pPr>
              <w:autoSpaceDE/>
              <w:autoSpaceDN/>
              <w:adjustRightInd/>
              <w:jc w:val="center"/>
              <w:rPr>
                <w:rFonts w:cs="Arial"/>
                <w:color w:val="000000"/>
              </w:rPr>
            </w:pPr>
            <w:r>
              <w:t>(</w:t>
            </w:r>
            <w:r w:rsidRPr="001446BB">
              <w:t>$</w:t>
            </w:r>
            <w:r w:rsidRPr="001446BB" w:rsidR="0002082D">
              <w:t>7</w:t>
            </w:r>
            <w:r w:rsidR="0002082D">
              <w:t>9</w:t>
            </w:r>
            <w:r w:rsidRPr="001446BB" w:rsidR="0002082D">
              <w:t>0</w:t>
            </w:r>
            <w:r>
              <w:t>)</w:t>
            </w:r>
          </w:p>
        </w:tc>
        <w:tc>
          <w:tcPr>
            <w:tcW w:w="1080" w:type="dxa"/>
            <w:shd w:val="clear" w:color="auto" w:fill="auto"/>
            <w:noWrap/>
            <w:hideMark/>
          </w:tcPr>
          <w:p w:rsidR="008F4E29" w:rsidRPr="00D839EE" w:rsidP="008F4E29" w14:paraId="7F49395F" w14:textId="77777777">
            <w:pPr>
              <w:autoSpaceDE/>
              <w:autoSpaceDN/>
              <w:adjustRightInd/>
              <w:jc w:val="center"/>
              <w:rPr>
                <w:rFonts w:cs="Arial"/>
                <w:color w:val="000000"/>
              </w:rPr>
            </w:pPr>
            <w:r>
              <w:t>(</w:t>
            </w:r>
            <w:r w:rsidRPr="001446BB">
              <w:t>$</w:t>
            </w:r>
            <w:r w:rsidRPr="001446BB" w:rsidR="0002082D">
              <w:t>7</w:t>
            </w:r>
            <w:r w:rsidR="0002082D">
              <w:t>9</w:t>
            </w:r>
            <w:r w:rsidRPr="001446BB" w:rsidR="0002082D">
              <w:t>0</w:t>
            </w:r>
            <w:r>
              <w:t>)</w:t>
            </w:r>
          </w:p>
        </w:tc>
        <w:tc>
          <w:tcPr>
            <w:tcW w:w="1473" w:type="dxa"/>
            <w:shd w:val="clear" w:color="auto" w:fill="auto"/>
            <w:noWrap/>
            <w:hideMark/>
          </w:tcPr>
          <w:p w:rsidR="008F4E29" w:rsidRPr="00D839EE" w:rsidP="008F4E29" w14:paraId="7F493960" w14:textId="77777777">
            <w:pPr>
              <w:autoSpaceDE/>
              <w:autoSpaceDN/>
              <w:adjustRightInd/>
              <w:jc w:val="center"/>
              <w:rPr>
                <w:rFonts w:cs="Arial"/>
                <w:color w:val="000000"/>
              </w:rPr>
            </w:pPr>
            <w:r>
              <w:t>(</w:t>
            </w:r>
            <w:r w:rsidRPr="001446BB">
              <w:t>$</w:t>
            </w:r>
            <w:r w:rsidR="0002082D">
              <w:t>82</w:t>
            </w:r>
            <w:r w:rsidRPr="001446BB" w:rsidR="0002082D">
              <w:t>0</w:t>
            </w:r>
            <w:r>
              <w:t>)</w:t>
            </w:r>
          </w:p>
        </w:tc>
      </w:tr>
      <w:tr w14:paraId="7F493967" w14:textId="77777777" w:rsidTr="00346B95">
        <w:tblPrEx>
          <w:tblW w:w="9028" w:type="dxa"/>
          <w:jc w:val="center"/>
          <w:tblLayout w:type="fixed"/>
          <w:tblLook w:val="04A0"/>
        </w:tblPrEx>
        <w:trPr>
          <w:trHeight w:val="134"/>
          <w:jc w:val="center"/>
        </w:trPr>
        <w:tc>
          <w:tcPr>
            <w:tcW w:w="4315" w:type="dxa"/>
            <w:shd w:val="clear" w:color="auto" w:fill="auto"/>
            <w:noWrap/>
            <w:vAlign w:val="center"/>
            <w:hideMark/>
          </w:tcPr>
          <w:p w:rsidR="008F4E29" w:rsidRPr="00D839EE" w:rsidP="003E2998" w14:paraId="7F493962" w14:textId="77777777">
            <w:pPr>
              <w:autoSpaceDE/>
              <w:autoSpaceDN/>
              <w:adjustRightInd/>
              <w:jc w:val="center"/>
              <w:rPr>
                <w:rFonts w:cs="Arial"/>
                <w:b/>
                <w:bCs/>
                <w:color w:val="000000"/>
              </w:rPr>
            </w:pPr>
            <w:r w:rsidRPr="00D839EE">
              <w:rPr>
                <w:rFonts w:cs="Arial"/>
                <w:b/>
                <w:bCs/>
                <w:color w:val="000000"/>
              </w:rPr>
              <w:t>Total One-</w:t>
            </w:r>
            <w:r w:rsidR="00F357D8">
              <w:rPr>
                <w:rFonts w:cs="Arial"/>
                <w:b/>
                <w:bCs/>
                <w:color w:val="000000"/>
              </w:rPr>
              <w:t>T</w:t>
            </w:r>
            <w:r w:rsidRPr="00D839EE">
              <w:rPr>
                <w:rFonts w:cs="Arial"/>
                <w:b/>
                <w:bCs/>
                <w:color w:val="000000"/>
              </w:rPr>
              <w:t xml:space="preserve">ime </w:t>
            </w:r>
            <w:r w:rsidR="00435C35">
              <w:rPr>
                <w:rFonts w:cs="Arial"/>
                <w:b/>
                <w:bCs/>
                <w:color w:val="000000"/>
              </w:rPr>
              <w:t xml:space="preserve">Licensee </w:t>
            </w:r>
            <w:r w:rsidRPr="00D839EE">
              <w:rPr>
                <w:rFonts w:cs="Arial"/>
                <w:b/>
                <w:bCs/>
                <w:color w:val="000000"/>
              </w:rPr>
              <w:t>Implementation Costs</w:t>
            </w:r>
            <w:r w:rsidR="001843BF">
              <w:rPr>
                <w:rFonts w:cs="Arial"/>
                <w:b/>
                <w:bCs/>
                <w:color w:val="000000"/>
              </w:rPr>
              <w:t>*</w:t>
            </w:r>
          </w:p>
        </w:tc>
        <w:tc>
          <w:tcPr>
            <w:tcW w:w="1080" w:type="dxa"/>
            <w:shd w:val="clear" w:color="auto" w:fill="auto"/>
            <w:noWrap/>
            <w:hideMark/>
          </w:tcPr>
          <w:p w:rsidR="008F4E29" w:rsidRPr="00D839EE" w:rsidP="008F4E29" w14:paraId="7F493963" w14:textId="77777777">
            <w:pPr>
              <w:autoSpaceDE/>
              <w:autoSpaceDN/>
              <w:adjustRightInd/>
              <w:jc w:val="center"/>
              <w:rPr>
                <w:rFonts w:cs="Arial"/>
                <w:b/>
                <w:color w:val="000000"/>
              </w:rPr>
            </w:pPr>
            <w:r>
              <w:rPr>
                <w:b/>
              </w:rPr>
              <w:t>(</w:t>
            </w:r>
            <w:r w:rsidRPr="005F6062">
              <w:rPr>
                <w:b/>
              </w:rPr>
              <w:t>$5,</w:t>
            </w:r>
            <w:r w:rsidR="0002082D">
              <w:rPr>
                <w:b/>
              </w:rPr>
              <w:t>6</w:t>
            </w:r>
            <w:r w:rsidRPr="005F6062" w:rsidR="0002082D">
              <w:rPr>
                <w:b/>
              </w:rPr>
              <w:t>00</w:t>
            </w:r>
            <w:r>
              <w:rPr>
                <w:b/>
              </w:rPr>
              <w:t>)</w:t>
            </w:r>
          </w:p>
        </w:tc>
        <w:tc>
          <w:tcPr>
            <w:tcW w:w="1080" w:type="dxa"/>
            <w:shd w:val="clear" w:color="auto" w:fill="auto"/>
            <w:noWrap/>
            <w:hideMark/>
          </w:tcPr>
          <w:p w:rsidR="008F4E29" w:rsidRPr="00D839EE" w:rsidP="008F4E29" w14:paraId="7F493964" w14:textId="77777777">
            <w:pPr>
              <w:autoSpaceDE/>
              <w:autoSpaceDN/>
              <w:adjustRightInd/>
              <w:jc w:val="center"/>
              <w:rPr>
                <w:rFonts w:cs="Arial"/>
                <w:b/>
                <w:color w:val="000000"/>
              </w:rPr>
            </w:pPr>
            <w:r>
              <w:rPr>
                <w:b/>
              </w:rPr>
              <w:t>(</w:t>
            </w:r>
            <w:r w:rsidRPr="005F6062">
              <w:rPr>
                <w:b/>
              </w:rPr>
              <w:t>$5,</w:t>
            </w:r>
            <w:r w:rsidR="0002082D">
              <w:rPr>
                <w:b/>
              </w:rPr>
              <w:t>6</w:t>
            </w:r>
            <w:r w:rsidRPr="005F6062" w:rsidR="0002082D">
              <w:rPr>
                <w:b/>
              </w:rPr>
              <w:t>00</w:t>
            </w:r>
            <w:r>
              <w:rPr>
                <w:b/>
              </w:rPr>
              <w:t>)</w:t>
            </w:r>
          </w:p>
        </w:tc>
        <w:tc>
          <w:tcPr>
            <w:tcW w:w="1080" w:type="dxa"/>
            <w:shd w:val="clear" w:color="auto" w:fill="auto"/>
            <w:noWrap/>
            <w:hideMark/>
          </w:tcPr>
          <w:p w:rsidR="008F4E29" w:rsidRPr="00D839EE" w:rsidP="008F4E29" w14:paraId="7F493965" w14:textId="77777777">
            <w:pPr>
              <w:autoSpaceDE/>
              <w:autoSpaceDN/>
              <w:adjustRightInd/>
              <w:jc w:val="center"/>
              <w:rPr>
                <w:rFonts w:cs="Arial"/>
                <w:b/>
                <w:color w:val="000000"/>
              </w:rPr>
            </w:pPr>
            <w:r>
              <w:rPr>
                <w:b/>
              </w:rPr>
              <w:t>(</w:t>
            </w:r>
            <w:r w:rsidRPr="005F6062">
              <w:rPr>
                <w:b/>
              </w:rPr>
              <w:t>$5,</w:t>
            </w:r>
            <w:r w:rsidR="0002082D">
              <w:rPr>
                <w:b/>
              </w:rPr>
              <w:t>6</w:t>
            </w:r>
            <w:r w:rsidRPr="005F6062" w:rsidR="0002082D">
              <w:rPr>
                <w:b/>
              </w:rPr>
              <w:t>00</w:t>
            </w:r>
            <w:r>
              <w:rPr>
                <w:b/>
              </w:rPr>
              <w:t>)</w:t>
            </w:r>
          </w:p>
        </w:tc>
        <w:tc>
          <w:tcPr>
            <w:tcW w:w="1473" w:type="dxa"/>
            <w:shd w:val="clear" w:color="auto" w:fill="auto"/>
            <w:noWrap/>
            <w:hideMark/>
          </w:tcPr>
          <w:p w:rsidR="008F4E29" w:rsidRPr="00D839EE" w:rsidP="008F4E29" w14:paraId="7F493966" w14:textId="77777777">
            <w:pPr>
              <w:autoSpaceDE/>
              <w:autoSpaceDN/>
              <w:adjustRightInd/>
              <w:jc w:val="center"/>
              <w:rPr>
                <w:rFonts w:cs="Arial"/>
                <w:b/>
                <w:color w:val="000000"/>
              </w:rPr>
            </w:pPr>
            <w:r>
              <w:rPr>
                <w:b/>
              </w:rPr>
              <w:t>(</w:t>
            </w:r>
            <w:r w:rsidRPr="005F6062">
              <w:rPr>
                <w:b/>
              </w:rPr>
              <w:t>$</w:t>
            </w:r>
            <w:r w:rsidR="0002082D">
              <w:rPr>
                <w:b/>
              </w:rPr>
              <w:t>6,2</w:t>
            </w:r>
            <w:r w:rsidRPr="005F6062">
              <w:rPr>
                <w:b/>
              </w:rPr>
              <w:t>00</w:t>
            </w:r>
            <w:r>
              <w:rPr>
                <w:b/>
              </w:rPr>
              <w:t>)</w:t>
            </w:r>
          </w:p>
        </w:tc>
      </w:tr>
    </w:tbl>
    <w:p w:rsidR="00BF5AC4" w:rsidRPr="00D839EE" w:rsidP="00450393" w14:paraId="7F493968" w14:textId="77777777">
      <w:pPr>
        <w:contextualSpacing/>
        <w:rPr>
          <w:rFonts w:cs="Arial"/>
          <w:sz w:val="18"/>
        </w:rPr>
      </w:pPr>
      <w:r>
        <w:rPr>
          <w:rFonts w:cs="Arial"/>
          <w:sz w:val="18"/>
        </w:rPr>
        <w:t>*</w:t>
      </w:r>
      <w:r w:rsidR="008050FA">
        <w:rPr>
          <w:rFonts w:cs="Arial"/>
          <w:sz w:val="18"/>
        </w:rPr>
        <w:t xml:space="preserve"> </w:t>
      </w:r>
      <w:r w:rsidRPr="00D839EE">
        <w:rPr>
          <w:rFonts w:cs="Arial"/>
          <w:sz w:val="18"/>
        </w:rPr>
        <w:t xml:space="preserve">Totals may not </w:t>
      </w:r>
      <w:r w:rsidR="00E54C1E">
        <w:rPr>
          <w:rFonts w:cs="Arial"/>
          <w:sz w:val="18"/>
        </w:rPr>
        <w:t>match</w:t>
      </w:r>
      <w:r w:rsidRPr="00D839EE" w:rsidR="00E54C1E">
        <w:rPr>
          <w:rFonts w:cs="Arial"/>
          <w:sz w:val="18"/>
        </w:rPr>
        <w:t xml:space="preserve"> </w:t>
      </w:r>
      <w:r w:rsidRPr="00D839EE">
        <w:rPr>
          <w:rFonts w:cs="Arial"/>
          <w:sz w:val="18"/>
        </w:rPr>
        <w:t>due to rounding.</w:t>
      </w:r>
      <w:r w:rsidR="001843BF">
        <w:rPr>
          <w:rFonts w:cs="Arial"/>
          <w:sz w:val="18"/>
        </w:rPr>
        <w:t xml:space="preserve">  </w:t>
      </w:r>
      <w:r w:rsidRPr="00D839EE">
        <w:rPr>
          <w:rFonts w:cs="Arial"/>
          <w:sz w:val="18"/>
        </w:rPr>
        <w:t>Totals represent per-NPUF costs.</w:t>
      </w:r>
    </w:p>
    <w:p w:rsidR="00BF5AC4" w:rsidP="00BF5AC4" w14:paraId="7F493969" w14:textId="77777777">
      <w:pPr>
        <w:contextualSpacing/>
        <w:rPr>
          <w:rFonts w:cs="Arial"/>
          <w:sz w:val="18"/>
        </w:rPr>
      </w:pPr>
    </w:p>
    <w:p w:rsidR="008050FA" w:rsidRPr="00D839EE" w:rsidP="008050FA" w14:paraId="7F49396A" w14:textId="725E357E">
      <w:pPr>
        <w:rPr>
          <w:rFonts w:cs="Arial"/>
          <w:sz w:val="22"/>
          <w:szCs w:val="22"/>
        </w:rPr>
      </w:pPr>
      <w:r w:rsidRPr="00477BEB">
        <w:rPr>
          <w:rFonts w:cs="Arial"/>
          <w:sz w:val="22"/>
          <w:szCs w:val="22"/>
        </w:rPr>
        <w:fldChar w:fldCharType="begin"/>
      </w:r>
      <w:r w:rsidRPr="00B45BB6">
        <w:rPr>
          <w:rFonts w:cs="Arial"/>
          <w:sz w:val="24"/>
          <w:szCs w:val="22"/>
        </w:rPr>
        <w:instrText xml:space="preserve"> REF _Ref534035214 \h  \* MERGEFORMAT </w:instrText>
      </w:r>
      <w:r w:rsidRPr="00477BEB">
        <w:rPr>
          <w:rFonts w:cs="Arial"/>
          <w:sz w:val="22"/>
          <w:szCs w:val="22"/>
        </w:rPr>
        <w:fldChar w:fldCharType="separate"/>
      </w:r>
      <w:r w:rsidRPr="00977795" w:rsidR="00977795">
        <w:rPr>
          <w:sz w:val="22"/>
        </w:rPr>
        <w:t>Exhibit 3</w:t>
      </w:r>
      <w:r w:rsidRPr="00977795" w:rsidR="00977795">
        <w:rPr>
          <w:sz w:val="22"/>
        </w:rPr>
        <w:noBreakHyphen/>
        <w:t>12</w:t>
      </w:r>
      <w:r w:rsidRPr="00477BEB">
        <w:rPr>
          <w:rFonts w:cs="Arial"/>
          <w:sz w:val="22"/>
          <w:szCs w:val="22"/>
        </w:rPr>
        <w:fldChar w:fldCharType="end"/>
      </w:r>
      <w:r>
        <w:rPr>
          <w:rFonts w:cs="Arial"/>
          <w:sz w:val="22"/>
          <w:szCs w:val="22"/>
        </w:rPr>
        <w:t xml:space="preserve"> </w:t>
      </w:r>
      <w:r w:rsidRPr="00D839EE">
        <w:rPr>
          <w:rFonts w:cs="Arial"/>
          <w:sz w:val="22"/>
          <w:szCs w:val="22"/>
        </w:rPr>
        <w:t xml:space="preserve">details </w:t>
      </w:r>
      <w:r w:rsidR="007A673F">
        <w:rPr>
          <w:rFonts w:cs="Arial"/>
          <w:sz w:val="22"/>
          <w:szCs w:val="22"/>
        </w:rPr>
        <w:t>total licensee</w:t>
      </w:r>
      <w:r w:rsidRPr="00D839EE">
        <w:rPr>
          <w:rFonts w:cs="Arial"/>
          <w:sz w:val="22"/>
          <w:szCs w:val="22"/>
        </w:rPr>
        <w:t xml:space="preserve"> implementation costs, which amount to </w:t>
      </w:r>
      <w:r w:rsidR="007B61AA">
        <w:rPr>
          <w:rFonts w:cs="Arial"/>
          <w:sz w:val="22"/>
          <w:szCs w:val="22"/>
        </w:rPr>
        <w:t>(</w:t>
      </w:r>
      <w:r w:rsidRPr="00D839EE">
        <w:rPr>
          <w:rFonts w:cs="Arial"/>
          <w:sz w:val="22"/>
          <w:szCs w:val="22"/>
        </w:rPr>
        <w:t>$</w:t>
      </w:r>
      <w:r w:rsidRPr="00D839EE" w:rsidR="00967642">
        <w:rPr>
          <w:rFonts w:cs="Arial"/>
          <w:sz w:val="22"/>
          <w:szCs w:val="22"/>
        </w:rPr>
        <w:t>2</w:t>
      </w:r>
      <w:r w:rsidR="00967642">
        <w:rPr>
          <w:rFonts w:cs="Arial"/>
          <w:sz w:val="22"/>
          <w:szCs w:val="22"/>
        </w:rPr>
        <w:t>8</w:t>
      </w:r>
      <w:r w:rsidRPr="00D839EE">
        <w:rPr>
          <w:rFonts w:cs="Arial"/>
          <w:sz w:val="22"/>
          <w:szCs w:val="22"/>
        </w:rPr>
        <w:t>,000</w:t>
      </w:r>
      <w:r w:rsidR="007B61AA">
        <w:rPr>
          <w:rFonts w:cs="Arial"/>
          <w:sz w:val="22"/>
          <w:szCs w:val="22"/>
        </w:rPr>
        <w:t>)</w:t>
      </w:r>
      <w:r w:rsidRPr="00D839EE">
        <w:rPr>
          <w:rFonts w:cs="Arial"/>
          <w:sz w:val="22"/>
          <w:szCs w:val="22"/>
        </w:rPr>
        <w:t xml:space="preserve"> for the Low category, </w:t>
      </w:r>
      <w:r w:rsidR="007B61AA">
        <w:rPr>
          <w:rFonts w:cs="Arial"/>
          <w:sz w:val="22"/>
          <w:szCs w:val="22"/>
        </w:rPr>
        <w:t>(</w:t>
      </w:r>
      <w:r w:rsidRPr="00D839EE">
        <w:rPr>
          <w:rFonts w:cs="Arial"/>
          <w:sz w:val="22"/>
          <w:szCs w:val="22"/>
        </w:rPr>
        <w:t>$</w:t>
      </w:r>
      <w:r w:rsidRPr="00D839EE" w:rsidR="00967642">
        <w:rPr>
          <w:rFonts w:cs="Arial"/>
          <w:sz w:val="22"/>
          <w:szCs w:val="22"/>
        </w:rPr>
        <w:t>1</w:t>
      </w:r>
      <w:r w:rsidR="00967642">
        <w:rPr>
          <w:rFonts w:cs="Arial"/>
          <w:sz w:val="22"/>
          <w:szCs w:val="22"/>
        </w:rPr>
        <w:t>2</w:t>
      </w:r>
      <w:r w:rsidRPr="00D839EE" w:rsidR="00967642">
        <w:rPr>
          <w:rFonts w:cs="Arial"/>
          <w:sz w:val="22"/>
          <w:szCs w:val="22"/>
        </w:rPr>
        <w:t>0</w:t>
      </w:r>
      <w:r w:rsidRPr="00D839EE">
        <w:rPr>
          <w:rFonts w:cs="Arial"/>
          <w:sz w:val="22"/>
          <w:szCs w:val="22"/>
        </w:rPr>
        <w:t>,000</w:t>
      </w:r>
      <w:r w:rsidR="007B61AA">
        <w:rPr>
          <w:rFonts w:cs="Arial"/>
          <w:sz w:val="22"/>
          <w:szCs w:val="22"/>
        </w:rPr>
        <w:t>)</w:t>
      </w:r>
      <w:r w:rsidRPr="00D839EE">
        <w:rPr>
          <w:rFonts w:cs="Arial"/>
          <w:sz w:val="22"/>
          <w:szCs w:val="22"/>
        </w:rPr>
        <w:t xml:space="preserve"> for the Medium category, </w:t>
      </w:r>
      <w:r w:rsidR="007B61AA">
        <w:rPr>
          <w:rFonts w:cs="Arial"/>
          <w:sz w:val="22"/>
          <w:szCs w:val="22"/>
        </w:rPr>
        <w:t>(</w:t>
      </w:r>
      <w:r w:rsidRPr="00D839EE">
        <w:rPr>
          <w:rFonts w:cs="Arial"/>
          <w:sz w:val="22"/>
          <w:szCs w:val="22"/>
        </w:rPr>
        <w:t>$</w:t>
      </w:r>
      <w:r w:rsidRPr="00D839EE" w:rsidR="00967642">
        <w:rPr>
          <w:rFonts w:cs="Arial"/>
          <w:sz w:val="22"/>
          <w:szCs w:val="22"/>
        </w:rPr>
        <w:t>2</w:t>
      </w:r>
      <w:r w:rsidR="00967642">
        <w:rPr>
          <w:rFonts w:cs="Arial"/>
          <w:sz w:val="22"/>
          <w:szCs w:val="22"/>
        </w:rPr>
        <w:t>2</w:t>
      </w:r>
      <w:r w:rsidRPr="00D839EE">
        <w:rPr>
          <w:rFonts w:cs="Arial"/>
          <w:sz w:val="22"/>
          <w:szCs w:val="22"/>
        </w:rPr>
        <w:t>,000</w:t>
      </w:r>
      <w:r w:rsidR="007B61AA">
        <w:rPr>
          <w:rFonts w:cs="Arial"/>
          <w:sz w:val="22"/>
          <w:szCs w:val="22"/>
        </w:rPr>
        <w:t>)</w:t>
      </w:r>
      <w:r w:rsidRPr="00D839EE">
        <w:rPr>
          <w:rFonts w:cs="Arial"/>
          <w:sz w:val="22"/>
          <w:szCs w:val="22"/>
        </w:rPr>
        <w:t xml:space="preserve"> for the High category, and </w:t>
      </w:r>
      <w:r w:rsidR="007B61AA">
        <w:rPr>
          <w:rFonts w:cs="Arial"/>
          <w:sz w:val="22"/>
          <w:szCs w:val="22"/>
        </w:rPr>
        <w:t>(</w:t>
      </w:r>
      <w:r w:rsidRPr="00D839EE">
        <w:rPr>
          <w:rFonts w:cs="Arial"/>
          <w:sz w:val="22"/>
          <w:szCs w:val="22"/>
        </w:rPr>
        <w:t>$</w:t>
      </w:r>
      <w:r w:rsidRPr="00D839EE" w:rsidR="00967642">
        <w:rPr>
          <w:rFonts w:cs="Arial"/>
          <w:sz w:val="22"/>
          <w:szCs w:val="22"/>
        </w:rPr>
        <w:t>1</w:t>
      </w:r>
      <w:r w:rsidR="00967642">
        <w:rPr>
          <w:rFonts w:cs="Arial"/>
          <w:sz w:val="22"/>
          <w:szCs w:val="22"/>
        </w:rPr>
        <w:t>9</w:t>
      </w:r>
      <w:r w:rsidRPr="00D839EE">
        <w:rPr>
          <w:rFonts w:cs="Arial"/>
          <w:sz w:val="22"/>
          <w:szCs w:val="22"/>
        </w:rPr>
        <w:t>,000</w:t>
      </w:r>
      <w:r w:rsidR="008013EB">
        <w:rPr>
          <w:rFonts w:cs="Arial"/>
          <w:sz w:val="22"/>
          <w:szCs w:val="22"/>
        </w:rPr>
        <w:t>)</w:t>
      </w:r>
      <w:r w:rsidRPr="00D839EE">
        <w:rPr>
          <w:rFonts w:cs="Arial"/>
          <w:sz w:val="22"/>
          <w:szCs w:val="22"/>
        </w:rPr>
        <w:t xml:space="preserve"> for Other NPUFs.  These per-category costs amount to a total one-time </w:t>
      </w:r>
      <w:r w:rsidR="007A673F">
        <w:rPr>
          <w:rFonts w:cs="Arial"/>
          <w:sz w:val="22"/>
          <w:szCs w:val="22"/>
        </w:rPr>
        <w:t>licensee</w:t>
      </w:r>
      <w:r w:rsidRPr="00D839EE" w:rsidR="007A673F">
        <w:rPr>
          <w:rFonts w:cs="Arial"/>
          <w:sz w:val="22"/>
          <w:szCs w:val="22"/>
        </w:rPr>
        <w:t xml:space="preserve"> </w:t>
      </w:r>
      <w:r w:rsidRPr="00D839EE">
        <w:rPr>
          <w:rFonts w:cs="Arial"/>
          <w:sz w:val="22"/>
          <w:szCs w:val="22"/>
        </w:rPr>
        <w:t xml:space="preserve">implementation cost of </w:t>
      </w:r>
      <w:r w:rsidR="00217F31">
        <w:rPr>
          <w:rFonts w:cs="Arial"/>
          <w:sz w:val="22"/>
          <w:szCs w:val="22"/>
        </w:rPr>
        <w:t>(</w:t>
      </w:r>
      <w:r w:rsidRPr="00D839EE">
        <w:rPr>
          <w:rFonts w:cs="Arial"/>
          <w:sz w:val="22"/>
          <w:szCs w:val="22"/>
        </w:rPr>
        <w:t>$</w:t>
      </w:r>
      <w:r w:rsidRPr="00D839EE" w:rsidR="000555B6">
        <w:rPr>
          <w:rFonts w:cs="Arial"/>
          <w:sz w:val="22"/>
          <w:szCs w:val="22"/>
        </w:rPr>
        <w:t>1</w:t>
      </w:r>
      <w:r w:rsidR="000555B6">
        <w:rPr>
          <w:rFonts w:cs="Arial"/>
          <w:sz w:val="22"/>
          <w:szCs w:val="22"/>
        </w:rPr>
        <w:t>9</w:t>
      </w:r>
      <w:r w:rsidRPr="00D839EE" w:rsidR="000555B6">
        <w:rPr>
          <w:rFonts w:cs="Arial"/>
          <w:sz w:val="22"/>
          <w:szCs w:val="22"/>
        </w:rPr>
        <w:t>0</w:t>
      </w:r>
      <w:r w:rsidRPr="00D839EE">
        <w:rPr>
          <w:rFonts w:cs="Arial"/>
          <w:sz w:val="22"/>
          <w:szCs w:val="22"/>
        </w:rPr>
        <w:t>,000</w:t>
      </w:r>
      <w:r w:rsidR="00217F31">
        <w:rPr>
          <w:rFonts w:cs="Arial"/>
          <w:sz w:val="22"/>
          <w:szCs w:val="22"/>
        </w:rPr>
        <w:t>)</w:t>
      </w:r>
      <w:r w:rsidRPr="00D839EE">
        <w:rPr>
          <w:rFonts w:cs="Arial"/>
          <w:sz w:val="22"/>
          <w:szCs w:val="22"/>
        </w:rPr>
        <w:t xml:space="preserve"> over the 20-year analysis period.</w:t>
      </w:r>
    </w:p>
    <w:p w:rsidR="008050FA" w:rsidRPr="0024599A" w:rsidP="00BF5AC4" w14:paraId="7F49396B" w14:textId="77777777">
      <w:pPr>
        <w:contextualSpacing/>
        <w:rPr>
          <w:rFonts w:cs="Arial"/>
          <w:sz w:val="22"/>
          <w:szCs w:val="22"/>
        </w:rPr>
      </w:pPr>
    </w:p>
    <w:p w:rsidR="00BE6111" w:rsidRPr="000F7FD1" w:rsidP="00AC71D8" w14:paraId="7F49396C" w14:textId="2BBABE9D">
      <w:pPr>
        <w:pStyle w:val="Caption"/>
        <w:keepNext/>
        <w:spacing w:after="0"/>
        <w:jc w:val="center"/>
        <w:rPr>
          <w:b/>
          <w:color w:val="auto"/>
        </w:rPr>
      </w:pPr>
      <w:bookmarkStart w:id="234" w:name="_Ref534035214"/>
      <w:bookmarkStart w:id="235" w:name="_Toc534037060"/>
      <w:bookmarkStart w:id="236" w:name="_Toc534709847"/>
      <w:bookmarkStart w:id="237" w:name="_Toc534710005"/>
      <w:bookmarkStart w:id="238" w:name="_Toc534711690"/>
      <w:bookmarkStart w:id="239" w:name="_Toc534712123"/>
      <w:bookmarkStart w:id="240" w:name="_Toc534712700"/>
      <w:bookmarkStart w:id="241" w:name="_Toc534713209"/>
      <w:bookmarkStart w:id="242" w:name="_Toc9526469"/>
      <w:bookmarkStart w:id="243" w:name="_Toc536603418"/>
      <w:r w:rsidRPr="000F7FD1">
        <w:rPr>
          <w:b/>
          <w:i w:val="0"/>
          <w:color w:val="auto"/>
          <w:sz w:val="22"/>
          <w:szCs w:val="22"/>
        </w:rPr>
        <w:t xml:space="preserve">Exhibit </w:t>
      </w:r>
      <w:r w:rsidRPr="000F7FD1" w:rsidR="00352F39">
        <w:rPr>
          <w:b/>
          <w:i w:val="0"/>
          <w:color w:val="auto"/>
          <w:sz w:val="22"/>
          <w:szCs w:val="22"/>
        </w:rPr>
        <w:t>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12</w:t>
      </w:r>
      <w:r w:rsidRPr="000F7FD1" w:rsidR="00C276FC">
        <w:rPr>
          <w:b/>
          <w:i w:val="0"/>
          <w:color w:val="auto"/>
          <w:sz w:val="22"/>
          <w:szCs w:val="22"/>
        </w:rPr>
        <w:fldChar w:fldCharType="end"/>
      </w:r>
      <w:bookmarkEnd w:id="234"/>
      <w:r w:rsidRPr="000F7FD1">
        <w:rPr>
          <w:b/>
          <w:i w:val="0"/>
          <w:color w:val="auto"/>
          <w:sz w:val="22"/>
          <w:szCs w:val="22"/>
        </w:rPr>
        <w:t>. Total Present Value Affected Entity Implementation Costs (</w:t>
      </w:r>
      <w:r w:rsidRPr="000F7FD1" w:rsidR="009170F7">
        <w:rPr>
          <w:b/>
          <w:i w:val="0"/>
          <w:color w:val="auto"/>
          <w:sz w:val="22"/>
          <w:szCs w:val="22"/>
        </w:rPr>
        <w:t>2020$</w:t>
      </w:r>
      <w:r w:rsidRPr="000F7FD1">
        <w:rPr>
          <w:b/>
          <w:i w:val="0"/>
          <w:color w:val="auto"/>
          <w:sz w:val="22"/>
          <w:szCs w:val="22"/>
        </w:rPr>
        <w:t>)</w:t>
      </w:r>
      <w:bookmarkEnd w:id="235"/>
      <w:bookmarkEnd w:id="236"/>
      <w:bookmarkEnd w:id="237"/>
      <w:bookmarkEnd w:id="238"/>
      <w:bookmarkEnd w:id="239"/>
      <w:bookmarkEnd w:id="240"/>
      <w:bookmarkEnd w:id="241"/>
      <w:bookmarkEnd w:id="242"/>
      <w:bookmarkEnd w:id="243"/>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5"/>
        <w:gridCol w:w="1170"/>
        <w:gridCol w:w="1080"/>
        <w:gridCol w:w="1209"/>
        <w:gridCol w:w="1131"/>
        <w:gridCol w:w="1492"/>
      </w:tblGrid>
      <w:tr w14:paraId="7F493973" w14:textId="77777777" w:rsidTr="00346B95">
        <w:tblPrEx>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jc w:val="center"/>
        </w:trPr>
        <w:tc>
          <w:tcPr>
            <w:tcW w:w="4315" w:type="dxa"/>
            <w:shd w:val="clear" w:color="auto" w:fill="auto"/>
            <w:noWrap/>
            <w:vAlign w:val="center"/>
            <w:hideMark/>
          </w:tcPr>
          <w:p w:rsidR="006F18B2" w:rsidRPr="00D839EE" w:rsidP="001843BF" w14:paraId="7F49396D" w14:textId="77777777">
            <w:pPr>
              <w:autoSpaceDE/>
              <w:autoSpaceDN/>
              <w:adjustRightInd/>
              <w:jc w:val="center"/>
              <w:rPr>
                <w:rFonts w:cs="Arial"/>
                <w:b/>
                <w:bCs/>
                <w:color w:val="000000"/>
              </w:rPr>
            </w:pPr>
            <w:r w:rsidRPr="00E14C35">
              <w:rPr>
                <w:rFonts w:cs="Arial"/>
                <w:b/>
                <w:bCs/>
                <w:color w:val="000000"/>
              </w:rPr>
              <w:t>Component</w:t>
            </w:r>
          </w:p>
        </w:tc>
        <w:tc>
          <w:tcPr>
            <w:tcW w:w="1170" w:type="dxa"/>
            <w:vAlign w:val="center"/>
          </w:tcPr>
          <w:p w:rsidR="006F18B2" w:rsidRPr="00D839EE" w:rsidP="001843BF" w14:paraId="7F49396E" w14:textId="77777777">
            <w:pPr>
              <w:autoSpaceDE/>
              <w:autoSpaceDN/>
              <w:adjustRightInd/>
              <w:jc w:val="center"/>
              <w:rPr>
                <w:rFonts w:cs="Arial"/>
                <w:b/>
                <w:color w:val="000000"/>
              </w:rPr>
            </w:pPr>
            <w:r>
              <w:rPr>
                <w:rFonts w:cs="Arial"/>
                <w:b/>
                <w:color w:val="000000"/>
              </w:rPr>
              <w:t>Identifier</w:t>
            </w:r>
          </w:p>
        </w:tc>
        <w:tc>
          <w:tcPr>
            <w:tcW w:w="1080" w:type="dxa"/>
            <w:shd w:val="clear" w:color="auto" w:fill="auto"/>
            <w:noWrap/>
            <w:vAlign w:val="center"/>
            <w:hideMark/>
          </w:tcPr>
          <w:p w:rsidR="006F18B2" w:rsidRPr="00D839EE" w:rsidP="001843BF" w14:paraId="7F49396F" w14:textId="77777777">
            <w:pPr>
              <w:autoSpaceDE/>
              <w:autoSpaceDN/>
              <w:adjustRightInd/>
              <w:jc w:val="center"/>
              <w:rPr>
                <w:rFonts w:cs="Arial"/>
                <w:b/>
                <w:color w:val="000000"/>
              </w:rPr>
            </w:pPr>
            <w:r w:rsidRPr="00D839EE">
              <w:rPr>
                <w:rFonts w:cs="Arial"/>
                <w:b/>
                <w:color w:val="000000"/>
              </w:rPr>
              <w:t>Low</w:t>
            </w:r>
          </w:p>
        </w:tc>
        <w:tc>
          <w:tcPr>
            <w:tcW w:w="1209" w:type="dxa"/>
            <w:shd w:val="clear" w:color="auto" w:fill="auto"/>
            <w:noWrap/>
            <w:vAlign w:val="center"/>
            <w:hideMark/>
          </w:tcPr>
          <w:p w:rsidR="006F18B2" w:rsidRPr="00D839EE" w:rsidP="001843BF" w14:paraId="7F493970" w14:textId="77777777">
            <w:pPr>
              <w:autoSpaceDE/>
              <w:autoSpaceDN/>
              <w:adjustRightInd/>
              <w:jc w:val="center"/>
              <w:rPr>
                <w:rFonts w:cs="Arial"/>
                <w:b/>
                <w:color w:val="000000"/>
              </w:rPr>
            </w:pPr>
            <w:r w:rsidRPr="00D839EE">
              <w:rPr>
                <w:rFonts w:cs="Arial"/>
                <w:b/>
                <w:color w:val="000000"/>
              </w:rPr>
              <w:t>Medium</w:t>
            </w:r>
          </w:p>
        </w:tc>
        <w:tc>
          <w:tcPr>
            <w:tcW w:w="1131" w:type="dxa"/>
            <w:shd w:val="clear" w:color="auto" w:fill="auto"/>
            <w:noWrap/>
            <w:vAlign w:val="center"/>
            <w:hideMark/>
          </w:tcPr>
          <w:p w:rsidR="006F18B2" w:rsidRPr="00D839EE" w:rsidP="001843BF" w14:paraId="7F493971" w14:textId="77777777">
            <w:pPr>
              <w:autoSpaceDE/>
              <w:autoSpaceDN/>
              <w:adjustRightInd/>
              <w:jc w:val="center"/>
              <w:rPr>
                <w:rFonts w:cs="Arial"/>
                <w:b/>
                <w:color w:val="000000"/>
              </w:rPr>
            </w:pPr>
            <w:r w:rsidRPr="00D839EE">
              <w:rPr>
                <w:rFonts w:cs="Arial"/>
                <w:b/>
                <w:color w:val="000000"/>
              </w:rPr>
              <w:t>High</w:t>
            </w:r>
          </w:p>
        </w:tc>
        <w:tc>
          <w:tcPr>
            <w:tcW w:w="1492" w:type="dxa"/>
            <w:shd w:val="clear" w:color="auto" w:fill="auto"/>
            <w:noWrap/>
            <w:vAlign w:val="center"/>
            <w:hideMark/>
          </w:tcPr>
          <w:p w:rsidR="006F18B2" w:rsidRPr="00D839EE" w:rsidP="001843BF" w14:paraId="7F493972" w14:textId="77777777">
            <w:pPr>
              <w:autoSpaceDE/>
              <w:autoSpaceDN/>
              <w:adjustRightInd/>
              <w:jc w:val="center"/>
              <w:rPr>
                <w:rFonts w:cs="Arial"/>
                <w:b/>
                <w:color w:val="000000"/>
              </w:rPr>
            </w:pPr>
            <w:r w:rsidRPr="00D839EE">
              <w:rPr>
                <w:rFonts w:cs="Arial"/>
                <w:b/>
                <w:color w:val="000000"/>
              </w:rPr>
              <w:t>Other NPUFs</w:t>
            </w:r>
          </w:p>
        </w:tc>
      </w:tr>
      <w:tr w14:paraId="7F49397A" w14:textId="77777777" w:rsidTr="00346B95">
        <w:tblPrEx>
          <w:tblW w:w="10397" w:type="dxa"/>
          <w:jc w:val="center"/>
          <w:tblLayout w:type="fixed"/>
          <w:tblLook w:val="04A0"/>
        </w:tblPrEx>
        <w:trPr>
          <w:trHeight w:val="98"/>
          <w:jc w:val="center"/>
        </w:trPr>
        <w:tc>
          <w:tcPr>
            <w:tcW w:w="4315" w:type="dxa"/>
            <w:shd w:val="clear" w:color="auto" w:fill="auto"/>
            <w:noWrap/>
            <w:vAlign w:val="center"/>
            <w:hideMark/>
          </w:tcPr>
          <w:p w:rsidR="006F18B2" w:rsidRPr="00D839EE" w:rsidP="007A673F" w14:paraId="7F493974" w14:textId="77777777">
            <w:pPr>
              <w:autoSpaceDE/>
              <w:autoSpaceDN/>
              <w:adjustRightInd/>
              <w:jc w:val="center"/>
              <w:rPr>
                <w:rFonts w:cs="Arial"/>
                <w:color w:val="000000"/>
              </w:rPr>
            </w:pPr>
            <w:r w:rsidRPr="004A50D4">
              <w:rPr>
                <w:rFonts w:cs="Arial"/>
                <w:b/>
                <w:bCs/>
                <w:color w:val="000000"/>
              </w:rPr>
              <w:t>One-</w:t>
            </w:r>
            <w:r w:rsidR="00124545">
              <w:rPr>
                <w:rFonts w:cs="Arial"/>
                <w:b/>
                <w:bCs/>
                <w:color w:val="000000"/>
              </w:rPr>
              <w:t>T</w:t>
            </w:r>
            <w:r w:rsidRPr="004A50D4">
              <w:rPr>
                <w:rFonts w:cs="Arial"/>
                <w:b/>
                <w:bCs/>
                <w:color w:val="000000"/>
              </w:rPr>
              <w:t xml:space="preserve">ime </w:t>
            </w:r>
            <w:r w:rsidR="00435C35">
              <w:rPr>
                <w:rFonts w:cs="Arial"/>
                <w:b/>
                <w:bCs/>
                <w:color w:val="000000"/>
              </w:rPr>
              <w:t xml:space="preserve">Licensee </w:t>
            </w:r>
            <w:r w:rsidRPr="004A50D4">
              <w:rPr>
                <w:rFonts w:cs="Arial"/>
                <w:b/>
                <w:bCs/>
                <w:color w:val="000000"/>
              </w:rPr>
              <w:t>Implementation Costs</w:t>
            </w:r>
          </w:p>
        </w:tc>
        <w:tc>
          <w:tcPr>
            <w:tcW w:w="1170" w:type="dxa"/>
            <w:vAlign w:val="center"/>
          </w:tcPr>
          <w:p w:rsidR="006F18B2" w:rsidRPr="001446BB" w:rsidP="006F18B2" w14:paraId="7F493975" w14:textId="77777777">
            <w:pPr>
              <w:autoSpaceDE/>
              <w:autoSpaceDN/>
              <w:adjustRightInd/>
              <w:jc w:val="center"/>
            </w:pPr>
            <w:r w:rsidRPr="00B30754">
              <w:rPr>
                <w:rFonts w:cs="Arial"/>
                <w:b/>
                <w:color w:val="000000"/>
              </w:rPr>
              <w:t>A</w:t>
            </w:r>
          </w:p>
        </w:tc>
        <w:tc>
          <w:tcPr>
            <w:tcW w:w="1080" w:type="dxa"/>
            <w:shd w:val="clear" w:color="auto" w:fill="auto"/>
            <w:noWrap/>
            <w:vAlign w:val="center"/>
            <w:hideMark/>
          </w:tcPr>
          <w:p w:rsidR="006F18B2" w:rsidRPr="00D839EE" w:rsidP="006F18B2" w14:paraId="7F493976" w14:textId="77777777">
            <w:pPr>
              <w:autoSpaceDE/>
              <w:autoSpaceDN/>
              <w:adjustRightInd/>
              <w:jc w:val="center"/>
              <w:rPr>
                <w:rFonts w:cs="Arial"/>
                <w:color w:val="000000"/>
              </w:rPr>
            </w:pPr>
            <w:r>
              <w:rPr>
                <w:rFonts w:cs="Arial"/>
              </w:rPr>
              <w:t>(</w:t>
            </w:r>
            <w:r w:rsidRPr="004A50D4">
              <w:rPr>
                <w:rFonts w:cs="Arial"/>
              </w:rPr>
              <w:t>$5,</w:t>
            </w:r>
            <w:r w:rsidR="00540072">
              <w:rPr>
                <w:rFonts w:cs="Arial"/>
              </w:rPr>
              <w:t>6</w:t>
            </w:r>
            <w:r w:rsidRPr="004A50D4" w:rsidR="00540072">
              <w:rPr>
                <w:rFonts w:cs="Arial"/>
              </w:rPr>
              <w:t>00</w:t>
            </w:r>
            <w:r>
              <w:rPr>
                <w:rFonts w:cs="Arial"/>
              </w:rPr>
              <w:t>)</w:t>
            </w:r>
          </w:p>
        </w:tc>
        <w:tc>
          <w:tcPr>
            <w:tcW w:w="1209" w:type="dxa"/>
            <w:shd w:val="clear" w:color="auto" w:fill="auto"/>
            <w:noWrap/>
            <w:vAlign w:val="center"/>
            <w:hideMark/>
          </w:tcPr>
          <w:p w:rsidR="006F18B2" w:rsidRPr="00D839EE" w:rsidP="006F18B2" w14:paraId="7F493977" w14:textId="77777777">
            <w:pPr>
              <w:autoSpaceDE/>
              <w:autoSpaceDN/>
              <w:adjustRightInd/>
              <w:jc w:val="center"/>
              <w:rPr>
                <w:rFonts w:cs="Arial"/>
                <w:color w:val="000000"/>
              </w:rPr>
            </w:pPr>
            <w:r>
              <w:rPr>
                <w:rFonts w:cs="Arial"/>
              </w:rPr>
              <w:t>(</w:t>
            </w:r>
            <w:r w:rsidRPr="004A41AC">
              <w:rPr>
                <w:rFonts w:cs="Arial"/>
              </w:rPr>
              <w:t>$5,</w:t>
            </w:r>
            <w:r w:rsidR="00540072">
              <w:rPr>
                <w:rFonts w:cs="Arial"/>
              </w:rPr>
              <w:t>6</w:t>
            </w:r>
            <w:r w:rsidRPr="004A41AC" w:rsidR="00540072">
              <w:rPr>
                <w:rFonts w:cs="Arial"/>
              </w:rPr>
              <w:t>00</w:t>
            </w:r>
            <w:r>
              <w:rPr>
                <w:rFonts w:cs="Arial"/>
              </w:rPr>
              <w:t>)</w:t>
            </w:r>
          </w:p>
        </w:tc>
        <w:tc>
          <w:tcPr>
            <w:tcW w:w="1131" w:type="dxa"/>
            <w:shd w:val="clear" w:color="auto" w:fill="auto"/>
            <w:noWrap/>
            <w:vAlign w:val="center"/>
            <w:hideMark/>
          </w:tcPr>
          <w:p w:rsidR="006F18B2" w:rsidRPr="00D839EE" w:rsidP="006F18B2" w14:paraId="7F493978" w14:textId="77777777">
            <w:pPr>
              <w:autoSpaceDE/>
              <w:autoSpaceDN/>
              <w:adjustRightInd/>
              <w:jc w:val="center"/>
              <w:rPr>
                <w:rFonts w:cs="Arial"/>
                <w:color w:val="000000"/>
              </w:rPr>
            </w:pPr>
            <w:r>
              <w:rPr>
                <w:rFonts w:cs="Arial"/>
              </w:rPr>
              <w:t>(</w:t>
            </w:r>
            <w:r w:rsidRPr="00B30754">
              <w:rPr>
                <w:rFonts w:cs="Arial"/>
              </w:rPr>
              <w:t>$5,</w:t>
            </w:r>
            <w:r w:rsidR="00540072">
              <w:rPr>
                <w:rFonts w:cs="Arial"/>
              </w:rPr>
              <w:t>6</w:t>
            </w:r>
            <w:r w:rsidRPr="00B30754" w:rsidR="00540072">
              <w:rPr>
                <w:rFonts w:cs="Arial"/>
              </w:rPr>
              <w:t>00</w:t>
            </w:r>
            <w:r>
              <w:rPr>
                <w:rFonts w:cs="Arial"/>
              </w:rPr>
              <w:t>)</w:t>
            </w:r>
          </w:p>
        </w:tc>
        <w:tc>
          <w:tcPr>
            <w:tcW w:w="1492" w:type="dxa"/>
            <w:shd w:val="clear" w:color="auto" w:fill="auto"/>
            <w:noWrap/>
            <w:vAlign w:val="center"/>
            <w:hideMark/>
          </w:tcPr>
          <w:p w:rsidR="006F18B2" w:rsidRPr="00D839EE" w:rsidP="006F18B2" w14:paraId="7F493979" w14:textId="77777777">
            <w:pPr>
              <w:autoSpaceDE/>
              <w:autoSpaceDN/>
              <w:adjustRightInd/>
              <w:jc w:val="center"/>
              <w:rPr>
                <w:rFonts w:cs="Arial"/>
                <w:color w:val="000000"/>
              </w:rPr>
            </w:pPr>
            <w:r>
              <w:rPr>
                <w:rFonts w:cs="Arial"/>
              </w:rPr>
              <w:t>(</w:t>
            </w:r>
            <w:r w:rsidRPr="00B30754">
              <w:rPr>
                <w:rFonts w:cs="Arial"/>
              </w:rPr>
              <w:t>$</w:t>
            </w:r>
            <w:r w:rsidR="00540072">
              <w:rPr>
                <w:rFonts w:cs="Arial"/>
              </w:rPr>
              <w:t>6,2</w:t>
            </w:r>
            <w:r w:rsidRPr="00B30754">
              <w:rPr>
                <w:rFonts w:cs="Arial"/>
              </w:rPr>
              <w:t>00</w:t>
            </w:r>
            <w:r>
              <w:rPr>
                <w:rFonts w:cs="Arial"/>
              </w:rPr>
              <w:t>)</w:t>
            </w:r>
          </w:p>
        </w:tc>
      </w:tr>
      <w:tr w14:paraId="7F493981" w14:textId="77777777" w:rsidTr="00346B95">
        <w:tblPrEx>
          <w:tblW w:w="10397" w:type="dxa"/>
          <w:jc w:val="center"/>
          <w:tblLayout w:type="fixed"/>
          <w:tblLook w:val="04A0"/>
        </w:tblPrEx>
        <w:trPr>
          <w:trHeight w:val="224"/>
          <w:jc w:val="center"/>
        </w:trPr>
        <w:tc>
          <w:tcPr>
            <w:tcW w:w="4315" w:type="dxa"/>
            <w:shd w:val="clear" w:color="auto" w:fill="auto"/>
            <w:noWrap/>
            <w:vAlign w:val="center"/>
            <w:hideMark/>
          </w:tcPr>
          <w:p w:rsidR="006F18B2" w:rsidRPr="00D839EE" w:rsidP="006F18B2" w14:paraId="7F49397B" w14:textId="77777777">
            <w:pPr>
              <w:autoSpaceDE/>
              <w:autoSpaceDN/>
              <w:adjustRightInd/>
              <w:jc w:val="center"/>
              <w:rPr>
                <w:rFonts w:cs="Arial"/>
                <w:color w:val="000000"/>
              </w:rPr>
            </w:pPr>
            <w:r w:rsidRPr="004A50D4">
              <w:rPr>
                <w:rFonts w:cs="Arial"/>
                <w:b/>
                <w:bCs/>
                <w:color w:val="000000"/>
              </w:rPr>
              <w:t>Number of Licensees</w:t>
            </w:r>
          </w:p>
        </w:tc>
        <w:tc>
          <w:tcPr>
            <w:tcW w:w="1170" w:type="dxa"/>
            <w:vAlign w:val="center"/>
          </w:tcPr>
          <w:p w:rsidR="006F18B2" w:rsidRPr="001446BB" w:rsidP="006F18B2" w14:paraId="7F49397C" w14:textId="77777777">
            <w:pPr>
              <w:autoSpaceDE/>
              <w:autoSpaceDN/>
              <w:adjustRightInd/>
              <w:jc w:val="center"/>
            </w:pPr>
            <w:r w:rsidRPr="00B30754">
              <w:rPr>
                <w:rFonts w:cs="Arial"/>
                <w:b/>
                <w:color w:val="000000"/>
              </w:rPr>
              <w:t>B</w:t>
            </w:r>
          </w:p>
        </w:tc>
        <w:tc>
          <w:tcPr>
            <w:tcW w:w="1080" w:type="dxa"/>
            <w:shd w:val="clear" w:color="auto" w:fill="auto"/>
            <w:noWrap/>
            <w:vAlign w:val="center"/>
            <w:hideMark/>
          </w:tcPr>
          <w:p w:rsidR="006F18B2" w:rsidRPr="00D839EE" w:rsidP="006F18B2" w14:paraId="7F49397D" w14:textId="77777777">
            <w:pPr>
              <w:autoSpaceDE/>
              <w:autoSpaceDN/>
              <w:adjustRightInd/>
              <w:jc w:val="center"/>
              <w:rPr>
                <w:rFonts w:cs="Arial"/>
                <w:color w:val="000000"/>
              </w:rPr>
            </w:pPr>
            <w:r w:rsidRPr="004A50D4">
              <w:rPr>
                <w:rFonts w:cs="Arial"/>
              </w:rPr>
              <w:t>5</w:t>
            </w:r>
          </w:p>
        </w:tc>
        <w:tc>
          <w:tcPr>
            <w:tcW w:w="1209" w:type="dxa"/>
            <w:shd w:val="clear" w:color="auto" w:fill="auto"/>
            <w:noWrap/>
            <w:vAlign w:val="center"/>
            <w:hideMark/>
          </w:tcPr>
          <w:p w:rsidR="006F18B2" w:rsidRPr="00D839EE" w:rsidP="006F18B2" w14:paraId="7F49397E" w14:textId="77777777">
            <w:pPr>
              <w:autoSpaceDE/>
              <w:autoSpaceDN/>
              <w:adjustRightInd/>
              <w:jc w:val="center"/>
              <w:rPr>
                <w:rFonts w:cs="Arial"/>
                <w:color w:val="000000"/>
              </w:rPr>
            </w:pPr>
            <w:r w:rsidRPr="004A41AC">
              <w:rPr>
                <w:rFonts w:cs="Arial"/>
              </w:rPr>
              <w:t>21</w:t>
            </w:r>
          </w:p>
        </w:tc>
        <w:tc>
          <w:tcPr>
            <w:tcW w:w="1131" w:type="dxa"/>
            <w:shd w:val="clear" w:color="auto" w:fill="auto"/>
            <w:noWrap/>
            <w:vAlign w:val="center"/>
            <w:hideMark/>
          </w:tcPr>
          <w:p w:rsidR="006F18B2" w:rsidRPr="00D839EE" w:rsidP="006F18B2" w14:paraId="7F49397F" w14:textId="77777777">
            <w:pPr>
              <w:autoSpaceDE/>
              <w:autoSpaceDN/>
              <w:adjustRightInd/>
              <w:jc w:val="center"/>
              <w:rPr>
                <w:rFonts w:cs="Arial"/>
                <w:color w:val="000000"/>
              </w:rPr>
            </w:pPr>
            <w:r w:rsidRPr="00B30754">
              <w:rPr>
                <w:rFonts w:cs="Arial"/>
              </w:rPr>
              <w:t>4</w:t>
            </w:r>
          </w:p>
        </w:tc>
        <w:tc>
          <w:tcPr>
            <w:tcW w:w="1492" w:type="dxa"/>
            <w:shd w:val="clear" w:color="auto" w:fill="auto"/>
            <w:noWrap/>
            <w:vAlign w:val="center"/>
            <w:hideMark/>
          </w:tcPr>
          <w:p w:rsidR="006F18B2" w:rsidRPr="00D839EE" w:rsidP="006F18B2" w14:paraId="7F493980" w14:textId="77777777">
            <w:pPr>
              <w:autoSpaceDE/>
              <w:autoSpaceDN/>
              <w:adjustRightInd/>
              <w:jc w:val="center"/>
              <w:rPr>
                <w:rFonts w:cs="Arial"/>
                <w:color w:val="000000"/>
              </w:rPr>
            </w:pPr>
            <w:r w:rsidRPr="00B30754">
              <w:rPr>
                <w:rFonts w:cs="Arial"/>
              </w:rPr>
              <w:t>3</w:t>
            </w:r>
          </w:p>
        </w:tc>
      </w:tr>
      <w:tr w14:paraId="7F493988" w14:textId="77777777" w:rsidTr="00346B95">
        <w:tblPrEx>
          <w:tblW w:w="10397" w:type="dxa"/>
          <w:jc w:val="center"/>
          <w:tblLayout w:type="fixed"/>
          <w:tblLook w:val="04A0"/>
        </w:tblPrEx>
        <w:trPr>
          <w:trHeight w:val="62"/>
          <w:jc w:val="center"/>
        </w:trPr>
        <w:tc>
          <w:tcPr>
            <w:tcW w:w="4315" w:type="dxa"/>
            <w:shd w:val="clear" w:color="auto" w:fill="auto"/>
            <w:noWrap/>
            <w:vAlign w:val="center"/>
            <w:hideMark/>
          </w:tcPr>
          <w:p w:rsidR="006F18B2" w:rsidRPr="00D839EE" w:rsidP="006F18B2" w14:paraId="7F493982" w14:textId="77777777">
            <w:pPr>
              <w:autoSpaceDE/>
              <w:autoSpaceDN/>
              <w:adjustRightInd/>
              <w:jc w:val="center"/>
              <w:rPr>
                <w:rFonts w:cs="Arial"/>
                <w:color w:val="000000"/>
              </w:rPr>
            </w:pPr>
            <w:r w:rsidRPr="004A50D4">
              <w:rPr>
                <w:rFonts w:cs="Arial"/>
                <w:b/>
                <w:bCs/>
                <w:color w:val="000000"/>
              </w:rPr>
              <w:t>Cost per Category</w:t>
            </w:r>
            <w:r w:rsidR="001843BF">
              <w:rPr>
                <w:rFonts w:cs="Arial"/>
                <w:b/>
                <w:bCs/>
                <w:color w:val="000000"/>
              </w:rPr>
              <w:t>*</w:t>
            </w:r>
          </w:p>
        </w:tc>
        <w:tc>
          <w:tcPr>
            <w:tcW w:w="1170" w:type="dxa"/>
            <w:vAlign w:val="center"/>
          </w:tcPr>
          <w:p w:rsidR="006F18B2" w:rsidRPr="001446BB" w:rsidP="006F18B2" w14:paraId="7F493983" w14:textId="77777777">
            <w:pPr>
              <w:autoSpaceDE/>
              <w:autoSpaceDN/>
              <w:adjustRightInd/>
              <w:jc w:val="center"/>
            </w:pPr>
            <w:r w:rsidRPr="00B30754">
              <w:rPr>
                <w:rFonts w:cs="Arial"/>
                <w:b/>
                <w:color w:val="000000"/>
              </w:rPr>
              <w:t>C = A x B</w:t>
            </w:r>
          </w:p>
        </w:tc>
        <w:tc>
          <w:tcPr>
            <w:tcW w:w="1080" w:type="dxa"/>
            <w:shd w:val="clear" w:color="auto" w:fill="auto"/>
            <w:noWrap/>
            <w:vAlign w:val="center"/>
            <w:hideMark/>
          </w:tcPr>
          <w:p w:rsidR="006F18B2" w:rsidRPr="00D839EE" w:rsidP="006F18B2" w14:paraId="7F493984" w14:textId="77777777">
            <w:pPr>
              <w:autoSpaceDE/>
              <w:autoSpaceDN/>
              <w:adjustRightInd/>
              <w:jc w:val="center"/>
              <w:rPr>
                <w:rFonts w:cs="Arial"/>
                <w:color w:val="000000"/>
              </w:rPr>
            </w:pPr>
            <w:r>
              <w:rPr>
                <w:rFonts w:cs="Arial"/>
              </w:rPr>
              <w:t>(</w:t>
            </w:r>
            <w:r w:rsidRPr="004A50D4">
              <w:rPr>
                <w:rFonts w:cs="Arial"/>
              </w:rPr>
              <w:t>$</w:t>
            </w:r>
            <w:r w:rsidR="00AC2FF0">
              <w:rPr>
                <w:rFonts w:cs="Arial"/>
              </w:rPr>
              <w:t>28</w:t>
            </w:r>
            <w:r w:rsidRPr="004A50D4">
              <w:rPr>
                <w:rFonts w:cs="Arial"/>
              </w:rPr>
              <w:t>,000</w:t>
            </w:r>
            <w:r>
              <w:rPr>
                <w:rFonts w:cs="Arial"/>
              </w:rPr>
              <w:t>)</w:t>
            </w:r>
          </w:p>
        </w:tc>
        <w:tc>
          <w:tcPr>
            <w:tcW w:w="1209" w:type="dxa"/>
            <w:shd w:val="clear" w:color="auto" w:fill="auto"/>
            <w:noWrap/>
            <w:vAlign w:val="center"/>
            <w:hideMark/>
          </w:tcPr>
          <w:p w:rsidR="006F18B2" w:rsidRPr="00D839EE" w:rsidP="006F18B2" w14:paraId="7F493985" w14:textId="77777777">
            <w:pPr>
              <w:autoSpaceDE/>
              <w:autoSpaceDN/>
              <w:adjustRightInd/>
              <w:jc w:val="center"/>
              <w:rPr>
                <w:rFonts w:cs="Arial"/>
                <w:color w:val="000000"/>
              </w:rPr>
            </w:pPr>
            <w:r>
              <w:rPr>
                <w:rFonts w:cs="Arial"/>
              </w:rPr>
              <w:t>(</w:t>
            </w:r>
            <w:r w:rsidRPr="004A41AC">
              <w:rPr>
                <w:rFonts w:cs="Arial"/>
              </w:rPr>
              <w:t>$</w:t>
            </w:r>
            <w:r w:rsidRPr="004A41AC" w:rsidR="00AC2FF0">
              <w:rPr>
                <w:rFonts w:cs="Arial"/>
              </w:rPr>
              <w:t>1</w:t>
            </w:r>
            <w:r w:rsidR="00AC2FF0">
              <w:rPr>
                <w:rFonts w:cs="Arial"/>
              </w:rPr>
              <w:t>2</w:t>
            </w:r>
            <w:r w:rsidRPr="004A41AC" w:rsidR="00AC2FF0">
              <w:rPr>
                <w:rFonts w:cs="Arial"/>
              </w:rPr>
              <w:t>0</w:t>
            </w:r>
            <w:r w:rsidRPr="004A41AC">
              <w:rPr>
                <w:rFonts w:cs="Arial"/>
              </w:rPr>
              <w:t>,000</w:t>
            </w:r>
            <w:r>
              <w:rPr>
                <w:rFonts w:cs="Arial"/>
              </w:rPr>
              <w:t>)</w:t>
            </w:r>
          </w:p>
        </w:tc>
        <w:tc>
          <w:tcPr>
            <w:tcW w:w="1131" w:type="dxa"/>
            <w:shd w:val="clear" w:color="auto" w:fill="auto"/>
            <w:noWrap/>
            <w:vAlign w:val="center"/>
            <w:hideMark/>
          </w:tcPr>
          <w:p w:rsidR="006F18B2" w:rsidRPr="00D839EE" w:rsidP="006F18B2" w14:paraId="7F493986" w14:textId="77777777">
            <w:pPr>
              <w:autoSpaceDE/>
              <w:autoSpaceDN/>
              <w:adjustRightInd/>
              <w:jc w:val="center"/>
              <w:rPr>
                <w:rFonts w:cs="Arial"/>
                <w:color w:val="000000"/>
              </w:rPr>
            </w:pPr>
            <w:r>
              <w:rPr>
                <w:rFonts w:cs="Arial"/>
              </w:rPr>
              <w:t>(</w:t>
            </w:r>
            <w:r w:rsidRPr="00B30754">
              <w:rPr>
                <w:rFonts w:cs="Arial"/>
              </w:rPr>
              <w:t>$</w:t>
            </w:r>
            <w:r w:rsidRPr="00B30754" w:rsidR="00AC2FF0">
              <w:rPr>
                <w:rFonts w:cs="Arial"/>
              </w:rPr>
              <w:t>2</w:t>
            </w:r>
            <w:r w:rsidR="00AC2FF0">
              <w:rPr>
                <w:rFonts w:cs="Arial"/>
              </w:rPr>
              <w:t>2</w:t>
            </w:r>
            <w:r w:rsidRPr="00B30754">
              <w:rPr>
                <w:rFonts w:cs="Arial"/>
              </w:rPr>
              <w:t>,000</w:t>
            </w:r>
            <w:r>
              <w:rPr>
                <w:rFonts w:cs="Arial"/>
              </w:rPr>
              <w:t>)</w:t>
            </w:r>
          </w:p>
        </w:tc>
        <w:tc>
          <w:tcPr>
            <w:tcW w:w="1492" w:type="dxa"/>
            <w:shd w:val="clear" w:color="auto" w:fill="auto"/>
            <w:noWrap/>
            <w:vAlign w:val="center"/>
            <w:hideMark/>
          </w:tcPr>
          <w:p w:rsidR="006F18B2" w:rsidRPr="00D839EE" w:rsidP="006F18B2" w14:paraId="7F493987" w14:textId="77777777">
            <w:pPr>
              <w:autoSpaceDE/>
              <w:autoSpaceDN/>
              <w:adjustRightInd/>
              <w:jc w:val="center"/>
              <w:rPr>
                <w:rFonts w:cs="Arial"/>
                <w:color w:val="000000"/>
              </w:rPr>
            </w:pPr>
            <w:r>
              <w:rPr>
                <w:rFonts w:cs="Arial"/>
              </w:rPr>
              <w:t>(</w:t>
            </w:r>
            <w:r w:rsidRPr="00B30754">
              <w:rPr>
                <w:rFonts w:cs="Arial"/>
              </w:rPr>
              <w:t>$</w:t>
            </w:r>
            <w:r w:rsidRPr="00B30754" w:rsidR="00AC2FF0">
              <w:rPr>
                <w:rFonts w:cs="Arial"/>
              </w:rPr>
              <w:t>1</w:t>
            </w:r>
            <w:r w:rsidR="00AC2FF0">
              <w:rPr>
                <w:rFonts w:cs="Arial"/>
              </w:rPr>
              <w:t>9</w:t>
            </w:r>
            <w:r w:rsidRPr="00B30754">
              <w:rPr>
                <w:rFonts w:cs="Arial"/>
              </w:rPr>
              <w:t>,000</w:t>
            </w:r>
            <w:r>
              <w:rPr>
                <w:rFonts w:cs="Arial"/>
              </w:rPr>
              <w:t>)</w:t>
            </w:r>
          </w:p>
        </w:tc>
      </w:tr>
      <w:tr w14:paraId="7F49398C" w14:textId="77777777" w:rsidTr="00D96410">
        <w:tblPrEx>
          <w:tblW w:w="10397" w:type="dxa"/>
          <w:jc w:val="center"/>
          <w:tblLayout w:type="fixed"/>
          <w:tblLook w:val="04A0"/>
        </w:tblPrEx>
        <w:trPr>
          <w:trHeight w:val="323"/>
          <w:jc w:val="center"/>
        </w:trPr>
        <w:tc>
          <w:tcPr>
            <w:tcW w:w="4315" w:type="dxa"/>
            <w:shd w:val="clear" w:color="auto" w:fill="auto"/>
            <w:noWrap/>
            <w:vAlign w:val="center"/>
            <w:hideMark/>
          </w:tcPr>
          <w:p w:rsidR="006F18B2" w:rsidRPr="00D839EE" w:rsidP="006F18B2" w14:paraId="7F493989" w14:textId="77777777">
            <w:pPr>
              <w:autoSpaceDE/>
              <w:autoSpaceDN/>
              <w:adjustRightInd/>
              <w:jc w:val="center"/>
              <w:rPr>
                <w:rFonts w:cs="Arial"/>
                <w:color w:val="000000"/>
              </w:rPr>
            </w:pPr>
            <w:r w:rsidRPr="004A50D4">
              <w:rPr>
                <w:rFonts w:cs="Arial"/>
                <w:b/>
                <w:bCs/>
                <w:color w:val="000000"/>
              </w:rPr>
              <w:t xml:space="preserve">Present Value Total </w:t>
            </w:r>
            <w:r w:rsidR="00435C35">
              <w:rPr>
                <w:rFonts w:cs="Arial"/>
                <w:b/>
                <w:bCs/>
                <w:color w:val="000000"/>
              </w:rPr>
              <w:t xml:space="preserve">Licensee </w:t>
            </w:r>
            <w:r w:rsidRPr="004A50D4">
              <w:rPr>
                <w:rFonts w:cs="Arial"/>
                <w:b/>
                <w:bCs/>
                <w:color w:val="000000"/>
              </w:rPr>
              <w:t>Implementation Cost</w:t>
            </w:r>
            <w:r w:rsidR="001843BF">
              <w:rPr>
                <w:rFonts w:cs="Arial"/>
                <w:b/>
                <w:bCs/>
                <w:color w:val="000000"/>
              </w:rPr>
              <w:t>**</w:t>
            </w:r>
          </w:p>
        </w:tc>
        <w:tc>
          <w:tcPr>
            <w:tcW w:w="1170" w:type="dxa"/>
            <w:vAlign w:val="center"/>
          </w:tcPr>
          <w:p w:rsidR="006F18B2" w:rsidRPr="001446BB" w:rsidP="006F18B2" w14:paraId="7F49398A" w14:textId="77777777">
            <w:pPr>
              <w:autoSpaceDE/>
              <w:autoSpaceDN/>
              <w:adjustRightInd/>
              <w:jc w:val="center"/>
            </w:pPr>
            <w:r w:rsidRPr="00B30754">
              <w:rPr>
                <w:rFonts w:cs="Arial"/>
                <w:b/>
                <w:color w:val="000000"/>
              </w:rPr>
              <w:t>D = ∑ (C)</w:t>
            </w:r>
          </w:p>
        </w:tc>
        <w:tc>
          <w:tcPr>
            <w:tcW w:w="4912" w:type="dxa"/>
            <w:gridSpan w:val="4"/>
            <w:shd w:val="clear" w:color="auto" w:fill="auto"/>
            <w:noWrap/>
            <w:vAlign w:val="center"/>
          </w:tcPr>
          <w:p w:rsidR="006F18B2" w:rsidRPr="00D839EE" w:rsidP="006F18B2" w14:paraId="7F49398B" w14:textId="77777777">
            <w:pPr>
              <w:autoSpaceDE/>
              <w:autoSpaceDN/>
              <w:adjustRightInd/>
              <w:jc w:val="center"/>
              <w:rPr>
                <w:rFonts w:cs="Arial"/>
                <w:color w:val="000000"/>
              </w:rPr>
            </w:pPr>
            <w:r>
              <w:rPr>
                <w:rFonts w:cs="Arial"/>
                <w:b/>
              </w:rPr>
              <w:t>(</w:t>
            </w:r>
            <w:r w:rsidRPr="00B30754">
              <w:rPr>
                <w:rFonts w:cs="Arial"/>
                <w:b/>
              </w:rPr>
              <w:t>$</w:t>
            </w:r>
            <w:r w:rsidRPr="00B30754" w:rsidR="00AC2FF0">
              <w:rPr>
                <w:rFonts w:cs="Arial"/>
                <w:b/>
              </w:rPr>
              <w:t>1</w:t>
            </w:r>
            <w:r w:rsidR="00AC2FF0">
              <w:rPr>
                <w:rFonts w:cs="Arial"/>
                <w:b/>
              </w:rPr>
              <w:t>9</w:t>
            </w:r>
            <w:r w:rsidRPr="00B30754" w:rsidR="00AC2FF0">
              <w:rPr>
                <w:rFonts w:cs="Arial"/>
                <w:b/>
              </w:rPr>
              <w:t>0</w:t>
            </w:r>
            <w:r w:rsidRPr="00B30754">
              <w:rPr>
                <w:rFonts w:cs="Arial"/>
                <w:b/>
              </w:rPr>
              <w:t>,000</w:t>
            </w:r>
            <w:r>
              <w:rPr>
                <w:rFonts w:cs="Arial"/>
                <w:b/>
              </w:rPr>
              <w:t>)</w:t>
            </w:r>
          </w:p>
        </w:tc>
      </w:tr>
    </w:tbl>
    <w:p w:rsidR="006A7396" w:rsidP="00450393" w14:paraId="7F49398D" w14:textId="63DD8264">
      <w:pPr>
        <w:contextualSpacing/>
        <w:rPr>
          <w:rFonts w:cs="Arial"/>
          <w:sz w:val="18"/>
          <w:szCs w:val="18"/>
        </w:rPr>
      </w:pPr>
      <w:r>
        <w:rPr>
          <w:rFonts w:cs="Arial"/>
          <w:sz w:val="18"/>
          <w:szCs w:val="18"/>
        </w:rPr>
        <w:t>*</w:t>
      </w:r>
      <w:r w:rsidRPr="00D839EE" w:rsidR="00E91615">
        <w:rPr>
          <w:rFonts w:cs="Arial"/>
          <w:sz w:val="18"/>
          <w:szCs w:val="18"/>
        </w:rPr>
        <w:t xml:space="preserve"> The Cost per Category is equal to the One-time </w:t>
      </w:r>
      <w:r w:rsidR="003D5DD6">
        <w:rPr>
          <w:rFonts w:cs="Arial"/>
          <w:sz w:val="18"/>
          <w:szCs w:val="18"/>
        </w:rPr>
        <w:t>Licensee</w:t>
      </w:r>
      <w:r w:rsidR="0070706D">
        <w:rPr>
          <w:rFonts w:cs="Arial"/>
          <w:sz w:val="18"/>
          <w:szCs w:val="18"/>
        </w:rPr>
        <w:t xml:space="preserve"> </w:t>
      </w:r>
      <w:r w:rsidRPr="00D839EE" w:rsidR="00E91615">
        <w:rPr>
          <w:rFonts w:cs="Arial"/>
          <w:sz w:val="18"/>
          <w:szCs w:val="18"/>
        </w:rPr>
        <w:t>Implementation Costs multiplied by the Number of</w:t>
      </w:r>
      <w:r w:rsidR="00444B78">
        <w:rPr>
          <w:rFonts w:cs="Arial"/>
          <w:sz w:val="18"/>
          <w:szCs w:val="18"/>
        </w:rPr>
        <w:t xml:space="preserve"> </w:t>
      </w:r>
      <w:r w:rsidR="00124545">
        <w:rPr>
          <w:rFonts w:cs="Arial"/>
          <w:sz w:val="18"/>
          <w:szCs w:val="18"/>
        </w:rPr>
        <w:t>Licensees</w:t>
      </w:r>
      <w:r w:rsidRPr="00D839EE" w:rsidR="00E91615">
        <w:rPr>
          <w:rFonts w:cs="Arial"/>
          <w:sz w:val="18"/>
          <w:szCs w:val="18"/>
        </w:rPr>
        <w:t xml:space="preserve"> per category (see </w:t>
      </w:r>
      <w:r w:rsidRPr="009105B6" w:rsidR="009105B6">
        <w:rPr>
          <w:rFonts w:cs="Arial"/>
          <w:sz w:val="18"/>
          <w:szCs w:val="18"/>
        </w:rPr>
        <w:fldChar w:fldCharType="begin"/>
      </w:r>
      <w:r w:rsidRPr="009105B6" w:rsidR="009105B6">
        <w:rPr>
          <w:rFonts w:cs="Arial"/>
          <w:sz w:val="18"/>
          <w:szCs w:val="18"/>
        </w:rPr>
        <w:instrText xml:space="preserve"> REF _Ref534710758 \h </w:instrText>
      </w:r>
      <w:r w:rsidRPr="00D96410" w:rsidR="009105B6">
        <w:rPr>
          <w:rFonts w:cs="Arial"/>
          <w:sz w:val="18"/>
          <w:szCs w:val="18"/>
        </w:rPr>
        <w:instrText xml:space="preserve"> \* MERGEFORMAT </w:instrText>
      </w:r>
      <w:r w:rsidRPr="009105B6" w:rsidR="009105B6">
        <w:rPr>
          <w:rFonts w:cs="Arial"/>
          <w:sz w:val="18"/>
          <w:szCs w:val="18"/>
        </w:rPr>
        <w:fldChar w:fldCharType="separate"/>
      </w:r>
      <w:r w:rsidRPr="00977795" w:rsidR="00977795">
        <w:rPr>
          <w:sz w:val="18"/>
          <w:szCs w:val="18"/>
        </w:rPr>
        <w:t>Exhibit 3</w:t>
      </w:r>
      <w:r w:rsidRPr="00977795" w:rsidR="00977795">
        <w:rPr>
          <w:sz w:val="18"/>
          <w:szCs w:val="18"/>
        </w:rPr>
        <w:noBreakHyphen/>
        <w:t>1</w:t>
      </w:r>
      <w:r w:rsidRPr="009105B6" w:rsidR="009105B6">
        <w:rPr>
          <w:rFonts w:cs="Arial"/>
          <w:sz w:val="18"/>
          <w:szCs w:val="18"/>
        </w:rPr>
        <w:fldChar w:fldCharType="end"/>
      </w:r>
      <w:r w:rsidRPr="00D839EE" w:rsidR="00E91615">
        <w:rPr>
          <w:rFonts w:cs="Arial"/>
          <w:sz w:val="18"/>
          <w:szCs w:val="18"/>
        </w:rPr>
        <w:t>).</w:t>
      </w:r>
    </w:p>
    <w:p w:rsidR="00E91615" w:rsidRPr="00D839EE" w:rsidP="00450393" w14:paraId="7F49398E" w14:textId="77777777">
      <w:pPr>
        <w:contextualSpacing/>
        <w:rPr>
          <w:rFonts w:cs="Arial"/>
          <w:sz w:val="18"/>
          <w:szCs w:val="18"/>
        </w:rPr>
      </w:pPr>
      <w:r>
        <w:rPr>
          <w:rFonts w:cs="Arial"/>
          <w:sz w:val="18"/>
          <w:szCs w:val="18"/>
        </w:rPr>
        <w:t>**</w:t>
      </w:r>
      <w:r w:rsidR="008050FA">
        <w:rPr>
          <w:rFonts w:cs="Arial"/>
          <w:sz w:val="18"/>
          <w:szCs w:val="18"/>
        </w:rPr>
        <w:t xml:space="preserve"> </w:t>
      </w:r>
      <w:r w:rsidRPr="00D839EE">
        <w:rPr>
          <w:rFonts w:cs="Arial"/>
          <w:sz w:val="18"/>
          <w:szCs w:val="18"/>
        </w:rPr>
        <w:t>The Present Value Total Implementation Cost is equal to the summation of the Cost per Category.  Because all of the implementation costs are incur</w:t>
      </w:r>
      <w:r>
        <w:rPr>
          <w:rFonts w:cs="Arial"/>
          <w:sz w:val="18"/>
          <w:szCs w:val="18"/>
        </w:rPr>
        <w:t>red</w:t>
      </w:r>
      <w:r w:rsidRPr="00D839EE">
        <w:rPr>
          <w:rFonts w:cs="Arial"/>
          <w:sz w:val="18"/>
          <w:szCs w:val="18"/>
        </w:rPr>
        <w:t xml:space="preserve"> during the first year of the rule, discounting at 3 and 7 percent results in the same present value. </w:t>
      </w:r>
      <w:r w:rsidR="00D379A4">
        <w:rPr>
          <w:rFonts w:cs="Arial"/>
          <w:sz w:val="18"/>
          <w:szCs w:val="18"/>
        </w:rPr>
        <w:t xml:space="preserve"> </w:t>
      </w:r>
      <w:r w:rsidRPr="00D839EE">
        <w:rPr>
          <w:rFonts w:cs="Arial"/>
          <w:sz w:val="18"/>
          <w:szCs w:val="18"/>
        </w:rPr>
        <w:t xml:space="preserve">Totals may not </w:t>
      </w:r>
      <w:r w:rsidR="00E54C1E">
        <w:rPr>
          <w:rFonts w:cs="Arial"/>
          <w:sz w:val="18"/>
          <w:szCs w:val="18"/>
        </w:rPr>
        <w:t>match</w:t>
      </w:r>
      <w:r w:rsidRPr="00D839EE" w:rsidR="00E54C1E">
        <w:rPr>
          <w:rFonts w:cs="Arial"/>
          <w:sz w:val="18"/>
          <w:szCs w:val="18"/>
        </w:rPr>
        <w:t xml:space="preserve"> </w:t>
      </w:r>
      <w:r w:rsidRPr="00D839EE">
        <w:rPr>
          <w:rFonts w:cs="Arial"/>
          <w:sz w:val="18"/>
          <w:szCs w:val="18"/>
        </w:rPr>
        <w:t>due to rounding.</w:t>
      </w:r>
    </w:p>
    <w:p w:rsidR="00BF5AC4" w:rsidRPr="00346B95" w:rsidP="00346B95" w14:paraId="7F49398F" w14:textId="77777777">
      <w:pPr>
        <w:pStyle w:val="Heading3"/>
        <w:spacing w:after="220"/>
      </w:pPr>
      <w:bookmarkStart w:id="244" w:name="_Toc434330231"/>
      <w:bookmarkStart w:id="245" w:name="_Toc443852797"/>
      <w:bookmarkStart w:id="246" w:name="_Toc530073286"/>
      <w:bookmarkStart w:id="247" w:name="_Toc534037104"/>
      <w:bookmarkStart w:id="248" w:name="_Toc534699724"/>
      <w:bookmarkStart w:id="249" w:name="_Toc536603292"/>
      <w:r w:rsidRPr="00346B95">
        <w:t>3.3.</w:t>
      </w:r>
      <w:r w:rsidR="00C67E91">
        <w:t>3</w:t>
      </w:r>
      <w:r w:rsidRPr="00346B95">
        <w:t xml:space="preserve"> </w:t>
      </w:r>
      <w:r w:rsidR="00A81A0C">
        <w:tab/>
      </w:r>
      <w:r w:rsidRPr="00346B95">
        <w:t>Affected Entity Operation</w:t>
      </w:r>
      <w:bookmarkEnd w:id="244"/>
      <w:bookmarkEnd w:id="245"/>
      <w:bookmarkEnd w:id="246"/>
      <w:bookmarkEnd w:id="247"/>
      <w:bookmarkEnd w:id="248"/>
      <w:bookmarkEnd w:id="249"/>
    </w:p>
    <w:p w:rsidR="00BF5AC4" w:rsidRPr="00D839EE" w:rsidP="00BF5AC4" w14:paraId="7F493990" w14:textId="77777777">
      <w:pPr>
        <w:rPr>
          <w:rFonts w:cs="Arial"/>
          <w:sz w:val="22"/>
          <w:szCs w:val="22"/>
        </w:rPr>
      </w:pPr>
      <w:r w:rsidRPr="00D839EE">
        <w:rPr>
          <w:rFonts w:cs="Arial"/>
          <w:sz w:val="22"/>
          <w:szCs w:val="22"/>
        </w:rPr>
        <w:t xml:space="preserve">The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impose operation costs on the 3</w:t>
      </w:r>
      <w:r w:rsidRPr="00D839EE" w:rsidR="005F752F">
        <w:rPr>
          <w:rFonts w:cs="Arial"/>
          <w:sz w:val="22"/>
          <w:szCs w:val="22"/>
        </w:rPr>
        <w:t>3</w:t>
      </w:r>
      <w:r w:rsidRPr="00D839EE">
        <w:rPr>
          <w:rFonts w:cs="Arial"/>
          <w:sz w:val="22"/>
          <w:szCs w:val="22"/>
        </w:rPr>
        <w:t xml:space="preserve"> NPUF</w:t>
      </w:r>
      <w:r w:rsidR="00DB67E5">
        <w:rPr>
          <w:rFonts w:cs="Arial"/>
          <w:sz w:val="22"/>
          <w:szCs w:val="22"/>
        </w:rPr>
        <w:t>s</w:t>
      </w:r>
      <w:r w:rsidR="007B7E26">
        <w:rPr>
          <w:rFonts w:cs="Arial"/>
          <w:sz w:val="22"/>
          <w:szCs w:val="22"/>
        </w:rPr>
        <w:t xml:space="preserve"> </w:t>
      </w:r>
      <w:r w:rsidR="00DB67E5">
        <w:rPr>
          <w:rFonts w:cs="Arial"/>
          <w:sz w:val="22"/>
          <w:szCs w:val="22"/>
        </w:rPr>
        <w:t xml:space="preserve">that are currently licensed to operate or </w:t>
      </w:r>
      <w:r w:rsidR="004113F3">
        <w:rPr>
          <w:rFonts w:cs="Arial"/>
          <w:sz w:val="22"/>
          <w:szCs w:val="22"/>
        </w:rPr>
        <w:t>anticipated</w:t>
      </w:r>
      <w:r w:rsidR="00DB67E5">
        <w:rPr>
          <w:rFonts w:cs="Arial"/>
          <w:sz w:val="22"/>
          <w:szCs w:val="22"/>
        </w:rPr>
        <w:t xml:space="preserve"> to be licensed to operate within the next 5 years</w:t>
      </w:r>
      <w:r w:rsidRPr="00D839EE">
        <w:rPr>
          <w:rFonts w:cs="Arial"/>
          <w:sz w:val="22"/>
          <w:szCs w:val="22"/>
        </w:rPr>
        <w:t xml:space="preserve">.  These incremental operation costs include routine and recurring activities under the </w:t>
      </w:r>
      <w:r w:rsidRPr="00D839EE" w:rsidR="00BC5E9F">
        <w:rPr>
          <w:rFonts w:cs="Arial"/>
          <w:sz w:val="22"/>
          <w:szCs w:val="22"/>
        </w:rPr>
        <w:t>final</w:t>
      </w:r>
      <w:r w:rsidRPr="00D839EE">
        <w:rPr>
          <w:rFonts w:cs="Arial"/>
          <w:sz w:val="22"/>
          <w:szCs w:val="22"/>
        </w:rPr>
        <w:t xml:space="preserve"> rule, such as preparing and submitting an updated FSAR </w:t>
      </w:r>
      <w:r w:rsidR="00464412">
        <w:rPr>
          <w:rFonts w:cs="Arial"/>
          <w:sz w:val="22"/>
          <w:szCs w:val="22"/>
        </w:rPr>
        <w:t xml:space="preserve">and </w:t>
      </w:r>
      <w:r w:rsidR="00544F11">
        <w:rPr>
          <w:rFonts w:cs="Arial"/>
          <w:sz w:val="22"/>
          <w:szCs w:val="22"/>
        </w:rPr>
        <w:t>preparing and submitting subsequent FSAR updates</w:t>
      </w:r>
      <w:r w:rsidR="00464412">
        <w:rPr>
          <w:rFonts w:cs="Arial"/>
          <w:sz w:val="22"/>
          <w:szCs w:val="22"/>
        </w:rPr>
        <w:t xml:space="preserve">. </w:t>
      </w:r>
    </w:p>
    <w:p w:rsidR="00BF5AC4" w:rsidRPr="00D839EE" w:rsidP="00BF5AC4" w14:paraId="7F493991" w14:textId="77777777">
      <w:pPr>
        <w:rPr>
          <w:rFonts w:cs="Arial"/>
          <w:sz w:val="22"/>
          <w:szCs w:val="22"/>
        </w:rPr>
      </w:pPr>
    </w:p>
    <w:p w:rsidR="004C2359" w:rsidP="004C2359" w14:paraId="7F493992" w14:textId="3F08082F">
      <w:pPr>
        <w:rPr>
          <w:rFonts w:cs="Arial"/>
          <w:sz w:val="22"/>
          <w:szCs w:val="22"/>
        </w:rPr>
      </w:pPr>
      <w:r w:rsidRPr="00CF41A7">
        <w:rPr>
          <w:rFonts w:cs="Arial"/>
          <w:sz w:val="22"/>
          <w:szCs w:val="22"/>
        </w:rPr>
        <w:fldChar w:fldCharType="begin"/>
      </w:r>
      <w:r w:rsidRPr="00CF41A7">
        <w:rPr>
          <w:rFonts w:cs="Arial"/>
          <w:sz w:val="22"/>
          <w:szCs w:val="22"/>
        </w:rPr>
        <w:instrText xml:space="preserve"> REF _Ref534035294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13</w:t>
      </w:r>
      <w:r w:rsidRPr="00CF41A7">
        <w:rPr>
          <w:rFonts w:cs="Arial"/>
          <w:sz w:val="22"/>
          <w:szCs w:val="22"/>
        </w:rPr>
        <w:fldChar w:fldCharType="end"/>
      </w:r>
      <w:r>
        <w:rPr>
          <w:rFonts w:cs="Arial"/>
          <w:sz w:val="22"/>
          <w:szCs w:val="22"/>
        </w:rPr>
        <w:t xml:space="preserve"> </w:t>
      </w:r>
      <w:r w:rsidRPr="00D839EE" w:rsidR="00BF5AC4">
        <w:rPr>
          <w:rFonts w:cs="Arial"/>
          <w:sz w:val="22"/>
          <w:szCs w:val="22"/>
        </w:rPr>
        <w:t>break</w:t>
      </w:r>
      <w:r w:rsidR="002E5F03">
        <w:rPr>
          <w:rFonts w:cs="Arial"/>
          <w:sz w:val="22"/>
          <w:szCs w:val="22"/>
        </w:rPr>
        <w:t xml:space="preserve">s </w:t>
      </w:r>
      <w:r w:rsidRPr="00D839EE" w:rsidR="00BF5AC4">
        <w:rPr>
          <w:rFonts w:cs="Arial"/>
          <w:sz w:val="22"/>
          <w:szCs w:val="22"/>
        </w:rPr>
        <w:t xml:space="preserve">down the </w:t>
      </w:r>
      <w:r w:rsidR="003D5DD6">
        <w:rPr>
          <w:rFonts w:cs="Arial"/>
          <w:sz w:val="22"/>
          <w:szCs w:val="22"/>
        </w:rPr>
        <w:t>licensee</w:t>
      </w:r>
      <w:r w:rsidRPr="00D839EE" w:rsidR="00BF5AC4">
        <w:rPr>
          <w:rFonts w:cs="Arial"/>
          <w:sz w:val="22"/>
          <w:szCs w:val="22"/>
        </w:rPr>
        <w:t xml:space="preserve"> </w:t>
      </w:r>
      <w:r w:rsidRPr="00D839EE" w:rsidR="00DB6E23">
        <w:rPr>
          <w:rFonts w:cs="Arial"/>
          <w:sz w:val="22"/>
          <w:szCs w:val="22"/>
        </w:rPr>
        <w:t xml:space="preserve">initial </w:t>
      </w:r>
      <w:r w:rsidR="00544F11">
        <w:rPr>
          <w:rFonts w:cs="Arial"/>
          <w:sz w:val="22"/>
          <w:szCs w:val="22"/>
        </w:rPr>
        <w:t xml:space="preserve">updated </w:t>
      </w:r>
      <w:r w:rsidRPr="00D839EE" w:rsidR="00DB6E23">
        <w:rPr>
          <w:rFonts w:cs="Arial"/>
          <w:sz w:val="22"/>
          <w:szCs w:val="22"/>
        </w:rPr>
        <w:t xml:space="preserve">FSAR </w:t>
      </w:r>
      <w:r w:rsidRPr="00D839EE" w:rsidR="00BF5AC4">
        <w:rPr>
          <w:rFonts w:cs="Arial"/>
          <w:sz w:val="22"/>
          <w:szCs w:val="22"/>
        </w:rPr>
        <w:t xml:space="preserve">costs </w:t>
      </w:r>
      <w:r w:rsidR="00D379A4">
        <w:rPr>
          <w:rFonts w:cs="Arial"/>
          <w:sz w:val="22"/>
          <w:szCs w:val="22"/>
        </w:rPr>
        <w:t xml:space="preserve">and ongoing operation costs </w:t>
      </w:r>
      <w:r w:rsidRPr="00D839EE" w:rsidR="00BF5AC4">
        <w:rPr>
          <w:rFonts w:cs="Arial"/>
          <w:sz w:val="22"/>
          <w:szCs w:val="22"/>
        </w:rPr>
        <w:t>by category.  These costs include</w:t>
      </w:r>
      <w:r w:rsidRPr="00D839EE" w:rsidR="00F35D6B">
        <w:rPr>
          <w:rFonts w:cs="Arial"/>
          <w:sz w:val="22"/>
          <w:szCs w:val="22"/>
        </w:rPr>
        <w:t xml:space="preserve"> </w:t>
      </w:r>
      <w:r w:rsidRPr="00D839EE" w:rsidR="00BF5AC4">
        <w:rPr>
          <w:rFonts w:cs="Arial"/>
          <w:sz w:val="22"/>
          <w:szCs w:val="22"/>
        </w:rPr>
        <w:t xml:space="preserve">preparing the </w:t>
      </w:r>
      <w:r w:rsidR="00544F11">
        <w:rPr>
          <w:rFonts w:cs="Arial"/>
          <w:sz w:val="22"/>
          <w:szCs w:val="22"/>
        </w:rPr>
        <w:t xml:space="preserve">initial </w:t>
      </w:r>
      <w:r w:rsidRPr="00D839EE" w:rsidR="00BF5AC4">
        <w:rPr>
          <w:rFonts w:cs="Arial"/>
          <w:sz w:val="22"/>
          <w:szCs w:val="22"/>
        </w:rPr>
        <w:t xml:space="preserve">updated FSAR </w:t>
      </w:r>
      <w:r w:rsidR="00D379A4">
        <w:rPr>
          <w:rFonts w:cs="Arial"/>
          <w:sz w:val="22"/>
          <w:szCs w:val="22"/>
        </w:rPr>
        <w:t>and preparing subsequent FSAR updates</w:t>
      </w:r>
      <w:r w:rsidR="00464412">
        <w:rPr>
          <w:rFonts w:cs="Arial"/>
          <w:sz w:val="22"/>
          <w:szCs w:val="22"/>
        </w:rPr>
        <w:t xml:space="preserve">.  </w:t>
      </w:r>
      <w:r w:rsidRPr="00D839EE" w:rsidR="00BF5AC4">
        <w:rPr>
          <w:rFonts w:cs="Arial"/>
          <w:sz w:val="22"/>
          <w:szCs w:val="22"/>
        </w:rPr>
        <w:t xml:space="preserve">The NRC estimates the </w:t>
      </w:r>
      <w:r w:rsidRPr="00D839EE" w:rsidR="00872F16">
        <w:rPr>
          <w:rFonts w:cs="Arial"/>
          <w:sz w:val="22"/>
          <w:szCs w:val="22"/>
        </w:rPr>
        <w:t>initial</w:t>
      </w:r>
      <w:r w:rsidRPr="00D839EE" w:rsidR="00BF5AC4">
        <w:rPr>
          <w:rFonts w:cs="Arial"/>
          <w:sz w:val="22"/>
          <w:szCs w:val="22"/>
        </w:rPr>
        <w:t xml:space="preserve"> operatio</w:t>
      </w:r>
      <w:r w:rsidR="003752A7">
        <w:rPr>
          <w:rFonts w:cs="Arial"/>
          <w:sz w:val="22"/>
          <w:szCs w:val="22"/>
        </w:rPr>
        <w:t>n</w:t>
      </w:r>
      <w:r w:rsidRPr="00D839EE" w:rsidR="00BF5AC4">
        <w:rPr>
          <w:rFonts w:cs="Arial"/>
          <w:sz w:val="22"/>
          <w:szCs w:val="22"/>
        </w:rPr>
        <w:t xml:space="preserve"> cost </w:t>
      </w:r>
      <w:r w:rsidR="003D3698">
        <w:rPr>
          <w:rFonts w:cs="Arial"/>
          <w:sz w:val="22"/>
          <w:szCs w:val="22"/>
        </w:rPr>
        <w:t>per NPUF</w:t>
      </w:r>
      <w:r w:rsidR="00127422">
        <w:rPr>
          <w:rFonts w:cs="Arial"/>
          <w:sz w:val="22"/>
          <w:szCs w:val="22"/>
        </w:rPr>
        <w:t xml:space="preserve"> for the initial FSAR update</w:t>
      </w:r>
      <w:r w:rsidR="003D3698">
        <w:rPr>
          <w:rFonts w:cs="Arial"/>
          <w:sz w:val="22"/>
          <w:szCs w:val="22"/>
        </w:rPr>
        <w:t xml:space="preserve"> </w:t>
      </w:r>
      <w:r w:rsidRPr="00D839EE" w:rsidR="00BF5AC4">
        <w:rPr>
          <w:rFonts w:cs="Arial"/>
          <w:sz w:val="22"/>
          <w:szCs w:val="22"/>
        </w:rPr>
        <w:t xml:space="preserve">to be </w:t>
      </w:r>
      <w:r w:rsidR="00217F31">
        <w:rPr>
          <w:rFonts w:cs="Arial"/>
          <w:sz w:val="22"/>
          <w:szCs w:val="22"/>
        </w:rPr>
        <w:t>(</w:t>
      </w:r>
      <w:r w:rsidRPr="00D839EE" w:rsidR="00675925">
        <w:rPr>
          <w:rFonts w:cs="Arial"/>
          <w:sz w:val="22"/>
          <w:szCs w:val="22"/>
        </w:rPr>
        <w:t>$6,900</w:t>
      </w:r>
      <w:r w:rsidR="00217F31">
        <w:rPr>
          <w:rFonts w:cs="Arial"/>
          <w:sz w:val="22"/>
          <w:szCs w:val="22"/>
        </w:rPr>
        <w:t>)</w:t>
      </w:r>
      <w:r w:rsidRPr="00D839EE" w:rsidR="0015370B">
        <w:rPr>
          <w:rFonts w:cs="Arial"/>
          <w:sz w:val="22"/>
          <w:szCs w:val="22"/>
        </w:rPr>
        <w:t xml:space="preserve"> </w:t>
      </w:r>
      <w:r w:rsidR="003D3698">
        <w:rPr>
          <w:rFonts w:cs="Arial"/>
          <w:sz w:val="22"/>
          <w:szCs w:val="22"/>
        </w:rPr>
        <w:t>in the</w:t>
      </w:r>
      <w:r w:rsidRPr="00D839EE" w:rsidR="00BF5AC4">
        <w:rPr>
          <w:rFonts w:cs="Arial"/>
          <w:sz w:val="22"/>
          <w:szCs w:val="22"/>
        </w:rPr>
        <w:t xml:space="preserve"> Low category, </w:t>
      </w:r>
      <w:r w:rsidR="00217F31">
        <w:rPr>
          <w:rFonts w:cs="Arial"/>
          <w:sz w:val="22"/>
          <w:szCs w:val="22"/>
        </w:rPr>
        <w:t>(</w:t>
      </w:r>
      <w:r w:rsidRPr="00D839EE" w:rsidR="00675925">
        <w:rPr>
          <w:rFonts w:cs="Arial"/>
          <w:sz w:val="22"/>
          <w:szCs w:val="22"/>
        </w:rPr>
        <w:t>$10,000</w:t>
      </w:r>
      <w:r w:rsidR="00217F31">
        <w:rPr>
          <w:rFonts w:cs="Arial"/>
          <w:sz w:val="22"/>
          <w:szCs w:val="22"/>
        </w:rPr>
        <w:t>)</w:t>
      </w:r>
      <w:r w:rsidRPr="00D839EE" w:rsidR="0015370B">
        <w:rPr>
          <w:rFonts w:cs="Arial"/>
          <w:sz w:val="22"/>
          <w:szCs w:val="22"/>
        </w:rPr>
        <w:t xml:space="preserve"> </w:t>
      </w:r>
      <w:r w:rsidR="003D3698">
        <w:rPr>
          <w:rFonts w:cs="Arial"/>
          <w:sz w:val="22"/>
          <w:szCs w:val="22"/>
        </w:rPr>
        <w:t>in the</w:t>
      </w:r>
      <w:r w:rsidRPr="00D839EE" w:rsidR="00BF5AC4">
        <w:rPr>
          <w:rFonts w:cs="Arial"/>
          <w:sz w:val="22"/>
          <w:szCs w:val="22"/>
        </w:rPr>
        <w:t xml:space="preserve"> Medium </w:t>
      </w:r>
      <w:r w:rsidRPr="00D839EE" w:rsidR="00BA2AA1">
        <w:rPr>
          <w:rFonts w:cs="Arial"/>
          <w:sz w:val="22"/>
          <w:szCs w:val="22"/>
        </w:rPr>
        <w:t>c</w:t>
      </w:r>
      <w:r w:rsidRPr="00D839EE" w:rsidR="00BF5AC4">
        <w:rPr>
          <w:rFonts w:cs="Arial"/>
          <w:sz w:val="22"/>
          <w:szCs w:val="22"/>
        </w:rPr>
        <w:t xml:space="preserve">ategory, </w:t>
      </w:r>
      <w:r w:rsidR="00217F31">
        <w:rPr>
          <w:rFonts w:cs="Arial"/>
          <w:sz w:val="22"/>
          <w:szCs w:val="22"/>
        </w:rPr>
        <w:t>(</w:t>
      </w:r>
      <w:r w:rsidRPr="00D839EE" w:rsidR="00BF5AC4">
        <w:rPr>
          <w:rFonts w:cs="Arial"/>
          <w:sz w:val="22"/>
          <w:szCs w:val="22"/>
        </w:rPr>
        <w:t>$18,000</w:t>
      </w:r>
      <w:r w:rsidR="00217F31">
        <w:rPr>
          <w:rFonts w:cs="Arial"/>
          <w:sz w:val="22"/>
          <w:szCs w:val="22"/>
        </w:rPr>
        <w:t>)</w:t>
      </w:r>
      <w:r w:rsidRPr="00D839EE" w:rsidR="00F819CA">
        <w:rPr>
          <w:rFonts w:cs="Arial"/>
          <w:sz w:val="22"/>
          <w:szCs w:val="22"/>
        </w:rPr>
        <w:t xml:space="preserve"> </w:t>
      </w:r>
      <w:r w:rsidR="003D3698">
        <w:rPr>
          <w:rFonts w:cs="Arial"/>
          <w:sz w:val="22"/>
          <w:szCs w:val="22"/>
        </w:rPr>
        <w:t>in the</w:t>
      </w:r>
      <w:r w:rsidRPr="00D839EE" w:rsidR="00BF5AC4">
        <w:rPr>
          <w:rFonts w:cs="Arial"/>
          <w:sz w:val="22"/>
          <w:szCs w:val="22"/>
        </w:rPr>
        <w:t xml:space="preserve"> High category</w:t>
      </w:r>
      <w:r w:rsidRPr="00D839EE" w:rsidR="00F819CA">
        <w:rPr>
          <w:rFonts w:cs="Arial"/>
          <w:sz w:val="22"/>
          <w:szCs w:val="22"/>
        </w:rPr>
        <w:t xml:space="preserve">, and </w:t>
      </w:r>
      <w:r w:rsidR="00217F31">
        <w:rPr>
          <w:rFonts w:cs="Arial"/>
          <w:sz w:val="22"/>
          <w:szCs w:val="22"/>
        </w:rPr>
        <w:t>(</w:t>
      </w:r>
      <w:r w:rsidRPr="00D839EE" w:rsidR="00F819CA">
        <w:rPr>
          <w:rFonts w:cs="Arial"/>
          <w:sz w:val="22"/>
          <w:szCs w:val="22"/>
        </w:rPr>
        <w:t>$22,000</w:t>
      </w:r>
      <w:r w:rsidR="00217F31">
        <w:rPr>
          <w:rFonts w:cs="Arial"/>
          <w:sz w:val="22"/>
          <w:szCs w:val="22"/>
        </w:rPr>
        <w:t>)</w:t>
      </w:r>
      <w:r w:rsidRPr="00D839EE" w:rsidR="00F819CA">
        <w:rPr>
          <w:rFonts w:cs="Arial"/>
          <w:sz w:val="22"/>
          <w:szCs w:val="22"/>
        </w:rPr>
        <w:t xml:space="preserve"> </w:t>
      </w:r>
      <w:r w:rsidR="00127422">
        <w:rPr>
          <w:rFonts w:cs="Arial"/>
          <w:sz w:val="22"/>
          <w:szCs w:val="22"/>
        </w:rPr>
        <w:t>in</w:t>
      </w:r>
      <w:r w:rsidR="00544F11">
        <w:rPr>
          <w:rFonts w:cs="Arial"/>
          <w:sz w:val="22"/>
          <w:szCs w:val="22"/>
        </w:rPr>
        <w:t xml:space="preserve"> the</w:t>
      </w:r>
      <w:r w:rsidRPr="00D839EE" w:rsidR="00F819CA">
        <w:rPr>
          <w:rFonts w:cs="Arial"/>
          <w:sz w:val="22"/>
          <w:szCs w:val="22"/>
        </w:rPr>
        <w:t xml:space="preserve"> Other NPUFs</w:t>
      </w:r>
      <w:r w:rsidR="00127422">
        <w:rPr>
          <w:rFonts w:cs="Arial"/>
          <w:sz w:val="22"/>
          <w:szCs w:val="22"/>
        </w:rPr>
        <w:t xml:space="preserve"> category</w:t>
      </w:r>
      <w:r w:rsidRPr="00D839EE" w:rsidR="00BF5AC4">
        <w:rPr>
          <w:rFonts w:cs="Arial"/>
          <w:sz w:val="22"/>
          <w:szCs w:val="22"/>
        </w:rPr>
        <w:t>.</w:t>
      </w:r>
      <w:r w:rsidR="00D379A4">
        <w:rPr>
          <w:rFonts w:cs="Arial"/>
          <w:sz w:val="22"/>
          <w:szCs w:val="22"/>
        </w:rPr>
        <w:t xml:space="preserve"> </w:t>
      </w:r>
      <w:r w:rsidRPr="00D839EE" w:rsidR="00D379A4">
        <w:rPr>
          <w:rFonts w:cs="Arial"/>
          <w:sz w:val="22"/>
          <w:szCs w:val="22"/>
        </w:rPr>
        <w:t>The NRC estimates the ongoing operatio</w:t>
      </w:r>
      <w:r w:rsidR="00D379A4">
        <w:rPr>
          <w:rFonts w:cs="Arial"/>
          <w:sz w:val="22"/>
          <w:szCs w:val="22"/>
        </w:rPr>
        <w:t>n</w:t>
      </w:r>
      <w:r w:rsidRPr="00D839EE" w:rsidR="00D379A4">
        <w:rPr>
          <w:rFonts w:cs="Arial"/>
          <w:sz w:val="22"/>
          <w:szCs w:val="22"/>
        </w:rPr>
        <w:t xml:space="preserve"> cost</w:t>
      </w:r>
      <w:r w:rsidR="00D379A4">
        <w:rPr>
          <w:rFonts w:cs="Arial"/>
          <w:sz w:val="22"/>
          <w:szCs w:val="22"/>
        </w:rPr>
        <w:t>s</w:t>
      </w:r>
      <w:r w:rsidRPr="00D839EE" w:rsidR="00D379A4">
        <w:rPr>
          <w:rFonts w:cs="Arial"/>
          <w:sz w:val="22"/>
          <w:szCs w:val="22"/>
        </w:rPr>
        <w:t xml:space="preserve"> </w:t>
      </w:r>
      <w:r w:rsidR="007B7E26">
        <w:rPr>
          <w:rFonts w:cs="Arial"/>
          <w:sz w:val="22"/>
          <w:szCs w:val="22"/>
        </w:rPr>
        <w:t xml:space="preserve">for each subsequent FSAR update </w:t>
      </w:r>
      <w:r w:rsidRPr="00D839EE" w:rsidR="00D379A4">
        <w:rPr>
          <w:rFonts w:cs="Arial"/>
          <w:sz w:val="22"/>
          <w:szCs w:val="22"/>
        </w:rPr>
        <w:t xml:space="preserve">to be </w:t>
      </w:r>
      <w:r w:rsidR="00D379A4">
        <w:rPr>
          <w:rFonts w:cs="Arial"/>
          <w:sz w:val="22"/>
          <w:szCs w:val="22"/>
        </w:rPr>
        <w:t>(</w:t>
      </w:r>
      <w:r w:rsidRPr="00D839EE" w:rsidR="00D379A4">
        <w:rPr>
          <w:rFonts w:cs="Arial"/>
          <w:sz w:val="22"/>
          <w:szCs w:val="22"/>
        </w:rPr>
        <w:t>$</w:t>
      </w:r>
      <w:r w:rsidR="00D379A4">
        <w:rPr>
          <w:rFonts w:cs="Arial"/>
          <w:sz w:val="22"/>
          <w:szCs w:val="22"/>
        </w:rPr>
        <w:t>3,500)</w:t>
      </w:r>
      <w:r w:rsidRPr="00D839EE" w:rsidR="00D379A4">
        <w:rPr>
          <w:rFonts w:cs="Arial"/>
          <w:sz w:val="22"/>
          <w:szCs w:val="22"/>
        </w:rPr>
        <w:t xml:space="preserve"> per Low category</w:t>
      </w:r>
      <w:r w:rsidR="00D379A4">
        <w:rPr>
          <w:rFonts w:cs="Arial"/>
          <w:sz w:val="22"/>
          <w:szCs w:val="22"/>
        </w:rPr>
        <w:t xml:space="preserve"> NPUF</w:t>
      </w:r>
      <w:r w:rsidRPr="00D839EE" w:rsidR="00D379A4">
        <w:rPr>
          <w:rFonts w:cs="Arial"/>
          <w:sz w:val="22"/>
          <w:szCs w:val="22"/>
        </w:rPr>
        <w:t xml:space="preserve">, </w:t>
      </w:r>
      <w:r w:rsidR="00D379A4">
        <w:rPr>
          <w:rFonts w:cs="Arial"/>
          <w:sz w:val="22"/>
          <w:szCs w:val="22"/>
        </w:rPr>
        <w:t>(</w:t>
      </w:r>
      <w:r w:rsidRPr="00D839EE" w:rsidR="00D379A4">
        <w:rPr>
          <w:rFonts w:cs="Arial"/>
          <w:sz w:val="22"/>
          <w:szCs w:val="22"/>
        </w:rPr>
        <w:t>$</w:t>
      </w:r>
      <w:r w:rsidR="00D379A4">
        <w:rPr>
          <w:rFonts w:cs="Arial"/>
          <w:sz w:val="22"/>
          <w:szCs w:val="22"/>
        </w:rPr>
        <w:t>5,200)</w:t>
      </w:r>
      <w:r w:rsidRPr="00D839EE" w:rsidR="00D379A4">
        <w:rPr>
          <w:rFonts w:cs="Arial"/>
          <w:sz w:val="22"/>
          <w:szCs w:val="22"/>
        </w:rPr>
        <w:t xml:space="preserve"> per Medium category</w:t>
      </w:r>
      <w:r w:rsidR="00D379A4">
        <w:rPr>
          <w:rFonts w:cs="Arial"/>
          <w:sz w:val="22"/>
          <w:szCs w:val="22"/>
        </w:rPr>
        <w:t xml:space="preserve"> NPUF</w:t>
      </w:r>
      <w:r w:rsidRPr="00D839EE" w:rsidR="00D379A4">
        <w:rPr>
          <w:rFonts w:cs="Arial"/>
          <w:sz w:val="22"/>
          <w:szCs w:val="22"/>
        </w:rPr>
        <w:t xml:space="preserve">, </w:t>
      </w:r>
      <w:r w:rsidR="00D379A4">
        <w:rPr>
          <w:rFonts w:cs="Arial"/>
          <w:sz w:val="22"/>
          <w:szCs w:val="22"/>
        </w:rPr>
        <w:t>(</w:t>
      </w:r>
      <w:r w:rsidRPr="00D839EE" w:rsidR="00D379A4">
        <w:rPr>
          <w:rFonts w:cs="Arial"/>
          <w:sz w:val="22"/>
          <w:szCs w:val="22"/>
        </w:rPr>
        <w:t>$</w:t>
      </w:r>
      <w:r w:rsidR="00D379A4">
        <w:rPr>
          <w:rFonts w:cs="Arial"/>
          <w:sz w:val="22"/>
          <w:szCs w:val="22"/>
        </w:rPr>
        <w:t>9,300)</w:t>
      </w:r>
      <w:r w:rsidRPr="00D839EE" w:rsidR="00D379A4">
        <w:rPr>
          <w:rFonts w:cs="Arial"/>
          <w:sz w:val="22"/>
          <w:szCs w:val="22"/>
        </w:rPr>
        <w:t xml:space="preserve"> per High category</w:t>
      </w:r>
      <w:r w:rsidR="00D379A4">
        <w:rPr>
          <w:rFonts w:cs="Arial"/>
          <w:sz w:val="22"/>
          <w:szCs w:val="22"/>
        </w:rPr>
        <w:t xml:space="preserve"> NPUF</w:t>
      </w:r>
      <w:r w:rsidRPr="00D839EE" w:rsidR="00D379A4">
        <w:rPr>
          <w:rFonts w:cs="Arial"/>
          <w:sz w:val="22"/>
          <w:szCs w:val="22"/>
        </w:rPr>
        <w:t xml:space="preserve">, and </w:t>
      </w:r>
      <w:r w:rsidR="00D379A4">
        <w:rPr>
          <w:rFonts w:cs="Arial"/>
          <w:sz w:val="22"/>
          <w:szCs w:val="22"/>
        </w:rPr>
        <w:t>(</w:t>
      </w:r>
      <w:r w:rsidRPr="00D839EE" w:rsidR="00D379A4">
        <w:rPr>
          <w:rFonts w:cs="Arial"/>
          <w:sz w:val="22"/>
          <w:szCs w:val="22"/>
        </w:rPr>
        <w:t>$1</w:t>
      </w:r>
      <w:r w:rsidR="00D379A4">
        <w:rPr>
          <w:rFonts w:cs="Arial"/>
          <w:sz w:val="22"/>
          <w:szCs w:val="22"/>
        </w:rPr>
        <w:t>1</w:t>
      </w:r>
      <w:r w:rsidRPr="00D839EE" w:rsidR="00D379A4">
        <w:rPr>
          <w:rFonts w:cs="Arial"/>
          <w:sz w:val="22"/>
          <w:szCs w:val="22"/>
        </w:rPr>
        <w:t>,000</w:t>
      </w:r>
      <w:r w:rsidR="00D379A4">
        <w:rPr>
          <w:rFonts w:cs="Arial"/>
          <w:sz w:val="22"/>
          <w:szCs w:val="22"/>
        </w:rPr>
        <w:t>)</w:t>
      </w:r>
      <w:r w:rsidRPr="00D839EE" w:rsidR="00D379A4">
        <w:rPr>
          <w:rFonts w:cs="Arial"/>
          <w:sz w:val="22"/>
          <w:szCs w:val="22"/>
        </w:rPr>
        <w:t xml:space="preserve"> per </w:t>
      </w:r>
      <w:r w:rsidR="00D379A4">
        <w:rPr>
          <w:rFonts w:cs="Arial"/>
          <w:sz w:val="22"/>
          <w:szCs w:val="22"/>
        </w:rPr>
        <w:t xml:space="preserve">licensee in the </w:t>
      </w:r>
      <w:r w:rsidRPr="00D839EE" w:rsidR="00D379A4">
        <w:rPr>
          <w:rFonts w:cs="Arial"/>
          <w:sz w:val="22"/>
          <w:szCs w:val="22"/>
        </w:rPr>
        <w:t>Other NPUFs category.</w:t>
      </w:r>
      <w:r>
        <w:rPr>
          <w:rFonts w:cs="Arial"/>
          <w:sz w:val="22"/>
          <w:szCs w:val="22"/>
        </w:rPr>
        <w:t xml:space="preserve">  Additionally, the NRC conducted a sensitivity analysis to estimate operation costs associated with decommissioning NPUFs.  See Section 3.6.4 for more information. </w:t>
      </w:r>
    </w:p>
    <w:p w:rsidR="00872F16" w:rsidRPr="00D839EE" w:rsidP="00BF5AC4" w14:paraId="7F493994" w14:textId="77777777">
      <w:pPr>
        <w:rPr>
          <w:rFonts w:cs="Arial"/>
          <w:sz w:val="22"/>
          <w:szCs w:val="22"/>
        </w:rPr>
      </w:pPr>
    </w:p>
    <w:p w:rsidR="00E064CA" w:rsidRPr="000F7FD1" w:rsidP="00AC71D8" w14:paraId="7F493995" w14:textId="136D5447">
      <w:pPr>
        <w:pStyle w:val="Caption"/>
        <w:keepNext/>
        <w:spacing w:after="0"/>
        <w:jc w:val="center"/>
        <w:rPr>
          <w:b/>
          <w:color w:val="auto"/>
          <w:sz w:val="22"/>
          <w:szCs w:val="22"/>
        </w:rPr>
      </w:pPr>
      <w:bookmarkStart w:id="250" w:name="_Ref534035294"/>
      <w:bookmarkStart w:id="251" w:name="_Toc534037061"/>
      <w:bookmarkStart w:id="252" w:name="_Toc534710006"/>
      <w:bookmarkStart w:id="253" w:name="_Toc534711691"/>
      <w:bookmarkStart w:id="254" w:name="_Toc534712124"/>
      <w:bookmarkStart w:id="255" w:name="_Toc534712701"/>
      <w:bookmarkStart w:id="256" w:name="_Toc534713210"/>
      <w:bookmarkStart w:id="257" w:name="_Toc9526470"/>
      <w:bookmarkStart w:id="258" w:name="_Toc536603419"/>
      <w:r w:rsidRPr="000F7FD1">
        <w:rPr>
          <w:b/>
          <w:i w:val="0"/>
          <w:color w:val="auto"/>
          <w:sz w:val="22"/>
          <w:szCs w:val="22"/>
        </w:rPr>
        <w:t>Exhibit</w:t>
      </w:r>
      <w:r w:rsidRPr="000F7FD1" w:rsidR="00352F39">
        <w:rPr>
          <w:b/>
          <w:i w:val="0"/>
          <w:color w:val="auto"/>
          <w:sz w:val="22"/>
          <w:szCs w:val="22"/>
        </w:rPr>
        <w:t xml:space="preserve">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13</w:t>
      </w:r>
      <w:r w:rsidRPr="000F7FD1" w:rsidR="00C276FC">
        <w:rPr>
          <w:b/>
          <w:i w:val="0"/>
          <w:color w:val="auto"/>
          <w:sz w:val="22"/>
          <w:szCs w:val="22"/>
        </w:rPr>
        <w:fldChar w:fldCharType="end"/>
      </w:r>
      <w:bookmarkEnd w:id="250"/>
      <w:r w:rsidRPr="000F7FD1">
        <w:rPr>
          <w:b/>
          <w:i w:val="0"/>
          <w:color w:val="auto"/>
          <w:sz w:val="22"/>
          <w:szCs w:val="22"/>
        </w:rPr>
        <w:t>. Breakdown of Affected Entity Operation Costs (</w:t>
      </w:r>
      <w:r w:rsidRPr="000F7FD1" w:rsidR="009170F7">
        <w:rPr>
          <w:b/>
          <w:i w:val="0"/>
          <w:color w:val="auto"/>
          <w:sz w:val="22"/>
          <w:szCs w:val="22"/>
        </w:rPr>
        <w:t>2020$</w:t>
      </w:r>
      <w:r w:rsidRPr="000F7FD1">
        <w:rPr>
          <w:b/>
          <w:i w:val="0"/>
          <w:color w:val="auto"/>
          <w:sz w:val="22"/>
          <w:szCs w:val="22"/>
        </w:rPr>
        <w:t>)</w:t>
      </w:r>
      <w:r w:rsidRPr="000F7FD1" w:rsidR="002D0B51">
        <w:rPr>
          <w:b/>
          <w:i w:val="0"/>
          <w:color w:val="auto"/>
          <w:sz w:val="22"/>
          <w:szCs w:val="22"/>
        </w:rPr>
        <w:t>*</w:t>
      </w:r>
      <w:bookmarkEnd w:id="251"/>
      <w:bookmarkEnd w:id="252"/>
      <w:bookmarkEnd w:id="253"/>
      <w:bookmarkEnd w:id="254"/>
      <w:bookmarkEnd w:id="255"/>
      <w:bookmarkEnd w:id="256"/>
      <w:bookmarkEnd w:id="257"/>
      <w:bookmarkEnd w:id="258"/>
    </w:p>
    <w:tbl>
      <w:tblPr>
        <w:tblW w:w="10012" w:type="dxa"/>
        <w:jc w:val="center"/>
        <w:tblLook w:val="04A0"/>
      </w:tblPr>
      <w:tblGrid>
        <w:gridCol w:w="3941"/>
        <w:gridCol w:w="1184"/>
        <w:gridCol w:w="1629"/>
        <w:gridCol w:w="1629"/>
        <w:gridCol w:w="1629"/>
      </w:tblGrid>
      <w:tr w14:paraId="7F49399B" w14:textId="77777777" w:rsidTr="00D96410">
        <w:tblPrEx>
          <w:tblW w:w="10012" w:type="dxa"/>
          <w:jc w:val="center"/>
          <w:tblLook w:val="04A0"/>
        </w:tblPrEx>
        <w:trPr>
          <w:trHeight w:val="129"/>
          <w:jc w:val="center"/>
        </w:trPr>
        <w:tc>
          <w:tcPr>
            <w:tcW w:w="3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925" w:rsidRPr="00D839EE" w:rsidP="007B7E26" w14:paraId="7F493996" w14:textId="77777777">
            <w:pPr>
              <w:keepNext/>
              <w:autoSpaceDE/>
              <w:autoSpaceDN/>
              <w:adjustRightInd/>
              <w:jc w:val="center"/>
              <w:rPr>
                <w:rFonts w:cs="Arial"/>
                <w:b/>
                <w:bCs/>
                <w:color w:val="000000"/>
              </w:rPr>
            </w:pPr>
            <w:r w:rsidRPr="00D839EE">
              <w:rPr>
                <w:rFonts w:cs="Arial"/>
                <w:b/>
                <w:bCs/>
                <w:color w:val="000000"/>
              </w:rPr>
              <w:t xml:space="preserve"> </w:t>
            </w:r>
            <w:r w:rsidR="00E14C35">
              <w:rPr>
                <w:rFonts w:cs="Arial"/>
                <w:b/>
                <w:bCs/>
                <w:color w:val="000000"/>
              </w:rPr>
              <w:t xml:space="preserve">Licensee </w:t>
            </w:r>
            <w:r w:rsidRPr="00D839EE">
              <w:rPr>
                <w:rFonts w:cs="Arial"/>
                <w:b/>
                <w:bCs/>
                <w:color w:val="000000"/>
              </w:rPr>
              <w:t>Operation Costs</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675925" w:rsidRPr="00D839EE" w:rsidP="00450393" w14:paraId="7F493997" w14:textId="77777777">
            <w:pPr>
              <w:keepNext/>
              <w:autoSpaceDE/>
              <w:autoSpaceDN/>
              <w:adjustRightInd/>
              <w:jc w:val="center"/>
              <w:rPr>
                <w:rFonts w:cs="Arial"/>
                <w:b/>
                <w:color w:val="000000"/>
              </w:rPr>
            </w:pPr>
            <w:r w:rsidRPr="00D839EE">
              <w:rPr>
                <w:rFonts w:cs="Arial"/>
                <w:b/>
                <w:color w:val="000000"/>
              </w:rPr>
              <w:t>Low</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675925" w:rsidRPr="00D839EE" w:rsidP="00450393" w14:paraId="7F493998" w14:textId="77777777">
            <w:pPr>
              <w:keepNext/>
              <w:autoSpaceDE/>
              <w:autoSpaceDN/>
              <w:adjustRightInd/>
              <w:jc w:val="center"/>
              <w:rPr>
                <w:rFonts w:cs="Arial"/>
                <w:b/>
                <w:color w:val="000000"/>
              </w:rPr>
            </w:pPr>
            <w:r w:rsidRPr="00D839EE">
              <w:rPr>
                <w:rFonts w:cs="Arial"/>
                <w:b/>
                <w:color w:val="000000"/>
              </w:rPr>
              <w:t>Medium</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675925" w:rsidRPr="00D839EE" w:rsidP="00450393" w14:paraId="7F493999" w14:textId="77777777">
            <w:pPr>
              <w:keepNext/>
              <w:autoSpaceDE/>
              <w:autoSpaceDN/>
              <w:adjustRightInd/>
              <w:jc w:val="center"/>
              <w:rPr>
                <w:rFonts w:cs="Arial"/>
                <w:b/>
                <w:color w:val="000000"/>
              </w:rPr>
            </w:pPr>
            <w:r w:rsidRPr="00D839EE">
              <w:rPr>
                <w:rFonts w:cs="Arial"/>
                <w:b/>
                <w:color w:val="000000"/>
              </w:rPr>
              <w:t>High</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675925" w:rsidRPr="00D839EE" w:rsidP="00D839EE" w14:paraId="7F49399A" w14:textId="77777777">
            <w:pPr>
              <w:keepNext/>
              <w:autoSpaceDE/>
              <w:autoSpaceDN/>
              <w:adjustRightInd/>
              <w:jc w:val="center"/>
              <w:rPr>
                <w:rFonts w:cs="Arial"/>
                <w:b/>
                <w:color w:val="000000"/>
              </w:rPr>
            </w:pPr>
            <w:r w:rsidRPr="00D839EE">
              <w:rPr>
                <w:rFonts w:cs="Arial"/>
                <w:b/>
                <w:color w:val="000000"/>
              </w:rPr>
              <w:t>Other NPUFs</w:t>
            </w:r>
          </w:p>
        </w:tc>
      </w:tr>
      <w:tr w14:paraId="7F4939A1" w14:textId="77777777" w:rsidTr="00D96410">
        <w:tblPrEx>
          <w:tblW w:w="10012" w:type="dxa"/>
          <w:jc w:val="center"/>
          <w:tblLook w:val="04A0"/>
        </w:tblPrEx>
        <w:trPr>
          <w:trHeight w:val="162"/>
          <w:jc w:val="center"/>
        </w:trPr>
        <w:tc>
          <w:tcPr>
            <w:tcW w:w="3941" w:type="dxa"/>
            <w:tcBorders>
              <w:top w:val="nil"/>
              <w:left w:val="single" w:sz="4" w:space="0" w:color="auto"/>
              <w:bottom w:val="single" w:sz="4" w:space="0" w:color="auto"/>
              <w:right w:val="single" w:sz="4" w:space="0" w:color="auto"/>
            </w:tcBorders>
            <w:shd w:val="clear" w:color="auto" w:fill="auto"/>
            <w:noWrap/>
            <w:vAlign w:val="center"/>
          </w:tcPr>
          <w:p w:rsidR="004140F4" w:rsidRPr="00D839EE" w:rsidP="00A760DD" w14:paraId="7F49399C" w14:textId="77777777">
            <w:pPr>
              <w:keepNext/>
              <w:autoSpaceDE/>
              <w:autoSpaceDN/>
              <w:adjustRightInd/>
              <w:jc w:val="right"/>
              <w:rPr>
                <w:rFonts w:cs="Arial"/>
                <w:color w:val="000000"/>
              </w:rPr>
            </w:pPr>
            <w:r w:rsidRPr="00D839EE">
              <w:rPr>
                <w:rFonts w:cs="Arial"/>
                <w:color w:val="000000"/>
              </w:rPr>
              <w:t>Preparing Updated FSAR</w:t>
            </w:r>
            <w:r>
              <w:rPr>
                <w:rFonts w:cs="Arial"/>
                <w:color w:val="000000"/>
              </w:rPr>
              <w:t>**</w:t>
            </w:r>
          </w:p>
        </w:tc>
        <w:tc>
          <w:tcPr>
            <w:tcW w:w="1184" w:type="dxa"/>
            <w:tcBorders>
              <w:top w:val="nil"/>
              <w:left w:val="nil"/>
              <w:bottom w:val="single" w:sz="4" w:space="0" w:color="auto"/>
              <w:right w:val="single" w:sz="4" w:space="0" w:color="auto"/>
            </w:tcBorders>
            <w:shd w:val="clear" w:color="auto" w:fill="auto"/>
            <w:noWrap/>
          </w:tcPr>
          <w:p w:rsidR="004140F4" w:rsidP="00A760DD" w14:paraId="7F49399D" w14:textId="77777777">
            <w:pPr>
              <w:keepNext/>
              <w:autoSpaceDE/>
              <w:autoSpaceDN/>
              <w:adjustRightInd/>
              <w:jc w:val="center"/>
            </w:pPr>
            <w:r>
              <w:t>($14,000)</w:t>
            </w:r>
          </w:p>
        </w:tc>
        <w:tc>
          <w:tcPr>
            <w:tcW w:w="1629" w:type="dxa"/>
            <w:tcBorders>
              <w:top w:val="nil"/>
              <w:left w:val="nil"/>
              <w:bottom w:val="single" w:sz="4" w:space="0" w:color="auto"/>
              <w:right w:val="single" w:sz="4" w:space="0" w:color="auto"/>
            </w:tcBorders>
            <w:shd w:val="clear" w:color="auto" w:fill="auto"/>
            <w:noWrap/>
          </w:tcPr>
          <w:p w:rsidR="004140F4" w:rsidP="00A760DD" w14:paraId="7F49399E" w14:textId="77777777">
            <w:pPr>
              <w:keepNext/>
              <w:autoSpaceDE/>
              <w:autoSpaceDN/>
              <w:adjustRightInd/>
              <w:jc w:val="center"/>
            </w:pPr>
            <w:r>
              <w:t>($21,000)</w:t>
            </w:r>
          </w:p>
        </w:tc>
        <w:tc>
          <w:tcPr>
            <w:tcW w:w="1629" w:type="dxa"/>
            <w:tcBorders>
              <w:top w:val="nil"/>
              <w:left w:val="nil"/>
              <w:bottom w:val="single" w:sz="4" w:space="0" w:color="auto"/>
              <w:right w:val="single" w:sz="4" w:space="0" w:color="auto"/>
            </w:tcBorders>
            <w:shd w:val="clear" w:color="auto" w:fill="auto"/>
            <w:noWrap/>
          </w:tcPr>
          <w:p w:rsidR="004140F4" w:rsidP="00A760DD" w14:paraId="7F49399F" w14:textId="77777777">
            <w:pPr>
              <w:keepNext/>
              <w:autoSpaceDE/>
              <w:autoSpaceDN/>
              <w:adjustRightInd/>
              <w:jc w:val="center"/>
            </w:pPr>
            <w:r>
              <w:t>($37,000)</w:t>
            </w:r>
          </w:p>
        </w:tc>
        <w:tc>
          <w:tcPr>
            <w:tcW w:w="1629" w:type="dxa"/>
            <w:tcBorders>
              <w:top w:val="nil"/>
              <w:left w:val="nil"/>
              <w:bottom w:val="single" w:sz="4" w:space="0" w:color="auto"/>
              <w:right w:val="single" w:sz="4" w:space="0" w:color="auto"/>
            </w:tcBorders>
            <w:shd w:val="clear" w:color="auto" w:fill="auto"/>
            <w:noWrap/>
          </w:tcPr>
          <w:p w:rsidR="004140F4" w:rsidP="00A760DD" w14:paraId="7F4939A0" w14:textId="77777777">
            <w:pPr>
              <w:keepNext/>
              <w:autoSpaceDE/>
              <w:autoSpaceDN/>
              <w:adjustRightInd/>
              <w:jc w:val="center"/>
            </w:pPr>
            <w:r>
              <w:t>($42,000)</w:t>
            </w:r>
          </w:p>
        </w:tc>
      </w:tr>
      <w:tr w14:paraId="7F4939A7" w14:textId="77777777" w:rsidTr="00D96410">
        <w:tblPrEx>
          <w:tblW w:w="10012" w:type="dxa"/>
          <w:jc w:val="center"/>
          <w:tblLook w:val="04A0"/>
        </w:tblPrEx>
        <w:trPr>
          <w:trHeight w:val="162"/>
          <w:jc w:val="center"/>
        </w:trPr>
        <w:tc>
          <w:tcPr>
            <w:tcW w:w="3941" w:type="dxa"/>
            <w:tcBorders>
              <w:top w:val="nil"/>
              <w:left w:val="single" w:sz="4" w:space="0" w:color="auto"/>
              <w:bottom w:val="single" w:sz="4" w:space="0" w:color="auto"/>
              <w:right w:val="single" w:sz="4" w:space="0" w:color="auto"/>
            </w:tcBorders>
            <w:shd w:val="clear" w:color="auto" w:fill="auto"/>
            <w:noWrap/>
            <w:vAlign w:val="center"/>
          </w:tcPr>
          <w:p w:rsidR="004140F4" w:rsidP="00A760DD" w14:paraId="7F4939A2" w14:textId="77777777">
            <w:pPr>
              <w:keepNext/>
              <w:autoSpaceDE/>
              <w:autoSpaceDN/>
              <w:adjustRightInd/>
              <w:jc w:val="right"/>
              <w:rPr>
                <w:rFonts w:cs="Arial"/>
                <w:color w:val="000000"/>
              </w:rPr>
            </w:pPr>
            <w:r>
              <w:rPr>
                <w:rFonts w:cs="Arial"/>
                <w:bCs/>
                <w:color w:val="000000"/>
              </w:rPr>
              <w:t>Preparing Subsequent FSAR Updates</w:t>
            </w:r>
            <w:r w:rsidRPr="00CA09D7">
              <w:rPr>
                <w:rFonts w:cs="Arial"/>
                <w:bCs/>
                <w:color w:val="000000"/>
              </w:rPr>
              <w:t>***</w:t>
            </w:r>
          </w:p>
        </w:tc>
        <w:tc>
          <w:tcPr>
            <w:tcW w:w="1184" w:type="dxa"/>
            <w:tcBorders>
              <w:top w:val="nil"/>
              <w:left w:val="nil"/>
              <w:bottom w:val="single" w:sz="4" w:space="0" w:color="auto"/>
              <w:right w:val="single" w:sz="4" w:space="0" w:color="auto"/>
            </w:tcBorders>
            <w:shd w:val="clear" w:color="auto" w:fill="auto"/>
            <w:noWrap/>
          </w:tcPr>
          <w:p w:rsidR="004140F4" w:rsidP="00A760DD" w14:paraId="7F4939A3" w14:textId="77777777">
            <w:pPr>
              <w:keepNext/>
              <w:autoSpaceDE/>
              <w:autoSpaceDN/>
              <w:adjustRightInd/>
              <w:jc w:val="center"/>
            </w:pPr>
            <w:r>
              <w:t>($3,500)</w:t>
            </w:r>
          </w:p>
        </w:tc>
        <w:tc>
          <w:tcPr>
            <w:tcW w:w="1629" w:type="dxa"/>
            <w:tcBorders>
              <w:top w:val="nil"/>
              <w:left w:val="nil"/>
              <w:bottom w:val="single" w:sz="4" w:space="0" w:color="auto"/>
              <w:right w:val="single" w:sz="4" w:space="0" w:color="auto"/>
            </w:tcBorders>
            <w:shd w:val="clear" w:color="auto" w:fill="auto"/>
            <w:noWrap/>
          </w:tcPr>
          <w:p w:rsidR="004140F4" w:rsidP="00A760DD" w14:paraId="7F4939A4" w14:textId="77777777">
            <w:pPr>
              <w:keepNext/>
              <w:autoSpaceDE/>
              <w:autoSpaceDN/>
              <w:adjustRightInd/>
              <w:jc w:val="center"/>
            </w:pPr>
            <w:r>
              <w:t>($5,200)</w:t>
            </w:r>
          </w:p>
        </w:tc>
        <w:tc>
          <w:tcPr>
            <w:tcW w:w="1629" w:type="dxa"/>
            <w:tcBorders>
              <w:top w:val="nil"/>
              <w:left w:val="nil"/>
              <w:bottom w:val="single" w:sz="4" w:space="0" w:color="auto"/>
              <w:right w:val="single" w:sz="4" w:space="0" w:color="auto"/>
            </w:tcBorders>
            <w:shd w:val="clear" w:color="auto" w:fill="auto"/>
            <w:noWrap/>
          </w:tcPr>
          <w:p w:rsidR="004140F4" w:rsidP="00A760DD" w14:paraId="7F4939A5" w14:textId="77777777">
            <w:pPr>
              <w:keepNext/>
              <w:autoSpaceDE/>
              <w:autoSpaceDN/>
              <w:adjustRightInd/>
              <w:jc w:val="center"/>
            </w:pPr>
            <w:r>
              <w:t>($9,300)</w:t>
            </w:r>
          </w:p>
        </w:tc>
        <w:tc>
          <w:tcPr>
            <w:tcW w:w="1629" w:type="dxa"/>
            <w:tcBorders>
              <w:top w:val="nil"/>
              <w:left w:val="nil"/>
              <w:bottom w:val="single" w:sz="4" w:space="0" w:color="auto"/>
              <w:right w:val="single" w:sz="4" w:space="0" w:color="auto"/>
            </w:tcBorders>
            <w:shd w:val="clear" w:color="auto" w:fill="auto"/>
            <w:noWrap/>
          </w:tcPr>
          <w:p w:rsidR="004140F4" w:rsidP="00A760DD" w14:paraId="7F4939A6" w14:textId="77777777">
            <w:pPr>
              <w:keepNext/>
              <w:autoSpaceDE/>
              <w:autoSpaceDN/>
              <w:adjustRightInd/>
              <w:jc w:val="center"/>
            </w:pPr>
            <w:r>
              <w:t>($11,000)</w:t>
            </w:r>
          </w:p>
        </w:tc>
      </w:tr>
    </w:tbl>
    <w:p w:rsidR="00BF5AC4" w:rsidRPr="00D839EE" w:rsidP="00450393" w14:paraId="7F4939A8" w14:textId="77777777">
      <w:pPr>
        <w:contextualSpacing/>
        <w:rPr>
          <w:rFonts w:cs="Arial"/>
          <w:sz w:val="18"/>
        </w:rPr>
      </w:pPr>
      <w:r>
        <w:rPr>
          <w:rFonts w:cs="Arial"/>
          <w:sz w:val="18"/>
        </w:rPr>
        <w:t>*</w:t>
      </w:r>
      <w:r w:rsidRPr="00D839EE">
        <w:rPr>
          <w:rFonts w:cs="Arial"/>
          <w:sz w:val="18"/>
        </w:rPr>
        <w:t xml:space="preserve"> Value</w:t>
      </w:r>
      <w:r>
        <w:rPr>
          <w:rFonts w:cs="Arial"/>
          <w:sz w:val="18"/>
        </w:rPr>
        <w:t>s presented</w:t>
      </w:r>
      <w:r w:rsidRPr="00D839EE">
        <w:rPr>
          <w:rFonts w:cs="Arial"/>
          <w:sz w:val="18"/>
        </w:rPr>
        <w:t xml:space="preserve"> </w:t>
      </w:r>
      <w:r>
        <w:rPr>
          <w:rFonts w:cs="Arial"/>
          <w:sz w:val="18"/>
        </w:rPr>
        <w:t>are</w:t>
      </w:r>
      <w:r w:rsidRPr="00D839EE">
        <w:rPr>
          <w:rFonts w:cs="Arial"/>
          <w:sz w:val="18"/>
        </w:rPr>
        <w:t xml:space="preserve"> </w:t>
      </w:r>
      <w:r w:rsidRPr="00D839EE">
        <w:rPr>
          <w:rFonts w:cs="Arial"/>
          <w:sz w:val="18"/>
        </w:rPr>
        <w:t xml:space="preserve">the </w:t>
      </w:r>
      <w:r>
        <w:rPr>
          <w:rFonts w:cs="Arial"/>
          <w:sz w:val="18"/>
        </w:rPr>
        <w:t>mean value</w:t>
      </w:r>
      <w:r w:rsidRPr="00D839EE">
        <w:rPr>
          <w:rFonts w:cs="Arial"/>
          <w:sz w:val="18"/>
        </w:rPr>
        <w:t xml:space="preserve"> </w:t>
      </w:r>
      <w:r w:rsidRPr="00D839EE">
        <w:rPr>
          <w:rFonts w:cs="Arial"/>
          <w:sz w:val="18"/>
        </w:rPr>
        <w:t xml:space="preserve">from the uncertainty analysis.  Section 3.6 and Appendix </w:t>
      </w:r>
      <w:r w:rsidR="00A002D2">
        <w:rPr>
          <w:rFonts w:cs="Arial"/>
          <w:sz w:val="18"/>
        </w:rPr>
        <w:t>A</w:t>
      </w:r>
      <w:r w:rsidRPr="00D839EE">
        <w:rPr>
          <w:rFonts w:cs="Arial"/>
          <w:sz w:val="18"/>
        </w:rPr>
        <w:t xml:space="preserve"> </w:t>
      </w:r>
      <w:r w:rsidR="00154121">
        <w:rPr>
          <w:rFonts w:cs="Arial"/>
          <w:sz w:val="18"/>
        </w:rPr>
        <w:t>provide</w:t>
      </w:r>
      <w:r w:rsidRPr="00D839EE">
        <w:rPr>
          <w:rFonts w:cs="Arial"/>
          <w:sz w:val="18"/>
        </w:rPr>
        <w:t xml:space="preserve"> more information.</w:t>
      </w:r>
    </w:p>
    <w:p w:rsidR="00D379A4" w:rsidRPr="00D839EE" w:rsidP="00D379A4" w14:paraId="7F4939A9" w14:textId="77777777">
      <w:pPr>
        <w:contextualSpacing/>
        <w:rPr>
          <w:rFonts w:cs="Arial"/>
          <w:sz w:val="18"/>
        </w:rPr>
      </w:pPr>
      <w:r>
        <w:rPr>
          <w:rFonts w:cs="Arial"/>
          <w:sz w:val="18"/>
        </w:rPr>
        <w:t>** The NRC does not anticipate RAIs associated with updated FSARs. Any questions or additional information queries are captured in the LOE or will be addressed by activities outside the scope of the rule.</w:t>
      </w:r>
      <w:r>
        <w:rPr>
          <w:rFonts w:cs="Arial"/>
          <w:sz w:val="18"/>
        </w:rPr>
        <w:t xml:space="preserve">  </w:t>
      </w:r>
      <w:r w:rsidRPr="00D839EE">
        <w:rPr>
          <w:rFonts w:cs="Arial"/>
          <w:sz w:val="18"/>
        </w:rPr>
        <w:t>Costs are per NPUF per FSAR update.</w:t>
      </w:r>
    </w:p>
    <w:p w:rsidR="00D379A4" w:rsidP="00D379A4" w14:paraId="7F4939AA" w14:textId="77777777">
      <w:pPr>
        <w:contextualSpacing/>
        <w:rPr>
          <w:rFonts w:cs="Arial"/>
          <w:sz w:val="18"/>
        </w:rPr>
      </w:pPr>
      <w:r>
        <w:rPr>
          <w:rFonts w:cs="Arial"/>
          <w:sz w:val="18"/>
        </w:rPr>
        <w:t>**</w:t>
      </w:r>
      <w:r w:rsidR="0071655A">
        <w:rPr>
          <w:rFonts w:cs="Arial"/>
          <w:sz w:val="18"/>
        </w:rPr>
        <w:t>*</w:t>
      </w:r>
      <w:r w:rsidRPr="00D379A4">
        <w:rPr>
          <w:rFonts w:cs="Arial"/>
          <w:sz w:val="18"/>
        </w:rPr>
        <w:t xml:space="preserve"> </w:t>
      </w:r>
      <w:r>
        <w:rPr>
          <w:rFonts w:cs="Arial"/>
          <w:sz w:val="18"/>
        </w:rPr>
        <w:t xml:space="preserve">The NRC does not anticipate RAIs associated with subsequent FSAR updates. Any questions or additional information queries are captured in the LOE or will be addressed by activities outside the scope of the rule.  </w:t>
      </w:r>
      <w:r w:rsidRPr="00D839EE">
        <w:rPr>
          <w:rFonts w:cs="Arial"/>
          <w:sz w:val="18"/>
        </w:rPr>
        <w:t>Costs are per NPUF per FSAR update.</w:t>
      </w:r>
    </w:p>
    <w:p w:rsidR="0070706D" w:rsidRPr="00D839EE" w:rsidP="00D379A4" w14:paraId="7F4939AB" w14:textId="77777777">
      <w:pPr>
        <w:contextualSpacing/>
        <w:rPr>
          <w:rFonts w:cs="Arial"/>
          <w:sz w:val="18"/>
        </w:rPr>
      </w:pPr>
    </w:p>
    <w:p w:rsidR="00BF5AC4" w:rsidP="00BF5AC4" w14:paraId="7F4939AC" w14:textId="4763E4E9">
      <w:pPr>
        <w:rPr>
          <w:rFonts w:cs="Arial"/>
          <w:sz w:val="22"/>
          <w:szCs w:val="22"/>
        </w:rPr>
      </w:pPr>
      <w:r w:rsidRPr="00CF41A7">
        <w:rPr>
          <w:rFonts w:cs="Arial"/>
          <w:sz w:val="22"/>
          <w:szCs w:val="22"/>
        </w:rPr>
        <w:fldChar w:fldCharType="begin"/>
      </w:r>
      <w:r w:rsidRPr="00CF41A7">
        <w:rPr>
          <w:rFonts w:cs="Arial"/>
          <w:sz w:val="22"/>
          <w:szCs w:val="22"/>
        </w:rPr>
        <w:instrText xml:space="preserve"> REF _Ref534035445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14</w:t>
      </w:r>
      <w:r w:rsidRPr="00CF41A7">
        <w:rPr>
          <w:rFonts w:cs="Arial"/>
          <w:sz w:val="22"/>
          <w:szCs w:val="22"/>
        </w:rPr>
        <w:fldChar w:fldCharType="end"/>
      </w:r>
      <w:r>
        <w:rPr>
          <w:rFonts w:cs="Arial"/>
          <w:sz w:val="22"/>
          <w:szCs w:val="22"/>
        </w:rPr>
        <w:t xml:space="preserve"> </w:t>
      </w:r>
      <w:r w:rsidRPr="00D839EE">
        <w:rPr>
          <w:rFonts w:cs="Arial"/>
          <w:sz w:val="22"/>
          <w:szCs w:val="22"/>
        </w:rPr>
        <w:t xml:space="preserve">presents the total </w:t>
      </w:r>
      <w:r w:rsidR="003D5DD6">
        <w:rPr>
          <w:rFonts w:cs="Arial"/>
          <w:sz w:val="22"/>
          <w:szCs w:val="22"/>
        </w:rPr>
        <w:t>licensee</w:t>
      </w:r>
      <w:r w:rsidRPr="00D839EE">
        <w:rPr>
          <w:rFonts w:cs="Arial"/>
          <w:sz w:val="22"/>
          <w:szCs w:val="22"/>
        </w:rPr>
        <w:t xml:space="preserve"> operation costs</w:t>
      </w:r>
      <w:r w:rsidR="004A41AC">
        <w:rPr>
          <w:rFonts w:cs="Arial"/>
          <w:sz w:val="22"/>
          <w:szCs w:val="22"/>
        </w:rPr>
        <w:t xml:space="preserve"> for Group 1 and Group 2</w:t>
      </w:r>
      <w:r w:rsidRPr="00D839EE">
        <w:rPr>
          <w:rFonts w:cs="Arial"/>
          <w:sz w:val="22"/>
          <w:szCs w:val="22"/>
        </w:rPr>
        <w:t>.  Over the course of the 20-year analysis period, four FSAR updates</w:t>
      </w:r>
      <w:r w:rsidR="00C139A4">
        <w:rPr>
          <w:rFonts w:cs="Arial"/>
          <w:sz w:val="22"/>
          <w:szCs w:val="22"/>
        </w:rPr>
        <w:t xml:space="preserve"> will occur</w:t>
      </w:r>
      <w:r w:rsidRPr="00D839EE">
        <w:rPr>
          <w:rFonts w:cs="Arial"/>
          <w:sz w:val="22"/>
          <w:szCs w:val="22"/>
        </w:rPr>
        <w:t xml:space="preserve"> (one every </w:t>
      </w:r>
      <w:r w:rsidR="00C139A4">
        <w:rPr>
          <w:rFonts w:cs="Arial"/>
          <w:sz w:val="22"/>
          <w:szCs w:val="22"/>
        </w:rPr>
        <w:t>5</w:t>
      </w:r>
      <w:r w:rsidRPr="00D839EE">
        <w:rPr>
          <w:rFonts w:cs="Arial"/>
          <w:sz w:val="22"/>
          <w:szCs w:val="22"/>
        </w:rPr>
        <w:t xml:space="preserve"> years)</w:t>
      </w:r>
      <w:r w:rsidRPr="00D839EE" w:rsidR="003C2A96">
        <w:rPr>
          <w:rFonts w:cs="Arial"/>
          <w:sz w:val="22"/>
          <w:szCs w:val="22"/>
        </w:rPr>
        <w:t xml:space="preserve"> consisting of one initial update and three subsequent updates</w:t>
      </w:r>
      <w:r w:rsidR="009157B4">
        <w:rPr>
          <w:rFonts w:cs="Arial"/>
          <w:sz w:val="22"/>
          <w:szCs w:val="22"/>
        </w:rPr>
        <w:t xml:space="preserve"> for licensees in </w:t>
      </w:r>
      <w:r w:rsidR="004A41AC">
        <w:rPr>
          <w:rFonts w:cs="Arial"/>
          <w:sz w:val="22"/>
          <w:szCs w:val="22"/>
        </w:rPr>
        <w:t>G</w:t>
      </w:r>
      <w:r w:rsidR="009157B4">
        <w:rPr>
          <w:rFonts w:cs="Arial"/>
          <w:sz w:val="22"/>
          <w:szCs w:val="22"/>
        </w:rPr>
        <w:t xml:space="preserve">roup 1 and </w:t>
      </w:r>
      <w:r w:rsidR="004A41AC">
        <w:rPr>
          <w:rFonts w:cs="Arial"/>
          <w:sz w:val="22"/>
          <w:szCs w:val="22"/>
        </w:rPr>
        <w:t xml:space="preserve">Group </w:t>
      </w:r>
      <w:r w:rsidR="009157B4">
        <w:rPr>
          <w:rFonts w:cs="Arial"/>
          <w:sz w:val="22"/>
          <w:szCs w:val="22"/>
        </w:rPr>
        <w:t>2</w:t>
      </w:r>
      <w:r w:rsidRPr="00D839EE">
        <w:rPr>
          <w:rFonts w:cs="Arial"/>
          <w:sz w:val="22"/>
          <w:szCs w:val="22"/>
        </w:rPr>
        <w:t xml:space="preserve">.  Therefore, the Undiscounted Total Operating Cost (row </w:t>
      </w:r>
      <w:r w:rsidRPr="00D839EE" w:rsidR="00DA3E12">
        <w:rPr>
          <w:rFonts w:cs="Arial"/>
          <w:sz w:val="22"/>
          <w:szCs w:val="22"/>
        </w:rPr>
        <w:t>F</w:t>
      </w:r>
      <w:r w:rsidRPr="00D839EE">
        <w:rPr>
          <w:rFonts w:cs="Arial"/>
          <w:sz w:val="22"/>
          <w:szCs w:val="22"/>
        </w:rPr>
        <w:t>) is equal to the</w:t>
      </w:r>
      <w:r w:rsidRPr="004E5ADD" w:rsidR="004E5ADD">
        <w:rPr>
          <w:rFonts w:cs="Arial"/>
          <w:sz w:val="22"/>
          <w:szCs w:val="22"/>
        </w:rPr>
        <w:t xml:space="preserve"> </w:t>
      </w:r>
      <w:r w:rsidR="00F944A4">
        <w:rPr>
          <w:rFonts w:cs="Arial"/>
          <w:sz w:val="22"/>
          <w:szCs w:val="22"/>
        </w:rPr>
        <w:t xml:space="preserve">Operation </w:t>
      </w:r>
      <w:r w:rsidRPr="00D839EE" w:rsidR="004E5ADD">
        <w:rPr>
          <w:rFonts w:cs="Arial"/>
          <w:sz w:val="22"/>
          <w:szCs w:val="22"/>
        </w:rPr>
        <w:t>Cost per</w:t>
      </w:r>
      <w:r w:rsidR="00F944A4">
        <w:rPr>
          <w:rFonts w:cs="Arial"/>
          <w:sz w:val="22"/>
          <w:szCs w:val="22"/>
        </w:rPr>
        <w:t xml:space="preserve"> Category per</w:t>
      </w:r>
      <w:r w:rsidRPr="00D839EE" w:rsidR="004E5ADD">
        <w:rPr>
          <w:rFonts w:cs="Arial"/>
          <w:sz w:val="22"/>
          <w:szCs w:val="22"/>
        </w:rPr>
        <w:t xml:space="preserve"> Initial FSAR Update (</w:t>
      </w:r>
      <w:r w:rsidR="004E5ADD">
        <w:rPr>
          <w:rFonts w:cs="Arial"/>
          <w:sz w:val="22"/>
          <w:szCs w:val="22"/>
        </w:rPr>
        <w:t xml:space="preserve">row </w:t>
      </w:r>
      <w:r w:rsidR="00C425D2">
        <w:rPr>
          <w:rFonts w:cs="Arial"/>
          <w:sz w:val="22"/>
          <w:szCs w:val="22"/>
        </w:rPr>
        <w:t>E</w:t>
      </w:r>
      <w:r w:rsidRPr="00D839EE" w:rsidR="004E5ADD">
        <w:rPr>
          <w:rFonts w:cs="Arial"/>
          <w:sz w:val="22"/>
          <w:szCs w:val="22"/>
        </w:rPr>
        <w:t>)</w:t>
      </w:r>
      <w:r w:rsidRPr="00D839EE">
        <w:rPr>
          <w:rFonts w:cs="Arial"/>
          <w:sz w:val="22"/>
          <w:szCs w:val="22"/>
        </w:rPr>
        <w:t xml:space="preserve"> </w:t>
      </w:r>
      <w:r w:rsidR="004E5ADD">
        <w:rPr>
          <w:rFonts w:cs="Arial"/>
          <w:sz w:val="22"/>
          <w:szCs w:val="22"/>
        </w:rPr>
        <w:t xml:space="preserve">plus three times the </w:t>
      </w:r>
      <w:r w:rsidR="00F944A4">
        <w:rPr>
          <w:rFonts w:cs="Arial"/>
          <w:sz w:val="22"/>
          <w:szCs w:val="22"/>
        </w:rPr>
        <w:t xml:space="preserve">Operation </w:t>
      </w:r>
      <w:r w:rsidRPr="00D839EE">
        <w:rPr>
          <w:rFonts w:cs="Arial"/>
          <w:sz w:val="22"/>
          <w:szCs w:val="22"/>
        </w:rPr>
        <w:t xml:space="preserve">Cost </w:t>
      </w:r>
      <w:r w:rsidR="00F944A4">
        <w:rPr>
          <w:rFonts w:cs="Arial"/>
          <w:sz w:val="22"/>
          <w:szCs w:val="22"/>
        </w:rPr>
        <w:t xml:space="preserve">per Category </w:t>
      </w:r>
      <w:r w:rsidRPr="00D839EE">
        <w:rPr>
          <w:rFonts w:cs="Arial"/>
          <w:sz w:val="22"/>
          <w:szCs w:val="22"/>
        </w:rPr>
        <w:t xml:space="preserve">per FSAR Update (row </w:t>
      </w:r>
      <w:r w:rsidR="00C425D2">
        <w:rPr>
          <w:rFonts w:cs="Arial"/>
          <w:sz w:val="22"/>
          <w:szCs w:val="22"/>
        </w:rPr>
        <w:t>D</w:t>
      </w:r>
      <w:r w:rsidRPr="00D839EE">
        <w:rPr>
          <w:rFonts w:cs="Arial"/>
          <w:sz w:val="22"/>
          <w:szCs w:val="22"/>
        </w:rPr>
        <w:t xml:space="preserve">) (for </w:t>
      </w:r>
      <w:r w:rsidRPr="00D839EE" w:rsidR="004C4880">
        <w:rPr>
          <w:rFonts w:cs="Arial"/>
          <w:sz w:val="22"/>
          <w:szCs w:val="22"/>
        </w:rPr>
        <w:t>three</w:t>
      </w:r>
      <w:r w:rsidRPr="00D839EE">
        <w:rPr>
          <w:rFonts w:cs="Arial"/>
          <w:sz w:val="22"/>
          <w:szCs w:val="22"/>
        </w:rPr>
        <w:t xml:space="preserve"> updates in 20 years).  These costs per category amount to a</w:t>
      </w:r>
      <w:r w:rsidR="00AF1B9E">
        <w:rPr>
          <w:rFonts w:cs="Arial"/>
          <w:sz w:val="22"/>
          <w:szCs w:val="22"/>
        </w:rPr>
        <w:t>n undiscounted</w:t>
      </w:r>
      <w:r w:rsidRPr="00D839EE">
        <w:rPr>
          <w:rFonts w:cs="Arial"/>
          <w:sz w:val="22"/>
          <w:szCs w:val="22"/>
        </w:rPr>
        <w:t xml:space="preserve"> total </w:t>
      </w:r>
      <w:r w:rsidR="00414C8F">
        <w:rPr>
          <w:rFonts w:cs="Arial"/>
          <w:sz w:val="22"/>
          <w:szCs w:val="22"/>
        </w:rPr>
        <w:t>licensee</w:t>
      </w:r>
      <w:r w:rsidRPr="00D839EE">
        <w:rPr>
          <w:rFonts w:cs="Arial"/>
          <w:sz w:val="22"/>
          <w:szCs w:val="22"/>
        </w:rPr>
        <w:t xml:space="preserve"> operation cost of </w:t>
      </w:r>
      <w:r w:rsidR="00BE1937">
        <w:rPr>
          <w:rFonts w:cs="Arial"/>
          <w:sz w:val="22"/>
          <w:szCs w:val="22"/>
        </w:rPr>
        <w:t>(</w:t>
      </w:r>
      <w:r w:rsidRPr="00D839EE">
        <w:rPr>
          <w:rFonts w:cs="Arial"/>
          <w:sz w:val="22"/>
          <w:szCs w:val="22"/>
        </w:rPr>
        <w:t>$</w:t>
      </w:r>
      <w:r w:rsidR="001D7747">
        <w:rPr>
          <w:rFonts w:cs="Arial"/>
          <w:sz w:val="22"/>
          <w:szCs w:val="22"/>
        </w:rPr>
        <w:t>980</w:t>
      </w:r>
      <w:r w:rsidR="00D62C91">
        <w:rPr>
          <w:rFonts w:cs="Arial"/>
          <w:sz w:val="22"/>
          <w:szCs w:val="22"/>
        </w:rPr>
        <w:t>,000</w:t>
      </w:r>
      <w:r w:rsidR="00BE1937">
        <w:rPr>
          <w:rFonts w:cs="Arial"/>
          <w:sz w:val="22"/>
          <w:szCs w:val="22"/>
        </w:rPr>
        <w:t>)</w:t>
      </w:r>
      <w:r w:rsidRPr="00D839EE">
        <w:rPr>
          <w:rFonts w:cs="Arial"/>
          <w:sz w:val="22"/>
          <w:szCs w:val="22"/>
        </w:rPr>
        <w:t xml:space="preserve"> (</w:t>
      </w:r>
      <w:r w:rsidR="00B91A63">
        <w:rPr>
          <w:rFonts w:cs="Arial"/>
          <w:sz w:val="22"/>
          <w:szCs w:val="22"/>
        </w:rPr>
        <w:t>(</w:t>
      </w:r>
      <w:r w:rsidRPr="00D839EE" w:rsidR="00B91A63">
        <w:rPr>
          <w:rFonts w:cs="Arial"/>
          <w:sz w:val="22"/>
          <w:szCs w:val="22"/>
        </w:rPr>
        <w:t>$</w:t>
      </w:r>
      <w:r w:rsidR="00B91A63">
        <w:rPr>
          <w:rFonts w:cs="Arial"/>
          <w:sz w:val="22"/>
          <w:szCs w:val="22"/>
        </w:rPr>
        <w:t>820</w:t>
      </w:r>
      <w:r w:rsidRPr="00D839EE" w:rsidR="00B91A63">
        <w:rPr>
          <w:rFonts w:cs="Arial"/>
          <w:sz w:val="22"/>
          <w:szCs w:val="22"/>
        </w:rPr>
        <w:t>,000</w:t>
      </w:r>
      <w:r w:rsidR="00B91A63">
        <w:rPr>
          <w:rFonts w:cs="Arial"/>
          <w:sz w:val="22"/>
          <w:szCs w:val="22"/>
        </w:rPr>
        <w:t>)</w:t>
      </w:r>
      <w:r w:rsidRPr="00D839EE" w:rsidR="00B91A63">
        <w:rPr>
          <w:rFonts w:cs="Arial"/>
          <w:sz w:val="22"/>
          <w:szCs w:val="22"/>
        </w:rPr>
        <w:t xml:space="preserve"> using a 3</w:t>
      </w:r>
      <w:r w:rsidR="003A7F24">
        <w:rPr>
          <w:rFonts w:cs="Arial"/>
          <w:sz w:val="22"/>
          <w:szCs w:val="22"/>
        </w:rPr>
        <w:noBreakHyphen/>
      </w:r>
      <w:r w:rsidRPr="00D839EE" w:rsidR="00B91A63">
        <w:rPr>
          <w:rFonts w:cs="Arial"/>
          <w:sz w:val="22"/>
          <w:szCs w:val="22"/>
        </w:rPr>
        <w:t>percent discount rate</w:t>
      </w:r>
      <w:r w:rsidR="00B91A63">
        <w:rPr>
          <w:rFonts w:cs="Arial"/>
          <w:sz w:val="22"/>
          <w:szCs w:val="22"/>
        </w:rPr>
        <w:t xml:space="preserve"> or </w:t>
      </w:r>
      <w:r w:rsidR="00BE1937">
        <w:rPr>
          <w:rFonts w:cs="Arial"/>
          <w:sz w:val="22"/>
          <w:szCs w:val="22"/>
        </w:rPr>
        <w:t>(</w:t>
      </w:r>
      <w:r w:rsidRPr="00D839EE">
        <w:rPr>
          <w:rFonts w:cs="Arial"/>
          <w:sz w:val="22"/>
          <w:szCs w:val="22"/>
        </w:rPr>
        <w:t>$</w:t>
      </w:r>
      <w:r w:rsidR="00A10272">
        <w:rPr>
          <w:rFonts w:cs="Arial"/>
          <w:sz w:val="22"/>
          <w:szCs w:val="22"/>
        </w:rPr>
        <w:t>660</w:t>
      </w:r>
      <w:r w:rsidRPr="00D839EE" w:rsidR="005B7CDC">
        <w:rPr>
          <w:rFonts w:cs="Arial"/>
          <w:sz w:val="22"/>
          <w:szCs w:val="22"/>
        </w:rPr>
        <w:t>,000</w:t>
      </w:r>
      <w:r w:rsidR="00BE1937">
        <w:rPr>
          <w:rFonts w:cs="Arial"/>
          <w:sz w:val="22"/>
          <w:szCs w:val="22"/>
        </w:rPr>
        <w:t>)</w:t>
      </w:r>
      <w:r w:rsidRPr="00D839EE">
        <w:rPr>
          <w:rFonts w:cs="Arial"/>
          <w:sz w:val="22"/>
          <w:szCs w:val="22"/>
        </w:rPr>
        <w:t xml:space="preserve"> using a 7</w:t>
      </w:r>
      <w:r w:rsidR="00F944A4">
        <w:rPr>
          <w:rFonts w:cs="Arial"/>
          <w:sz w:val="22"/>
          <w:szCs w:val="22"/>
        </w:rPr>
        <w:t>-</w:t>
      </w:r>
      <w:r w:rsidRPr="00D839EE">
        <w:rPr>
          <w:rFonts w:cs="Arial"/>
          <w:sz w:val="22"/>
          <w:szCs w:val="22"/>
        </w:rPr>
        <w:t>percent discount rate) over the 20-year analysis period.</w:t>
      </w:r>
    </w:p>
    <w:p w:rsidR="00007161" w:rsidRPr="00D839EE" w:rsidP="00BF5AC4" w14:paraId="7F4939AD" w14:textId="77777777">
      <w:pPr>
        <w:rPr>
          <w:rFonts w:cs="Arial"/>
          <w:sz w:val="22"/>
          <w:szCs w:val="22"/>
        </w:rPr>
      </w:pPr>
    </w:p>
    <w:p w:rsidR="00E064CA" w:rsidRPr="000F7FD1" w:rsidP="00AC71D8" w14:paraId="7F4939AE" w14:textId="76E98340">
      <w:pPr>
        <w:pStyle w:val="Caption"/>
        <w:keepNext/>
        <w:spacing w:after="0"/>
        <w:jc w:val="center"/>
        <w:rPr>
          <w:b/>
          <w:color w:val="auto"/>
        </w:rPr>
      </w:pPr>
      <w:bookmarkStart w:id="259" w:name="_Ref534035445"/>
      <w:bookmarkStart w:id="260" w:name="_Toc534037063"/>
      <w:bookmarkStart w:id="261" w:name="_Toc534710007"/>
      <w:bookmarkStart w:id="262" w:name="_Toc534711692"/>
      <w:bookmarkStart w:id="263" w:name="_Toc534712125"/>
      <w:bookmarkStart w:id="264" w:name="_Toc534712702"/>
      <w:bookmarkStart w:id="265" w:name="_Toc534713211"/>
      <w:bookmarkStart w:id="266" w:name="_Toc9526471"/>
      <w:bookmarkStart w:id="267" w:name="_Toc536603420"/>
      <w:r w:rsidRPr="000F7FD1">
        <w:rPr>
          <w:b/>
          <w:i w:val="0"/>
          <w:color w:val="auto"/>
          <w:sz w:val="22"/>
          <w:szCs w:val="22"/>
        </w:rPr>
        <w:t xml:space="preserve">Exhibit </w:t>
      </w:r>
      <w:r w:rsidRPr="000F7FD1" w:rsidR="00352F39">
        <w:rPr>
          <w:b/>
          <w:i w:val="0"/>
          <w:color w:val="auto"/>
          <w:sz w:val="22"/>
          <w:szCs w:val="22"/>
        </w:rPr>
        <w:t>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14</w:t>
      </w:r>
      <w:r w:rsidRPr="000F7FD1" w:rsidR="00C276FC">
        <w:rPr>
          <w:b/>
          <w:i w:val="0"/>
          <w:color w:val="auto"/>
          <w:sz w:val="22"/>
          <w:szCs w:val="22"/>
        </w:rPr>
        <w:fldChar w:fldCharType="end"/>
      </w:r>
      <w:bookmarkEnd w:id="259"/>
      <w:r w:rsidRPr="000F7FD1">
        <w:rPr>
          <w:b/>
          <w:i w:val="0"/>
          <w:color w:val="auto"/>
          <w:sz w:val="22"/>
          <w:szCs w:val="22"/>
        </w:rPr>
        <w:t>. Total Present Value Group 1 and Group 2 Entity Operation Costs (</w:t>
      </w:r>
      <w:r w:rsidRPr="000F7FD1" w:rsidR="009170F7">
        <w:rPr>
          <w:b/>
          <w:i w:val="0"/>
          <w:color w:val="auto"/>
          <w:sz w:val="22"/>
          <w:szCs w:val="22"/>
        </w:rPr>
        <w:t>2020$</w:t>
      </w:r>
      <w:r w:rsidRPr="000F7FD1">
        <w:rPr>
          <w:b/>
          <w:i w:val="0"/>
          <w:color w:val="auto"/>
          <w:sz w:val="22"/>
          <w:szCs w:val="22"/>
        </w:rPr>
        <w:t>)</w:t>
      </w:r>
      <w:bookmarkEnd w:id="260"/>
      <w:bookmarkEnd w:id="261"/>
      <w:bookmarkEnd w:id="262"/>
      <w:bookmarkEnd w:id="263"/>
      <w:bookmarkEnd w:id="264"/>
      <w:bookmarkEnd w:id="265"/>
      <w:bookmarkEnd w:id="266"/>
      <w:bookmarkEnd w:id="267"/>
    </w:p>
    <w:tbl>
      <w:tblPr>
        <w:tblStyle w:val="TableGrid"/>
        <w:tblW w:w="0" w:type="auto"/>
        <w:jc w:val="center"/>
        <w:tblLook w:val="04A0"/>
      </w:tblPr>
      <w:tblGrid>
        <w:gridCol w:w="3394"/>
        <w:gridCol w:w="1641"/>
        <w:gridCol w:w="1260"/>
        <w:gridCol w:w="1403"/>
        <w:gridCol w:w="1652"/>
      </w:tblGrid>
      <w:tr w14:paraId="7F4939B4" w14:textId="77777777" w:rsidTr="00346B95">
        <w:tblPrEx>
          <w:tblW w:w="0" w:type="auto"/>
          <w:jc w:val="center"/>
          <w:tblLook w:val="04A0"/>
        </w:tblPrEx>
        <w:trPr>
          <w:trHeight w:val="293"/>
          <w:jc w:val="center"/>
        </w:trPr>
        <w:tc>
          <w:tcPr>
            <w:tcW w:w="3394" w:type="dxa"/>
            <w:noWrap/>
            <w:hideMark/>
          </w:tcPr>
          <w:p w:rsidR="00CA71BA" w:rsidRPr="00CA71BA" w:rsidP="00CA71BA" w14:paraId="7F4939AF" w14:textId="77777777">
            <w:pPr>
              <w:keepNext/>
              <w:jc w:val="center"/>
              <w:rPr>
                <w:rFonts w:cs="Arial"/>
                <w:b/>
              </w:rPr>
            </w:pPr>
            <w:r w:rsidRPr="00CA71BA">
              <w:rPr>
                <w:rFonts w:cs="Arial"/>
                <w:b/>
              </w:rPr>
              <w:t> </w:t>
            </w:r>
            <w:r w:rsidR="00E14C35">
              <w:rPr>
                <w:rFonts w:cs="Arial"/>
                <w:b/>
              </w:rPr>
              <w:t>Component</w:t>
            </w:r>
          </w:p>
        </w:tc>
        <w:tc>
          <w:tcPr>
            <w:tcW w:w="1641" w:type="dxa"/>
          </w:tcPr>
          <w:p w:rsidR="00E14C35" w:rsidP="00CA71BA" w14:paraId="7F4939B0" w14:textId="77777777">
            <w:pPr>
              <w:keepNext/>
              <w:jc w:val="center"/>
              <w:rPr>
                <w:rFonts w:cs="Arial"/>
                <w:b/>
              </w:rPr>
            </w:pPr>
            <w:r>
              <w:rPr>
                <w:rFonts w:cs="Arial"/>
                <w:b/>
              </w:rPr>
              <w:t>Identifier</w:t>
            </w:r>
          </w:p>
        </w:tc>
        <w:tc>
          <w:tcPr>
            <w:tcW w:w="1260" w:type="dxa"/>
            <w:noWrap/>
            <w:hideMark/>
          </w:tcPr>
          <w:p w:rsidR="00CA71BA" w:rsidRPr="00CA71BA" w:rsidP="00CA71BA" w14:paraId="7F4939B1" w14:textId="77777777">
            <w:pPr>
              <w:keepNext/>
              <w:jc w:val="center"/>
              <w:rPr>
                <w:rFonts w:cs="Arial"/>
                <w:b/>
                <w:bCs/>
              </w:rPr>
            </w:pPr>
            <w:r w:rsidRPr="00CA71BA">
              <w:rPr>
                <w:rFonts w:cs="Arial"/>
                <w:b/>
                <w:bCs/>
              </w:rPr>
              <w:t>Low</w:t>
            </w:r>
          </w:p>
        </w:tc>
        <w:tc>
          <w:tcPr>
            <w:tcW w:w="1403" w:type="dxa"/>
            <w:noWrap/>
            <w:hideMark/>
          </w:tcPr>
          <w:p w:rsidR="00CA71BA" w:rsidRPr="00CA71BA" w:rsidP="00CA71BA" w14:paraId="7F4939B2" w14:textId="77777777">
            <w:pPr>
              <w:keepNext/>
              <w:jc w:val="center"/>
              <w:rPr>
                <w:rFonts w:cs="Arial"/>
                <w:b/>
                <w:bCs/>
              </w:rPr>
            </w:pPr>
            <w:r w:rsidRPr="00CA71BA">
              <w:rPr>
                <w:rFonts w:cs="Arial"/>
                <w:b/>
                <w:bCs/>
              </w:rPr>
              <w:t>Medium</w:t>
            </w:r>
          </w:p>
        </w:tc>
        <w:tc>
          <w:tcPr>
            <w:tcW w:w="1652" w:type="dxa"/>
            <w:noWrap/>
            <w:hideMark/>
          </w:tcPr>
          <w:p w:rsidR="00CA71BA" w:rsidRPr="00CA71BA" w:rsidP="00CA71BA" w14:paraId="7F4939B3" w14:textId="77777777">
            <w:pPr>
              <w:keepNext/>
              <w:jc w:val="center"/>
              <w:rPr>
                <w:rFonts w:cs="Arial"/>
                <w:b/>
                <w:bCs/>
              </w:rPr>
            </w:pPr>
            <w:r w:rsidRPr="00CA71BA">
              <w:rPr>
                <w:rFonts w:cs="Arial"/>
                <w:b/>
                <w:bCs/>
              </w:rPr>
              <w:t>High</w:t>
            </w:r>
          </w:p>
        </w:tc>
      </w:tr>
      <w:tr w14:paraId="7F4939BA" w14:textId="77777777" w:rsidTr="009244AE">
        <w:tblPrEx>
          <w:tblW w:w="0" w:type="auto"/>
          <w:jc w:val="center"/>
          <w:tblLook w:val="04A0"/>
        </w:tblPrEx>
        <w:trPr>
          <w:trHeight w:val="293"/>
          <w:jc w:val="center"/>
        </w:trPr>
        <w:tc>
          <w:tcPr>
            <w:tcW w:w="3394" w:type="dxa"/>
            <w:noWrap/>
            <w:hideMark/>
          </w:tcPr>
          <w:p w:rsidR="00CA71BA" w:rsidRPr="00CA71BA" w:rsidP="00CA71BA" w14:paraId="7F4939B5" w14:textId="77777777">
            <w:pPr>
              <w:keepNext/>
              <w:jc w:val="center"/>
              <w:rPr>
                <w:rFonts w:cs="Arial"/>
                <w:b/>
                <w:bCs/>
              </w:rPr>
            </w:pPr>
            <w:r w:rsidRPr="00CA71BA">
              <w:rPr>
                <w:rFonts w:cs="Arial"/>
                <w:b/>
                <w:bCs/>
              </w:rPr>
              <w:t>One</w:t>
            </w:r>
            <w:r w:rsidR="00AE5A1C">
              <w:rPr>
                <w:rFonts w:cs="Arial"/>
                <w:b/>
                <w:bCs/>
              </w:rPr>
              <w:t>-</w:t>
            </w:r>
            <w:r w:rsidRPr="00CA71BA">
              <w:rPr>
                <w:rFonts w:cs="Arial"/>
                <w:b/>
                <w:bCs/>
              </w:rPr>
              <w:t>Time FSAR Update Costs</w:t>
            </w:r>
          </w:p>
        </w:tc>
        <w:tc>
          <w:tcPr>
            <w:tcW w:w="1641" w:type="dxa"/>
            <w:noWrap/>
            <w:vAlign w:val="center"/>
            <w:hideMark/>
          </w:tcPr>
          <w:p w:rsidR="00CA71BA" w:rsidRPr="00CA71BA" w:rsidP="006F18B2" w14:paraId="7F4939B6" w14:textId="77777777">
            <w:pPr>
              <w:keepNext/>
              <w:jc w:val="center"/>
              <w:rPr>
                <w:rFonts w:cs="Arial"/>
                <w:b/>
                <w:bCs/>
              </w:rPr>
            </w:pPr>
            <w:r w:rsidRPr="00CA71BA">
              <w:rPr>
                <w:rFonts w:cs="Arial"/>
                <w:b/>
                <w:bCs/>
              </w:rPr>
              <w:t>A</w:t>
            </w:r>
          </w:p>
        </w:tc>
        <w:tc>
          <w:tcPr>
            <w:tcW w:w="1260" w:type="dxa"/>
            <w:noWrap/>
            <w:vAlign w:val="center"/>
            <w:hideMark/>
          </w:tcPr>
          <w:p w:rsidR="00CA71BA" w:rsidRPr="005F6062" w:rsidP="00574961" w14:paraId="7F4939B7" w14:textId="77777777">
            <w:pPr>
              <w:keepNext/>
              <w:jc w:val="center"/>
              <w:rPr>
                <w:rFonts w:cs="Arial"/>
              </w:rPr>
            </w:pPr>
            <w:r>
              <w:rPr>
                <w:rFonts w:cs="Arial"/>
              </w:rPr>
              <w:t>(</w:t>
            </w:r>
            <w:r w:rsidRPr="005F6062">
              <w:rPr>
                <w:rFonts w:cs="Arial"/>
              </w:rPr>
              <w:t>$</w:t>
            </w:r>
            <w:r w:rsidR="00E42130">
              <w:rPr>
                <w:rFonts w:cs="Arial"/>
              </w:rPr>
              <w:t>14,000</w:t>
            </w:r>
            <w:r>
              <w:rPr>
                <w:rFonts w:cs="Arial"/>
              </w:rPr>
              <w:t>)</w:t>
            </w:r>
          </w:p>
        </w:tc>
        <w:tc>
          <w:tcPr>
            <w:tcW w:w="1403" w:type="dxa"/>
            <w:noWrap/>
            <w:vAlign w:val="center"/>
            <w:hideMark/>
          </w:tcPr>
          <w:p w:rsidR="00CA71BA" w:rsidRPr="005F6062" w:rsidP="000D562F" w14:paraId="7F4939B8" w14:textId="77777777">
            <w:pPr>
              <w:keepNext/>
              <w:jc w:val="center"/>
              <w:rPr>
                <w:rFonts w:cs="Arial"/>
              </w:rPr>
            </w:pPr>
            <w:r>
              <w:rPr>
                <w:rFonts w:cs="Arial"/>
              </w:rPr>
              <w:t>(</w:t>
            </w:r>
            <w:r w:rsidRPr="005F6062">
              <w:rPr>
                <w:rFonts w:cs="Arial"/>
              </w:rPr>
              <w:t>$</w:t>
            </w:r>
            <w:r w:rsidR="00C67905">
              <w:rPr>
                <w:rFonts w:cs="Arial"/>
              </w:rPr>
              <w:t>21</w:t>
            </w:r>
            <w:r w:rsidRPr="005F6062">
              <w:rPr>
                <w:rFonts w:cs="Arial"/>
              </w:rPr>
              <w:t>,000</w:t>
            </w:r>
            <w:r>
              <w:rPr>
                <w:rFonts w:cs="Arial"/>
              </w:rPr>
              <w:t>)</w:t>
            </w:r>
          </w:p>
        </w:tc>
        <w:tc>
          <w:tcPr>
            <w:tcW w:w="1652" w:type="dxa"/>
            <w:noWrap/>
            <w:vAlign w:val="center"/>
            <w:hideMark/>
          </w:tcPr>
          <w:p w:rsidR="00CA71BA" w:rsidRPr="005F6062" w:rsidP="005F6062" w14:paraId="7F4939B9" w14:textId="77777777">
            <w:pPr>
              <w:keepNext/>
              <w:jc w:val="center"/>
              <w:rPr>
                <w:rFonts w:cs="Arial"/>
              </w:rPr>
            </w:pPr>
            <w:r>
              <w:rPr>
                <w:rFonts w:cs="Arial"/>
              </w:rPr>
              <w:t>(</w:t>
            </w:r>
            <w:r w:rsidRPr="005F6062">
              <w:rPr>
                <w:rFonts w:cs="Arial"/>
              </w:rPr>
              <w:t>$</w:t>
            </w:r>
            <w:r w:rsidR="00C67905">
              <w:rPr>
                <w:rFonts w:cs="Arial"/>
              </w:rPr>
              <w:t>37</w:t>
            </w:r>
            <w:r w:rsidRPr="005F6062">
              <w:rPr>
                <w:rFonts w:cs="Arial"/>
              </w:rPr>
              <w:t>,000</w:t>
            </w:r>
            <w:r>
              <w:rPr>
                <w:rFonts w:cs="Arial"/>
              </w:rPr>
              <w:t>)</w:t>
            </w:r>
          </w:p>
        </w:tc>
      </w:tr>
      <w:tr w14:paraId="7F4939C0" w14:textId="77777777" w:rsidTr="009244AE">
        <w:tblPrEx>
          <w:tblW w:w="0" w:type="auto"/>
          <w:jc w:val="center"/>
          <w:tblLook w:val="04A0"/>
        </w:tblPrEx>
        <w:trPr>
          <w:trHeight w:val="285"/>
          <w:jc w:val="center"/>
        </w:trPr>
        <w:tc>
          <w:tcPr>
            <w:tcW w:w="3394" w:type="dxa"/>
            <w:noWrap/>
            <w:hideMark/>
          </w:tcPr>
          <w:p w:rsidR="00CA71BA" w:rsidRPr="00CA71BA" w:rsidP="00CA71BA" w14:paraId="7F4939BB" w14:textId="77777777">
            <w:pPr>
              <w:keepNext/>
              <w:jc w:val="center"/>
              <w:rPr>
                <w:rFonts w:cs="Arial"/>
                <w:b/>
                <w:bCs/>
              </w:rPr>
            </w:pPr>
            <w:r w:rsidRPr="00CA71BA">
              <w:rPr>
                <w:rFonts w:cs="Arial"/>
                <w:b/>
                <w:bCs/>
              </w:rPr>
              <w:t>Operation Cost per FSAR Update</w:t>
            </w:r>
          </w:p>
        </w:tc>
        <w:tc>
          <w:tcPr>
            <w:tcW w:w="1641" w:type="dxa"/>
            <w:noWrap/>
            <w:vAlign w:val="center"/>
            <w:hideMark/>
          </w:tcPr>
          <w:p w:rsidR="00CA71BA" w:rsidRPr="00CA71BA" w:rsidP="006F18B2" w14:paraId="7F4939BC" w14:textId="77777777">
            <w:pPr>
              <w:keepNext/>
              <w:jc w:val="center"/>
              <w:rPr>
                <w:rFonts w:cs="Arial"/>
                <w:b/>
                <w:bCs/>
              </w:rPr>
            </w:pPr>
            <w:r w:rsidRPr="00CA71BA">
              <w:rPr>
                <w:rFonts w:cs="Arial"/>
                <w:b/>
                <w:bCs/>
              </w:rPr>
              <w:t>B</w:t>
            </w:r>
          </w:p>
        </w:tc>
        <w:tc>
          <w:tcPr>
            <w:tcW w:w="1260" w:type="dxa"/>
            <w:noWrap/>
            <w:vAlign w:val="center"/>
            <w:hideMark/>
          </w:tcPr>
          <w:p w:rsidR="00CA71BA" w:rsidRPr="005F6062" w:rsidP="00574961" w14:paraId="7F4939BD" w14:textId="77777777">
            <w:pPr>
              <w:keepNext/>
              <w:jc w:val="center"/>
              <w:rPr>
                <w:rFonts w:cs="Arial"/>
              </w:rPr>
            </w:pPr>
            <w:r>
              <w:rPr>
                <w:rFonts w:cs="Arial"/>
              </w:rPr>
              <w:t>(</w:t>
            </w:r>
            <w:r w:rsidRPr="005F6062">
              <w:rPr>
                <w:rFonts w:cs="Arial"/>
              </w:rPr>
              <w:t>$</w:t>
            </w:r>
            <w:r w:rsidR="00C67905">
              <w:rPr>
                <w:rFonts w:cs="Arial"/>
              </w:rPr>
              <w:t>3</w:t>
            </w:r>
            <w:r w:rsidRPr="005F6062">
              <w:rPr>
                <w:rFonts w:cs="Arial"/>
              </w:rPr>
              <w:t>,</w:t>
            </w:r>
            <w:r w:rsidR="00C67905">
              <w:rPr>
                <w:rFonts w:cs="Arial"/>
              </w:rPr>
              <w:t>5</w:t>
            </w:r>
            <w:r w:rsidRPr="005F6062" w:rsidR="00C67905">
              <w:rPr>
                <w:rFonts w:cs="Arial"/>
              </w:rPr>
              <w:t>00</w:t>
            </w:r>
            <w:r>
              <w:rPr>
                <w:rFonts w:cs="Arial"/>
              </w:rPr>
              <w:t>)</w:t>
            </w:r>
          </w:p>
        </w:tc>
        <w:tc>
          <w:tcPr>
            <w:tcW w:w="1403" w:type="dxa"/>
            <w:noWrap/>
            <w:vAlign w:val="center"/>
            <w:hideMark/>
          </w:tcPr>
          <w:p w:rsidR="00CA71BA" w:rsidRPr="005F6062" w:rsidP="000D562F" w14:paraId="7F4939BE" w14:textId="77777777">
            <w:pPr>
              <w:keepNext/>
              <w:jc w:val="center"/>
              <w:rPr>
                <w:rFonts w:cs="Arial"/>
              </w:rPr>
            </w:pPr>
            <w:r>
              <w:rPr>
                <w:rFonts w:cs="Arial"/>
              </w:rPr>
              <w:t>(</w:t>
            </w:r>
            <w:r w:rsidRPr="005F6062">
              <w:rPr>
                <w:rFonts w:cs="Arial"/>
              </w:rPr>
              <w:t>$</w:t>
            </w:r>
            <w:r w:rsidR="00D171DF">
              <w:rPr>
                <w:rFonts w:cs="Arial"/>
              </w:rPr>
              <w:t>5</w:t>
            </w:r>
            <w:r w:rsidRPr="005F6062">
              <w:rPr>
                <w:rFonts w:cs="Arial"/>
              </w:rPr>
              <w:t>,</w:t>
            </w:r>
            <w:r w:rsidR="00D171DF">
              <w:rPr>
                <w:rFonts w:cs="Arial"/>
              </w:rPr>
              <w:t>2</w:t>
            </w:r>
            <w:r w:rsidRPr="005F6062" w:rsidR="00D171DF">
              <w:rPr>
                <w:rFonts w:cs="Arial"/>
              </w:rPr>
              <w:t>00</w:t>
            </w:r>
            <w:r>
              <w:rPr>
                <w:rFonts w:cs="Arial"/>
              </w:rPr>
              <w:t>)</w:t>
            </w:r>
          </w:p>
        </w:tc>
        <w:tc>
          <w:tcPr>
            <w:tcW w:w="1652" w:type="dxa"/>
            <w:noWrap/>
            <w:vAlign w:val="center"/>
            <w:hideMark/>
          </w:tcPr>
          <w:p w:rsidR="00CA71BA" w:rsidRPr="005F6062" w:rsidP="005F6062" w14:paraId="7F4939BF" w14:textId="77777777">
            <w:pPr>
              <w:keepNext/>
              <w:jc w:val="center"/>
              <w:rPr>
                <w:rFonts w:cs="Arial"/>
              </w:rPr>
            </w:pPr>
            <w:r>
              <w:rPr>
                <w:rFonts w:cs="Arial"/>
              </w:rPr>
              <w:t>(</w:t>
            </w:r>
            <w:r w:rsidRPr="005F6062">
              <w:rPr>
                <w:rFonts w:cs="Arial"/>
              </w:rPr>
              <w:t>$</w:t>
            </w:r>
            <w:r w:rsidR="00D171DF">
              <w:rPr>
                <w:rFonts w:cs="Arial"/>
              </w:rPr>
              <w:t>9</w:t>
            </w:r>
            <w:r w:rsidRPr="005F6062">
              <w:rPr>
                <w:rFonts w:cs="Arial"/>
              </w:rPr>
              <w:t>,</w:t>
            </w:r>
            <w:r w:rsidR="00D171DF">
              <w:rPr>
                <w:rFonts w:cs="Arial"/>
              </w:rPr>
              <w:t>3</w:t>
            </w:r>
            <w:r w:rsidRPr="005F6062" w:rsidR="00D171DF">
              <w:rPr>
                <w:rFonts w:cs="Arial"/>
              </w:rPr>
              <w:t>00</w:t>
            </w:r>
            <w:r>
              <w:rPr>
                <w:rFonts w:cs="Arial"/>
              </w:rPr>
              <w:t>)</w:t>
            </w:r>
          </w:p>
        </w:tc>
      </w:tr>
      <w:tr w14:paraId="7F4939C6" w14:textId="77777777" w:rsidTr="009244AE">
        <w:tblPrEx>
          <w:tblW w:w="0" w:type="auto"/>
          <w:jc w:val="center"/>
          <w:tblLook w:val="04A0"/>
        </w:tblPrEx>
        <w:trPr>
          <w:trHeight w:val="293"/>
          <w:jc w:val="center"/>
        </w:trPr>
        <w:tc>
          <w:tcPr>
            <w:tcW w:w="3394" w:type="dxa"/>
            <w:noWrap/>
            <w:hideMark/>
          </w:tcPr>
          <w:p w:rsidR="00CA71BA" w:rsidRPr="00CA71BA" w:rsidP="00CA71BA" w14:paraId="7F4939C1" w14:textId="77777777">
            <w:pPr>
              <w:keepNext/>
              <w:jc w:val="center"/>
              <w:rPr>
                <w:rFonts w:cs="Arial"/>
                <w:b/>
                <w:bCs/>
              </w:rPr>
            </w:pPr>
            <w:r w:rsidRPr="00CA71BA">
              <w:rPr>
                <w:rFonts w:cs="Arial"/>
                <w:b/>
                <w:bCs/>
              </w:rPr>
              <w:t>Number of Licensees</w:t>
            </w:r>
            <w:r w:rsidR="00AB2749">
              <w:rPr>
                <w:rFonts w:cs="Arial"/>
                <w:b/>
                <w:bCs/>
              </w:rPr>
              <w:t>*</w:t>
            </w:r>
          </w:p>
        </w:tc>
        <w:tc>
          <w:tcPr>
            <w:tcW w:w="1641" w:type="dxa"/>
            <w:noWrap/>
            <w:vAlign w:val="center"/>
            <w:hideMark/>
          </w:tcPr>
          <w:p w:rsidR="00CA71BA" w:rsidRPr="00CA71BA" w:rsidP="006F18B2" w14:paraId="7F4939C2" w14:textId="77777777">
            <w:pPr>
              <w:keepNext/>
              <w:jc w:val="center"/>
              <w:rPr>
                <w:rFonts w:cs="Arial"/>
                <w:b/>
                <w:bCs/>
              </w:rPr>
            </w:pPr>
            <w:r w:rsidRPr="00CA71BA">
              <w:rPr>
                <w:rFonts w:cs="Arial"/>
                <w:b/>
                <w:bCs/>
              </w:rPr>
              <w:t>C</w:t>
            </w:r>
          </w:p>
        </w:tc>
        <w:tc>
          <w:tcPr>
            <w:tcW w:w="1260" w:type="dxa"/>
            <w:noWrap/>
            <w:vAlign w:val="center"/>
            <w:hideMark/>
          </w:tcPr>
          <w:p w:rsidR="00CA71BA" w:rsidRPr="005F6062" w:rsidP="00574961" w14:paraId="7F4939C3" w14:textId="77777777">
            <w:pPr>
              <w:keepNext/>
              <w:jc w:val="center"/>
              <w:rPr>
                <w:rFonts w:cs="Arial"/>
              </w:rPr>
            </w:pPr>
            <w:r w:rsidRPr="005F6062">
              <w:rPr>
                <w:rFonts w:cs="Arial"/>
              </w:rPr>
              <w:t>4</w:t>
            </w:r>
          </w:p>
        </w:tc>
        <w:tc>
          <w:tcPr>
            <w:tcW w:w="1403" w:type="dxa"/>
            <w:noWrap/>
            <w:vAlign w:val="center"/>
            <w:hideMark/>
          </w:tcPr>
          <w:p w:rsidR="00CA71BA" w:rsidRPr="005F6062" w:rsidP="000D562F" w14:paraId="7F4939C4" w14:textId="77777777">
            <w:pPr>
              <w:keepNext/>
              <w:jc w:val="center"/>
              <w:rPr>
                <w:rFonts w:cs="Arial"/>
              </w:rPr>
            </w:pPr>
            <w:r w:rsidRPr="005F6062">
              <w:rPr>
                <w:rFonts w:cs="Arial"/>
              </w:rPr>
              <w:t>19</w:t>
            </w:r>
          </w:p>
        </w:tc>
        <w:tc>
          <w:tcPr>
            <w:tcW w:w="1652" w:type="dxa"/>
            <w:noWrap/>
            <w:vAlign w:val="center"/>
            <w:hideMark/>
          </w:tcPr>
          <w:p w:rsidR="00CA71BA" w:rsidRPr="005F6062" w:rsidP="000D562F" w14:paraId="7F4939C5" w14:textId="77777777">
            <w:pPr>
              <w:keepNext/>
              <w:jc w:val="center"/>
              <w:rPr>
                <w:rFonts w:cs="Arial"/>
              </w:rPr>
            </w:pPr>
            <w:r w:rsidRPr="005F6062">
              <w:rPr>
                <w:rFonts w:cs="Arial"/>
              </w:rPr>
              <w:t>3</w:t>
            </w:r>
          </w:p>
        </w:tc>
      </w:tr>
      <w:tr w14:paraId="7F4939CC" w14:textId="77777777" w:rsidTr="009244AE">
        <w:tblPrEx>
          <w:tblW w:w="0" w:type="auto"/>
          <w:jc w:val="center"/>
          <w:tblLook w:val="04A0"/>
        </w:tblPrEx>
        <w:trPr>
          <w:trHeight w:val="285"/>
          <w:jc w:val="center"/>
        </w:trPr>
        <w:tc>
          <w:tcPr>
            <w:tcW w:w="3394" w:type="dxa"/>
            <w:noWrap/>
            <w:hideMark/>
          </w:tcPr>
          <w:p w:rsidR="00CA71BA" w:rsidRPr="00CA71BA" w:rsidP="00CA71BA" w14:paraId="7F4939C7" w14:textId="77777777">
            <w:pPr>
              <w:keepNext/>
              <w:jc w:val="center"/>
              <w:rPr>
                <w:rFonts w:cs="Arial"/>
                <w:b/>
                <w:bCs/>
              </w:rPr>
            </w:pPr>
            <w:r w:rsidRPr="00CA71BA">
              <w:rPr>
                <w:rFonts w:cs="Arial"/>
                <w:b/>
                <w:bCs/>
              </w:rPr>
              <w:t>Operation Cost per Category per FSAR Update</w:t>
            </w:r>
            <w:r w:rsidR="00AB2749">
              <w:rPr>
                <w:rFonts w:cs="Arial"/>
                <w:b/>
                <w:bCs/>
              </w:rPr>
              <w:t>**</w:t>
            </w:r>
          </w:p>
        </w:tc>
        <w:tc>
          <w:tcPr>
            <w:tcW w:w="1641" w:type="dxa"/>
            <w:noWrap/>
            <w:vAlign w:val="center"/>
            <w:hideMark/>
          </w:tcPr>
          <w:p w:rsidR="00CA71BA" w:rsidRPr="00CA71BA" w:rsidP="006F18B2" w14:paraId="7F4939C8" w14:textId="77777777">
            <w:pPr>
              <w:keepNext/>
              <w:jc w:val="center"/>
              <w:rPr>
                <w:rFonts w:cs="Arial"/>
                <w:b/>
                <w:bCs/>
              </w:rPr>
            </w:pPr>
            <w:r w:rsidRPr="00CA71BA">
              <w:rPr>
                <w:rFonts w:cs="Arial"/>
                <w:b/>
                <w:bCs/>
              </w:rPr>
              <w:t>D</w:t>
            </w:r>
            <w:r w:rsidR="00221F18">
              <w:rPr>
                <w:rFonts w:cs="Arial"/>
                <w:b/>
                <w:bCs/>
              </w:rPr>
              <w:t xml:space="preserve"> </w:t>
            </w:r>
            <w:r w:rsidRPr="00CA71BA">
              <w:rPr>
                <w:rFonts w:cs="Arial"/>
                <w:b/>
                <w:bCs/>
              </w:rPr>
              <w:t>= B x C</w:t>
            </w:r>
          </w:p>
        </w:tc>
        <w:tc>
          <w:tcPr>
            <w:tcW w:w="1260" w:type="dxa"/>
            <w:noWrap/>
            <w:vAlign w:val="center"/>
            <w:hideMark/>
          </w:tcPr>
          <w:p w:rsidR="00CA71BA" w:rsidRPr="005F6062" w:rsidP="00574961" w14:paraId="7F4939C9" w14:textId="77777777">
            <w:pPr>
              <w:keepNext/>
              <w:jc w:val="center"/>
              <w:rPr>
                <w:rFonts w:cs="Arial"/>
              </w:rPr>
            </w:pPr>
            <w:r>
              <w:rPr>
                <w:rFonts w:cs="Arial"/>
              </w:rPr>
              <w:t>(</w:t>
            </w:r>
            <w:r w:rsidRPr="005F6062">
              <w:rPr>
                <w:rFonts w:cs="Arial"/>
              </w:rPr>
              <w:t>$</w:t>
            </w:r>
            <w:r w:rsidR="00D171DF">
              <w:rPr>
                <w:rFonts w:cs="Arial"/>
              </w:rPr>
              <w:t>14</w:t>
            </w:r>
            <w:r w:rsidRPr="005F6062">
              <w:rPr>
                <w:rFonts w:cs="Arial"/>
              </w:rPr>
              <w:t>,000</w:t>
            </w:r>
            <w:r>
              <w:rPr>
                <w:rFonts w:cs="Arial"/>
              </w:rPr>
              <w:t>)</w:t>
            </w:r>
          </w:p>
        </w:tc>
        <w:tc>
          <w:tcPr>
            <w:tcW w:w="1403" w:type="dxa"/>
            <w:noWrap/>
            <w:vAlign w:val="center"/>
            <w:hideMark/>
          </w:tcPr>
          <w:p w:rsidR="00CA71BA" w:rsidRPr="005F6062" w:rsidP="000D562F" w14:paraId="7F4939CA" w14:textId="77777777">
            <w:pPr>
              <w:keepNext/>
              <w:jc w:val="center"/>
              <w:rPr>
                <w:rFonts w:cs="Arial"/>
              </w:rPr>
            </w:pPr>
            <w:r>
              <w:rPr>
                <w:rFonts w:cs="Arial"/>
              </w:rPr>
              <w:t>(</w:t>
            </w:r>
            <w:r w:rsidRPr="005F6062">
              <w:rPr>
                <w:rFonts w:cs="Arial"/>
              </w:rPr>
              <w:t>$</w:t>
            </w:r>
            <w:r w:rsidR="00D171DF">
              <w:rPr>
                <w:rFonts w:cs="Arial"/>
              </w:rPr>
              <w:t>99</w:t>
            </w:r>
            <w:r w:rsidRPr="005F6062">
              <w:rPr>
                <w:rFonts w:cs="Arial"/>
              </w:rPr>
              <w:t>,000</w:t>
            </w:r>
            <w:r>
              <w:rPr>
                <w:rFonts w:cs="Arial"/>
              </w:rPr>
              <w:t>)</w:t>
            </w:r>
          </w:p>
        </w:tc>
        <w:tc>
          <w:tcPr>
            <w:tcW w:w="1652" w:type="dxa"/>
            <w:noWrap/>
            <w:vAlign w:val="center"/>
            <w:hideMark/>
          </w:tcPr>
          <w:p w:rsidR="00CA71BA" w:rsidRPr="005F6062" w:rsidP="005F6062" w14:paraId="7F4939CB" w14:textId="77777777">
            <w:pPr>
              <w:keepNext/>
              <w:jc w:val="center"/>
              <w:rPr>
                <w:rFonts w:cs="Arial"/>
              </w:rPr>
            </w:pPr>
            <w:r>
              <w:rPr>
                <w:rFonts w:cs="Arial"/>
              </w:rPr>
              <w:t>(</w:t>
            </w:r>
            <w:r w:rsidRPr="005F6062">
              <w:rPr>
                <w:rFonts w:cs="Arial"/>
              </w:rPr>
              <w:t>$</w:t>
            </w:r>
            <w:r w:rsidR="00D171DF">
              <w:rPr>
                <w:rFonts w:cs="Arial"/>
              </w:rPr>
              <w:t>28</w:t>
            </w:r>
            <w:r w:rsidRPr="005F6062">
              <w:rPr>
                <w:rFonts w:cs="Arial"/>
              </w:rPr>
              <w:t>,000</w:t>
            </w:r>
            <w:r>
              <w:rPr>
                <w:rFonts w:cs="Arial"/>
              </w:rPr>
              <w:t>)</w:t>
            </w:r>
          </w:p>
        </w:tc>
      </w:tr>
      <w:tr w14:paraId="7F4939D2" w14:textId="77777777" w:rsidTr="009244AE">
        <w:tblPrEx>
          <w:tblW w:w="0" w:type="auto"/>
          <w:jc w:val="center"/>
          <w:tblLook w:val="04A0"/>
        </w:tblPrEx>
        <w:trPr>
          <w:trHeight w:val="285"/>
          <w:jc w:val="center"/>
        </w:trPr>
        <w:tc>
          <w:tcPr>
            <w:tcW w:w="3394" w:type="dxa"/>
            <w:noWrap/>
            <w:hideMark/>
          </w:tcPr>
          <w:p w:rsidR="00CA71BA" w:rsidRPr="00CA71BA" w:rsidP="00CA71BA" w14:paraId="7F4939CD" w14:textId="77777777">
            <w:pPr>
              <w:keepNext/>
              <w:jc w:val="center"/>
              <w:rPr>
                <w:rFonts w:cs="Arial"/>
                <w:b/>
                <w:bCs/>
              </w:rPr>
            </w:pPr>
            <w:r w:rsidRPr="00CA71BA">
              <w:rPr>
                <w:rFonts w:cs="Arial"/>
                <w:b/>
                <w:bCs/>
              </w:rPr>
              <w:t>Operation Cost per Category per Initial FSAR Update</w:t>
            </w:r>
            <w:r w:rsidR="00AB2749">
              <w:rPr>
                <w:rFonts w:cs="Arial"/>
                <w:b/>
                <w:bCs/>
              </w:rPr>
              <w:t>***</w:t>
            </w:r>
          </w:p>
        </w:tc>
        <w:tc>
          <w:tcPr>
            <w:tcW w:w="1641" w:type="dxa"/>
            <w:noWrap/>
            <w:vAlign w:val="center"/>
            <w:hideMark/>
          </w:tcPr>
          <w:p w:rsidR="00CA71BA" w:rsidRPr="00CA71BA" w:rsidP="006F18B2" w14:paraId="7F4939CE" w14:textId="77777777">
            <w:pPr>
              <w:keepNext/>
              <w:jc w:val="center"/>
              <w:rPr>
                <w:rFonts w:cs="Arial"/>
                <w:b/>
                <w:bCs/>
              </w:rPr>
            </w:pPr>
            <w:r w:rsidRPr="00CA71BA">
              <w:rPr>
                <w:rFonts w:cs="Arial"/>
                <w:b/>
                <w:bCs/>
              </w:rPr>
              <w:t>E</w:t>
            </w:r>
            <w:r w:rsidR="00221F18">
              <w:rPr>
                <w:rFonts w:cs="Arial"/>
                <w:b/>
                <w:bCs/>
              </w:rPr>
              <w:t xml:space="preserve"> </w:t>
            </w:r>
            <w:r w:rsidRPr="00CA71BA">
              <w:rPr>
                <w:rFonts w:cs="Arial"/>
                <w:b/>
                <w:bCs/>
              </w:rPr>
              <w:t>= A x C</w:t>
            </w:r>
          </w:p>
        </w:tc>
        <w:tc>
          <w:tcPr>
            <w:tcW w:w="1260" w:type="dxa"/>
            <w:noWrap/>
            <w:vAlign w:val="center"/>
            <w:hideMark/>
          </w:tcPr>
          <w:p w:rsidR="00CA71BA" w:rsidRPr="005F6062" w:rsidP="00574961" w14:paraId="7F4939CF" w14:textId="77777777">
            <w:pPr>
              <w:keepNext/>
              <w:jc w:val="center"/>
              <w:rPr>
                <w:rFonts w:cs="Arial"/>
              </w:rPr>
            </w:pPr>
            <w:r>
              <w:rPr>
                <w:rFonts w:cs="Arial"/>
              </w:rPr>
              <w:t>(</w:t>
            </w:r>
            <w:r w:rsidRPr="005F6062">
              <w:rPr>
                <w:rFonts w:cs="Arial"/>
              </w:rPr>
              <w:t>$</w:t>
            </w:r>
            <w:r w:rsidR="00133F41">
              <w:rPr>
                <w:rFonts w:cs="Arial"/>
              </w:rPr>
              <w:t>55</w:t>
            </w:r>
            <w:r w:rsidRPr="005F6062">
              <w:rPr>
                <w:rFonts w:cs="Arial"/>
              </w:rPr>
              <w:t>,000</w:t>
            </w:r>
            <w:r>
              <w:rPr>
                <w:rFonts w:cs="Arial"/>
              </w:rPr>
              <w:t>)</w:t>
            </w:r>
          </w:p>
        </w:tc>
        <w:tc>
          <w:tcPr>
            <w:tcW w:w="1403" w:type="dxa"/>
            <w:noWrap/>
            <w:vAlign w:val="center"/>
            <w:hideMark/>
          </w:tcPr>
          <w:p w:rsidR="00CA71BA" w:rsidRPr="005F6062" w:rsidP="000D562F" w14:paraId="7F4939D0" w14:textId="77777777">
            <w:pPr>
              <w:keepNext/>
              <w:jc w:val="center"/>
              <w:rPr>
                <w:rFonts w:cs="Arial"/>
              </w:rPr>
            </w:pPr>
            <w:r>
              <w:rPr>
                <w:rFonts w:cs="Arial"/>
              </w:rPr>
              <w:t>(</w:t>
            </w:r>
            <w:r w:rsidRPr="005F6062">
              <w:rPr>
                <w:rFonts w:cs="Arial"/>
              </w:rPr>
              <w:t>$</w:t>
            </w:r>
            <w:r w:rsidR="007D1151">
              <w:rPr>
                <w:rFonts w:cs="Arial"/>
              </w:rPr>
              <w:t>390</w:t>
            </w:r>
            <w:r w:rsidRPr="005F6062">
              <w:rPr>
                <w:rFonts w:cs="Arial"/>
              </w:rPr>
              <w:t>,000</w:t>
            </w:r>
            <w:r>
              <w:rPr>
                <w:rFonts w:cs="Arial"/>
              </w:rPr>
              <w:t>)</w:t>
            </w:r>
          </w:p>
        </w:tc>
        <w:tc>
          <w:tcPr>
            <w:tcW w:w="1652" w:type="dxa"/>
            <w:noWrap/>
            <w:vAlign w:val="center"/>
            <w:hideMark/>
          </w:tcPr>
          <w:p w:rsidR="00CA71BA" w:rsidRPr="005F6062" w:rsidP="005F6062" w14:paraId="7F4939D1" w14:textId="77777777">
            <w:pPr>
              <w:keepNext/>
              <w:jc w:val="center"/>
              <w:rPr>
                <w:rFonts w:cs="Arial"/>
              </w:rPr>
            </w:pPr>
            <w:r>
              <w:rPr>
                <w:rFonts w:cs="Arial"/>
              </w:rPr>
              <w:t>(</w:t>
            </w:r>
            <w:r w:rsidRPr="005F6062">
              <w:rPr>
                <w:rFonts w:cs="Arial"/>
              </w:rPr>
              <w:t>$</w:t>
            </w:r>
            <w:r w:rsidR="002564F7">
              <w:rPr>
                <w:rFonts w:cs="Arial"/>
              </w:rPr>
              <w:t>110</w:t>
            </w:r>
            <w:r w:rsidRPr="005F6062">
              <w:rPr>
                <w:rFonts w:cs="Arial"/>
              </w:rPr>
              <w:t>,000</w:t>
            </w:r>
            <w:r>
              <w:rPr>
                <w:rFonts w:cs="Arial"/>
              </w:rPr>
              <w:t>)</w:t>
            </w:r>
          </w:p>
        </w:tc>
      </w:tr>
      <w:tr w14:paraId="7F4939D6" w14:textId="77777777" w:rsidTr="001176AF">
        <w:tblPrEx>
          <w:tblW w:w="0" w:type="auto"/>
          <w:jc w:val="center"/>
          <w:tblLook w:val="04A0"/>
        </w:tblPrEx>
        <w:trPr>
          <w:trHeight w:val="512"/>
          <w:jc w:val="center"/>
        </w:trPr>
        <w:tc>
          <w:tcPr>
            <w:tcW w:w="3394" w:type="dxa"/>
            <w:noWrap/>
            <w:hideMark/>
          </w:tcPr>
          <w:p w:rsidR="00CA71BA" w:rsidRPr="00CA71BA" w:rsidP="00CA71BA" w14:paraId="7F4939D3" w14:textId="77777777">
            <w:pPr>
              <w:keepNext/>
              <w:jc w:val="center"/>
              <w:rPr>
                <w:rFonts w:cs="Arial"/>
                <w:b/>
                <w:bCs/>
              </w:rPr>
            </w:pPr>
            <w:r w:rsidRPr="00CA71BA">
              <w:rPr>
                <w:rFonts w:cs="Arial"/>
                <w:b/>
                <w:bCs/>
              </w:rPr>
              <w:t xml:space="preserve">Undiscounted Total </w:t>
            </w:r>
            <w:r w:rsidR="00435C35">
              <w:rPr>
                <w:rFonts w:cs="Arial"/>
                <w:b/>
                <w:bCs/>
              </w:rPr>
              <w:t xml:space="preserve">Licensee </w:t>
            </w:r>
            <w:r w:rsidRPr="00CA71BA">
              <w:rPr>
                <w:rFonts w:cs="Arial"/>
                <w:b/>
                <w:bCs/>
              </w:rPr>
              <w:t>Operating</w:t>
            </w:r>
            <w:r>
              <w:rPr>
                <w:rFonts w:cs="Arial"/>
                <w:b/>
                <w:bCs/>
              </w:rPr>
              <w:t xml:space="preserve"> Co</w:t>
            </w:r>
            <w:r w:rsidR="00280BDC">
              <w:rPr>
                <w:rFonts w:cs="Arial"/>
                <w:b/>
                <w:bCs/>
              </w:rPr>
              <w:t>st</w:t>
            </w:r>
            <w:r w:rsidR="00AB2749">
              <w:rPr>
                <w:rFonts w:cs="Arial"/>
                <w:b/>
                <w:bCs/>
              </w:rPr>
              <w:t>****</w:t>
            </w:r>
          </w:p>
        </w:tc>
        <w:tc>
          <w:tcPr>
            <w:tcW w:w="1641" w:type="dxa"/>
            <w:noWrap/>
            <w:vAlign w:val="center"/>
            <w:hideMark/>
          </w:tcPr>
          <w:p w:rsidR="00CA71BA" w:rsidRPr="00CA71BA" w:rsidP="006F18B2" w14:paraId="7F4939D4" w14:textId="77777777">
            <w:pPr>
              <w:keepNext/>
              <w:jc w:val="center"/>
              <w:rPr>
                <w:rFonts w:cs="Arial"/>
                <w:b/>
                <w:bCs/>
              </w:rPr>
            </w:pPr>
            <w:r w:rsidRPr="00CA71BA">
              <w:rPr>
                <w:rFonts w:cs="Arial"/>
                <w:b/>
                <w:bCs/>
              </w:rPr>
              <w:t>F = ∑ (D) x 3 + ∑ (E)</w:t>
            </w:r>
          </w:p>
        </w:tc>
        <w:tc>
          <w:tcPr>
            <w:tcW w:w="4315" w:type="dxa"/>
            <w:gridSpan w:val="3"/>
            <w:noWrap/>
            <w:vAlign w:val="center"/>
            <w:hideMark/>
          </w:tcPr>
          <w:p w:rsidR="00CA71BA" w:rsidRPr="00CA71BA" w:rsidP="000D562F" w14:paraId="7F4939D5" w14:textId="77777777">
            <w:pPr>
              <w:keepNext/>
              <w:jc w:val="center"/>
              <w:rPr>
                <w:rFonts w:cs="Arial"/>
                <w:b/>
              </w:rPr>
            </w:pPr>
            <w:r>
              <w:rPr>
                <w:rFonts w:cs="Arial"/>
                <w:b/>
              </w:rPr>
              <w:t>(</w:t>
            </w:r>
            <w:r w:rsidRPr="00CA71BA">
              <w:rPr>
                <w:rFonts w:cs="Arial"/>
                <w:b/>
              </w:rPr>
              <w:t>$</w:t>
            </w:r>
            <w:r w:rsidR="002564F7">
              <w:rPr>
                <w:rFonts w:cs="Arial"/>
                <w:b/>
              </w:rPr>
              <w:t>9</w:t>
            </w:r>
            <w:r w:rsidRPr="00CA71BA" w:rsidR="002564F7">
              <w:rPr>
                <w:rFonts w:cs="Arial"/>
                <w:b/>
              </w:rPr>
              <w:t>80</w:t>
            </w:r>
            <w:r w:rsidRPr="00CA71BA">
              <w:rPr>
                <w:rFonts w:cs="Arial"/>
                <w:b/>
              </w:rPr>
              <w:t>,000</w:t>
            </w:r>
            <w:r>
              <w:rPr>
                <w:rFonts w:cs="Arial"/>
                <w:b/>
              </w:rPr>
              <w:t>)</w:t>
            </w:r>
          </w:p>
        </w:tc>
      </w:tr>
      <w:tr w14:paraId="7F4939D9" w14:textId="77777777" w:rsidTr="009244AE">
        <w:tblPrEx>
          <w:tblW w:w="0" w:type="auto"/>
          <w:jc w:val="center"/>
          <w:tblLook w:val="04A0"/>
        </w:tblPrEx>
        <w:trPr>
          <w:trHeight w:val="285"/>
          <w:jc w:val="center"/>
        </w:trPr>
        <w:tc>
          <w:tcPr>
            <w:tcW w:w="5035" w:type="dxa"/>
            <w:gridSpan w:val="2"/>
            <w:noWrap/>
            <w:hideMark/>
          </w:tcPr>
          <w:p w:rsidR="00CA71BA" w:rsidRPr="00CA71BA" w:rsidP="00CA71BA" w14:paraId="7F4939D7" w14:textId="77777777">
            <w:pPr>
              <w:keepNext/>
              <w:jc w:val="center"/>
              <w:rPr>
                <w:rFonts w:cs="Arial"/>
                <w:b/>
                <w:bCs/>
              </w:rPr>
            </w:pPr>
            <w:r w:rsidRPr="00CA71BA">
              <w:rPr>
                <w:rFonts w:cs="Arial"/>
                <w:b/>
                <w:bCs/>
              </w:rPr>
              <w:t xml:space="preserve">Total </w:t>
            </w:r>
            <w:r w:rsidR="00435C35">
              <w:rPr>
                <w:rFonts w:cs="Arial"/>
                <w:b/>
                <w:bCs/>
              </w:rPr>
              <w:t xml:space="preserve">Licensee </w:t>
            </w:r>
            <w:r w:rsidRPr="00CA71BA">
              <w:rPr>
                <w:rFonts w:cs="Arial"/>
                <w:b/>
                <w:bCs/>
              </w:rPr>
              <w:t>Operation Cost at 3% discounting</w:t>
            </w:r>
          </w:p>
        </w:tc>
        <w:tc>
          <w:tcPr>
            <w:tcW w:w="4315" w:type="dxa"/>
            <w:gridSpan w:val="3"/>
            <w:noWrap/>
            <w:hideMark/>
          </w:tcPr>
          <w:p w:rsidR="00CA71BA" w:rsidRPr="00CA71BA" w:rsidP="00CA71BA" w14:paraId="7F4939D8" w14:textId="77777777">
            <w:pPr>
              <w:keepNext/>
              <w:jc w:val="center"/>
              <w:rPr>
                <w:rFonts w:cs="Arial"/>
                <w:b/>
              </w:rPr>
            </w:pPr>
            <w:r>
              <w:rPr>
                <w:rFonts w:cs="Arial"/>
                <w:b/>
              </w:rPr>
              <w:t>(</w:t>
            </w:r>
            <w:r w:rsidRPr="00CA71BA">
              <w:rPr>
                <w:rFonts w:cs="Arial"/>
                <w:b/>
              </w:rPr>
              <w:t>$</w:t>
            </w:r>
            <w:r w:rsidR="00694E23">
              <w:rPr>
                <w:rFonts w:cs="Arial"/>
                <w:b/>
              </w:rPr>
              <w:t>820</w:t>
            </w:r>
            <w:r w:rsidRPr="00CA71BA">
              <w:rPr>
                <w:rFonts w:cs="Arial"/>
                <w:b/>
              </w:rPr>
              <w:t>,000</w:t>
            </w:r>
            <w:r>
              <w:rPr>
                <w:rFonts w:cs="Arial"/>
                <w:b/>
              </w:rPr>
              <w:t>)</w:t>
            </w:r>
          </w:p>
        </w:tc>
      </w:tr>
      <w:tr w14:paraId="7F4939DC" w14:textId="77777777" w:rsidTr="009244AE">
        <w:tblPrEx>
          <w:tblW w:w="0" w:type="auto"/>
          <w:jc w:val="center"/>
          <w:tblLook w:val="04A0"/>
        </w:tblPrEx>
        <w:trPr>
          <w:trHeight w:val="285"/>
          <w:jc w:val="center"/>
        </w:trPr>
        <w:tc>
          <w:tcPr>
            <w:tcW w:w="5035" w:type="dxa"/>
            <w:gridSpan w:val="2"/>
            <w:noWrap/>
            <w:hideMark/>
          </w:tcPr>
          <w:p w:rsidR="00CA71BA" w:rsidRPr="00CA71BA" w:rsidP="00CA71BA" w14:paraId="7F4939DA" w14:textId="77777777">
            <w:pPr>
              <w:keepNext/>
              <w:jc w:val="center"/>
              <w:rPr>
                <w:rFonts w:cs="Arial"/>
                <w:b/>
                <w:bCs/>
              </w:rPr>
            </w:pPr>
            <w:r w:rsidRPr="00CA71BA">
              <w:rPr>
                <w:rFonts w:cs="Arial"/>
                <w:b/>
                <w:bCs/>
              </w:rPr>
              <w:t xml:space="preserve">Total </w:t>
            </w:r>
            <w:r w:rsidR="00435C35">
              <w:rPr>
                <w:rFonts w:cs="Arial"/>
                <w:b/>
                <w:bCs/>
              </w:rPr>
              <w:t xml:space="preserve">Licensee </w:t>
            </w:r>
            <w:r w:rsidRPr="00CA71BA">
              <w:rPr>
                <w:rFonts w:cs="Arial"/>
                <w:b/>
                <w:bCs/>
              </w:rPr>
              <w:t>Operation Cost at 7% discounting</w:t>
            </w:r>
          </w:p>
        </w:tc>
        <w:tc>
          <w:tcPr>
            <w:tcW w:w="4315" w:type="dxa"/>
            <w:gridSpan w:val="3"/>
            <w:noWrap/>
            <w:hideMark/>
          </w:tcPr>
          <w:p w:rsidR="00CA71BA" w:rsidRPr="00CA71BA" w:rsidP="00CA71BA" w14:paraId="7F4939DB" w14:textId="77777777">
            <w:pPr>
              <w:keepNext/>
              <w:jc w:val="center"/>
              <w:rPr>
                <w:rFonts w:cs="Arial"/>
                <w:b/>
              </w:rPr>
            </w:pPr>
            <w:r>
              <w:rPr>
                <w:rFonts w:cs="Arial"/>
                <w:b/>
              </w:rPr>
              <w:t>(</w:t>
            </w:r>
            <w:r w:rsidRPr="00CA71BA">
              <w:rPr>
                <w:rFonts w:cs="Arial"/>
                <w:b/>
              </w:rPr>
              <w:t>$</w:t>
            </w:r>
            <w:r w:rsidR="00694E23">
              <w:rPr>
                <w:rFonts w:cs="Arial"/>
                <w:b/>
              </w:rPr>
              <w:t>660</w:t>
            </w:r>
            <w:r w:rsidRPr="00CA71BA">
              <w:rPr>
                <w:rFonts w:cs="Arial"/>
                <w:b/>
              </w:rPr>
              <w:t>,000</w:t>
            </w:r>
            <w:r>
              <w:rPr>
                <w:rFonts w:cs="Arial"/>
                <w:b/>
              </w:rPr>
              <w:t>)</w:t>
            </w:r>
          </w:p>
        </w:tc>
      </w:tr>
    </w:tbl>
    <w:p w:rsidR="004A41AC" w:rsidRPr="00D839EE" w:rsidP="004A41AC" w14:paraId="7F4939DD" w14:textId="00D9E755">
      <w:pPr>
        <w:contextualSpacing/>
        <w:rPr>
          <w:rFonts w:cs="Arial"/>
          <w:sz w:val="18"/>
          <w:szCs w:val="18"/>
        </w:rPr>
      </w:pPr>
      <w:r>
        <w:rPr>
          <w:rFonts w:cs="Arial"/>
          <w:sz w:val="18"/>
          <w:szCs w:val="18"/>
        </w:rPr>
        <w:t xml:space="preserve">* </w:t>
      </w:r>
      <w:r w:rsidRPr="00D839EE">
        <w:rPr>
          <w:rFonts w:cs="Arial"/>
          <w:sz w:val="18"/>
          <w:szCs w:val="18"/>
        </w:rPr>
        <w:t xml:space="preserve">The number of licensees differs from </w:t>
      </w:r>
      <w:r w:rsidRPr="009105B6" w:rsidR="004140F4">
        <w:rPr>
          <w:rFonts w:cs="Arial"/>
          <w:sz w:val="18"/>
          <w:szCs w:val="18"/>
        </w:rPr>
        <w:fldChar w:fldCharType="begin"/>
      </w:r>
      <w:r w:rsidRPr="009105B6" w:rsidR="004140F4">
        <w:rPr>
          <w:rFonts w:cs="Arial"/>
          <w:sz w:val="18"/>
          <w:szCs w:val="18"/>
        </w:rPr>
        <w:instrText xml:space="preserve"> REF _Ref534710758 \h </w:instrText>
      </w:r>
      <w:r w:rsidRPr="00E17F30" w:rsidR="004140F4">
        <w:rPr>
          <w:rFonts w:cs="Arial"/>
          <w:sz w:val="18"/>
          <w:szCs w:val="18"/>
        </w:rPr>
        <w:instrText xml:space="preserve"> \* MERGEFORMAT </w:instrText>
      </w:r>
      <w:r w:rsidRPr="009105B6" w:rsidR="004140F4">
        <w:rPr>
          <w:rFonts w:cs="Arial"/>
          <w:sz w:val="18"/>
          <w:szCs w:val="18"/>
        </w:rPr>
        <w:fldChar w:fldCharType="separate"/>
      </w:r>
      <w:r w:rsidRPr="00977795" w:rsidR="00977795">
        <w:rPr>
          <w:sz w:val="18"/>
          <w:szCs w:val="18"/>
        </w:rPr>
        <w:t>Exhibit 3</w:t>
      </w:r>
      <w:r w:rsidRPr="00977795" w:rsidR="00977795">
        <w:rPr>
          <w:sz w:val="18"/>
          <w:szCs w:val="18"/>
        </w:rPr>
        <w:noBreakHyphen/>
        <w:t>1</w:t>
      </w:r>
      <w:r w:rsidRPr="009105B6" w:rsidR="004140F4">
        <w:rPr>
          <w:rFonts w:cs="Arial"/>
          <w:sz w:val="18"/>
          <w:szCs w:val="18"/>
        </w:rPr>
        <w:fldChar w:fldCharType="end"/>
      </w:r>
      <w:r w:rsidR="002D0B51">
        <w:rPr>
          <w:rFonts w:cs="Arial"/>
          <w:sz w:val="18"/>
          <w:szCs w:val="18"/>
        </w:rPr>
        <w:t xml:space="preserve"> </w:t>
      </w:r>
      <w:r w:rsidRPr="00D839EE">
        <w:rPr>
          <w:rFonts w:cs="Arial"/>
          <w:sz w:val="18"/>
          <w:szCs w:val="18"/>
        </w:rPr>
        <w:t xml:space="preserve">as </w:t>
      </w:r>
      <w:r w:rsidR="00B567EC">
        <w:rPr>
          <w:rFonts w:cs="Arial"/>
          <w:sz w:val="18"/>
          <w:szCs w:val="18"/>
        </w:rPr>
        <w:t xml:space="preserve">this table does not include </w:t>
      </w:r>
      <w:r>
        <w:rPr>
          <w:rFonts w:cs="Arial"/>
          <w:sz w:val="18"/>
          <w:szCs w:val="18"/>
        </w:rPr>
        <w:t>NPUFs in Group</w:t>
      </w:r>
      <w:r w:rsidR="009244AE">
        <w:rPr>
          <w:rFonts w:cs="Arial"/>
          <w:sz w:val="18"/>
          <w:szCs w:val="18"/>
        </w:rPr>
        <w:t>s</w:t>
      </w:r>
      <w:r>
        <w:rPr>
          <w:rFonts w:cs="Arial"/>
          <w:sz w:val="18"/>
          <w:szCs w:val="18"/>
        </w:rPr>
        <w:t xml:space="preserve"> 3 </w:t>
      </w:r>
      <w:r w:rsidR="00B567EC">
        <w:rPr>
          <w:rFonts w:cs="Arial"/>
          <w:sz w:val="18"/>
          <w:szCs w:val="18"/>
        </w:rPr>
        <w:t>and</w:t>
      </w:r>
      <w:r>
        <w:rPr>
          <w:rFonts w:cs="Arial"/>
          <w:sz w:val="18"/>
          <w:szCs w:val="18"/>
        </w:rPr>
        <w:t xml:space="preserve"> 4</w:t>
      </w:r>
      <w:r w:rsidR="00B567EC">
        <w:rPr>
          <w:rFonts w:cs="Arial"/>
          <w:sz w:val="18"/>
          <w:szCs w:val="18"/>
        </w:rPr>
        <w:t>.</w:t>
      </w:r>
    </w:p>
    <w:p w:rsidR="00AB2749" w:rsidP="006C70F9" w14:paraId="7F4939DE" w14:textId="77777777">
      <w:pPr>
        <w:contextualSpacing/>
        <w:rPr>
          <w:rFonts w:cs="Arial"/>
          <w:sz w:val="18"/>
          <w:szCs w:val="18"/>
        </w:rPr>
      </w:pPr>
      <w:r>
        <w:rPr>
          <w:rFonts w:cs="Arial"/>
          <w:sz w:val="18"/>
          <w:szCs w:val="18"/>
        </w:rPr>
        <w:t xml:space="preserve">** </w:t>
      </w:r>
      <w:r w:rsidRPr="00D839EE" w:rsidR="006C70F9">
        <w:rPr>
          <w:rFonts w:cs="Arial"/>
          <w:sz w:val="18"/>
          <w:szCs w:val="18"/>
        </w:rPr>
        <w:t xml:space="preserve">The Operation Cost per Category per </w:t>
      </w:r>
      <w:r w:rsidR="006C70F9">
        <w:rPr>
          <w:rFonts w:cs="Arial"/>
          <w:sz w:val="18"/>
          <w:szCs w:val="18"/>
        </w:rPr>
        <w:t>FSAR Update</w:t>
      </w:r>
      <w:r w:rsidRPr="00D839EE" w:rsidR="006C70F9">
        <w:rPr>
          <w:rFonts w:cs="Arial"/>
          <w:sz w:val="18"/>
          <w:szCs w:val="18"/>
        </w:rPr>
        <w:t xml:space="preserve"> (</w:t>
      </w:r>
      <w:r w:rsidR="00F07785">
        <w:rPr>
          <w:rFonts w:cs="Arial"/>
          <w:sz w:val="18"/>
          <w:szCs w:val="18"/>
        </w:rPr>
        <w:t xml:space="preserve">Row </w:t>
      </w:r>
      <w:r w:rsidR="006C70F9">
        <w:rPr>
          <w:rFonts w:cs="Arial"/>
          <w:sz w:val="18"/>
          <w:szCs w:val="18"/>
        </w:rPr>
        <w:t>D</w:t>
      </w:r>
      <w:r w:rsidRPr="00D839EE" w:rsidR="006C70F9">
        <w:rPr>
          <w:rFonts w:cs="Arial"/>
          <w:sz w:val="18"/>
          <w:szCs w:val="18"/>
        </w:rPr>
        <w:t>) is equal to the Operation Cost per FSAR update (</w:t>
      </w:r>
      <w:r w:rsidR="00F07785">
        <w:rPr>
          <w:rFonts w:cs="Arial"/>
          <w:sz w:val="18"/>
          <w:szCs w:val="18"/>
        </w:rPr>
        <w:t xml:space="preserve">Row </w:t>
      </w:r>
      <w:r w:rsidRPr="00D839EE" w:rsidR="006C70F9">
        <w:rPr>
          <w:rFonts w:cs="Arial"/>
          <w:sz w:val="18"/>
          <w:szCs w:val="18"/>
        </w:rPr>
        <w:t xml:space="preserve">B) multiplied by the </w:t>
      </w:r>
      <w:r w:rsidR="0084316D">
        <w:rPr>
          <w:rFonts w:cs="Arial"/>
          <w:sz w:val="18"/>
          <w:szCs w:val="18"/>
        </w:rPr>
        <w:t>N</w:t>
      </w:r>
      <w:r w:rsidRPr="00D839EE" w:rsidR="006C70F9">
        <w:rPr>
          <w:rFonts w:cs="Arial"/>
          <w:sz w:val="18"/>
          <w:szCs w:val="18"/>
        </w:rPr>
        <w:t xml:space="preserve">umber of </w:t>
      </w:r>
      <w:r w:rsidR="0084316D">
        <w:rPr>
          <w:rFonts w:cs="Arial"/>
          <w:sz w:val="18"/>
          <w:szCs w:val="18"/>
        </w:rPr>
        <w:t>Licensees</w:t>
      </w:r>
      <w:r w:rsidRPr="00D839EE" w:rsidR="006C70F9">
        <w:rPr>
          <w:rFonts w:cs="Arial"/>
          <w:sz w:val="18"/>
          <w:szCs w:val="18"/>
        </w:rPr>
        <w:t xml:space="preserve"> per category (</w:t>
      </w:r>
      <w:r w:rsidR="00F07785">
        <w:rPr>
          <w:rFonts w:cs="Arial"/>
          <w:sz w:val="18"/>
          <w:szCs w:val="18"/>
        </w:rPr>
        <w:t xml:space="preserve">Row </w:t>
      </w:r>
      <w:r w:rsidRPr="00D839EE" w:rsidR="006C70F9">
        <w:rPr>
          <w:rFonts w:cs="Arial"/>
          <w:sz w:val="18"/>
          <w:szCs w:val="18"/>
        </w:rPr>
        <w:t xml:space="preserve">C). </w:t>
      </w:r>
    </w:p>
    <w:p w:rsidR="00AB2749" w:rsidP="006C70F9" w14:paraId="7F4939DF" w14:textId="77777777">
      <w:pPr>
        <w:contextualSpacing/>
        <w:rPr>
          <w:rFonts w:cs="Arial"/>
          <w:sz w:val="18"/>
          <w:szCs w:val="18"/>
        </w:rPr>
      </w:pPr>
      <w:r>
        <w:rPr>
          <w:rFonts w:cs="Arial"/>
          <w:sz w:val="18"/>
          <w:szCs w:val="18"/>
        </w:rPr>
        <w:t xml:space="preserve">*** </w:t>
      </w:r>
      <w:r w:rsidRPr="00D839EE" w:rsidR="006C70F9">
        <w:rPr>
          <w:rFonts w:cs="Arial"/>
          <w:sz w:val="18"/>
          <w:szCs w:val="18"/>
        </w:rPr>
        <w:t xml:space="preserve">The Operation Cost per Category per Initial </w:t>
      </w:r>
      <w:r w:rsidR="0084316D">
        <w:rPr>
          <w:rFonts w:cs="Arial"/>
          <w:sz w:val="18"/>
          <w:szCs w:val="18"/>
        </w:rPr>
        <w:t xml:space="preserve">FSAR </w:t>
      </w:r>
      <w:r w:rsidR="006C70F9">
        <w:rPr>
          <w:rFonts w:cs="Arial"/>
          <w:sz w:val="18"/>
          <w:szCs w:val="18"/>
        </w:rPr>
        <w:t>Update</w:t>
      </w:r>
      <w:r w:rsidRPr="00D839EE" w:rsidR="006C70F9">
        <w:rPr>
          <w:rFonts w:cs="Arial"/>
          <w:sz w:val="18"/>
          <w:szCs w:val="18"/>
        </w:rPr>
        <w:t xml:space="preserve"> (</w:t>
      </w:r>
      <w:r w:rsidR="00F07785">
        <w:rPr>
          <w:rFonts w:cs="Arial"/>
          <w:sz w:val="18"/>
          <w:szCs w:val="18"/>
        </w:rPr>
        <w:t xml:space="preserve">Row </w:t>
      </w:r>
      <w:r w:rsidR="006C70F9">
        <w:rPr>
          <w:rFonts w:cs="Arial"/>
          <w:sz w:val="18"/>
          <w:szCs w:val="18"/>
        </w:rPr>
        <w:t>E</w:t>
      </w:r>
      <w:r w:rsidRPr="00D839EE" w:rsidR="006C70F9">
        <w:rPr>
          <w:rFonts w:cs="Arial"/>
          <w:sz w:val="18"/>
          <w:szCs w:val="18"/>
        </w:rPr>
        <w:t xml:space="preserve">) is equal to the </w:t>
      </w:r>
      <w:r w:rsidR="00AE5A1C">
        <w:rPr>
          <w:rFonts w:cs="Arial"/>
          <w:sz w:val="18"/>
          <w:szCs w:val="18"/>
        </w:rPr>
        <w:t>One-Time FSAR Update Cost</w:t>
      </w:r>
      <w:r w:rsidRPr="00D839EE" w:rsidR="006C70F9">
        <w:rPr>
          <w:rFonts w:cs="Arial"/>
          <w:sz w:val="18"/>
          <w:szCs w:val="18"/>
        </w:rPr>
        <w:t xml:space="preserve"> (</w:t>
      </w:r>
      <w:r w:rsidR="00F07785">
        <w:rPr>
          <w:rFonts w:cs="Arial"/>
          <w:sz w:val="18"/>
          <w:szCs w:val="18"/>
        </w:rPr>
        <w:t xml:space="preserve">Row </w:t>
      </w:r>
      <w:r w:rsidRPr="00D839EE" w:rsidR="006C70F9">
        <w:rPr>
          <w:rFonts w:cs="Arial"/>
          <w:sz w:val="18"/>
          <w:szCs w:val="18"/>
        </w:rPr>
        <w:t xml:space="preserve">A) multiplied by the </w:t>
      </w:r>
      <w:r w:rsidR="00AE5A1C">
        <w:rPr>
          <w:rFonts w:cs="Arial"/>
          <w:sz w:val="18"/>
          <w:szCs w:val="18"/>
        </w:rPr>
        <w:t>N</w:t>
      </w:r>
      <w:r w:rsidRPr="00D839EE" w:rsidR="006C70F9">
        <w:rPr>
          <w:rFonts w:cs="Arial"/>
          <w:sz w:val="18"/>
          <w:szCs w:val="18"/>
        </w:rPr>
        <w:t xml:space="preserve">umber of </w:t>
      </w:r>
      <w:r w:rsidR="00AE5A1C">
        <w:rPr>
          <w:rFonts w:cs="Arial"/>
          <w:sz w:val="18"/>
          <w:szCs w:val="18"/>
        </w:rPr>
        <w:t>Licensees</w:t>
      </w:r>
      <w:r w:rsidRPr="00D839EE" w:rsidR="006C70F9">
        <w:rPr>
          <w:rFonts w:cs="Arial"/>
          <w:sz w:val="18"/>
          <w:szCs w:val="18"/>
        </w:rPr>
        <w:t xml:space="preserve"> per category (</w:t>
      </w:r>
      <w:r w:rsidR="00F07785">
        <w:rPr>
          <w:rFonts w:cs="Arial"/>
          <w:sz w:val="18"/>
          <w:szCs w:val="18"/>
        </w:rPr>
        <w:t xml:space="preserve">Row </w:t>
      </w:r>
      <w:r w:rsidRPr="00D839EE" w:rsidR="006C70F9">
        <w:rPr>
          <w:rFonts w:cs="Arial"/>
          <w:sz w:val="18"/>
          <w:szCs w:val="18"/>
        </w:rPr>
        <w:t>C).</w:t>
      </w:r>
    </w:p>
    <w:p w:rsidR="00BF5AC4" w:rsidP="00D96410" w14:paraId="7F4939E0" w14:textId="77777777">
      <w:pPr>
        <w:contextualSpacing/>
        <w:rPr>
          <w:rFonts w:cs="Arial"/>
          <w:sz w:val="18"/>
          <w:szCs w:val="18"/>
        </w:rPr>
      </w:pPr>
      <w:r>
        <w:rPr>
          <w:rFonts w:cs="Arial"/>
          <w:sz w:val="18"/>
          <w:szCs w:val="18"/>
        </w:rPr>
        <w:t xml:space="preserve">**** </w:t>
      </w:r>
      <w:r w:rsidRPr="00D839EE" w:rsidR="006C70F9">
        <w:rPr>
          <w:rFonts w:cs="Arial"/>
          <w:sz w:val="18"/>
          <w:szCs w:val="18"/>
        </w:rPr>
        <w:t>The Undiscounted Total Operating Cost (</w:t>
      </w:r>
      <w:r w:rsidR="00F07785">
        <w:rPr>
          <w:rFonts w:cs="Arial"/>
          <w:sz w:val="18"/>
          <w:szCs w:val="18"/>
        </w:rPr>
        <w:t xml:space="preserve">Row </w:t>
      </w:r>
      <w:r w:rsidRPr="00D839EE" w:rsidR="006C70F9">
        <w:rPr>
          <w:rFonts w:cs="Arial"/>
          <w:sz w:val="18"/>
          <w:szCs w:val="18"/>
        </w:rPr>
        <w:t>F) is equal to the Operation Cost per Category per FSAR Update (</w:t>
      </w:r>
      <w:r w:rsidR="00F07785">
        <w:rPr>
          <w:rFonts w:cs="Arial"/>
          <w:sz w:val="18"/>
          <w:szCs w:val="18"/>
        </w:rPr>
        <w:t xml:space="preserve">Row </w:t>
      </w:r>
      <w:r w:rsidR="006C70F9">
        <w:rPr>
          <w:rFonts w:cs="Arial"/>
          <w:sz w:val="18"/>
          <w:szCs w:val="18"/>
        </w:rPr>
        <w:t>D</w:t>
      </w:r>
      <w:r w:rsidRPr="00D839EE" w:rsidR="006C70F9">
        <w:rPr>
          <w:rFonts w:cs="Arial"/>
          <w:sz w:val="18"/>
          <w:szCs w:val="18"/>
        </w:rPr>
        <w:t xml:space="preserve">) </w:t>
      </w:r>
      <w:r w:rsidR="006C70F9">
        <w:rPr>
          <w:rFonts w:cs="Arial"/>
          <w:sz w:val="18"/>
          <w:szCs w:val="18"/>
        </w:rPr>
        <w:t xml:space="preserve">multiplied by three </w:t>
      </w:r>
      <w:r w:rsidRPr="00D839EE" w:rsidR="006C70F9">
        <w:rPr>
          <w:rFonts w:cs="Arial"/>
          <w:sz w:val="18"/>
          <w:szCs w:val="18"/>
        </w:rPr>
        <w:t xml:space="preserve">(the number of </w:t>
      </w:r>
      <w:r w:rsidR="006C70F9">
        <w:rPr>
          <w:rFonts w:cs="Arial"/>
          <w:sz w:val="18"/>
          <w:szCs w:val="18"/>
        </w:rPr>
        <w:t>subsequent</w:t>
      </w:r>
      <w:r w:rsidRPr="00D839EE" w:rsidR="006C70F9">
        <w:rPr>
          <w:rFonts w:cs="Arial"/>
          <w:sz w:val="18"/>
          <w:szCs w:val="18"/>
        </w:rPr>
        <w:t xml:space="preserve"> FSAR updates required per NPUF over the 20-year time period of the analysis)</w:t>
      </w:r>
      <w:r w:rsidR="006C70F9">
        <w:rPr>
          <w:rFonts w:cs="Arial"/>
          <w:sz w:val="18"/>
          <w:szCs w:val="18"/>
        </w:rPr>
        <w:t xml:space="preserve"> plus the </w:t>
      </w:r>
      <w:r w:rsidRPr="00D839EE" w:rsidR="006C70F9">
        <w:rPr>
          <w:rFonts w:cs="Arial"/>
          <w:sz w:val="18"/>
          <w:szCs w:val="18"/>
        </w:rPr>
        <w:t xml:space="preserve">Operation Cost per Category per Initial </w:t>
      </w:r>
      <w:r w:rsidR="00363DC0">
        <w:rPr>
          <w:rFonts w:cs="Arial"/>
          <w:sz w:val="18"/>
          <w:szCs w:val="18"/>
        </w:rPr>
        <w:t xml:space="preserve">FSAR </w:t>
      </w:r>
      <w:r w:rsidR="006C70F9">
        <w:rPr>
          <w:rFonts w:cs="Arial"/>
          <w:sz w:val="18"/>
          <w:szCs w:val="18"/>
        </w:rPr>
        <w:t>Update</w:t>
      </w:r>
      <w:r w:rsidRPr="00D839EE" w:rsidR="006C70F9">
        <w:rPr>
          <w:rFonts w:cs="Arial"/>
          <w:sz w:val="18"/>
          <w:szCs w:val="18"/>
        </w:rPr>
        <w:t xml:space="preserve"> (</w:t>
      </w:r>
      <w:r w:rsidR="00F07785">
        <w:rPr>
          <w:rFonts w:cs="Arial"/>
          <w:sz w:val="18"/>
          <w:szCs w:val="18"/>
        </w:rPr>
        <w:t xml:space="preserve">Row </w:t>
      </w:r>
      <w:r w:rsidR="006C70F9">
        <w:rPr>
          <w:rFonts w:cs="Arial"/>
          <w:sz w:val="18"/>
          <w:szCs w:val="18"/>
        </w:rPr>
        <w:t>E)</w:t>
      </w:r>
      <w:r w:rsidRPr="00D839EE" w:rsidR="006C70F9">
        <w:rPr>
          <w:rFonts w:cs="Arial"/>
          <w:sz w:val="18"/>
          <w:szCs w:val="18"/>
        </w:rPr>
        <w:t xml:space="preserve">.  </w:t>
      </w:r>
      <w:r w:rsidRPr="00D839EE">
        <w:rPr>
          <w:rFonts w:cs="Arial"/>
          <w:sz w:val="18"/>
          <w:szCs w:val="18"/>
        </w:rPr>
        <w:t xml:space="preserve">Totals may not </w:t>
      </w:r>
      <w:r w:rsidR="003B0FCF">
        <w:rPr>
          <w:rFonts w:cs="Arial"/>
          <w:sz w:val="18"/>
          <w:szCs w:val="18"/>
        </w:rPr>
        <w:t>match</w:t>
      </w:r>
      <w:r w:rsidRPr="00D839EE">
        <w:rPr>
          <w:rFonts w:cs="Arial"/>
          <w:sz w:val="18"/>
          <w:szCs w:val="18"/>
        </w:rPr>
        <w:t xml:space="preserve"> due to rounding.</w:t>
      </w:r>
    </w:p>
    <w:p w:rsidR="004140F4" w:rsidP="00D96410" w14:paraId="7F4939E1" w14:textId="77777777">
      <w:pPr>
        <w:contextualSpacing/>
        <w:rPr>
          <w:rFonts w:cs="Arial"/>
          <w:sz w:val="18"/>
          <w:szCs w:val="18"/>
        </w:rPr>
      </w:pPr>
    </w:p>
    <w:p w:rsidR="00D62C91" w:rsidRPr="00D839EE" w:rsidP="00D62C91" w14:paraId="7F4939E2" w14:textId="571FFA66">
      <w:pPr>
        <w:rPr>
          <w:rFonts w:cs="Arial"/>
          <w:sz w:val="22"/>
          <w:szCs w:val="22"/>
        </w:rPr>
      </w:pPr>
      <w:r w:rsidRPr="00CF41A7">
        <w:rPr>
          <w:rFonts w:cs="Arial"/>
          <w:sz w:val="22"/>
          <w:szCs w:val="22"/>
        </w:rPr>
        <w:fldChar w:fldCharType="begin"/>
      </w:r>
      <w:r w:rsidRPr="00CF41A7">
        <w:rPr>
          <w:rFonts w:cs="Arial"/>
          <w:sz w:val="22"/>
          <w:szCs w:val="22"/>
        </w:rPr>
        <w:instrText xml:space="preserve"> REF _Ref534035501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15</w:t>
      </w:r>
      <w:r w:rsidRPr="00CF41A7">
        <w:rPr>
          <w:rFonts w:cs="Arial"/>
          <w:sz w:val="22"/>
          <w:szCs w:val="22"/>
        </w:rPr>
        <w:fldChar w:fldCharType="end"/>
      </w:r>
      <w:r>
        <w:rPr>
          <w:rFonts w:cs="Arial"/>
          <w:sz w:val="22"/>
          <w:szCs w:val="22"/>
        </w:rPr>
        <w:t xml:space="preserve"> </w:t>
      </w:r>
      <w:r w:rsidRPr="00D839EE">
        <w:rPr>
          <w:rFonts w:cs="Arial"/>
          <w:sz w:val="22"/>
          <w:szCs w:val="22"/>
        </w:rPr>
        <w:t xml:space="preserve">presents the total </w:t>
      </w:r>
      <w:r w:rsidR="00AA37BB">
        <w:rPr>
          <w:rFonts w:cs="Arial"/>
          <w:sz w:val="22"/>
          <w:szCs w:val="22"/>
        </w:rPr>
        <w:t>licensee</w:t>
      </w:r>
      <w:r w:rsidRPr="00D839EE" w:rsidR="00AA37BB">
        <w:rPr>
          <w:rFonts w:cs="Arial"/>
          <w:sz w:val="22"/>
          <w:szCs w:val="22"/>
        </w:rPr>
        <w:t xml:space="preserve"> </w:t>
      </w:r>
      <w:r w:rsidRPr="00D839EE">
        <w:rPr>
          <w:rFonts w:cs="Arial"/>
          <w:sz w:val="22"/>
          <w:szCs w:val="22"/>
        </w:rPr>
        <w:t>operation costs</w:t>
      </w:r>
      <w:r>
        <w:rPr>
          <w:rFonts w:cs="Arial"/>
          <w:sz w:val="22"/>
          <w:szCs w:val="22"/>
        </w:rPr>
        <w:t xml:space="preserve"> for </w:t>
      </w:r>
      <w:r w:rsidR="00AA37BB">
        <w:rPr>
          <w:rFonts w:cs="Arial"/>
          <w:sz w:val="22"/>
          <w:szCs w:val="22"/>
        </w:rPr>
        <w:t xml:space="preserve">NPUFs </w:t>
      </w:r>
      <w:r>
        <w:rPr>
          <w:rFonts w:cs="Arial"/>
          <w:sz w:val="22"/>
          <w:szCs w:val="22"/>
        </w:rPr>
        <w:t xml:space="preserve">in </w:t>
      </w:r>
      <w:r w:rsidR="000E3DAF">
        <w:rPr>
          <w:rFonts w:cs="Arial"/>
          <w:sz w:val="22"/>
          <w:szCs w:val="22"/>
        </w:rPr>
        <w:t>G</w:t>
      </w:r>
      <w:r>
        <w:rPr>
          <w:rFonts w:cs="Arial"/>
          <w:sz w:val="22"/>
          <w:szCs w:val="22"/>
        </w:rPr>
        <w:t>roups 3 and 4</w:t>
      </w:r>
      <w:r w:rsidRPr="00D839EE">
        <w:rPr>
          <w:rFonts w:cs="Arial"/>
          <w:sz w:val="22"/>
          <w:szCs w:val="22"/>
        </w:rPr>
        <w:t>.  Over the course of the 20-year analysis perio</w:t>
      </w:r>
      <w:r w:rsidR="00001E57">
        <w:rPr>
          <w:rFonts w:cs="Arial"/>
          <w:sz w:val="22"/>
          <w:szCs w:val="22"/>
        </w:rPr>
        <w:t>d</w:t>
      </w:r>
      <w:r w:rsidR="008F7E2A">
        <w:rPr>
          <w:rFonts w:cs="Arial"/>
          <w:sz w:val="22"/>
          <w:szCs w:val="22"/>
        </w:rPr>
        <w:t>,</w:t>
      </w:r>
      <w:r w:rsidR="00001E57">
        <w:rPr>
          <w:rFonts w:cs="Arial"/>
          <w:sz w:val="22"/>
          <w:szCs w:val="22"/>
        </w:rPr>
        <w:t xml:space="preserve"> </w:t>
      </w:r>
      <w:r w:rsidR="00643415">
        <w:rPr>
          <w:rFonts w:cs="Arial"/>
          <w:sz w:val="22"/>
          <w:szCs w:val="22"/>
        </w:rPr>
        <w:t xml:space="preserve">the total number of subsequent FSAR updates submitted by these </w:t>
      </w:r>
      <w:r w:rsidR="00001E57">
        <w:rPr>
          <w:rFonts w:cs="Arial"/>
          <w:sz w:val="22"/>
          <w:szCs w:val="22"/>
        </w:rPr>
        <w:t>licensee</w:t>
      </w:r>
      <w:r w:rsidR="00643415">
        <w:rPr>
          <w:rFonts w:cs="Arial"/>
          <w:sz w:val="22"/>
          <w:szCs w:val="22"/>
        </w:rPr>
        <w:t>s</w:t>
      </w:r>
      <w:r w:rsidR="00001E57">
        <w:rPr>
          <w:rFonts w:cs="Arial"/>
          <w:sz w:val="22"/>
          <w:szCs w:val="22"/>
        </w:rPr>
        <w:t xml:space="preserve"> will </w:t>
      </w:r>
      <w:r w:rsidR="00643415">
        <w:rPr>
          <w:rFonts w:cs="Arial"/>
          <w:sz w:val="22"/>
          <w:szCs w:val="22"/>
        </w:rPr>
        <w:t xml:space="preserve">vary depending on the timing of the initial licensing or </w:t>
      </w:r>
      <w:r w:rsidR="00001E57">
        <w:rPr>
          <w:rFonts w:cs="Arial"/>
          <w:sz w:val="22"/>
          <w:szCs w:val="22"/>
        </w:rPr>
        <w:t xml:space="preserve">license renewal. </w:t>
      </w:r>
      <w:r w:rsidR="000E3DAF">
        <w:rPr>
          <w:rFonts w:cs="Arial"/>
          <w:sz w:val="22"/>
          <w:szCs w:val="22"/>
        </w:rPr>
        <w:t xml:space="preserve"> </w:t>
      </w:r>
      <w:r w:rsidR="00643415">
        <w:rPr>
          <w:rFonts w:cs="Arial"/>
          <w:sz w:val="22"/>
          <w:szCs w:val="22"/>
        </w:rPr>
        <w:t>The</w:t>
      </w:r>
      <w:r w:rsidRPr="00D839EE">
        <w:rPr>
          <w:rFonts w:cs="Arial"/>
          <w:sz w:val="22"/>
          <w:szCs w:val="22"/>
        </w:rPr>
        <w:t xml:space="preserve"> total</w:t>
      </w:r>
      <w:r w:rsidR="00001E57">
        <w:rPr>
          <w:rFonts w:cs="Arial"/>
          <w:sz w:val="22"/>
          <w:szCs w:val="22"/>
        </w:rPr>
        <w:t xml:space="preserve"> </w:t>
      </w:r>
      <w:r w:rsidRPr="00D839EE">
        <w:rPr>
          <w:rFonts w:cs="Arial"/>
          <w:sz w:val="22"/>
          <w:szCs w:val="22"/>
        </w:rPr>
        <w:t xml:space="preserve">operation cost </w:t>
      </w:r>
      <w:r w:rsidR="00643415">
        <w:rPr>
          <w:rFonts w:cs="Arial"/>
          <w:sz w:val="22"/>
          <w:szCs w:val="22"/>
        </w:rPr>
        <w:t>for these licensees is</w:t>
      </w:r>
      <w:r w:rsidRPr="00D839EE">
        <w:rPr>
          <w:rFonts w:cs="Arial"/>
          <w:sz w:val="22"/>
          <w:szCs w:val="22"/>
        </w:rPr>
        <w:t xml:space="preserve"> </w:t>
      </w:r>
      <w:r w:rsidR="00F27809">
        <w:rPr>
          <w:rFonts w:cs="Arial"/>
          <w:sz w:val="22"/>
          <w:szCs w:val="22"/>
        </w:rPr>
        <w:t>(</w:t>
      </w:r>
      <w:r w:rsidRPr="00D839EE">
        <w:rPr>
          <w:rFonts w:cs="Arial"/>
          <w:sz w:val="22"/>
          <w:szCs w:val="22"/>
        </w:rPr>
        <w:t>$</w:t>
      </w:r>
      <w:r w:rsidR="00442434">
        <w:rPr>
          <w:rFonts w:cs="Arial"/>
          <w:sz w:val="22"/>
          <w:szCs w:val="22"/>
        </w:rPr>
        <w:t>340</w:t>
      </w:r>
      <w:r w:rsidR="00001E57">
        <w:rPr>
          <w:rFonts w:cs="Arial"/>
          <w:sz w:val="22"/>
          <w:szCs w:val="22"/>
        </w:rPr>
        <w:t>,000</w:t>
      </w:r>
      <w:r w:rsidR="00F27809">
        <w:rPr>
          <w:rFonts w:cs="Arial"/>
          <w:sz w:val="22"/>
          <w:szCs w:val="22"/>
        </w:rPr>
        <w:t>)</w:t>
      </w:r>
      <w:r w:rsidRPr="00D839EE">
        <w:rPr>
          <w:rFonts w:cs="Arial"/>
          <w:sz w:val="22"/>
          <w:szCs w:val="22"/>
        </w:rPr>
        <w:t xml:space="preserve"> undiscounted </w:t>
      </w:r>
      <w:r w:rsidR="00F27809">
        <w:rPr>
          <w:rFonts w:cs="Arial"/>
          <w:sz w:val="22"/>
          <w:szCs w:val="22"/>
        </w:rPr>
        <w:t>(</w:t>
      </w:r>
      <w:r w:rsidR="00B91A63">
        <w:rPr>
          <w:rFonts w:cs="Arial"/>
          <w:sz w:val="22"/>
          <w:szCs w:val="22"/>
        </w:rPr>
        <w:t>(</w:t>
      </w:r>
      <w:r w:rsidRPr="00D839EE" w:rsidR="00B91A63">
        <w:rPr>
          <w:rFonts w:cs="Arial"/>
          <w:sz w:val="22"/>
          <w:szCs w:val="22"/>
        </w:rPr>
        <w:t>$</w:t>
      </w:r>
      <w:r w:rsidR="00B91A63">
        <w:rPr>
          <w:rFonts w:cs="Arial"/>
          <w:sz w:val="22"/>
          <w:szCs w:val="22"/>
        </w:rPr>
        <w:t>27</w:t>
      </w:r>
      <w:r w:rsidR="00B91A63">
        <w:rPr>
          <w:rFonts w:cs="Arial"/>
          <w:sz w:val="22"/>
          <w:szCs w:val="22"/>
        </w:rPr>
        <w:t>0</w:t>
      </w:r>
      <w:r w:rsidRPr="00D839EE" w:rsidR="00B91A63">
        <w:rPr>
          <w:rFonts w:cs="Arial"/>
          <w:sz w:val="22"/>
          <w:szCs w:val="22"/>
        </w:rPr>
        <w:t>,000</w:t>
      </w:r>
      <w:r w:rsidR="00B91A63">
        <w:rPr>
          <w:rFonts w:cs="Arial"/>
          <w:sz w:val="22"/>
          <w:szCs w:val="22"/>
        </w:rPr>
        <w:t>)</w:t>
      </w:r>
      <w:r w:rsidRPr="00D839EE" w:rsidR="00B91A63">
        <w:rPr>
          <w:rFonts w:cs="Arial"/>
          <w:sz w:val="22"/>
          <w:szCs w:val="22"/>
        </w:rPr>
        <w:t xml:space="preserve"> using a 3</w:t>
      </w:r>
      <w:r w:rsidR="00B91A63">
        <w:rPr>
          <w:rFonts w:cs="Arial"/>
          <w:sz w:val="22"/>
          <w:szCs w:val="22"/>
        </w:rPr>
        <w:noBreakHyphen/>
      </w:r>
      <w:r w:rsidRPr="00D839EE" w:rsidR="00B91A63">
        <w:rPr>
          <w:rFonts w:cs="Arial"/>
          <w:sz w:val="22"/>
          <w:szCs w:val="22"/>
        </w:rPr>
        <w:t>percent discount rate</w:t>
      </w:r>
      <w:r w:rsidR="00B91A63">
        <w:rPr>
          <w:rFonts w:cs="Arial"/>
          <w:sz w:val="22"/>
          <w:szCs w:val="22"/>
        </w:rPr>
        <w:t xml:space="preserve"> or</w:t>
      </w:r>
      <w:r w:rsidRPr="00D839EE" w:rsidR="00B91A63">
        <w:rPr>
          <w:rFonts w:cs="Arial"/>
          <w:sz w:val="22"/>
          <w:szCs w:val="22"/>
        </w:rPr>
        <w:t xml:space="preserve"> </w:t>
      </w:r>
      <w:r w:rsidRPr="00D839EE">
        <w:rPr>
          <w:rFonts w:cs="Arial"/>
          <w:sz w:val="22"/>
          <w:szCs w:val="22"/>
        </w:rPr>
        <w:t>(</w:t>
      </w:r>
      <w:r w:rsidR="00001E57">
        <w:rPr>
          <w:rFonts w:cs="Arial"/>
          <w:sz w:val="22"/>
          <w:szCs w:val="22"/>
        </w:rPr>
        <w:t>$</w:t>
      </w:r>
      <w:r w:rsidR="004140F4">
        <w:rPr>
          <w:rFonts w:cs="Arial"/>
          <w:sz w:val="22"/>
          <w:szCs w:val="22"/>
        </w:rPr>
        <w:t>20</w:t>
      </w:r>
      <w:r w:rsidRPr="00D839EE">
        <w:rPr>
          <w:rFonts w:cs="Arial"/>
          <w:sz w:val="22"/>
          <w:szCs w:val="22"/>
        </w:rPr>
        <w:t>0,000</w:t>
      </w:r>
      <w:r w:rsidR="00F27809">
        <w:rPr>
          <w:rFonts w:cs="Arial"/>
          <w:sz w:val="22"/>
          <w:szCs w:val="22"/>
        </w:rPr>
        <w:t>)</w:t>
      </w:r>
      <w:r w:rsidRPr="00D839EE">
        <w:rPr>
          <w:rFonts w:cs="Arial"/>
          <w:sz w:val="22"/>
          <w:szCs w:val="22"/>
        </w:rPr>
        <w:t xml:space="preserve"> using a 7</w:t>
      </w:r>
      <w:r w:rsidR="008F7E2A">
        <w:rPr>
          <w:rFonts w:cs="Arial"/>
          <w:sz w:val="22"/>
          <w:szCs w:val="22"/>
        </w:rPr>
        <w:t>-</w:t>
      </w:r>
      <w:r w:rsidRPr="00D839EE">
        <w:rPr>
          <w:rFonts w:cs="Arial"/>
          <w:sz w:val="22"/>
          <w:szCs w:val="22"/>
        </w:rPr>
        <w:t>percent discount rate) over the 20-year analysis period.</w:t>
      </w:r>
    </w:p>
    <w:p w:rsidR="00FA0120" w:rsidRPr="00346B95" w:rsidP="005F6062" w14:paraId="7F4939E3" w14:textId="77777777">
      <w:pPr>
        <w:contextualSpacing/>
        <w:jc w:val="center"/>
        <w:rPr>
          <w:b/>
          <w:sz w:val="22"/>
        </w:rPr>
      </w:pPr>
      <w:r>
        <w:rPr>
          <w:rFonts w:cs="Arial"/>
          <w:b/>
          <w:sz w:val="22"/>
          <w:szCs w:val="22"/>
        </w:rPr>
        <w:t xml:space="preserve"> </w:t>
      </w:r>
    </w:p>
    <w:p w:rsidR="00E064CA" w:rsidRPr="000F7FD1" w:rsidP="00AC71D8" w14:paraId="7F4939E4" w14:textId="5D6E9111">
      <w:pPr>
        <w:pStyle w:val="Caption"/>
        <w:keepNext/>
        <w:spacing w:after="0"/>
        <w:jc w:val="center"/>
        <w:rPr>
          <w:b/>
          <w:color w:val="auto"/>
          <w:sz w:val="20"/>
        </w:rPr>
      </w:pPr>
      <w:bookmarkStart w:id="268" w:name="_Ref534035501"/>
      <w:bookmarkStart w:id="269" w:name="_Toc534037064"/>
      <w:bookmarkStart w:id="270" w:name="_Toc534710008"/>
      <w:bookmarkStart w:id="271" w:name="_Toc534711693"/>
      <w:bookmarkStart w:id="272" w:name="_Toc534712126"/>
      <w:bookmarkStart w:id="273" w:name="_Toc534712703"/>
      <w:bookmarkStart w:id="274" w:name="_Toc534713212"/>
      <w:bookmarkStart w:id="275" w:name="_Toc9526472"/>
      <w:bookmarkStart w:id="276" w:name="_Toc536603421"/>
      <w:r w:rsidRPr="000F7FD1">
        <w:rPr>
          <w:b/>
          <w:i w:val="0"/>
          <w:color w:val="auto"/>
          <w:sz w:val="22"/>
        </w:rPr>
        <w:t xml:space="preserve">Exhibit </w:t>
      </w:r>
      <w:r w:rsidRPr="000F7FD1" w:rsidR="00A440A1">
        <w:rPr>
          <w:b/>
          <w:i w:val="0"/>
          <w:color w:val="auto"/>
          <w:sz w:val="22"/>
        </w:rPr>
        <w:t>3</w:t>
      </w:r>
      <w:r w:rsidRPr="000F7FD1" w:rsidR="00180D68">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15</w:t>
      </w:r>
      <w:r w:rsidRPr="000F7FD1" w:rsidR="00C276FC">
        <w:rPr>
          <w:b/>
          <w:i w:val="0"/>
          <w:color w:val="auto"/>
          <w:sz w:val="22"/>
        </w:rPr>
        <w:fldChar w:fldCharType="end"/>
      </w:r>
      <w:bookmarkEnd w:id="268"/>
      <w:r w:rsidRPr="000F7FD1">
        <w:rPr>
          <w:b/>
          <w:i w:val="0"/>
          <w:color w:val="auto"/>
          <w:sz w:val="22"/>
        </w:rPr>
        <w:t>. Total Present Value Group 3 and Group 4 Entity Operation Costs (</w:t>
      </w:r>
      <w:r w:rsidRPr="000F7FD1" w:rsidR="009170F7">
        <w:rPr>
          <w:b/>
          <w:i w:val="0"/>
          <w:color w:val="auto"/>
          <w:sz w:val="22"/>
        </w:rPr>
        <w:t>2020$</w:t>
      </w:r>
      <w:r w:rsidRPr="000F7FD1">
        <w:rPr>
          <w:b/>
          <w:i w:val="0"/>
          <w:color w:val="auto"/>
          <w:sz w:val="22"/>
        </w:rPr>
        <w:t>)</w:t>
      </w:r>
      <w:bookmarkEnd w:id="269"/>
      <w:bookmarkEnd w:id="270"/>
      <w:bookmarkEnd w:id="271"/>
      <w:bookmarkEnd w:id="272"/>
      <w:bookmarkEnd w:id="273"/>
      <w:bookmarkEnd w:id="274"/>
      <w:bookmarkEnd w:id="275"/>
      <w:bookmarkEnd w:id="276"/>
    </w:p>
    <w:tbl>
      <w:tblPr>
        <w:tblW w:w="10207" w:type="dxa"/>
        <w:jc w:val="center"/>
        <w:tblLayout w:type="fixed"/>
        <w:tblLook w:val="04A0"/>
      </w:tblPr>
      <w:tblGrid>
        <w:gridCol w:w="1861"/>
        <w:gridCol w:w="1087"/>
        <w:gridCol w:w="1209"/>
        <w:gridCol w:w="1316"/>
        <w:gridCol w:w="1206"/>
        <w:gridCol w:w="1184"/>
        <w:gridCol w:w="1184"/>
        <w:gridCol w:w="1160"/>
      </w:tblGrid>
      <w:tr w14:paraId="7F4939E8" w14:textId="77777777" w:rsidTr="00346B95">
        <w:tblPrEx>
          <w:tblW w:w="10207" w:type="dxa"/>
          <w:jc w:val="center"/>
          <w:tblLayout w:type="fixed"/>
          <w:tblLook w:val="04A0"/>
        </w:tblPrEx>
        <w:trPr>
          <w:trHeight w:val="204"/>
          <w:jc w:val="center"/>
        </w:trPr>
        <w:tc>
          <w:tcPr>
            <w:tcW w:w="1861" w:type="dxa"/>
            <w:vMerge w:val="restart"/>
            <w:tcBorders>
              <w:top w:val="single" w:sz="4" w:space="0" w:color="auto"/>
              <w:left w:val="single" w:sz="4" w:space="0" w:color="auto"/>
              <w:right w:val="single" w:sz="4" w:space="0" w:color="auto"/>
            </w:tcBorders>
            <w:shd w:val="clear" w:color="000000" w:fill="FFFFFF"/>
            <w:noWrap/>
            <w:vAlign w:val="bottom"/>
            <w:hideMark/>
          </w:tcPr>
          <w:p w:rsidR="0006658B" w:rsidRPr="005F6062" w:rsidP="00346B95" w14:paraId="7F4939E5" w14:textId="77777777">
            <w:pPr>
              <w:autoSpaceDE/>
              <w:autoSpaceDN/>
              <w:adjustRightInd/>
              <w:jc w:val="center"/>
              <w:rPr>
                <w:rFonts w:cs="Arial"/>
                <w:b/>
                <w:bCs/>
                <w:color w:val="000000"/>
              </w:rPr>
            </w:pPr>
            <w:r w:rsidRPr="005F6062">
              <w:rPr>
                <w:rFonts w:cs="Arial"/>
                <w:b/>
                <w:bCs/>
                <w:color w:val="000000"/>
              </w:rPr>
              <w:t> </w:t>
            </w:r>
            <w:r w:rsidR="00D379A4">
              <w:rPr>
                <w:rFonts w:cs="Arial"/>
                <w:b/>
                <w:bCs/>
                <w:color w:val="000000"/>
              </w:rPr>
              <w:t xml:space="preserve">Component </w:t>
            </w:r>
          </w:p>
        </w:tc>
        <w:tc>
          <w:tcPr>
            <w:tcW w:w="481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06658B" w:rsidRPr="005F6062" w:rsidP="00DC2BCE" w14:paraId="7F4939E6" w14:textId="77777777">
            <w:pPr>
              <w:autoSpaceDE/>
              <w:autoSpaceDN/>
              <w:adjustRightInd/>
              <w:jc w:val="center"/>
              <w:rPr>
                <w:rFonts w:cs="Arial"/>
                <w:b/>
                <w:bCs/>
                <w:color w:val="000000"/>
              </w:rPr>
            </w:pPr>
            <w:r w:rsidRPr="005F6062">
              <w:rPr>
                <w:rFonts w:cs="Arial"/>
                <w:b/>
                <w:bCs/>
                <w:color w:val="000000"/>
              </w:rPr>
              <w:t>Group 3</w:t>
            </w:r>
          </w:p>
        </w:tc>
        <w:tc>
          <w:tcPr>
            <w:tcW w:w="3528"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6658B" w:rsidRPr="005F6062" w:rsidP="00DC2BCE" w14:paraId="7F4939E7" w14:textId="77777777">
            <w:pPr>
              <w:autoSpaceDE/>
              <w:autoSpaceDN/>
              <w:adjustRightInd/>
              <w:jc w:val="center"/>
              <w:rPr>
                <w:rFonts w:cs="Arial"/>
                <w:b/>
                <w:bCs/>
                <w:color w:val="000000"/>
              </w:rPr>
            </w:pPr>
            <w:r w:rsidRPr="005F6062">
              <w:rPr>
                <w:rFonts w:cs="Arial"/>
                <w:b/>
                <w:bCs/>
                <w:color w:val="000000"/>
              </w:rPr>
              <w:t>Group 4</w:t>
            </w:r>
          </w:p>
        </w:tc>
      </w:tr>
      <w:tr w14:paraId="7F4939F1" w14:textId="77777777" w:rsidTr="001F3201">
        <w:tblPrEx>
          <w:tblW w:w="10207" w:type="dxa"/>
          <w:jc w:val="center"/>
          <w:tblLayout w:type="fixed"/>
          <w:tblLook w:val="04A0"/>
        </w:tblPrEx>
        <w:trPr>
          <w:trHeight w:val="199"/>
          <w:jc w:val="center"/>
        </w:trPr>
        <w:tc>
          <w:tcPr>
            <w:tcW w:w="1861" w:type="dxa"/>
            <w:vMerge/>
            <w:tcBorders>
              <w:left w:val="single" w:sz="4" w:space="0" w:color="auto"/>
              <w:bottom w:val="single" w:sz="4" w:space="0" w:color="auto"/>
              <w:right w:val="single" w:sz="4" w:space="0" w:color="auto"/>
            </w:tcBorders>
            <w:shd w:val="clear" w:color="000000" w:fill="FFFFFF"/>
            <w:noWrap/>
            <w:vAlign w:val="bottom"/>
            <w:hideMark/>
          </w:tcPr>
          <w:p w:rsidR="0006658B" w:rsidRPr="005F6062" w:rsidP="00DC2BCE" w14:paraId="7F4939E9" w14:textId="77777777">
            <w:pPr>
              <w:autoSpaceDE/>
              <w:autoSpaceDN/>
              <w:adjustRightInd/>
              <w:jc w:val="center"/>
              <w:rPr>
                <w:rFonts w:cs="Arial"/>
                <w:b/>
                <w:bCs/>
                <w:color w:val="000000"/>
              </w:rPr>
            </w:pPr>
          </w:p>
        </w:tc>
        <w:tc>
          <w:tcPr>
            <w:tcW w:w="1087"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EA" w14:textId="77777777">
            <w:pPr>
              <w:autoSpaceDE/>
              <w:autoSpaceDN/>
              <w:adjustRightInd/>
              <w:jc w:val="center"/>
              <w:rPr>
                <w:rFonts w:cs="Arial"/>
                <w:b/>
                <w:bCs/>
                <w:color w:val="000000"/>
              </w:rPr>
            </w:pPr>
            <w:r w:rsidRPr="005F6062">
              <w:rPr>
                <w:rFonts w:cs="Arial"/>
                <w:b/>
                <w:bCs/>
                <w:color w:val="000000"/>
              </w:rPr>
              <w:t>Aerotest</w:t>
            </w:r>
          </w:p>
        </w:tc>
        <w:tc>
          <w:tcPr>
            <w:tcW w:w="1209"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EB" w14:textId="77777777">
            <w:pPr>
              <w:autoSpaceDE/>
              <w:autoSpaceDN/>
              <w:adjustRightInd/>
              <w:jc w:val="center"/>
              <w:rPr>
                <w:rFonts w:cs="Arial"/>
                <w:b/>
                <w:bCs/>
                <w:color w:val="000000"/>
              </w:rPr>
            </w:pPr>
            <w:r w:rsidRPr="005F6062">
              <w:rPr>
                <w:rFonts w:cs="Arial"/>
                <w:b/>
                <w:bCs/>
                <w:color w:val="000000"/>
              </w:rPr>
              <w:t>GE</w:t>
            </w:r>
            <w:r>
              <w:rPr>
                <w:rFonts w:cs="Arial"/>
                <w:b/>
                <w:bCs/>
                <w:color w:val="000000"/>
              </w:rPr>
              <w:t>-</w:t>
            </w:r>
            <w:r w:rsidRPr="005F6062">
              <w:rPr>
                <w:rFonts w:cs="Arial"/>
                <w:b/>
                <w:bCs/>
                <w:color w:val="000000"/>
              </w:rPr>
              <w:t>Hitachi</w:t>
            </w:r>
          </w:p>
        </w:tc>
        <w:tc>
          <w:tcPr>
            <w:tcW w:w="1316"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EC" w14:textId="77777777">
            <w:pPr>
              <w:autoSpaceDE/>
              <w:autoSpaceDN/>
              <w:adjustRightInd/>
              <w:jc w:val="center"/>
              <w:rPr>
                <w:rFonts w:cs="Arial"/>
                <w:b/>
                <w:bCs/>
                <w:color w:val="000000"/>
              </w:rPr>
            </w:pPr>
            <w:r w:rsidRPr="005F6062">
              <w:rPr>
                <w:rFonts w:cs="Arial"/>
                <w:b/>
                <w:bCs/>
                <w:color w:val="000000"/>
              </w:rPr>
              <w:t>TAMU (A)</w:t>
            </w:r>
          </w:p>
        </w:tc>
        <w:tc>
          <w:tcPr>
            <w:tcW w:w="1206"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ED" w14:textId="77777777">
            <w:pPr>
              <w:autoSpaceDE/>
              <w:autoSpaceDN/>
              <w:adjustRightInd/>
              <w:jc w:val="center"/>
              <w:rPr>
                <w:rFonts w:cs="Arial"/>
                <w:b/>
                <w:bCs/>
                <w:color w:val="000000"/>
              </w:rPr>
            </w:pPr>
            <w:r>
              <w:rPr>
                <w:rFonts w:cs="Arial"/>
                <w:b/>
                <w:bCs/>
                <w:color w:val="000000"/>
              </w:rPr>
              <w:t>UC</w:t>
            </w:r>
            <w:r w:rsidR="00DA6F7A">
              <w:rPr>
                <w:rFonts w:cs="Arial"/>
                <w:b/>
                <w:bCs/>
                <w:color w:val="000000"/>
              </w:rPr>
              <w:t>/</w:t>
            </w:r>
            <w:r>
              <w:rPr>
                <w:rFonts w:cs="Arial"/>
                <w:b/>
                <w:bCs/>
                <w:color w:val="000000"/>
              </w:rPr>
              <w:t>Davis</w:t>
            </w:r>
          </w:p>
        </w:tc>
        <w:tc>
          <w:tcPr>
            <w:tcW w:w="1184"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EE" w14:textId="77777777">
            <w:pPr>
              <w:autoSpaceDE/>
              <w:autoSpaceDN/>
              <w:adjustRightInd/>
              <w:jc w:val="center"/>
              <w:rPr>
                <w:rFonts w:cs="Arial"/>
                <w:b/>
                <w:bCs/>
                <w:color w:val="000000"/>
              </w:rPr>
            </w:pPr>
            <w:r>
              <w:rPr>
                <w:rFonts w:cs="Arial"/>
                <w:b/>
                <w:bCs/>
                <w:color w:val="000000"/>
              </w:rPr>
              <w:t>NIST</w:t>
            </w:r>
          </w:p>
        </w:tc>
        <w:tc>
          <w:tcPr>
            <w:tcW w:w="1184"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EF" w14:textId="77777777">
            <w:pPr>
              <w:autoSpaceDE/>
              <w:autoSpaceDN/>
              <w:adjustRightInd/>
              <w:jc w:val="center"/>
              <w:rPr>
                <w:rFonts w:cs="Arial"/>
                <w:b/>
                <w:bCs/>
                <w:color w:val="000000"/>
              </w:rPr>
            </w:pPr>
            <w:r>
              <w:rPr>
                <w:rFonts w:cs="Arial"/>
                <w:b/>
                <w:bCs/>
                <w:color w:val="000000"/>
              </w:rPr>
              <w:t>SHINE</w:t>
            </w:r>
          </w:p>
        </w:tc>
        <w:tc>
          <w:tcPr>
            <w:tcW w:w="1160" w:type="dxa"/>
            <w:tcBorders>
              <w:top w:val="nil"/>
              <w:left w:val="nil"/>
              <w:bottom w:val="single" w:sz="4" w:space="0" w:color="auto"/>
              <w:right w:val="single" w:sz="4" w:space="0" w:color="auto"/>
            </w:tcBorders>
            <w:shd w:val="clear" w:color="000000" w:fill="FFFFFF"/>
            <w:noWrap/>
            <w:vAlign w:val="center"/>
            <w:hideMark/>
          </w:tcPr>
          <w:p w:rsidR="0006658B" w:rsidRPr="005F6062" w:rsidP="00DC2BCE" w14:paraId="7F4939F0" w14:textId="77777777">
            <w:pPr>
              <w:autoSpaceDE/>
              <w:autoSpaceDN/>
              <w:adjustRightInd/>
              <w:jc w:val="center"/>
              <w:rPr>
                <w:rFonts w:cs="Arial"/>
                <w:b/>
                <w:bCs/>
                <w:color w:val="000000"/>
              </w:rPr>
            </w:pPr>
            <w:r w:rsidRPr="005F6062">
              <w:rPr>
                <w:rFonts w:cs="Arial"/>
                <w:b/>
                <w:bCs/>
                <w:color w:val="000000"/>
              </w:rPr>
              <w:t>N</w:t>
            </w:r>
            <w:r>
              <w:rPr>
                <w:rFonts w:cs="Arial"/>
                <w:b/>
                <w:bCs/>
                <w:color w:val="000000"/>
              </w:rPr>
              <w:t>WMI</w:t>
            </w:r>
          </w:p>
        </w:tc>
      </w:tr>
      <w:tr w14:paraId="7F4939FA" w14:textId="77777777" w:rsidTr="001F3201">
        <w:tblPrEx>
          <w:tblW w:w="10207" w:type="dxa"/>
          <w:jc w:val="center"/>
          <w:tblLayout w:type="fixed"/>
          <w:tblLook w:val="04A0"/>
        </w:tblPrEx>
        <w:trPr>
          <w:trHeight w:val="204"/>
          <w:jc w:val="center"/>
        </w:trPr>
        <w:tc>
          <w:tcPr>
            <w:tcW w:w="1861" w:type="dxa"/>
            <w:tcBorders>
              <w:top w:val="nil"/>
              <w:left w:val="single" w:sz="4" w:space="0" w:color="auto"/>
              <w:bottom w:val="single" w:sz="4" w:space="0" w:color="auto"/>
              <w:right w:val="single" w:sz="4" w:space="0" w:color="auto"/>
            </w:tcBorders>
            <w:shd w:val="clear" w:color="000000" w:fill="FFFFFF"/>
            <w:noWrap/>
            <w:vAlign w:val="bottom"/>
          </w:tcPr>
          <w:p w:rsidR="0006658B" w:rsidRPr="005F6062" w:rsidP="00DC2BCE" w14:paraId="7F4939F2" w14:textId="77777777">
            <w:pPr>
              <w:autoSpaceDE/>
              <w:autoSpaceDN/>
              <w:adjustRightInd/>
              <w:jc w:val="center"/>
              <w:rPr>
                <w:rFonts w:cs="Arial"/>
                <w:b/>
                <w:bCs/>
                <w:color w:val="000000"/>
              </w:rPr>
            </w:pPr>
            <w:r w:rsidRPr="005F6062">
              <w:rPr>
                <w:rFonts w:cs="Arial"/>
                <w:b/>
                <w:bCs/>
                <w:color w:val="000000"/>
              </w:rPr>
              <w:t>Initial Updated</w:t>
            </w:r>
            <w:r w:rsidRPr="005F6062">
              <w:rPr>
                <w:rFonts w:cs="Arial"/>
                <w:b/>
                <w:bCs/>
                <w:color w:val="000000"/>
              </w:rPr>
              <w:t xml:space="preserve"> FSAR </w:t>
            </w:r>
            <w:r w:rsidRPr="005F6062">
              <w:rPr>
                <w:rFonts w:cs="Arial"/>
                <w:b/>
                <w:bCs/>
                <w:color w:val="000000"/>
              </w:rPr>
              <w:t>Costs</w:t>
            </w:r>
          </w:p>
        </w:tc>
        <w:tc>
          <w:tcPr>
            <w:tcW w:w="1087" w:type="dxa"/>
            <w:tcBorders>
              <w:top w:val="single" w:sz="4" w:space="0" w:color="auto"/>
              <w:left w:val="nil"/>
              <w:bottom w:val="single" w:sz="4" w:space="0" w:color="auto"/>
              <w:right w:val="single" w:sz="4" w:space="0" w:color="auto"/>
            </w:tcBorders>
            <w:shd w:val="clear" w:color="000000" w:fill="FFFFFF"/>
            <w:noWrap/>
            <w:vAlign w:val="center"/>
          </w:tcPr>
          <w:p w:rsidR="0006658B" w:rsidRPr="005F6062" w:rsidP="00DC2BCE" w14:paraId="7F4939F3" w14:textId="77777777">
            <w:pPr>
              <w:autoSpaceDE/>
              <w:autoSpaceDN/>
              <w:adjustRightInd/>
              <w:jc w:val="center"/>
              <w:rPr>
                <w:rFonts w:cs="Arial"/>
                <w:color w:val="000000"/>
              </w:rPr>
            </w:pPr>
            <w:r>
              <w:rPr>
                <w:rFonts w:cs="Arial"/>
                <w:color w:val="000000"/>
              </w:rPr>
              <w:t>($21,000)</w:t>
            </w:r>
          </w:p>
        </w:tc>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346B95" w14:paraId="7F4939F4" w14:textId="77777777">
            <w:pPr>
              <w:autoSpaceDE/>
              <w:autoSpaceDN/>
              <w:adjustRightInd/>
              <w:jc w:val="center"/>
              <w:rPr>
                <w:rFonts w:cs="Arial"/>
                <w:color w:val="000000"/>
              </w:rPr>
            </w:pPr>
            <w:r>
              <w:rPr>
                <w:rFonts w:cs="Arial"/>
                <w:color w:val="000000"/>
              </w:rPr>
              <w:t>($21,000)</w:t>
            </w:r>
          </w:p>
        </w:tc>
        <w:tc>
          <w:tcPr>
            <w:tcW w:w="1316" w:type="dxa"/>
            <w:tcBorders>
              <w:top w:val="nil"/>
              <w:left w:val="single" w:sz="4" w:space="0" w:color="auto"/>
              <w:bottom w:val="single" w:sz="4" w:space="0" w:color="auto"/>
              <w:right w:val="single" w:sz="4" w:space="0" w:color="auto"/>
            </w:tcBorders>
            <w:shd w:val="clear" w:color="000000" w:fill="FFFFFF"/>
            <w:noWrap/>
            <w:vAlign w:val="center"/>
          </w:tcPr>
          <w:p w:rsidR="0006658B" w:rsidRPr="005F6062" w:rsidP="00DC2BCE" w14:paraId="7F4939F5" w14:textId="77777777">
            <w:pPr>
              <w:autoSpaceDE/>
              <w:autoSpaceDN/>
              <w:adjustRightInd/>
              <w:jc w:val="center"/>
              <w:rPr>
                <w:rFonts w:cs="Arial"/>
                <w:color w:val="000000"/>
              </w:rPr>
            </w:pPr>
            <w:r>
              <w:rPr>
                <w:rFonts w:cs="Arial"/>
                <w:color w:val="000000"/>
              </w:rPr>
              <w:t>($14</w:t>
            </w:r>
            <w:r w:rsidRPr="005F6062">
              <w:rPr>
                <w:rFonts w:cs="Arial"/>
                <w:color w:val="000000"/>
              </w:rPr>
              <w:t>,000</w:t>
            </w:r>
            <w:r>
              <w:rPr>
                <w:rFonts w:cs="Arial"/>
                <w:color w:val="000000"/>
              </w:rPr>
              <w:t>)</w:t>
            </w:r>
          </w:p>
        </w:tc>
        <w:tc>
          <w:tcPr>
            <w:tcW w:w="1206" w:type="dxa"/>
            <w:tcBorders>
              <w:top w:val="nil"/>
              <w:left w:val="nil"/>
              <w:bottom w:val="single" w:sz="4" w:space="0" w:color="auto"/>
              <w:right w:val="single" w:sz="4" w:space="0" w:color="auto"/>
            </w:tcBorders>
            <w:shd w:val="clear" w:color="000000" w:fill="FFFFFF"/>
            <w:noWrap/>
            <w:vAlign w:val="center"/>
          </w:tcPr>
          <w:p w:rsidR="0006658B" w:rsidRPr="005F6062" w:rsidP="00DC2BCE" w14:paraId="7F4939F6" w14:textId="77777777">
            <w:pPr>
              <w:autoSpaceDE/>
              <w:autoSpaceDN/>
              <w:adjustRightInd/>
              <w:jc w:val="center"/>
              <w:rPr>
                <w:rFonts w:cs="Arial"/>
                <w:color w:val="000000"/>
              </w:rPr>
            </w:pPr>
            <w:r>
              <w:rPr>
                <w:rFonts w:cs="Arial"/>
                <w:color w:val="000000"/>
              </w:rPr>
              <w:t>($37</w:t>
            </w:r>
            <w:r w:rsidRPr="005F6062">
              <w:rPr>
                <w:rFonts w:cs="Arial"/>
                <w:color w:val="000000"/>
              </w:rPr>
              <w:t>,000</w:t>
            </w:r>
            <w:r>
              <w:rPr>
                <w:rFonts w:cs="Arial"/>
                <w:color w:val="000000"/>
              </w:rPr>
              <w:t>)</w:t>
            </w:r>
          </w:p>
        </w:tc>
        <w:tc>
          <w:tcPr>
            <w:tcW w:w="1184" w:type="dxa"/>
            <w:tcBorders>
              <w:top w:val="single" w:sz="4" w:space="0" w:color="auto"/>
              <w:left w:val="nil"/>
              <w:bottom w:val="single" w:sz="4" w:space="0" w:color="auto"/>
              <w:right w:val="single" w:sz="4" w:space="0" w:color="auto"/>
            </w:tcBorders>
            <w:shd w:val="clear" w:color="000000" w:fill="FFFFFF"/>
            <w:noWrap/>
            <w:vAlign w:val="center"/>
          </w:tcPr>
          <w:p w:rsidR="0006658B" w:rsidRPr="005F6062" w:rsidP="00DC2BCE" w14:paraId="7F4939F7" w14:textId="77777777">
            <w:pPr>
              <w:autoSpaceDE/>
              <w:autoSpaceDN/>
              <w:adjustRightInd/>
              <w:jc w:val="center"/>
              <w:rPr>
                <w:rFonts w:cs="Arial"/>
                <w:color w:val="000000"/>
              </w:rPr>
            </w:pPr>
            <w:r>
              <w:rPr>
                <w:rFonts w:cs="Arial"/>
                <w:color w:val="000000"/>
              </w:rPr>
              <w:t>($42</w:t>
            </w:r>
            <w:r w:rsidRPr="005F6062">
              <w:rPr>
                <w:rFonts w:cs="Arial"/>
                <w:color w:val="000000"/>
              </w:rPr>
              <w:t>,000</w:t>
            </w:r>
            <w:r>
              <w:rPr>
                <w:rFonts w:cs="Arial"/>
                <w:color w:val="000000"/>
              </w:rPr>
              <w:t>)</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346B95" w14:paraId="7F4939F8" w14:textId="77777777">
            <w:pPr>
              <w:autoSpaceDE/>
              <w:autoSpaceDN/>
              <w:adjustRightInd/>
              <w:jc w:val="center"/>
              <w:rPr>
                <w:rFonts w:cs="Arial"/>
                <w:color w:val="000000"/>
              </w:rPr>
            </w:pPr>
            <w:r>
              <w:rPr>
                <w:rFonts w:cs="Arial"/>
                <w:color w:val="000000"/>
              </w:rPr>
              <w:t>($42</w:t>
            </w:r>
            <w:r w:rsidRPr="005F6062">
              <w:rPr>
                <w:rFonts w:cs="Arial"/>
                <w:color w:val="000000"/>
              </w:rPr>
              <w:t>,000</w:t>
            </w:r>
            <w:r>
              <w:rPr>
                <w:rFonts w:cs="Arial"/>
                <w:color w:val="000000"/>
              </w:rPr>
              <w:t>)</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346B95" w14:paraId="7F4939F9" w14:textId="77777777">
            <w:pPr>
              <w:autoSpaceDE/>
              <w:autoSpaceDN/>
              <w:adjustRightInd/>
              <w:jc w:val="center"/>
              <w:rPr>
                <w:rFonts w:cs="Arial"/>
                <w:color w:val="000000"/>
              </w:rPr>
            </w:pPr>
            <w:r>
              <w:rPr>
                <w:rFonts w:cs="Arial"/>
                <w:color w:val="000000"/>
              </w:rPr>
              <w:t>($42</w:t>
            </w:r>
            <w:r w:rsidRPr="005F6062">
              <w:rPr>
                <w:rFonts w:cs="Arial"/>
                <w:color w:val="000000"/>
              </w:rPr>
              <w:t>,000</w:t>
            </w:r>
            <w:r>
              <w:rPr>
                <w:rFonts w:cs="Arial"/>
                <w:color w:val="000000"/>
              </w:rPr>
              <w:t>)</w:t>
            </w:r>
          </w:p>
        </w:tc>
      </w:tr>
      <w:tr w14:paraId="7F4939FD" w14:textId="77777777" w:rsidTr="00346B95">
        <w:tblPrEx>
          <w:tblW w:w="10207" w:type="dxa"/>
          <w:jc w:val="center"/>
          <w:tblLayout w:type="fixed"/>
          <w:tblLook w:val="04A0"/>
        </w:tblPrEx>
        <w:trPr>
          <w:trHeight w:val="199"/>
          <w:jc w:val="center"/>
        </w:trPr>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DC2BCE" w14:paraId="7F4939FB" w14:textId="77777777">
            <w:pPr>
              <w:autoSpaceDE/>
              <w:autoSpaceDN/>
              <w:adjustRightInd/>
              <w:jc w:val="center"/>
              <w:rPr>
                <w:rFonts w:cs="Arial"/>
                <w:b/>
                <w:bCs/>
                <w:color w:val="000000"/>
              </w:rPr>
            </w:pPr>
            <w:r w:rsidRPr="005F6062">
              <w:rPr>
                <w:rFonts w:cs="Arial"/>
                <w:b/>
                <w:bCs/>
                <w:color w:val="000000"/>
              </w:rPr>
              <w:t xml:space="preserve">Undiscounted Total </w:t>
            </w:r>
            <w:r w:rsidR="00435C35">
              <w:rPr>
                <w:rFonts w:cs="Arial"/>
                <w:b/>
                <w:bCs/>
                <w:color w:val="000000"/>
              </w:rPr>
              <w:t xml:space="preserve">Licensee </w:t>
            </w:r>
            <w:r w:rsidRPr="005F6062">
              <w:rPr>
                <w:rFonts w:cs="Arial"/>
                <w:b/>
                <w:bCs/>
                <w:color w:val="000000"/>
              </w:rPr>
              <w:t>Operati</w:t>
            </w:r>
            <w:r>
              <w:rPr>
                <w:rFonts w:cs="Arial"/>
                <w:b/>
                <w:bCs/>
                <w:color w:val="000000"/>
              </w:rPr>
              <w:t>o</w:t>
            </w:r>
            <w:r w:rsidRPr="005F6062">
              <w:rPr>
                <w:rFonts w:cs="Arial"/>
                <w:b/>
                <w:bCs/>
                <w:color w:val="000000"/>
              </w:rPr>
              <w:t>n Cost</w:t>
            </w:r>
          </w:p>
        </w:tc>
        <w:tc>
          <w:tcPr>
            <w:tcW w:w="8346"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06658B" w:rsidRPr="005F6062" w:rsidP="00DC2BCE" w14:paraId="7F4939FC" w14:textId="77777777">
            <w:pPr>
              <w:autoSpaceDE/>
              <w:autoSpaceDN/>
              <w:adjustRightInd/>
              <w:jc w:val="center"/>
              <w:rPr>
                <w:rFonts w:cs="Arial"/>
                <w:b/>
                <w:color w:val="000000"/>
              </w:rPr>
            </w:pPr>
            <w:r>
              <w:rPr>
                <w:rFonts w:cs="Arial"/>
                <w:b/>
                <w:color w:val="000000"/>
              </w:rPr>
              <w:t>(</w:t>
            </w:r>
            <w:r w:rsidRPr="005F6062">
              <w:rPr>
                <w:rFonts w:cs="Arial"/>
                <w:b/>
                <w:color w:val="000000"/>
              </w:rPr>
              <w:t>$</w:t>
            </w:r>
            <w:r w:rsidR="00AF6F28">
              <w:rPr>
                <w:rFonts w:cs="Arial"/>
                <w:b/>
                <w:color w:val="000000"/>
              </w:rPr>
              <w:t>34</w:t>
            </w:r>
            <w:r w:rsidRPr="005F6062" w:rsidR="00AF6F28">
              <w:rPr>
                <w:rFonts w:cs="Arial"/>
                <w:b/>
                <w:color w:val="000000"/>
              </w:rPr>
              <w:t>0</w:t>
            </w:r>
            <w:r w:rsidRPr="005F6062">
              <w:rPr>
                <w:rFonts w:cs="Arial"/>
                <w:b/>
                <w:color w:val="000000"/>
              </w:rPr>
              <w:t>,000</w:t>
            </w:r>
            <w:r>
              <w:rPr>
                <w:rFonts w:cs="Arial"/>
                <w:b/>
                <w:color w:val="000000"/>
              </w:rPr>
              <w:t>)</w:t>
            </w:r>
          </w:p>
        </w:tc>
      </w:tr>
      <w:tr w14:paraId="7F493A00" w14:textId="77777777" w:rsidTr="00346B95">
        <w:tblPrEx>
          <w:tblW w:w="10207" w:type="dxa"/>
          <w:jc w:val="center"/>
          <w:tblLayout w:type="fixed"/>
          <w:tblLook w:val="04A0"/>
        </w:tblPrEx>
        <w:trPr>
          <w:trHeight w:val="199"/>
          <w:jc w:val="center"/>
        </w:trPr>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DC2BCE" w14:paraId="7F4939FE" w14:textId="77777777">
            <w:pPr>
              <w:autoSpaceDE/>
              <w:autoSpaceDN/>
              <w:adjustRightInd/>
              <w:jc w:val="center"/>
              <w:rPr>
                <w:rFonts w:cs="Arial"/>
                <w:b/>
                <w:bCs/>
                <w:color w:val="000000"/>
              </w:rPr>
            </w:pPr>
            <w:r w:rsidRPr="005F6062">
              <w:rPr>
                <w:rFonts w:cs="Arial"/>
                <w:b/>
                <w:bCs/>
                <w:color w:val="000000"/>
              </w:rPr>
              <w:t xml:space="preserve">Total </w:t>
            </w:r>
            <w:r w:rsidR="00435C35">
              <w:rPr>
                <w:rFonts w:cs="Arial"/>
                <w:b/>
                <w:bCs/>
                <w:color w:val="000000"/>
              </w:rPr>
              <w:t xml:space="preserve">Licensee </w:t>
            </w:r>
            <w:r w:rsidRPr="005F6062">
              <w:rPr>
                <w:rFonts w:cs="Arial"/>
                <w:b/>
                <w:bCs/>
                <w:color w:val="000000"/>
              </w:rPr>
              <w:t>Operation Cost at 3% Discounting</w:t>
            </w:r>
          </w:p>
        </w:tc>
        <w:tc>
          <w:tcPr>
            <w:tcW w:w="8346"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06658B" w:rsidRPr="005F6062" w:rsidP="00DC2BCE" w14:paraId="7F4939FF" w14:textId="77777777">
            <w:pPr>
              <w:autoSpaceDE/>
              <w:autoSpaceDN/>
              <w:adjustRightInd/>
              <w:jc w:val="center"/>
              <w:rPr>
                <w:rFonts w:cs="Arial"/>
                <w:b/>
                <w:color w:val="000000"/>
              </w:rPr>
            </w:pPr>
            <w:r>
              <w:rPr>
                <w:rFonts w:cs="Arial"/>
                <w:b/>
                <w:color w:val="000000"/>
              </w:rPr>
              <w:t>(</w:t>
            </w:r>
            <w:r w:rsidRPr="005F6062">
              <w:rPr>
                <w:rFonts w:cs="Arial"/>
                <w:b/>
                <w:color w:val="000000"/>
              </w:rPr>
              <w:t>$</w:t>
            </w:r>
            <w:r w:rsidRPr="005F6062" w:rsidR="00C020D6">
              <w:rPr>
                <w:rFonts w:cs="Arial"/>
                <w:b/>
                <w:color w:val="000000"/>
              </w:rPr>
              <w:t>2</w:t>
            </w:r>
            <w:r w:rsidR="00C020D6">
              <w:rPr>
                <w:rFonts w:cs="Arial"/>
                <w:b/>
                <w:color w:val="000000"/>
              </w:rPr>
              <w:t>7</w:t>
            </w:r>
            <w:r w:rsidRPr="005F6062" w:rsidR="00C020D6">
              <w:rPr>
                <w:rFonts w:cs="Arial"/>
                <w:b/>
                <w:color w:val="000000"/>
              </w:rPr>
              <w:t>0</w:t>
            </w:r>
            <w:r w:rsidRPr="005F6062">
              <w:rPr>
                <w:rFonts w:cs="Arial"/>
                <w:b/>
                <w:color w:val="000000"/>
              </w:rPr>
              <w:t>,000</w:t>
            </w:r>
            <w:r>
              <w:rPr>
                <w:rFonts w:cs="Arial"/>
                <w:b/>
                <w:color w:val="000000"/>
              </w:rPr>
              <w:t>)</w:t>
            </w:r>
          </w:p>
        </w:tc>
      </w:tr>
      <w:tr w14:paraId="7F493A03" w14:textId="77777777" w:rsidTr="00346B95">
        <w:tblPrEx>
          <w:tblW w:w="10207" w:type="dxa"/>
          <w:jc w:val="center"/>
          <w:tblLayout w:type="fixed"/>
          <w:tblLook w:val="04A0"/>
        </w:tblPrEx>
        <w:trPr>
          <w:trHeight w:val="199"/>
          <w:jc w:val="center"/>
        </w:trPr>
        <w:tc>
          <w:tcPr>
            <w:tcW w:w="1861"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DC2BCE" w14:paraId="7F493A01" w14:textId="77777777">
            <w:pPr>
              <w:autoSpaceDE/>
              <w:autoSpaceDN/>
              <w:adjustRightInd/>
              <w:jc w:val="center"/>
              <w:rPr>
                <w:rFonts w:cs="Arial"/>
                <w:b/>
                <w:bCs/>
                <w:color w:val="000000"/>
              </w:rPr>
            </w:pPr>
            <w:r w:rsidRPr="005F6062">
              <w:rPr>
                <w:rFonts w:cs="Arial"/>
                <w:b/>
                <w:bCs/>
                <w:color w:val="000000"/>
              </w:rPr>
              <w:t xml:space="preserve">Total </w:t>
            </w:r>
            <w:r w:rsidR="00435C35">
              <w:rPr>
                <w:rFonts w:cs="Arial"/>
                <w:b/>
                <w:bCs/>
                <w:color w:val="000000"/>
              </w:rPr>
              <w:t xml:space="preserve">Licensee </w:t>
            </w:r>
            <w:r w:rsidRPr="005F6062">
              <w:rPr>
                <w:rFonts w:cs="Arial"/>
                <w:b/>
                <w:bCs/>
                <w:color w:val="000000"/>
              </w:rPr>
              <w:t>Operation Cost at 7% Discounting</w:t>
            </w:r>
          </w:p>
        </w:tc>
        <w:tc>
          <w:tcPr>
            <w:tcW w:w="8346"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06658B" w:rsidRPr="005F6062" w:rsidP="00DC2BCE" w14:paraId="7F493A02" w14:textId="77777777">
            <w:pPr>
              <w:autoSpaceDE/>
              <w:autoSpaceDN/>
              <w:adjustRightInd/>
              <w:jc w:val="center"/>
              <w:rPr>
                <w:rFonts w:cs="Arial"/>
                <w:b/>
                <w:color w:val="000000"/>
              </w:rPr>
            </w:pPr>
            <w:r>
              <w:rPr>
                <w:rFonts w:cs="Arial"/>
                <w:b/>
                <w:color w:val="000000"/>
              </w:rPr>
              <w:t>(</w:t>
            </w:r>
            <w:r w:rsidRPr="005F6062">
              <w:rPr>
                <w:rFonts w:cs="Arial"/>
                <w:b/>
                <w:color w:val="000000"/>
              </w:rPr>
              <w:t>$</w:t>
            </w:r>
            <w:r w:rsidR="00C020D6">
              <w:rPr>
                <w:rFonts w:cs="Arial"/>
                <w:b/>
                <w:color w:val="000000"/>
              </w:rPr>
              <w:t>20</w:t>
            </w:r>
            <w:r w:rsidRPr="005F6062" w:rsidR="00C020D6">
              <w:rPr>
                <w:rFonts w:cs="Arial"/>
                <w:b/>
                <w:color w:val="000000"/>
              </w:rPr>
              <w:t>0</w:t>
            </w:r>
            <w:r w:rsidRPr="005F6062">
              <w:rPr>
                <w:rFonts w:cs="Arial"/>
                <w:b/>
                <w:color w:val="000000"/>
              </w:rPr>
              <w:t>,000</w:t>
            </w:r>
            <w:r>
              <w:rPr>
                <w:rFonts w:cs="Arial"/>
                <w:b/>
                <w:color w:val="000000"/>
              </w:rPr>
              <w:t>)</w:t>
            </w:r>
          </w:p>
        </w:tc>
      </w:tr>
    </w:tbl>
    <w:p w:rsidR="00AE0A0C" w:rsidP="00D96410" w14:paraId="7F493A04" w14:textId="77777777">
      <w:bookmarkStart w:id="277" w:name="_Toc434330232"/>
      <w:bookmarkStart w:id="278" w:name="_Toc443852798"/>
      <w:bookmarkStart w:id="279" w:name="_Toc530073287"/>
      <w:bookmarkStart w:id="280" w:name="_Toc534037105"/>
      <w:bookmarkStart w:id="281" w:name="_Toc534699725"/>
    </w:p>
    <w:p w:rsidR="00BF5AC4" w:rsidRPr="00346B95" w:rsidP="00346B95" w14:paraId="7F493A05" w14:textId="77777777">
      <w:pPr>
        <w:pStyle w:val="Heading3"/>
        <w:spacing w:before="0"/>
      </w:pPr>
      <w:bookmarkStart w:id="282" w:name="_Toc536603293"/>
      <w:r w:rsidRPr="00346B95">
        <w:t>3.3.</w:t>
      </w:r>
      <w:r w:rsidR="00C67E91">
        <w:t>4</w:t>
      </w:r>
      <w:r w:rsidRPr="00346B95" w:rsidR="00C67E91">
        <w:t xml:space="preserve"> </w:t>
      </w:r>
      <w:r w:rsidR="00A81A0C">
        <w:tab/>
      </w:r>
      <w:r w:rsidRPr="00346B95">
        <w:t>NRC Implementation</w:t>
      </w:r>
      <w:bookmarkEnd w:id="277"/>
      <w:bookmarkEnd w:id="278"/>
      <w:bookmarkEnd w:id="279"/>
      <w:r w:rsidRPr="00346B95" w:rsidR="00FF7F8D">
        <w:rPr>
          <w:bCs w:val="0"/>
        </w:rPr>
        <w:t xml:space="preserve"> Costs</w:t>
      </w:r>
      <w:bookmarkEnd w:id="280"/>
      <w:bookmarkEnd w:id="281"/>
      <w:bookmarkEnd w:id="282"/>
    </w:p>
    <w:p w:rsidR="00BF5AC4" w:rsidRPr="00D839EE" w:rsidP="00BF5AC4" w14:paraId="7F493A06" w14:textId="77777777">
      <w:pPr>
        <w:rPr>
          <w:rFonts w:cs="Arial"/>
          <w:sz w:val="22"/>
          <w:szCs w:val="22"/>
        </w:rPr>
      </w:pPr>
      <w:r w:rsidRPr="00D839EE">
        <w:rPr>
          <w:rFonts w:cs="Arial"/>
          <w:sz w:val="22"/>
          <w:szCs w:val="22"/>
        </w:rPr>
        <w:t xml:space="preserve">The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impose implementation costs on the NRC.  These incremental implementation costs include procedural and administrative activities such as </w:t>
      </w:r>
      <w:r w:rsidR="00952A47">
        <w:rPr>
          <w:rFonts w:cs="Arial"/>
          <w:sz w:val="22"/>
          <w:szCs w:val="22"/>
        </w:rPr>
        <w:t>updating</w:t>
      </w:r>
      <w:r w:rsidRPr="00D839EE">
        <w:rPr>
          <w:rFonts w:cs="Arial"/>
          <w:sz w:val="22"/>
          <w:szCs w:val="22"/>
        </w:rPr>
        <w:t xml:space="preserve"> guidance on the license renewal process, issuing orders to remove license terms and trigger </w:t>
      </w:r>
      <w:r w:rsidR="00643415">
        <w:rPr>
          <w:rFonts w:cs="Arial"/>
          <w:sz w:val="22"/>
          <w:szCs w:val="22"/>
        </w:rPr>
        <w:t xml:space="preserve">updated </w:t>
      </w:r>
      <w:r w:rsidRPr="00D839EE">
        <w:rPr>
          <w:rFonts w:cs="Arial"/>
          <w:sz w:val="22"/>
          <w:szCs w:val="22"/>
        </w:rPr>
        <w:t>FSAR submittals, training NRC staff, and updating the project qualification program.</w:t>
      </w:r>
      <w:r>
        <w:rPr>
          <w:rStyle w:val="FootnoteReference"/>
          <w:rFonts w:cs="Arial"/>
          <w:sz w:val="22"/>
          <w:szCs w:val="22"/>
        </w:rPr>
        <w:footnoteReference w:id="14"/>
      </w:r>
      <w:r w:rsidRPr="00D839EE">
        <w:rPr>
          <w:rFonts w:cs="Arial"/>
          <w:sz w:val="22"/>
          <w:szCs w:val="22"/>
        </w:rPr>
        <w:t xml:space="preserve">  These one-time costs are assumed to be incurred in </w:t>
      </w:r>
      <w:r w:rsidRPr="00D839EE" w:rsidR="00852EA4">
        <w:rPr>
          <w:rFonts w:cs="Arial"/>
          <w:sz w:val="22"/>
          <w:szCs w:val="22"/>
        </w:rPr>
        <w:t>2020</w:t>
      </w:r>
      <w:r w:rsidRPr="00D839EE">
        <w:rPr>
          <w:rFonts w:cs="Arial"/>
          <w:sz w:val="22"/>
          <w:szCs w:val="22"/>
        </w:rPr>
        <w:t>.</w:t>
      </w:r>
    </w:p>
    <w:p w:rsidR="00BF5AC4" w:rsidRPr="001176AF" w:rsidP="0083525A" w14:paraId="7F493A07" w14:textId="77777777">
      <w:pPr>
        <w:pStyle w:val="Header"/>
        <w:tabs>
          <w:tab w:val="clear" w:pos="4680"/>
          <w:tab w:val="clear" w:pos="9360"/>
        </w:tabs>
        <w:autoSpaceDE w:val="0"/>
        <w:autoSpaceDN w:val="0"/>
        <w:adjustRightInd w:val="0"/>
        <w:rPr>
          <w:rFonts w:ascii="Arial" w:hAnsi="Arial"/>
        </w:rPr>
      </w:pPr>
    </w:p>
    <w:p w:rsidR="00BF5AC4" w:rsidRPr="00D839EE" w:rsidP="00BF5AC4" w14:paraId="7F493A08" w14:textId="497648E2">
      <w:pPr>
        <w:rPr>
          <w:rFonts w:cs="Arial"/>
          <w:sz w:val="22"/>
          <w:szCs w:val="22"/>
        </w:rPr>
      </w:pPr>
      <w:r w:rsidRPr="00CF41A7">
        <w:rPr>
          <w:rFonts w:cs="Arial"/>
          <w:sz w:val="22"/>
          <w:szCs w:val="22"/>
        </w:rPr>
        <w:fldChar w:fldCharType="begin"/>
      </w:r>
      <w:r w:rsidRPr="00CF41A7">
        <w:rPr>
          <w:rFonts w:cs="Arial"/>
          <w:sz w:val="22"/>
          <w:szCs w:val="22"/>
        </w:rPr>
        <w:instrText xml:space="preserve"> REF _Ref534035535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16</w:t>
      </w:r>
      <w:r w:rsidRPr="00CF41A7">
        <w:rPr>
          <w:rFonts w:cs="Arial"/>
          <w:sz w:val="22"/>
          <w:szCs w:val="22"/>
        </w:rPr>
        <w:fldChar w:fldCharType="end"/>
      </w:r>
      <w:r>
        <w:rPr>
          <w:rFonts w:cs="Arial"/>
          <w:sz w:val="22"/>
          <w:szCs w:val="22"/>
        </w:rPr>
        <w:t xml:space="preserve"> </w:t>
      </w:r>
      <w:r w:rsidRPr="00D839EE">
        <w:rPr>
          <w:rFonts w:cs="Arial"/>
          <w:sz w:val="22"/>
          <w:szCs w:val="22"/>
        </w:rPr>
        <w:t>presents the NRC’s total implementation costs</w:t>
      </w:r>
      <w:r w:rsidRPr="00D839EE" w:rsidR="0086057C">
        <w:rPr>
          <w:rFonts w:cs="Arial"/>
          <w:sz w:val="22"/>
          <w:szCs w:val="22"/>
        </w:rPr>
        <w:t>,</w:t>
      </w:r>
      <w:r w:rsidRPr="00D839EE">
        <w:rPr>
          <w:rFonts w:cs="Arial"/>
          <w:sz w:val="22"/>
          <w:szCs w:val="22"/>
        </w:rPr>
        <w:t xml:space="preserve"> which amount to a one-time cost of </w:t>
      </w:r>
      <w:r w:rsidR="00177DFD">
        <w:rPr>
          <w:rFonts w:cs="Arial"/>
          <w:sz w:val="22"/>
          <w:szCs w:val="22"/>
        </w:rPr>
        <w:t>(</w:t>
      </w:r>
      <w:r w:rsidRPr="000657AF">
        <w:rPr>
          <w:rFonts w:cs="Arial"/>
          <w:sz w:val="22"/>
          <w:szCs w:val="22"/>
        </w:rPr>
        <w:t>$</w:t>
      </w:r>
      <w:r w:rsidR="00906FFB">
        <w:rPr>
          <w:rFonts w:cs="Arial"/>
          <w:sz w:val="22"/>
          <w:szCs w:val="22"/>
        </w:rPr>
        <w:t>71</w:t>
      </w:r>
      <w:r w:rsidRPr="00D839EE" w:rsidR="008148F9">
        <w:rPr>
          <w:rFonts w:cs="Arial"/>
          <w:sz w:val="22"/>
          <w:szCs w:val="22"/>
        </w:rPr>
        <w:t>,000</w:t>
      </w:r>
      <w:r w:rsidR="00177DFD">
        <w:rPr>
          <w:rFonts w:cs="Arial"/>
          <w:sz w:val="22"/>
          <w:szCs w:val="22"/>
        </w:rPr>
        <w:t>)</w:t>
      </w:r>
      <w:r w:rsidRPr="00D839EE" w:rsidR="00B247A7">
        <w:rPr>
          <w:rFonts w:cs="Arial"/>
          <w:sz w:val="22"/>
          <w:szCs w:val="22"/>
        </w:rPr>
        <w:t xml:space="preserve"> </w:t>
      </w:r>
      <w:r w:rsidRPr="00D839EE">
        <w:rPr>
          <w:rFonts w:cs="Arial"/>
          <w:sz w:val="22"/>
          <w:szCs w:val="22"/>
        </w:rPr>
        <w:t xml:space="preserve">over the 20-year analysis period.  The NRC’s implementation costs are not </w:t>
      </w:r>
      <w:r w:rsidR="00643415">
        <w:rPr>
          <w:rFonts w:cs="Arial"/>
          <w:sz w:val="22"/>
          <w:szCs w:val="22"/>
        </w:rPr>
        <w:t>dependent</w:t>
      </w:r>
      <w:r w:rsidRPr="00D839EE" w:rsidR="00643415">
        <w:rPr>
          <w:rFonts w:cs="Arial"/>
          <w:sz w:val="22"/>
          <w:szCs w:val="22"/>
        </w:rPr>
        <w:t xml:space="preserve"> </w:t>
      </w:r>
      <w:r w:rsidRPr="00D839EE">
        <w:rPr>
          <w:rFonts w:cs="Arial"/>
          <w:sz w:val="22"/>
          <w:szCs w:val="22"/>
        </w:rPr>
        <w:t xml:space="preserve">on </w:t>
      </w:r>
      <w:r w:rsidR="00643415">
        <w:rPr>
          <w:rFonts w:cs="Arial"/>
          <w:sz w:val="22"/>
          <w:szCs w:val="22"/>
        </w:rPr>
        <w:t xml:space="preserve">licensee </w:t>
      </w:r>
      <w:r w:rsidRPr="00D839EE">
        <w:rPr>
          <w:rFonts w:cs="Arial"/>
          <w:sz w:val="22"/>
          <w:szCs w:val="22"/>
        </w:rPr>
        <w:t>categor</w:t>
      </w:r>
      <w:r w:rsidR="00643415">
        <w:rPr>
          <w:rFonts w:cs="Arial"/>
          <w:sz w:val="22"/>
          <w:szCs w:val="22"/>
        </w:rPr>
        <w:t>ies or groups</w:t>
      </w:r>
      <w:r w:rsidRPr="00D839EE">
        <w:rPr>
          <w:rFonts w:cs="Arial"/>
          <w:sz w:val="22"/>
          <w:szCs w:val="22"/>
        </w:rPr>
        <w:t>.</w:t>
      </w:r>
    </w:p>
    <w:p w:rsidR="00BF5AC4" w:rsidRPr="00C408FF" w:rsidP="00BF5AC4" w14:paraId="7F493A09" w14:textId="77777777">
      <w:pPr>
        <w:rPr>
          <w:rFonts w:cs="Arial"/>
          <w:sz w:val="22"/>
          <w:szCs w:val="22"/>
        </w:rPr>
      </w:pPr>
    </w:p>
    <w:p w:rsidR="00E064CA" w:rsidRPr="000F7FD1" w:rsidP="00AC71D8" w14:paraId="7F493A0A" w14:textId="7D607601">
      <w:pPr>
        <w:pStyle w:val="Caption"/>
        <w:keepNext/>
        <w:spacing w:after="0"/>
        <w:jc w:val="center"/>
        <w:rPr>
          <w:b/>
          <w:color w:val="auto"/>
          <w:sz w:val="22"/>
          <w:szCs w:val="22"/>
        </w:rPr>
      </w:pPr>
      <w:bookmarkStart w:id="283" w:name="_Ref534035535"/>
      <w:bookmarkStart w:id="284" w:name="_Toc534037065"/>
      <w:bookmarkStart w:id="285" w:name="_Toc534710009"/>
      <w:bookmarkStart w:id="286" w:name="_Toc534711694"/>
      <w:bookmarkStart w:id="287" w:name="_Toc534712127"/>
      <w:bookmarkStart w:id="288" w:name="_Toc534712704"/>
      <w:bookmarkStart w:id="289" w:name="_Toc534713213"/>
      <w:bookmarkStart w:id="290" w:name="_Toc9526473"/>
      <w:bookmarkStart w:id="291" w:name="_Toc536603422"/>
      <w:r w:rsidRPr="000F7FD1">
        <w:rPr>
          <w:b/>
          <w:i w:val="0"/>
          <w:color w:val="auto"/>
          <w:sz w:val="22"/>
          <w:szCs w:val="22"/>
        </w:rPr>
        <w:t>Exhibit</w:t>
      </w:r>
      <w:r w:rsidRPr="000F7FD1" w:rsidR="00A440A1">
        <w:rPr>
          <w:b/>
          <w:i w:val="0"/>
          <w:color w:val="auto"/>
          <w:sz w:val="22"/>
          <w:szCs w:val="22"/>
        </w:rPr>
        <w:t xml:space="preserve"> 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16</w:t>
      </w:r>
      <w:r w:rsidRPr="000F7FD1" w:rsidR="00C276FC">
        <w:rPr>
          <w:b/>
          <w:i w:val="0"/>
          <w:color w:val="auto"/>
          <w:sz w:val="22"/>
          <w:szCs w:val="22"/>
        </w:rPr>
        <w:fldChar w:fldCharType="end"/>
      </w:r>
      <w:bookmarkEnd w:id="283"/>
      <w:r w:rsidRPr="000F7FD1">
        <w:rPr>
          <w:b/>
          <w:i w:val="0"/>
          <w:color w:val="auto"/>
          <w:sz w:val="22"/>
          <w:szCs w:val="22"/>
        </w:rPr>
        <w:t>. Breakdown of NRC Implementation Costs (</w:t>
      </w:r>
      <w:r w:rsidRPr="000F7FD1" w:rsidR="009170F7">
        <w:rPr>
          <w:b/>
          <w:i w:val="0"/>
          <w:color w:val="auto"/>
          <w:sz w:val="22"/>
          <w:szCs w:val="22"/>
        </w:rPr>
        <w:t>2020$</w:t>
      </w:r>
      <w:r w:rsidRPr="000F7FD1">
        <w:rPr>
          <w:b/>
          <w:i w:val="0"/>
          <w:color w:val="auto"/>
          <w:sz w:val="22"/>
          <w:szCs w:val="22"/>
        </w:rPr>
        <w:t>)</w:t>
      </w:r>
      <w:bookmarkEnd w:id="284"/>
      <w:bookmarkEnd w:id="285"/>
      <w:bookmarkEnd w:id="286"/>
      <w:bookmarkEnd w:id="287"/>
      <w:bookmarkEnd w:id="288"/>
      <w:bookmarkEnd w:id="289"/>
      <w:bookmarkEnd w:id="290"/>
      <w:bookmarkEnd w:id="291"/>
    </w:p>
    <w:tbl>
      <w:tblPr>
        <w:tblStyle w:val="TableGrid"/>
        <w:tblW w:w="9586" w:type="dxa"/>
        <w:jc w:val="center"/>
        <w:tblLook w:val="04A0"/>
      </w:tblPr>
      <w:tblGrid>
        <w:gridCol w:w="4734"/>
        <w:gridCol w:w="4852"/>
      </w:tblGrid>
      <w:tr w14:paraId="7F493A0D" w14:textId="77777777" w:rsidTr="00B02EE3">
        <w:tblPrEx>
          <w:tblW w:w="9586" w:type="dxa"/>
          <w:jc w:val="center"/>
          <w:tblLook w:val="04A0"/>
        </w:tblPrEx>
        <w:trPr>
          <w:trHeight w:val="197"/>
          <w:jc w:val="center"/>
        </w:trPr>
        <w:tc>
          <w:tcPr>
            <w:tcW w:w="4734" w:type="dxa"/>
            <w:noWrap/>
            <w:vAlign w:val="center"/>
            <w:hideMark/>
          </w:tcPr>
          <w:p w:rsidR="00AF1B9E" w:rsidRPr="00450393" w:rsidP="00E25817" w14:paraId="7F493A0B" w14:textId="77777777">
            <w:pPr>
              <w:keepNext/>
              <w:keepLines/>
              <w:jc w:val="center"/>
              <w:rPr>
                <w:b/>
              </w:rPr>
            </w:pPr>
            <w:r w:rsidRPr="00450393">
              <w:rPr>
                <w:b/>
              </w:rPr>
              <w:t>One-</w:t>
            </w:r>
            <w:r w:rsidR="00C408FF">
              <w:rPr>
                <w:b/>
              </w:rPr>
              <w:t>T</w:t>
            </w:r>
            <w:r w:rsidRPr="00450393">
              <w:rPr>
                <w:b/>
              </w:rPr>
              <w:t xml:space="preserve">ime </w:t>
            </w:r>
            <w:r w:rsidR="00E25817">
              <w:rPr>
                <w:b/>
              </w:rPr>
              <w:t>NRC</w:t>
            </w:r>
            <w:r w:rsidRPr="00450393" w:rsidR="00E25817">
              <w:rPr>
                <w:b/>
              </w:rPr>
              <w:t xml:space="preserve"> </w:t>
            </w:r>
            <w:r w:rsidRPr="00450393">
              <w:rPr>
                <w:b/>
              </w:rPr>
              <w:t>Implementation Costs</w:t>
            </w:r>
          </w:p>
        </w:tc>
        <w:tc>
          <w:tcPr>
            <w:tcW w:w="4852" w:type="dxa"/>
            <w:noWrap/>
            <w:vAlign w:val="center"/>
          </w:tcPr>
          <w:p w:rsidR="00AF1B9E" w:rsidRPr="00D839EE" w:rsidP="000D562F" w14:paraId="7F493A0C" w14:textId="77777777">
            <w:pPr>
              <w:keepNext/>
              <w:keepLines/>
              <w:jc w:val="center"/>
              <w:rPr>
                <w:rFonts w:cs="Arial"/>
                <w:b/>
                <w:bCs/>
              </w:rPr>
            </w:pPr>
            <w:r>
              <w:rPr>
                <w:b/>
              </w:rPr>
              <w:t>All C</w:t>
            </w:r>
            <w:r>
              <w:rPr>
                <w:rFonts w:cs="Arial"/>
                <w:b/>
                <w:bCs/>
              </w:rPr>
              <w:t>ategories</w:t>
            </w:r>
            <w:r w:rsidR="00643415">
              <w:rPr>
                <w:rFonts w:cs="Arial"/>
                <w:b/>
                <w:bCs/>
              </w:rPr>
              <w:t>/Groups</w:t>
            </w:r>
          </w:p>
        </w:tc>
      </w:tr>
      <w:tr w14:paraId="7F493A10" w14:textId="77777777" w:rsidTr="00B02EE3">
        <w:tblPrEx>
          <w:tblW w:w="9586" w:type="dxa"/>
          <w:jc w:val="center"/>
          <w:tblLook w:val="04A0"/>
        </w:tblPrEx>
        <w:trPr>
          <w:trHeight w:val="233"/>
          <w:jc w:val="center"/>
        </w:trPr>
        <w:tc>
          <w:tcPr>
            <w:tcW w:w="4734" w:type="dxa"/>
            <w:noWrap/>
            <w:vAlign w:val="center"/>
            <w:hideMark/>
          </w:tcPr>
          <w:p w:rsidR="00DF7B76" w:rsidRPr="00D839EE" w:rsidP="0083525A" w14:paraId="7F493A0E" w14:textId="77777777">
            <w:pPr>
              <w:keepNext/>
              <w:keepLines/>
              <w:jc w:val="right"/>
              <w:rPr>
                <w:rFonts w:cs="Arial"/>
              </w:rPr>
            </w:pPr>
            <w:r>
              <w:rPr>
                <w:rFonts w:cs="Arial"/>
              </w:rPr>
              <w:t>Updating</w:t>
            </w:r>
            <w:r w:rsidRPr="00D839EE">
              <w:rPr>
                <w:rFonts w:cs="Arial"/>
              </w:rPr>
              <w:t xml:space="preserve"> Guidance on </w:t>
            </w:r>
            <w:r w:rsidR="00C408FF">
              <w:rPr>
                <w:rFonts w:cs="Arial"/>
              </w:rPr>
              <w:t>R</w:t>
            </w:r>
            <w:r w:rsidRPr="00D839EE">
              <w:rPr>
                <w:rFonts w:cs="Arial"/>
              </w:rPr>
              <w:t>evised L</w:t>
            </w:r>
            <w:r w:rsidR="00C408FF">
              <w:rPr>
                <w:rFonts w:cs="Arial"/>
              </w:rPr>
              <w:t xml:space="preserve">icense </w:t>
            </w:r>
            <w:r w:rsidRPr="00D839EE">
              <w:rPr>
                <w:rFonts w:cs="Arial"/>
              </w:rPr>
              <w:t>R</w:t>
            </w:r>
            <w:r w:rsidR="00C408FF">
              <w:rPr>
                <w:rFonts w:cs="Arial"/>
              </w:rPr>
              <w:t>enewal</w:t>
            </w:r>
            <w:r w:rsidRPr="00D839EE">
              <w:rPr>
                <w:rFonts w:cs="Arial"/>
              </w:rPr>
              <w:t xml:space="preserve"> Process</w:t>
            </w:r>
          </w:p>
        </w:tc>
        <w:tc>
          <w:tcPr>
            <w:tcW w:w="4852" w:type="dxa"/>
            <w:noWrap/>
            <w:vAlign w:val="center"/>
            <w:hideMark/>
          </w:tcPr>
          <w:p w:rsidR="00DF7B76" w:rsidRPr="00450393" w14:paraId="7F493A0F" w14:textId="77777777">
            <w:pPr>
              <w:keepNext/>
              <w:keepLines/>
              <w:jc w:val="center"/>
            </w:pPr>
            <w:r>
              <w:t>(</w:t>
            </w:r>
            <w:r w:rsidRPr="00450393">
              <w:t>$</w:t>
            </w:r>
            <w:r w:rsidRPr="00D839EE" w:rsidR="00241930">
              <w:rPr>
                <w:rFonts w:cs="Arial"/>
              </w:rPr>
              <w:t>2</w:t>
            </w:r>
            <w:r w:rsidR="00241930">
              <w:rPr>
                <w:rFonts w:cs="Arial"/>
              </w:rPr>
              <w:t>6</w:t>
            </w:r>
            <w:r w:rsidRPr="00450393">
              <w:t>,000</w:t>
            </w:r>
            <w:r>
              <w:t>)</w:t>
            </w:r>
          </w:p>
        </w:tc>
      </w:tr>
      <w:tr w14:paraId="7F493A13" w14:textId="77777777" w:rsidTr="00B02EE3">
        <w:tblPrEx>
          <w:tblW w:w="9586" w:type="dxa"/>
          <w:jc w:val="center"/>
          <w:tblLook w:val="04A0"/>
        </w:tblPrEx>
        <w:trPr>
          <w:trHeight w:val="206"/>
          <w:jc w:val="center"/>
        </w:trPr>
        <w:tc>
          <w:tcPr>
            <w:tcW w:w="4734" w:type="dxa"/>
            <w:noWrap/>
            <w:vAlign w:val="center"/>
            <w:hideMark/>
          </w:tcPr>
          <w:p w:rsidR="00DF7B76" w:rsidRPr="00D839EE" w:rsidP="0083525A" w14:paraId="7F493A11" w14:textId="77777777">
            <w:pPr>
              <w:keepNext/>
              <w:keepLines/>
              <w:jc w:val="right"/>
              <w:rPr>
                <w:rFonts w:cs="Arial"/>
              </w:rPr>
            </w:pPr>
            <w:r w:rsidRPr="00D839EE">
              <w:rPr>
                <w:rFonts w:cs="Arial"/>
              </w:rPr>
              <w:t>Issue Orders</w:t>
            </w:r>
            <w:r w:rsidR="004729CC">
              <w:rPr>
                <w:rFonts w:cs="Arial"/>
              </w:rPr>
              <w:t>*</w:t>
            </w:r>
          </w:p>
        </w:tc>
        <w:tc>
          <w:tcPr>
            <w:tcW w:w="4852" w:type="dxa"/>
            <w:noWrap/>
            <w:vAlign w:val="center"/>
            <w:hideMark/>
          </w:tcPr>
          <w:p w:rsidR="00DF7B76" w:rsidRPr="00450393" w14:paraId="7F493A12" w14:textId="77777777">
            <w:pPr>
              <w:keepNext/>
              <w:keepLines/>
              <w:jc w:val="center"/>
            </w:pPr>
            <w:r>
              <w:t>(</w:t>
            </w:r>
            <w:r w:rsidRPr="00450393">
              <w:t>$</w:t>
            </w:r>
            <w:r w:rsidRPr="00D839EE" w:rsidR="00241930">
              <w:rPr>
                <w:rFonts w:cs="Arial"/>
              </w:rPr>
              <w:t>2</w:t>
            </w:r>
            <w:r w:rsidR="00241930">
              <w:rPr>
                <w:rFonts w:cs="Arial"/>
              </w:rPr>
              <w:t>1</w:t>
            </w:r>
            <w:r w:rsidRPr="00450393">
              <w:t>,000</w:t>
            </w:r>
            <w:r>
              <w:t>)</w:t>
            </w:r>
          </w:p>
        </w:tc>
      </w:tr>
      <w:tr w14:paraId="7F493A16" w14:textId="77777777" w:rsidTr="00B02EE3">
        <w:tblPrEx>
          <w:tblW w:w="9586" w:type="dxa"/>
          <w:jc w:val="center"/>
          <w:tblLook w:val="04A0"/>
        </w:tblPrEx>
        <w:trPr>
          <w:trHeight w:val="107"/>
          <w:jc w:val="center"/>
        </w:trPr>
        <w:tc>
          <w:tcPr>
            <w:tcW w:w="4734" w:type="dxa"/>
            <w:noWrap/>
            <w:vAlign w:val="center"/>
            <w:hideMark/>
          </w:tcPr>
          <w:p w:rsidR="00DF7B76" w:rsidRPr="00D839EE" w:rsidP="0083525A" w14:paraId="7F493A14" w14:textId="77777777">
            <w:pPr>
              <w:keepNext/>
              <w:keepLines/>
              <w:jc w:val="right"/>
              <w:rPr>
                <w:rFonts w:cs="Arial"/>
              </w:rPr>
            </w:pPr>
            <w:r w:rsidRPr="00D839EE">
              <w:rPr>
                <w:rFonts w:cs="Arial"/>
              </w:rPr>
              <w:t>Training NRC Staff</w:t>
            </w:r>
            <w:r w:rsidR="00BF42F9">
              <w:rPr>
                <w:rFonts w:cs="Arial"/>
              </w:rPr>
              <w:t>**</w:t>
            </w:r>
          </w:p>
        </w:tc>
        <w:tc>
          <w:tcPr>
            <w:tcW w:w="4852" w:type="dxa"/>
            <w:noWrap/>
            <w:vAlign w:val="center"/>
            <w:hideMark/>
          </w:tcPr>
          <w:p w:rsidR="00DF7B76" w:rsidRPr="00450393" w:rsidP="00450393" w14:paraId="7F493A15" w14:textId="77777777">
            <w:pPr>
              <w:keepNext/>
              <w:keepLines/>
              <w:jc w:val="center"/>
            </w:pPr>
            <w:r>
              <w:t>(</w:t>
            </w:r>
            <w:r w:rsidRPr="00450393">
              <w:t>$</w:t>
            </w:r>
            <w:r w:rsidRPr="00D839EE" w:rsidR="00241930">
              <w:rPr>
                <w:rFonts w:cs="Arial"/>
              </w:rPr>
              <w:t>2</w:t>
            </w:r>
            <w:r w:rsidR="00241930">
              <w:rPr>
                <w:rFonts w:cs="Arial"/>
              </w:rPr>
              <w:t>2</w:t>
            </w:r>
            <w:r w:rsidRPr="00450393">
              <w:t>,000</w:t>
            </w:r>
            <w:r>
              <w:t>)</w:t>
            </w:r>
          </w:p>
        </w:tc>
      </w:tr>
      <w:tr w14:paraId="7F493A19" w14:textId="77777777" w:rsidTr="00B02EE3">
        <w:tblPrEx>
          <w:tblW w:w="9586" w:type="dxa"/>
          <w:jc w:val="center"/>
          <w:tblLook w:val="04A0"/>
        </w:tblPrEx>
        <w:trPr>
          <w:trHeight w:val="224"/>
          <w:jc w:val="center"/>
        </w:trPr>
        <w:tc>
          <w:tcPr>
            <w:tcW w:w="4734" w:type="dxa"/>
            <w:noWrap/>
            <w:vAlign w:val="center"/>
            <w:hideMark/>
          </w:tcPr>
          <w:p w:rsidR="00DF7B76" w:rsidRPr="00D839EE" w:rsidP="0083525A" w14:paraId="7F493A17" w14:textId="77777777">
            <w:pPr>
              <w:keepNext/>
              <w:keepLines/>
              <w:jc w:val="right"/>
              <w:rPr>
                <w:rFonts w:cs="Arial"/>
              </w:rPr>
            </w:pPr>
            <w:r w:rsidRPr="00D839EE">
              <w:rPr>
                <w:rFonts w:cs="Arial"/>
              </w:rPr>
              <w:t>Updating Project Manager Qualification Program</w:t>
            </w:r>
          </w:p>
        </w:tc>
        <w:tc>
          <w:tcPr>
            <w:tcW w:w="4852" w:type="dxa"/>
            <w:noWrap/>
            <w:vAlign w:val="center"/>
            <w:hideMark/>
          </w:tcPr>
          <w:p w:rsidR="00DF7B76" w:rsidRPr="00450393" w:rsidP="00450393" w14:paraId="7F493A18" w14:textId="77777777">
            <w:pPr>
              <w:keepNext/>
              <w:keepLines/>
              <w:jc w:val="center"/>
            </w:pPr>
            <w:r>
              <w:t>(</w:t>
            </w:r>
            <w:r w:rsidRPr="00450393">
              <w:t>$1,</w:t>
            </w:r>
            <w:r w:rsidR="00241930">
              <w:rPr>
                <w:rFonts w:cs="Arial"/>
              </w:rPr>
              <w:t>6</w:t>
            </w:r>
            <w:r w:rsidRPr="00D839EE" w:rsidR="00241930">
              <w:rPr>
                <w:rFonts w:cs="Arial"/>
              </w:rPr>
              <w:t>00</w:t>
            </w:r>
            <w:r>
              <w:rPr>
                <w:rFonts w:cs="Arial"/>
              </w:rPr>
              <w:t>)</w:t>
            </w:r>
          </w:p>
        </w:tc>
      </w:tr>
      <w:tr w14:paraId="7F493A1C" w14:textId="77777777" w:rsidTr="00B02EE3">
        <w:tblPrEx>
          <w:tblW w:w="9586" w:type="dxa"/>
          <w:jc w:val="center"/>
          <w:tblLook w:val="04A0"/>
        </w:tblPrEx>
        <w:trPr>
          <w:trHeight w:val="170"/>
          <w:jc w:val="center"/>
        </w:trPr>
        <w:tc>
          <w:tcPr>
            <w:tcW w:w="4734" w:type="dxa"/>
            <w:noWrap/>
            <w:vAlign w:val="center"/>
            <w:hideMark/>
          </w:tcPr>
          <w:p w:rsidR="00DF7B76" w:rsidRPr="00450393" w:rsidP="00450393" w14:paraId="7F493A1A" w14:textId="77777777">
            <w:pPr>
              <w:keepNext/>
              <w:keepLines/>
              <w:jc w:val="center"/>
              <w:rPr>
                <w:b/>
              </w:rPr>
            </w:pPr>
            <w:r w:rsidRPr="00450393">
              <w:rPr>
                <w:b/>
              </w:rPr>
              <w:t>Total NRC Implementation Cost</w:t>
            </w:r>
            <w:r w:rsidR="004729CC">
              <w:rPr>
                <w:b/>
              </w:rPr>
              <w:t>**</w:t>
            </w:r>
            <w:r w:rsidR="00BF42F9">
              <w:rPr>
                <w:b/>
              </w:rPr>
              <w:t>*</w:t>
            </w:r>
          </w:p>
        </w:tc>
        <w:tc>
          <w:tcPr>
            <w:tcW w:w="4852" w:type="dxa"/>
            <w:noWrap/>
            <w:vAlign w:val="center"/>
            <w:hideMark/>
          </w:tcPr>
          <w:p w:rsidR="00DF7B76" w:rsidRPr="00450393" w:rsidP="00450393" w14:paraId="7F493A1B" w14:textId="77777777">
            <w:pPr>
              <w:keepNext/>
              <w:keepLines/>
              <w:jc w:val="center"/>
              <w:rPr>
                <w:b/>
              </w:rPr>
            </w:pPr>
            <w:r>
              <w:rPr>
                <w:b/>
              </w:rPr>
              <w:t>(</w:t>
            </w:r>
            <w:r w:rsidRPr="00450393">
              <w:rPr>
                <w:b/>
              </w:rPr>
              <w:t>$</w:t>
            </w:r>
            <w:r w:rsidR="00241930">
              <w:rPr>
                <w:rFonts w:cs="Arial"/>
                <w:b/>
                <w:bCs/>
              </w:rPr>
              <w:t>71</w:t>
            </w:r>
            <w:r w:rsidRPr="00450393">
              <w:rPr>
                <w:b/>
              </w:rPr>
              <w:t>,000</w:t>
            </w:r>
            <w:r>
              <w:rPr>
                <w:b/>
              </w:rPr>
              <w:t>)</w:t>
            </w:r>
          </w:p>
        </w:tc>
      </w:tr>
    </w:tbl>
    <w:p w:rsidR="004729CC" w:rsidP="00450393" w14:paraId="7F493A1D" w14:textId="77777777">
      <w:pPr>
        <w:contextualSpacing/>
        <w:rPr>
          <w:rFonts w:cs="Arial"/>
          <w:sz w:val="18"/>
        </w:rPr>
      </w:pPr>
      <w:r>
        <w:rPr>
          <w:rFonts w:cs="Arial"/>
          <w:sz w:val="18"/>
        </w:rPr>
        <w:t>*</w:t>
      </w:r>
      <w:r w:rsidR="007F31E4">
        <w:rPr>
          <w:rFonts w:cs="Arial"/>
          <w:sz w:val="18"/>
        </w:rPr>
        <w:t>O</w:t>
      </w:r>
      <w:r>
        <w:rPr>
          <w:rFonts w:cs="Arial"/>
          <w:sz w:val="18"/>
        </w:rPr>
        <w:t>rder</w:t>
      </w:r>
      <w:r w:rsidR="007F31E4">
        <w:rPr>
          <w:rFonts w:cs="Arial"/>
          <w:sz w:val="18"/>
        </w:rPr>
        <w:t>s will</w:t>
      </w:r>
      <w:r>
        <w:rPr>
          <w:rFonts w:cs="Arial"/>
          <w:sz w:val="18"/>
        </w:rPr>
        <w:t xml:space="preserve"> remove license terms (with the exception of NIST) and </w:t>
      </w:r>
      <w:r w:rsidR="007F31E4">
        <w:rPr>
          <w:rFonts w:cs="Arial"/>
          <w:sz w:val="18"/>
        </w:rPr>
        <w:t xml:space="preserve">trigger updated </w:t>
      </w:r>
      <w:r>
        <w:rPr>
          <w:rFonts w:cs="Arial"/>
          <w:sz w:val="18"/>
        </w:rPr>
        <w:t xml:space="preserve">FSAR </w:t>
      </w:r>
      <w:r w:rsidR="007F31E4">
        <w:rPr>
          <w:rFonts w:cs="Arial"/>
          <w:sz w:val="18"/>
        </w:rPr>
        <w:t>submittals</w:t>
      </w:r>
      <w:r w:rsidR="00BF42F9">
        <w:rPr>
          <w:rFonts w:cs="Arial"/>
          <w:sz w:val="18"/>
        </w:rPr>
        <w:t>.</w:t>
      </w:r>
    </w:p>
    <w:p w:rsidR="00BF42F9" w:rsidP="00450393" w14:paraId="7F493A1E" w14:textId="77777777">
      <w:pPr>
        <w:contextualSpacing/>
        <w:rPr>
          <w:rFonts w:cs="Arial"/>
          <w:sz w:val="18"/>
        </w:rPr>
      </w:pPr>
      <w:r>
        <w:rPr>
          <w:rFonts w:cs="Arial"/>
          <w:sz w:val="18"/>
        </w:rPr>
        <w:t>**</w:t>
      </w:r>
      <w:r>
        <w:rPr>
          <w:rFonts w:cs="Arial"/>
          <w:sz w:val="18"/>
        </w:rPr>
        <w:t>The NRC assumes</w:t>
      </w:r>
      <w:r w:rsidR="007F31E4">
        <w:rPr>
          <w:rFonts w:cs="Arial"/>
          <w:sz w:val="18"/>
        </w:rPr>
        <w:t xml:space="preserve"> this</w:t>
      </w:r>
      <w:r>
        <w:rPr>
          <w:rFonts w:cs="Arial"/>
          <w:sz w:val="18"/>
        </w:rPr>
        <w:t xml:space="preserve"> training </w:t>
      </w:r>
      <w:r w:rsidR="007F31E4">
        <w:rPr>
          <w:rFonts w:cs="Arial"/>
          <w:sz w:val="18"/>
        </w:rPr>
        <w:t xml:space="preserve">will take place in Rockville, Maryland at NRC HQ and </w:t>
      </w:r>
      <w:r>
        <w:rPr>
          <w:rFonts w:cs="Arial"/>
          <w:sz w:val="18"/>
        </w:rPr>
        <w:t>25</w:t>
      </w:r>
      <w:r w:rsidR="007F31E4">
        <w:rPr>
          <w:rFonts w:cs="Arial"/>
          <w:sz w:val="18"/>
        </w:rPr>
        <w:t xml:space="preserve"> NRC staff and</w:t>
      </w:r>
      <w:r>
        <w:rPr>
          <w:rFonts w:cs="Arial"/>
          <w:sz w:val="18"/>
        </w:rPr>
        <w:t xml:space="preserve"> inspectors</w:t>
      </w:r>
      <w:r w:rsidR="007F31E4">
        <w:rPr>
          <w:rFonts w:cs="Arial"/>
          <w:sz w:val="18"/>
        </w:rPr>
        <w:t xml:space="preserve"> will participate</w:t>
      </w:r>
      <w:r>
        <w:rPr>
          <w:rFonts w:cs="Arial"/>
          <w:sz w:val="18"/>
        </w:rPr>
        <w:t xml:space="preserve">. </w:t>
      </w:r>
    </w:p>
    <w:p w:rsidR="00BF5AC4" w:rsidRPr="00D839EE" w:rsidP="00450393" w14:paraId="7F493A1F" w14:textId="77777777">
      <w:pPr>
        <w:contextualSpacing/>
        <w:rPr>
          <w:rFonts w:cs="Arial"/>
          <w:sz w:val="18"/>
        </w:rPr>
      </w:pPr>
      <w:r>
        <w:rPr>
          <w:rFonts w:cs="Arial"/>
          <w:sz w:val="18"/>
        </w:rPr>
        <w:t>*</w:t>
      </w:r>
      <w:r w:rsidR="00BF42F9">
        <w:rPr>
          <w:rFonts w:cs="Arial"/>
          <w:sz w:val="18"/>
        </w:rPr>
        <w:t>*</w:t>
      </w:r>
      <w:r>
        <w:rPr>
          <w:rFonts w:cs="Arial"/>
          <w:sz w:val="18"/>
        </w:rPr>
        <w:t>*</w:t>
      </w:r>
      <w:r w:rsidRPr="00D839EE">
        <w:rPr>
          <w:rFonts w:cs="Arial"/>
          <w:sz w:val="18"/>
        </w:rPr>
        <w:t xml:space="preserve">Totals may not </w:t>
      </w:r>
      <w:r w:rsidR="002B0C73">
        <w:rPr>
          <w:rFonts w:cs="Arial"/>
          <w:sz w:val="18"/>
        </w:rPr>
        <w:t>match</w:t>
      </w:r>
      <w:r w:rsidRPr="00D839EE" w:rsidR="002B0C73">
        <w:rPr>
          <w:rFonts w:cs="Arial"/>
          <w:sz w:val="18"/>
        </w:rPr>
        <w:t xml:space="preserve"> </w:t>
      </w:r>
      <w:r w:rsidRPr="00D839EE">
        <w:rPr>
          <w:rFonts w:cs="Arial"/>
          <w:sz w:val="18"/>
        </w:rPr>
        <w:t>due to rounding.</w:t>
      </w:r>
    </w:p>
    <w:p w:rsidR="00BF5AC4" w:rsidRPr="00346B95" w:rsidP="00346B95" w14:paraId="7F493A20" w14:textId="77777777">
      <w:pPr>
        <w:pStyle w:val="Heading3"/>
        <w:spacing w:after="220"/>
      </w:pPr>
      <w:bookmarkStart w:id="292" w:name="_Toc434330233"/>
      <w:bookmarkStart w:id="293" w:name="_Toc443852799"/>
      <w:bookmarkStart w:id="294" w:name="_Toc530073288"/>
      <w:bookmarkStart w:id="295" w:name="_Toc534037106"/>
      <w:bookmarkStart w:id="296" w:name="_Toc534699726"/>
      <w:bookmarkStart w:id="297" w:name="_Toc536603294"/>
      <w:r w:rsidRPr="00346B95">
        <w:t>3.3.</w:t>
      </w:r>
      <w:r w:rsidR="00C67E91">
        <w:t>5</w:t>
      </w:r>
      <w:r w:rsidR="00D5564B">
        <w:tab/>
      </w:r>
      <w:r w:rsidRPr="00346B95">
        <w:t>NRC Operation</w:t>
      </w:r>
      <w:bookmarkEnd w:id="292"/>
      <w:bookmarkEnd w:id="293"/>
      <w:bookmarkEnd w:id="294"/>
      <w:r w:rsidRPr="00D96410" w:rsidR="00FF7F8D">
        <w:t xml:space="preserve"> Costs</w:t>
      </w:r>
      <w:bookmarkEnd w:id="295"/>
      <w:bookmarkEnd w:id="296"/>
      <w:bookmarkEnd w:id="297"/>
    </w:p>
    <w:p w:rsidR="00BF5AC4" w:rsidP="00BF5AC4" w14:paraId="7F493A21" w14:textId="77777777">
      <w:pPr>
        <w:rPr>
          <w:rFonts w:cs="Arial"/>
          <w:sz w:val="22"/>
          <w:szCs w:val="22"/>
        </w:rPr>
      </w:pPr>
      <w:r w:rsidRPr="00D839EE">
        <w:rPr>
          <w:rFonts w:cs="Arial"/>
          <w:sz w:val="22"/>
          <w:szCs w:val="22"/>
        </w:rPr>
        <w:t xml:space="preserve">The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w:t>
      </w:r>
      <w:r w:rsidR="00C068EE">
        <w:rPr>
          <w:rFonts w:cs="Arial"/>
          <w:sz w:val="22"/>
          <w:szCs w:val="22"/>
        </w:rPr>
        <w:t xml:space="preserve">also </w:t>
      </w:r>
      <w:r w:rsidRPr="00D839EE">
        <w:rPr>
          <w:rFonts w:cs="Arial"/>
          <w:sz w:val="22"/>
          <w:szCs w:val="22"/>
        </w:rPr>
        <w:t xml:space="preserve">impose operation costs on the NRC.  These incremental operation costs include recurring activities under the </w:t>
      </w:r>
      <w:r w:rsidRPr="00D839EE" w:rsidR="00BC5E9F">
        <w:rPr>
          <w:rFonts w:cs="Arial"/>
          <w:sz w:val="22"/>
          <w:szCs w:val="22"/>
        </w:rPr>
        <w:t>final</w:t>
      </w:r>
      <w:r w:rsidRPr="00D839EE">
        <w:rPr>
          <w:rFonts w:cs="Arial"/>
          <w:sz w:val="22"/>
          <w:szCs w:val="22"/>
        </w:rPr>
        <w:t xml:space="preserve"> rule such as the review of the updated FSARs </w:t>
      </w:r>
      <w:r w:rsidR="00464412">
        <w:rPr>
          <w:rFonts w:cs="Arial"/>
          <w:sz w:val="22"/>
          <w:szCs w:val="22"/>
        </w:rPr>
        <w:t xml:space="preserve">and </w:t>
      </w:r>
      <w:r w:rsidR="00A211AC">
        <w:rPr>
          <w:rFonts w:cs="Arial"/>
          <w:sz w:val="22"/>
          <w:szCs w:val="22"/>
        </w:rPr>
        <w:t>review of subsequent FSAR updates</w:t>
      </w:r>
      <w:r w:rsidRPr="00D839EE">
        <w:rPr>
          <w:rFonts w:cs="Arial"/>
          <w:sz w:val="22"/>
          <w:szCs w:val="22"/>
        </w:rPr>
        <w:t>.</w:t>
      </w:r>
    </w:p>
    <w:p w:rsidR="00E41970" w:rsidP="00BF5AC4" w14:paraId="4C73C0A7" w14:textId="77777777">
      <w:pPr>
        <w:rPr>
          <w:rFonts w:cs="Arial"/>
          <w:sz w:val="22"/>
          <w:szCs w:val="22"/>
        </w:rPr>
      </w:pPr>
    </w:p>
    <w:p w:rsidR="003F78B8" w:rsidP="00C068EE" w14:paraId="7F493A23" w14:textId="22615CD2">
      <w:pPr>
        <w:rPr>
          <w:b/>
        </w:rPr>
      </w:pPr>
      <w:r w:rsidRPr="00CF41A7">
        <w:rPr>
          <w:rFonts w:cs="Arial"/>
          <w:sz w:val="22"/>
          <w:szCs w:val="22"/>
        </w:rPr>
        <w:fldChar w:fldCharType="begin"/>
      </w:r>
      <w:r w:rsidRPr="00CF41A7">
        <w:rPr>
          <w:rFonts w:cs="Arial"/>
          <w:sz w:val="22"/>
          <w:szCs w:val="22"/>
        </w:rPr>
        <w:instrText xml:space="preserve"> REF _Ref534035572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17</w:t>
      </w:r>
      <w:r w:rsidRPr="00CF41A7">
        <w:rPr>
          <w:rFonts w:cs="Arial"/>
          <w:sz w:val="22"/>
          <w:szCs w:val="22"/>
        </w:rPr>
        <w:fldChar w:fldCharType="end"/>
      </w:r>
      <w:r>
        <w:rPr>
          <w:rFonts w:cs="Arial"/>
          <w:sz w:val="22"/>
          <w:szCs w:val="22"/>
        </w:rPr>
        <w:t xml:space="preserve"> </w:t>
      </w:r>
      <w:r w:rsidRPr="00D839EE" w:rsidR="00BF5AC4">
        <w:rPr>
          <w:rFonts w:cs="Arial"/>
          <w:sz w:val="22"/>
          <w:szCs w:val="22"/>
        </w:rPr>
        <w:t xml:space="preserve">details the NRC’s </w:t>
      </w:r>
      <w:r w:rsidRPr="00D839EE" w:rsidR="002C5B56">
        <w:rPr>
          <w:rFonts w:cs="Arial"/>
          <w:sz w:val="22"/>
          <w:szCs w:val="22"/>
        </w:rPr>
        <w:t xml:space="preserve">initial </w:t>
      </w:r>
      <w:r w:rsidR="00A720E8">
        <w:rPr>
          <w:rFonts w:cs="Arial"/>
          <w:sz w:val="22"/>
          <w:szCs w:val="22"/>
        </w:rPr>
        <w:t xml:space="preserve">and ongoing </w:t>
      </w:r>
      <w:r w:rsidRPr="00D839EE" w:rsidR="00BF5AC4">
        <w:rPr>
          <w:rFonts w:cs="Arial"/>
          <w:sz w:val="22"/>
          <w:szCs w:val="22"/>
        </w:rPr>
        <w:t>operation costs</w:t>
      </w:r>
      <w:r w:rsidR="00A720E8">
        <w:rPr>
          <w:rFonts w:cs="Arial"/>
          <w:sz w:val="22"/>
          <w:szCs w:val="22"/>
        </w:rPr>
        <w:t>.  The NRC initial costs</w:t>
      </w:r>
      <w:r w:rsidRPr="00D839EE" w:rsidR="00BF5AC4">
        <w:rPr>
          <w:rFonts w:cs="Arial"/>
          <w:sz w:val="22"/>
          <w:szCs w:val="22"/>
        </w:rPr>
        <w:t xml:space="preserve"> </w:t>
      </w:r>
      <w:r w:rsidR="005E4C58">
        <w:rPr>
          <w:rFonts w:cs="Arial"/>
          <w:sz w:val="22"/>
          <w:szCs w:val="22"/>
        </w:rPr>
        <w:t>per licensee</w:t>
      </w:r>
      <w:r w:rsidR="008C5E31">
        <w:rPr>
          <w:rFonts w:cs="Arial"/>
          <w:sz w:val="22"/>
          <w:szCs w:val="22"/>
        </w:rPr>
        <w:t xml:space="preserve"> </w:t>
      </w:r>
      <w:r w:rsidRPr="00D839EE" w:rsidR="00BF5AC4">
        <w:rPr>
          <w:rFonts w:cs="Arial"/>
          <w:sz w:val="22"/>
          <w:szCs w:val="22"/>
        </w:rPr>
        <w:t xml:space="preserve">amount to </w:t>
      </w:r>
      <w:r w:rsidR="00177DFD">
        <w:rPr>
          <w:rFonts w:cs="Arial"/>
          <w:sz w:val="22"/>
          <w:szCs w:val="22"/>
        </w:rPr>
        <w:t>(</w:t>
      </w:r>
      <w:r w:rsidRPr="00D839EE" w:rsidR="00BF5AC4">
        <w:rPr>
          <w:rFonts w:cs="Arial"/>
          <w:sz w:val="22"/>
          <w:szCs w:val="22"/>
        </w:rPr>
        <w:t>$</w:t>
      </w:r>
      <w:r w:rsidRPr="00D839EE" w:rsidR="00264B44">
        <w:rPr>
          <w:rFonts w:cs="Arial"/>
          <w:sz w:val="22"/>
          <w:szCs w:val="22"/>
        </w:rPr>
        <w:t>6,</w:t>
      </w:r>
      <w:r w:rsidR="006E2A9A">
        <w:rPr>
          <w:rFonts w:cs="Arial"/>
          <w:sz w:val="22"/>
          <w:szCs w:val="22"/>
        </w:rPr>
        <w:t>8</w:t>
      </w:r>
      <w:r w:rsidRPr="00D839EE" w:rsidR="006E2A9A">
        <w:rPr>
          <w:rFonts w:cs="Arial"/>
          <w:sz w:val="22"/>
          <w:szCs w:val="22"/>
        </w:rPr>
        <w:t>00</w:t>
      </w:r>
      <w:r w:rsidR="00177DFD">
        <w:rPr>
          <w:rFonts w:cs="Arial"/>
          <w:sz w:val="22"/>
          <w:szCs w:val="22"/>
        </w:rPr>
        <w:t>)</w:t>
      </w:r>
      <w:r w:rsidRPr="00D839EE" w:rsidR="00EB534E">
        <w:rPr>
          <w:rFonts w:cs="Arial"/>
          <w:sz w:val="22"/>
          <w:szCs w:val="22"/>
        </w:rPr>
        <w:t xml:space="preserve"> </w:t>
      </w:r>
      <w:r w:rsidR="003C2C27">
        <w:rPr>
          <w:rFonts w:cs="Arial"/>
          <w:sz w:val="22"/>
          <w:szCs w:val="22"/>
        </w:rPr>
        <w:t>in the</w:t>
      </w:r>
      <w:r w:rsidRPr="00D839EE" w:rsidR="00BF5AC4">
        <w:rPr>
          <w:rFonts w:cs="Arial"/>
          <w:sz w:val="22"/>
          <w:szCs w:val="22"/>
        </w:rPr>
        <w:t xml:space="preserve"> Low category, </w:t>
      </w:r>
      <w:r w:rsidR="00177DFD">
        <w:rPr>
          <w:rFonts w:cs="Arial"/>
          <w:sz w:val="22"/>
          <w:szCs w:val="22"/>
        </w:rPr>
        <w:t>(</w:t>
      </w:r>
      <w:r w:rsidRPr="00D839EE" w:rsidR="00BF5AC4">
        <w:rPr>
          <w:rFonts w:cs="Arial"/>
          <w:sz w:val="22"/>
          <w:szCs w:val="22"/>
        </w:rPr>
        <w:t>$</w:t>
      </w:r>
      <w:r w:rsidR="006E2A9A">
        <w:rPr>
          <w:rFonts w:cs="Arial"/>
          <w:sz w:val="22"/>
          <w:szCs w:val="22"/>
        </w:rPr>
        <w:t>9</w:t>
      </w:r>
      <w:r w:rsidRPr="00D839EE" w:rsidR="00114552">
        <w:rPr>
          <w:rFonts w:cs="Arial"/>
          <w:sz w:val="22"/>
          <w:szCs w:val="22"/>
        </w:rPr>
        <w:t>,000</w:t>
      </w:r>
      <w:r w:rsidR="00177DFD">
        <w:rPr>
          <w:rFonts w:cs="Arial"/>
          <w:sz w:val="22"/>
          <w:szCs w:val="22"/>
        </w:rPr>
        <w:t>)</w:t>
      </w:r>
      <w:r w:rsidRPr="00D839EE" w:rsidR="00114552">
        <w:rPr>
          <w:rFonts w:cs="Arial"/>
          <w:sz w:val="22"/>
          <w:szCs w:val="22"/>
        </w:rPr>
        <w:t xml:space="preserve"> </w:t>
      </w:r>
      <w:r w:rsidR="003C2C27">
        <w:rPr>
          <w:rFonts w:cs="Arial"/>
          <w:sz w:val="22"/>
          <w:szCs w:val="22"/>
        </w:rPr>
        <w:t>in the</w:t>
      </w:r>
      <w:r w:rsidRPr="00D839EE" w:rsidR="00BF5AC4">
        <w:rPr>
          <w:rFonts w:cs="Arial"/>
          <w:sz w:val="22"/>
          <w:szCs w:val="22"/>
        </w:rPr>
        <w:t xml:space="preserve"> Medium category,</w:t>
      </w:r>
      <w:r w:rsidR="00A211AC">
        <w:rPr>
          <w:rFonts w:cs="Arial"/>
          <w:sz w:val="22"/>
          <w:szCs w:val="22"/>
        </w:rPr>
        <w:t xml:space="preserve"> </w:t>
      </w:r>
      <w:r w:rsidR="003B41FA">
        <w:rPr>
          <w:rFonts w:cs="Arial"/>
          <w:sz w:val="22"/>
          <w:szCs w:val="22"/>
        </w:rPr>
        <w:t>(</w:t>
      </w:r>
      <w:r w:rsidRPr="00D839EE" w:rsidR="00BF5AC4">
        <w:rPr>
          <w:rFonts w:cs="Arial"/>
          <w:sz w:val="22"/>
          <w:szCs w:val="22"/>
        </w:rPr>
        <w:t>$</w:t>
      </w:r>
      <w:r w:rsidRPr="00D839EE" w:rsidR="006E2A9A">
        <w:rPr>
          <w:rFonts w:cs="Arial"/>
          <w:sz w:val="22"/>
          <w:szCs w:val="22"/>
        </w:rPr>
        <w:t>1</w:t>
      </w:r>
      <w:r w:rsidR="006E2A9A">
        <w:rPr>
          <w:rFonts w:cs="Arial"/>
          <w:sz w:val="22"/>
          <w:szCs w:val="22"/>
        </w:rPr>
        <w:t>1</w:t>
      </w:r>
      <w:r w:rsidRPr="00D839EE" w:rsidR="00BF5AC4">
        <w:rPr>
          <w:rFonts w:cs="Arial"/>
          <w:sz w:val="22"/>
          <w:szCs w:val="22"/>
        </w:rPr>
        <w:t>,000</w:t>
      </w:r>
      <w:r w:rsidR="003B41FA">
        <w:rPr>
          <w:rFonts w:cs="Arial"/>
          <w:sz w:val="22"/>
          <w:szCs w:val="22"/>
        </w:rPr>
        <w:t>)</w:t>
      </w:r>
      <w:r w:rsidRPr="00D839EE" w:rsidR="00BF5AC4">
        <w:rPr>
          <w:rFonts w:cs="Arial"/>
          <w:sz w:val="22"/>
          <w:szCs w:val="22"/>
        </w:rPr>
        <w:t xml:space="preserve"> </w:t>
      </w:r>
      <w:r w:rsidR="003C2C27">
        <w:rPr>
          <w:rFonts w:cs="Arial"/>
          <w:sz w:val="22"/>
          <w:szCs w:val="22"/>
        </w:rPr>
        <w:t>in the</w:t>
      </w:r>
      <w:r w:rsidRPr="00D839EE" w:rsidR="00BF5AC4">
        <w:rPr>
          <w:rFonts w:cs="Arial"/>
          <w:sz w:val="22"/>
          <w:szCs w:val="22"/>
        </w:rPr>
        <w:t xml:space="preserve"> High category</w:t>
      </w:r>
      <w:r w:rsidRPr="00D839EE" w:rsidR="009A11AE">
        <w:rPr>
          <w:rFonts w:cs="Arial"/>
          <w:sz w:val="22"/>
          <w:szCs w:val="22"/>
        </w:rPr>
        <w:t xml:space="preserve">, and </w:t>
      </w:r>
      <w:r w:rsidR="00EE70BF">
        <w:rPr>
          <w:rFonts w:cs="Arial"/>
          <w:sz w:val="22"/>
          <w:szCs w:val="22"/>
        </w:rPr>
        <w:t>(</w:t>
      </w:r>
      <w:r w:rsidRPr="00D839EE" w:rsidR="009A11AE">
        <w:rPr>
          <w:rFonts w:cs="Arial"/>
          <w:sz w:val="22"/>
          <w:szCs w:val="22"/>
        </w:rPr>
        <w:t>$</w:t>
      </w:r>
      <w:r w:rsidRPr="00D839EE" w:rsidR="006E2A9A">
        <w:rPr>
          <w:rFonts w:cs="Arial"/>
          <w:sz w:val="22"/>
          <w:szCs w:val="22"/>
        </w:rPr>
        <w:t>1</w:t>
      </w:r>
      <w:r w:rsidR="006E2A9A">
        <w:rPr>
          <w:rFonts w:cs="Arial"/>
          <w:sz w:val="22"/>
          <w:szCs w:val="22"/>
        </w:rPr>
        <w:t>1</w:t>
      </w:r>
      <w:r w:rsidRPr="00D839EE" w:rsidR="009A11AE">
        <w:rPr>
          <w:rFonts w:cs="Arial"/>
          <w:sz w:val="22"/>
          <w:szCs w:val="22"/>
        </w:rPr>
        <w:t>,000</w:t>
      </w:r>
      <w:r w:rsidR="00EE70BF">
        <w:rPr>
          <w:rFonts w:cs="Arial"/>
          <w:sz w:val="22"/>
          <w:szCs w:val="22"/>
        </w:rPr>
        <w:t>)</w:t>
      </w:r>
      <w:r w:rsidRPr="00D839EE" w:rsidR="009A11AE">
        <w:rPr>
          <w:rFonts w:cs="Arial"/>
          <w:sz w:val="22"/>
          <w:szCs w:val="22"/>
        </w:rPr>
        <w:t xml:space="preserve"> </w:t>
      </w:r>
      <w:r w:rsidR="00A211AC">
        <w:rPr>
          <w:rFonts w:cs="Arial"/>
          <w:sz w:val="22"/>
          <w:szCs w:val="22"/>
        </w:rPr>
        <w:t xml:space="preserve">in the </w:t>
      </w:r>
      <w:r w:rsidRPr="00D839EE" w:rsidR="009A11AE">
        <w:rPr>
          <w:rFonts w:cs="Arial"/>
          <w:sz w:val="22"/>
          <w:szCs w:val="22"/>
        </w:rPr>
        <w:t>Other NPUFs category</w:t>
      </w:r>
      <w:r w:rsidRPr="00D839EE" w:rsidR="00BF5AC4">
        <w:rPr>
          <w:rFonts w:cs="Arial"/>
          <w:sz w:val="22"/>
          <w:szCs w:val="22"/>
        </w:rPr>
        <w:t xml:space="preserve">.  These </w:t>
      </w:r>
      <w:r w:rsidR="00E25817">
        <w:rPr>
          <w:rFonts w:cs="Arial"/>
          <w:sz w:val="22"/>
          <w:szCs w:val="22"/>
        </w:rPr>
        <w:t>costs are incurred from</w:t>
      </w:r>
      <w:r w:rsidRPr="00D839EE" w:rsidR="00BF5AC4">
        <w:rPr>
          <w:rFonts w:cs="Arial"/>
          <w:sz w:val="22"/>
          <w:szCs w:val="22"/>
        </w:rPr>
        <w:t xml:space="preserve"> reviewing </w:t>
      </w:r>
      <w:r w:rsidRPr="00D839EE" w:rsidR="002C5B56">
        <w:rPr>
          <w:rFonts w:cs="Arial"/>
          <w:sz w:val="22"/>
          <w:szCs w:val="22"/>
        </w:rPr>
        <w:t xml:space="preserve">the </w:t>
      </w:r>
      <w:r w:rsidR="00E25817">
        <w:rPr>
          <w:rFonts w:cs="Arial"/>
          <w:sz w:val="22"/>
          <w:szCs w:val="22"/>
        </w:rPr>
        <w:t>initial</w:t>
      </w:r>
      <w:r w:rsidRPr="00D839EE" w:rsidR="00BF5AC4">
        <w:rPr>
          <w:rFonts w:cs="Arial"/>
          <w:sz w:val="22"/>
          <w:szCs w:val="22"/>
        </w:rPr>
        <w:t xml:space="preserve"> </w:t>
      </w:r>
      <w:r w:rsidR="00A95E95">
        <w:rPr>
          <w:rFonts w:cs="Arial"/>
          <w:sz w:val="22"/>
          <w:szCs w:val="22"/>
        </w:rPr>
        <w:t xml:space="preserve">updated </w:t>
      </w:r>
      <w:r w:rsidRPr="00D839EE" w:rsidR="00BF5AC4">
        <w:rPr>
          <w:rFonts w:cs="Arial"/>
          <w:sz w:val="22"/>
          <w:szCs w:val="22"/>
        </w:rPr>
        <w:t xml:space="preserve">FSAR.  </w:t>
      </w:r>
    </w:p>
    <w:p w:rsidR="003F78B8" w:rsidP="00C068EE" w14:paraId="7F493A24" w14:textId="77777777">
      <w:pPr>
        <w:rPr>
          <w:rFonts w:cs="Arial"/>
          <w:sz w:val="18"/>
        </w:rPr>
      </w:pPr>
    </w:p>
    <w:p w:rsidR="00C068EE" w:rsidRPr="00C068EE" w:rsidP="00C068EE" w14:paraId="7F493A25" w14:textId="77777777">
      <w:pPr>
        <w:rPr>
          <w:rFonts w:cs="Arial"/>
          <w:sz w:val="22"/>
          <w:szCs w:val="22"/>
        </w:rPr>
      </w:pPr>
      <w:r w:rsidRPr="00C068EE">
        <w:rPr>
          <w:rFonts w:cs="Arial"/>
          <w:sz w:val="22"/>
          <w:szCs w:val="22"/>
        </w:rPr>
        <w:t>NRC’s ongoing operation costs</w:t>
      </w:r>
      <w:r w:rsidR="009259BF">
        <w:rPr>
          <w:rFonts w:cs="Arial"/>
          <w:sz w:val="22"/>
          <w:szCs w:val="22"/>
        </w:rPr>
        <w:t xml:space="preserve"> per licensee</w:t>
      </w:r>
      <w:r w:rsidRPr="00C068EE">
        <w:rPr>
          <w:rFonts w:cs="Arial"/>
          <w:sz w:val="22"/>
          <w:szCs w:val="22"/>
        </w:rPr>
        <w:t xml:space="preserve"> amount to </w:t>
      </w:r>
      <w:r w:rsidR="00A720E8">
        <w:rPr>
          <w:rFonts w:cs="Arial"/>
          <w:sz w:val="22"/>
          <w:szCs w:val="22"/>
        </w:rPr>
        <w:t>(</w:t>
      </w:r>
      <w:r w:rsidRPr="00C068EE" w:rsidR="00A720E8">
        <w:rPr>
          <w:rFonts w:cs="Arial"/>
          <w:sz w:val="22"/>
          <w:szCs w:val="22"/>
        </w:rPr>
        <w:t>$</w:t>
      </w:r>
      <w:r w:rsidRPr="00C068EE">
        <w:rPr>
          <w:rFonts w:cs="Arial"/>
          <w:sz w:val="22"/>
          <w:szCs w:val="22"/>
        </w:rPr>
        <w:t>3,</w:t>
      </w:r>
      <w:r w:rsidR="00A720E8">
        <w:rPr>
          <w:rFonts w:cs="Arial"/>
          <w:sz w:val="22"/>
          <w:szCs w:val="22"/>
        </w:rPr>
        <w:t>4</w:t>
      </w:r>
      <w:r w:rsidRPr="00C068EE" w:rsidR="00A720E8">
        <w:rPr>
          <w:rFonts w:cs="Arial"/>
          <w:sz w:val="22"/>
          <w:szCs w:val="22"/>
        </w:rPr>
        <w:t>00</w:t>
      </w:r>
      <w:r w:rsidR="00A720E8">
        <w:rPr>
          <w:rFonts w:cs="Arial"/>
          <w:sz w:val="22"/>
          <w:szCs w:val="22"/>
        </w:rPr>
        <w:t>)</w:t>
      </w:r>
      <w:r w:rsidRPr="00C068EE" w:rsidR="00A720E8">
        <w:rPr>
          <w:rFonts w:cs="Arial"/>
          <w:sz w:val="22"/>
          <w:szCs w:val="22"/>
        </w:rPr>
        <w:t xml:space="preserve"> </w:t>
      </w:r>
      <w:r w:rsidR="009259BF">
        <w:rPr>
          <w:rFonts w:cs="Arial"/>
          <w:sz w:val="22"/>
          <w:szCs w:val="22"/>
        </w:rPr>
        <w:t>in the</w:t>
      </w:r>
      <w:r w:rsidRPr="00C068EE">
        <w:rPr>
          <w:rFonts w:cs="Arial"/>
          <w:sz w:val="22"/>
          <w:szCs w:val="22"/>
        </w:rPr>
        <w:t xml:space="preserve"> Low category, </w:t>
      </w:r>
      <w:r w:rsidR="00A720E8">
        <w:rPr>
          <w:rFonts w:cs="Arial"/>
          <w:sz w:val="22"/>
          <w:szCs w:val="22"/>
        </w:rPr>
        <w:t>(</w:t>
      </w:r>
      <w:r w:rsidRPr="00C068EE" w:rsidR="00A720E8">
        <w:rPr>
          <w:rFonts w:cs="Arial"/>
          <w:sz w:val="22"/>
          <w:szCs w:val="22"/>
        </w:rPr>
        <w:t>$</w:t>
      </w:r>
      <w:r w:rsidR="00A720E8">
        <w:rPr>
          <w:rFonts w:cs="Arial"/>
          <w:sz w:val="22"/>
          <w:szCs w:val="22"/>
        </w:rPr>
        <w:t>4,500)</w:t>
      </w:r>
      <w:r w:rsidRPr="00C068EE" w:rsidR="00A720E8">
        <w:rPr>
          <w:rFonts w:cs="Arial"/>
          <w:sz w:val="22"/>
          <w:szCs w:val="22"/>
        </w:rPr>
        <w:t xml:space="preserve"> </w:t>
      </w:r>
      <w:r w:rsidR="009259BF">
        <w:rPr>
          <w:rFonts w:cs="Arial"/>
          <w:sz w:val="22"/>
          <w:szCs w:val="22"/>
        </w:rPr>
        <w:t>in the</w:t>
      </w:r>
      <w:r w:rsidRPr="00C068EE">
        <w:rPr>
          <w:rFonts w:cs="Arial"/>
          <w:sz w:val="22"/>
          <w:szCs w:val="22"/>
        </w:rPr>
        <w:t xml:space="preserve"> Medium category, </w:t>
      </w:r>
      <w:r w:rsidR="00A720E8">
        <w:rPr>
          <w:rFonts w:cs="Arial"/>
          <w:sz w:val="22"/>
          <w:szCs w:val="22"/>
        </w:rPr>
        <w:t>(</w:t>
      </w:r>
      <w:r w:rsidRPr="00C068EE" w:rsidR="00A720E8">
        <w:rPr>
          <w:rFonts w:cs="Arial"/>
          <w:sz w:val="22"/>
          <w:szCs w:val="22"/>
        </w:rPr>
        <w:t>$</w:t>
      </w:r>
      <w:r w:rsidR="00A720E8">
        <w:rPr>
          <w:rFonts w:cs="Arial"/>
          <w:sz w:val="22"/>
          <w:szCs w:val="22"/>
        </w:rPr>
        <w:t>5,600)</w:t>
      </w:r>
      <w:r w:rsidRPr="00C068EE" w:rsidR="00A720E8">
        <w:rPr>
          <w:rFonts w:cs="Arial"/>
          <w:sz w:val="22"/>
          <w:szCs w:val="22"/>
        </w:rPr>
        <w:t xml:space="preserve"> </w:t>
      </w:r>
      <w:r w:rsidR="009259BF">
        <w:rPr>
          <w:rFonts w:cs="Arial"/>
          <w:sz w:val="22"/>
          <w:szCs w:val="22"/>
        </w:rPr>
        <w:t>in the</w:t>
      </w:r>
      <w:r w:rsidRPr="00C068EE">
        <w:rPr>
          <w:rFonts w:cs="Arial"/>
          <w:sz w:val="22"/>
          <w:szCs w:val="22"/>
        </w:rPr>
        <w:t xml:space="preserve"> High category, and </w:t>
      </w:r>
      <w:r w:rsidR="00A720E8">
        <w:rPr>
          <w:rFonts w:cs="Arial"/>
          <w:sz w:val="22"/>
          <w:szCs w:val="22"/>
        </w:rPr>
        <w:t>(</w:t>
      </w:r>
      <w:r w:rsidRPr="00C068EE" w:rsidR="00A720E8">
        <w:rPr>
          <w:rFonts w:cs="Arial"/>
          <w:sz w:val="22"/>
          <w:szCs w:val="22"/>
        </w:rPr>
        <w:t>$</w:t>
      </w:r>
      <w:r w:rsidR="00A720E8">
        <w:rPr>
          <w:rFonts w:cs="Arial"/>
          <w:sz w:val="22"/>
          <w:szCs w:val="22"/>
        </w:rPr>
        <w:t>5,600)</w:t>
      </w:r>
      <w:r w:rsidRPr="00C068EE">
        <w:rPr>
          <w:rFonts w:cs="Arial"/>
          <w:sz w:val="22"/>
          <w:szCs w:val="22"/>
        </w:rPr>
        <w:t xml:space="preserve"> in the Other NPUFs category.  These cost</w:t>
      </w:r>
      <w:r w:rsidR="00E25817">
        <w:rPr>
          <w:rFonts w:cs="Arial"/>
          <w:sz w:val="22"/>
          <w:szCs w:val="22"/>
        </w:rPr>
        <w:t>s are incurred from</w:t>
      </w:r>
      <w:r w:rsidRPr="00C068EE">
        <w:rPr>
          <w:rFonts w:cs="Arial"/>
          <w:sz w:val="22"/>
          <w:szCs w:val="22"/>
        </w:rPr>
        <w:t xml:space="preserve"> reviewing the subsequent FSAR updates.</w:t>
      </w:r>
    </w:p>
    <w:p w:rsidR="00C068EE" w:rsidRPr="00C068EE" w:rsidP="00346B95" w14:paraId="7F493A26" w14:textId="77777777">
      <w:pPr>
        <w:contextualSpacing/>
        <w:rPr>
          <w:rFonts w:cs="Arial"/>
          <w:sz w:val="22"/>
          <w:szCs w:val="22"/>
        </w:rPr>
      </w:pPr>
    </w:p>
    <w:p w:rsidR="00521941" w:rsidRPr="000F7FD1" w:rsidP="00AC71D8" w14:paraId="7F493A27" w14:textId="583891E8">
      <w:pPr>
        <w:pStyle w:val="Caption"/>
        <w:keepNext/>
        <w:spacing w:after="0"/>
        <w:jc w:val="center"/>
        <w:rPr>
          <w:b/>
          <w:i w:val="0"/>
          <w:color w:val="auto"/>
          <w:sz w:val="22"/>
        </w:rPr>
      </w:pPr>
      <w:bookmarkStart w:id="298" w:name="_Ref534035572"/>
      <w:bookmarkStart w:id="299" w:name="_Toc534037066"/>
      <w:bookmarkStart w:id="300" w:name="_Toc534710010"/>
      <w:bookmarkStart w:id="301" w:name="_Toc534711695"/>
      <w:bookmarkStart w:id="302" w:name="_Toc534712128"/>
      <w:bookmarkStart w:id="303" w:name="_Toc534712705"/>
      <w:bookmarkStart w:id="304" w:name="_Toc534713214"/>
      <w:bookmarkStart w:id="305" w:name="_Toc9526474"/>
      <w:bookmarkStart w:id="306" w:name="_Toc536603423"/>
      <w:r w:rsidRPr="000F7FD1">
        <w:rPr>
          <w:b/>
          <w:i w:val="0"/>
          <w:color w:val="auto"/>
          <w:sz w:val="22"/>
        </w:rPr>
        <w:t>Exhibit 3</w:t>
      </w:r>
      <w:r w:rsidRPr="000F7FD1" w:rsidR="00180D68">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17</w:t>
      </w:r>
      <w:r w:rsidRPr="000F7FD1" w:rsidR="00C276FC">
        <w:rPr>
          <w:b/>
          <w:i w:val="0"/>
          <w:color w:val="auto"/>
          <w:sz w:val="22"/>
        </w:rPr>
        <w:fldChar w:fldCharType="end"/>
      </w:r>
      <w:bookmarkEnd w:id="298"/>
      <w:r w:rsidRPr="000F7FD1" w:rsidR="00E064CA">
        <w:rPr>
          <w:b/>
          <w:i w:val="0"/>
          <w:color w:val="auto"/>
          <w:sz w:val="22"/>
        </w:rPr>
        <w:t>.</w:t>
      </w:r>
      <w:r w:rsidRPr="000F7FD1">
        <w:rPr>
          <w:b/>
          <w:i w:val="0"/>
          <w:color w:val="auto"/>
          <w:sz w:val="22"/>
        </w:rPr>
        <w:t xml:space="preserve"> Breakdown of NRC Operation Costs (</w:t>
      </w:r>
      <w:r w:rsidRPr="000F7FD1" w:rsidR="009170F7">
        <w:rPr>
          <w:b/>
          <w:i w:val="0"/>
          <w:color w:val="auto"/>
          <w:sz w:val="22"/>
        </w:rPr>
        <w:t>2020</w:t>
      </w:r>
      <w:r w:rsidRPr="000F7FD1">
        <w:rPr>
          <w:b/>
          <w:i w:val="0"/>
          <w:color w:val="auto"/>
          <w:sz w:val="22"/>
        </w:rPr>
        <w:t>$)</w:t>
      </w:r>
      <w:bookmarkEnd w:id="299"/>
      <w:bookmarkEnd w:id="300"/>
      <w:bookmarkEnd w:id="301"/>
      <w:bookmarkEnd w:id="302"/>
      <w:bookmarkEnd w:id="303"/>
      <w:bookmarkEnd w:id="304"/>
      <w:bookmarkEnd w:id="305"/>
      <w:bookmarkEnd w:id="306"/>
    </w:p>
    <w:tbl>
      <w:tblPr>
        <w:tblStyle w:val="TableGrid"/>
        <w:tblW w:w="8753" w:type="dxa"/>
        <w:jc w:val="center"/>
        <w:tblLook w:val="04A0"/>
      </w:tblPr>
      <w:tblGrid>
        <w:gridCol w:w="3841"/>
        <w:gridCol w:w="1073"/>
        <w:gridCol w:w="1083"/>
        <w:gridCol w:w="1184"/>
        <w:gridCol w:w="1572"/>
      </w:tblGrid>
      <w:tr w14:paraId="7F493A2D" w14:textId="77777777" w:rsidTr="00D77BD7">
        <w:tblPrEx>
          <w:tblW w:w="8753" w:type="dxa"/>
          <w:jc w:val="center"/>
          <w:tblLook w:val="04A0"/>
        </w:tblPrEx>
        <w:trPr>
          <w:trHeight w:val="170"/>
          <w:jc w:val="center"/>
        </w:trPr>
        <w:tc>
          <w:tcPr>
            <w:tcW w:w="3841" w:type="dxa"/>
            <w:noWrap/>
            <w:hideMark/>
          </w:tcPr>
          <w:p w:rsidR="003F78B8" w:rsidRPr="00256FFF" w:rsidP="00D77BD7" w14:paraId="7F493A28" w14:textId="77777777">
            <w:pPr>
              <w:keepNext/>
              <w:jc w:val="center"/>
              <w:rPr>
                <w:b/>
              </w:rPr>
            </w:pPr>
            <w:r w:rsidRPr="00256FFF">
              <w:rPr>
                <w:b/>
              </w:rPr>
              <w:t xml:space="preserve">NRC </w:t>
            </w:r>
            <w:r w:rsidRPr="00D839EE">
              <w:rPr>
                <w:rFonts w:cs="Arial"/>
                <w:b/>
                <w:bCs/>
              </w:rPr>
              <w:t>Operation</w:t>
            </w:r>
            <w:r w:rsidRPr="00256FFF">
              <w:rPr>
                <w:b/>
              </w:rPr>
              <w:t xml:space="preserve"> Costs</w:t>
            </w:r>
          </w:p>
        </w:tc>
        <w:tc>
          <w:tcPr>
            <w:tcW w:w="1073" w:type="dxa"/>
            <w:tcBorders>
              <w:bottom w:val="single" w:sz="4" w:space="0" w:color="auto"/>
            </w:tcBorders>
            <w:noWrap/>
            <w:hideMark/>
          </w:tcPr>
          <w:p w:rsidR="003F78B8" w:rsidRPr="00256FFF" w:rsidP="00D77BD7" w14:paraId="7F493A29" w14:textId="77777777">
            <w:pPr>
              <w:keepNext/>
              <w:jc w:val="center"/>
              <w:rPr>
                <w:b/>
              </w:rPr>
            </w:pPr>
            <w:r w:rsidRPr="00256FFF">
              <w:rPr>
                <w:b/>
              </w:rPr>
              <w:t>Low</w:t>
            </w:r>
          </w:p>
        </w:tc>
        <w:tc>
          <w:tcPr>
            <w:tcW w:w="1083" w:type="dxa"/>
            <w:tcBorders>
              <w:bottom w:val="single" w:sz="4" w:space="0" w:color="auto"/>
            </w:tcBorders>
            <w:noWrap/>
            <w:hideMark/>
          </w:tcPr>
          <w:p w:rsidR="003F78B8" w:rsidRPr="00256FFF" w:rsidP="00D77BD7" w14:paraId="7F493A2A" w14:textId="77777777">
            <w:pPr>
              <w:keepNext/>
              <w:jc w:val="center"/>
              <w:rPr>
                <w:b/>
              </w:rPr>
            </w:pPr>
            <w:r w:rsidRPr="00256FFF">
              <w:rPr>
                <w:b/>
              </w:rPr>
              <w:t>Medium</w:t>
            </w:r>
          </w:p>
        </w:tc>
        <w:tc>
          <w:tcPr>
            <w:tcW w:w="1184" w:type="dxa"/>
            <w:tcBorders>
              <w:bottom w:val="single" w:sz="4" w:space="0" w:color="auto"/>
            </w:tcBorders>
            <w:noWrap/>
            <w:hideMark/>
          </w:tcPr>
          <w:p w:rsidR="003F78B8" w:rsidRPr="00256FFF" w:rsidP="00D77BD7" w14:paraId="7F493A2B" w14:textId="77777777">
            <w:pPr>
              <w:keepNext/>
              <w:jc w:val="center"/>
              <w:rPr>
                <w:b/>
              </w:rPr>
            </w:pPr>
            <w:r w:rsidRPr="00256FFF">
              <w:rPr>
                <w:b/>
              </w:rPr>
              <w:t>High</w:t>
            </w:r>
          </w:p>
        </w:tc>
        <w:tc>
          <w:tcPr>
            <w:tcW w:w="1572" w:type="dxa"/>
            <w:tcBorders>
              <w:bottom w:val="single" w:sz="4" w:space="0" w:color="auto"/>
            </w:tcBorders>
            <w:noWrap/>
            <w:hideMark/>
          </w:tcPr>
          <w:p w:rsidR="003F78B8" w:rsidRPr="00D839EE" w:rsidP="00D77BD7" w14:paraId="7F493A2C" w14:textId="77777777">
            <w:pPr>
              <w:keepNext/>
              <w:jc w:val="center"/>
              <w:rPr>
                <w:rFonts w:cs="Arial"/>
                <w:b/>
                <w:bCs/>
              </w:rPr>
            </w:pPr>
            <w:r w:rsidRPr="00D839EE">
              <w:rPr>
                <w:rFonts w:cs="Arial"/>
                <w:b/>
                <w:bCs/>
              </w:rPr>
              <w:t>Other NPUFs</w:t>
            </w:r>
          </w:p>
        </w:tc>
      </w:tr>
      <w:tr w14:paraId="7F493A33" w14:textId="77777777" w:rsidTr="00D77BD7">
        <w:tblPrEx>
          <w:tblW w:w="8753" w:type="dxa"/>
          <w:jc w:val="center"/>
          <w:tblLook w:val="04A0"/>
        </w:tblPrEx>
        <w:trPr>
          <w:trHeight w:val="197"/>
          <w:jc w:val="center"/>
        </w:trPr>
        <w:tc>
          <w:tcPr>
            <w:tcW w:w="3841" w:type="dxa"/>
            <w:tcBorders>
              <w:right w:val="single" w:sz="4" w:space="0" w:color="auto"/>
            </w:tcBorders>
            <w:noWrap/>
            <w:hideMark/>
          </w:tcPr>
          <w:p w:rsidR="003F78B8" w:rsidRPr="00256FFF" w:rsidP="00D77BD7" w14:paraId="7F493A2E" w14:textId="77777777">
            <w:pPr>
              <w:keepNext/>
              <w:jc w:val="right"/>
            </w:pPr>
            <w:r w:rsidRPr="00256FFF">
              <w:t>Reviewing Updated FSAR</w:t>
            </w:r>
            <w:r>
              <w:t>*</w:t>
            </w:r>
          </w:p>
        </w:tc>
        <w:tc>
          <w:tcPr>
            <w:tcW w:w="1073" w:type="dxa"/>
            <w:tcBorders>
              <w:top w:val="single" w:sz="4" w:space="0" w:color="auto"/>
              <w:left w:val="single" w:sz="4" w:space="0" w:color="auto"/>
              <w:bottom w:val="single" w:sz="4" w:space="0" w:color="auto"/>
              <w:right w:val="single" w:sz="4" w:space="0" w:color="auto"/>
            </w:tcBorders>
            <w:noWrap/>
            <w:vAlign w:val="center"/>
            <w:hideMark/>
          </w:tcPr>
          <w:p w:rsidR="003F78B8" w:rsidRPr="00D839EE" w:rsidP="00D77BD7" w14:paraId="7F493A2F" w14:textId="77777777">
            <w:pPr>
              <w:autoSpaceDE/>
              <w:autoSpaceDN/>
              <w:adjustRightInd/>
              <w:jc w:val="center"/>
              <w:rPr>
                <w:rFonts w:cs="Arial"/>
                <w:color w:val="000000"/>
                <w:szCs w:val="22"/>
              </w:rPr>
            </w:pPr>
            <w:r>
              <w:rPr>
                <w:rFonts w:cs="Arial"/>
                <w:color w:val="000000"/>
                <w:szCs w:val="22"/>
              </w:rPr>
              <w:t>(</w:t>
            </w:r>
            <w:r w:rsidRPr="00D839EE">
              <w:rPr>
                <w:rFonts w:cs="Arial"/>
                <w:color w:val="000000"/>
                <w:szCs w:val="22"/>
              </w:rPr>
              <w:t>$6,</w:t>
            </w:r>
            <w:r>
              <w:rPr>
                <w:rFonts w:cs="Arial"/>
                <w:color w:val="000000"/>
                <w:szCs w:val="22"/>
              </w:rPr>
              <w:t>8</w:t>
            </w:r>
            <w:r w:rsidRPr="00D839EE">
              <w:rPr>
                <w:rFonts w:cs="Arial"/>
                <w:color w:val="000000"/>
                <w:szCs w:val="22"/>
              </w:rPr>
              <w:t>00</w:t>
            </w:r>
            <w:r>
              <w:rPr>
                <w:rFonts w:cs="Arial"/>
                <w:color w:val="000000"/>
                <w:szCs w:val="22"/>
              </w:rPr>
              <w:t>)</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3F78B8" w:rsidRPr="00D839EE" w:rsidP="00D77BD7" w14:paraId="7F493A30" w14:textId="77777777">
            <w:pPr>
              <w:autoSpaceDE/>
              <w:autoSpaceDN/>
              <w:adjustRightInd/>
              <w:jc w:val="center"/>
              <w:rPr>
                <w:rFonts w:cs="Arial"/>
                <w:color w:val="000000"/>
                <w:szCs w:val="22"/>
              </w:rPr>
            </w:pPr>
            <w:r>
              <w:rPr>
                <w:rFonts w:cs="Arial"/>
                <w:color w:val="000000"/>
                <w:szCs w:val="22"/>
              </w:rPr>
              <w:t>(</w:t>
            </w:r>
            <w:r w:rsidRPr="00D839EE">
              <w:rPr>
                <w:rFonts w:cs="Arial"/>
                <w:color w:val="000000"/>
                <w:szCs w:val="22"/>
              </w:rPr>
              <w:t>$</w:t>
            </w:r>
            <w:r>
              <w:rPr>
                <w:rFonts w:cs="Arial"/>
                <w:color w:val="000000"/>
                <w:szCs w:val="22"/>
              </w:rPr>
              <w:t>9,000)</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3F78B8" w:rsidRPr="00D839EE" w:rsidP="00D77BD7" w14:paraId="7F493A31" w14:textId="77777777">
            <w:pPr>
              <w:autoSpaceDE/>
              <w:autoSpaceDN/>
              <w:adjustRightInd/>
              <w:jc w:val="center"/>
              <w:rPr>
                <w:rFonts w:cs="Arial"/>
                <w:color w:val="000000"/>
                <w:szCs w:val="22"/>
              </w:rPr>
            </w:pPr>
            <w:r>
              <w:rPr>
                <w:rFonts w:cs="Arial"/>
                <w:color w:val="000000"/>
                <w:szCs w:val="22"/>
              </w:rPr>
              <w:t>(</w:t>
            </w:r>
            <w:r w:rsidRPr="00D839EE">
              <w:rPr>
                <w:rFonts w:cs="Arial"/>
                <w:color w:val="000000"/>
                <w:szCs w:val="22"/>
              </w:rPr>
              <w:t>$11,000</w:t>
            </w:r>
            <w:r>
              <w:rPr>
                <w:rFonts w:cs="Arial"/>
                <w:color w:val="000000"/>
                <w:szCs w:val="22"/>
              </w:rPr>
              <w:t>)</w:t>
            </w:r>
          </w:p>
        </w:tc>
        <w:tc>
          <w:tcPr>
            <w:tcW w:w="1572" w:type="dxa"/>
            <w:tcBorders>
              <w:top w:val="single" w:sz="4" w:space="0" w:color="auto"/>
              <w:left w:val="single" w:sz="4" w:space="0" w:color="auto"/>
              <w:bottom w:val="single" w:sz="4" w:space="0" w:color="auto"/>
              <w:right w:val="single" w:sz="4" w:space="0" w:color="auto"/>
            </w:tcBorders>
            <w:noWrap/>
            <w:vAlign w:val="center"/>
            <w:hideMark/>
          </w:tcPr>
          <w:p w:rsidR="003F78B8" w:rsidRPr="00D839EE" w:rsidP="00D77BD7" w14:paraId="7F493A32" w14:textId="77777777">
            <w:pPr>
              <w:autoSpaceDE/>
              <w:autoSpaceDN/>
              <w:adjustRightInd/>
              <w:jc w:val="center"/>
              <w:rPr>
                <w:rFonts w:cs="Arial"/>
                <w:color w:val="000000"/>
                <w:szCs w:val="22"/>
              </w:rPr>
            </w:pPr>
            <w:r>
              <w:rPr>
                <w:rFonts w:cs="Arial"/>
                <w:color w:val="000000"/>
                <w:szCs w:val="22"/>
              </w:rPr>
              <w:t>(</w:t>
            </w:r>
            <w:r w:rsidRPr="00D839EE">
              <w:rPr>
                <w:rFonts w:cs="Arial"/>
                <w:color w:val="000000"/>
                <w:szCs w:val="22"/>
              </w:rPr>
              <w:t>$11,000</w:t>
            </w:r>
            <w:r>
              <w:rPr>
                <w:rFonts w:cs="Arial"/>
                <w:color w:val="000000"/>
                <w:szCs w:val="22"/>
              </w:rPr>
              <w:t>)</w:t>
            </w:r>
          </w:p>
        </w:tc>
      </w:tr>
      <w:tr w14:paraId="7F493A39" w14:textId="77777777" w:rsidTr="00D77BD7">
        <w:tblPrEx>
          <w:tblW w:w="8753" w:type="dxa"/>
          <w:jc w:val="center"/>
          <w:tblLook w:val="04A0"/>
        </w:tblPrEx>
        <w:trPr>
          <w:trHeight w:val="197"/>
          <w:jc w:val="center"/>
        </w:trPr>
        <w:tc>
          <w:tcPr>
            <w:tcW w:w="3841" w:type="dxa"/>
            <w:tcBorders>
              <w:right w:val="single" w:sz="4" w:space="0" w:color="auto"/>
            </w:tcBorders>
            <w:noWrap/>
          </w:tcPr>
          <w:p w:rsidR="003F78B8" w:rsidRPr="00256FFF" w:rsidP="00D77BD7" w14:paraId="7F493A34" w14:textId="77777777">
            <w:pPr>
              <w:keepNext/>
              <w:jc w:val="right"/>
            </w:pPr>
            <w:r>
              <w:t>Reviewing Subsequent FSAR Updates*</w:t>
            </w:r>
          </w:p>
        </w:tc>
        <w:tc>
          <w:tcPr>
            <w:tcW w:w="1073" w:type="dxa"/>
            <w:tcBorders>
              <w:top w:val="single" w:sz="4" w:space="0" w:color="auto"/>
              <w:left w:val="single" w:sz="4" w:space="0" w:color="auto"/>
              <w:bottom w:val="single" w:sz="4" w:space="0" w:color="auto"/>
              <w:right w:val="single" w:sz="4" w:space="0" w:color="auto"/>
            </w:tcBorders>
            <w:noWrap/>
            <w:vAlign w:val="center"/>
          </w:tcPr>
          <w:p w:rsidR="003F78B8" w:rsidP="00D77BD7" w14:paraId="7F493A35" w14:textId="77777777">
            <w:pPr>
              <w:autoSpaceDE/>
              <w:autoSpaceDN/>
              <w:adjustRightInd/>
              <w:jc w:val="center"/>
              <w:rPr>
                <w:rFonts w:cs="Arial"/>
                <w:color w:val="000000"/>
                <w:szCs w:val="22"/>
              </w:rPr>
            </w:pPr>
            <w:r>
              <w:rPr>
                <w:rFonts w:cs="Arial"/>
                <w:color w:val="000000"/>
              </w:rPr>
              <w:t>(</w:t>
            </w:r>
            <w:r w:rsidRPr="00D839EE">
              <w:rPr>
                <w:rFonts w:cs="Arial"/>
                <w:color w:val="000000"/>
              </w:rPr>
              <w:t>$3,</w:t>
            </w:r>
            <w:r>
              <w:rPr>
                <w:rFonts w:cs="Arial"/>
                <w:color w:val="000000"/>
              </w:rPr>
              <w:t>4</w:t>
            </w:r>
            <w:r w:rsidRPr="00D839EE">
              <w:rPr>
                <w:rFonts w:cs="Arial"/>
                <w:color w:val="000000"/>
              </w:rPr>
              <w:t>00</w:t>
            </w:r>
            <w:r>
              <w:rPr>
                <w:rFonts w:cs="Arial"/>
                <w:color w:val="000000"/>
              </w:rPr>
              <w:t>)</w:t>
            </w:r>
          </w:p>
        </w:tc>
        <w:tc>
          <w:tcPr>
            <w:tcW w:w="1083" w:type="dxa"/>
            <w:tcBorders>
              <w:top w:val="single" w:sz="4" w:space="0" w:color="auto"/>
              <w:left w:val="single" w:sz="4" w:space="0" w:color="auto"/>
              <w:bottom w:val="single" w:sz="4" w:space="0" w:color="auto"/>
              <w:right w:val="single" w:sz="4" w:space="0" w:color="auto"/>
            </w:tcBorders>
            <w:noWrap/>
            <w:vAlign w:val="center"/>
          </w:tcPr>
          <w:p w:rsidR="003F78B8" w:rsidP="00D77BD7" w14:paraId="7F493A36" w14:textId="77777777">
            <w:pPr>
              <w:autoSpaceDE/>
              <w:autoSpaceDN/>
              <w:adjustRightInd/>
              <w:jc w:val="center"/>
              <w:rPr>
                <w:rFonts w:cs="Arial"/>
                <w:color w:val="000000"/>
                <w:szCs w:val="22"/>
              </w:rPr>
            </w:pPr>
            <w:r>
              <w:rPr>
                <w:rFonts w:cs="Arial"/>
                <w:color w:val="000000"/>
              </w:rPr>
              <w:t>(</w:t>
            </w:r>
            <w:r w:rsidRPr="00D839EE">
              <w:rPr>
                <w:rFonts w:cs="Arial"/>
                <w:color w:val="000000"/>
              </w:rPr>
              <w:t>$4,</w:t>
            </w:r>
            <w:r>
              <w:rPr>
                <w:rFonts w:cs="Arial"/>
                <w:color w:val="000000"/>
              </w:rPr>
              <w:t>5</w:t>
            </w:r>
            <w:r w:rsidRPr="00D839EE">
              <w:rPr>
                <w:rFonts w:cs="Arial"/>
                <w:color w:val="000000"/>
              </w:rPr>
              <w:t>00</w:t>
            </w:r>
            <w:r>
              <w:rPr>
                <w:rFonts w:cs="Arial"/>
                <w:color w:val="000000"/>
              </w:rPr>
              <w:t>)</w:t>
            </w:r>
          </w:p>
        </w:tc>
        <w:tc>
          <w:tcPr>
            <w:tcW w:w="1184" w:type="dxa"/>
            <w:tcBorders>
              <w:top w:val="single" w:sz="4" w:space="0" w:color="auto"/>
              <w:left w:val="single" w:sz="4" w:space="0" w:color="auto"/>
              <w:bottom w:val="single" w:sz="4" w:space="0" w:color="auto"/>
              <w:right w:val="single" w:sz="4" w:space="0" w:color="auto"/>
            </w:tcBorders>
            <w:noWrap/>
            <w:vAlign w:val="center"/>
          </w:tcPr>
          <w:p w:rsidR="003F78B8" w:rsidP="00D77BD7" w14:paraId="7F493A37" w14:textId="77777777">
            <w:pPr>
              <w:autoSpaceDE/>
              <w:autoSpaceDN/>
              <w:adjustRightInd/>
              <w:jc w:val="center"/>
              <w:rPr>
                <w:rFonts w:cs="Arial"/>
                <w:color w:val="000000"/>
                <w:szCs w:val="22"/>
              </w:rPr>
            </w:pPr>
            <w:r>
              <w:rPr>
                <w:rFonts w:cs="Arial"/>
                <w:color w:val="000000"/>
              </w:rPr>
              <w:t>(</w:t>
            </w:r>
            <w:r w:rsidRPr="00D839EE">
              <w:rPr>
                <w:rFonts w:cs="Arial"/>
                <w:color w:val="000000"/>
              </w:rPr>
              <w:t>$5,</w:t>
            </w:r>
            <w:r>
              <w:rPr>
                <w:rFonts w:cs="Arial"/>
                <w:color w:val="000000"/>
              </w:rPr>
              <w:t>6</w:t>
            </w:r>
            <w:r w:rsidRPr="00D839EE">
              <w:rPr>
                <w:rFonts w:cs="Arial"/>
                <w:color w:val="000000"/>
              </w:rPr>
              <w:t>00</w:t>
            </w:r>
            <w:r>
              <w:rPr>
                <w:rFonts w:cs="Arial"/>
                <w:color w:val="000000"/>
              </w:rPr>
              <w:t>)</w:t>
            </w:r>
          </w:p>
        </w:tc>
        <w:tc>
          <w:tcPr>
            <w:tcW w:w="1572" w:type="dxa"/>
            <w:tcBorders>
              <w:top w:val="single" w:sz="4" w:space="0" w:color="auto"/>
              <w:left w:val="single" w:sz="4" w:space="0" w:color="auto"/>
              <w:bottom w:val="single" w:sz="4" w:space="0" w:color="auto"/>
              <w:right w:val="single" w:sz="4" w:space="0" w:color="auto"/>
            </w:tcBorders>
            <w:noWrap/>
            <w:vAlign w:val="center"/>
          </w:tcPr>
          <w:p w:rsidR="003F78B8" w:rsidP="00D77BD7" w14:paraId="7F493A38" w14:textId="77777777">
            <w:pPr>
              <w:autoSpaceDE/>
              <w:autoSpaceDN/>
              <w:adjustRightInd/>
              <w:jc w:val="center"/>
              <w:rPr>
                <w:rFonts w:cs="Arial"/>
                <w:color w:val="000000"/>
                <w:szCs w:val="22"/>
              </w:rPr>
            </w:pPr>
            <w:r>
              <w:rPr>
                <w:rFonts w:cs="Arial"/>
                <w:color w:val="000000"/>
              </w:rPr>
              <w:t>(</w:t>
            </w:r>
            <w:r w:rsidRPr="00D839EE">
              <w:rPr>
                <w:rFonts w:cs="Arial"/>
                <w:color w:val="000000"/>
              </w:rPr>
              <w:t>$5,</w:t>
            </w:r>
            <w:r>
              <w:rPr>
                <w:rFonts w:cs="Arial"/>
                <w:color w:val="000000"/>
              </w:rPr>
              <w:t>6</w:t>
            </w:r>
            <w:r w:rsidRPr="00D839EE">
              <w:rPr>
                <w:rFonts w:cs="Arial"/>
                <w:color w:val="000000"/>
              </w:rPr>
              <w:t>00</w:t>
            </w:r>
            <w:r>
              <w:rPr>
                <w:rFonts w:cs="Arial"/>
                <w:color w:val="000000"/>
              </w:rPr>
              <w:t>)</w:t>
            </w:r>
          </w:p>
        </w:tc>
      </w:tr>
    </w:tbl>
    <w:p w:rsidR="00A720E8" w:rsidP="00256FFF" w14:paraId="7F493A3A" w14:textId="77777777">
      <w:pPr>
        <w:contextualSpacing/>
        <w:rPr>
          <w:rFonts w:cs="Arial"/>
          <w:sz w:val="18"/>
        </w:rPr>
      </w:pPr>
      <w:r>
        <w:rPr>
          <w:rFonts w:cs="Arial"/>
          <w:sz w:val="18"/>
        </w:rPr>
        <w:t xml:space="preserve">* </w:t>
      </w:r>
      <w:r w:rsidRPr="00D839EE" w:rsidR="00BF5AC4">
        <w:rPr>
          <w:rFonts w:cs="Arial"/>
          <w:sz w:val="18"/>
        </w:rPr>
        <w:t xml:space="preserve">Total NRC operation costs are costs per </w:t>
      </w:r>
      <w:r w:rsidR="00A95E95">
        <w:rPr>
          <w:rFonts w:cs="Arial"/>
          <w:sz w:val="18"/>
        </w:rPr>
        <w:t xml:space="preserve">updated </w:t>
      </w:r>
      <w:r w:rsidRPr="00D839EE" w:rsidR="00BF5AC4">
        <w:rPr>
          <w:rFonts w:cs="Arial"/>
          <w:sz w:val="18"/>
        </w:rPr>
        <w:t>FSAR per NPUF.</w:t>
      </w:r>
      <w:r w:rsidR="002D0B51">
        <w:rPr>
          <w:rFonts w:cs="Arial"/>
          <w:sz w:val="18"/>
        </w:rPr>
        <w:t xml:space="preserve">  </w:t>
      </w:r>
    </w:p>
    <w:p w:rsidR="00FC2BC1" w:rsidRPr="00C068EE" w:rsidP="000679A9" w14:paraId="7F493A3B" w14:textId="77777777">
      <w:pPr>
        <w:contextualSpacing/>
        <w:rPr>
          <w:rFonts w:cs="Arial"/>
          <w:sz w:val="22"/>
          <w:szCs w:val="22"/>
        </w:rPr>
      </w:pPr>
    </w:p>
    <w:p w:rsidR="00C068EE" w:rsidRPr="00D839EE" w:rsidP="00C068EE" w14:paraId="7F493A3C" w14:textId="3565C305">
      <w:pPr>
        <w:rPr>
          <w:rFonts w:cs="Arial"/>
          <w:sz w:val="22"/>
          <w:szCs w:val="22"/>
        </w:rPr>
      </w:pPr>
      <w:r w:rsidRPr="00CF41A7">
        <w:rPr>
          <w:rFonts w:cs="Arial"/>
          <w:sz w:val="22"/>
          <w:szCs w:val="22"/>
        </w:rPr>
        <w:fldChar w:fldCharType="begin"/>
      </w:r>
      <w:r w:rsidRPr="00CF41A7">
        <w:rPr>
          <w:rFonts w:cs="Arial"/>
          <w:sz w:val="22"/>
          <w:szCs w:val="22"/>
        </w:rPr>
        <w:instrText xml:space="preserve"> REF _Ref534035663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18</w:t>
      </w:r>
      <w:r w:rsidRPr="00CF41A7">
        <w:rPr>
          <w:rFonts w:cs="Arial"/>
          <w:sz w:val="22"/>
          <w:szCs w:val="22"/>
        </w:rPr>
        <w:fldChar w:fldCharType="end"/>
      </w:r>
      <w:r>
        <w:rPr>
          <w:rFonts w:cs="Arial"/>
          <w:sz w:val="22"/>
          <w:szCs w:val="22"/>
        </w:rPr>
        <w:t xml:space="preserve"> </w:t>
      </w:r>
      <w:r w:rsidRPr="00D839EE">
        <w:rPr>
          <w:rFonts w:cs="Arial"/>
          <w:sz w:val="22"/>
          <w:szCs w:val="22"/>
        </w:rPr>
        <w:t xml:space="preserve">presents the total NRC operation costs </w:t>
      </w:r>
      <w:r>
        <w:rPr>
          <w:rFonts w:cs="Arial"/>
          <w:sz w:val="22"/>
          <w:szCs w:val="22"/>
        </w:rPr>
        <w:t xml:space="preserve">for NPUFs in Group 1 and Group 2 </w:t>
      </w:r>
      <w:r w:rsidRPr="00D839EE">
        <w:rPr>
          <w:rFonts w:cs="Arial"/>
          <w:sz w:val="22"/>
          <w:szCs w:val="22"/>
        </w:rPr>
        <w:t>over the analysis period.  Over the course of the 20-year analysis period, four FSAR updates</w:t>
      </w:r>
      <w:r w:rsidR="00D6566D">
        <w:rPr>
          <w:rFonts w:cs="Arial"/>
          <w:sz w:val="22"/>
          <w:szCs w:val="22"/>
        </w:rPr>
        <w:t xml:space="preserve"> will take place</w:t>
      </w:r>
      <w:r w:rsidRPr="00D839EE">
        <w:rPr>
          <w:rFonts w:cs="Arial"/>
          <w:sz w:val="22"/>
          <w:szCs w:val="22"/>
        </w:rPr>
        <w:t xml:space="preserve"> (one initial update and three subsequent updates), </w:t>
      </w:r>
      <w:r w:rsidR="00D6566D">
        <w:rPr>
          <w:rFonts w:cs="Arial"/>
          <w:sz w:val="22"/>
          <w:szCs w:val="22"/>
        </w:rPr>
        <w:t>resulting in</w:t>
      </w:r>
      <w:r w:rsidRPr="00D839EE">
        <w:rPr>
          <w:rFonts w:cs="Arial"/>
          <w:sz w:val="22"/>
          <w:szCs w:val="22"/>
        </w:rPr>
        <w:t xml:space="preserve"> four reviews.  The first review will incur the </w:t>
      </w:r>
      <w:r w:rsidR="00F25956">
        <w:rPr>
          <w:rFonts w:cs="Arial"/>
          <w:sz w:val="22"/>
          <w:szCs w:val="22"/>
        </w:rPr>
        <w:t>largest</w:t>
      </w:r>
      <w:r w:rsidRPr="00D839EE" w:rsidR="00F25956">
        <w:rPr>
          <w:rFonts w:cs="Arial"/>
          <w:sz w:val="22"/>
          <w:szCs w:val="22"/>
        </w:rPr>
        <w:t xml:space="preserve"> </w:t>
      </w:r>
      <w:r w:rsidRPr="00D839EE">
        <w:rPr>
          <w:rFonts w:cs="Arial"/>
          <w:sz w:val="22"/>
          <w:szCs w:val="22"/>
        </w:rPr>
        <w:t xml:space="preserve">cost. </w:t>
      </w:r>
      <w:r w:rsidR="00ED1599">
        <w:rPr>
          <w:rFonts w:cs="Arial"/>
          <w:sz w:val="22"/>
          <w:szCs w:val="22"/>
        </w:rPr>
        <w:t xml:space="preserve"> </w:t>
      </w:r>
      <w:r w:rsidR="00E25817">
        <w:rPr>
          <w:rFonts w:cs="Arial"/>
          <w:sz w:val="22"/>
          <w:szCs w:val="22"/>
        </w:rPr>
        <w:t xml:space="preserve">The </w:t>
      </w:r>
      <w:r w:rsidRPr="00D839EE">
        <w:rPr>
          <w:rFonts w:cs="Arial"/>
          <w:sz w:val="22"/>
          <w:szCs w:val="22"/>
        </w:rPr>
        <w:t xml:space="preserve">total </w:t>
      </w:r>
      <w:r w:rsidR="00E25817">
        <w:rPr>
          <w:rFonts w:cs="Arial"/>
          <w:sz w:val="22"/>
          <w:szCs w:val="22"/>
        </w:rPr>
        <w:t xml:space="preserve">cost for </w:t>
      </w:r>
      <w:r>
        <w:rPr>
          <w:rFonts w:cs="Arial"/>
          <w:sz w:val="22"/>
          <w:szCs w:val="22"/>
        </w:rPr>
        <w:t>Group 1 and Group 2</w:t>
      </w:r>
      <w:r w:rsidRPr="00D839EE">
        <w:rPr>
          <w:rFonts w:cs="Arial"/>
          <w:sz w:val="22"/>
          <w:szCs w:val="22"/>
        </w:rPr>
        <w:t xml:space="preserve"> NPUF operation costs </w:t>
      </w:r>
      <w:r w:rsidR="00E25817">
        <w:rPr>
          <w:rFonts w:cs="Arial"/>
          <w:sz w:val="22"/>
          <w:szCs w:val="22"/>
        </w:rPr>
        <w:t>is</w:t>
      </w:r>
      <w:r w:rsidRPr="00D839EE" w:rsidR="00E25817">
        <w:rPr>
          <w:rFonts w:cs="Arial"/>
          <w:sz w:val="22"/>
          <w:szCs w:val="22"/>
        </w:rPr>
        <w:t xml:space="preserve"> </w:t>
      </w:r>
      <w:r w:rsidR="00603C81">
        <w:rPr>
          <w:rFonts w:cs="Arial"/>
          <w:sz w:val="22"/>
          <w:szCs w:val="22"/>
        </w:rPr>
        <w:t>(</w:t>
      </w:r>
      <w:r w:rsidRPr="00D839EE">
        <w:rPr>
          <w:rFonts w:cs="Arial"/>
          <w:sz w:val="22"/>
          <w:szCs w:val="22"/>
        </w:rPr>
        <w:t>$</w:t>
      </w:r>
      <w:r w:rsidR="00CF24EE">
        <w:rPr>
          <w:rFonts w:cs="Arial"/>
          <w:sz w:val="22"/>
          <w:szCs w:val="22"/>
        </w:rPr>
        <w:t>58</w:t>
      </w:r>
      <w:r w:rsidRPr="00D839EE" w:rsidR="00CF24EE">
        <w:rPr>
          <w:rFonts w:cs="Arial"/>
          <w:sz w:val="22"/>
          <w:szCs w:val="22"/>
        </w:rPr>
        <w:t>0</w:t>
      </w:r>
      <w:r w:rsidRPr="00D839EE">
        <w:rPr>
          <w:rFonts w:cs="Arial"/>
          <w:sz w:val="22"/>
          <w:szCs w:val="22"/>
        </w:rPr>
        <w:t>,000</w:t>
      </w:r>
      <w:r w:rsidR="00603C81">
        <w:rPr>
          <w:rFonts w:cs="Arial"/>
          <w:sz w:val="22"/>
          <w:szCs w:val="22"/>
        </w:rPr>
        <w:t>)</w:t>
      </w:r>
      <w:r>
        <w:rPr>
          <w:rFonts w:cs="Arial"/>
          <w:sz w:val="22"/>
          <w:szCs w:val="22"/>
        </w:rPr>
        <w:t xml:space="preserve"> </w:t>
      </w:r>
      <w:r w:rsidRPr="00D839EE">
        <w:rPr>
          <w:rFonts w:cs="Arial"/>
          <w:sz w:val="22"/>
          <w:szCs w:val="22"/>
        </w:rPr>
        <w:t>undiscounted (</w:t>
      </w:r>
      <w:r w:rsidR="00B91A63">
        <w:rPr>
          <w:rFonts w:cs="Arial"/>
          <w:sz w:val="22"/>
          <w:szCs w:val="22"/>
        </w:rPr>
        <w:t>(</w:t>
      </w:r>
      <w:r w:rsidRPr="00D839EE" w:rsidR="00B91A63">
        <w:rPr>
          <w:rFonts w:cs="Arial"/>
          <w:sz w:val="22"/>
          <w:szCs w:val="22"/>
        </w:rPr>
        <w:t>$</w:t>
      </w:r>
      <w:r w:rsidR="00B91A63">
        <w:rPr>
          <w:rFonts w:cs="Arial"/>
          <w:sz w:val="22"/>
          <w:szCs w:val="22"/>
        </w:rPr>
        <w:t>570</w:t>
      </w:r>
      <w:r w:rsidRPr="00D839EE" w:rsidR="00B91A63">
        <w:rPr>
          <w:rFonts w:cs="Arial"/>
          <w:sz w:val="22"/>
          <w:szCs w:val="22"/>
        </w:rPr>
        <w:t>,000</w:t>
      </w:r>
      <w:r w:rsidR="00B91A63">
        <w:rPr>
          <w:rFonts w:cs="Arial"/>
          <w:sz w:val="22"/>
          <w:szCs w:val="22"/>
        </w:rPr>
        <w:t>)</w:t>
      </w:r>
      <w:r w:rsidRPr="00D839EE" w:rsidR="00B91A63">
        <w:rPr>
          <w:rFonts w:cs="Arial"/>
          <w:sz w:val="22"/>
          <w:szCs w:val="22"/>
        </w:rPr>
        <w:t xml:space="preserve"> using a 3</w:t>
      </w:r>
      <w:r w:rsidR="00B91A63">
        <w:rPr>
          <w:rFonts w:cs="Arial"/>
          <w:sz w:val="22"/>
          <w:szCs w:val="22"/>
        </w:rPr>
        <w:t>-</w:t>
      </w:r>
      <w:r w:rsidRPr="00D839EE" w:rsidR="00B91A63">
        <w:rPr>
          <w:rFonts w:cs="Arial"/>
          <w:sz w:val="22"/>
          <w:szCs w:val="22"/>
        </w:rPr>
        <w:t>percent discount rate</w:t>
      </w:r>
      <w:r w:rsidR="00B91A63">
        <w:rPr>
          <w:rFonts w:cs="Arial"/>
          <w:sz w:val="22"/>
          <w:szCs w:val="22"/>
        </w:rPr>
        <w:t xml:space="preserve"> or </w:t>
      </w:r>
      <w:r w:rsidR="00603C81">
        <w:rPr>
          <w:rFonts w:cs="Arial"/>
          <w:sz w:val="22"/>
          <w:szCs w:val="22"/>
        </w:rPr>
        <w:t>(</w:t>
      </w:r>
      <w:r w:rsidRPr="00D839EE">
        <w:rPr>
          <w:rFonts w:cs="Arial"/>
          <w:sz w:val="22"/>
          <w:szCs w:val="22"/>
        </w:rPr>
        <w:t>$</w:t>
      </w:r>
      <w:r w:rsidR="0078748D">
        <w:rPr>
          <w:rFonts w:cs="Arial"/>
          <w:sz w:val="22"/>
          <w:szCs w:val="22"/>
        </w:rPr>
        <w:t>43</w:t>
      </w:r>
      <w:r w:rsidRPr="00D839EE" w:rsidR="0078748D">
        <w:rPr>
          <w:rFonts w:cs="Arial"/>
          <w:sz w:val="22"/>
          <w:szCs w:val="22"/>
        </w:rPr>
        <w:t>0</w:t>
      </w:r>
      <w:r w:rsidRPr="00D839EE">
        <w:rPr>
          <w:rFonts w:cs="Arial"/>
          <w:sz w:val="22"/>
          <w:szCs w:val="22"/>
        </w:rPr>
        <w:t>,000</w:t>
      </w:r>
      <w:r w:rsidR="00603C81">
        <w:rPr>
          <w:rFonts w:cs="Arial"/>
          <w:sz w:val="22"/>
          <w:szCs w:val="22"/>
        </w:rPr>
        <w:t>)</w:t>
      </w:r>
      <w:r w:rsidRPr="00D839EE">
        <w:rPr>
          <w:rFonts w:cs="Arial"/>
          <w:sz w:val="22"/>
          <w:szCs w:val="22"/>
        </w:rPr>
        <w:t xml:space="preserve"> using a 7</w:t>
      </w:r>
      <w:r w:rsidR="00B116BC">
        <w:rPr>
          <w:rFonts w:cs="Arial"/>
          <w:sz w:val="22"/>
          <w:szCs w:val="22"/>
        </w:rPr>
        <w:noBreakHyphen/>
      </w:r>
      <w:r w:rsidRPr="00D839EE">
        <w:rPr>
          <w:rFonts w:cs="Arial"/>
          <w:sz w:val="22"/>
          <w:szCs w:val="22"/>
        </w:rPr>
        <w:t>percent discount rate) over the 20-year analysis period.</w:t>
      </w:r>
    </w:p>
    <w:p w:rsidR="00C068EE" w:rsidRPr="00ED1599" w:rsidP="00256FFF" w14:paraId="7F493A3D" w14:textId="77777777">
      <w:pPr>
        <w:contextualSpacing/>
        <w:rPr>
          <w:rFonts w:cs="Arial"/>
          <w:sz w:val="22"/>
          <w:szCs w:val="22"/>
        </w:rPr>
      </w:pPr>
    </w:p>
    <w:p w:rsidR="00AC71D8" w:rsidP="00346B95" w14:paraId="7F493A3E" w14:textId="208AF68E">
      <w:pPr>
        <w:autoSpaceDE/>
        <w:autoSpaceDN/>
        <w:adjustRightInd/>
        <w:jc w:val="center"/>
        <w:rPr>
          <w:b/>
          <w:sz w:val="22"/>
          <w:szCs w:val="22"/>
        </w:rPr>
      </w:pPr>
      <w:r w:rsidRPr="00FD2E55">
        <w:rPr>
          <w:rFonts w:cs="Arial"/>
          <w:b/>
          <w:sz w:val="22"/>
          <w:szCs w:val="22"/>
        </w:rPr>
        <w:t xml:space="preserve"> </w:t>
      </w:r>
      <w:bookmarkStart w:id="307" w:name="_Ref534035663"/>
      <w:bookmarkStart w:id="308" w:name="_Toc9526475"/>
      <w:bookmarkStart w:id="309" w:name="_Toc536603424"/>
      <w:bookmarkStart w:id="310" w:name="_Toc534037068"/>
      <w:bookmarkStart w:id="311" w:name="_Toc534710011"/>
      <w:bookmarkStart w:id="312" w:name="_Toc534711696"/>
      <w:bookmarkStart w:id="313" w:name="_Toc534712129"/>
      <w:bookmarkStart w:id="314" w:name="_Toc534712706"/>
      <w:bookmarkStart w:id="315" w:name="_Toc534713215"/>
      <w:r w:rsidRPr="000F7FD1" w:rsidR="005F4EE4">
        <w:rPr>
          <w:b/>
          <w:sz w:val="22"/>
          <w:szCs w:val="22"/>
        </w:rPr>
        <w:t xml:space="preserve">Exhibit </w:t>
      </w:r>
      <w:r w:rsidRPr="000F7FD1" w:rsidR="005111B6">
        <w:rPr>
          <w:b/>
          <w:sz w:val="22"/>
          <w:szCs w:val="22"/>
        </w:rPr>
        <w:t>3</w:t>
      </w:r>
      <w:r w:rsidRPr="000F7FD1" w:rsidR="00180D68">
        <w:rPr>
          <w:b/>
          <w:sz w:val="22"/>
          <w:szCs w:val="22"/>
        </w:rPr>
        <w:noBreakHyphen/>
      </w:r>
      <w:r w:rsidRPr="000F7FD1" w:rsidR="00C276FC">
        <w:rPr>
          <w:b/>
          <w:sz w:val="22"/>
          <w:szCs w:val="22"/>
        </w:rPr>
        <w:fldChar w:fldCharType="begin"/>
      </w:r>
      <w:r w:rsidRPr="000F7FD1" w:rsidR="00C276FC">
        <w:rPr>
          <w:b/>
          <w:sz w:val="22"/>
          <w:szCs w:val="22"/>
        </w:rPr>
        <w:instrText xml:space="preserve"> SEQ Exhibit \* ARABIC </w:instrText>
      </w:r>
      <w:r w:rsidRPr="000F7FD1" w:rsidR="00C276FC">
        <w:rPr>
          <w:b/>
          <w:sz w:val="22"/>
          <w:szCs w:val="22"/>
        </w:rPr>
        <w:fldChar w:fldCharType="separate"/>
      </w:r>
      <w:r w:rsidR="00977795">
        <w:rPr>
          <w:b/>
          <w:noProof/>
          <w:sz w:val="22"/>
          <w:szCs w:val="22"/>
        </w:rPr>
        <w:t>18</w:t>
      </w:r>
      <w:r w:rsidRPr="000F7FD1" w:rsidR="00C276FC">
        <w:rPr>
          <w:b/>
          <w:sz w:val="22"/>
          <w:szCs w:val="22"/>
        </w:rPr>
        <w:fldChar w:fldCharType="end"/>
      </w:r>
      <w:bookmarkEnd w:id="307"/>
      <w:r w:rsidRPr="000F7FD1" w:rsidR="005F4EE4">
        <w:rPr>
          <w:b/>
          <w:sz w:val="22"/>
          <w:szCs w:val="22"/>
        </w:rPr>
        <w:t>. Total Present Value of NRC Operation Costs Associated with</w:t>
      </w:r>
      <w:bookmarkEnd w:id="308"/>
      <w:bookmarkEnd w:id="309"/>
      <w:r w:rsidRPr="000F7FD1" w:rsidR="005F4EE4">
        <w:rPr>
          <w:b/>
          <w:sz w:val="22"/>
          <w:szCs w:val="22"/>
        </w:rPr>
        <w:t xml:space="preserve"> </w:t>
      </w:r>
    </w:p>
    <w:p w:rsidR="00BF5AC4" w:rsidRPr="000F7FD1" w:rsidP="00346B95" w14:paraId="7F493A3F" w14:textId="77777777">
      <w:pPr>
        <w:autoSpaceDE/>
        <w:autoSpaceDN/>
        <w:adjustRightInd/>
        <w:jc w:val="center"/>
        <w:rPr>
          <w:b/>
          <w:sz w:val="22"/>
          <w:szCs w:val="22"/>
        </w:rPr>
      </w:pPr>
      <w:r w:rsidRPr="000F7FD1">
        <w:rPr>
          <w:b/>
          <w:sz w:val="22"/>
          <w:szCs w:val="22"/>
        </w:rPr>
        <w:t>Group 1 and Group 2 NPUFs (</w:t>
      </w:r>
      <w:r w:rsidRPr="000F7FD1" w:rsidR="009170F7">
        <w:rPr>
          <w:b/>
          <w:sz w:val="22"/>
          <w:szCs w:val="22"/>
        </w:rPr>
        <w:t>2020</w:t>
      </w:r>
      <w:r w:rsidRPr="000F7FD1">
        <w:rPr>
          <w:b/>
          <w:sz w:val="22"/>
          <w:szCs w:val="22"/>
        </w:rPr>
        <w:t>$)</w:t>
      </w:r>
      <w:bookmarkEnd w:id="310"/>
      <w:bookmarkEnd w:id="311"/>
      <w:bookmarkEnd w:id="312"/>
      <w:bookmarkEnd w:id="313"/>
      <w:bookmarkEnd w:id="314"/>
      <w:bookmarkEnd w:id="315"/>
    </w:p>
    <w:tbl>
      <w:tblPr>
        <w:tblW w:w="9350" w:type="dxa"/>
        <w:jc w:val="center"/>
        <w:tblLook w:val="04A0"/>
      </w:tblPr>
      <w:tblGrid>
        <w:gridCol w:w="2928"/>
        <w:gridCol w:w="1486"/>
        <w:gridCol w:w="1389"/>
        <w:gridCol w:w="1936"/>
        <w:gridCol w:w="1611"/>
      </w:tblGrid>
      <w:tr w14:paraId="7F493A45" w14:textId="77777777" w:rsidTr="00D96410">
        <w:tblPrEx>
          <w:tblW w:w="9350" w:type="dxa"/>
          <w:jc w:val="center"/>
          <w:tblLook w:val="04A0"/>
        </w:tblPrEx>
        <w:trPr>
          <w:trHeight w:val="285"/>
          <w:tblHeader/>
          <w:jc w:val="center"/>
        </w:trPr>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8B2" w:rsidRPr="00346B95" w:rsidP="005F6062" w14:paraId="7F493A40" w14:textId="77777777">
            <w:pPr>
              <w:autoSpaceDE/>
              <w:autoSpaceDN/>
              <w:adjustRightInd/>
              <w:jc w:val="center"/>
              <w:rPr>
                <w:b/>
              </w:rPr>
            </w:pPr>
            <w:r w:rsidRPr="00DB79AE">
              <w:rPr>
                <w:rFonts w:cs="Arial"/>
                <w:b/>
              </w:rPr>
              <w:t>Component</w:t>
            </w:r>
          </w:p>
        </w:tc>
        <w:tc>
          <w:tcPr>
            <w:tcW w:w="1486" w:type="dxa"/>
            <w:tcBorders>
              <w:top w:val="single" w:sz="4" w:space="0" w:color="auto"/>
              <w:left w:val="single" w:sz="4" w:space="0" w:color="auto"/>
              <w:bottom w:val="single" w:sz="4" w:space="0" w:color="auto"/>
              <w:right w:val="single" w:sz="4" w:space="0" w:color="auto"/>
            </w:tcBorders>
          </w:tcPr>
          <w:p w:rsidR="00FF7F8D" w:rsidRPr="00DB79AE" w:rsidP="005F6062" w14:paraId="7F493A41" w14:textId="77777777">
            <w:pPr>
              <w:autoSpaceDE/>
              <w:autoSpaceDN/>
              <w:adjustRightInd/>
              <w:jc w:val="center"/>
              <w:rPr>
                <w:rFonts w:cs="Arial"/>
                <w:b/>
              </w:rPr>
            </w:pPr>
            <w:r w:rsidRPr="00DB79AE">
              <w:rPr>
                <w:rFonts w:cs="Arial"/>
                <w:b/>
              </w:rPr>
              <w:t>Identifier</w:t>
            </w:r>
          </w:p>
        </w:tc>
        <w:tc>
          <w:tcPr>
            <w:tcW w:w="1389" w:type="dxa"/>
            <w:tcBorders>
              <w:top w:val="single" w:sz="4" w:space="0" w:color="auto"/>
              <w:left w:val="single" w:sz="4" w:space="0" w:color="auto"/>
              <w:bottom w:val="nil"/>
              <w:right w:val="single" w:sz="4" w:space="0" w:color="auto"/>
            </w:tcBorders>
            <w:shd w:val="clear" w:color="auto" w:fill="auto"/>
            <w:noWrap/>
            <w:vAlign w:val="center"/>
            <w:hideMark/>
          </w:tcPr>
          <w:p w:rsidR="006F18B2" w:rsidRPr="005F6062" w:rsidP="00114EFF" w14:paraId="7F493A42" w14:textId="77777777">
            <w:pPr>
              <w:autoSpaceDE/>
              <w:autoSpaceDN/>
              <w:adjustRightInd/>
              <w:jc w:val="center"/>
              <w:rPr>
                <w:rFonts w:cs="Arial"/>
                <w:b/>
                <w:color w:val="000000"/>
              </w:rPr>
            </w:pPr>
            <w:r w:rsidRPr="005F6062">
              <w:rPr>
                <w:rFonts w:cs="Arial"/>
                <w:b/>
                <w:color w:val="000000"/>
              </w:rPr>
              <w:t>Low</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6F18B2" w:rsidRPr="005F6062" w:rsidP="00114EFF" w14:paraId="7F493A43" w14:textId="77777777">
            <w:pPr>
              <w:autoSpaceDE/>
              <w:autoSpaceDN/>
              <w:adjustRightInd/>
              <w:jc w:val="center"/>
              <w:rPr>
                <w:rFonts w:cs="Arial"/>
                <w:b/>
                <w:color w:val="000000"/>
              </w:rPr>
            </w:pPr>
            <w:r w:rsidRPr="005F6062">
              <w:rPr>
                <w:rFonts w:cs="Arial"/>
                <w:b/>
                <w:color w:val="000000"/>
              </w:rPr>
              <w:t>Medium</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6F18B2" w:rsidRPr="005F6062" w:rsidP="00114EFF" w14:paraId="7F493A44" w14:textId="77777777">
            <w:pPr>
              <w:autoSpaceDE/>
              <w:autoSpaceDN/>
              <w:adjustRightInd/>
              <w:jc w:val="center"/>
              <w:rPr>
                <w:rFonts w:cs="Arial"/>
                <w:b/>
                <w:color w:val="000000"/>
              </w:rPr>
            </w:pPr>
            <w:r w:rsidRPr="005F6062">
              <w:rPr>
                <w:rFonts w:cs="Arial"/>
                <w:b/>
                <w:color w:val="000000"/>
              </w:rPr>
              <w:t>High</w:t>
            </w:r>
          </w:p>
        </w:tc>
      </w:tr>
      <w:tr w14:paraId="7F493A4B" w14:textId="77777777" w:rsidTr="00D96410">
        <w:tblPrEx>
          <w:tblW w:w="9350" w:type="dxa"/>
          <w:jc w:val="center"/>
          <w:tblLook w:val="04A0"/>
        </w:tblPrEx>
        <w:trPr>
          <w:trHeight w:val="285"/>
          <w:jc w:val="center"/>
        </w:trPr>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46" w14:textId="77777777">
            <w:pPr>
              <w:autoSpaceDE/>
              <w:autoSpaceDN/>
              <w:adjustRightInd/>
              <w:jc w:val="center"/>
              <w:rPr>
                <w:rFonts w:cs="Arial"/>
                <w:b/>
                <w:bCs/>
                <w:color w:val="000000"/>
              </w:rPr>
            </w:pPr>
            <w:r w:rsidRPr="00114EFF">
              <w:rPr>
                <w:rFonts w:cs="Arial"/>
                <w:b/>
                <w:bCs/>
                <w:color w:val="000000"/>
              </w:rPr>
              <w:t>Initial Operation Cost per FSAR Update</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114EFF" w:rsidRPr="00114EFF" w:rsidP="00114EFF" w14:paraId="7F493A47" w14:textId="77777777">
            <w:pPr>
              <w:autoSpaceDE/>
              <w:autoSpaceDN/>
              <w:adjustRightInd/>
              <w:jc w:val="center"/>
              <w:rPr>
                <w:rFonts w:cs="Arial"/>
                <w:b/>
                <w:bCs/>
                <w:color w:val="000000"/>
              </w:rPr>
            </w:pPr>
            <w:r w:rsidRPr="00114EFF">
              <w:rPr>
                <w:rFonts w:cs="Arial"/>
                <w:b/>
                <w:bCs/>
                <w:color w:val="000000"/>
              </w:rPr>
              <w:t>A</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114EFF" w:rsidRPr="005F6062" w:rsidP="00114EFF" w14:paraId="7F493A48" w14:textId="77777777">
            <w:pPr>
              <w:autoSpaceDE/>
              <w:autoSpaceDN/>
              <w:adjustRightInd/>
              <w:jc w:val="center"/>
              <w:rPr>
                <w:rFonts w:cs="Arial"/>
                <w:color w:val="000000"/>
              </w:rPr>
            </w:pPr>
            <w:r>
              <w:rPr>
                <w:rFonts w:cs="Arial"/>
                <w:color w:val="000000"/>
              </w:rPr>
              <w:t>(</w:t>
            </w:r>
            <w:r w:rsidRPr="005F6062">
              <w:rPr>
                <w:rFonts w:cs="Arial"/>
                <w:color w:val="000000"/>
              </w:rPr>
              <w:t>$6,</w:t>
            </w:r>
            <w:r w:rsidR="00752435">
              <w:rPr>
                <w:rFonts w:cs="Arial"/>
                <w:color w:val="000000"/>
              </w:rPr>
              <w:t>8</w:t>
            </w:r>
            <w:r w:rsidRPr="005F6062" w:rsidR="00752435">
              <w:rPr>
                <w:rFonts w:cs="Arial"/>
                <w:color w:val="000000"/>
              </w:rPr>
              <w:t>00</w:t>
            </w:r>
            <w:r>
              <w:rPr>
                <w:rFonts w:cs="Arial"/>
                <w:color w:val="000000"/>
              </w:rPr>
              <w:t>)</w:t>
            </w:r>
          </w:p>
        </w:tc>
        <w:tc>
          <w:tcPr>
            <w:tcW w:w="1936"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49" w14:textId="77777777">
            <w:pPr>
              <w:autoSpaceDE/>
              <w:autoSpaceDN/>
              <w:adjustRightInd/>
              <w:jc w:val="center"/>
              <w:rPr>
                <w:rFonts w:cs="Arial"/>
                <w:color w:val="000000"/>
              </w:rPr>
            </w:pPr>
            <w:r>
              <w:rPr>
                <w:rFonts w:cs="Arial"/>
                <w:color w:val="000000"/>
              </w:rPr>
              <w:t>(</w:t>
            </w:r>
            <w:r w:rsidRPr="005F6062">
              <w:rPr>
                <w:rFonts w:cs="Arial"/>
                <w:color w:val="000000"/>
              </w:rPr>
              <w:t>$</w:t>
            </w:r>
            <w:r w:rsidR="00752435">
              <w:rPr>
                <w:rFonts w:cs="Arial"/>
                <w:color w:val="000000"/>
              </w:rPr>
              <w:t>9</w:t>
            </w:r>
            <w:r w:rsidRPr="005F6062">
              <w:rPr>
                <w:rFonts w:cs="Arial"/>
                <w:color w:val="000000"/>
              </w:rPr>
              <w:t>,000</w:t>
            </w:r>
            <w:r>
              <w:rPr>
                <w:rFonts w:cs="Arial"/>
                <w:color w:val="000000"/>
              </w:rPr>
              <w:t>)</w:t>
            </w:r>
          </w:p>
        </w:tc>
        <w:tc>
          <w:tcPr>
            <w:tcW w:w="1611"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4A" w14:textId="77777777">
            <w:pPr>
              <w:autoSpaceDE/>
              <w:autoSpaceDN/>
              <w:adjustRightInd/>
              <w:jc w:val="center"/>
              <w:rPr>
                <w:rFonts w:cs="Arial"/>
                <w:color w:val="000000"/>
              </w:rPr>
            </w:pPr>
            <w:r>
              <w:rPr>
                <w:rFonts w:cs="Arial"/>
                <w:color w:val="000000"/>
              </w:rPr>
              <w:t>(</w:t>
            </w:r>
            <w:r w:rsidRPr="005F6062">
              <w:rPr>
                <w:rFonts w:cs="Arial"/>
                <w:color w:val="000000"/>
              </w:rPr>
              <w:t>$</w:t>
            </w:r>
            <w:r w:rsidRPr="005F6062" w:rsidR="003E2640">
              <w:rPr>
                <w:rFonts w:cs="Arial"/>
                <w:color w:val="000000"/>
              </w:rPr>
              <w:t>1</w:t>
            </w:r>
            <w:r w:rsidR="003E2640">
              <w:rPr>
                <w:rFonts w:cs="Arial"/>
                <w:color w:val="000000"/>
              </w:rPr>
              <w:t>1</w:t>
            </w:r>
            <w:r w:rsidRPr="005F6062">
              <w:rPr>
                <w:rFonts w:cs="Arial"/>
                <w:color w:val="000000"/>
              </w:rPr>
              <w:t>,000</w:t>
            </w:r>
            <w:r>
              <w:rPr>
                <w:rFonts w:cs="Arial"/>
                <w:color w:val="000000"/>
              </w:rPr>
              <w:t>)</w:t>
            </w:r>
          </w:p>
        </w:tc>
      </w:tr>
      <w:tr w14:paraId="7F493A51" w14:textId="77777777" w:rsidTr="00D96410">
        <w:tblPrEx>
          <w:tblW w:w="9350" w:type="dxa"/>
          <w:jc w:val="center"/>
          <w:tblLook w:val="04A0"/>
        </w:tblPrEx>
        <w:trPr>
          <w:trHeight w:val="285"/>
          <w:jc w:val="center"/>
        </w:trPr>
        <w:tc>
          <w:tcPr>
            <w:tcW w:w="2928" w:type="dxa"/>
            <w:tcBorders>
              <w:top w:val="nil"/>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4C" w14:textId="77777777">
            <w:pPr>
              <w:autoSpaceDE/>
              <w:autoSpaceDN/>
              <w:adjustRightInd/>
              <w:jc w:val="center"/>
              <w:rPr>
                <w:rFonts w:cs="Arial"/>
                <w:b/>
                <w:bCs/>
                <w:color w:val="000000"/>
              </w:rPr>
            </w:pPr>
            <w:r w:rsidRPr="00114EFF">
              <w:rPr>
                <w:rFonts w:cs="Arial"/>
                <w:b/>
                <w:bCs/>
                <w:color w:val="000000"/>
              </w:rPr>
              <w:t>Ongoing Operation Cost per FSAR Update</w:t>
            </w:r>
          </w:p>
        </w:tc>
        <w:tc>
          <w:tcPr>
            <w:tcW w:w="1486" w:type="dxa"/>
            <w:tcBorders>
              <w:top w:val="nil"/>
              <w:left w:val="nil"/>
              <w:bottom w:val="single" w:sz="4" w:space="0" w:color="auto"/>
              <w:right w:val="single" w:sz="4" w:space="0" w:color="auto"/>
            </w:tcBorders>
            <w:shd w:val="clear" w:color="auto" w:fill="auto"/>
            <w:noWrap/>
            <w:vAlign w:val="center"/>
            <w:hideMark/>
          </w:tcPr>
          <w:p w:rsidR="00114EFF" w:rsidRPr="00114EFF" w:rsidP="00114EFF" w14:paraId="7F493A4D" w14:textId="77777777">
            <w:pPr>
              <w:autoSpaceDE/>
              <w:autoSpaceDN/>
              <w:adjustRightInd/>
              <w:jc w:val="center"/>
              <w:rPr>
                <w:rFonts w:cs="Arial"/>
                <w:b/>
                <w:bCs/>
                <w:color w:val="000000"/>
              </w:rPr>
            </w:pPr>
            <w:r w:rsidRPr="00114EFF">
              <w:rPr>
                <w:rFonts w:cs="Arial"/>
                <w:b/>
                <w:bCs/>
                <w:color w:val="000000"/>
              </w:rPr>
              <w:t>B</w:t>
            </w:r>
          </w:p>
        </w:tc>
        <w:tc>
          <w:tcPr>
            <w:tcW w:w="1389"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4E" w14:textId="77777777">
            <w:pPr>
              <w:autoSpaceDE/>
              <w:autoSpaceDN/>
              <w:adjustRightInd/>
              <w:jc w:val="center"/>
              <w:rPr>
                <w:rFonts w:cs="Arial"/>
                <w:color w:val="000000"/>
              </w:rPr>
            </w:pPr>
            <w:r>
              <w:rPr>
                <w:rFonts w:cs="Arial"/>
                <w:color w:val="000000"/>
              </w:rPr>
              <w:t>(</w:t>
            </w:r>
            <w:r w:rsidRPr="005F6062">
              <w:rPr>
                <w:rFonts w:cs="Arial"/>
                <w:color w:val="000000"/>
              </w:rPr>
              <w:t>$3,</w:t>
            </w:r>
            <w:r w:rsidR="003E2640">
              <w:rPr>
                <w:rFonts w:cs="Arial"/>
                <w:color w:val="000000"/>
              </w:rPr>
              <w:t>4</w:t>
            </w:r>
            <w:r w:rsidRPr="005F6062" w:rsidR="003E2640">
              <w:rPr>
                <w:rFonts w:cs="Arial"/>
                <w:color w:val="000000"/>
              </w:rPr>
              <w:t>00</w:t>
            </w:r>
            <w:r>
              <w:rPr>
                <w:rFonts w:cs="Arial"/>
                <w:color w:val="000000"/>
              </w:rPr>
              <w:t>)</w:t>
            </w:r>
          </w:p>
        </w:tc>
        <w:tc>
          <w:tcPr>
            <w:tcW w:w="1936"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4F" w14:textId="77777777">
            <w:pPr>
              <w:autoSpaceDE/>
              <w:autoSpaceDN/>
              <w:adjustRightInd/>
              <w:jc w:val="center"/>
              <w:rPr>
                <w:rFonts w:cs="Arial"/>
                <w:color w:val="000000"/>
              </w:rPr>
            </w:pPr>
            <w:r>
              <w:rPr>
                <w:rFonts w:cs="Arial"/>
                <w:color w:val="000000"/>
              </w:rPr>
              <w:t>(</w:t>
            </w:r>
            <w:r w:rsidRPr="005F6062">
              <w:rPr>
                <w:rFonts w:cs="Arial"/>
                <w:color w:val="000000"/>
              </w:rPr>
              <w:t>$</w:t>
            </w:r>
            <w:r w:rsidR="00253DD1">
              <w:rPr>
                <w:rFonts w:cs="Arial"/>
                <w:color w:val="000000"/>
              </w:rPr>
              <w:t>4,500</w:t>
            </w:r>
            <w:r>
              <w:rPr>
                <w:rFonts w:cs="Arial"/>
                <w:color w:val="000000"/>
              </w:rPr>
              <w:t>)</w:t>
            </w:r>
          </w:p>
        </w:tc>
        <w:tc>
          <w:tcPr>
            <w:tcW w:w="1611"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0" w14:textId="77777777">
            <w:pPr>
              <w:autoSpaceDE/>
              <w:autoSpaceDN/>
              <w:adjustRightInd/>
              <w:jc w:val="center"/>
              <w:rPr>
                <w:rFonts w:cs="Arial"/>
                <w:color w:val="000000"/>
              </w:rPr>
            </w:pPr>
            <w:r>
              <w:rPr>
                <w:rFonts w:cs="Arial"/>
                <w:color w:val="000000"/>
              </w:rPr>
              <w:t>(</w:t>
            </w:r>
            <w:r w:rsidRPr="005F6062">
              <w:rPr>
                <w:rFonts w:cs="Arial"/>
                <w:color w:val="000000"/>
              </w:rPr>
              <w:t>$</w:t>
            </w:r>
            <w:r w:rsidR="00253DD1">
              <w:rPr>
                <w:rFonts w:cs="Arial"/>
                <w:color w:val="000000"/>
              </w:rPr>
              <w:t>5,600</w:t>
            </w:r>
            <w:r>
              <w:rPr>
                <w:rFonts w:cs="Arial"/>
                <w:color w:val="000000"/>
              </w:rPr>
              <w:t>)</w:t>
            </w:r>
          </w:p>
        </w:tc>
      </w:tr>
      <w:tr w14:paraId="7F493A57" w14:textId="77777777" w:rsidTr="00D96410">
        <w:tblPrEx>
          <w:tblW w:w="9350" w:type="dxa"/>
          <w:jc w:val="center"/>
          <w:tblLook w:val="04A0"/>
        </w:tblPrEx>
        <w:trPr>
          <w:trHeight w:val="285"/>
          <w:jc w:val="center"/>
        </w:trPr>
        <w:tc>
          <w:tcPr>
            <w:tcW w:w="2928" w:type="dxa"/>
            <w:tcBorders>
              <w:top w:val="nil"/>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52" w14:textId="77777777">
            <w:pPr>
              <w:autoSpaceDE/>
              <w:autoSpaceDN/>
              <w:adjustRightInd/>
              <w:jc w:val="center"/>
              <w:rPr>
                <w:rFonts w:cs="Arial"/>
                <w:b/>
                <w:bCs/>
                <w:color w:val="000000"/>
              </w:rPr>
            </w:pPr>
            <w:r w:rsidRPr="00114EFF">
              <w:rPr>
                <w:rFonts w:cs="Arial"/>
                <w:b/>
                <w:bCs/>
                <w:color w:val="000000"/>
              </w:rPr>
              <w:t>Number of Licensees</w:t>
            </w:r>
            <w:r w:rsidR="00FF4E41">
              <w:rPr>
                <w:rFonts w:cs="Arial"/>
                <w:b/>
                <w:bCs/>
                <w:color w:val="000000"/>
              </w:rPr>
              <w:t>*</w:t>
            </w:r>
          </w:p>
        </w:tc>
        <w:tc>
          <w:tcPr>
            <w:tcW w:w="1486" w:type="dxa"/>
            <w:tcBorders>
              <w:top w:val="nil"/>
              <w:left w:val="nil"/>
              <w:bottom w:val="single" w:sz="4" w:space="0" w:color="auto"/>
              <w:right w:val="single" w:sz="4" w:space="0" w:color="auto"/>
            </w:tcBorders>
            <w:shd w:val="clear" w:color="auto" w:fill="auto"/>
            <w:noWrap/>
            <w:vAlign w:val="center"/>
            <w:hideMark/>
          </w:tcPr>
          <w:p w:rsidR="00114EFF" w:rsidRPr="00114EFF" w:rsidP="00114EFF" w14:paraId="7F493A53" w14:textId="77777777">
            <w:pPr>
              <w:autoSpaceDE/>
              <w:autoSpaceDN/>
              <w:adjustRightInd/>
              <w:jc w:val="center"/>
              <w:rPr>
                <w:rFonts w:cs="Arial"/>
                <w:b/>
                <w:bCs/>
                <w:color w:val="000000"/>
              </w:rPr>
            </w:pPr>
            <w:r w:rsidRPr="00114EFF">
              <w:rPr>
                <w:rFonts w:cs="Arial"/>
                <w:b/>
                <w:bCs/>
                <w:color w:val="000000"/>
              </w:rPr>
              <w:t>C</w:t>
            </w:r>
          </w:p>
        </w:tc>
        <w:tc>
          <w:tcPr>
            <w:tcW w:w="1389"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4" w14:textId="77777777">
            <w:pPr>
              <w:autoSpaceDE/>
              <w:autoSpaceDN/>
              <w:adjustRightInd/>
              <w:jc w:val="center"/>
              <w:rPr>
                <w:rFonts w:cs="Arial"/>
                <w:color w:val="000000"/>
              </w:rPr>
            </w:pPr>
            <w:r w:rsidRPr="005F6062">
              <w:rPr>
                <w:rFonts w:cs="Arial"/>
                <w:color w:val="000000"/>
              </w:rPr>
              <w:t>4</w:t>
            </w:r>
          </w:p>
        </w:tc>
        <w:tc>
          <w:tcPr>
            <w:tcW w:w="1936"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5" w14:textId="77777777">
            <w:pPr>
              <w:autoSpaceDE/>
              <w:autoSpaceDN/>
              <w:adjustRightInd/>
              <w:jc w:val="center"/>
              <w:rPr>
                <w:rFonts w:cs="Arial"/>
                <w:color w:val="000000"/>
              </w:rPr>
            </w:pPr>
            <w:r w:rsidRPr="005F6062">
              <w:rPr>
                <w:rFonts w:cs="Arial"/>
                <w:color w:val="000000"/>
              </w:rPr>
              <w:t>19</w:t>
            </w:r>
          </w:p>
        </w:tc>
        <w:tc>
          <w:tcPr>
            <w:tcW w:w="1611"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6" w14:textId="77777777">
            <w:pPr>
              <w:autoSpaceDE/>
              <w:autoSpaceDN/>
              <w:adjustRightInd/>
              <w:jc w:val="center"/>
              <w:rPr>
                <w:rFonts w:cs="Arial"/>
                <w:color w:val="000000"/>
              </w:rPr>
            </w:pPr>
            <w:r w:rsidRPr="005F6062">
              <w:rPr>
                <w:rFonts w:cs="Arial"/>
                <w:color w:val="000000"/>
              </w:rPr>
              <w:t>3</w:t>
            </w:r>
          </w:p>
        </w:tc>
      </w:tr>
      <w:tr w14:paraId="7F493A5D" w14:textId="77777777" w:rsidTr="00D96410">
        <w:tblPrEx>
          <w:tblW w:w="9350" w:type="dxa"/>
          <w:jc w:val="center"/>
          <w:tblLook w:val="04A0"/>
        </w:tblPrEx>
        <w:trPr>
          <w:trHeight w:val="285"/>
          <w:jc w:val="center"/>
        </w:trPr>
        <w:tc>
          <w:tcPr>
            <w:tcW w:w="2928" w:type="dxa"/>
            <w:tcBorders>
              <w:top w:val="nil"/>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58" w14:textId="77777777">
            <w:pPr>
              <w:autoSpaceDE/>
              <w:autoSpaceDN/>
              <w:adjustRightInd/>
              <w:jc w:val="center"/>
              <w:rPr>
                <w:rFonts w:cs="Arial"/>
                <w:b/>
                <w:bCs/>
                <w:color w:val="000000"/>
              </w:rPr>
            </w:pPr>
            <w:r w:rsidRPr="00114EFF">
              <w:rPr>
                <w:rFonts w:cs="Arial"/>
                <w:b/>
                <w:bCs/>
                <w:color w:val="000000"/>
              </w:rPr>
              <w:t>Operation Cost per Category per Ongoing FSAR Update</w:t>
            </w:r>
            <w:r w:rsidR="00FF4E41">
              <w:rPr>
                <w:rFonts w:cs="Arial"/>
                <w:b/>
                <w:bCs/>
                <w:color w:val="000000"/>
              </w:rPr>
              <w:t>**</w:t>
            </w:r>
          </w:p>
        </w:tc>
        <w:tc>
          <w:tcPr>
            <w:tcW w:w="1486" w:type="dxa"/>
            <w:tcBorders>
              <w:top w:val="nil"/>
              <w:left w:val="nil"/>
              <w:bottom w:val="single" w:sz="4" w:space="0" w:color="auto"/>
              <w:right w:val="single" w:sz="4" w:space="0" w:color="auto"/>
            </w:tcBorders>
            <w:shd w:val="clear" w:color="auto" w:fill="auto"/>
            <w:noWrap/>
            <w:vAlign w:val="center"/>
            <w:hideMark/>
          </w:tcPr>
          <w:p w:rsidR="00114EFF" w:rsidRPr="00114EFF" w:rsidP="00114EFF" w14:paraId="7F493A59" w14:textId="77777777">
            <w:pPr>
              <w:autoSpaceDE/>
              <w:autoSpaceDN/>
              <w:adjustRightInd/>
              <w:jc w:val="center"/>
              <w:rPr>
                <w:rFonts w:cs="Arial"/>
                <w:b/>
                <w:bCs/>
                <w:color w:val="000000"/>
              </w:rPr>
            </w:pPr>
            <w:r w:rsidRPr="00114EFF">
              <w:rPr>
                <w:rFonts w:cs="Arial"/>
                <w:b/>
                <w:bCs/>
                <w:color w:val="000000"/>
              </w:rPr>
              <w:t>D = B x C</w:t>
            </w:r>
          </w:p>
        </w:tc>
        <w:tc>
          <w:tcPr>
            <w:tcW w:w="1389"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A" w14:textId="77777777">
            <w:pPr>
              <w:autoSpaceDE/>
              <w:autoSpaceDN/>
              <w:adjustRightInd/>
              <w:jc w:val="center"/>
              <w:rPr>
                <w:rFonts w:cs="Arial"/>
                <w:color w:val="000000"/>
              </w:rPr>
            </w:pPr>
            <w:r>
              <w:rPr>
                <w:rFonts w:cs="Arial"/>
                <w:color w:val="000000"/>
              </w:rPr>
              <w:t>(</w:t>
            </w:r>
            <w:r w:rsidRPr="005F6062">
              <w:rPr>
                <w:rFonts w:cs="Arial"/>
                <w:color w:val="000000"/>
              </w:rPr>
              <w:t>$14,000</w:t>
            </w:r>
            <w:r>
              <w:rPr>
                <w:rFonts w:cs="Arial"/>
                <w:color w:val="000000"/>
              </w:rPr>
              <w:t>)</w:t>
            </w:r>
          </w:p>
        </w:tc>
        <w:tc>
          <w:tcPr>
            <w:tcW w:w="1936"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B" w14:textId="77777777">
            <w:pPr>
              <w:autoSpaceDE/>
              <w:autoSpaceDN/>
              <w:adjustRightInd/>
              <w:jc w:val="center"/>
              <w:rPr>
                <w:rFonts w:cs="Arial"/>
                <w:color w:val="000000"/>
              </w:rPr>
            </w:pPr>
            <w:r>
              <w:rPr>
                <w:rFonts w:cs="Arial"/>
                <w:color w:val="000000"/>
              </w:rPr>
              <w:t>(</w:t>
            </w:r>
            <w:r w:rsidRPr="005F6062">
              <w:rPr>
                <w:rFonts w:cs="Arial"/>
                <w:color w:val="000000"/>
              </w:rPr>
              <w:t>$</w:t>
            </w:r>
            <w:r w:rsidR="00253DD1">
              <w:rPr>
                <w:rFonts w:cs="Arial"/>
                <w:color w:val="000000"/>
              </w:rPr>
              <w:t>86</w:t>
            </w:r>
            <w:r w:rsidRPr="005F6062">
              <w:rPr>
                <w:rFonts w:cs="Arial"/>
                <w:color w:val="000000"/>
              </w:rPr>
              <w:t>,000</w:t>
            </w:r>
            <w:r>
              <w:rPr>
                <w:rFonts w:cs="Arial"/>
                <w:color w:val="000000"/>
              </w:rPr>
              <w:t>)</w:t>
            </w:r>
          </w:p>
        </w:tc>
        <w:tc>
          <w:tcPr>
            <w:tcW w:w="1611"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5C" w14:textId="77777777">
            <w:pPr>
              <w:autoSpaceDE/>
              <w:autoSpaceDN/>
              <w:adjustRightInd/>
              <w:jc w:val="center"/>
              <w:rPr>
                <w:rFonts w:cs="Arial"/>
                <w:color w:val="000000"/>
              </w:rPr>
            </w:pPr>
            <w:r>
              <w:rPr>
                <w:rFonts w:cs="Arial"/>
                <w:color w:val="000000"/>
              </w:rPr>
              <w:t>(</w:t>
            </w:r>
            <w:r w:rsidRPr="005F6062">
              <w:rPr>
                <w:rFonts w:cs="Arial"/>
                <w:color w:val="000000"/>
              </w:rPr>
              <w:t>$</w:t>
            </w:r>
            <w:r w:rsidR="00253DD1">
              <w:rPr>
                <w:rFonts w:cs="Arial"/>
                <w:color w:val="000000"/>
              </w:rPr>
              <w:t>17</w:t>
            </w:r>
            <w:r w:rsidRPr="005F6062">
              <w:rPr>
                <w:rFonts w:cs="Arial"/>
                <w:color w:val="000000"/>
              </w:rPr>
              <w:t>,000</w:t>
            </w:r>
            <w:r>
              <w:rPr>
                <w:rFonts w:cs="Arial"/>
                <w:color w:val="000000"/>
              </w:rPr>
              <w:t>)</w:t>
            </w:r>
          </w:p>
        </w:tc>
      </w:tr>
      <w:tr w14:paraId="7F493A63" w14:textId="77777777" w:rsidTr="00D96410">
        <w:tblPrEx>
          <w:tblW w:w="9350" w:type="dxa"/>
          <w:jc w:val="center"/>
          <w:tblLook w:val="04A0"/>
        </w:tblPrEx>
        <w:trPr>
          <w:trHeight w:val="285"/>
          <w:jc w:val="center"/>
        </w:trPr>
        <w:tc>
          <w:tcPr>
            <w:tcW w:w="2928" w:type="dxa"/>
            <w:tcBorders>
              <w:top w:val="nil"/>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5E" w14:textId="77777777">
            <w:pPr>
              <w:autoSpaceDE/>
              <w:autoSpaceDN/>
              <w:adjustRightInd/>
              <w:jc w:val="center"/>
              <w:rPr>
                <w:rFonts w:cs="Arial"/>
                <w:b/>
                <w:bCs/>
                <w:color w:val="000000"/>
              </w:rPr>
            </w:pPr>
            <w:r w:rsidRPr="00114EFF">
              <w:rPr>
                <w:rFonts w:cs="Arial"/>
                <w:b/>
                <w:bCs/>
                <w:color w:val="000000"/>
              </w:rPr>
              <w:t>Operation Cost per Category per Initial FSAR Update</w:t>
            </w:r>
            <w:r w:rsidR="00FF4E41">
              <w:rPr>
                <w:rFonts w:cs="Arial"/>
                <w:b/>
                <w:bCs/>
                <w:color w:val="000000"/>
              </w:rPr>
              <w:t>***</w:t>
            </w:r>
          </w:p>
        </w:tc>
        <w:tc>
          <w:tcPr>
            <w:tcW w:w="1486" w:type="dxa"/>
            <w:tcBorders>
              <w:top w:val="nil"/>
              <w:left w:val="nil"/>
              <w:bottom w:val="single" w:sz="4" w:space="0" w:color="auto"/>
              <w:right w:val="single" w:sz="4" w:space="0" w:color="auto"/>
            </w:tcBorders>
            <w:shd w:val="clear" w:color="auto" w:fill="auto"/>
            <w:noWrap/>
            <w:vAlign w:val="center"/>
            <w:hideMark/>
          </w:tcPr>
          <w:p w:rsidR="00114EFF" w:rsidRPr="00114EFF" w:rsidP="00114EFF" w14:paraId="7F493A5F" w14:textId="77777777">
            <w:pPr>
              <w:autoSpaceDE/>
              <w:autoSpaceDN/>
              <w:adjustRightInd/>
              <w:jc w:val="center"/>
              <w:rPr>
                <w:rFonts w:cs="Arial"/>
                <w:b/>
                <w:bCs/>
                <w:color w:val="000000"/>
              </w:rPr>
            </w:pPr>
            <w:r w:rsidRPr="00114EFF">
              <w:rPr>
                <w:rFonts w:cs="Arial"/>
                <w:b/>
                <w:bCs/>
                <w:color w:val="000000"/>
              </w:rPr>
              <w:t>E = A x C</w:t>
            </w:r>
          </w:p>
        </w:tc>
        <w:tc>
          <w:tcPr>
            <w:tcW w:w="1389"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60" w14:textId="77777777">
            <w:pPr>
              <w:autoSpaceDE/>
              <w:autoSpaceDN/>
              <w:adjustRightInd/>
              <w:jc w:val="center"/>
              <w:rPr>
                <w:rFonts w:cs="Arial"/>
                <w:color w:val="000000"/>
              </w:rPr>
            </w:pPr>
            <w:r>
              <w:rPr>
                <w:rFonts w:cs="Arial"/>
                <w:color w:val="000000"/>
              </w:rPr>
              <w:t>(</w:t>
            </w:r>
            <w:r w:rsidRPr="005F6062">
              <w:rPr>
                <w:rFonts w:cs="Arial"/>
                <w:color w:val="000000"/>
              </w:rPr>
              <w:t>$27,000</w:t>
            </w:r>
            <w:r>
              <w:rPr>
                <w:rFonts w:cs="Arial"/>
                <w:color w:val="000000"/>
              </w:rPr>
              <w:t>)</w:t>
            </w:r>
          </w:p>
        </w:tc>
        <w:tc>
          <w:tcPr>
            <w:tcW w:w="1936"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61" w14:textId="77777777">
            <w:pPr>
              <w:autoSpaceDE/>
              <w:autoSpaceDN/>
              <w:adjustRightInd/>
              <w:jc w:val="center"/>
              <w:rPr>
                <w:rFonts w:cs="Arial"/>
                <w:color w:val="000000"/>
              </w:rPr>
            </w:pPr>
            <w:r>
              <w:rPr>
                <w:rFonts w:cs="Arial"/>
                <w:color w:val="000000"/>
              </w:rPr>
              <w:t>(</w:t>
            </w:r>
            <w:r w:rsidRPr="005F6062">
              <w:rPr>
                <w:rFonts w:cs="Arial"/>
                <w:color w:val="000000"/>
              </w:rPr>
              <w:t>$</w:t>
            </w:r>
            <w:r w:rsidRPr="005F6062" w:rsidR="00F40C87">
              <w:rPr>
                <w:rFonts w:cs="Arial"/>
                <w:color w:val="000000"/>
              </w:rPr>
              <w:t>1</w:t>
            </w:r>
            <w:r w:rsidR="00F40C87">
              <w:rPr>
                <w:rFonts w:cs="Arial"/>
                <w:color w:val="000000"/>
              </w:rPr>
              <w:t>7</w:t>
            </w:r>
            <w:r w:rsidRPr="005F6062" w:rsidR="00F40C87">
              <w:rPr>
                <w:rFonts w:cs="Arial"/>
                <w:color w:val="000000"/>
              </w:rPr>
              <w:t>0</w:t>
            </w:r>
            <w:r w:rsidRPr="005F6062">
              <w:rPr>
                <w:rFonts w:cs="Arial"/>
                <w:color w:val="000000"/>
              </w:rPr>
              <w:t>,000</w:t>
            </w:r>
            <w:r>
              <w:rPr>
                <w:rFonts w:cs="Arial"/>
                <w:color w:val="000000"/>
              </w:rPr>
              <w:t>)</w:t>
            </w:r>
          </w:p>
        </w:tc>
        <w:tc>
          <w:tcPr>
            <w:tcW w:w="1611" w:type="dxa"/>
            <w:tcBorders>
              <w:top w:val="nil"/>
              <w:left w:val="nil"/>
              <w:bottom w:val="single" w:sz="4" w:space="0" w:color="auto"/>
              <w:right w:val="single" w:sz="4" w:space="0" w:color="auto"/>
            </w:tcBorders>
            <w:shd w:val="clear" w:color="auto" w:fill="auto"/>
            <w:noWrap/>
            <w:vAlign w:val="center"/>
            <w:hideMark/>
          </w:tcPr>
          <w:p w:rsidR="00114EFF" w:rsidRPr="005F6062" w:rsidP="00114EFF" w14:paraId="7F493A62" w14:textId="77777777">
            <w:pPr>
              <w:autoSpaceDE/>
              <w:autoSpaceDN/>
              <w:adjustRightInd/>
              <w:jc w:val="center"/>
              <w:rPr>
                <w:rFonts w:cs="Arial"/>
                <w:color w:val="000000"/>
              </w:rPr>
            </w:pPr>
            <w:r>
              <w:rPr>
                <w:rFonts w:cs="Arial"/>
                <w:color w:val="000000"/>
              </w:rPr>
              <w:t>(</w:t>
            </w:r>
            <w:r w:rsidRPr="005F6062">
              <w:rPr>
                <w:rFonts w:cs="Arial"/>
                <w:color w:val="000000"/>
              </w:rPr>
              <w:t>$</w:t>
            </w:r>
            <w:r w:rsidR="00F40C87">
              <w:rPr>
                <w:rFonts w:cs="Arial"/>
                <w:color w:val="000000"/>
              </w:rPr>
              <w:t>34</w:t>
            </w:r>
            <w:r w:rsidRPr="005F6062">
              <w:rPr>
                <w:rFonts w:cs="Arial"/>
                <w:color w:val="000000"/>
              </w:rPr>
              <w:t>,000</w:t>
            </w:r>
            <w:r>
              <w:rPr>
                <w:rFonts w:cs="Arial"/>
                <w:color w:val="000000"/>
              </w:rPr>
              <w:t>)</w:t>
            </w:r>
          </w:p>
        </w:tc>
      </w:tr>
      <w:tr w14:paraId="7F493A67" w14:textId="77777777" w:rsidTr="00D96410">
        <w:tblPrEx>
          <w:tblW w:w="9350" w:type="dxa"/>
          <w:jc w:val="center"/>
          <w:tblLook w:val="04A0"/>
        </w:tblPrEx>
        <w:trPr>
          <w:trHeight w:val="285"/>
          <w:jc w:val="center"/>
        </w:trPr>
        <w:tc>
          <w:tcPr>
            <w:tcW w:w="2928" w:type="dxa"/>
            <w:tcBorders>
              <w:top w:val="nil"/>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64" w14:textId="77777777">
            <w:pPr>
              <w:autoSpaceDE/>
              <w:autoSpaceDN/>
              <w:adjustRightInd/>
              <w:jc w:val="center"/>
              <w:rPr>
                <w:rFonts w:cs="Arial"/>
                <w:b/>
                <w:bCs/>
                <w:color w:val="000000"/>
              </w:rPr>
            </w:pPr>
            <w:r w:rsidRPr="00114EFF">
              <w:rPr>
                <w:rFonts w:cs="Arial"/>
                <w:b/>
                <w:bCs/>
                <w:color w:val="000000"/>
              </w:rPr>
              <w:t xml:space="preserve">Undiscounted Total </w:t>
            </w:r>
            <w:r w:rsidR="00435C35">
              <w:rPr>
                <w:rFonts w:cs="Arial"/>
                <w:b/>
                <w:bCs/>
                <w:color w:val="000000"/>
              </w:rPr>
              <w:t xml:space="preserve">NRC </w:t>
            </w:r>
            <w:r w:rsidRPr="00114EFF">
              <w:rPr>
                <w:rFonts w:cs="Arial"/>
                <w:b/>
                <w:bCs/>
                <w:color w:val="000000"/>
              </w:rPr>
              <w:t>Operati</w:t>
            </w:r>
            <w:r w:rsidR="00347BDF">
              <w:rPr>
                <w:rFonts w:cs="Arial"/>
                <w:b/>
                <w:bCs/>
                <w:color w:val="000000"/>
              </w:rPr>
              <w:t>on Cost</w:t>
            </w:r>
            <w:r w:rsidR="00FF4E41">
              <w:rPr>
                <w:rFonts w:cs="Arial"/>
                <w:b/>
                <w:bCs/>
                <w:color w:val="000000"/>
              </w:rPr>
              <w:t>****</w:t>
            </w:r>
          </w:p>
        </w:tc>
        <w:tc>
          <w:tcPr>
            <w:tcW w:w="1486" w:type="dxa"/>
            <w:tcBorders>
              <w:top w:val="nil"/>
              <w:left w:val="nil"/>
              <w:bottom w:val="single" w:sz="4" w:space="0" w:color="auto"/>
              <w:right w:val="single" w:sz="4" w:space="0" w:color="auto"/>
            </w:tcBorders>
            <w:shd w:val="clear" w:color="auto" w:fill="auto"/>
            <w:noWrap/>
            <w:vAlign w:val="center"/>
            <w:hideMark/>
          </w:tcPr>
          <w:p w:rsidR="00114EFF" w:rsidRPr="00114EFF" w:rsidP="00114EFF" w14:paraId="7F493A65" w14:textId="77777777">
            <w:pPr>
              <w:autoSpaceDE/>
              <w:autoSpaceDN/>
              <w:adjustRightInd/>
              <w:jc w:val="center"/>
              <w:rPr>
                <w:rFonts w:cs="Arial"/>
                <w:b/>
                <w:bCs/>
                <w:color w:val="000000"/>
              </w:rPr>
            </w:pPr>
            <w:r w:rsidRPr="00114EFF">
              <w:rPr>
                <w:rFonts w:cs="Arial"/>
                <w:b/>
                <w:bCs/>
                <w:color w:val="000000"/>
              </w:rPr>
              <w:t xml:space="preserve">F = ∑ (D) x 3 + </w:t>
            </w:r>
            <w:r w:rsidR="005125CC">
              <w:rPr>
                <w:rFonts w:cs="Arial"/>
                <w:b/>
                <w:bCs/>
                <w:color w:val="000000"/>
              </w:rPr>
              <w:t xml:space="preserve"> </w:t>
            </w:r>
            <w:r w:rsidRPr="00114EFF">
              <w:rPr>
                <w:rFonts w:cs="Arial"/>
                <w:b/>
                <w:bCs/>
                <w:color w:val="000000"/>
              </w:rPr>
              <w:t>∑ (E)</w:t>
            </w:r>
          </w:p>
        </w:tc>
        <w:tc>
          <w:tcPr>
            <w:tcW w:w="49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4EFF" w:rsidRPr="005F6062" w:rsidP="00114EFF" w14:paraId="7F493A66" w14:textId="77777777">
            <w:pPr>
              <w:autoSpaceDE/>
              <w:autoSpaceDN/>
              <w:adjustRightInd/>
              <w:jc w:val="center"/>
              <w:rPr>
                <w:rFonts w:cs="Arial"/>
                <w:b/>
                <w:color w:val="000000"/>
              </w:rPr>
            </w:pPr>
            <w:r>
              <w:rPr>
                <w:rFonts w:cs="Arial"/>
                <w:b/>
                <w:color w:val="000000"/>
              </w:rPr>
              <w:t>(</w:t>
            </w:r>
            <w:r w:rsidRPr="005F6062">
              <w:rPr>
                <w:rFonts w:cs="Arial"/>
                <w:b/>
                <w:color w:val="000000"/>
              </w:rPr>
              <w:t>$</w:t>
            </w:r>
            <w:r w:rsidR="00F40C87">
              <w:rPr>
                <w:rFonts w:cs="Arial"/>
                <w:b/>
                <w:color w:val="000000"/>
              </w:rPr>
              <w:t>58</w:t>
            </w:r>
            <w:r w:rsidRPr="005F6062" w:rsidR="00F40C87">
              <w:rPr>
                <w:rFonts w:cs="Arial"/>
                <w:b/>
                <w:color w:val="000000"/>
              </w:rPr>
              <w:t>0</w:t>
            </w:r>
            <w:r w:rsidRPr="005F6062">
              <w:rPr>
                <w:rFonts w:cs="Arial"/>
                <w:b/>
                <w:color w:val="000000"/>
              </w:rPr>
              <w:t>,000</w:t>
            </w:r>
            <w:r>
              <w:rPr>
                <w:rFonts w:cs="Arial"/>
                <w:b/>
                <w:color w:val="000000"/>
              </w:rPr>
              <w:t>)</w:t>
            </w:r>
          </w:p>
        </w:tc>
      </w:tr>
      <w:tr w14:paraId="7F493A6A" w14:textId="77777777" w:rsidTr="00D96410">
        <w:tblPrEx>
          <w:tblW w:w="9350" w:type="dxa"/>
          <w:jc w:val="center"/>
          <w:tblLook w:val="04A0"/>
        </w:tblPrEx>
        <w:trPr>
          <w:trHeight w:val="285"/>
          <w:jc w:val="center"/>
        </w:trPr>
        <w:tc>
          <w:tcPr>
            <w:tcW w:w="44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68" w14:textId="77777777">
            <w:pPr>
              <w:autoSpaceDE/>
              <w:autoSpaceDN/>
              <w:adjustRightInd/>
              <w:jc w:val="center"/>
              <w:rPr>
                <w:rFonts w:cs="Arial"/>
                <w:b/>
                <w:bCs/>
                <w:color w:val="000000"/>
              </w:rPr>
            </w:pPr>
            <w:r w:rsidRPr="00114EFF">
              <w:rPr>
                <w:rFonts w:cs="Arial"/>
                <w:b/>
                <w:bCs/>
                <w:color w:val="000000"/>
              </w:rPr>
              <w:t>Total NRC Operation Cost at 3% discounting</w:t>
            </w:r>
          </w:p>
        </w:tc>
        <w:tc>
          <w:tcPr>
            <w:tcW w:w="49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4EFF" w:rsidRPr="005F6062" w:rsidP="00114EFF" w14:paraId="7F493A69" w14:textId="77777777">
            <w:pPr>
              <w:autoSpaceDE/>
              <w:autoSpaceDN/>
              <w:adjustRightInd/>
              <w:jc w:val="center"/>
              <w:rPr>
                <w:rFonts w:cs="Arial"/>
                <w:b/>
                <w:color w:val="000000"/>
              </w:rPr>
            </w:pPr>
            <w:r>
              <w:rPr>
                <w:rFonts w:cs="Arial"/>
                <w:b/>
                <w:color w:val="000000"/>
              </w:rPr>
              <w:t>(</w:t>
            </w:r>
            <w:r w:rsidRPr="005F6062">
              <w:rPr>
                <w:rFonts w:cs="Arial"/>
                <w:b/>
                <w:color w:val="000000"/>
              </w:rPr>
              <w:t>$</w:t>
            </w:r>
            <w:r w:rsidR="00253BA2">
              <w:rPr>
                <w:rFonts w:cs="Arial"/>
                <w:b/>
                <w:color w:val="000000"/>
              </w:rPr>
              <w:t>57</w:t>
            </w:r>
            <w:r w:rsidRPr="005F6062" w:rsidR="00253BA2">
              <w:rPr>
                <w:rFonts w:cs="Arial"/>
                <w:b/>
                <w:color w:val="000000"/>
              </w:rPr>
              <w:t>0</w:t>
            </w:r>
            <w:r w:rsidRPr="005F6062">
              <w:rPr>
                <w:rFonts w:cs="Arial"/>
                <w:b/>
                <w:color w:val="000000"/>
              </w:rPr>
              <w:t>,000</w:t>
            </w:r>
            <w:r>
              <w:rPr>
                <w:rFonts w:cs="Arial"/>
                <w:b/>
                <w:color w:val="000000"/>
              </w:rPr>
              <w:t>)</w:t>
            </w:r>
          </w:p>
        </w:tc>
      </w:tr>
      <w:tr w14:paraId="7F493A6D" w14:textId="77777777" w:rsidTr="00D96410">
        <w:tblPrEx>
          <w:tblW w:w="9350" w:type="dxa"/>
          <w:jc w:val="center"/>
          <w:tblLook w:val="04A0"/>
        </w:tblPrEx>
        <w:trPr>
          <w:trHeight w:val="285"/>
          <w:jc w:val="center"/>
        </w:trPr>
        <w:tc>
          <w:tcPr>
            <w:tcW w:w="44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EFF" w:rsidRPr="00114EFF" w:rsidP="005F6062" w14:paraId="7F493A6B" w14:textId="77777777">
            <w:pPr>
              <w:autoSpaceDE/>
              <w:autoSpaceDN/>
              <w:adjustRightInd/>
              <w:jc w:val="center"/>
              <w:rPr>
                <w:rFonts w:cs="Arial"/>
                <w:b/>
                <w:bCs/>
                <w:color w:val="000000"/>
              </w:rPr>
            </w:pPr>
            <w:r w:rsidRPr="00114EFF">
              <w:rPr>
                <w:rFonts w:cs="Arial"/>
                <w:b/>
                <w:bCs/>
                <w:color w:val="000000"/>
              </w:rPr>
              <w:t>Total NRC Operation Cost at 7% discounting</w:t>
            </w:r>
          </w:p>
        </w:tc>
        <w:tc>
          <w:tcPr>
            <w:tcW w:w="49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4EFF" w:rsidRPr="005F6062" w:rsidP="00114EFF" w14:paraId="7F493A6C" w14:textId="77777777">
            <w:pPr>
              <w:autoSpaceDE/>
              <w:autoSpaceDN/>
              <w:adjustRightInd/>
              <w:jc w:val="center"/>
              <w:rPr>
                <w:rFonts w:cs="Arial"/>
                <w:b/>
                <w:color w:val="000000"/>
              </w:rPr>
            </w:pPr>
            <w:r>
              <w:rPr>
                <w:rFonts w:cs="Arial"/>
                <w:b/>
                <w:color w:val="000000"/>
              </w:rPr>
              <w:t>(</w:t>
            </w:r>
            <w:r w:rsidRPr="005F6062">
              <w:rPr>
                <w:rFonts w:cs="Arial"/>
                <w:b/>
                <w:color w:val="000000"/>
              </w:rPr>
              <w:t>$</w:t>
            </w:r>
            <w:r w:rsidR="00253BA2">
              <w:rPr>
                <w:rFonts w:cs="Arial"/>
                <w:b/>
                <w:color w:val="000000"/>
              </w:rPr>
              <w:t>43</w:t>
            </w:r>
            <w:r w:rsidRPr="005F6062" w:rsidR="00253BA2">
              <w:rPr>
                <w:rFonts w:cs="Arial"/>
                <w:b/>
                <w:color w:val="000000"/>
              </w:rPr>
              <w:t>0</w:t>
            </w:r>
            <w:r w:rsidRPr="005F6062">
              <w:rPr>
                <w:rFonts w:cs="Arial"/>
                <w:b/>
                <w:color w:val="000000"/>
              </w:rPr>
              <w:t>,000</w:t>
            </w:r>
            <w:r>
              <w:rPr>
                <w:rFonts w:cs="Arial"/>
                <w:b/>
                <w:color w:val="000000"/>
              </w:rPr>
              <w:t>)</w:t>
            </w:r>
          </w:p>
        </w:tc>
      </w:tr>
    </w:tbl>
    <w:p w:rsidR="00FF4E41" w:rsidP="001770AD" w14:paraId="7F493A6E" w14:textId="102DF42A">
      <w:pPr>
        <w:contextualSpacing/>
        <w:rPr>
          <w:rFonts w:cs="Arial"/>
          <w:sz w:val="18"/>
          <w:szCs w:val="18"/>
        </w:rPr>
      </w:pPr>
      <w:r>
        <w:rPr>
          <w:rFonts w:cs="Arial"/>
          <w:sz w:val="18"/>
          <w:szCs w:val="18"/>
        </w:rPr>
        <w:t xml:space="preserve">* </w:t>
      </w:r>
      <w:r w:rsidRPr="00D839EE">
        <w:rPr>
          <w:rFonts w:cs="Arial"/>
          <w:sz w:val="18"/>
          <w:szCs w:val="18"/>
        </w:rPr>
        <w:t xml:space="preserve">The number of licensees differs from </w:t>
      </w:r>
      <w:r w:rsidRPr="009105B6" w:rsidR="004140F4">
        <w:rPr>
          <w:rFonts w:cs="Arial"/>
          <w:sz w:val="18"/>
          <w:szCs w:val="18"/>
        </w:rPr>
        <w:fldChar w:fldCharType="begin"/>
      </w:r>
      <w:r w:rsidRPr="009105B6" w:rsidR="004140F4">
        <w:rPr>
          <w:rFonts w:cs="Arial"/>
          <w:sz w:val="18"/>
          <w:szCs w:val="18"/>
        </w:rPr>
        <w:instrText xml:space="preserve"> REF _Ref534710758 \h </w:instrText>
      </w:r>
      <w:r w:rsidRPr="00E17F30" w:rsidR="004140F4">
        <w:rPr>
          <w:rFonts w:cs="Arial"/>
          <w:sz w:val="18"/>
          <w:szCs w:val="18"/>
        </w:rPr>
        <w:instrText xml:space="preserve"> \* MERGEFORMAT </w:instrText>
      </w:r>
      <w:r w:rsidRPr="009105B6" w:rsidR="004140F4">
        <w:rPr>
          <w:rFonts w:cs="Arial"/>
          <w:sz w:val="18"/>
          <w:szCs w:val="18"/>
        </w:rPr>
        <w:fldChar w:fldCharType="separate"/>
      </w:r>
      <w:r w:rsidRPr="00977795" w:rsidR="00977795">
        <w:rPr>
          <w:sz w:val="18"/>
          <w:szCs w:val="18"/>
        </w:rPr>
        <w:t>Exhibit 3</w:t>
      </w:r>
      <w:r w:rsidRPr="00977795" w:rsidR="00977795">
        <w:rPr>
          <w:sz w:val="18"/>
          <w:szCs w:val="18"/>
        </w:rPr>
        <w:noBreakHyphen/>
        <w:t>1</w:t>
      </w:r>
      <w:r w:rsidRPr="009105B6" w:rsidR="004140F4">
        <w:rPr>
          <w:rFonts w:cs="Arial"/>
          <w:sz w:val="18"/>
          <w:szCs w:val="18"/>
        </w:rPr>
        <w:fldChar w:fldCharType="end"/>
      </w:r>
      <w:r w:rsidRPr="00A906BA" w:rsidR="00A906BA">
        <w:rPr>
          <w:rFonts w:cs="Arial"/>
          <w:sz w:val="18"/>
          <w:szCs w:val="18"/>
        </w:rPr>
        <w:t xml:space="preserve"> </w:t>
      </w:r>
      <w:r w:rsidR="00D77BD7">
        <w:rPr>
          <w:rFonts w:cs="Arial"/>
          <w:sz w:val="18"/>
          <w:szCs w:val="18"/>
        </w:rPr>
        <w:t>as</w:t>
      </w:r>
      <w:r w:rsidR="00ED1599">
        <w:rPr>
          <w:rFonts w:cs="Arial"/>
          <w:sz w:val="18"/>
          <w:szCs w:val="18"/>
        </w:rPr>
        <w:t xml:space="preserve"> </w:t>
      </w:r>
      <w:r>
        <w:rPr>
          <w:rFonts w:cs="Arial"/>
          <w:sz w:val="18"/>
          <w:szCs w:val="18"/>
        </w:rPr>
        <w:t>NPUFs</w:t>
      </w:r>
      <w:r w:rsidR="00D77BD7">
        <w:rPr>
          <w:rFonts w:cs="Arial"/>
          <w:sz w:val="18"/>
          <w:szCs w:val="18"/>
        </w:rPr>
        <w:t xml:space="preserve"> included</w:t>
      </w:r>
      <w:r>
        <w:rPr>
          <w:rFonts w:cs="Arial"/>
          <w:sz w:val="18"/>
          <w:szCs w:val="18"/>
        </w:rPr>
        <w:t xml:space="preserve"> in Groups 3 and 4</w:t>
      </w:r>
      <w:r w:rsidR="00D77BD7">
        <w:rPr>
          <w:rFonts w:cs="Arial"/>
          <w:sz w:val="18"/>
          <w:szCs w:val="18"/>
        </w:rPr>
        <w:t xml:space="preserve"> are not included in this table</w:t>
      </w:r>
      <w:r>
        <w:rPr>
          <w:rFonts w:cs="Arial"/>
          <w:sz w:val="18"/>
          <w:szCs w:val="18"/>
        </w:rPr>
        <w:t>.</w:t>
      </w:r>
    </w:p>
    <w:p w:rsidR="00FF4E41" w:rsidP="001770AD" w14:paraId="7F493A6F" w14:textId="77777777">
      <w:pPr>
        <w:contextualSpacing/>
        <w:rPr>
          <w:rFonts w:cs="Arial"/>
          <w:sz w:val="18"/>
          <w:szCs w:val="18"/>
        </w:rPr>
      </w:pPr>
      <w:r>
        <w:rPr>
          <w:rFonts w:cs="Arial"/>
          <w:sz w:val="18"/>
          <w:szCs w:val="18"/>
        </w:rPr>
        <w:t xml:space="preserve">** </w:t>
      </w:r>
      <w:r w:rsidRPr="00D839EE" w:rsidR="001770AD">
        <w:rPr>
          <w:rFonts w:cs="Arial"/>
          <w:sz w:val="18"/>
          <w:szCs w:val="18"/>
        </w:rPr>
        <w:t xml:space="preserve">The Operation Cost per Category per </w:t>
      </w:r>
      <w:r w:rsidR="00ED1599">
        <w:rPr>
          <w:rFonts w:cs="Arial"/>
          <w:sz w:val="18"/>
          <w:szCs w:val="18"/>
        </w:rPr>
        <w:t>Ongoing</w:t>
      </w:r>
      <w:r w:rsidR="00A95E95">
        <w:rPr>
          <w:rFonts w:cs="Arial"/>
          <w:sz w:val="18"/>
          <w:szCs w:val="18"/>
        </w:rPr>
        <w:t xml:space="preserve"> FSAR Update</w:t>
      </w:r>
      <w:r w:rsidRPr="00D839EE" w:rsidR="001770AD">
        <w:rPr>
          <w:rFonts w:cs="Arial"/>
          <w:sz w:val="18"/>
          <w:szCs w:val="18"/>
        </w:rPr>
        <w:t xml:space="preserve"> (</w:t>
      </w:r>
      <w:r w:rsidR="000657AF">
        <w:rPr>
          <w:rFonts w:cs="Arial"/>
          <w:sz w:val="18"/>
          <w:szCs w:val="18"/>
        </w:rPr>
        <w:t xml:space="preserve">Row </w:t>
      </w:r>
      <w:r w:rsidR="00E80361">
        <w:rPr>
          <w:rFonts w:cs="Arial"/>
          <w:sz w:val="18"/>
          <w:szCs w:val="18"/>
        </w:rPr>
        <w:t>D</w:t>
      </w:r>
      <w:r w:rsidRPr="00D839EE" w:rsidR="001770AD">
        <w:rPr>
          <w:rFonts w:cs="Arial"/>
          <w:sz w:val="18"/>
          <w:szCs w:val="18"/>
        </w:rPr>
        <w:t xml:space="preserve">) is equal to the </w:t>
      </w:r>
      <w:r w:rsidR="00ED1599">
        <w:rPr>
          <w:rFonts w:cs="Arial"/>
          <w:sz w:val="18"/>
          <w:szCs w:val="18"/>
        </w:rPr>
        <w:t xml:space="preserve">Ongoing </w:t>
      </w:r>
      <w:r w:rsidRPr="00D839EE" w:rsidR="001770AD">
        <w:rPr>
          <w:rFonts w:cs="Arial"/>
          <w:sz w:val="18"/>
          <w:szCs w:val="18"/>
        </w:rPr>
        <w:t>Operation Cost per FSAR update (</w:t>
      </w:r>
      <w:r w:rsidR="000657AF">
        <w:rPr>
          <w:rFonts w:cs="Arial"/>
          <w:sz w:val="18"/>
          <w:szCs w:val="18"/>
        </w:rPr>
        <w:t xml:space="preserve">Row </w:t>
      </w:r>
      <w:r w:rsidRPr="00D839EE" w:rsidR="001770AD">
        <w:rPr>
          <w:rFonts w:cs="Arial"/>
          <w:sz w:val="18"/>
          <w:szCs w:val="18"/>
        </w:rPr>
        <w:t xml:space="preserve">B) multiplied by the </w:t>
      </w:r>
      <w:r w:rsidR="003C64ED">
        <w:rPr>
          <w:rFonts w:cs="Arial"/>
          <w:sz w:val="18"/>
          <w:szCs w:val="18"/>
        </w:rPr>
        <w:t>N</w:t>
      </w:r>
      <w:r w:rsidRPr="00D839EE" w:rsidR="001770AD">
        <w:rPr>
          <w:rFonts w:cs="Arial"/>
          <w:sz w:val="18"/>
          <w:szCs w:val="18"/>
        </w:rPr>
        <w:t xml:space="preserve">umber of </w:t>
      </w:r>
      <w:r w:rsidR="003C64ED">
        <w:rPr>
          <w:rFonts w:cs="Arial"/>
          <w:sz w:val="18"/>
          <w:szCs w:val="18"/>
        </w:rPr>
        <w:t>Licensees</w:t>
      </w:r>
      <w:r w:rsidRPr="00D839EE" w:rsidR="001770AD">
        <w:rPr>
          <w:rFonts w:cs="Arial"/>
          <w:sz w:val="18"/>
          <w:szCs w:val="18"/>
        </w:rPr>
        <w:t xml:space="preserve"> per category (</w:t>
      </w:r>
      <w:r w:rsidR="000657AF">
        <w:rPr>
          <w:rFonts w:cs="Arial"/>
          <w:sz w:val="18"/>
          <w:szCs w:val="18"/>
        </w:rPr>
        <w:t xml:space="preserve">Row </w:t>
      </w:r>
      <w:r w:rsidRPr="00D839EE" w:rsidR="001770AD">
        <w:rPr>
          <w:rFonts w:cs="Arial"/>
          <w:sz w:val="18"/>
          <w:szCs w:val="18"/>
        </w:rPr>
        <w:t>C).</w:t>
      </w:r>
    </w:p>
    <w:p w:rsidR="00FF4E41" w:rsidP="001770AD" w14:paraId="7F493A70" w14:textId="77777777">
      <w:pPr>
        <w:contextualSpacing/>
        <w:rPr>
          <w:rFonts w:cs="Arial"/>
          <w:sz w:val="18"/>
          <w:szCs w:val="18"/>
        </w:rPr>
      </w:pPr>
      <w:r>
        <w:rPr>
          <w:rFonts w:cs="Arial"/>
          <w:sz w:val="18"/>
          <w:szCs w:val="18"/>
        </w:rPr>
        <w:t xml:space="preserve">*** </w:t>
      </w:r>
      <w:r w:rsidRPr="00D839EE" w:rsidR="00E80361">
        <w:rPr>
          <w:rFonts w:cs="Arial"/>
          <w:sz w:val="18"/>
          <w:szCs w:val="18"/>
        </w:rPr>
        <w:t>The Operation Cost per Category per Initial</w:t>
      </w:r>
      <w:r w:rsidR="00E80361">
        <w:rPr>
          <w:rFonts w:cs="Arial"/>
          <w:sz w:val="18"/>
          <w:szCs w:val="18"/>
        </w:rPr>
        <w:t xml:space="preserve"> </w:t>
      </w:r>
      <w:r w:rsidRPr="00D839EE" w:rsidR="00E80361">
        <w:rPr>
          <w:rFonts w:cs="Arial"/>
          <w:sz w:val="18"/>
          <w:szCs w:val="18"/>
        </w:rPr>
        <w:t>FSAR</w:t>
      </w:r>
      <w:r w:rsidR="003C64ED">
        <w:rPr>
          <w:rFonts w:cs="Arial"/>
          <w:sz w:val="18"/>
          <w:szCs w:val="18"/>
        </w:rPr>
        <w:t xml:space="preserve"> </w:t>
      </w:r>
      <w:r w:rsidRPr="00D839EE" w:rsidR="00E80361">
        <w:rPr>
          <w:rFonts w:cs="Arial"/>
          <w:sz w:val="18"/>
          <w:szCs w:val="18"/>
        </w:rPr>
        <w:t>(</w:t>
      </w:r>
      <w:r w:rsidR="000657AF">
        <w:rPr>
          <w:rFonts w:cs="Arial"/>
          <w:sz w:val="18"/>
          <w:szCs w:val="18"/>
        </w:rPr>
        <w:t xml:space="preserve">Row </w:t>
      </w:r>
      <w:r w:rsidR="00E80361">
        <w:rPr>
          <w:rFonts w:cs="Arial"/>
          <w:sz w:val="18"/>
          <w:szCs w:val="18"/>
        </w:rPr>
        <w:t>E</w:t>
      </w:r>
      <w:r w:rsidRPr="00D839EE" w:rsidR="00E80361">
        <w:rPr>
          <w:rFonts w:cs="Arial"/>
          <w:sz w:val="18"/>
          <w:szCs w:val="18"/>
        </w:rPr>
        <w:t xml:space="preserve">) is equal to the </w:t>
      </w:r>
      <w:r w:rsidR="003C64ED">
        <w:rPr>
          <w:rFonts w:cs="Arial"/>
          <w:sz w:val="18"/>
          <w:szCs w:val="18"/>
        </w:rPr>
        <w:t xml:space="preserve">Initial </w:t>
      </w:r>
      <w:r w:rsidRPr="00D839EE" w:rsidR="00E80361">
        <w:rPr>
          <w:rFonts w:cs="Arial"/>
          <w:sz w:val="18"/>
          <w:szCs w:val="18"/>
        </w:rPr>
        <w:t>Operation Cost per FSAR</w:t>
      </w:r>
      <w:r w:rsidR="003C64ED">
        <w:rPr>
          <w:rFonts w:cs="Arial"/>
          <w:sz w:val="18"/>
          <w:szCs w:val="18"/>
        </w:rPr>
        <w:t xml:space="preserve"> </w:t>
      </w:r>
      <w:r w:rsidRPr="00D839EE" w:rsidR="00E80361">
        <w:rPr>
          <w:rFonts w:cs="Arial"/>
          <w:sz w:val="18"/>
          <w:szCs w:val="18"/>
        </w:rPr>
        <w:t>(</w:t>
      </w:r>
      <w:r w:rsidR="000657AF">
        <w:rPr>
          <w:rFonts w:cs="Arial"/>
          <w:sz w:val="18"/>
          <w:szCs w:val="18"/>
        </w:rPr>
        <w:t>Row</w:t>
      </w:r>
      <w:r w:rsidR="00B116BC">
        <w:rPr>
          <w:rFonts w:cs="Arial"/>
          <w:sz w:val="18"/>
          <w:szCs w:val="18"/>
        </w:rPr>
        <w:t> </w:t>
      </w:r>
      <w:r w:rsidRPr="00D839EE" w:rsidR="00E80361">
        <w:rPr>
          <w:rFonts w:cs="Arial"/>
          <w:sz w:val="18"/>
          <w:szCs w:val="18"/>
        </w:rPr>
        <w:t xml:space="preserve">A) multiplied by the </w:t>
      </w:r>
      <w:r w:rsidR="003C64ED">
        <w:rPr>
          <w:rFonts w:cs="Arial"/>
          <w:sz w:val="18"/>
          <w:szCs w:val="18"/>
        </w:rPr>
        <w:t>N</w:t>
      </w:r>
      <w:r w:rsidRPr="00D839EE" w:rsidR="00E80361">
        <w:rPr>
          <w:rFonts w:cs="Arial"/>
          <w:sz w:val="18"/>
          <w:szCs w:val="18"/>
        </w:rPr>
        <w:t xml:space="preserve">umber of </w:t>
      </w:r>
      <w:r w:rsidR="003C64ED">
        <w:rPr>
          <w:rFonts w:cs="Arial"/>
          <w:sz w:val="18"/>
          <w:szCs w:val="18"/>
        </w:rPr>
        <w:t>Licensees</w:t>
      </w:r>
      <w:r w:rsidRPr="00D839EE" w:rsidR="00E80361">
        <w:rPr>
          <w:rFonts w:cs="Arial"/>
          <w:sz w:val="18"/>
          <w:szCs w:val="18"/>
        </w:rPr>
        <w:t xml:space="preserve"> per category (</w:t>
      </w:r>
      <w:r w:rsidR="000657AF">
        <w:rPr>
          <w:rFonts w:cs="Arial"/>
          <w:sz w:val="18"/>
          <w:szCs w:val="18"/>
        </w:rPr>
        <w:t xml:space="preserve">Row </w:t>
      </w:r>
      <w:r w:rsidRPr="00D839EE" w:rsidR="00E80361">
        <w:rPr>
          <w:rFonts w:cs="Arial"/>
          <w:sz w:val="18"/>
          <w:szCs w:val="18"/>
        </w:rPr>
        <w:t>C).</w:t>
      </w:r>
    </w:p>
    <w:p w:rsidR="001770AD" w:rsidRPr="00D839EE" w:rsidP="001770AD" w14:paraId="7F493A71" w14:textId="77777777">
      <w:pPr>
        <w:contextualSpacing/>
        <w:rPr>
          <w:rFonts w:cs="Arial"/>
          <w:sz w:val="18"/>
          <w:szCs w:val="18"/>
        </w:rPr>
      </w:pPr>
      <w:r>
        <w:rPr>
          <w:rFonts w:cs="Arial"/>
          <w:sz w:val="18"/>
          <w:szCs w:val="18"/>
        </w:rPr>
        <w:t xml:space="preserve">**** </w:t>
      </w:r>
      <w:r w:rsidRPr="00D839EE">
        <w:rPr>
          <w:rFonts w:cs="Arial"/>
          <w:sz w:val="18"/>
          <w:szCs w:val="18"/>
        </w:rPr>
        <w:t>The Undiscounted Total Operating Cost (</w:t>
      </w:r>
      <w:r w:rsidR="000657AF">
        <w:rPr>
          <w:rFonts w:cs="Arial"/>
          <w:sz w:val="18"/>
          <w:szCs w:val="18"/>
        </w:rPr>
        <w:t xml:space="preserve">Row </w:t>
      </w:r>
      <w:r w:rsidRPr="00D839EE" w:rsidR="00FA5556">
        <w:rPr>
          <w:rFonts w:cs="Arial"/>
          <w:sz w:val="18"/>
          <w:szCs w:val="18"/>
        </w:rPr>
        <w:t>F</w:t>
      </w:r>
      <w:r w:rsidRPr="00D839EE">
        <w:rPr>
          <w:rFonts w:cs="Arial"/>
          <w:sz w:val="18"/>
          <w:szCs w:val="18"/>
        </w:rPr>
        <w:t xml:space="preserve">) is equal to the </w:t>
      </w:r>
      <w:r w:rsidRPr="00D839EE" w:rsidR="00E80361">
        <w:rPr>
          <w:rFonts w:cs="Arial"/>
          <w:sz w:val="18"/>
          <w:szCs w:val="18"/>
        </w:rPr>
        <w:t xml:space="preserve">Operation Cost per Category per </w:t>
      </w:r>
      <w:r w:rsidR="002245F9">
        <w:rPr>
          <w:rFonts w:cs="Arial"/>
          <w:sz w:val="18"/>
          <w:szCs w:val="18"/>
        </w:rPr>
        <w:t>Ongoing</w:t>
      </w:r>
      <w:r w:rsidRPr="00D839EE" w:rsidR="00E80361">
        <w:rPr>
          <w:rFonts w:cs="Arial"/>
          <w:sz w:val="18"/>
          <w:szCs w:val="18"/>
        </w:rPr>
        <w:t xml:space="preserve"> FSAR Update (</w:t>
      </w:r>
      <w:r w:rsidR="000657AF">
        <w:rPr>
          <w:rFonts w:cs="Arial"/>
          <w:sz w:val="18"/>
          <w:szCs w:val="18"/>
        </w:rPr>
        <w:t xml:space="preserve">Row </w:t>
      </w:r>
      <w:r w:rsidR="00E80361">
        <w:rPr>
          <w:rFonts w:cs="Arial"/>
          <w:sz w:val="18"/>
          <w:szCs w:val="18"/>
        </w:rPr>
        <w:t>D</w:t>
      </w:r>
      <w:r w:rsidRPr="00D839EE" w:rsidR="00E80361">
        <w:rPr>
          <w:rFonts w:cs="Arial"/>
          <w:sz w:val="18"/>
          <w:szCs w:val="18"/>
        </w:rPr>
        <w:t xml:space="preserve">) </w:t>
      </w:r>
      <w:r w:rsidR="006C70F9">
        <w:rPr>
          <w:rFonts w:cs="Arial"/>
          <w:sz w:val="18"/>
          <w:szCs w:val="18"/>
        </w:rPr>
        <w:t xml:space="preserve">multiplied by three </w:t>
      </w:r>
      <w:r w:rsidRPr="00D839EE" w:rsidR="00E80361">
        <w:rPr>
          <w:rFonts w:cs="Arial"/>
          <w:sz w:val="18"/>
          <w:szCs w:val="18"/>
        </w:rPr>
        <w:t xml:space="preserve">(the number of </w:t>
      </w:r>
      <w:r w:rsidR="00E80361">
        <w:rPr>
          <w:rFonts w:cs="Arial"/>
          <w:sz w:val="18"/>
          <w:szCs w:val="18"/>
        </w:rPr>
        <w:t>subsequent</w:t>
      </w:r>
      <w:r w:rsidRPr="00D839EE" w:rsidR="00E80361">
        <w:rPr>
          <w:rFonts w:cs="Arial"/>
          <w:sz w:val="18"/>
          <w:szCs w:val="18"/>
        </w:rPr>
        <w:t xml:space="preserve"> FSAR updates required per NPUF over the 20-year time period of the analysis)</w:t>
      </w:r>
      <w:r w:rsidR="006C70F9">
        <w:rPr>
          <w:rFonts w:cs="Arial"/>
          <w:sz w:val="18"/>
          <w:szCs w:val="18"/>
        </w:rPr>
        <w:t xml:space="preserve"> plus the </w:t>
      </w:r>
      <w:r w:rsidRPr="00D839EE" w:rsidR="00091727">
        <w:rPr>
          <w:rFonts w:cs="Arial"/>
          <w:sz w:val="18"/>
          <w:szCs w:val="18"/>
        </w:rPr>
        <w:t>Operation Cost per Category per Initial FSAR</w:t>
      </w:r>
      <w:r w:rsidR="002245F9">
        <w:rPr>
          <w:rFonts w:cs="Arial"/>
          <w:sz w:val="18"/>
          <w:szCs w:val="18"/>
        </w:rPr>
        <w:t xml:space="preserve"> </w:t>
      </w:r>
      <w:r w:rsidRPr="00D839EE" w:rsidR="00091727">
        <w:rPr>
          <w:rFonts w:cs="Arial"/>
          <w:sz w:val="18"/>
          <w:szCs w:val="18"/>
        </w:rPr>
        <w:t>(</w:t>
      </w:r>
      <w:r w:rsidR="000657AF">
        <w:rPr>
          <w:rFonts w:cs="Arial"/>
          <w:sz w:val="18"/>
          <w:szCs w:val="18"/>
        </w:rPr>
        <w:t xml:space="preserve">Row </w:t>
      </w:r>
      <w:r w:rsidR="00E80361">
        <w:rPr>
          <w:rFonts w:cs="Arial"/>
          <w:sz w:val="18"/>
          <w:szCs w:val="18"/>
        </w:rPr>
        <w:t>E</w:t>
      </w:r>
      <w:r w:rsidR="00091727">
        <w:rPr>
          <w:rFonts w:cs="Arial"/>
          <w:sz w:val="18"/>
          <w:szCs w:val="18"/>
        </w:rPr>
        <w:t>)</w:t>
      </w:r>
      <w:r w:rsidRPr="00D839EE">
        <w:rPr>
          <w:rFonts w:cs="Arial"/>
          <w:sz w:val="18"/>
          <w:szCs w:val="18"/>
        </w:rPr>
        <w:t>.</w:t>
      </w:r>
    </w:p>
    <w:p w:rsidR="001770AD" w:rsidRPr="00D839EE" w:rsidP="001770AD" w14:paraId="7F493A72" w14:textId="77777777">
      <w:pPr>
        <w:contextualSpacing/>
        <w:rPr>
          <w:rFonts w:cs="Arial"/>
          <w:sz w:val="18"/>
          <w:szCs w:val="18"/>
        </w:rPr>
      </w:pPr>
      <w:r>
        <w:rPr>
          <w:rFonts w:cs="Arial"/>
          <w:sz w:val="18"/>
          <w:szCs w:val="18"/>
        </w:rPr>
        <w:t xml:space="preserve">***** </w:t>
      </w:r>
      <w:r w:rsidRPr="00D839EE">
        <w:rPr>
          <w:rFonts w:cs="Arial"/>
          <w:sz w:val="18"/>
          <w:szCs w:val="18"/>
        </w:rPr>
        <w:t xml:space="preserve">Totals may not </w:t>
      </w:r>
      <w:r w:rsidR="005125CC">
        <w:rPr>
          <w:rFonts w:cs="Arial"/>
          <w:sz w:val="18"/>
          <w:szCs w:val="18"/>
        </w:rPr>
        <w:t>match</w:t>
      </w:r>
      <w:r w:rsidRPr="00D839EE" w:rsidR="005125CC">
        <w:rPr>
          <w:rFonts w:cs="Arial"/>
          <w:sz w:val="18"/>
          <w:szCs w:val="18"/>
        </w:rPr>
        <w:t xml:space="preserve"> </w:t>
      </w:r>
      <w:r w:rsidRPr="00D839EE">
        <w:rPr>
          <w:rFonts w:cs="Arial"/>
          <w:sz w:val="18"/>
          <w:szCs w:val="18"/>
        </w:rPr>
        <w:t>due to rounding.</w:t>
      </w:r>
    </w:p>
    <w:p w:rsidR="00DC3337" w:rsidP="00DC3337" w14:paraId="7F493A73" w14:textId="77777777">
      <w:pPr>
        <w:rPr>
          <w:rFonts w:cs="Arial"/>
          <w:sz w:val="22"/>
          <w:szCs w:val="22"/>
        </w:rPr>
      </w:pPr>
    </w:p>
    <w:p w:rsidR="00DC3337" w:rsidRPr="00D839EE" w:rsidP="00DC3337" w14:paraId="7F493A74" w14:textId="1E112899">
      <w:pPr>
        <w:rPr>
          <w:rFonts w:cs="Arial"/>
          <w:sz w:val="22"/>
          <w:szCs w:val="22"/>
        </w:rPr>
      </w:pPr>
      <w:r w:rsidRPr="00CF41A7">
        <w:rPr>
          <w:rFonts w:cs="Arial"/>
          <w:sz w:val="22"/>
          <w:szCs w:val="22"/>
        </w:rPr>
        <w:fldChar w:fldCharType="begin"/>
      </w:r>
      <w:r w:rsidRPr="00CF41A7">
        <w:rPr>
          <w:rFonts w:cs="Arial"/>
          <w:sz w:val="22"/>
          <w:szCs w:val="22"/>
        </w:rPr>
        <w:instrText xml:space="preserve"> REF _Ref534035708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19</w:t>
      </w:r>
      <w:r w:rsidRPr="00CF41A7">
        <w:rPr>
          <w:rFonts w:cs="Arial"/>
          <w:sz w:val="22"/>
          <w:szCs w:val="22"/>
        </w:rPr>
        <w:fldChar w:fldCharType="end"/>
      </w:r>
      <w:r>
        <w:rPr>
          <w:rFonts w:cs="Arial"/>
          <w:sz w:val="22"/>
          <w:szCs w:val="22"/>
        </w:rPr>
        <w:t xml:space="preserve"> </w:t>
      </w:r>
      <w:r w:rsidRPr="00D839EE">
        <w:rPr>
          <w:rFonts w:cs="Arial"/>
          <w:sz w:val="22"/>
          <w:szCs w:val="22"/>
        </w:rPr>
        <w:t xml:space="preserve">presents the total NRC operation costs </w:t>
      </w:r>
      <w:r>
        <w:rPr>
          <w:rFonts w:cs="Arial"/>
          <w:sz w:val="22"/>
          <w:szCs w:val="22"/>
        </w:rPr>
        <w:t xml:space="preserve">for NPUFs in </w:t>
      </w:r>
      <w:r w:rsidR="00AF1B9E">
        <w:rPr>
          <w:rFonts w:cs="Arial"/>
          <w:sz w:val="22"/>
          <w:szCs w:val="22"/>
        </w:rPr>
        <w:t>G</w:t>
      </w:r>
      <w:r>
        <w:rPr>
          <w:rFonts w:cs="Arial"/>
          <w:sz w:val="22"/>
          <w:szCs w:val="22"/>
        </w:rPr>
        <w:t xml:space="preserve">roup </w:t>
      </w:r>
      <w:r w:rsidR="007A4C7D">
        <w:rPr>
          <w:rFonts w:cs="Arial"/>
          <w:sz w:val="22"/>
          <w:szCs w:val="22"/>
        </w:rPr>
        <w:t>3</w:t>
      </w:r>
      <w:r>
        <w:rPr>
          <w:rFonts w:cs="Arial"/>
          <w:sz w:val="22"/>
          <w:szCs w:val="22"/>
        </w:rPr>
        <w:t xml:space="preserve"> and </w:t>
      </w:r>
      <w:r w:rsidR="00AF1B9E">
        <w:rPr>
          <w:rFonts w:cs="Arial"/>
          <w:sz w:val="22"/>
          <w:szCs w:val="22"/>
        </w:rPr>
        <w:t xml:space="preserve">Group </w:t>
      </w:r>
      <w:r w:rsidR="007A4C7D">
        <w:rPr>
          <w:rFonts w:cs="Arial"/>
          <w:sz w:val="22"/>
          <w:szCs w:val="22"/>
        </w:rPr>
        <w:t>4</w:t>
      </w:r>
      <w:r>
        <w:rPr>
          <w:rFonts w:cs="Arial"/>
          <w:sz w:val="22"/>
          <w:szCs w:val="22"/>
        </w:rPr>
        <w:t xml:space="preserve"> </w:t>
      </w:r>
      <w:r w:rsidRPr="00D839EE">
        <w:rPr>
          <w:rFonts w:cs="Arial"/>
          <w:sz w:val="22"/>
          <w:szCs w:val="22"/>
        </w:rPr>
        <w:t>over the analysis period.  Over the course of the 20-year analysis period, the</w:t>
      </w:r>
      <w:r w:rsidR="00A33787">
        <w:rPr>
          <w:rFonts w:cs="Arial"/>
          <w:sz w:val="22"/>
          <w:szCs w:val="22"/>
        </w:rPr>
        <w:t xml:space="preserve"> number of </w:t>
      </w:r>
      <w:r w:rsidR="00A555E9">
        <w:rPr>
          <w:rFonts w:cs="Arial"/>
          <w:sz w:val="22"/>
          <w:szCs w:val="22"/>
        </w:rPr>
        <w:t xml:space="preserve">subsequent </w:t>
      </w:r>
      <w:r w:rsidR="00A33787">
        <w:rPr>
          <w:rFonts w:cs="Arial"/>
          <w:sz w:val="22"/>
          <w:szCs w:val="22"/>
        </w:rPr>
        <w:t>FSAR</w:t>
      </w:r>
      <w:r w:rsidR="00A555E9">
        <w:rPr>
          <w:rFonts w:cs="Arial"/>
          <w:sz w:val="22"/>
          <w:szCs w:val="22"/>
        </w:rPr>
        <w:t xml:space="preserve"> update</w:t>
      </w:r>
      <w:r w:rsidR="00A33787">
        <w:rPr>
          <w:rFonts w:cs="Arial"/>
          <w:sz w:val="22"/>
          <w:szCs w:val="22"/>
        </w:rPr>
        <w:t xml:space="preserve">s will </w:t>
      </w:r>
      <w:r w:rsidR="00A555E9">
        <w:rPr>
          <w:rFonts w:cs="Arial"/>
          <w:sz w:val="22"/>
          <w:szCs w:val="22"/>
        </w:rPr>
        <w:t xml:space="preserve">depend on the </w:t>
      </w:r>
      <w:r w:rsidR="00A33787">
        <w:rPr>
          <w:rFonts w:cs="Arial"/>
          <w:sz w:val="22"/>
          <w:szCs w:val="22"/>
        </w:rPr>
        <w:t>date of</w:t>
      </w:r>
      <w:r w:rsidR="00A555E9">
        <w:rPr>
          <w:rFonts w:cs="Arial"/>
          <w:sz w:val="22"/>
          <w:szCs w:val="22"/>
        </w:rPr>
        <w:t xml:space="preserve"> each NPUF’s</w:t>
      </w:r>
      <w:r w:rsidR="00A33787">
        <w:rPr>
          <w:rFonts w:cs="Arial"/>
          <w:sz w:val="22"/>
          <w:szCs w:val="22"/>
        </w:rPr>
        <w:t xml:space="preserve"> license renewal</w:t>
      </w:r>
      <w:r w:rsidRPr="00D839EE">
        <w:rPr>
          <w:rFonts w:cs="Arial"/>
          <w:sz w:val="22"/>
          <w:szCs w:val="22"/>
        </w:rPr>
        <w:t xml:space="preserve">. </w:t>
      </w:r>
      <w:r w:rsidR="00013478">
        <w:rPr>
          <w:rFonts w:cs="Arial"/>
          <w:sz w:val="22"/>
          <w:szCs w:val="22"/>
        </w:rPr>
        <w:t xml:space="preserve"> </w:t>
      </w:r>
      <w:r w:rsidR="00866FF2">
        <w:rPr>
          <w:rFonts w:cs="Arial"/>
          <w:sz w:val="22"/>
          <w:szCs w:val="22"/>
        </w:rPr>
        <w:t xml:space="preserve">Aerotest, GE-Hitachi, </w:t>
      </w:r>
      <w:r w:rsidR="00013478">
        <w:rPr>
          <w:rFonts w:cs="Arial"/>
          <w:sz w:val="22"/>
          <w:szCs w:val="22"/>
        </w:rPr>
        <w:t xml:space="preserve">NWMI, SHINE, </w:t>
      </w:r>
      <w:r w:rsidR="00866FF2">
        <w:rPr>
          <w:rFonts w:cs="Arial"/>
          <w:sz w:val="22"/>
          <w:szCs w:val="22"/>
        </w:rPr>
        <w:t>TAMU (A</w:t>
      </w:r>
      <w:r w:rsidR="00013478">
        <w:rPr>
          <w:rFonts w:cs="Arial"/>
          <w:sz w:val="22"/>
          <w:szCs w:val="22"/>
        </w:rPr>
        <w:t>), and UC</w:t>
      </w:r>
      <w:r w:rsidR="00DA6F7A">
        <w:rPr>
          <w:rFonts w:cs="Arial"/>
          <w:sz w:val="22"/>
          <w:szCs w:val="22"/>
        </w:rPr>
        <w:t>/</w:t>
      </w:r>
      <w:r w:rsidR="00013478">
        <w:rPr>
          <w:rFonts w:cs="Arial"/>
          <w:sz w:val="22"/>
          <w:szCs w:val="22"/>
        </w:rPr>
        <w:t xml:space="preserve">Davis </w:t>
      </w:r>
      <w:r w:rsidR="00866FF2">
        <w:rPr>
          <w:rFonts w:cs="Arial"/>
          <w:sz w:val="22"/>
          <w:szCs w:val="22"/>
        </w:rPr>
        <w:t xml:space="preserve">are expected to complete two subsequent FSAR updates.  NIST is expected to complete three subsequent FSAR updates.  </w:t>
      </w:r>
      <w:r w:rsidRPr="00D839EE">
        <w:rPr>
          <w:rFonts w:cs="Arial"/>
          <w:sz w:val="22"/>
          <w:szCs w:val="22"/>
        </w:rPr>
        <w:t xml:space="preserve">These per-category costs amount to total </w:t>
      </w:r>
      <w:r w:rsidR="00A33787">
        <w:rPr>
          <w:rFonts w:cs="Arial"/>
          <w:sz w:val="22"/>
          <w:szCs w:val="22"/>
        </w:rPr>
        <w:t xml:space="preserve">Group 3 and Group 4 </w:t>
      </w:r>
      <w:r w:rsidRPr="00D839EE">
        <w:rPr>
          <w:rFonts w:cs="Arial"/>
          <w:sz w:val="22"/>
          <w:szCs w:val="22"/>
        </w:rPr>
        <w:t xml:space="preserve">NPUF operation costs of </w:t>
      </w:r>
      <w:r w:rsidR="00A9664F">
        <w:rPr>
          <w:rFonts w:cs="Arial"/>
          <w:sz w:val="22"/>
          <w:szCs w:val="22"/>
        </w:rPr>
        <w:t>(</w:t>
      </w:r>
      <w:r w:rsidRPr="00D839EE">
        <w:rPr>
          <w:rFonts w:cs="Arial"/>
          <w:sz w:val="22"/>
          <w:szCs w:val="22"/>
        </w:rPr>
        <w:t>$</w:t>
      </w:r>
      <w:r w:rsidR="008107CE">
        <w:rPr>
          <w:rFonts w:cs="Arial"/>
          <w:sz w:val="22"/>
          <w:szCs w:val="22"/>
        </w:rPr>
        <w:t>15</w:t>
      </w:r>
      <w:r w:rsidRPr="00D839EE" w:rsidR="008107CE">
        <w:rPr>
          <w:rFonts w:cs="Arial"/>
          <w:sz w:val="22"/>
          <w:szCs w:val="22"/>
        </w:rPr>
        <w:t>0</w:t>
      </w:r>
      <w:r w:rsidRPr="00D839EE">
        <w:rPr>
          <w:rFonts w:cs="Arial"/>
          <w:sz w:val="22"/>
          <w:szCs w:val="22"/>
        </w:rPr>
        <w:t>,000</w:t>
      </w:r>
      <w:r w:rsidR="00A9664F">
        <w:rPr>
          <w:rFonts w:cs="Arial"/>
          <w:sz w:val="22"/>
          <w:szCs w:val="22"/>
        </w:rPr>
        <w:t>)</w:t>
      </w:r>
      <w:r>
        <w:rPr>
          <w:rFonts w:cs="Arial"/>
          <w:sz w:val="22"/>
          <w:szCs w:val="22"/>
        </w:rPr>
        <w:t xml:space="preserve"> </w:t>
      </w:r>
      <w:r w:rsidRPr="00D839EE">
        <w:rPr>
          <w:rFonts w:cs="Arial"/>
          <w:sz w:val="22"/>
          <w:szCs w:val="22"/>
        </w:rPr>
        <w:t>undiscounted (</w:t>
      </w:r>
      <w:r w:rsidR="00B91A63">
        <w:rPr>
          <w:rFonts w:cs="Arial"/>
          <w:sz w:val="22"/>
          <w:szCs w:val="22"/>
        </w:rPr>
        <w:t>(</w:t>
      </w:r>
      <w:r w:rsidRPr="00D839EE" w:rsidR="00B91A63">
        <w:rPr>
          <w:rFonts w:cs="Arial"/>
          <w:sz w:val="22"/>
          <w:szCs w:val="22"/>
        </w:rPr>
        <w:t>$</w:t>
      </w:r>
      <w:r w:rsidR="00B91A63">
        <w:rPr>
          <w:rFonts w:cs="Arial"/>
          <w:sz w:val="22"/>
          <w:szCs w:val="22"/>
        </w:rPr>
        <w:t>11</w:t>
      </w:r>
      <w:r w:rsidRPr="00D839EE" w:rsidR="00B91A63">
        <w:rPr>
          <w:rFonts w:cs="Arial"/>
          <w:sz w:val="22"/>
          <w:szCs w:val="22"/>
        </w:rPr>
        <w:t>0,000</w:t>
      </w:r>
      <w:r w:rsidR="00B91A63">
        <w:rPr>
          <w:rFonts w:cs="Arial"/>
          <w:sz w:val="22"/>
          <w:szCs w:val="22"/>
        </w:rPr>
        <w:t>)</w:t>
      </w:r>
      <w:r w:rsidRPr="00D839EE" w:rsidR="00B91A63">
        <w:rPr>
          <w:rFonts w:cs="Arial"/>
          <w:sz w:val="22"/>
          <w:szCs w:val="22"/>
        </w:rPr>
        <w:t xml:space="preserve"> using a 3</w:t>
      </w:r>
      <w:r w:rsidR="00B91A63">
        <w:rPr>
          <w:rFonts w:cs="Arial"/>
          <w:sz w:val="22"/>
          <w:szCs w:val="22"/>
        </w:rPr>
        <w:t>-</w:t>
      </w:r>
      <w:r w:rsidRPr="00D839EE" w:rsidR="00B91A63">
        <w:rPr>
          <w:rFonts w:cs="Arial"/>
          <w:sz w:val="22"/>
          <w:szCs w:val="22"/>
        </w:rPr>
        <w:t>percent discount rate</w:t>
      </w:r>
      <w:r w:rsidR="00B91A63">
        <w:rPr>
          <w:rFonts w:cs="Arial"/>
          <w:sz w:val="22"/>
          <w:szCs w:val="22"/>
        </w:rPr>
        <w:t xml:space="preserve"> or </w:t>
      </w:r>
      <w:r w:rsidR="00A9664F">
        <w:rPr>
          <w:rFonts w:cs="Arial"/>
          <w:sz w:val="22"/>
          <w:szCs w:val="22"/>
        </w:rPr>
        <w:t>(</w:t>
      </w:r>
      <w:r w:rsidRPr="00D839EE">
        <w:rPr>
          <w:rFonts w:cs="Arial"/>
          <w:sz w:val="22"/>
          <w:szCs w:val="22"/>
        </w:rPr>
        <w:t>$</w:t>
      </w:r>
      <w:r w:rsidR="008107CE">
        <w:rPr>
          <w:rFonts w:cs="Arial"/>
          <w:sz w:val="22"/>
          <w:szCs w:val="22"/>
        </w:rPr>
        <w:t>80</w:t>
      </w:r>
      <w:r w:rsidRPr="00D839EE">
        <w:rPr>
          <w:rFonts w:cs="Arial"/>
          <w:sz w:val="22"/>
          <w:szCs w:val="22"/>
        </w:rPr>
        <w:t>,000</w:t>
      </w:r>
      <w:r w:rsidR="00A9664F">
        <w:rPr>
          <w:rFonts w:cs="Arial"/>
          <w:sz w:val="22"/>
          <w:szCs w:val="22"/>
        </w:rPr>
        <w:t>)</w:t>
      </w:r>
      <w:r w:rsidRPr="00D839EE">
        <w:rPr>
          <w:rFonts w:cs="Arial"/>
          <w:sz w:val="22"/>
          <w:szCs w:val="22"/>
        </w:rPr>
        <w:t xml:space="preserve"> using a 7</w:t>
      </w:r>
      <w:r w:rsidR="00EA60BF">
        <w:rPr>
          <w:rFonts w:cs="Arial"/>
          <w:sz w:val="22"/>
          <w:szCs w:val="22"/>
        </w:rPr>
        <w:t>-</w:t>
      </w:r>
      <w:r w:rsidRPr="00D839EE">
        <w:rPr>
          <w:rFonts w:cs="Arial"/>
          <w:sz w:val="22"/>
          <w:szCs w:val="22"/>
        </w:rPr>
        <w:t>percent discount rate) over the 20-year analysis period.</w:t>
      </w:r>
    </w:p>
    <w:p w:rsidR="00DC3337" w:rsidRPr="00D839EE" w:rsidP="00346B95" w14:paraId="7F493A75" w14:textId="77777777">
      <w:pPr>
        <w:tabs>
          <w:tab w:val="left" w:pos="5850"/>
        </w:tabs>
        <w:rPr>
          <w:rFonts w:cs="Arial"/>
          <w:sz w:val="18"/>
          <w:szCs w:val="18"/>
        </w:rPr>
      </w:pPr>
    </w:p>
    <w:p w:rsidR="00AC71D8" w:rsidP="00AC71D8" w14:paraId="7F493A76" w14:textId="4916AA9A">
      <w:pPr>
        <w:pStyle w:val="Caption"/>
        <w:keepNext/>
        <w:spacing w:after="0"/>
        <w:jc w:val="center"/>
        <w:rPr>
          <w:b/>
          <w:i w:val="0"/>
          <w:color w:val="auto"/>
          <w:sz w:val="22"/>
        </w:rPr>
      </w:pPr>
      <w:bookmarkStart w:id="316" w:name="_Ref534035708"/>
      <w:bookmarkStart w:id="317" w:name="_Toc9526476"/>
      <w:bookmarkStart w:id="318" w:name="_Toc536603425"/>
      <w:bookmarkStart w:id="319" w:name="_Toc534037069"/>
      <w:bookmarkStart w:id="320" w:name="_Toc534710012"/>
      <w:bookmarkStart w:id="321" w:name="_Toc534711697"/>
      <w:bookmarkStart w:id="322" w:name="_Toc534712130"/>
      <w:bookmarkStart w:id="323" w:name="_Toc534712707"/>
      <w:bookmarkStart w:id="324" w:name="_Toc534713216"/>
      <w:r w:rsidRPr="000F7FD1">
        <w:rPr>
          <w:b/>
          <w:i w:val="0"/>
          <w:color w:val="auto"/>
          <w:sz w:val="22"/>
        </w:rPr>
        <w:t xml:space="preserve">Exhibit </w:t>
      </w:r>
      <w:r w:rsidRPr="000F7FD1" w:rsidR="005111B6">
        <w:rPr>
          <w:b/>
          <w:i w:val="0"/>
          <w:color w:val="auto"/>
          <w:sz w:val="22"/>
        </w:rPr>
        <w:t>3</w:t>
      </w:r>
      <w:r w:rsidRPr="000F7FD1" w:rsidR="00180D68">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19</w:t>
      </w:r>
      <w:r w:rsidRPr="000F7FD1" w:rsidR="00C276FC">
        <w:rPr>
          <w:b/>
          <w:i w:val="0"/>
          <w:color w:val="auto"/>
          <w:sz w:val="22"/>
        </w:rPr>
        <w:fldChar w:fldCharType="end"/>
      </w:r>
      <w:bookmarkEnd w:id="316"/>
      <w:r w:rsidRPr="000F7FD1">
        <w:rPr>
          <w:b/>
          <w:i w:val="0"/>
          <w:color w:val="auto"/>
          <w:sz w:val="22"/>
        </w:rPr>
        <w:t>. Total Present Value of NRC Operation Costs Associated with</w:t>
      </w:r>
      <w:bookmarkEnd w:id="317"/>
      <w:bookmarkEnd w:id="318"/>
      <w:r w:rsidRPr="000F7FD1">
        <w:rPr>
          <w:b/>
          <w:i w:val="0"/>
          <w:color w:val="auto"/>
          <w:sz w:val="22"/>
        </w:rPr>
        <w:t xml:space="preserve"> </w:t>
      </w:r>
    </w:p>
    <w:p w:rsidR="005F4EE4" w:rsidRPr="000F7FD1" w:rsidP="00AC71D8" w14:paraId="7F493A77" w14:textId="77777777">
      <w:pPr>
        <w:pStyle w:val="Caption"/>
        <w:keepNext/>
        <w:spacing w:after="0"/>
        <w:jc w:val="center"/>
        <w:rPr>
          <w:b/>
          <w:color w:val="auto"/>
          <w:sz w:val="20"/>
        </w:rPr>
      </w:pPr>
      <w:r w:rsidRPr="000F7FD1">
        <w:rPr>
          <w:b/>
          <w:i w:val="0"/>
          <w:color w:val="auto"/>
          <w:sz w:val="22"/>
        </w:rPr>
        <w:t>Group 3 and Group 4 NPUFs</w:t>
      </w:r>
      <w:bookmarkEnd w:id="319"/>
      <w:bookmarkEnd w:id="320"/>
      <w:bookmarkEnd w:id="321"/>
      <w:bookmarkEnd w:id="322"/>
      <w:bookmarkEnd w:id="323"/>
      <w:bookmarkEnd w:id="324"/>
    </w:p>
    <w:tbl>
      <w:tblPr>
        <w:tblW w:w="9532" w:type="dxa"/>
        <w:jc w:val="center"/>
        <w:tblLayout w:type="fixed"/>
        <w:tblLook w:val="04A0"/>
      </w:tblPr>
      <w:tblGrid>
        <w:gridCol w:w="1795"/>
        <w:gridCol w:w="1080"/>
        <w:gridCol w:w="1080"/>
        <w:gridCol w:w="990"/>
        <w:gridCol w:w="1206"/>
        <w:gridCol w:w="1184"/>
        <w:gridCol w:w="1080"/>
        <w:gridCol w:w="1117"/>
      </w:tblGrid>
      <w:tr w14:paraId="7F493A7B" w14:textId="77777777" w:rsidTr="00346B95">
        <w:tblPrEx>
          <w:tblW w:w="9532" w:type="dxa"/>
          <w:jc w:val="center"/>
          <w:tblLayout w:type="fixed"/>
          <w:tblLook w:val="04A0"/>
        </w:tblPrEx>
        <w:trPr>
          <w:trHeight w:val="218"/>
          <w:jc w:val="center"/>
        </w:trPr>
        <w:tc>
          <w:tcPr>
            <w:tcW w:w="1795" w:type="dxa"/>
            <w:vMerge w:val="restart"/>
            <w:tcBorders>
              <w:top w:val="single" w:sz="4" w:space="0" w:color="auto"/>
              <w:left w:val="single" w:sz="4" w:space="0" w:color="auto"/>
              <w:right w:val="single" w:sz="4" w:space="0" w:color="auto"/>
            </w:tcBorders>
            <w:shd w:val="clear" w:color="000000" w:fill="FFFFFF"/>
            <w:noWrap/>
            <w:vAlign w:val="bottom"/>
            <w:hideMark/>
          </w:tcPr>
          <w:p w:rsidR="006F18B2" w:rsidRPr="005F6062" w:rsidP="005F6062" w14:paraId="7F493A78" w14:textId="77777777">
            <w:pPr>
              <w:keepNext/>
              <w:autoSpaceDE/>
              <w:autoSpaceDN/>
              <w:adjustRightInd/>
              <w:jc w:val="center"/>
              <w:rPr>
                <w:rFonts w:cs="Arial"/>
                <w:b/>
                <w:color w:val="000000"/>
              </w:rPr>
            </w:pPr>
            <w:r>
              <w:rPr>
                <w:rFonts w:cs="Arial"/>
                <w:b/>
                <w:color w:val="000000"/>
              </w:rPr>
              <w:t>Component</w:t>
            </w:r>
          </w:p>
        </w:tc>
        <w:tc>
          <w:tcPr>
            <w:tcW w:w="435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6F18B2" w:rsidRPr="005F6062" w:rsidP="005F6062" w14:paraId="7F493A79" w14:textId="77777777">
            <w:pPr>
              <w:keepNext/>
              <w:autoSpaceDE/>
              <w:autoSpaceDN/>
              <w:adjustRightInd/>
              <w:jc w:val="center"/>
              <w:rPr>
                <w:rFonts w:cs="Arial"/>
                <w:b/>
                <w:color w:val="000000"/>
              </w:rPr>
            </w:pPr>
            <w:r w:rsidRPr="005F6062">
              <w:rPr>
                <w:rFonts w:cs="Arial"/>
                <w:b/>
                <w:color w:val="000000"/>
              </w:rPr>
              <w:t>Group 3</w:t>
            </w:r>
          </w:p>
        </w:tc>
        <w:tc>
          <w:tcPr>
            <w:tcW w:w="338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6F18B2" w:rsidRPr="005F6062" w:rsidP="005F6062" w14:paraId="7F493A7A" w14:textId="77777777">
            <w:pPr>
              <w:keepNext/>
              <w:autoSpaceDE/>
              <w:autoSpaceDN/>
              <w:adjustRightInd/>
              <w:jc w:val="center"/>
              <w:rPr>
                <w:rFonts w:cs="Arial"/>
                <w:b/>
                <w:color w:val="000000"/>
              </w:rPr>
            </w:pPr>
            <w:r w:rsidRPr="005F6062">
              <w:rPr>
                <w:rFonts w:cs="Arial"/>
                <w:b/>
                <w:color w:val="000000"/>
              </w:rPr>
              <w:t>Group 4</w:t>
            </w:r>
          </w:p>
        </w:tc>
      </w:tr>
      <w:tr w14:paraId="7F493A84" w14:textId="77777777" w:rsidTr="001F3201">
        <w:tblPrEx>
          <w:tblW w:w="9532" w:type="dxa"/>
          <w:jc w:val="center"/>
          <w:tblLayout w:type="fixed"/>
          <w:tblLook w:val="04A0"/>
        </w:tblPrEx>
        <w:trPr>
          <w:trHeight w:val="218"/>
          <w:jc w:val="center"/>
        </w:trPr>
        <w:tc>
          <w:tcPr>
            <w:tcW w:w="1795" w:type="dxa"/>
            <w:vMerge/>
            <w:tcBorders>
              <w:left w:val="single" w:sz="4" w:space="0" w:color="auto"/>
              <w:bottom w:val="single" w:sz="4" w:space="0" w:color="auto"/>
              <w:right w:val="single" w:sz="4" w:space="0" w:color="auto"/>
            </w:tcBorders>
            <w:shd w:val="clear" w:color="000000" w:fill="FFFFFF"/>
            <w:noWrap/>
            <w:vAlign w:val="bottom"/>
            <w:hideMark/>
          </w:tcPr>
          <w:p w:rsidR="002D752E" w:rsidRPr="005F6062" w:rsidP="002D752E" w14:paraId="7F493A7C" w14:textId="77777777">
            <w:pPr>
              <w:keepNext/>
              <w:autoSpaceDE/>
              <w:autoSpaceDN/>
              <w:adjustRightInd/>
              <w:jc w:val="center"/>
              <w:rPr>
                <w:rFonts w:cs="Arial"/>
                <w:b/>
                <w:color w:val="000000"/>
              </w:rPr>
            </w:pPr>
          </w:p>
        </w:tc>
        <w:tc>
          <w:tcPr>
            <w:tcW w:w="1080" w:type="dxa"/>
            <w:tcBorders>
              <w:top w:val="nil"/>
              <w:left w:val="nil"/>
              <w:bottom w:val="single" w:sz="4" w:space="0" w:color="auto"/>
              <w:right w:val="single" w:sz="4" w:space="0" w:color="auto"/>
            </w:tcBorders>
            <w:shd w:val="clear" w:color="000000" w:fill="FFFFFF"/>
            <w:noWrap/>
            <w:vAlign w:val="center"/>
            <w:hideMark/>
          </w:tcPr>
          <w:p w:rsidR="002D752E" w:rsidRPr="005F6062" w:rsidP="002D752E" w14:paraId="7F493A7D" w14:textId="77777777">
            <w:pPr>
              <w:keepNext/>
              <w:autoSpaceDE/>
              <w:autoSpaceDN/>
              <w:adjustRightInd/>
              <w:jc w:val="center"/>
              <w:rPr>
                <w:rFonts w:cs="Arial"/>
                <w:b/>
                <w:color w:val="000000"/>
              </w:rPr>
            </w:pPr>
            <w:r w:rsidRPr="005F6062">
              <w:rPr>
                <w:rFonts w:cs="Arial"/>
                <w:b/>
                <w:color w:val="000000"/>
              </w:rPr>
              <w:t>Aerotest</w:t>
            </w:r>
          </w:p>
        </w:tc>
        <w:tc>
          <w:tcPr>
            <w:tcW w:w="1080" w:type="dxa"/>
            <w:tcBorders>
              <w:top w:val="nil"/>
              <w:left w:val="nil"/>
              <w:bottom w:val="single" w:sz="4" w:space="0" w:color="auto"/>
              <w:right w:val="single" w:sz="4" w:space="0" w:color="auto"/>
            </w:tcBorders>
            <w:shd w:val="clear" w:color="000000" w:fill="FFFFFF"/>
            <w:noWrap/>
            <w:vAlign w:val="center"/>
            <w:hideMark/>
          </w:tcPr>
          <w:p w:rsidR="002D752E" w:rsidRPr="005F6062" w:rsidP="002D752E" w14:paraId="7F493A7E" w14:textId="77777777">
            <w:pPr>
              <w:keepNext/>
              <w:autoSpaceDE/>
              <w:autoSpaceDN/>
              <w:adjustRightInd/>
              <w:jc w:val="center"/>
              <w:rPr>
                <w:rFonts w:cs="Arial"/>
                <w:b/>
                <w:color w:val="000000"/>
              </w:rPr>
            </w:pPr>
            <w:r w:rsidRPr="005F6062">
              <w:rPr>
                <w:rFonts w:cs="Arial"/>
                <w:b/>
                <w:color w:val="000000"/>
              </w:rPr>
              <w:t>GE</w:t>
            </w:r>
            <w:r w:rsidR="0034139F">
              <w:rPr>
                <w:rFonts w:cs="Arial"/>
                <w:b/>
                <w:color w:val="000000"/>
              </w:rPr>
              <w:t>-</w:t>
            </w:r>
            <w:r w:rsidRPr="005F6062">
              <w:rPr>
                <w:rFonts w:cs="Arial"/>
                <w:b/>
                <w:color w:val="000000"/>
              </w:rPr>
              <w:t>Hitachi</w:t>
            </w:r>
          </w:p>
        </w:tc>
        <w:tc>
          <w:tcPr>
            <w:tcW w:w="990" w:type="dxa"/>
            <w:tcBorders>
              <w:top w:val="nil"/>
              <w:left w:val="nil"/>
              <w:bottom w:val="single" w:sz="4" w:space="0" w:color="auto"/>
              <w:right w:val="single" w:sz="4" w:space="0" w:color="auto"/>
            </w:tcBorders>
            <w:shd w:val="clear" w:color="000000" w:fill="FFFFFF"/>
            <w:noWrap/>
            <w:vAlign w:val="center"/>
            <w:hideMark/>
          </w:tcPr>
          <w:p w:rsidR="002D752E" w:rsidRPr="005F6062" w:rsidP="00B04964" w14:paraId="7F493A7F" w14:textId="77777777">
            <w:pPr>
              <w:keepNext/>
              <w:autoSpaceDE/>
              <w:autoSpaceDN/>
              <w:adjustRightInd/>
              <w:jc w:val="center"/>
              <w:rPr>
                <w:rFonts w:cs="Arial"/>
                <w:b/>
                <w:color w:val="000000"/>
              </w:rPr>
            </w:pPr>
            <w:r w:rsidRPr="005F6062">
              <w:rPr>
                <w:rFonts w:cs="Arial"/>
                <w:b/>
                <w:color w:val="000000"/>
              </w:rPr>
              <w:t>TAMU (A)</w:t>
            </w:r>
          </w:p>
        </w:tc>
        <w:tc>
          <w:tcPr>
            <w:tcW w:w="1206" w:type="dxa"/>
            <w:tcBorders>
              <w:top w:val="nil"/>
              <w:left w:val="nil"/>
              <w:bottom w:val="single" w:sz="4" w:space="0" w:color="auto"/>
              <w:right w:val="single" w:sz="4" w:space="0" w:color="auto"/>
            </w:tcBorders>
            <w:shd w:val="clear" w:color="000000" w:fill="FFFFFF"/>
            <w:noWrap/>
            <w:vAlign w:val="center"/>
            <w:hideMark/>
          </w:tcPr>
          <w:p w:rsidR="002D752E" w:rsidRPr="005F6062" w:rsidP="002D752E" w14:paraId="7F493A80" w14:textId="77777777">
            <w:pPr>
              <w:keepNext/>
              <w:autoSpaceDE/>
              <w:autoSpaceDN/>
              <w:adjustRightInd/>
              <w:jc w:val="center"/>
              <w:rPr>
                <w:rFonts w:cs="Arial"/>
                <w:b/>
                <w:color w:val="000000"/>
              </w:rPr>
            </w:pPr>
            <w:r>
              <w:rPr>
                <w:rFonts w:cs="Arial"/>
                <w:b/>
                <w:color w:val="000000"/>
              </w:rPr>
              <w:t>UC</w:t>
            </w:r>
            <w:r w:rsidR="00DA6F7A">
              <w:rPr>
                <w:rFonts w:cs="Arial"/>
                <w:b/>
                <w:color w:val="000000"/>
              </w:rPr>
              <w:t>/</w:t>
            </w:r>
            <w:r>
              <w:rPr>
                <w:rFonts w:cs="Arial"/>
                <w:b/>
                <w:color w:val="000000"/>
              </w:rPr>
              <w:t>Davis</w:t>
            </w:r>
          </w:p>
        </w:tc>
        <w:tc>
          <w:tcPr>
            <w:tcW w:w="1184" w:type="dxa"/>
            <w:tcBorders>
              <w:top w:val="nil"/>
              <w:left w:val="nil"/>
              <w:bottom w:val="single" w:sz="4" w:space="0" w:color="auto"/>
              <w:right w:val="single" w:sz="4" w:space="0" w:color="auto"/>
            </w:tcBorders>
            <w:shd w:val="clear" w:color="000000" w:fill="FFFFFF"/>
            <w:noWrap/>
            <w:vAlign w:val="center"/>
            <w:hideMark/>
          </w:tcPr>
          <w:p w:rsidR="002D752E" w:rsidRPr="005F6062" w:rsidP="002D752E" w14:paraId="7F493A81" w14:textId="77777777">
            <w:pPr>
              <w:keepNext/>
              <w:autoSpaceDE/>
              <w:autoSpaceDN/>
              <w:adjustRightInd/>
              <w:jc w:val="center"/>
              <w:rPr>
                <w:rFonts w:cs="Arial"/>
                <w:b/>
                <w:color w:val="000000"/>
              </w:rPr>
            </w:pPr>
            <w:r>
              <w:rPr>
                <w:rFonts w:cs="Arial"/>
                <w:b/>
                <w:color w:val="000000"/>
              </w:rPr>
              <w:t>SHINE</w:t>
            </w:r>
          </w:p>
        </w:tc>
        <w:tc>
          <w:tcPr>
            <w:tcW w:w="1080" w:type="dxa"/>
            <w:tcBorders>
              <w:top w:val="nil"/>
              <w:left w:val="nil"/>
              <w:bottom w:val="single" w:sz="4" w:space="0" w:color="auto"/>
              <w:right w:val="single" w:sz="4" w:space="0" w:color="auto"/>
            </w:tcBorders>
            <w:shd w:val="clear" w:color="000000" w:fill="FFFFFF"/>
            <w:noWrap/>
            <w:vAlign w:val="center"/>
            <w:hideMark/>
          </w:tcPr>
          <w:p w:rsidR="002D752E" w:rsidRPr="005F6062" w:rsidP="002D752E" w14:paraId="7F493A82" w14:textId="77777777">
            <w:pPr>
              <w:keepNext/>
              <w:autoSpaceDE/>
              <w:autoSpaceDN/>
              <w:adjustRightInd/>
              <w:jc w:val="center"/>
              <w:rPr>
                <w:rFonts w:cs="Arial"/>
                <w:b/>
                <w:color w:val="000000"/>
              </w:rPr>
            </w:pPr>
            <w:r>
              <w:rPr>
                <w:rFonts w:cs="Arial"/>
                <w:b/>
                <w:color w:val="000000"/>
              </w:rPr>
              <w:t>NWMI</w:t>
            </w:r>
          </w:p>
        </w:tc>
        <w:tc>
          <w:tcPr>
            <w:tcW w:w="1117" w:type="dxa"/>
            <w:tcBorders>
              <w:top w:val="nil"/>
              <w:left w:val="nil"/>
              <w:bottom w:val="single" w:sz="4" w:space="0" w:color="auto"/>
              <w:right w:val="single" w:sz="4" w:space="0" w:color="auto"/>
            </w:tcBorders>
            <w:shd w:val="clear" w:color="000000" w:fill="FFFFFF"/>
            <w:noWrap/>
            <w:vAlign w:val="center"/>
            <w:hideMark/>
          </w:tcPr>
          <w:p w:rsidR="002D752E" w:rsidRPr="005F6062" w:rsidP="002D752E" w14:paraId="7F493A83" w14:textId="77777777">
            <w:pPr>
              <w:keepNext/>
              <w:autoSpaceDE/>
              <w:autoSpaceDN/>
              <w:adjustRightInd/>
              <w:jc w:val="center"/>
              <w:rPr>
                <w:rFonts w:cs="Arial"/>
                <w:b/>
                <w:color w:val="000000"/>
              </w:rPr>
            </w:pPr>
            <w:r>
              <w:rPr>
                <w:rFonts w:cs="Arial"/>
                <w:b/>
                <w:color w:val="000000"/>
              </w:rPr>
              <w:t>NIST</w:t>
            </w:r>
          </w:p>
        </w:tc>
      </w:tr>
      <w:tr w14:paraId="7F493A8D" w14:textId="77777777" w:rsidTr="001F3201">
        <w:tblPrEx>
          <w:tblW w:w="9532" w:type="dxa"/>
          <w:jc w:val="center"/>
          <w:tblLayout w:type="fixed"/>
          <w:tblLook w:val="04A0"/>
        </w:tblPrEx>
        <w:trPr>
          <w:trHeight w:val="218"/>
          <w:jc w:val="center"/>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06658B" w14:paraId="7F493A85" w14:textId="77777777">
            <w:pPr>
              <w:keepNext/>
              <w:autoSpaceDE/>
              <w:autoSpaceDN/>
              <w:adjustRightInd/>
              <w:jc w:val="center"/>
              <w:rPr>
                <w:rFonts w:cs="Arial"/>
                <w:b/>
                <w:color w:val="000000"/>
              </w:rPr>
            </w:pPr>
            <w:r w:rsidRPr="005F6062">
              <w:rPr>
                <w:rFonts w:cs="Arial"/>
                <w:b/>
                <w:color w:val="000000"/>
              </w:rPr>
              <w:t>Initial Updated FSAR Costs</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06658B" w:rsidRPr="005F6062" w:rsidP="0006658B" w14:paraId="7F493A86"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B33F19">
              <w:rPr>
                <w:rFonts w:cs="Arial"/>
                <w:color w:val="000000"/>
              </w:rPr>
              <w:t>9</w:t>
            </w:r>
            <w:r w:rsidRPr="005F6062">
              <w:rPr>
                <w:rFonts w:cs="Arial"/>
                <w:color w:val="000000"/>
              </w:rPr>
              <w:t>,000</w:t>
            </w:r>
            <w:r>
              <w:rPr>
                <w:rFonts w:cs="Arial"/>
                <w:color w:val="000000"/>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06658B" w14:paraId="7F493A87" w14:textId="77777777">
            <w:pPr>
              <w:keepNext/>
              <w:jc w:val="center"/>
              <w:rPr>
                <w:rFonts w:cs="Arial"/>
                <w:color w:val="000000"/>
              </w:rPr>
            </w:pPr>
            <w:r>
              <w:rPr>
                <w:rFonts w:cs="Arial"/>
                <w:color w:val="000000"/>
              </w:rPr>
              <w:t>(</w:t>
            </w:r>
            <w:r w:rsidRPr="005F6062">
              <w:rPr>
                <w:rFonts w:cs="Arial"/>
                <w:color w:val="000000"/>
              </w:rPr>
              <w:t>$</w:t>
            </w:r>
            <w:r w:rsidRPr="005F6062" w:rsidR="00B33F19">
              <w:rPr>
                <w:rFonts w:cs="Arial"/>
                <w:color w:val="000000"/>
              </w:rPr>
              <w:t>1</w:t>
            </w:r>
            <w:r w:rsidR="00B33F19">
              <w:rPr>
                <w:rFonts w:cs="Arial"/>
                <w:color w:val="000000"/>
              </w:rPr>
              <w:t>1</w:t>
            </w:r>
            <w:r w:rsidRPr="005F6062">
              <w:rPr>
                <w:rFonts w:cs="Arial"/>
                <w:color w:val="000000"/>
              </w:rPr>
              <w:t>,000</w:t>
            </w:r>
            <w:r>
              <w:rPr>
                <w:rFonts w:cs="Arial"/>
                <w:color w:val="000000"/>
              </w:rPr>
              <w:t>)</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58B" w:rsidRPr="005F6062" w:rsidP="0006658B" w14:paraId="7F493A88" w14:textId="77777777">
            <w:pPr>
              <w:keepNext/>
              <w:autoSpaceDE/>
              <w:autoSpaceDN/>
              <w:adjustRightInd/>
              <w:jc w:val="center"/>
              <w:rPr>
                <w:rFonts w:cs="Arial"/>
                <w:color w:val="000000"/>
              </w:rPr>
            </w:pPr>
            <w:r>
              <w:rPr>
                <w:rFonts w:cs="Arial"/>
                <w:color w:val="000000"/>
              </w:rPr>
              <w:t>(</w:t>
            </w:r>
            <w:r w:rsidRPr="005F6062">
              <w:rPr>
                <w:rFonts w:cs="Arial"/>
                <w:color w:val="000000"/>
              </w:rPr>
              <w:t>$6,</w:t>
            </w:r>
            <w:r w:rsidR="00D85C83">
              <w:rPr>
                <w:rFonts w:cs="Arial"/>
                <w:color w:val="000000"/>
              </w:rPr>
              <w:t>8</w:t>
            </w:r>
            <w:r w:rsidRPr="005F6062" w:rsidR="00D85C83">
              <w:rPr>
                <w:rFonts w:cs="Arial"/>
                <w:color w:val="000000"/>
              </w:rPr>
              <w:t>00</w:t>
            </w:r>
            <w:r>
              <w:rPr>
                <w:rFonts w:cs="Arial"/>
                <w:color w:val="000000"/>
              </w:rPr>
              <w:t>)</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58B" w:rsidRPr="005F6062" w:rsidP="0006658B" w14:paraId="7F493A89" w14:textId="77777777">
            <w:pPr>
              <w:keepNext/>
              <w:autoSpaceDE/>
              <w:autoSpaceDN/>
              <w:adjustRightInd/>
              <w:jc w:val="center"/>
              <w:rPr>
                <w:rFonts w:cs="Arial"/>
                <w:color w:val="000000"/>
              </w:rPr>
            </w:pPr>
            <w:r>
              <w:rPr>
                <w:rFonts w:cs="Arial"/>
                <w:color w:val="000000"/>
              </w:rPr>
              <w:t>(</w:t>
            </w:r>
            <w:r w:rsidRPr="005F6062">
              <w:rPr>
                <w:rFonts w:cs="Arial"/>
                <w:color w:val="000000"/>
              </w:rPr>
              <w:t>$</w:t>
            </w:r>
            <w:r w:rsidRPr="005F6062" w:rsidR="00D85C83">
              <w:rPr>
                <w:rFonts w:cs="Arial"/>
                <w:color w:val="000000"/>
              </w:rPr>
              <w:t>1</w:t>
            </w:r>
            <w:r w:rsidR="00D85C83">
              <w:rPr>
                <w:rFonts w:cs="Arial"/>
                <w:color w:val="000000"/>
              </w:rPr>
              <w:t>1</w:t>
            </w:r>
            <w:r w:rsidRPr="005F6062">
              <w:rPr>
                <w:rFonts w:cs="Arial"/>
                <w:color w:val="000000"/>
              </w:rPr>
              <w:t>,000</w:t>
            </w:r>
            <w:r>
              <w:rPr>
                <w:rFonts w:cs="Arial"/>
                <w:color w:val="000000"/>
              </w:rPr>
              <w:t>)</w:t>
            </w:r>
          </w:p>
        </w:tc>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58B" w:rsidRPr="005F6062" w:rsidP="0006658B" w14:paraId="7F493A8A" w14:textId="77777777">
            <w:pPr>
              <w:keepNext/>
              <w:autoSpaceDE/>
              <w:autoSpaceDN/>
              <w:adjustRightInd/>
              <w:jc w:val="center"/>
              <w:rPr>
                <w:rFonts w:cs="Arial"/>
                <w:color w:val="000000"/>
              </w:rPr>
            </w:pPr>
            <w:r>
              <w:rPr>
                <w:rFonts w:cs="Arial"/>
                <w:color w:val="000000"/>
              </w:rPr>
              <w:t>(</w:t>
            </w:r>
            <w:r w:rsidRPr="005F6062">
              <w:rPr>
                <w:rFonts w:cs="Arial"/>
                <w:color w:val="000000"/>
              </w:rPr>
              <w:t>$</w:t>
            </w:r>
            <w:r w:rsidRPr="005F6062" w:rsidR="007311C8">
              <w:rPr>
                <w:rFonts w:cs="Arial"/>
                <w:color w:val="000000"/>
              </w:rPr>
              <w:t>1</w:t>
            </w:r>
            <w:r w:rsidR="007311C8">
              <w:rPr>
                <w:rFonts w:cs="Arial"/>
                <w:color w:val="000000"/>
              </w:rPr>
              <w:t>1</w:t>
            </w:r>
            <w:r w:rsidRPr="005F6062">
              <w:rPr>
                <w:rFonts w:cs="Arial"/>
                <w:color w:val="000000"/>
              </w:rPr>
              <w:t>,000</w:t>
            </w:r>
            <w:r>
              <w:rPr>
                <w:rFonts w:cs="Arial"/>
                <w:color w:val="000000"/>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06658B" w14:paraId="7F493A8B" w14:textId="77777777">
            <w:pPr>
              <w:keepNext/>
              <w:jc w:val="center"/>
              <w:rPr>
                <w:rFonts w:cs="Arial"/>
                <w:color w:val="000000"/>
              </w:rPr>
            </w:pPr>
            <w:r>
              <w:rPr>
                <w:rFonts w:cs="Arial"/>
                <w:color w:val="000000"/>
              </w:rPr>
              <w:t>(</w:t>
            </w:r>
            <w:r w:rsidRPr="005F6062">
              <w:rPr>
                <w:rFonts w:cs="Arial"/>
                <w:color w:val="000000"/>
              </w:rPr>
              <w:t>$</w:t>
            </w:r>
            <w:r w:rsidRPr="005F6062" w:rsidR="007311C8">
              <w:rPr>
                <w:rFonts w:cs="Arial"/>
                <w:color w:val="000000"/>
              </w:rPr>
              <w:t>1</w:t>
            </w:r>
            <w:r w:rsidR="007311C8">
              <w:rPr>
                <w:rFonts w:cs="Arial"/>
                <w:color w:val="000000"/>
              </w:rPr>
              <w:t>1</w:t>
            </w:r>
            <w:r w:rsidRPr="005F6062">
              <w:rPr>
                <w:rFonts w:cs="Arial"/>
                <w:color w:val="000000"/>
              </w:rPr>
              <w:t>,000</w:t>
            </w:r>
            <w:r>
              <w:rPr>
                <w:rFonts w:cs="Arial"/>
                <w:color w:val="000000"/>
              </w:rPr>
              <w:t>)</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06658B" w14:paraId="7F493A8C" w14:textId="77777777">
            <w:pPr>
              <w:keepNext/>
              <w:jc w:val="center"/>
              <w:rPr>
                <w:rFonts w:cs="Arial"/>
                <w:color w:val="000000"/>
              </w:rPr>
            </w:pPr>
            <w:r>
              <w:rPr>
                <w:rFonts w:cs="Arial"/>
                <w:color w:val="000000"/>
              </w:rPr>
              <w:t>(</w:t>
            </w:r>
            <w:r w:rsidRPr="005F6062">
              <w:rPr>
                <w:rFonts w:cs="Arial"/>
                <w:color w:val="000000"/>
              </w:rPr>
              <w:t>$</w:t>
            </w:r>
            <w:r w:rsidRPr="005F6062" w:rsidR="007311C8">
              <w:rPr>
                <w:rFonts w:cs="Arial"/>
                <w:color w:val="000000"/>
              </w:rPr>
              <w:t>1</w:t>
            </w:r>
            <w:r w:rsidR="007311C8">
              <w:rPr>
                <w:rFonts w:cs="Arial"/>
                <w:color w:val="000000"/>
              </w:rPr>
              <w:t>1</w:t>
            </w:r>
            <w:r w:rsidRPr="005F6062">
              <w:rPr>
                <w:rFonts w:cs="Arial"/>
                <w:color w:val="000000"/>
              </w:rPr>
              <w:t>,000</w:t>
            </w:r>
            <w:r>
              <w:rPr>
                <w:rFonts w:cs="Arial"/>
                <w:color w:val="000000"/>
              </w:rPr>
              <w:t>)</w:t>
            </w:r>
          </w:p>
        </w:tc>
      </w:tr>
      <w:tr w14:paraId="7F493A96" w14:textId="77777777" w:rsidTr="001F3201">
        <w:tblPrEx>
          <w:tblW w:w="9532" w:type="dxa"/>
          <w:jc w:val="center"/>
          <w:tblLayout w:type="fixed"/>
          <w:tblLook w:val="04A0"/>
        </w:tblPrEx>
        <w:trPr>
          <w:trHeight w:val="218"/>
          <w:jc w:val="center"/>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06658B" w14:paraId="7F493A8E" w14:textId="77777777">
            <w:pPr>
              <w:keepNext/>
              <w:autoSpaceDE/>
              <w:autoSpaceDN/>
              <w:adjustRightInd/>
              <w:jc w:val="center"/>
              <w:rPr>
                <w:rFonts w:cs="Arial"/>
                <w:b/>
                <w:color w:val="000000"/>
              </w:rPr>
            </w:pPr>
            <w:r w:rsidRPr="005F6062">
              <w:rPr>
                <w:rFonts w:cs="Arial"/>
                <w:b/>
                <w:color w:val="000000"/>
              </w:rPr>
              <w:t>Operation Cost per Subsequent FSAR Update</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06658B" w:rsidRPr="005F6062" w:rsidP="0006658B" w14:paraId="7F493A8F"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7311C8">
              <w:rPr>
                <w:rFonts w:cs="Arial"/>
                <w:color w:val="000000"/>
              </w:rPr>
              <w:t>4,</w:t>
            </w:r>
            <w:r w:rsidR="003C5FB6">
              <w:rPr>
                <w:rFonts w:cs="Arial"/>
                <w:color w:val="000000"/>
              </w:rPr>
              <w:t>500</w:t>
            </w:r>
            <w:r>
              <w:rPr>
                <w:rFonts w:cs="Arial"/>
                <w:color w:val="000000"/>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06658B" w14:paraId="7F493A90"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3C5FB6">
              <w:rPr>
                <w:rFonts w:cs="Arial"/>
                <w:color w:val="000000"/>
              </w:rPr>
              <w:t>4,500</w:t>
            </w:r>
            <w:r>
              <w:rPr>
                <w:rFonts w:cs="Arial"/>
                <w:color w:val="000000"/>
              </w:rPr>
              <w:t>)</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58B" w:rsidRPr="005F6062" w:rsidP="0006658B" w14:paraId="7F493A91" w14:textId="77777777">
            <w:pPr>
              <w:keepNext/>
              <w:autoSpaceDE/>
              <w:autoSpaceDN/>
              <w:adjustRightInd/>
              <w:jc w:val="center"/>
              <w:rPr>
                <w:rFonts w:cs="Arial"/>
                <w:color w:val="000000"/>
              </w:rPr>
            </w:pPr>
            <w:r>
              <w:rPr>
                <w:rFonts w:cs="Arial"/>
                <w:color w:val="000000"/>
              </w:rPr>
              <w:t>(</w:t>
            </w:r>
            <w:r w:rsidRPr="005F6062">
              <w:rPr>
                <w:rFonts w:cs="Arial"/>
                <w:color w:val="000000"/>
              </w:rPr>
              <w:t>$3,</w:t>
            </w:r>
            <w:r w:rsidR="00C64F04">
              <w:rPr>
                <w:rFonts w:cs="Arial"/>
                <w:color w:val="000000"/>
              </w:rPr>
              <w:t>4</w:t>
            </w:r>
            <w:r w:rsidRPr="005F6062" w:rsidR="00C64F04">
              <w:rPr>
                <w:rFonts w:cs="Arial"/>
                <w:color w:val="000000"/>
              </w:rPr>
              <w:t>00</w:t>
            </w:r>
            <w:r>
              <w:rPr>
                <w:rFonts w:cs="Arial"/>
                <w:color w:val="000000"/>
              </w:rPr>
              <w:t>)</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58B" w:rsidRPr="005F6062" w:rsidP="0006658B" w14:paraId="7F493A92"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C64F04">
              <w:rPr>
                <w:rFonts w:cs="Arial"/>
                <w:color w:val="000000"/>
              </w:rPr>
              <w:t>5,600</w:t>
            </w:r>
            <w:r>
              <w:rPr>
                <w:rFonts w:cs="Arial"/>
                <w:color w:val="000000"/>
              </w:rPr>
              <w:t>)</w:t>
            </w:r>
          </w:p>
        </w:tc>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58B" w:rsidRPr="005F6062" w:rsidP="0006658B" w14:paraId="7F493A93"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C64F04">
              <w:rPr>
                <w:rFonts w:cs="Arial"/>
                <w:color w:val="000000"/>
              </w:rPr>
              <w:t>5,600</w:t>
            </w:r>
            <w:r>
              <w:rPr>
                <w:rFonts w:cs="Arial"/>
                <w:color w:val="000000"/>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06658B" w14:paraId="7F493A94"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C64F04">
              <w:rPr>
                <w:rFonts w:cs="Arial"/>
                <w:color w:val="000000"/>
              </w:rPr>
              <w:t>5,600</w:t>
            </w:r>
            <w:r w:rsidR="00A77EFE">
              <w:rPr>
                <w:rFonts w:cs="Arial"/>
                <w:color w:val="000000"/>
              </w:rPr>
              <w:t>)</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06658B" w:rsidRPr="005F6062" w:rsidP="0006658B" w14:paraId="7F493A95" w14:textId="77777777">
            <w:pPr>
              <w:keepNext/>
              <w:autoSpaceDE/>
              <w:autoSpaceDN/>
              <w:adjustRightInd/>
              <w:jc w:val="center"/>
              <w:rPr>
                <w:rFonts w:cs="Arial"/>
                <w:color w:val="000000"/>
              </w:rPr>
            </w:pPr>
            <w:r>
              <w:rPr>
                <w:rFonts w:cs="Arial"/>
                <w:color w:val="000000"/>
              </w:rPr>
              <w:t>(</w:t>
            </w:r>
            <w:r w:rsidRPr="005F6062">
              <w:rPr>
                <w:rFonts w:cs="Arial"/>
                <w:color w:val="000000"/>
              </w:rPr>
              <w:t>$</w:t>
            </w:r>
            <w:r w:rsidR="00C64F04">
              <w:rPr>
                <w:rFonts w:cs="Arial"/>
                <w:color w:val="000000"/>
              </w:rPr>
              <w:t>5,600</w:t>
            </w:r>
            <w:r>
              <w:rPr>
                <w:rFonts w:cs="Arial"/>
                <w:color w:val="000000"/>
              </w:rPr>
              <w:t>)</w:t>
            </w:r>
          </w:p>
        </w:tc>
      </w:tr>
      <w:tr w14:paraId="7F493A9F" w14:textId="77777777" w:rsidTr="001F3201">
        <w:tblPrEx>
          <w:tblW w:w="9532" w:type="dxa"/>
          <w:jc w:val="center"/>
          <w:tblLayout w:type="fixed"/>
          <w:tblLook w:val="04A0"/>
        </w:tblPrEx>
        <w:trPr>
          <w:trHeight w:val="218"/>
          <w:jc w:val="center"/>
        </w:trPr>
        <w:tc>
          <w:tcPr>
            <w:tcW w:w="1795" w:type="dxa"/>
            <w:tcBorders>
              <w:top w:val="nil"/>
              <w:left w:val="single" w:sz="4" w:space="0" w:color="auto"/>
              <w:bottom w:val="single" w:sz="4" w:space="0" w:color="auto"/>
              <w:right w:val="single" w:sz="4" w:space="0" w:color="auto"/>
            </w:tcBorders>
            <w:shd w:val="clear" w:color="000000" w:fill="FFFFFF"/>
            <w:noWrap/>
            <w:vAlign w:val="bottom"/>
          </w:tcPr>
          <w:p w:rsidR="00866FF2" w:rsidRPr="005F6062" w:rsidP="0006658B" w14:paraId="7F493A97" w14:textId="77777777">
            <w:pPr>
              <w:keepNext/>
              <w:autoSpaceDE/>
              <w:autoSpaceDN/>
              <w:adjustRightInd/>
              <w:jc w:val="center"/>
              <w:rPr>
                <w:rFonts w:cs="Arial"/>
                <w:b/>
                <w:color w:val="000000"/>
              </w:rPr>
            </w:pPr>
            <w:r>
              <w:rPr>
                <w:rFonts w:cs="Arial"/>
                <w:b/>
                <w:color w:val="000000"/>
              </w:rPr>
              <w:t>Number of Subsequent FSAR Updates</w:t>
            </w:r>
          </w:p>
        </w:tc>
        <w:tc>
          <w:tcPr>
            <w:tcW w:w="1080" w:type="dxa"/>
            <w:tcBorders>
              <w:top w:val="single" w:sz="4" w:space="0" w:color="auto"/>
              <w:left w:val="nil"/>
              <w:bottom w:val="single" w:sz="4" w:space="0" w:color="auto"/>
              <w:right w:val="single" w:sz="4" w:space="0" w:color="auto"/>
            </w:tcBorders>
            <w:shd w:val="clear" w:color="000000" w:fill="FFFFFF"/>
            <w:noWrap/>
            <w:vAlign w:val="center"/>
          </w:tcPr>
          <w:p w:rsidR="00866FF2" w:rsidRPr="005F6062" w:rsidP="0006658B" w14:paraId="7F493A98" w14:textId="77777777">
            <w:pPr>
              <w:keepNext/>
              <w:autoSpaceDE/>
              <w:autoSpaceDN/>
              <w:adjustRightInd/>
              <w:jc w:val="center"/>
              <w:rPr>
                <w:rFonts w:cs="Arial"/>
                <w:color w:val="000000"/>
              </w:rPr>
            </w:pPr>
            <w:r>
              <w:rPr>
                <w:rFonts w:cs="Arial"/>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866FF2" w:rsidRPr="005F6062" w:rsidP="0006658B" w14:paraId="7F493A99" w14:textId="77777777">
            <w:pPr>
              <w:keepNext/>
              <w:autoSpaceDE/>
              <w:autoSpaceDN/>
              <w:adjustRightInd/>
              <w:jc w:val="center"/>
              <w:rPr>
                <w:rFonts w:cs="Arial"/>
                <w:color w:val="000000"/>
              </w:rPr>
            </w:pPr>
            <w:r>
              <w:rPr>
                <w:rFonts w:cs="Arial"/>
                <w:color w:val="000000"/>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6FF2" w:rsidRPr="005F6062" w:rsidP="0006658B" w14:paraId="7F493A9A" w14:textId="77777777">
            <w:pPr>
              <w:keepNext/>
              <w:autoSpaceDE/>
              <w:autoSpaceDN/>
              <w:adjustRightInd/>
              <w:jc w:val="center"/>
              <w:rPr>
                <w:rFonts w:cs="Arial"/>
                <w:color w:val="000000"/>
              </w:rPr>
            </w:pPr>
            <w:r>
              <w:rPr>
                <w:rFonts w:cs="Arial"/>
                <w:color w:val="000000"/>
              </w:rPr>
              <w:t>2</w:t>
            </w:r>
          </w:p>
        </w:tc>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6FF2" w:rsidRPr="005F6062" w:rsidP="0006658B" w14:paraId="7F493A9B" w14:textId="77777777">
            <w:pPr>
              <w:keepNext/>
              <w:autoSpaceDE/>
              <w:autoSpaceDN/>
              <w:adjustRightInd/>
              <w:jc w:val="center"/>
              <w:rPr>
                <w:rFonts w:cs="Arial"/>
                <w:color w:val="000000"/>
              </w:rPr>
            </w:pPr>
            <w:r>
              <w:rPr>
                <w:rFonts w:cs="Arial"/>
                <w:color w:val="000000"/>
              </w:rPr>
              <w:t>2</w:t>
            </w:r>
          </w:p>
        </w:tc>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6FF2" w:rsidRPr="005F6062" w:rsidP="0006658B" w14:paraId="7F493A9C" w14:textId="77777777">
            <w:pPr>
              <w:keepNext/>
              <w:autoSpaceDE/>
              <w:autoSpaceDN/>
              <w:adjustRightInd/>
              <w:jc w:val="center"/>
              <w:rPr>
                <w:rFonts w:cs="Arial"/>
                <w:color w:val="000000"/>
              </w:rPr>
            </w:pPr>
            <w:r>
              <w:rPr>
                <w:rFonts w:cs="Arial"/>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866FF2" w:rsidRPr="005F6062" w:rsidP="0006658B" w14:paraId="7F493A9D" w14:textId="77777777">
            <w:pPr>
              <w:keepNext/>
              <w:autoSpaceDE/>
              <w:autoSpaceDN/>
              <w:adjustRightInd/>
              <w:jc w:val="center"/>
              <w:rPr>
                <w:rFonts w:cs="Arial"/>
                <w:color w:val="000000"/>
              </w:rPr>
            </w:pPr>
            <w:r>
              <w:rPr>
                <w:rFonts w:cs="Arial"/>
                <w:color w:val="000000"/>
              </w:rPr>
              <w:t>2</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866FF2" w:rsidRPr="005F6062" w:rsidP="0006658B" w14:paraId="7F493A9E" w14:textId="77777777">
            <w:pPr>
              <w:keepNext/>
              <w:autoSpaceDE/>
              <w:autoSpaceDN/>
              <w:adjustRightInd/>
              <w:jc w:val="center"/>
              <w:rPr>
                <w:rFonts w:cs="Arial"/>
                <w:color w:val="000000"/>
              </w:rPr>
            </w:pPr>
            <w:r>
              <w:rPr>
                <w:rFonts w:cs="Arial"/>
                <w:color w:val="000000"/>
              </w:rPr>
              <w:t>3</w:t>
            </w:r>
          </w:p>
        </w:tc>
      </w:tr>
      <w:tr w14:paraId="7F493AA2" w14:textId="77777777" w:rsidTr="00346B95">
        <w:tblPrEx>
          <w:tblW w:w="9532" w:type="dxa"/>
          <w:jc w:val="center"/>
          <w:tblLayout w:type="fixed"/>
          <w:tblLook w:val="04A0"/>
        </w:tblPrEx>
        <w:trPr>
          <w:trHeight w:val="218"/>
          <w:jc w:val="center"/>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06658B" w14:paraId="7F493AA0" w14:textId="77777777">
            <w:pPr>
              <w:keepNext/>
              <w:autoSpaceDE/>
              <w:autoSpaceDN/>
              <w:adjustRightInd/>
              <w:jc w:val="center"/>
              <w:rPr>
                <w:rFonts w:cs="Arial"/>
                <w:b/>
                <w:color w:val="000000"/>
              </w:rPr>
            </w:pPr>
            <w:r w:rsidRPr="005F6062">
              <w:rPr>
                <w:rFonts w:cs="Arial"/>
                <w:b/>
                <w:color w:val="000000"/>
              </w:rPr>
              <w:t xml:space="preserve">Undiscounted Total </w:t>
            </w:r>
            <w:r w:rsidR="00435C35">
              <w:rPr>
                <w:rFonts w:cs="Arial"/>
                <w:b/>
                <w:color w:val="000000"/>
              </w:rPr>
              <w:t xml:space="preserve">NRC </w:t>
            </w:r>
            <w:r w:rsidRPr="005F6062">
              <w:rPr>
                <w:rFonts w:cs="Arial"/>
                <w:b/>
                <w:color w:val="000000"/>
              </w:rPr>
              <w:t>Operating Cost</w:t>
            </w:r>
          </w:p>
        </w:tc>
        <w:tc>
          <w:tcPr>
            <w:tcW w:w="7737"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06658B" w:rsidRPr="005F6062" w:rsidP="0006658B" w14:paraId="7F493AA1" w14:textId="77777777">
            <w:pPr>
              <w:keepNext/>
              <w:autoSpaceDE/>
              <w:autoSpaceDN/>
              <w:adjustRightInd/>
              <w:jc w:val="center"/>
              <w:rPr>
                <w:rFonts w:cs="Arial"/>
                <w:b/>
                <w:color w:val="000000"/>
              </w:rPr>
            </w:pPr>
            <w:r>
              <w:rPr>
                <w:rFonts w:cs="Arial"/>
                <w:b/>
                <w:color w:val="000000"/>
              </w:rPr>
              <w:t>(</w:t>
            </w:r>
            <w:r w:rsidRPr="005F6062">
              <w:rPr>
                <w:rFonts w:cs="Arial"/>
                <w:b/>
                <w:color w:val="000000"/>
              </w:rPr>
              <w:t>$</w:t>
            </w:r>
            <w:r w:rsidRPr="005F6062" w:rsidR="006C3CC8">
              <w:rPr>
                <w:rFonts w:cs="Arial"/>
                <w:b/>
                <w:color w:val="000000"/>
              </w:rPr>
              <w:t>1</w:t>
            </w:r>
            <w:r w:rsidR="006C3CC8">
              <w:rPr>
                <w:rFonts w:cs="Arial"/>
                <w:b/>
                <w:color w:val="000000"/>
              </w:rPr>
              <w:t>5</w:t>
            </w:r>
            <w:r w:rsidRPr="005F6062" w:rsidR="006C3CC8">
              <w:rPr>
                <w:rFonts w:cs="Arial"/>
                <w:b/>
                <w:color w:val="000000"/>
              </w:rPr>
              <w:t>0</w:t>
            </w:r>
            <w:r w:rsidRPr="005F6062">
              <w:rPr>
                <w:rFonts w:cs="Arial"/>
                <w:b/>
                <w:color w:val="000000"/>
              </w:rPr>
              <w:t>,000</w:t>
            </w:r>
            <w:r>
              <w:rPr>
                <w:rFonts w:cs="Arial"/>
                <w:b/>
                <w:color w:val="000000"/>
              </w:rPr>
              <w:t>)</w:t>
            </w:r>
          </w:p>
        </w:tc>
      </w:tr>
      <w:tr w14:paraId="7F493AA5" w14:textId="77777777" w:rsidTr="00346B95">
        <w:tblPrEx>
          <w:tblW w:w="9532" w:type="dxa"/>
          <w:jc w:val="center"/>
          <w:tblLayout w:type="fixed"/>
          <w:tblLook w:val="04A0"/>
        </w:tblPrEx>
        <w:trPr>
          <w:trHeight w:val="218"/>
          <w:jc w:val="center"/>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06658B" w14:paraId="7F493AA3" w14:textId="77777777">
            <w:pPr>
              <w:keepNext/>
              <w:autoSpaceDE/>
              <w:autoSpaceDN/>
              <w:adjustRightInd/>
              <w:jc w:val="center"/>
              <w:rPr>
                <w:rFonts w:cs="Arial"/>
                <w:b/>
                <w:color w:val="000000"/>
              </w:rPr>
            </w:pPr>
            <w:r w:rsidRPr="005F6062">
              <w:rPr>
                <w:rFonts w:cs="Arial"/>
                <w:b/>
                <w:color w:val="000000"/>
              </w:rPr>
              <w:t xml:space="preserve">Total </w:t>
            </w:r>
            <w:r w:rsidR="00435C35">
              <w:rPr>
                <w:rFonts w:cs="Arial"/>
                <w:b/>
                <w:color w:val="000000"/>
              </w:rPr>
              <w:t xml:space="preserve">NRC </w:t>
            </w:r>
            <w:r w:rsidRPr="005F6062">
              <w:rPr>
                <w:rFonts w:cs="Arial"/>
                <w:b/>
                <w:color w:val="000000"/>
              </w:rPr>
              <w:t>Operation Cost at 3% Discounting</w:t>
            </w:r>
          </w:p>
        </w:tc>
        <w:tc>
          <w:tcPr>
            <w:tcW w:w="7737"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06658B" w:rsidRPr="005F6062" w:rsidP="0006658B" w14:paraId="7F493AA4" w14:textId="77777777">
            <w:pPr>
              <w:keepNext/>
              <w:autoSpaceDE/>
              <w:autoSpaceDN/>
              <w:adjustRightInd/>
              <w:jc w:val="center"/>
              <w:rPr>
                <w:rFonts w:cs="Arial"/>
                <w:b/>
                <w:color w:val="000000"/>
              </w:rPr>
            </w:pPr>
            <w:r>
              <w:rPr>
                <w:rFonts w:cs="Arial"/>
                <w:b/>
                <w:color w:val="000000"/>
              </w:rPr>
              <w:t>(</w:t>
            </w:r>
            <w:r w:rsidRPr="005F6062">
              <w:rPr>
                <w:rFonts w:cs="Arial"/>
                <w:b/>
                <w:color w:val="000000"/>
              </w:rPr>
              <w:t>$</w:t>
            </w:r>
            <w:r w:rsidRPr="005F6062" w:rsidR="006C3CC8">
              <w:rPr>
                <w:rFonts w:cs="Arial"/>
                <w:b/>
                <w:color w:val="000000"/>
              </w:rPr>
              <w:t>1</w:t>
            </w:r>
            <w:r w:rsidR="006C3CC8">
              <w:rPr>
                <w:rFonts w:cs="Arial"/>
                <w:b/>
                <w:color w:val="000000"/>
              </w:rPr>
              <w:t>1</w:t>
            </w:r>
            <w:r w:rsidRPr="005F6062" w:rsidR="006C3CC8">
              <w:rPr>
                <w:rFonts w:cs="Arial"/>
                <w:b/>
                <w:color w:val="000000"/>
              </w:rPr>
              <w:t>0</w:t>
            </w:r>
            <w:r w:rsidRPr="005F6062">
              <w:rPr>
                <w:rFonts w:cs="Arial"/>
                <w:b/>
                <w:color w:val="000000"/>
              </w:rPr>
              <w:t>,000</w:t>
            </w:r>
            <w:r>
              <w:rPr>
                <w:rFonts w:cs="Arial"/>
                <w:b/>
                <w:color w:val="000000"/>
              </w:rPr>
              <w:t>)</w:t>
            </w:r>
          </w:p>
        </w:tc>
      </w:tr>
      <w:tr w14:paraId="7F493AA8" w14:textId="77777777" w:rsidTr="00346B95">
        <w:tblPrEx>
          <w:tblW w:w="9532" w:type="dxa"/>
          <w:jc w:val="center"/>
          <w:tblLayout w:type="fixed"/>
          <w:tblLook w:val="04A0"/>
        </w:tblPrEx>
        <w:trPr>
          <w:trHeight w:val="218"/>
          <w:jc w:val="center"/>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06658B" w:rsidRPr="005F6062" w:rsidP="0006658B" w14:paraId="7F493AA6" w14:textId="77777777">
            <w:pPr>
              <w:autoSpaceDE/>
              <w:autoSpaceDN/>
              <w:adjustRightInd/>
              <w:jc w:val="center"/>
              <w:rPr>
                <w:rFonts w:cs="Arial"/>
                <w:b/>
                <w:color w:val="000000"/>
              </w:rPr>
            </w:pPr>
            <w:r w:rsidRPr="005F6062">
              <w:rPr>
                <w:rFonts w:cs="Arial"/>
                <w:b/>
                <w:color w:val="000000"/>
              </w:rPr>
              <w:t xml:space="preserve">Total </w:t>
            </w:r>
            <w:r w:rsidR="00435C35">
              <w:rPr>
                <w:rFonts w:cs="Arial"/>
                <w:b/>
                <w:color w:val="000000"/>
              </w:rPr>
              <w:t xml:space="preserve">NRC </w:t>
            </w:r>
            <w:r w:rsidRPr="005F6062">
              <w:rPr>
                <w:rFonts w:cs="Arial"/>
                <w:b/>
                <w:color w:val="000000"/>
              </w:rPr>
              <w:t>Operation Cost at 7% Discounting</w:t>
            </w:r>
          </w:p>
        </w:tc>
        <w:tc>
          <w:tcPr>
            <w:tcW w:w="7737"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06658B" w:rsidRPr="005F6062" w:rsidP="0006658B" w14:paraId="7F493AA7" w14:textId="77777777">
            <w:pPr>
              <w:autoSpaceDE/>
              <w:autoSpaceDN/>
              <w:adjustRightInd/>
              <w:jc w:val="center"/>
              <w:rPr>
                <w:rFonts w:cs="Arial"/>
                <w:b/>
                <w:color w:val="000000"/>
              </w:rPr>
            </w:pPr>
            <w:r>
              <w:rPr>
                <w:rFonts w:cs="Arial"/>
                <w:b/>
                <w:color w:val="000000"/>
              </w:rPr>
              <w:t>(</w:t>
            </w:r>
            <w:r w:rsidRPr="005F6062">
              <w:rPr>
                <w:rFonts w:cs="Arial"/>
                <w:b/>
                <w:color w:val="000000"/>
              </w:rPr>
              <w:t>$</w:t>
            </w:r>
            <w:r w:rsidR="006C3CC8">
              <w:rPr>
                <w:rFonts w:cs="Arial"/>
                <w:b/>
                <w:color w:val="000000"/>
              </w:rPr>
              <w:t>80</w:t>
            </w:r>
            <w:r w:rsidRPr="005F6062">
              <w:rPr>
                <w:rFonts w:cs="Arial"/>
                <w:b/>
                <w:color w:val="000000"/>
              </w:rPr>
              <w:t>,000</w:t>
            </w:r>
            <w:r>
              <w:rPr>
                <w:rFonts w:cs="Arial"/>
                <w:b/>
                <w:color w:val="000000"/>
              </w:rPr>
              <w:t>)</w:t>
            </w:r>
          </w:p>
        </w:tc>
      </w:tr>
    </w:tbl>
    <w:p w:rsidR="00C870EC" w:rsidRPr="00D839EE" w:rsidP="00C870EC" w14:paraId="7F493AA9" w14:textId="77777777">
      <w:pPr>
        <w:contextualSpacing/>
        <w:rPr>
          <w:rFonts w:cs="Arial"/>
          <w:sz w:val="18"/>
          <w:szCs w:val="18"/>
        </w:rPr>
      </w:pPr>
      <w:bookmarkStart w:id="325" w:name="_Toc434330234"/>
      <w:bookmarkStart w:id="326" w:name="_Toc443852800"/>
      <w:bookmarkStart w:id="327" w:name="_Toc530073289"/>
      <w:r w:rsidRPr="00D839EE">
        <w:rPr>
          <w:rFonts w:cs="Arial"/>
          <w:sz w:val="18"/>
          <w:szCs w:val="18"/>
        </w:rPr>
        <w:t xml:space="preserve">Totals may not </w:t>
      </w:r>
      <w:r>
        <w:rPr>
          <w:rFonts w:cs="Arial"/>
          <w:sz w:val="18"/>
          <w:szCs w:val="18"/>
        </w:rPr>
        <w:t>match</w:t>
      </w:r>
      <w:r w:rsidRPr="00D839EE">
        <w:rPr>
          <w:rFonts w:cs="Arial"/>
          <w:sz w:val="18"/>
          <w:szCs w:val="18"/>
        </w:rPr>
        <w:t xml:space="preserve"> due to rounding.</w:t>
      </w:r>
    </w:p>
    <w:p w:rsidR="00C870EC" w:rsidRPr="006F7949" w:rsidP="006F7949" w14:paraId="7F493AAA" w14:textId="77777777">
      <w:pPr>
        <w:contextualSpacing/>
        <w:rPr>
          <w:rFonts w:cs="Arial"/>
          <w:sz w:val="22"/>
          <w:szCs w:val="22"/>
        </w:rPr>
      </w:pPr>
    </w:p>
    <w:p w:rsidR="00FF7F8D" w:rsidRPr="00D96410" w:rsidP="00D96410" w14:paraId="7F493AAB" w14:textId="77777777">
      <w:pPr>
        <w:pStyle w:val="Heading3"/>
        <w:spacing w:after="220"/>
        <w:rPr>
          <w:b w:val="0"/>
        </w:rPr>
      </w:pPr>
      <w:bookmarkStart w:id="328" w:name="_Toc534037107"/>
      <w:bookmarkStart w:id="329" w:name="_Toc534699727"/>
      <w:bookmarkStart w:id="330" w:name="_Toc536603295"/>
      <w:r w:rsidRPr="00D96410">
        <w:t>3.3.</w:t>
      </w:r>
      <w:r w:rsidRPr="00D96410" w:rsidR="00C67E91">
        <w:t>6</w:t>
      </w:r>
      <w:r w:rsidRPr="00D96410">
        <w:t>. Averted Costs Associated with Affected Entities and NRC Operation</w:t>
      </w:r>
      <w:bookmarkEnd w:id="328"/>
      <w:bookmarkEnd w:id="329"/>
      <w:bookmarkEnd w:id="330"/>
    </w:p>
    <w:p w:rsidR="00FF7F8D" w:rsidRPr="00D839EE" w:rsidP="00FF7F8D" w14:paraId="7F493AAC" w14:textId="693C6A67">
      <w:pPr>
        <w:rPr>
          <w:rFonts w:cs="Arial"/>
          <w:sz w:val="22"/>
          <w:szCs w:val="22"/>
        </w:rPr>
      </w:pPr>
      <w:r w:rsidRPr="00D839EE">
        <w:rPr>
          <w:rFonts w:cs="Arial"/>
          <w:sz w:val="22"/>
          <w:szCs w:val="22"/>
        </w:rPr>
        <w:t xml:space="preserve">This section details the estimated </w:t>
      </w:r>
      <w:r>
        <w:rPr>
          <w:rFonts w:cs="Arial"/>
          <w:sz w:val="22"/>
          <w:szCs w:val="22"/>
        </w:rPr>
        <w:t>averted costs</w:t>
      </w:r>
      <w:r w:rsidRPr="00D839EE">
        <w:rPr>
          <w:rFonts w:cs="Arial"/>
          <w:sz w:val="22"/>
          <w:szCs w:val="22"/>
        </w:rPr>
        <w:t xml:space="preserve"> (i.e., cost savings) of the final rule for both </w:t>
      </w:r>
      <w:r w:rsidR="00073CCB">
        <w:rPr>
          <w:rFonts w:cs="Arial"/>
          <w:sz w:val="22"/>
          <w:szCs w:val="22"/>
        </w:rPr>
        <w:t>licensees</w:t>
      </w:r>
      <w:r w:rsidRPr="00D839EE">
        <w:rPr>
          <w:rFonts w:cs="Arial"/>
          <w:sz w:val="22"/>
          <w:szCs w:val="22"/>
        </w:rPr>
        <w:t xml:space="preserve"> and the NRC.  </w:t>
      </w:r>
      <w:r w:rsidRPr="00D839EE" w:rsidR="00BF5AC4">
        <w:rPr>
          <w:rFonts w:cs="Arial"/>
          <w:sz w:val="22"/>
          <w:szCs w:val="22"/>
        </w:rPr>
        <w:t xml:space="preserve">The </w:t>
      </w:r>
      <w:r w:rsidRPr="00D839EE" w:rsidR="00AE4BB0">
        <w:rPr>
          <w:rFonts w:cs="Arial"/>
          <w:sz w:val="22"/>
          <w:szCs w:val="22"/>
        </w:rPr>
        <w:t xml:space="preserve">monetized </w:t>
      </w:r>
      <w:r w:rsidRPr="00D839EE" w:rsidR="00BF5AC4">
        <w:rPr>
          <w:rFonts w:cs="Arial"/>
          <w:sz w:val="22"/>
          <w:szCs w:val="22"/>
        </w:rPr>
        <w:t xml:space="preserve">benefits of the </w:t>
      </w:r>
      <w:r w:rsidRPr="00D839EE" w:rsidR="00BC5E9F">
        <w:rPr>
          <w:rFonts w:cs="Arial"/>
          <w:sz w:val="22"/>
          <w:szCs w:val="22"/>
        </w:rPr>
        <w:t>final</w:t>
      </w:r>
      <w:r w:rsidRPr="00D839EE" w:rsidR="00BF5AC4">
        <w:rPr>
          <w:rFonts w:cs="Arial"/>
          <w:sz w:val="22"/>
          <w:szCs w:val="22"/>
        </w:rPr>
        <w:t xml:space="preserve"> rule are averted operation costs.</w:t>
      </w:r>
      <w:r w:rsidRPr="00D839EE" w:rsidR="00AE4BB0">
        <w:rPr>
          <w:rFonts w:cs="Arial"/>
          <w:sz w:val="22"/>
          <w:szCs w:val="22"/>
        </w:rPr>
        <w:t xml:space="preserve">  </w:t>
      </w:r>
      <w:r w:rsidRPr="00D839EE">
        <w:rPr>
          <w:rFonts w:cs="Arial"/>
          <w:sz w:val="22"/>
          <w:szCs w:val="22"/>
        </w:rPr>
        <w:t xml:space="preserve">The averted operation costs for </w:t>
      </w:r>
      <w:r>
        <w:rPr>
          <w:rFonts w:cs="Arial"/>
          <w:sz w:val="22"/>
          <w:szCs w:val="22"/>
        </w:rPr>
        <w:t>licensee</w:t>
      </w:r>
      <w:r w:rsidRPr="00D839EE">
        <w:rPr>
          <w:rFonts w:cs="Arial"/>
          <w:sz w:val="22"/>
          <w:szCs w:val="22"/>
        </w:rPr>
        <w:t>s are presente</w:t>
      </w:r>
      <w:r w:rsidRPr="00A906BA">
        <w:rPr>
          <w:rFonts w:cs="Arial"/>
          <w:sz w:val="22"/>
          <w:szCs w:val="22"/>
        </w:rPr>
        <w:t xml:space="preserve">d in </w:t>
      </w:r>
      <w:r w:rsidRPr="00CF41A7" w:rsidR="00A906BA">
        <w:rPr>
          <w:rFonts w:cs="Arial"/>
          <w:sz w:val="22"/>
          <w:szCs w:val="22"/>
        </w:rPr>
        <w:fldChar w:fldCharType="begin"/>
      </w:r>
      <w:r w:rsidRPr="00CF41A7" w:rsidR="00A906BA">
        <w:rPr>
          <w:rFonts w:cs="Arial"/>
          <w:sz w:val="22"/>
          <w:szCs w:val="22"/>
        </w:rPr>
        <w:instrText xml:space="preserve"> REF _Ref534035736 \h </w:instrText>
      </w:r>
      <w:r w:rsidRPr="00B45BB6" w:rsidR="00A906BA">
        <w:rPr>
          <w:rFonts w:cs="Arial"/>
          <w:sz w:val="22"/>
          <w:szCs w:val="22"/>
        </w:rPr>
        <w:instrText xml:space="preserve"> \* MERGEFORMAT </w:instrText>
      </w:r>
      <w:r w:rsidRPr="00CF41A7" w:rsidR="00A906BA">
        <w:rPr>
          <w:rFonts w:cs="Arial"/>
          <w:sz w:val="22"/>
          <w:szCs w:val="22"/>
        </w:rPr>
        <w:fldChar w:fldCharType="separate"/>
      </w:r>
      <w:r w:rsidRPr="00977795" w:rsidR="00977795">
        <w:rPr>
          <w:sz w:val="22"/>
          <w:szCs w:val="22"/>
        </w:rPr>
        <w:t>Exhibit 3</w:t>
      </w:r>
      <w:r w:rsidRPr="00977795" w:rsidR="00977795">
        <w:rPr>
          <w:sz w:val="22"/>
          <w:szCs w:val="22"/>
        </w:rPr>
        <w:noBreakHyphen/>
        <w:t>20</w:t>
      </w:r>
      <w:r w:rsidRPr="00CF41A7" w:rsidR="00A906BA">
        <w:rPr>
          <w:rFonts w:cs="Arial"/>
          <w:sz w:val="22"/>
          <w:szCs w:val="22"/>
        </w:rPr>
        <w:fldChar w:fldCharType="end"/>
      </w:r>
      <w:r w:rsidRPr="00D839EE">
        <w:rPr>
          <w:rFonts w:cs="Arial"/>
          <w:sz w:val="22"/>
          <w:szCs w:val="22"/>
        </w:rPr>
        <w:t>.</w:t>
      </w:r>
      <w:r w:rsidRPr="00D839EE" w:rsidR="00BF5AC4">
        <w:rPr>
          <w:rFonts w:cs="Arial"/>
          <w:sz w:val="22"/>
          <w:szCs w:val="22"/>
        </w:rPr>
        <w:t xml:space="preserve">  These averted costs stem from the savings in time and money created by discontinuing the existing license renewal </w:t>
      </w:r>
      <w:r w:rsidRPr="00D839EE" w:rsidR="00AE4BB0">
        <w:rPr>
          <w:rFonts w:cs="Arial"/>
          <w:sz w:val="22"/>
          <w:szCs w:val="22"/>
        </w:rPr>
        <w:t>process for qualifying NPUFs</w:t>
      </w:r>
      <w:r w:rsidRPr="00D839EE" w:rsidR="00967C78">
        <w:rPr>
          <w:rFonts w:cs="Arial"/>
          <w:sz w:val="22"/>
          <w:szCs w:val="22"/>
        </w:rPr>
        <w:t xml:space="preserve"> (i.e., research reactors</w:t>
      </w:r>
      <w:r w:rsidR="00B116BC">
        <w:rPr>
          <w:rFonts w:cs="Arial"/>
          <w:sz w:val="22"/>
          <w:szCs w:val="22"/>
        </w:rPr>
        <w:t xml:space="preserve"> currently licensed to operate</w:t>
      </w:r>
      <w:r w:rsidRPr="00D839EE" w:rsidR="00967C78">
        <w:rPr>
          <w:rFonts w:cs="Arial"/>
          <w:sz w:val="22"/>
          <w:szCs w:val="22"/>
        </w:rPr>
        <w:t>)</w:t>
      </w:r>
      <w:r w:rsidRPr="00D839EE" w:rsidR="00BF5AC4">
        <w:rPr>
          <w:rFonts w:cs="Arial"/>
          <w:sz w:val="22"/>
          <w:szCs w:val="22"/>
        </w:rPr>
        <w:t xml:space="preserve">.  </w:t>
      </w:r>
      <w:r w:rsidRPr="00D839EE">
        <w:rPr>
          <w:rFonts w:cs="Arial"/>
          <w:sz w:val="22"/>
          <w:szCs w:val="22"/>
        </w:rPr>
        <w:t xml:space="preserve">The </w:t>
      </w:r>
      <w:r>
        <w:rPr>
          <w:rFonts w:cs="Arial"/>
          <w:sz w:val="22"/>
          <w:szCs w:val="22"/>
        </w:rPr>
        <w:t>licensee</w:t>
      </w:r>
      <w:r w:rsidRPr="00D839EE" w:rsidR="00BF5AC4">
        <w:rPr>
          <w:rFonts w:cs="Arial"/>
          <w:sz w:val="22"/>
          <w:szCs w:val="22"/>
        </w:rPr>
        <w:t xml:space="preserve"> averted operation cost represents the cost savings per NPUF by switching to non</w:t>
      </w:r>
      <w:r w:rsidR="003A7F24">
        <w:rPr>
          <w:rFonts w:cs="Arial"/>
          <w:sz w:val="22"/>
          <w:szCs w:val="22"/>
        </w:rPr>
        <w:noBreakHyphen/>
      </w:r>
      <w:r w:rsidRPr="00D839EE" w:rsidR="00BF5AC4">
        <w:rPr>
          <w:rFonts w:cs="Arial"/>
          <w:sz w:val="22"/>
          <w:szCs w:val="22"/>
        </w:rPr>
        <w:t xml:space="preserve">expiring licenses.  </w:t>
      </w:r>
      <w:r w:rsidR="00073CCB">
        <w:rPr>
          <w:rFonts w:cs="Arial"/>
          <w:sz w:val="22"/>
          <w:szCs w:val="22"/>
        </w:rPr>
        <w:t>Group 3 and Group 4</w:t>
      </w:r>
      <w:r w:rsidRPr="00D839EE">
        <w:rPr>
          <w:rFonts w:cs="Arial"/>
          <w:sz w:val="22"/>
          <w:szCs w:val="22"/>
        </w:rPr>
        <w:t xml:space="preserve"> licensees </w:t>
      </w:r>
      <w:r w:rsidR="00073CCB">
        <w:rPr>
          <w:rFonts w:cs="Arial"/>
          <w:sz w:val="22"/>
          <w:szCs w:val="22"/>
        </w:rPr>
        <w:t xml:space="preserve">do not incur averted costs because </w:t>
      </w:r>
      <w:r w:rsidRPr="00D839EE">
        <w:rPr>
          <w:rFonts w:cs="Arial"/>
          <w:sz w:val="22"/>
          <w:szCs w:val="22"/>
        </w:rPr>
        <w:t xml:space="preserve">their </w:t>
      </w:r>
      <w:r w:rsidR="00073CCB">
        <w:rPr>
          <w:rFonts w:cs="Arial"/>
          <w:sz w:val="22"/>
          <w:szCs w:val="22"/>
        </w:rPr>
        <w:t xml:space="preserve">averted license </w:t>
      </w:r>
      <w:r w:rsidRPr="00D839EE">
        <w:rPr>
          <w:rFonts w:cs="Arial"/>
          <w:sz w:val="22"/>
          <w:szCs w:val="22"/>
        </w:rPr>
        <w:t xml:space="preserve">renewals </w:t>
      </w:r>
      <w:r w:rsidR="00073CCB">
        <w:rPr>
          <w:rFonts w:cs="Arial"/>
          <w:sz w:val="22"/>
          <w:szCs w:val="22"/>
        </w:rPr>
        <w:t>will occur beyond</w:t>
      </w:r>
      <w:r w:rsidRPr="00D839EE">
        <w:rPr>
          <w:rFonts w:cs="Arial"/>
          <w:sz w:val="22"/>
          <w:szCs w:val="22"/>
        </w:rPr>
        <w:t xml:space="preserve"> the time horizon of this analysis</w:t>
      </w:r>
      <w:r>
        <w:rPr>
          <w:rFonts w:cs="Arial"/>
          <w:sz w:val="22"/>
          <w:szCs w:val="22"/>
        </w:rPr>
        <w:t xml:space="preserve"> (Aerotest, GE</w:t>
      </w:r>
      <w:r w:rsidR="003A7F24">
        <w:rPr>
          <w:rFonts w:cs="Arial"/>
          <w:sz w:val="22"/>
          <w:szCs w:val="22"/>
        </w:rPr>
        <w:noBreakHyphen/>
      </w:r>
      <w:r>
        <w:rPr>
          <w:rFonts w:cs="Arial"/>
          <w:sz w:val="22"/>
          <w:szCs w:val="22"/>
        </w:rPr>
        <w:t xml:space="preserve">Hitachi, TAMU (A), and UC/Davis) or </w:t>
      </w:r>
      <w:r w:rsidR="00073CCB">
        <w:rPr>
          <w:rFonts w:cs="Arial"/>
          <w:sz w:val="22"/>
          <w:szCs w:val="22"/>
        </w:rPr>
        <w:t xml:space="preserve">they will </w:t>
      </w:r>
      <w:r w:rsidRPr="00D839EE">
        <w:rPr>
          <w:rFonts w:cs="Arial"/>
          <w:sz w:val="22"/>
          <w:szCs w:val="22"/>
        </w:rPr>
        <w:t xml:space="preserve">continue to go through the existing license renewal process (NIST, SHINE, and </w:t>
      </w:r>
      <w:r>
        <w:rPr>
          <w:rFonts w:cs="Arial"/>
          <w:sz w:val="22"/>
          <w:szCs w:val="22"/>
        </w:rPr>
        <w:t>NWMI)</w:t>
      </w:r>
      <w:r w:rsidRPr="00D839EE">
        <w:rPr>
          <w:rFonts w:cs="Arial"/>
          <w:sz w:val="22"/>
          <w:szCs w:val="22"/>
        </w:rPr>
        <w:t xml:space="preserve">.  If the analysis time period were extended, </w:t>
      </w:r>
      <w:r>
        <w:rPr>
          <w:rFonts w:cs="Arial"/>
          <w:sz w:val="22"/>
          <w:szCs w:val="22"/>
        </w:rPr>
        <w:t>Group</w:t>
      </w:r>
      <w:r w:rsidR="00B116BC">
        <w:rPr>
          <w:rFonts w:cs="Arial"/>
          <w:sz w:val="22"/>
          <w:szCs w:val="22"/>
        </w:rPr>
        <w:t> </w:t>
      </w:r>
      <w:r>
        <w:rPr>
          <w:rFonts w:cs="Arial"/>
          <w:sz w:val="22"/>
          <w:szCs w:val="22"/>
        </w:rPr>
        <w:t xml:space="preserve">3 NPUFs (Aerotest, GE-Hitachi, TAMU (A), and UC/Davis) </w:t>
      </w:r>
      <w:r w:rsidRPr="00D839EE">
        <w:rPr>
          <w:rFonts w:cs="Arial"/>
          <w:sz w:val="22"/>
          <w:szCs w:val="22"/>
        </w:rPr>
        <w:t>would realize cost savings from the final rule similar to the savings realized by other licensees.</w:t>
      </w:r>
    </w:p>
    <w:p w:rsidR="00FF7F8D" w:rsidRPr="00D839EE" w:rsidP="00FF7F8D" w14:paraId="7F493AAD" w14:textId="77777777">
      <w:pPr>
        <w:rPr>
          <w:rFonts w:cs="Arial"/>
          <w:sz w:val="22"/>
          <w:szCs w:val="22"/>
        </w:rPr>
      </w:pPr>
    </w:p>
    <w:p w:rsidR="00FF7F8D" w:rsidP="00FF7F8D" w14:paraId="7F493AAE" w14:textId="77777777">
      <w:pPr>
        <w:rPr>
          <w:rFonts w:cs="Arial"/>
          <w:sz w:val="22"/>
          <w:szCs w:val="22"/>
        </w:rPr>
      </w:pPr>
      <w:r w:rsidRPr="00D839EE">
        <w:rPr>
          <w:rFonts w:cs="Arial"/>
          <w:sz w:val="22"/>
          <w:szCs w:val="22"/>
        </w:rPr>
        <w:t>The NRC estimates that the final rule will result in total cost savings in the form of averted operation costs to affected entities of $</w:t>
      </w:r>
      <w:r w:rsidR="008D40D7">
        <w:rPr>
          <w:rFonts w:cs="Arial"/>
          <w:sz w:val="22"/>
          <w:szCs w:val="22"/>
        </w:rPr>
        <w:t>7</w:t>
      </w:r>
      <w:r w:rsidR="000C5D8D">
        <w:rPr>
          <w:rFonts w:cs="Arial"/>
          <w:sz w:val="22"/>
          <w:szCs w:val="22"/>
        </w:rPr>
        <w:t>.0</w:t>
      </w:r>
      <w:r>
        <w:rPr>
          <w:rFonts w:cs="Arial"/>
          <w:sz w:val="22"/>
          <w:szCs w:val="22"/>
        </w:rPr>
        <w:t xml:space="preserve"> </w:t>
      </w:r>
      <w:r w:rsidRPr="00D839EE">
        <w:rPr>
          <w:rFonts w:cs="Arial"/>
          <w:sz w:val="22"/>
          <w:szCs w:val="22"/>
        </w:rPr>
        <w:t>million undiscounted (</w:t>
      </w:r>
      <w:r w:rsidRPr="00D839EE" w:rsidR="00B91A63">
        <w:rPr>
          <w:rFonts w:cs="Arial"/>
          <w:sz w:val="22"/>
          <w:szCs w:val="22"/>
        </w:rPr>
        <w:t>$</w:t>
      </w:r>
      <w:r w:rsidR="00B91A63">
        <w:rPr>
          <w:rFonts w:cs="Arial"/>
          <w:sz w:val="22"/>
          <w:szCs w:val="22"/>
        </w:rPr>
        <w:t>5.2</w:t>
      </w:r>
      <w:r w:rsidRPr="00D839EE" w:rsidR="00B91A63">
        <w:rPr>
          <w:rFonts w:cs="Arial"/>
          <w:sz w:val="22"/>
          <w:szCs w:val="22"/>
        </w:rPr>
        <w:t xml:space="preserve"> million using a 3</w:t>
      </w:r>
      <w:r w:rsidR="00B116BC">
        <w:rPr>
          <w:rFonts w:cs="Arial"/>
          <w:sz w:val="22"/>
          <w:szCs w:val="22"/>
        </w:rPr>
        <w:t>-</w:t>
      </w:r>
      <w:r w:rsidRPr="00D839EE" w:rsidR="00B91A63">
        <w:rPr>
          <w:rFonts w:cs="Arial"/>
          <w:sz w:val="22"/>
          <w:szCs w:val="22"/>
        </w:rPr>
        <w:t xml:space="preserve">percent discount rate </w:t>
      </w:r>
      <w:r w:rsidR="00B91A63">
        <w:rPr>
          <w:rFonts w:cs="Arial"/>
          <w:sz w:val="22"/>
          <w:szCs w:val="22"/>
        </w:rPr>
        <w:t xml:space="preserve">or </w:t>
      </w:r>
      <w:r w:rsidRPr="00D839EE">
        <w:rPr>
          <w:rFonts w:cs="Arial"/>
          <w:sz w:val="22"/>
          <w:szCs w:val="22"/>
        </w:rPr>
        <w:t>$3.</w:t>
      </w:r>
      <w:r w:rsidR="009960DD">
        <w:rPr>
          <w:rFonts w:cs="Arial"/>
          <w:sz w:val="22"/>
          <w:szCs w:val="22"/>
        </w:rPr>
        <w:t>6</w:t>
      </w:r>
      <w:r w:rsidRPr="00D839EE">
        <w:rPr>
          <w:rFonts w:cs="Arial"/>
          <w:sz w:val="22"/>
          <w:szCs w:val="22"/>
        </w:rPr>
        <w:t> million using a 7</w:t>
      </w:r>
      <w:r w:rsidR="00B116BC">
        <w:rPr>
          <w:rFonts w:cs="Arial"/>
          <w:sz w:val="22"/>
          <w:szCs w:val="22"/>
        </w:rPr>
        <w:t>-</w:t>
      </w:r>
      <w:r w:rsidRPr="00D839EE">
        <w:rPr>
          <w:rFonts w:cs="Arial"/>
          <w:sz w:val="22"/>
          <w:szCs w:val="22"/>
        </w:rPr>
        <w:t>percent discount rate) over the 20-year analysis period.</w:t>
      </w:r>
    </w:p>
    <w:p w:rsidR="00F611EB" w:rsidRPr="00D839EE" w:rsidP="00FF7F8D" w14:paraId="7F493AAF" w14:textId="77777777">
      <w:pPr>
        <w:rPr>
          <w:rFonts w:cs="Arial"/>
          <w:sz w:val="22"/>
          <w:szCs w:val="22"/>
        </w:rPr>
      </w:pPr>
    </w:p>
    <w:p w:rsidR="00672B60" w:rsidP="00672B60" w14:paraId="7F493AB0" w14:textId="79781977">
      <w:pPr>
        <w:pStyle w:val="Caption"/>
        <w:keepNext/>
        <w:spacing w:after="0"/>
        <w:jc w:val="center"/>
        <w:rPr>
          <w:b/>
          <w:i w:val="0"/>
          <w:color w:val="auto"/>
          <w:sz w:val="22"/>
        </w:rPr>
      </w:pPr>
      <w:bookmarkStart w:id="331" w:name="_Ref534035736"/>
      <w:bookmarkStart w:id="332" w:name="_Toc9526477"/>
      <w:bookmarkStart w:id="333" w:name="_Toc536603426"/>
      <w:bookmarkStart w:id="334" w:name="_Toc534037070"/>
      <w:bookmarkStart w:id="335" w:name="_Toc534710013"/>
      <w:bookmarkStart w:id="336" w:name="_Toc534711698"/>
      <w:bookmarkStart w:id="337" w:name="_Toc534712131"/>
      <w:bookmarkStart w:id="338" w:name="_Toc534712708"/>
      <w:bookmarkStart w:id="339" w:name="_Toc534713217"/>
      <w:r w:rsidRPr="000F7FD1">
        <w:rPr>
          <w:b/>
          <w:i w:val="0"/>
          <w:color w:val="auto"/>
          <w:sz w:val="22"/>
        </w:rPr>
        <w:t>Exhibit 3</w:t>
      </w:r>
      <w:r w:rsidRPr="000F7FD1">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20</w:t>
      </w:r>
      <w:r w:rsidRPr="000F7FD1" w:rsidR="00C276FC">
        <w:rPr>
          <w:b/>
          <w:i w:val="0"/>
          <w:color w:val="auto"/>
          <w:sz w:val="22"/>
        </w:rPr>
        <w:fldChar w:fldCharType="end"/>
      </w:r>
      <w:bookmarkEnd w:id="331"/>
      <w:r w:rsidRPr="000F7FD1">
        <w:rPr>
          <w:b/>
          <w:i w:val="0"/>
          <w:color w:val="auto"/>
          <w:sz w:val="22"/>
        </w:rPr>
        <w:t>. Total Present Value Averted Operation Costs for</w:t>
      </w:r>
      <w:bookmarkEnd w:id="332"/>
      <w:bookmarkEnd w:id="333"/>
      <w:r w:rsidRPr="000F7FD1">
        <w:rPr>
          <w:b/>
          <w:i w:val="0"/>
          <w:color w:val="auto"/>
          <w:sz w:val="22"/>
        </w:rPr>
        <w:t xml:space="preserve"> </w:t>
      </w:r>
    </w:p>
    <w:p w:rsidR="00FF7F8D" w:rsidRPr="000F7FD1" w:rsidP="00672B60" w14:paraId="7F493AB1" w14:textId="77777777">
      <w:pPr>
        <w:pStyle w:val="Caption"/>
        <w:keepNext/>
        <w:spacing w:after="0"/>
        <w:jc w:val="center"/>
        <w:rPr>
          <w:b/>
          <w:color w:val="auto"/>
          <w:sz w:val="20"/>
        </w:rPr>
      </w:pPr>
      <w:r w:rsidRPr="000F7FD1">
        <w:rPr>
          <w:b/>
          <w:i w:val="0"/>
          <w:color w:val="auto"/>
          <w:sz w:val="22"/>
        </w:rPr>
        <w:t>Group 1 and Group 2 Affected Entities (</w:t>
      </w:r>
      <w:r w:rsidRPr="000F7FD1" w:rsidR="009170F7">
        <w:rPr>
          <w:b/>
          <w:i w:val="0"/>
          <w:color w:val="auto"/>
          <w:sz w:val="22"/>
        </w:rPr>
        <w:t>2020$</w:t>
      </w:r>
      <w:r w:rsidRPr="000F7FD1">
        <w:rPr>
          <w:b/>
          <w:i w:val="0"/>
          <w:color w:val="auto"/>
          <w:sz w:val="22"/>
        </w:rPr>
        <w:t>)</w:t>
      </w:r>
      <w:bookmarkEnd w:id="334"/>
      <w:bookmarkEnd w:id="335"/>
      <w:bookmarkEnd w:id="336"/>
      <w:bookmarkEnd w:id="337"/>
      <w:bookmarkEnd w:id="338"/>
      <w:bookmarkEnd w:id="339"/>
    </w:p>
    <w:tbl>
      <w:tblPr>
        <w:tblStyle w:val="TableGrid"/>
        <w:tblW w:w="9463" w:type="dxa"/>
        <w:jc w:val="center"/>
        <w:tblLayout w:type="fixed"/>
        <w:tblLook w:val="04A0"/>
      </w:tblPr>
      <w:tblGrid>
        <w:gridCol w:w="4495"/>
        <w:gridCol w:w="1148"/>
        <w:gridCol w:w="1162"/>
        <w:gridCol w:w="1329"/>
        <w:gridCol w:w="1329"/>
      </w:tblGrid>
      <w:tr w14:paraId="7F493AB7" w14:textId="77777777" w:rsidTr="00DB79AE">
        <w:tblPrEx>
          <w:tblW w:w="9463" w:type="dxa"/>
          <w:jc w:val="center"/>
          <w:tblLayout w:type="fixed"/>
          <w:tblLook w:val="04A0"/>
        </w:tblPrEx>
        <w:trPr>
          <w:trHeight w:val="260"/>
          <w:jc w:val="center"/>
        </w:trPr>
        <w:tc>
          <w:tcPr>
            <w:tcW w:w="4495" w:type="dxa"/>
            <w:tcBorders>
              <w:top w:val="single" w:sz="4" w:space="0" w:color="auto"/>
              <w:left w:val="single" w:sz="4" w:space="0" w:color="auto"/>
              <w:bottom w:val="single" w:sz="4" w:space="0" w:color="auto"/>
              <w:right w:val="single" w:sz="4" w:space="0" w:color="auto"/>
            </w:tcBorders>
            <w:noWrap/>
            <w:hideMark/>
          </w:tcPr>
          <w:p w:rsidR="00EB6D4D" w:rsidRPr="00256FFF" w:rsidP="00683B19" w14:paraId="7F493AB2" w14:textId="77777777">
            <w:pPr>
              <w:keepNext/>
              <w:jc w:val="center"/>
              <w:rPr>
                <w:b/>
              </w:rPr>
            </w:pPr>
            <w:r w:rsidRPr="00D839EE">
              <w:rPr>
                <w:rFonts w:cs="Arial"/>
                <w:b/>
              </w:rPr>
              <w:t> </w:t>
            </w:r>
            <w:r w:rsidRPr="00256FFF">
              <w:rPr>
                <w:b/>
              </w:rPr>
              <w:t> </w:t>
            </w:r>
            <w:r>
              <w:rPr>
                <w:b/>
              </w:rPr>
              <w:t>Component</w:t>
            </w:r>
          </w:p>
        </w:tc>
        <w:tc>
          <w:tcPr>
            <w:tcW w:w="1148" w:type="dxa"/>
            <w:tcBorders>
              <w:top w:val="single" w:sz="4" w:space="0" w:color="auto"/>
              <w:left w:val="single" w:sz="4" w:space="0" w:color="auto"/>
              <w:bottom w:val="single" w:sz="4" w:space="0" w:color="auto"/>
              <w:right w:val="single" w:sz="4" w:space="0" w:color="auto"/>
            </w:tcBorders>
          </w:tcPr>
          <w:p w:rsidR="00EB6D4D" w:rsidRPr="00256FFF" w:rsidP="00683B19" w14:paraId="7F493AB3" w14:textId="77777777">
            <w:pPr>
              <w:keepNext/>
              <w:jc w:val="center"/>
              <w:rPr>
                <w:b/>
              </w:rPr>
            </w:pPr>
            <w:r>
              <w:rPr>
                <w:b/>
              </w:rPr>
              <w:t>Identifier</w:t>
            </w:r>
          </w:p>
        </w:tc>
        <w:tc>
          <w:tcPr>
            <w:tcW w:w="1162" w:type="dxa"/>
            <w:tcBorders>
              <w:left w:val="single" w:sz="4" w:space="0" w:color="auto"/>
            </w:tcBorders>
            <w:noWrap/>
            <w:vAlign w:val="center"/>
            <w:hideMark/>
          </w:tcPr>
          <w:p w:rsidR="00EB6D4D" w:rsidRPr="00256FFF" w:rsidP="00683B19" w14:paraId="7F493AB4" w14:textId="77777777">
            <w:pPr>
              <w:keepNext/>
              <w:jc w:val="center"/>
              <w:rPr>
                <w:b/>
              </w:rPr>
            </w:pPr>
            <w:r w:rsidRPr="00D839EE">
              <w:rPr>
                <w:rFonts w:cs="Arial"/>
                <w:b/>
                <w:bCs/>
              </w:rPr>
              <w:t>Low</w:t>
            </w:r>
          </w:p>
        </w:tc>
        <w:tc>
          <w:tcPr>
            <w:tcW w:w="1329" w:type="dxa"/>
            <w:noWrap/>
            <w:vAlign w:val="center"/>
            <w:hideMark/>
          </w:tcPr>
          <w:p w:rsidR="00EB6D4D" w:rsidRPr="00256FFF" w:rsidP="00683B19" w14:paraId="7F493AB5" w14:textId="77777777">
            <w:pPr>
              <w:keepNext/>
              <w:jc w:val="center"/>
              <w:rPr>
                <w:b/>
              </w:rPr>
            </w:pPr>
            <w:r w:rsidRPr="00D839EE">
              <w:rPr>
                <w:rFonts w:cs="Arial"/>
                <w:b/>
                <w:bCs/>
              </w:rPr>
              <w:t>Medium</w:t>
            </w:r>
          </w:p>
        </w:tc>
        <w:tc>
          <w:tcPr>
            <w:tcW w:w="1329" w:type="dxa"/>
            <w:noWrap/>
            <w:vAlign w:val="center"/>
            <w:hideMark/>
          </w:tcPr>
          <w:p w:rsidR="00EB6D4D" w:rsidRPr="00256FFF" w:rsidP="00683B19" w14:paraId="7F493AB6" w14:textId="77777777">
            <w:pPr>
              <w:keepNext/>
              <w:jc w:val="center"/>
              <w:rPr>
                <w:b/>
              </w:rPr>
            </w:pPr>
            <w:r w:rsidRPr="00256FFF">
              <w:rPr>
                <w:b/>
              </w:rPr>
              <w:t>High</w:t>
            </w:r>
          </w:p>
        </w:tc>
      </w:tr>
      <w:tr w14:paraId="7F493ABD" w14:textId="77777777" w:rsidTr="00DB79AE">
        <w:tblPrEx>
          <w:tblW w:w="9463" w:type="dxa"/>
          <w:jc w:val="center"/>
          <w:tblLayout w:type="fixed"/>
          <w:tblLook w:val="04A0"/>
        </w:tblPrEx>
        <w:trPr>
          <w:trHeight w:val="188"/>
          <w:jc w:val="center"/>
        </w:trPr>
        <w:tc>
          <w:tcPr>
            <w:tcW w:w="4495" w:type="dxa"/>
            <w:tcBorders>
              <w:top w:val="single" w:sz="4" w:space="0" w:color="auto"/>
            </w:tcBorders>
            <w:noWrap/>
            <w:vAlign w:val="center"/>
            <w:hideMark/>
          </w:tcPr>
          <w:p w:rsidR="00FF7F8D" w:rsidRPr="00256FFF" w:rsidP="00683B19" w14:paraId="7F493AB8" w14:textId="77777777">
            <w:pPr>
              <w:keepNext/>
              <w:jc w:val="center"/>
              <w:rPr>
                <w:b/>
              </w:rPr>
            </w:pPr>
            <w:r w:rsidRPr="00256FFF">
              <w:rPr>
                <w:b/>
              </w:rPr>
              <w:t>NPUF Averted Operation Cost</w:t>
            </w:r>
          </w:p>
        </w:tc>
        <w:tc>
          <w:tcPr>
            <w:tcW w:w="1148" w:type="dxa"/>
            <w:tcBorders>
              <w:top w:val="single" w:sz="4" w:space="0" w:color="auto"/>
            </w:tcBorders>
            <w:noWrap/>
            <w:vAlign w:val="center"/>
            <w:hideMark/>
          </w:tcPr>
          <w:p w:rsidR="00FF7F8D" w:rsidRPr="00256FFF" w:rsidP="00683B19" w14:paraId="7F493AB9" w14:textId="77777777">
            <w:pPr>
              <w:keepNext/>
              <w:jc w:val="center"/>
              <w:rPr>
                <w:b/>
              </w:rPr>
            </w:pPr>
            <w:r w:rsidRPr="00256FFF">
              <w:rPr>
                <w:b/>
              </w:rPr>
              <w:t>A</w:t>
            </w:r>
          </w:p>
        </w:tc>
        <w:tc>
          <w:tcPr>
            <w:tcW w:w="1162" w:type="dxa"/>
            <w:noWrap/>
            <w:vAlign w:val="center"/>
            <w:hideMark/>
          </w:tcPr>
          <w:p w:rsidR="00FF7F8D" w:rsidRPr="00256FFF" w:rsidP="00683B19" w14:paraId="7F493ABA" w14:textId="77777777">
            <w:pPr>
              <w:keepNext/>
              <w:jc w:val="center"/>
            </w:pPr>
            <w:r w:rsidRPr="00454241">
              <w:t>$2</w:t>
            </w:r>
            <w:r w:rsidR="003E39F0">
              <w:t>1</w:t>
            </w:r>
            <w:r w:rsidRPr="00454241">
              <w:t>0,000</w:t>
            </w:r>
          </w:p>
        </w:tc>
        <w:tc>
          <w:tcPr>
            <w:tcW w:w="1329" w:type="dxa"/>
            <w:noWrap/>
            <w:vAlign w:val="center"/>
            <w:hideMark/>
          </w:tcPr>
          <w:p w:rsidR="00FF7F8D" w:rsidRPr="00256FFF" w:rsidP="00683B19" w14:paraId="7F493ABB" w14:textId="77777777">
            <w:pPr>
              <w:keepNext/>
              <w:jc w:val="center"/>
            </w:pPr>
            <w:r w:rsidRPr="00454241">
              <w:t>$2</w:t>
            </w:r>
            <w:r w:rsidR="00DC5268">
              <w:t>7</w:t>
            </w:r>
            <w:r w:rsidRPr="00454241">
              <w:t>0,000</w:t>
            </w:r>
          </w:p>
        </w:tc>
        <w:tc>
          <w:tcPr>
            <w:tcW w:w="1329" w:type="dxa"/>
            <w:noWrap/>
            <w:vAlign w:val="center"/>
            <w:hideMark/>
          </w:tcPr>
          <w:p w:rsidR="00FF7F8D" w:rsidRPr="00256FFF" w:rsidP="00683B19" w14:paraId="7F493ABC" w14:textId="77777777">
            <w:pPr>
              <w:keepNext/>
              <w:jc w:val="center"/>
            </w:pPr>
            <w:r w:rsidRPr="00454241">
              <w:t>$3</w:t>
            </w:r>
            <w:r w:rsidR="00DC5268">
              <w:t>4</w:t>
            </w:r>
            <w:r w:rsidRPr="00454241">
              <w:t>0,000</w:t>
            </w:r>
          </w:p>
        </w:tc>
      </w:tr>
      <w:tr w14:paraId="7F493AC3" w14:textId="77777777" w:rsidTr="00DB79AE">
        <w:tblPrEx>
          <w:tblW w:w="9463" w:type="dxa"/>
          <w:jc w:val="center"/>
          <w:tblLayout w:type="fixed"/>
          <w:tblLook w:val="04A0"/>
        </w:tblPrEx>
        <w:trPr>
          <w:trHeight w:val="134"/>
          <w:jc w:val="center"/>
        </w:trPr>
        <w:tc>
          <w:tcPr>
            <w:tcW w:w="4495" w:type="dxa"/>
            <w:noWrap/>
            <w:vAlign w:val="center"/>
            <w:hideMark/>
          </w:tcPr>
          <w:p w:rsidR="00FF7F8D" w:rsidRPr="00256FFF" w:rsidP="00683B19" w14:paraId="7F493ABE" w14:textId="77777777">
            <w:pPr>
              <w:keepNext/>
              <w:jc w:val="center"/>
              <w:rPr>
                <w:b/>
              </w:rPr>
            </w:pPr>
            <w:r w:rsidRPr="00256FFF">
              <w:rPr>
                <w:b/>
              </w:rPr>
              <w:t>Number of Licensees</w:t>
            </w:r>
            <w:r>
              <w:rPr>
                <w:b/>
              </w:rPr>
              <w:t>*</w:t>
            </w:r>
          </w:p>
        </w:tc>
        <w:tc>
          <w:tcPr>
            <w:tcW w:w="1148" w:type="dxa"/>
            <w:noWrap/>
            <w:vAlign w:val="center"/>
            <w:hideMark/>
          </w:tcPr>
          <w:p w:rsidR="00FF7F8D" w:rsidRPr="00256FFF" w:rsidP="00683B19" w14:paraId="7F493ABF" w14:textId="77777777">
            <w:pPr>
              <w:keepNext/>
              <w:jc w:val="center"/>
              <w:rPr>
                <w:b/>
              </w:rPr>
            </w:pPr>
            <w:r w:rsidRPr="00256FFF">
              <w:rPr>
                <w:b/>
              </w:rPr>
              <w:t>B</w:t>
            </w:r>
          </w:p>
        </w:tc>
        <w:tc>
          <w:tcPr>
            <w:tcW w:w="1162" w:type="dxa"/>
            <w:noWrap/>
            <w:vAlign w:val="center"/>
            <w:hideMark/>
          </w:tcPr>
          <w:p w:rsidR="00FF7F8D" w:rsidRPr="00256FFF" w:rsidP="00683B19" w14:paraId="7F493AC0" w14:textId="77777777">
            <w:pPr>
              <w:keepNext/>
              <w:jc w:val="center"/>
            </w:pPr>
            <w:r w:rsidRPr="00454241">
              <w:t>4</w:t>
            </w:r>
          </w:p>
        </w:tc>
        <w:tc>
          <w:tcPr>
            <w:tcW w:w="1329" w:type="dxa"/>
            <w:noWrap/>
            <w:vAlign w:val="center"/>
            <w:hideMark/>
          </w:tcPr>
          <w:p w:rsidR="00FF7F8D" w:rsidRPr="00256FFF" w:rsidP="00683B19" w14:paraId="7F493AC1" w14:textId="77777777">
            <w:pPr>
              <w:keepNext/>
              <w:jc w:val="center"/>
            </w:pPr>
            <w:r w:rsidRPr="00454241">
              <w:t>19</w:t>
            </w:r>
          </w:p>
        </w:tc>
        <w:tc>
          <w:tcPr>
            <w:tcW w:w="1329" w:type="dxa"/>
            <w:noWrap/>
            <w:vAlign w:val="center"/>
            <w:hideMark/>
          </w:tcPr>
          <w:p w:rsidR="00FF7F8D" w:rsidRPr="00256FFF" w:rsidP="00683B19" w14:paraId="7F493AC2" w14:textId="77777777">
            <w:pPr>
              <w:keepNext/>
              <w:jc w:val="center"/>
            </w:pPr>
            <w:r w:rsidRPr="00454241">
              <w:t>3</w:t>
            </w:r>
          </w:p>
        </w:tc>
      </w:tr>
      <w:tr w14:paraId="7F493AC9" w14:textId="77777777" w:rsidTr="00DB79AE">
        <w:tblPrEx>
          <w:tblW w:w="9463" w:type="dxa"/>
          <w:jc w:val="center"/>
          <w:tblLayout w:type="fixed"/>
          <w:tblLook w:val="04A0"/>
        </w:tblPrEx>
        <w:trPr>
          <w:trHeight w:val="431"/>
          <w:jc w:val="center"/>
        </w:trPr>
        <w:tc>
          <w:tcPr>
            <w:tcW w:w="4495" w:type="dxa"/>
            <w:noWrap/>
            <w:vAlign w:val="center"/>
            <w:hideMark/>
          </w:tcPr>
          <w:p w:rsidR="00FF7F8D" w:rsidRPr="00256FFF" w:rsidP="00683B19" w14:paraId="7F493AC4" w14:textId="77777777">
            <w:pPr>
              <w:keepNext/>
              <w:jc w:val="center"/>
              <w:rPr>
                <w:b/>
              </w:rPr>
            </w:pPr>
            <w:r w:rsidRPr="00256FFF">
              <w:rPr>
                <w:b/>
              </w:rPr>
              <w:t>Averted Operation</w:t>
            </w:r>
            <w:r>
              <w:rPr>
                <w:b/>
              </w:rPr>
              <w:t xml:space="preserve"> </w:t>
            </w:r>
            <w:r w:rsidRPr="00256FFF">
              <w:rPr>
                <w:b/>
              </w:rPr>
              <w:t>Cost per Category</w:t>
            </w:r>
          </w:p>
        </w:tc>
        <w:tc>
          <w:tcPr>
            <w:tcW w:w="1148" w:type="dxa"/>
            <w:noWrap/>
            <w:vAlign w:val="center"/>
            <w:hideMark/>
          </w:tcPr>
          <w:p w:rsidR="00FF7F8D" w:rsidRPr="00256FFF" w:rsidP="00683B19" w14:paraId="7F493AC5" w14:textId="77777777">
            <w:pPr>
              <w:keepNext/>
              <w:jc w:val="center"/>
              <w:rPr>
                <w:b/>
              </w:rPr>
            </w:pPr>
            <w:r w:rsidRPr="00256FFF">
              <w:rPr>
                <w:b/>
              </w:rPr>
              <w:t>C = A x B</w:t>
            </w:r>
          </w:p>
        </w:tc>
        <w:tc>
          <w:tcPr>
            <w:tcW w:w="1162" w:type="dxa"/>
            <w:noWrap/>
            <w:vAlign w:val="center"/>
            <w:hideMark/>
          </w:tcPr>
          <w:p w:rsidR="00FF7F8D" w:rsidRPr="00256FFF" w:rsidP="00683B19" w14:paraId="7F493AC6" w14:textId="77777777">
            <w:pPr>
              <w:keepNext/>
              <w:jc w:val="center"/>
            </w:pPr>
            <w:r w:rsidRPr="00454241">
              <w:t>$</w:t>
            </w:r>
            <w:r w:rsidR="00DC5268">
              <w:t>850</w:t>
            </w:r>
            <w:r w:rsidRPr="00454241">
              <w:t>,000</w:t>
            </w:r>
          </w:p>
        </w:tc>
        <w:tc>
          <w:tcPr>
            <w:tcW w:w="1329" w:type="dxa"/>
            <w:noWrap/>
            <w:vAlign w:val="center"/>
            <w:hideMark/>
          </w:tcPr>
          <w:p w:rsidR="00FF7F8D" w:rsidRPr="00256FFF" w:rsidP="00683B19" w14:paraId="7F493AC7" w14:textId="77777777">
            <w:pPr>
              <w:keepNext/>
              <w:jc w:val="center"/>
            </w:pPr>
            <w:r w:rsidRPr="00454241">
              <w:t>$</w:t>
            </w:r>
            <w:r w:rsidR="00D429D6">
              <w:t>5,100</w:t>
            </w:r>
            <w:r w:rsidRPr="00454241">
              <w:t>,000</w:t>
            </w:r>
          </w:p>
        </w:tc>
        <w:tc>
          <w:tcPr>
            <w:tcW w:w="1329" w:type="dxa"/>
            <w:noWrap/>
            <w:vAlign w:val="center"/>
            <w:hideMark/>
          </w:tcPr>
          <w:p w:rsidR="00FF7F8D" w:rsidRPr="00256FFF" w:rsidP="00683B19" w14:paraId="7F493AC8" w14:textId="77777777">
            <w:pPr>
              <w:keepNext/>
              <w:jc w:val="center"/>
            </w:pPr>
            <w:r w:rsidRPr="00454241">
              <w:t>$</w:t>
            </w:r>
            <w:r w:rsidR="00D429D6">
              <w:t>1,000</w:t>
            </w:r>
            <w:r w:rsidRPr="00454241">
              <w:t>,000</w:t>
            </w:r>
          </w:p>
        </w:tc>
      </w:tr>
      <w:tr w14:paraId="7F493ACD" w14:textId="77777777" w:rsidTr="00DB79AE">
        <w:tblPrEx>
          <w:tblW w:w="9463" w:type="dxa"/>
          <w:jc w:val="center"/>
          <w:tblLayout w:type="fixed"/>
          <w:tblLook w:val="04A0"/>
        </w:tblPrEx>
        <w:trPr>
          <w:trHeight w:val="314"/>
          <w:jc w:val="center"/>
        </w:trPr>
        <w:tc>
          <w:tcPr>
            <w:tcW w:w="4495" w:type="dxa"/>
            <w:noWrap/>
            <w:vAlign w:val="center"/>
            <w:hideMark/>
          </w:tcPr>
          <w:p w:rsidR="00FF7F8D" w:rsidRPr="00256FFF" w:rsidP="00683B19" w14:paraId="7F493ACA" w14:textId="77777777">
            <w:pPr>
              <w:keepNext/>
              <w:jc w:val="center"/>
              <w:rPr>
                <w:b/>
              </w:rPr>
            </w:pPr>
            <w:r w:rsidRPr="00256FFF">
              <w:rPr>
                <w:b/>
              </w:rPr>
              <w:t>Undiscounted Total Present Value Averted Operation Cost</w:t>
            </w:r>
            <w:r w:rsidR="00C06FA2">
              <w:rPr>
                <w:b/>
              </w:rPr>
              <w:t>**</w:t>
            </w:r>
          </w:p>
        </w:tc>
        <w:tc>
          <w:tcPr>
            <w:tcW w:w="1148" w:type="dxa"/>
            <w:noWrap/>
            <w:vAlign w:val="center"/>
            <w:hideMark/>
          </w:tcPr>
          <w:p w:rsidR="00FF7F8D" w:rsidRPr="00256FFF" w:rsidP="00683B19" w14:paraId="7F493ACB" w14:textId="77777777">
            <w:pPr>
              <w:keepNext/>
              <w:jc w:val="center"/>
              <w:rPr>
                <w:b/>
              </w:rPr>
            </w:pPr>
            <w:r w:rsidRPr="00256FFF">
              <w:rPr>
                <w:b/>
              </w:rPr>
              <w:t>D = ∑ (C)</w:t>
            </w:r>
          </w:p>
        </w:tc>
        <w:tc>
          <w:tcPr>
            <w:tcW w:w="3820" w:type="dxa"/>
            <w:gridSpan w:val="3"/>
            <w:noWrap/>
            <w:vAlign w:val="center"/>
            <w:hideMark/>
          </w:tcPr>
          <w:p w:rsidR="00FF7F8D" w:rsidRPr="00256FFF" w:rsidP="00683B19" w14:paraId="7F493ACC" w14:textId="77777777">
            <w:pPr>
              <w:keepNext/>
              <w:jc w:val="center"/>
            </w:pPr>
            <w:r w:rsidRPr="00256FFF">
              <w:t>$</w:t>
            </w:r>
            <w:r w:rsidR="00D429D6">
              <w:t>7,000</w:t>
            </w:r>
            <w:r>
              <w:t>,000</w:t>
            </w:r>
          </w:p>
        </w:tc>
      </w:tr>
      <w:tr w14:paraId="7F493AD1" w14:textId="77777777" w:rsidTr="00683B19">
        <w:tblPrEx>
          <w:tblW w:w="9463" w:type="dxa"/>
          <w:jc w:val="center"/>
          <w:tblLayout w:type="fixed"/>
          <w:tblLook w:val="04A0"/>
        </w:tblPrEx>
        <w:trPr>
          <w:trHeight w:val="296"/>
          <w:jc w:val="center"/>
        </w:trPr>
        <w:tc>
          <w:tcPr>
            <w:tcW w:w="5643" w:type="dxa"/>
            <w:gridSpan w:val="2"/>
            <w:noWrap/>
            <w:vAlign w:val="center"/>
            <w:hideMark/>
          </w:tcPr>
          <w:p w:rsidR="00FF7F8D" w:rsidP="00683B19" w14:paraId="7F493ACE" w14:textId="77777777">
            <w:pPr>
              <w:keepNext/>
              <w:jc w:val="center"/>
              <w:rPr>
                <w:b/>
              </w:rPr>
            </w:pPr>
            <w:r w:rsidRPr="00256FFF">
              <w:rPr>
                <w:b/>
              </w:rPr>
              <w:t xml:space="preserve">Total Present Value NPUF Averted Operation Cost </w:t>
            </w:r>
          </w:p>
          <w:p w:rsidR="00FF7F8D" w:rsidRPr="00256FFF" w:rsidP="00683B19" w14:paraId="7F493ACF" w14:textId="77777777">
            <w:pPr>
              <w:keepNext/>
              <w:jc w:val="center"/>
              <w:rPr>
                <w:b/>
              </w:rPr>
            </w:pPr>
            <w:r w:rsidRPr="00256FFF">
              <w:rPr>
                <w:b/>
              </w:rPr>
              <w:t>at 3% discounting</w:t>
            </w:r>
          </w:p>
        </w:tc>
        <w:tc>
          <w:tcPr>
            <w:tcW w:w="3820" w:type="dxa"/>
            <w:gridSpan w:val="3"/>
            <w:noWrap/>
            <w:vAlign w:val="center"/>
            <w:hideMark/>
          </w:tcPr>
          <w:p w:rsidR="00FF7F8D" w:rsidRPr="00256FFF" w:rsidP="00683B19" w14:paraId="7F493AD0" w14:textId="77777777">
            <w:pPr>
              <w:keepNext/>
              <w:jc w:val="center"/>
            </w:pPr>
            <w:r w:rsidRPr="00256FFF">
              <w:t>$</w:t>
            </w:r>
            <w:r w:rsidR="00AB79CC">
              <w:t>5,200</w:t>
            </w:r>
            <w:r>
              <w:t>,000</w:t>
            </w:r>
          </w:p>
        </w:tc>
      </w:tr>
      <w:tr w14:paraId="7F493AD5" w14:textId="77777777" w:rsidTr="00683B19">
        <w:tblPrEx>
          <w:tblW w:w="9463" w:type="dxa"/>
          <w:jc w:val="center"/>
          <w:tblLayout w:type="fixed"/>
          <w:tblLook w:val="04A0"/>
        </w:tblPrEx>
        <w:trPr>
          <w:trHeight w:val="368"/>
          <w:jc w:val="center"/>
        </w:trPr>
        <w:tc>
          <w:tcPr>
            <w:tcW w:w="5643" w:type="dxa"/>
            <w:gridSpan w:val="2"/>
            <w:noWrap/>
            <w:vAlign w:val="center"/>
            <w:hideMark/>
          </w:tcPr>
          <w:p w:rsidR="00FF7F8D" w:rsidP="00683B19" w14:paraId="7F493AD2" w14:textId="77777777">
            <w:pPr>
              <w:keepNext/>
              <w:jc w:val="center"/>
              <w:rPr>
                <w:b/>
              </w:rPr>
            </w:pPr>
            <w:r w:rsidRPr="00256FFF">
              <w:rPr>
                <w:b/>
              </w:rPr>
              <w:t xml:space="preserve">Total Present Value NPUF Averted Operation Cost </w:t>
            </w:r>
          </w:p>
          <w:p w:rsidR="00FF7F8D" w:rsidRPr="00256FFF" w:rsidP="00683B19" w14:paraId="7F493AD3" w14:textId="77777777">
            <w:pPr>
              <w:keepNext/>
              <w:jc w:val="center"/>
              <w:rPr>
                <w:b/>
              </w:rPr>
            </w:pPr>
            <w:r w:rsidRPr="00256FFF">
              <w:rPr>
                <w:b/>
              </w:rPr>
              <w:t>at 7% discounting</w:t>
            </w:r>
          </w:p>
        </w:tc>
        <w:tc>
          <w:tcPr>
            <w:tcW w:w="3820" w:type="dxa"/>
            <w:gridSpan w:val="3"/>
            <w:noWrap/>
            <w:vAlign w:val="center"/>
            <w:hideMark/>
          </w:tcPr>
          <w:p w:rsidR="00FF7F8D" w:rsidRPr="00256FFF" w:rsidP="00683B19" w14:paraId="7F493AD4" w14:textId="77777777">
            <w:pPr>
              <w:keepNext/>
              <w:jc w:val="center"/>
            </w:pPr>
            <w:r w:rsidRPr="00256FFF">
              <w:t>$</w:t>
            </w:r>
            <w:r w:rsidRPr="00D839EE">
              <w:rPr>
                <w:rFonts w:cs="Arial"/>
              </w:rPr>
              <w:t>3,</w:t>
            </w:r>
            <w:r w:rsidR="00AB79CC">
              <w:t>6</w:t>
            </w:r>
            <w:r>
              <w:t>00,000</w:t>
            </w:r>
          </w:p>
        </w:tc>
      </w:tr>
    </w:tbl>
    <w:p w:rsidR="00FF7F8D" w:rsidRPr="00D839EE" w:rsidP="00FF7F8D" w14:paraId="7F493AD6" w14:textId="019FB127">
      <w:pPr>
        <w:contextualSpacing/>
        <w:rPr>
          <w:rFonts w:cs="Arial"/>
          <w:sz w:val="18"/>
          <w:szCs w:val="18"/>
        </w:rPr>
      </w:pPr>
      <w:r>
        <w:rPr>
          <w:rFonts w:cs="Arial"/>
          <w:sz w:val="18"/>
          <w:szCs w:val="18"/>
        </w:rPr>
        <w:t xml:space="preserve">* </w:t>
      </w:r>
      <w:r w:rsidRPr="00C51CBD">
        <w:rPr>
          <w:rFonts w:cs="Arial"/>
          <w:sz w:val="18"/>
          <w:szCs w:val="18"/>
        </w:rPr>
        <w:t xml:space="preserve">The number of licensees differs </w:t>
      </w:r>
      <w:r w:rsidRPr="00A906BA">
        <w:rPr>
          <w:rFonts w:cs="Arial"/>
          <w:sz w:val="18"/>
          <w:szCs w:val="18"/>
        </w:rPr>
        <w:t xml:space="preserve">from </w:t>
      </w:r>
      <w:r w:rsidRPr="00D96410" w:rsidR="00EF7573">
        <w:rPr>
          <w:rFonts w:cs="Arial"/>
          <w:sz w:val="18"/>
          <w:szCs w:val="18"/>
        </w:rPr>
        <w:fldChar w:fldCharType="begin"/>
      </w:r>
      <w:r w:rsidRPr="00D96410" w:rsidR="00EF7573">
        <w:rPr>
          <w:rFonts w:cs="Arial"/>
          <w:sz w:val="18"/>
          <w:szCs w:val="18"/>
        </w:rPr>
        <w:instrText xml:space="preserve"> REF _Ref534710758 \h  \* MERGEFORMAT </w:instrText>
      </w:r>
      <w:r w:rsidRPr="00D96410" w:rsidR="00EF7573">
        <w:rPr>
          <w:rFonts w:cs="Arial"/>
          <w:sz w:val="18"/>
          <w:szCs w:val="18"/>
        </w:rPr>
        <w:fldChar w:fldCharType="separate"/>
      </w:r>
      <w:r w:rsidRPr="00977795" w:rsidR="00977795">
        <w:rPr>
          <w:sz w:val="18"/>
          <w:szCs w:val="18"/>
        </w:rPr>
        <w:t>Exhibit 3</w:t>
      </w:r>
      <w:r w:rsidRPr="00977795" w:rsidR="00977795">
        <w:rPr>
          <w:sz w:val="18"/>
          <w:szCs w:val="18"/>
        </w:rPr>
        <w:noBreakHyphen/>
        <w:t>1</w:t>
      </w:r>
      <w:r w:rsidRPr="00D96410" w:rsidR="00EF7573">
        <w:rPr>
          <w:rFonts w:cs="Arial"/>
          <w:sz w:val="18"/>
          <w:szCs w:val="18"/>
        </w:rPr>
        <w:fldChar w:fldCharType="end"/>
      </w:r>
      <w:r w:rsidR="00A906BA">
        <w:rPr>
          <w:rFonts w:cs="Arial"/>
          <w:sz w:val="18"/>
          <w:szCs w:val="18"/>
        </w:rPr>
        <w:t xml:space="preserve"> </w:t>
      </w:r>
      <w:r w:rsidRPr="00C51CBD">
        <w:rPr>
          <w:rFonts w:cs="Arial"/>
          <w:sz w:val="18"/>
          <w:szCs w:val="18"/>
        </w:rPr>
        <w:t xml:space="preserve">as </w:t>
      </w:r>
      <w:r w:rsidRPr="005F6062">
        <w:rPr>
          <w:rFonts w:cs="Arial"/>
          <w:sz w:val="18"/>
          <w:szCs w:val="18"/>
        </w:rPr>
        <w:t xml:space="preserve">NPUFs in Groups 3 </w:t>
      </w:r>
      <w:r>
        <w:rPr>
          <w:rFonts w:cs="Arial"/>
          <w:sz w:val="18"/>
          <w:szCs w:val="18"/>
        </w:rPr>
        <w:t>(</w:t>
      </w:r>
      <w:r w:rsidRPr="005F6062">
        <w:rPr>
          <w:rFonts w:cs="Arial"/>
          <w:sz w:val="18"/>
          <w:szCs w:val="18"/>
        </w:rPr>
        <w:t>Aerotest</w:t>
      </w:r>
      <w:r>
        <w:rPr>
          <w:rFonts w:cs="Arial"/>
          <w:sz w:val="18"/>
          <w:szCs w:val="18"/>
        </w:rPr>
        <w:t xml:space="preserve"> and</w:t>
      </w:r>
      <w:r w:rsidRPr="005F6062">
        <w:rPr>
          <w:rFonts w:cs="Arial"/>
          <w:sz w:val="18"/>
          <w:szCs w:val="18"/>
        </w:rPr>
        <w:t xml:space="preserve"> GE</w:t>
      </w:r>
      <w:r>
        <w:rPr>
          <w:rFonts w:cs="Arial"/>
          <w:sz w:val="18"/>
          <w:szCs w:val="18"/>
        </w:rPr>
        <w:t>-</w:t>
      </w:r>
      <w:r w:rsidRPr="005F6062">
        <w:rPr>
          <w:rFonts w:cs="Arial"/>
          <w:sz w:val="18"/>
          <w:szCs w:val="18"/>
        </w:rPr>
        <w:t>Hitachi (Medium Category)</w:t>
      </w:r>
      <w:r>
        <w:rPr>
          <w:rFonts w:cs="Arial"/>
          <w:sz w:val="18"/>
          <w:szCs w:val="18"/>
        </w:rPr>
        <w:t xml:space="preserve">; </w:t>
      </w:r>
      <w:r w:rsidRPr="00C51CBD">
        <w:rPr>
          <w:rFonts w:cs="Arial"/>
          <w:sz w:val="18"/>
          <w:szCs w:val="18"/>
        </w:rPr>
        <w:t>TAMU (A) (Low Category)</w:t>
      </w:r>
      <w:r>
        <w:rPr>
          <w:rFonts w:cs="Arial"/>
          <w:sz w:val="18"/>
          <w:szCs w:val="18"/>
        </w:rPr>
        <w:t>;</w:t>
      </w:r>
      <w:r w:rsidRPr="005F6062">
        <w:rPr>
          <w:rFonts w:cs="Arial"/>
          <w:sz w:val="18"/>
          <w:szCs w:val="18"/>
        </w:rPr>
        <w:t xml:space="preserve"> UC</w:t>
      </w:r>
      <w:r>
        <w:rPr>
          <w:rFonts w:cs="Arial"/>
          <w:sz w:val="18"/>
          <w:szCs w:val="18"/>
        </w:rPr>
        <w:t>/</w:t>
      </w:r>
      <w:r w:rsidRPr="005F6062">
        <w:rPr>
          <w:rFonts w:cs="Arial"/>
          <w:sz w:val="18"/>
          <w:szCs w:val="18"/>
        </w:rPr>
        <w:t>Davis (High Category)</w:t>
      </w:r>
      <w:r>
        <w:rPr>
          <w:rFonts w:cs="Arial"/>
          <w:sz w:val="18"/>
          <w:szCs w:val="18"/>
        </w:rPr>
        <w:t>); and</w:t>
      </w:r>
      <w:r w:rsidRPr="005F6062">
        <w:rPr>
          <w:rFonts w:cs="Arial"/>
          <w:sz w:val="18"/>
          <w:szCs w:val="18"/>
        </w:rPr>
        <w:t xml:space="preserve"> </w:t>
      </w:r>
      <w:r>
        <w:rPr>
          <w:rFonts w:cs="Arial"/>
          <w:sz w:val="18"/>
          <w:szCs w:val="18"/>
        </w:rPr>
        <w:t>4 (SHINE,</w:t>
      </w:r>
      <w:r w:rsidRPr="00C51CBD">
        <w:rPr>
          <w:rFonts w:cs="Arial"/>
          <w:sz w:val="18"/>
          <w:szCs w:val="18"/>
        </w:rPr>
        <w:t xml:space="preserve"> NWMI</w:t>
      </w:r>
      <w:r>
        <w:rPr>
          <w:rFonts w:cs="Arial"/>
          <w:sz w:val="18"/>
          <w:szCs w:val="18"/>
        </w:rPr>
        <w:t>, and NIST</w:t>
      </w:r>
      <w:r w:rsidRPr="00C51CBD">
        <w:rPr>
          <w:rFonts w:cs="Arial"/>
          <w:sz w:val="18"/>
          <w:szCs w:val="18"/>
        </w:rPr>
        <w:t xml:space="preserve"> </w:t>
      </w:r>
      <w:r w:rsidRPr="005F6062">
        <w:rPr>
          <w:rFonts w:cs="Arial"/>
          <w:sz w:val="18"/>
          <w:szCs w:val="18"/>
        </w:rPr>
        <w:t>(A</w:t>
      </w:r>
      <w:r w:rsidRPr="00C51CBD">
        <w:rPr>
          <w:rFonts w:cs="Arial"/>
          <w:sz w:val="18"/>
          <w:szCs w:val="18"/>
        </w:rPr>
        <w:t>ll Other NPUFs Category)</w:t>
      </w:r>
      <w:r>
        <w:rPr>
          <w:rFonts w:cs="Arial"/>
          <w:sz w:val="18"/>
          <w:szCs w:val="18"/>
        </w:rPr>
        <w:t>)</w:t>
      </w:r>
      <w:r w:rsidRPr="00C51CBD">
        <w:rPr>
          <w:rFonts w:cs="Arial"/>
          <w:sz w:val="18"/>
          <w:szCs w:val="18"/>
        </w:rPr>
        <w:t xml:space="preserve"> are assumed to not realize any averted costs.</w:t>
      </w:r>
    </w:p>
    <w:p w:rsidR="00FF7F8D" w:rsidRPr="00D839EE" w:rsidP="00FF7F8D" w14:paraId="7F493AD7" w14:textId="77777777">
      <w:pPr>
        <w:contextualSpacing/>
        <w:rPr>
          <w:rFonts w:cs="Arial"/>
          <w:sz w:val="18"/>
          <w:szCs w:val="18"/>
        </w:rPr>
      </w:pPr>
      <w:r>
        <w:rPr>
          <w:rFonts w:cs="Arial"/>
          <w:sz w:val="18"/>
          <w:szCs w:val="18"/>
        </w:rPr>
        <w:t>**</w:t>
      </w:r>
      <w:r w:rsidRPr="00D839EE">
        <w:rPr>
          <w:rFonts w:cs="Arial"/>
          <w:sz w:val="18"/>
          <w:szCs w:val="18"/>
        </w:rPr>
        <w:t xml:space="preserve">Totals may not </w:t>
      </w:r>
      <w:r>
        <w:rPr>
          <w:rFonts w:cs="Arial"/>
          <w:sz w:val="18"/>
          <w:szCs w:val="18"/>
        </w:rPr>
        <w:t>match</w:t>
      </w:r>
      <w:r w:rsidRPr="00D839EE">
        <w:rPr>
          <w:rFonts w:cs="Arial"/>
          <w:sz w:val="18"/>
          <w:szCs w:val="18"/>
        </w:rPr>
        <w:t xml:space="preserve"> due to rounding.</w:t>
      </w:r>
    </w:p>
    <w:p w:rsidR="00FF7F8D" w:rsidRPr="00C05787" w:rsidP="00FF7F8D" w14:paraId="7F493AD8" w14:textId="77777777">
      <w:pPr>
        <w:contextualSpacing/>
        <w:rPr>
          <w:rFonts w:cs="Arial"/>
          <w:sz w:val="22"/>
          <w:szCs w:val="22"/>
        </w:rPr>
      </w:pPr>
    </w:p>
    <w:p w:rsidR="00FF7F8D" w:rsidRPr="00D839EE" w:rsidP="00FF7F8D" w14:paraId="7F493AD9" w14:textId="652895A4">
      <w:pPr>
        <w:rPr>
          <w:rFonts w:cs="Arial"/>
          <w:sz w:val="22"/>
          <w:szCs w:val="22"/>
        </w:rPr>
      </w:pPr>
      <w:r w:rsidRPr="00D839EE">
        <w:rPr>
          <w:rFonts w:cs="Arial"/>
          <w:sz w:val="22"/>
          <w:szCs w:val="22"/>
        </w:rPr>
        <w:t>The averted operation costs realized by the NRC are presented i</w:t>
      </w:r>
      <w:r w:rsidRPr="00A906BA">
        <w:rPr>
          <w:rFonts w:cs="Arial"/>
          <w:sz w:val="22"/>
          <w:szCs w:val="22"/>
        </w:rPr>
        <w:t xml:space="preserve">n </w:t>
      </w:r>
      <w:r w:rsidRPr="00CF41A7" w:rsidR="00A906BA">
        <w:rPr>
          <w:rFonts w:cs="Arial"/>
          <w:sz w:val="22"/>
          <w:szCs w:val="22"/>
        </w:rPr>
        <w:fldChar w:fldCharType="begin"/>
      </w:r>
      <w:r w:rsidRPr="00CF41A7" w:rsidR="00A906BA">
        <w:rPr>
          <w:rFonts w:cs="Arial"/>
          <w:sz w:val="22"/>
          <w:szCs w:val="22"/>
        </w:rPr>
        <w:instrText xml:space="preserve"> REF _Ref534035788 \h </w:instrText>
      </w:r>
      <w:r w:rsidRPr="00B45BB6" w:rsidR="00A906BA">
        <w:rPr>
          <w:rFonts w:cs="Arial"/>
          <w:sz w:val="22"/>
          <w:szCs w:val="22"/>
        </w:rPr>
        <w:instrText xml:space="preserve"> \* MERGEFORMAT </w:instrText>
      </w:r>
      <w:r w:rsidRPr="00CF41A7" w:rsidR="00A906BA">
        <w:rPr>
          <w:rFonts w:cs="Arial"/>
          <w:sz w:val="22"/>
          <w:szCs w:val="22"/>
        </w:rPr>
        <w:fldChar w:fldCharType="separate"/>
      </w:r>
      <w:r w:rsidRPr="00977795" w:rsidR="00977795">
        <w:rPr>
          <w:sz w:val="22"/>
          <w:szCs w:val="22"/>
        </w:rPr>
        <w:t>Exhibit 3</w:t>
      </w:r>
      <w:r w:rsidRPr="00977795" w:rsidR="00977795">
        <w:rPr>
          <w:sz w:val="22"/>
          <w:szCs w:val="22"/>
        </w:rPr>
        <w:noBreakHyphen/>
        <w:t>21</w:t>
      </w:r>
      <w:r w:rsidRPr="00CF41A7" w:rsidR="00A906BA">
        <w:rPr>
          <w:rFonts w:cs="Arial"/>
          <w:sz w:val="22"/>
          <w:szCs w:val="22"/>
        </w:rPr>
        <w:fldChar w:fldCharType="end"/>
      </w:r>
      <w:r w:rsidRPr="00D839EE">
        <w:rPr>
          <w:rFonts w:cs="Arial"/>
          <w:sz w:val="22"/>
          <w:szCs w:val="22"/>
        </w:rPr>
        <w:t xml:space="preserve">.  These averted operation costs </w:t>
      </w:r>
      <w:r w:rsidR="003F4B9F">
        <w:rPr>
          <w:rFonts w:cs="Arial"/>
          <w:sz w:val="22"/>
          <w:szCs w:val="22"/>
        </w:rPr>
        <w:t>result</w:t>
      </w:r>
      <w:r w:rsidRPr="00D839EE" w:rsidR="003F4B9F">
        <w:rPr>
          <w:rFonts w:cs="Arial"/>
          <w:sz w:val="22"/>
          <w:szCs w:val="22"/>
        </w:rPr>
        <w:t xml:space="preserve"> </w:t>
      </w:r>
      <w:r w:rsidRPr="00D839EE">
        <w:rPr>
          <w:rFonts w:cs="Arial"/>
          <w:sz w:val="22"/>
          <w:szCs w:val="22"/>
        </w:rPr>
        <w:t xml:space="preserve">from </w:t>
      </w:r>
      <w:r w:rsidR="003F4B9F">
        <w:rPr>
          <w:rFonts w:cs="Arial"/>
          <w:sz w:val="22"/>
          <w:szCs w:val="22"/>
        </w:rPr>
        <w:t>fewer license renewal application reviews</w:t>
      </w:r>
      <w:r w:rsidRPr="00D839EE">
        <w:rPr>
          <w:rFonts w:cs="Arial"/>
          <w:sz w:val="22"/>
          <w:szCs w:val="22"/>
        </w:rPr>
        <w:t>.</w:t>
      </w:r>
      <w:r w:rsidR="00501E9D">
        <w:rPr>
          <w:rFonts w:cs="Arial"/>
          <w:sz w:val="22"/>
          <w:szCs w:val="22"/>
        </w:rPr>
        <w:t xml:space="preserve">  To estimate </w:t>
      </w:r>
      <w:r w:rsidRPr="00501E9D" w:rsidR="00501E9D">
        <w:rPr>
          <w:rFonts w:cs="Arial"/>
          <w:sz w:val="22"/>
          <w:szCs w:val="22"/>
        </w:rPr>
        <w:t xml:space="preserve">these averted costs, the NRC used </w:t>
      </w:r>
      <w:r w:rsidR="003F4B9F">
        <w:rPr>
          <w:rFonts w:cs="Arial"/>
          <w:sz w:val="22"/>
          <w:szCs w:val="22"/>
        </w:rPr>
        <w:t>historical cost</w:t>
      </w:r>
      <w:r w:rsidRPr="00501E9D" w:rsidR="00501E9D">
        <w:rPr>
          <w:rFonts w:cs="Arial"/>
          <w:sz w:val="22"/>
          <w:szCs w:val="22"/>
        </w:rPr>
        <w:t xml:space="preserve"> data for </w:t>
      </w:r>
      <w:r w:rsidR="003F4B9F">
        <w:rPr>
          <w:rFonts w:cs="Arial"/>
          <w:sz w:val="22"/>
          <w:szCs w:val="22"/>
        </w:rPr>
        <w:t xml:space="preserve">representative license renewal application review efforts (i.e., </w:t>
      </w:r>
      <w:r w:rsidRPr="00501E9D" w:rsidR="00501E9D">
        <w:rPr>
          <w:rFonts w:cs="Arial"/>
          <w:sz w:val="22"/>
          <w:szCs w:val="22"/>
        </w:rPr>
        <w:t>Purdue</w:t>
      </w:r>
      <w:r w:rsidR="00501E9D">
        <w:rPr>
          <w:rFonts w:cs="Arial"/>
          <w:sz w:val="22"/>
          <w:szCs w:val="22"/>
        </w:rPr>
        <w:t xml:space="preserve"> University</w:t>
      </w:r>
      <w:r w:rsidRPr="00501E9D" w:rsidR="00501E9D">
        <w:rPr>
          <w:rFonts w:cs="Arial"/>
          <w:sz w:val="22"/>
          <w:szCs w:val="22"/>
        </w:rPr>
        <w:t>, Dow Chemical</w:t>
      </w:r>
      <w:r w:rsidR="00501E9D">
        <w:rPr>
          <w:rFonts w:cs="Arial"/>
          <w:sz w:val="22"/>
          <w:szCs w:val="22"/>
        </w:rPr>
        <w:t xml:space="preserve"> Company</w:t>
      </w:r>
      <w:r w:rsidRPr="00501E9D" w:rsidR="00501E9D">
        <w:rPr>
          <w:rFonts w:cs="Arial"/>
          <w:sz w:val="22"/>
          <w:szCs w:val="22"/>
        </w:rPr>
        <w:t>, and Rhode Island Atomic Energy Commission</w:t>
      </w:r>
      <w:r w:rsidR="003F4B9F">
        <w:rPr>
          <w:rFonts w:cs="Arial"/>
          <w:sz w:val="22"/>
          <w:szCs w:val="22"/>
        </w:rPr>
        <w:t>).</w:t>
      </w:r>
    </w:p>
    <w:p w:rsidR="008703D6" w:rsidRPr="00D839EE" w:rsidP="00BF5AC4" w14:paraId="7F493ADA" w14:textId="77777777">
      <w:pPr>
        <w:rPr>
          <w:rFonts w:cs="Arial"/>
          <w:sz w:val="22"/>
          <w:szCs w:val="22"/>
        </w:rPr>
      </w:pPr>
    </w:p>
    <w:p w:rsidR="00FF7F8D" w:rsidRPr="00D839EE" w:rsidP="00FF7F8D" w14:paraId="7F493ADB" w14:textId="77777777">
      <w:pPr>
        <w:rPr>
          <w:rFonts w:cs="Arial"/>
          <w:sz w:val="22"/>
          <w:szCs w:val="22"/>
        </w:rPr>
      </w:pPr>
      <w:r w:rsidRPr="00D839EE">
        <w:rPr>
          <w:rFonts w:cs="Arial"/>
          <w:sz w:val="22"/>
          <w:szCs w:val="22"/>
        </w:rPr>
        <w:t>The NRC estimates that the final rule will result in total averted costs to the agency of $</w:t>
      </w:r>
      <w:r>
        <w:rPr>
          <w:rFonts w:cs="Arial"/>
          <w:sz w:val="22"/>
          <w:szCs w:val="22"/>
        </w:rPr>
        <w:t>1</w:t>
      </w:r>
      <w:r w:rsidR="00AC1904">
        <w:rPr>
          <w:rFonts w:cs="Arial"/>
          <w:sz w:val="22"/>
          <w:szCs w:val="22"/>
        </w:rPr>
        <w:t>2</w:t>
      </w:r>
      <w:r w:rsidRPr="00D839EE">
        <w:rPr>
          <w:rFonts w:cs="Arial"/>
          <w:sz w:val="22"/>
          <w:szCs w:val="22"/>
        </w:rPr>
        <w:t xml:space="preserve"> million undiscounted (</w:t>
      </w:r>
      <w:r w:rsidRPr="00D839EE" w:rsidR="00B91A63">
        <w:rPr>
          <w:rFonts w:cs="Arial"/>
          <w:sz w:val="22"/>
          <w:szCs w:val="22"/>
        </w:rPr>
        <w:t>$</w:t>
      </w:r>
      <w:r w:rsidR="00B91A63">
        <w:rPr>
          <w:rFonts w:cs="Arial"/>
          <w:sz w:val="22"/>
          <w:szCs w:val="22"/>
        </w:rPr>
        <w:t xml:space="preserve">9.2 </w:t>
      </w:r>
      <w:r w:rsidRPr="00D839EE" w:rsidR="00B91A63">
        <w:rPr>
          <w:rFonts w:cs="Arial"/>
          <w:sz w:val="22"/>
          <w:szCs w:val="22"/>
        </w:rPr>
        <w:t>million using a 3</w:t>
      </w:r>
      <w:r w:rsidR="00B116BC">
        <w:rPr>
          <w:rFonts w:cs="Arial"/>
          <w:sz w:val="22"/>
          <w:szCs w:val="22"/>
        </w:rPr>
        <w:t>-</w:t>
      </w:r>
      <w:r w:rsidRPr="00D839EE" w:rsidR="00B91A63">
        <w:rPr>
          <w:rFonts w:cs="Arial"/>
          <w:sz w:val="22"/>
          <w:szCs w:val="22"/>
        </w:rPr>
        <w:t xml:space="preserve">percent discount rate </w:t>
      </w:r>
      <w:r w:rsidR="00B91A63">
        <w:rPr>
          <w:rFonts w:cs="Arial"/>
          <w:sz w:val="22"/>
          <w:szCs w:val="22"/>
        </w:rPr>
        <w:t xml:space="preserve">or </w:t>
      </w:r>
      <w:r w:rsidRPr="00D839EE">
        <w:rPr>
          <w:rFonts w:cs="Arial"/>
          <w:sz w:val="22"/>
          <w:szCs w:val="22"/>
        </w:rPr>
        <w:t>$</w:t>
      </w:r>
      <w:r w:rsidR="002C7426">
        <w:rPr>
          <w:rFonts w:cs="Arial"/>
          <w:sz w:val="22"/>
          <w:szCs w:val="22"/>
        </w:rPr>
        <w:t>6.4</w:t>
      </w:r>
      <w:r>
        <w:rPr>
          <w:rFonts w:cs="Arial"/>
          <w:sz w:val="22"/>
          <w:szCs w:val="22"/>
        </w:rPr>
        <w:t xml:space="preserve"> </w:t>
      </w:r>
      <w:r w:rsidRPr="00D839EE">
        <w:rPr>
          <w:rFonts w:cs="Arial"/>
          <w:sz w:val="22"/>
          <w:szCs w:val="22"/>
        </w:rPr>
        <w:t>million using a 7</w:t>
      </w:r>
      <w:r w:rsidR="00B116BC">
        <w:rPr>
          <w:rFonts w:cs="Arial"/>
          <w:sz w:val="22"/>
          <w:szCs w:val="22"/>
        </w:rPr>
        <w:noBreakHyphen/>
      </w:r>
      <w:r w:rsidRPr="00D839EE">
        <w:rPr>
          <w:rFonts w:cs="Arial"/>
          <w:sz w:val="22"/>
          <w:szCs w:val="22"/>
        </w:rPr>
        <w:t>percent discount rate) over the 20-year analysis period.</w:t>
      </w:r>
    </w:p>
    <w:p w:rsidR="00FF7F8D" w:rsidRPr="00D839EE" w:rsidP="00FF7F8D" w14:paraId="7F493ADC" w14:textId="77777777">
      <w:pPr>
        <w:contextualSpacing/>
        <w:rPr>
          <w:rFonts w:cs="Arial"/>
          <w:sz w:val="22"/>
          <w:szCs w:val="22"/>
        </w:rPr>
      </w:pPr>
    </w:p>
    <w:p w:rsidR="00FF7F8D" w:rsidRPr="000F7FD1" w:rsidP="00672B60" w14:paraId="7F493ADD" w14:textId="2A0786B5">
      <w:pPr>
        <w:pStyle w:val="Caption"/>
        <w:keepNext/>
        <w:spacing w:after="0"/>
        <w:jc w:val="center"/>
        <w:rPr>
          <w:b/>
          <w:color w:val="auto"/>
          <w:sz w:val="20"/>
        </w:rPr>
      </w:pPr>
      <w:bookmarkStart w:id="340" w:name="_Ref534035788"/>
      <w:bookmarkStart w:id="341" w:name="_Toc534037071"/>
      <w:bookmarkStart w:id="342" w:name="_Toc534710014"/>
      <w:bookmarkStart w:id="343" w:name="_Toc534711699"/>
      <w:bookmarkStart w:id="344" w:name="_Toc534712132"/>
      <w:bookmarkStart w:id="345" w:name="_Toc534712709"/>
      <w:bookmarkStart w:id="346" w:name="_Toc534713218"/>
      <w:bookmarkStart w:id="347" w:name="_Toc9526478"/>
      <w:bookmarkStart w:id="348" w:name="_Toc536603427"/>
      <w:r w:rsidRPr="000F7FD1">
        <w:rPr>
          <w:b/>
          <w:i w:val="0"/>
          <w:color w:val="auto"/>
          <w:sz w:val="22"/>
        </w:rPr>
        <w:t>Exhibit 3</w:t>
      </w:r>
      <w:r w:rsidRPr="000F7FD1">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21</w:t>
      </w:r>
      <w:r w:rsidRPr="000F7FD1" w:rsidR="00C276FC">
        <w:rPr>
          <w:b/>
          <w:i w:val="0"/>
          <w:color w:val="auto"/>
          <w:sz w:val="22"/>
        </w:rPr>
        <w:fldChar w:fldCharType="end"/>
      </w:r>
      <w:bookmarkEnd w:id="340"/>
      <w:r w:rsidRPr="000F7FD1">
        <w:rPr>
          <w:b/>
          <w:i w:val="0"/>
          <w:color w:val="auto"/>
          <w:sz w:val="22"/>
        </w:rPr>
        <w:t>. Present Value Averted Operation Costs for NRC (</w:t>
      </w:r>
      <w:r w:rsidRPr="000F7FD1" w:rsidR="009170F7">
        <w:rPr>
          <w:b/>
          <w:i w:val="0"/>
          <w:color w:val="auto"/>
          <w:sz w:val="22"/>
        </w:rPr>
        <w:t>2020$</w:t>
      </w:r>
      <w:r w:rsidRPr="000F7FD1">
        <w:rPr>
          <w:b/>
          <w:i w:val="0"/>
          <w:color w:val="auto"/>
          <w:sz w:val="22"/>
        </w:rPr>
        <w:t>)</w:t>
      </w:r>
      <w:bookmarkEnd w:id="341"/>
      <w:bookmarkEnd w:id="342"/>
      <w:bookmarkEnd w:id="343"/>
      <w:bookmarkEnd w:id="344"/>
      <w:bookmarkEnd w:id="345"/>
      <w:bookmarkEnd w:id="346"/>
      <w:bookmarkEnd w:id="347"/>
      <w:bookmarkEnd w:id="348"/>
    </w:p>
    <w:tbl>
      <w:tblPr>
        <w:tblStyle w:val="TableGrid"/>
        <w:tblW w:w="9463" w:type="dxa"/>
        <w:jc w:val="center"/>
        <w:tblLook w:val="04A0"/>
      </w:tblPr>
      <w:tblGrid>
        <w:gridCol w:w="4430"/>
        <w:gridCol w:w="1158"/>
        <w:gridCol w:w="1217"/>
        <w:gridCol w:w="1329"/>
        <w:gridCol w:w="1329"/>
      </w:tblGrid>
      <w:tr w14:paraId="7F493AE3" w14:textId="77777777" w:rsidTr="001F3201">
        <w:tblPrEx>
          <w:tblW w:w="9463" w:type="dxa"/>
          <w:jc w:val="center"/>
          <w:tblLook w:val="04A0"/>
        </w:tblPrEx>
        <w:trPr>
          <w:trHeight w:val="293"/>
          <w:jc w:val="center"/>
        </w:trPr>
        <w:tc>
          <w:tcPr>
            <w:tcW w:w="4430" w:type="dxa"/>
            <w:noWrap/>
            <w:hideMark/>
          </w:tcPr>
          <w:p w:rsidR="00EB6D4D" w:rsidRPr="00DB79AE" w:rsidP="00683B19" w14:paraId="7F493ADE" w14:textId="77777777">
            <w:pPr>
              <w:keepNext/>
              <w:jc w:val="center"/>
              <w:rPr>
                <w:b/>
              </w:rPr>
            </w:pPr>
            <w:r w:rsidRPr="00DB79AE">
              <w:rPr>
                <w:b/>
              </w:rPr>
              <w:t>Component</w:t>
            </w:r>
          </w:p>
        </w:tc>
        <w:tc>
          <w:tcPr>
            <w:tcW w:w="1158" w:type="dxa"/>
          </w:tcPr>
          <w:p w:rsidR="00EB6D4D" w:rsidRPr="00DB79AE" w:rsidP="00683B19" w14:paraId="7F493ADF" w14:textId="77777777">
            <w:pPr>
              <w:keepNext/>
              <w:jc w:val="center"/>
              <w:rPr>
                <w:b/>
              </w:rPr>
            </w:pPr>
            <w:r w:rsidRPr="00DB79AE">
              <w:rPr>
                <w:b/>
              </w:rPr>
              <w:t>Identifier</w:t>
            </w:r>
          </w:p>
        </w:tc>
        <w:tc>
          <w:tcPr>
            <w:tcW w:w="1217" w:type="dxa"/>
            <w:noWrap/>
            <w:hideMark/>
          </w:tcPr>
          <w:p w:rsidR="00EB6D4D" w:rsidRPr="0016500B" w:rsidP="00683B19" w14:paraId="7F493AE0" w14:textId="77777777">
            <w:pPr>
              <w:keepNext/>
              <w:jc w:val="center"/>
              <w:rPr>
                <w:b/>
                <w:bCs/>
              </w:rPr>
            </w:pPr>
            <w:r w:rsidRPr="0016500B">
              <w:rPr>
                <w:b/>
                <w:bCs/>
              </w:rPr>
              <w:t>Low</w:t>
            </w:r>
          </w:p>
        </w:tc>
        <w:tc>
          <w:tcPr>
            <w:tcW w:w="1329" w:type="dxa"/>
            <w:noWrap/>
            <w:hideMark/>
          </w:tcPr>
          <w:p w:rsidR="00EB6D4D" w:rsidRPr="0016500B" w:rsidP="00683B19" w14:paraId="7F493AE1" w14:textId="77777777">
            <w:pPr>
              <w:keepNext/>
              <w:jc w:val="center"/>
              <w:rPr>
                <w:b/>
                <w:bCs/>
              </w:rPr>
            </w:pPr>
            <w:r w:rsidRPr="0016500B">
              <w:rPr>
                <w:b/>
                <w:bCs/>
              </w:rPr>
              <w:t>Medium</w:t>
            </w:r>
          </w:p>
        </w:tc>
        <w:tc>
          <w:tcPr>
            <w:tcW w:w="1329" w:type="dxa"/>
            <w:noWrap/>
            <w:hideMark/>
          </w:tcPr>
          <w:p w:rsidR="00EB6D4D" w:rsidRPr="0016500B" w:rsidP="00683B19" w14:paraId="7F493AE2" w14:textId="77777777">
            <w:pPr>
              <w:keepNext/>
              <w:jc w:val="center"/>
              <w:rPr>
                <w:b/>
                <w:bCs/>
              </w:rPr>
            </w:pPr>
            <w:r w:rsidRPr="0016500B">
              <w:rPr>
                <w:b/>
                <w:bCs/>
              </w:rPr>
              <w:t>High</w:t>
            </w:r>
          </w:p>
        </w:tc>
      </w:tr>
      <w:tr w14:paraId="7F493AE9" w14:textId="77777777" w:rsidTr="001F3201">
        <w:tblPrEx>
          <w:tblW w:w="9463" w:type="dxa"/>
          <w:jc w:val="center"/>
          <w:tblLook w:val="04A0"/>
        </w:tblPrEx>
        <w:trPr>
          <w:trHeight w:val="293"/>
          <w:jc w:val="center"/>
        </w:trPr>
        <w:tc>
          <w:tcPr>
            <w:tcW w:w="4430" w:type="dxa"/>
            <w:noWrap/>
          </w:tcPr>
          <w:p w:rsidR="00430FF4" w:rsidRPr="0016500B" w:rsidP="00683B19" w14:paraId="7F493AE4" w14:textId="77777777">
            <w:pPr>
              <w:pStyle w:val="Heading7"/>
            </w:pPr>
            <w:r w:rsidRPr="0016500B">
              <w:t>NRC Averted Operation Costs</w:t>
            </w:r>
            <w:r w:rsidR="007B40CC">
              <w:t xml:space="preserve"> Per NPUF</w:t>
            </w:r>
          </w:p>
        </w:tc>
        <w:tc>
          <w:tcPr>
            <w:tcW w:w="1158" w:type="dxa"/>
            <w:noWrap/>
            <w:vAlign w:val="center"/>
          </w:tcPr>
          <w:p w:rsidR="00430FF4" w:rsidRPr="0016500B" w:rsidP="00683B19" w14:paraId="7F493AE5" w14:textId="77777777">
            <w:pPr>
              <w:keepNext/>
              <w:jc w:val="center"/>
              <w:rPr>
                <w:b/>
                <w:bCs/>
              </w:rPr>
            </w:pPr>
            <w:r w:rsidRPr="0016500B">
              <w:rPr>
                <w:b/>
                <w:bCs/>
              </w:rPr>
              <w:t>A</w:t>
            </w:r>
          </w:p>
        </w:tc>
        <w:tc>
          <w:tcPr>
            <w:tcW w:w="1217" w:type="dxa"/>
            <w:noWrap/>
            <w:vAlign w:val="center"/>
          </w:tcPr>
          <w:p w:rsidR="00430FF4" w:rsidRPr="0016500B" w:rsidP="00683B19" w14:paraId="7F493AE6" w14:textId="77777777">
            <w:pPr>
              <w:keepNext/>
              <w:jc w:val="center"/>
            </w:pPr>
            <w:r>
              <w:t>$350,000</w:t>
            </w:r>
          </w:p>
        </w:tc>
        <w:tc>
          <w:tcPr>
            <w:tcW w:w="1329" w:type="dxa"/>
            <w:noWrap/>
            <w:vAlign w:val="center"/>
          </w:tcPr>
          <w:p w:rsidR="00430FF4" w:rsidRPr="0016500B" w:rsidP="00683B19" w14:paraId="7F493AE7" w14:textId="77777777">
            <w:pPr>
              <w:keepNext/>
              <w:jc w:val="center"/>
            </w:pPr>
            <w:r>
              <w:t>$470,000</w:t>
            </w:r>
          </w:p>
        </w:tc>
        <w:tc>
          <w:tcPr>
            <w:tcW w:w="1329" w:type="dxa"/>
            <w:noWrap/>
            <w:vAlign w:val="center"/>
          </w:tcPr>
          <w:p w:rsidR="00430FF4" w:rsidRPr="0016500B" w:rsidP="00683B19" w14:paraId="7F493AE8" w14:textId="77777777">
            <w:pPr>
              <w:keepNext/>
              <w:jc w:val="center"/>
            </w:pPr>
            <w:r>
              <w:t>$670,000</w:t>
            </w:r>
          </w:p>
        </w:tc>
      </w:tr>
      <w:tr w14:paraId="7F493AEF" w14:textId="77777777" w:rsidTr="001F3201">
        <w:tblPrEx>
          <w:tblW w:w="9463" w:type="dxa"/>
          <w:jc w:val="center"/>
          <w:tblLook w:val="04A0"/>
        </w:tblPrEx>
        <w:trPr>
          <w:trHeight w:val="293"/>
          <w:jc w:val="center"/>
        </w:trPr>
        <w:tc>
          <w:tcPr>
            <w:tcW w:w="4430" w:type="dxa"/>
            <w:noWrap/>
            <w:hideMark/>
          </w:tcPr>
          <w:p w:rsidR="00FF7F8D" w:rsidRPr="0016500B" w:rsidP="00683B19" w14:paraId="7F493AEA" w14:textId="77777777">
            <w:pPr>
              <w:keepNext/>
              <w:jc w:val="center"/>
              <w:rPr>
                <w:b/>
                <w:bCs/>
              </w:rPr>
            </w:pPr>
            <w:r w:rsidRPr="0016500B">
              <w:rPr>
                <w:b/>
                <w:bCs/>
              </w:rPr>
              <w:t>Number of Licensees</w:t>
            </w:r>
            <w:r>
              <w:rPr>
                <w:b/>
                <w:bCs/>
              </w:rPr>
              <w:t>*</w:t>
            </w:r>
          </w:p>
        </w:tc>
        <w:tc>
          <w:tcPr>
            <w:tcW w:w="1158" w:type="dxa"/>
            <w:noWrap/>
            <w:vAlign w:val="center"/>
            <w:hideMark/>
          </w:tcPr>
          <w:p w:rsidR="00FF7F8D" w:rsidRPr="0016500B" w:rsidP="00683B19" w14:paraId="7F493AEB" w14:textId="77777777">
            <w:pPr>
              <w:keepNext/>
              <w:jc w:val="center"/>
              <w:rPr>
                <w:b/>
                <w:bCs/>
              </w:rPr>
            </w:pPr>
            <w:r w:rsidRPr="0016500B">
              <w:rPr>
                <w:b/>
                <w:bCs/>
              </w:rPr>
              <w:t>B</w:t>
            </w:r>
          </w:p>
        </w:tc>
        <w:tc>
          <w:tcPr>
            <w:tcW w:w="1217" w:type="dxa"/>
            <w:noWrap/>
            <w:vAlign w:val="center"/>
            <w:hideMark/>
          </w:tcPr>
          <w:p w:rsidR="00FF7F8D" w:rsidRPr="0016500B" w:rsidP="00683B19" w14:paraId="7F493AEC" w14:textId="77777777">
            <w:pPr>
              <w:keepNext/>
              <w:jc w:val="center"/>
            </w:pPr>
            <w:r w:rsidRPr="0016500B">
              <w:t>4</w:t>
            </w:r>
          </w:p>
        </w:tc>
        <w:tc>
          <w:tcPr>
            <w:tcW w:w="1329" w:type="dxa"/>
            <w:noWrap/>
            <w:vAlign w:val="center"/>
            <w:hideMark/>
          </w:tcPr>
          <w:p w:rsidR="00FF7F8D" w:rsidRPr="0016500B" w:rsidP="00683B19" w14:paraId="7F493AED" w14:textId="77777777">
            <w:pPr>
              <w:keepNext/>
              <w:jc w:val="center"/>
            </w:pPr>
            <w:r w:rsidRPr="0016500B">
              <w:t>19</w:t>
            </w:r>
          </w:p>
        </w:tc>
        <w:tc>
          <w:tcPr>
            <w:tcW w:w="1329" w:type="dxa"/>
            <w:noWrap/>
            <w:vAlign w:val="center"/>
            <w:hideMark/>
          </w:tcPr>
          <w:p w:rsidR="00FF7F8D" w:rsidRPr="0016500B" w:rsidP="00683B19" w14:paraId="7F493AEE" w14:textId="77777777">
            <w:pPr>
              <w:keepNext/>
              <w:jc w:val="center"/>
            </w:pPr>
            <w:r w:rsidRPr="0016500B">
              <w:t>3</w:t>
            </w:r>
          </w:p>
        </w:tc>
      </w:tr>
      <w:tr w14:paraId="7F493AF5" w14:textId="77777777" w:rsidTr="001F3201">
        <w:tblPrEx>
          <w:tblW w:w="9463" w:type="dxa"/>
          <w:jc w:val="center"/>
          <w:tblLook w:val="04A0"/>
        </w:tblPrEx>
        <w:trPr>
          <w:trHeight w:val="293"/>
          <w:jc w:val="center"/>
        </w:trPr>
        <w:tc>
          <w:tcPr>
            <w:tcW w:w="4430" w:type="dxa"/>
            <w:noWrap/>
          </w:tcPr>
          <w:p w:rsidR="00430FF4" w:rsidRPr="0016500B" w:rsidP="00683B19" w14:paraId="7F493AF0" w14:textId="77777777">
            <w:pPr>
              <w:pStyle w:val="Heading7"/>
            </w:pPr>
            <w:r>
              <w:t xml:space="preserve">NRC </w:t>
            </w:r>
            <w:r w:rsidRPr="0016500B">
              <w:t>Averted Operation Costs</w:t>
            </w:r>
            <w:r>
              <w:t xml:space="preserve"> Per Category</w:t>
            </w:r>
          </w:p>
        </w:tc>
        <w:tc>
          <w:tcPr>
            <w:tcW w:w="1158" w:type="dxa"/>
            <w:noWrap/>
            <w:vAlign w:val="center"/>
          </w:tcPr>
          <w:p w:rsidR="00430FF4" w:rsidRPr="0016500B" w:rsidP="00683B19" w14:paraId="7F493AF1" w14:textId="77777777">
            <w:pPr>
              <w:keepNext/>
              <w:jc w:val="center"/>
              <w:rPr>
                <w:b/>
                <w:bCs/>
              </w:rPr>
            </w:pPr>
            <w:r w:rsidRPr="0016500B">
              <w:rPr>
                <w:b/>
                <w:bCs/>
              </w:rPr>
              <w:t>C = A x B</w:t>
            </w:r>
          </w:p>
        </w:tc>
        <w:tc>
          <w:tcPr>
            <w:tcW w:w="1217" w:type="dxa"/>
            <w:noWrap/>
            <w:vAlign w:val="center"/>
          </w:tcPr>
          <w:p w:rsidR="00430FF4" w:rsidRPr="0016500B" w:rsidP="00683B19" w14:paraId="7F493AF2" w14:textId="77777777">
            <w:pPr>
              <w:keepNext/>
              <w:jc w:val="center"/>
            </w:pPr>
            <w:r>
              <w:t>$1,400,000</w:t>
            </w:r>
          </w:p>
        </w:tc>
        <w:tc>
          <w:tcPr>
            <w:tcW w:w="1329" w:type="dxa"/>
            <w:noWrap/>
            <w:vAlign w:val="center"/>
          </w:tcPr>
          <w:p w:rsidR="00430FF4" w:rsidRPr="0016500B" w:rsidP="00683B19" w14:paraId="7F493AF3" w14:textId="77777777">
            <w:pPr>
              <w:keepNext/>
              <w:jc w:val="center"/>
            </w:pPr>
            <w:r>
              <w:t>$8,900,000</w:t>
            </w:r>
          </w:p>
        </w:tc>
        <w:tc>
          <w:tcPr>
            <w:tcW w:w="1329" w:type="dxa"/>
            <w:noWrap/>
            <w:vAlign w:val="center"/>
          </w:tcPr>
          <w:p w:rsidR="00430FF4" w:rsidRPr="0016500B" w:rsidP="00683B19" w14:paraId="7F493AF4" w14:textId="77777777">
            <w:pPr>
              <w:keepNext/>
              <w:jc w:val="center"/>
            </w:pPr>
            <w:r>
              <w:t>$2,000,000</w:t>
            </w:r>
          </w:p>
        </w:tc>
      </w:tr>
      <w:tr w14:paraId="7F493AF9" w14:textId="77777777" w:rsidTr="001F3201">
        <w:tblPrEx>
          <w:tblW w:w="9463" w:type="dxa"/>
          <w:jc w:val="center"/>
          <w:tblLook w:val="04A0"/>
        </w:tblPrEx>
        <w:trPr>
          <w:trHeight w:val="293"/>
          <w:jc w:val="center"/>
        </w:trPr>
        <w:tc>
          <w:tcPr>
            <w:tcW w:w="4430" w:type="dxa"/>
            <w:noWrap/>
            <w:hideMark/>
          </w:tcPr>
          <w:p w:rsidR="00FF7F8D" w:rsidRPr="0016500B" w:rsidP="00683B19" w14:paraId="7F493AF6" w14:textId="77777777">
            <w:pPr>
              <w:keepNext/>
              <w:jc w:val="center"/>
              <w:rPr>
                <w:b/>
                <w:bCs/>
              </w:rPr>
            </w:pPr>
            <w:r w:rsidRPr="0016500B">
              <w:rPr>
                <w:b/>
                <w:bCs/>
              </w:rPr>
              <w:t>Undiscounted Total Present Value Averted Operation Cost</w:t>
            </w:r>
            <w:r w:rsidR="00430FF4">
              <w:rPr>
                <w:b/>
                <w:bCs/>
              </w:rPr>
              <w:t>**</w:t>
            </w:r>
          </w:p>
        </w:tc>
        <w:tc>
          <w:tcPr>
            <w:tcW w:w="1158" w:type="dxa"/>
            <w:noWrap/>
            <w:vAlign w:val="center"/>
            <w:hideMark/>
          </w:tcPr>
          <w:p w:rsidR="00FF7F8D" w:rsidRPr="0016500B" w:rsidP="00683B19" w14:paraId="7F493AF7" w14:textId="77777777">
            <w:pPr>
              <w:keepNext/>
              <w:jc w:val="center"/>
              <w:rPr>
                <w:b/>
                <w:bCs/>
              </w:rPr>
            </w:pPr>
            <w:r w:rsidRPr="0016500B">
              <w:rPr>
                <w:b/>
                <w:bCs/>
              </w:rPr>
              <w:t>D = ∑ (C)</w:t>
            </w:r>
          </w:p>
        </w:tc>
        <w:tc>
          <w:tcPr>
            <w:tcW w:w="3875" w:type="dxa"/>
            <w:gridSpan w:val="3"/>
            <w:noWrap/>
            <w:vAlign w:val="center"/>
            <w:hideMark/>
          </w:tcPr>
          <w:p w:rsidR="00FF7F8D" w:rsidRPr="0016500B" w:rsidP="00683B19" w14:paraId="7F493AF8" w14:textId="77777777">
            <w:pPr>
              <w:keepNext/>
              <w:jc w:val="center"/>
              <w:rPr>
                <w:b/>
              </w:rPr>
            </w:pPr>
            <w:r w:rsidRPr="0016500B">
              <w:rPr>
                <w:b/>
              </w:rPr>
              <w:t>$1</w:t>
            </w:r>
            <w:r w:rsidR="00D71E2E">
              <w:rPr>
                <w:b/>
              </w:rPr>
              <w:t>2</w:t>
            </w:r>
            <w:r w:rsidRPr="0016500B">
              <w:rPr>
                <w:b/>
              </w:rPr>
              <w:t>,000,000</w:t>
            </w:r>
          </w:p>
        </w:tc>
      </w:tr>
      <w:tr w14:paraId="7F493AFD" w14:textId="77777777" w:rsidTr="001F3201">
        <w:tblPrEx>
          <w:tblW w:w="9463" w:type="dxa"/>
          <w:jc w:val="center"/>
          <w:tblLook w:val="04A0"/>
        </w:tblPrEx>
        <w:trPr>
          <w:trHeight w:val="293"/>
          <w:jc w:val="center"/>
        </w:trPr>
        <w:tc>
          <w:tcPr>
            <w:tcW w:w="5588" w:type="dxa"/>
            <w:gridSpan w:val="2"/>
            <w:noWrap/>
            <w:vAlign w:val="center"/>
            <w:hideMark/>
          </w:tcPr>
          <w:p w:rsidR="00FF7F8D" w:rsidP="00683B19" w14:paraId="7F493AFA" w14:textId="77777777">
            <w:pPr>
              <w:keepNext/>
              <w:jc w:val="center"/>
              <w:rPr>
                <w:b/>
                <w:bCs/>
              </w:rPr>
            </w:pPr>
            <w:r w:rsidRPr="0016500B">
              <w:rPr>
                <w:b/>
                <w:bCs/>
              </w:rPr>
              <w:t xml:space="preserve">Total Present Value NRC Averted Operation Cost </w:t>
            </w:r>
          </w:p>
          <w:p w:rsidR="00FF7F8D" w:rsidRPr="0016500B" w:rsidP="00683B19" w14:paraId="7F493AFB" w14:textId="77777777">
            <w:pPr>
              <w:keepNext/>
              <w:jc w:val="center"/>
              <w:rPr>
                <w:b/>
                <w:bCs/>
              </w:rPr>
            </w:pPr>
            <w:r w:rsidRPr="0016500B">
              <w:rPr>
                <w:b/>
                <w:bCs/>
              </w:rPr>
              <w:t>at 3% discounting</w:t>
            </w:r>
          </w:p>
        </w:tc>
        <w:tc>
          <w:tcPr>
            <w:tcW w:w="3875" w:type="dxa"/>
            <w:gridSpan w:val="3"/>
            <w:noWrap/>
            <w:vAlign w:val="center"/>
            <w:hideMark/>
          </w:tcPr>
          <w:p w:rsidR="00FF7F8D" w:rsidRPr="0016500B" w:rsidP="00683B19" w14:paraId="7F493AFC" w14:textId="77777777">
            <w:pPr>
              <w:keepNext/>
              <w:jc w:val="center"/>
              <w:rPr>
                <w:b/>
              </w:rPr>
            </w:pPr>
            <w:r w:rsidRPr="0016500B">
              <w:rPr>
                <w:b/>
              </w:rPr>
              <w:t>$</w:t>
            </w:r>
            <w:r w:rsidR="00D71E2E">
              <w:rPr>
                <w:b/>
              </w:rPr>
              <w:t>9,200</w:t>
            </w:r>
            <w:r w:rsidRPr="0016500B">
              <w:rPr>
                <w:b/>
              </w:rPr>
              <w:t>,000</w:t>
            </w:r>
          </w:p>
        </w:tc>
      </w:tr>
      <w:tr w14:paraId="7F493B01" w14:textId="77777777" w:rsidTr="001F3201">
        <w:tblPrEx>
          <w:tblW w:w="9463" w:type="dxa"/>
          <w:jc w:val="center"/>
          <w:tblLook w:val="04A0"/>
        </w:tblPrEx>
        <w:trPr>
          <w:trHeight w:val="293"/>
          <w:jc w:val="center"/>
        </w:trPr>
        <w:tc>
          <w:tcPr>
            <w:tcW w:w="5588" w:type="dxa"/>
            <w:gridSpan w:val="2"/>
            <w:noWrap/>
            <w:vAlign w:val="center"/>
            <w:hideMark/>
          </w:tcPr>
          <w:p w:rsidR="00FF7F8D" w:rsidP="00683B19" w14:paraId="7F493AFE" w14:textId="77777777">
            <w:pPr>
              <w:keepNext/>
              <w:jc w:val="center"/>
              <w:rPr>
                <w:b/>
                <w:bCs/>
              </w:rPr>
            </w:pPr>
            <w:r w:rsidRPr="0016500B">
              <w:rPr>
                <w:b/>
                <w:bCs/>
              </w:rPr>
              <w:t xml:space="preserve">Total Present Value NRC Averted Operation Cost </w:t>
            </w:r>
          </w:p>
          <w:p w:rsidR="00FF7F8D" w:rsidRPr="0016500B" w:rsidP="00683B19" w14:paraId="7F493AFF" w14:textId="77777777">
            <w:pPr>
              <w:keepNext/>
              <w:jc w:val="center"/>
              <w:rPr>
                <w:b/>
                <w:bCs/>
              </w:rPr>
            </w:pPr>
            <w:r w:rsidRPr="0016500B">
              <w:rPr>
                <w:b/>
                <w:bCs/>
              </w:rPr>
              <w:t>at 7% discounting</w:t>
            </w:r>
          </w:p>
        </w:tc>
        <w:tc>
          <w:tcPr>
            <w:tcW w:w="3875" w:type="dxa"/>
            <w:gridSpan w:val="3"/>
            <w:noWrap/>
            <w:vAlign w:val="center"/>
            <w:hideMark/>
          </w:tcPr>
          <w:p w:rsidR="00FF7F8D" w:rsidRPr="0016500B" w:rsidP="00683B19" w14:paraId="7F493B00" w14:textId="77777777">
            <w:pPr>
              <w:keepNext/>
              <w:jc w:val="center"/>
              <w:rPr>
                <w:b/>
              </w:rPr>
            </w:pPr>
            <w:r w:rsidRPr="0016500B">
              <w:rPr>
                <w:b/>
              </w:rPr>
              <w:t>$</w:t>
            </w:r>
            <w:r w:rsidR="00D71E2E">
              <w:rPr>
                <w:b/>
              </w:rPr>
              <w:t>6,400</w:t>
            </w:r>
            <w:r w:rsidRPr="0016500B">
              <w:rPr>
                <w:b/>
              </w:rPr>
              <w:t>,000</w:t>
            </w:r>
          </w:p>
        </w:tc>
      </w:tr>
    </w:tbl>
    <w:p w:rsidR="00FF7F8D" w:rsidRPr="00D839EE" w:rsidP="00FF7F8D" w14:paraId="7F493B02" w14:textId="773AAD47">
      <w:pPr>
        <w:contextualSpacing/>
        <w:rPr>
          <w:rFonts w:cs="Arial"/>
          <w:sz w:val="18"/>
          <w:szCs w:val="18"/>
        </w:rPr>
      </w:pPr>
      <w:r>
        <w:rPr>
          <w:rFonts w:cs="Arial"/>
          <w:sz w:val="18"/>
          <w:szCs w:val="18"/>
        </w:rPr>
        <w:t xml:space="preserve">* </w:t>
      </w:r>
      <w:r w:rsidRPr="00C51CBD">
        <w:rPr>
          <w:rFonts w:cs="Arial"/>
          <w:sz w:val="18"/>
          <w:szCs w:val="18"/>
        </w:rPr>
        <w:t>The number of licensees differs fro</w:t>
      </w:r>
      <w:r w:rsidRPr="00A906BA">
        <w:rPr>
          <w:rFonts w:cs="Arial"/>
          <w:sz w:val="18"/>
          <w:szCs w:val="18"/>
        </w:rPr>
        <w:t xml:space="preserve">m </w:t>
      </w:r>
      <w:r w:rsidRPr="00E17F30" w:rsidR="00EF7573">
        <w:rPr>
          <w:rFonts w:cs="Arial"/>
          <w:sz w:val="18"/>
          <w:szCs w:val="18"/>
        </w:rPr>
        <w:fldChar w:fldCharType="begin"/>
      </w:r>
      <w:r w:rsidRPr="00E17F30" w:rsidR="00EF7573">
        <w:rPr>
          <w:rFonts w:cs="Arial"/>
          <w:sz w:val="18"/>
          <w:szCs w:val="18"/>
        </w:rPr>
        <w:instrText xml:space="preserve"> REF _Ref534710758 \h  \* MERGEFORMAT </w:instrText>
      </w:r>
      <w:r w:rsidRPr="00E17F30" w:rsidR="00EF7573">
        <w:rPr>
          <w:rFonts w:cs="Arial"/>
          <w:sz w:val="18"/>
          <w:szCs w:val="18"/>
        </w:rPr>
        <w:fldChar w:fldCharType="separate"/>
      </w:r>
      <w:r w:rsidRPr="00977795" w:rsidR="00977795">
        <w:rPr>
          <w:sz w:val="18"/>
          <w:szCs w:val="18"/>
        </w:rPr>
        <w:t>Exhibit 3</w:t>
      </w:r>
      <w:r w:rsidRPr="00977795" w:rsidR="00977795">
        <w:rPr>
          <w:sz w:val="18"/>
          <w:szCs w:val="18"/>
        </w:rPr>
        <w:noBreakHyphen/>
        <w:t>1</w:t>
      </w:r>
      <w:r w:rsidRPr="00E17F30" w:rsidR="00EF7573">
        <w:rPr>
          <w:rFonts w:cs="Arial"/>
          <w:sz w:val="18"/>
          <w:szCs w:val="18"/>
        </w:rPr>
        <w:fldChar w:fldCharType="end"/>
      </w:r>
      <w:r w:rsidR="00A906BA">
        <w:rPr>
          <w:rFonts w:cs="Arial"/>
          <w:sz w:val="18"/>
          <w:szCs w:val="18"/>
        </w:rPr>
        <w:t xml:space="preserve"> </w:t>
      </w:r>
      <w:r w:rsidRPr="00C51CBD">
        <w:rPr>
          <w:rFonts w:cs="Arial"/>
          <w:sz w:val="18"/>
          <w:szCs w:val="18"/>
        </w:rPr>
        <w:t xml:space="preserve">as </w:t>
      </w:r>
      <w:r w:rsidRPr="005F6062">
        <w:rPr>
          <w:rFonts w:cs="Arial"/>
          <w:sz w:val="18"/>
          <w:szCs w:val="18"/>
        </w:rPr>
        <w:t xml:space="preserve">NPUFs in Groups 3 </w:t>
      </w:r>
      <w:r>
        <w:rPr>
          <w:rFonts w:cs="Arial"/>
          <w:sz w:val="18"/>
          <w:szCs w:val="18"/>
        </w:rPr>
        <w:t>(</w:t>
      </w:r>
      <w:r w:rsidRPr="005F6062">
        <w:rPr>
          <w:rFonts w:cs="Arial"/>
          <w:sz w:val="18"/>
          <w:szCs w:val="18"/>
        </w:rPr>
        <w:t>Aerotest</w:t>
      </w:r>
      <w:r>
        <w:rPr>
          <w:rFonts w:cs="Arial"/>
          <w:sz w:val="18"/>
          <w:szCs w:val="18"/>
        </w:rPr>
        <w:t xml:space="preserve"> and</w:t>
      </w:r>
      <w:r w:rsidRPr="005F6062">
        <w:rPr>
          <w:rFonts w:cs="Arial"/>
          <w:sz w:val="18"/>
          <w:szCs w:val="18"/>
        </w:rPr>
        <w:t xml:space="preserve"> GE</w:t>
      </w:r>
      <w:r>
        <w:rPr>
          <w:rFonts w:cs="Arial"/>
          <w:sz w:val="18"/>
          <w:szCs w:val="18"/>
        </w:rPr>
        <w:t>-</w:t>
      </w:r>
      <w:r w:rsidRPr="005F6062">
        <w:rPr>
          <w:rFonts w:cs="Arial"/>
          <w:sz w:val="18"/>
          <w:szCs w:val="18"/>
        </w:rPr>
        <w:t>Hitachi (Medium Category)</w:t>
      </w:r>
      <w:r>
        <w:rPr>
          <w:rFonts w:cs="Arial"/>
          <w:sz w:val="18"/>
          <w:szCs w:val="18"/>
        </w:rPr>
        <w:t xml:space="preserve">; </w:t>
      </w:r>
      <w:r w:rsidRPr="00C51CBD">
        <w:rPr>
          <w:rFonts w:cs="Arial"/>
          <w:sz w:val="18"/>
          <w:szCs w:val="18"/>
        </w:rPr>
        <w:t>TAMU (A</w:t>
      </w:r>
      <w:r w:rsidR="005B3EAB">
        <w:rPr>
          <w:rFonts w:cs="Arial"/>
          <w:sz w:val="18"/>
          <w:szCs w:val="18"/>
        </w:rPr>
        <w:t>)</w:t>
      </w:r>
      <w:r w:rsidRPr="00C51CBD">
        <w:rPr>
          <w:rFonts w:cs="Arial"/>
          <w:sz w:val="18"/>
          <w:szCs w:val="18"/>
        </w:rPr>
        <w:t xml:space="preserve"> (Low Category)</w:t>
      </w:r>
      <w:r>
        <w:rPr>
          <w:rFonts w:cs="Arial"/>
          <w:sz w:val="18"/>
          <w:szCs w:val="18"/>
        </w:rPr>
        <w:t>;</w:t>
      </w:r>
      <w:r w:rsidRPr="005F6062">
        <w:rPr>
          <w:rFonts w:cs="Arial"/>
          <w:sz w:val="18"/>
          <w:szCs w:val="18"/>
        </w:rPr>
        <w:t xml:space="preserve"> UC</w:t>
      </w:r>
      <w:r>
        <w:rPr>
          <w:rFonts w:cs="Arial"/>
          <w:sz w:val="18"/>
          <w:szCs w:val="18"/>
        </w:rPr>
        <w:t>/</w:t>
      </w:r>
      <w:r w:rsidRPr="005F6062">
        <w:rPr>
          <w:rFonts w:cs="Arial"/>
          <w:sz w:val="18"/>
          <w:szCs w:val="18"/>
        </w:rPr>
        <w:t>Davis (High Category)</w:t>
      </w:r>
      <w:r>
        <w:rPr>
          <w:rFonts w:cs="Arial"/>
          <w:sz w:val="18"/>
          <w:szCs w:val="18"/>
        </w:rPr>
        <w:t>); and</w:t>
      </w:r>
      <w:r w:rsidRPr="005F6062">
        <w:rPr>
          <w:rFonts w:cs="Arial"/>
          <w:sz w:val="18"/>
          <w:szCs w:val="18"/>
        </w:rPr>
        <w:t xml:space="preserve"> </w:t>
      </w:r>
      <w:r>
        <w:rPr>
          <w:rFonts w:cs="Arial"/>
          <w:sz w:val="18"/>
          <w:szCs w:val="18"/>
        </w:rPr>
        <w:t>4 (</w:t>
      </w:r>
      <w:r w:rsidRPr="00C51CBD">
        <w:rPr>
          <w:rFonts w:cs="Arial"/>
          <w:sz w:val="18"/>
          <w:szCs w:val="18"/>
        </w:rPr>
        <w:t>SHINE, NWMI</w:t>
      </w:r>
      <w:r>
        <w:rPr>
          <w:rFonts w:cs="Arial"/>
          <w:sz w:val="18"/>
          <w:szCs w:val="18"/>
        </w:rPr>
        <w:t>, and NIST</w:t>
      </w:r>
      <w:r w:rsidRPr="00C51CBD">
        <w:rPr>
          <w:rFonts w:cs="Arial"/>
          <w:sz w:val="18"/>
          <w:szCs w:val="18"/>
        </w:rPr>
        <w:t xml:space="preserve"> </w:t>
      </w:r>
      <w:r w:rsidRPr="005F6062">
        <w:rPr>
          <w:rFonts w:cs="Arial"/>
          <w:sz w:val="18"/>
          <w:szCs w:val="18"/>
        </w:rPr>
        <w:t>(A</w:t>
      </w:r>
      <w:r w:rsidRPr="00C51CBD">
        <w:rPr>
          <w:rFonts w:cs="Arial"/>
          <w:sz w:val="18"/>
          <w:szCs w:val="18"/>
        </w:rPr>
        <w:t>ll Other NPUFs Category)</w:t>
      </w:r>
      <w:r>
        <w:rPr>
          <w:rFonts w:cs="Arial"/>
          <w:sz w:val="18"/>
          <w:szCs w:val="18"/>
        </w:rPr>
        <w:t>)</w:t>
      </w:r>
      <w:r w:rsidRPr="00C51CBD">
        <w:rPr>
          <w:rFonts w:cs="Arial"/>
          <w:sz w:val="18"/>
          <w:szCs w:val="18"/>
        </w:rPr>
        <w:t xml:space="preserve"> are assumed to not realize any averted costs.</w:t>
      </w:r>
    </w:p>
    <w:p w:rsidR="00FF7F8D" w:rsidRPr="00D839EE" w:rsidP="00FF7F8D" w14:paraId="7F493B03" w14:textId="77777777">
      <w:pPr>
        <w:contextualSpacing/>
        <w:rPr>
          <w:rFonts w:cs="Arial"/>
          <w:sz w:val="18"/>
          <w:szCs w:val="18"/>
        </w:rPr>
      </w:pPr>
      <w:r>
        <w:rPr>
          <w:rFonts w:cs="Arial"/>
          <w:sz w:val="18"/>
          <w:szCs w:val="18"/>
        </w:rPr>
        <w:t>**</w:t>
      </w:r>
      <w:r w:rsidRPr="00D839EE">
        <w:rPr>
          <w:rFonts w:cs="Arial"/>
          <w:sz w:val="18"/>
          <w:szCs w:val="18"/>
        </w:rPr>
        <w:t xml:space="preserve">Totals may not </w:t>
      </w:r>
      <w:r>
        <w:rPr>
          <w:rFonts w:cs="Arial"/>
          <w:sz w:val="18"/>
          <w:szCs w:val="18"/>
        </w:rPr>
        <w:t>match</w:t>
      </w:r>
      <w:r w:rsidRPr="00D839EE">
        <w:rPr>
          <w:rFonts w:cs="Arial"/>
          <w:sz w:val="18"/>
          <w:szCs w:val="18"/>
        </w:rPr>
        <w:t xml:space="preserve"> due to rounding.</w:t>
      </w:r>
    </w:p>
    <w:p w:rsidR="00BF5AC4" w:rsidRPr="00346B95" w:rsidP="00346B95" w14:paraId="7F493B04" w14:textId="77777777">
      <w:pPr>
        <w:pStyle w:val="Heading2"/>
        <w:spacing w:after="220"/>
      </w:pPr>
      <w:bookmarkStart w:id="349" w:name="_Toc534037108"/>
      <w:bookmarkStart w:id="350" w:name="_Toc534699728"/>
      <w:bookmarkStart w:id="351" w:name="_Toc536603296"/>
      <w:r w:rsidRPr="00346B95">
        <w:t xml:space="preserve">3.4 </w:t>
      </w:r>
      <w:r w:rsidRPr="00346B95">
        <w:tab/>
        <w:t xml:space="preserve">Benefits of the </w:t>
      </w:r>
      <w:r w:rsidRPr="00346B95" w:rsidR="00BC5E9F">
        <w:t>Final</w:t>
      </w:r>
      <w:r w:rsidRPr="00346B95">
        <w:t xml:space="preserve"> Rule</w:t>
      </w:r>
      <w:bookmarkEnd w:id="325"/>
      <w:bookmarkEnd w:id="326"/>
      <w:bookmarkEnd w:id="327"/>
      <w:bookmarkEnd w:id="349"/>
      <w:bookmarkEnd w:id="350"/>
      <w:bookmarkEnd w:id="351"/>
    </w:p>
    <w:p w:rsidR="00BF5AC4" w:rsidRPr="00D839EE" w:rsidP="00BF5AC4" w14:paraId="7F493B05" w14:textId="77777777">
      <w:pPr>
        <w:contextualSpacing/>
        <w:rPr>
          <w:rFonts w:cs="Arial"/>
          <w:sz w:val="22"/>
          <w:szCs w:val="22"/>
        </w:rPr>
      </w:pPr>
      <w:r w:rsidRPr="00D839EE">
        <w:rPr>
          <w:rFonts w:cs="Arial"/>
          <w:sz w:val="22"/>
          <w:szCs w:val="22"/>
        </w:rPr>
        <w:t>Relative to the no</w:t>
      </w:r>
      <w:r w:rsidR="00E302A6">
        <w:rPr>
          <w:rFonts w:cs="Arial"/>
          <w:sz w:val="22"/>
          <w:szCs w:val="22"/>
        </w:rPr>
        <w:t>-</w:t>
      </w:r>
      <w:r w:rsidRPr="00D839EE">
        <w:rPr>
          <w:rFonts w:cs="Arial"/>
          <w:sz w:val="22"/>
          <w:szCs w:val="22"/>
        </w:rPr>
        <w:t xml:space="preserve">action baseline, the options under consideration </w:t>
      </w:r>
      <w:r w:rsidR="00EA60BF">
        <w:rPr>
          <w:rFonts w:cs="Arial"/>
          <w:sz w:val="22"/>
          <w:szCs w:val="22"/>
        </w:rPr>
        <w:t>have the following incremental benefits</w:t>
      </w:r>
      <w:r w:rsidRPr="00D839EE">
        <w:rPr>
          <w:rFonts w:cs="Arial"/>
          <w:sz w:val="22"/>
          <w:szCs w:val="22"/>
        </w:rPr>
        <w:t>:</w:t>
      </w:r>
    </w:p>
    <w:p w:rsidR="00BF5AC4" w:rsidRPr="00D839EE" w:rsidP="00346B95" w14:paraId="7F493B07" w14:textId="77777777">
      <w:pPr>
        <w:numPr>
          <w:ilvl w:val="0"/>
          <w:numId w:val="10"/>
        </w:numPr>
        <w:ind w:hanging="720"/>
        <w:contextualSpacing/>
        <w:rPr>
          <w:rFonts w:cs="Arial"/>
          <w:sz w:val="22"/>
          <w:szCs w:val="22"/>
        </w:rPr>
      </w:pPr>
      <w:r w:rsidRPr="00D839EE">
        <w:rPr>
          <w:rFonts w:cs="Arial"/>
          <w:sz w:val="22"/>
          <w:szCs w:val="22"/>
        </w:rPr>
        <w:t>Option 1</w:t>
      </w:r>
      <w:r w:rsidRPr="00D839EE" w:rsidR="00D45ECF">
        <w:rPr>
          <w:rFonts w:cs="Arial"/>
          <w:sz w:val="22"/>
          <w:szCs w:val="22"/>
        </w:rPr>
        <w:t xml:space="preserve"> (not selected)</w:t>
      </w:r>
      <w:r w:rsidRPr="00D839EE">
        <w:rPr>
          <w:rFonts w:cs="Arial"/>
          <w:sz w:val="22"/>
          <w:szCs w:val="22"/>
        </w:rPr>
        <w:t xml:space="preserve">: </w:t>
      </w:r>
      <w:r w:rsidR="00EA60BF">
        <w:rPr>
          <w:rFonts w:cs="Arial"/>
          <w:sz w:val="22"/>
          <w:szCs w:val="22"/>
        </w:rPr>
        <w:t xml:space="preserve"> </w:t>
      </w:r>
      <w:r w:rsidRPr="00D839EE">
        <w:rPr>
          <w:rFonts w:cs="Arial"/>
          <w:sz w:val="22"/>
          <w:szCs w:val="22"/>
        </w:rPr>
        <w:t>No</w:t>
      </w:r>
      <w:r w:rsidR="00E302A6">
        <w:rPr>
          <w:rFonts w:cs="Arial"/>
          <w:sz w:val="22"/>
          <w:szCs w:val="22"/>
        </w:rPr>
        <w:t>-</w:t>
      </w:r>
      <w:r w:rsidRPr="00D839EE">
        <w:rPr>
          <w:rFonts w:cs="Arial"/>
          <w:sz w:val="22"/>
          <w:szCs w:val="22"/>
        </w:rPr>
        <w:t>action alternative.  This option would not</w:t>
      </w:r>
      <w:r w:rsidRPr="00D839EE" w:rsidR="00296C07">
        <w:rPr>
          <w:rFonts w:cs="Arial"/>
          <w:sz w:val="22"/>
          <w:szCs w:val="22"/>
        </w:rPr>
        <w:t xml:space="preserve"> have</w:t>
      </w:r>
      <w:r w:rsidRPr="00D839EE">
        <w:rPr>
          <w:rFonts w:cs="Arial"/>
          <w:sz w:val="22"/>
          <w:szCs w:val="22"/>
        </w:rPr>
        <w:t xml:space="preserve"> result</w:t>
      </w:r>
      <w:r w:rsidRPr="00D839EE" w:rsidR="00296C07">
        <w:rPr>
          <w:rFonts w:cs="Arial"/>
          <w:sz w:val="22"/>
          <w:szCs w:val="22"/>
        </w:rPr>
        <w:t>ed</w:t>
      </w:r>
      <w:r w:rsidRPr="00D839EE">
        <w:rPr>
          <w:rFonts w:cs="Arial"/>
          <w:sz w:val="22"/>
          <w:szCs w:val="22"/>
        </w:rPr>
        <w:t xml:space="preserve"> in any incremental benefits. </w:t>
      </w:r>
    </w:p>
    <w:p w:rsidR="00BF5AC4" w:rsidRPr="00D839EE" w:rsidP="00346B95" w14:paraId="7F493B08" w14:textId="77777777">
      <w:pPr>
        <w:ind w:left="720" w:hanging="720"/>
        <w:contextualSpacing/>
        <w:rPr>
          <w:rFonts w:cs="Arial"/>
          <w:sz w:val="22"/>
          <w:szCs w:val="22"/>
        </w:rPr>
      </w:pPr>
    </w:p>
    <w:p w:rsidR="00BF5AC4" w:rsidRPr="00D839EE" w:rsidP="00346B95" w14:paraId="7F493B09" w14:textId="77777777">
      <w:pPr>
        <w:numPr>
          <w:ilvl w:val="0"/>
          <w:numId w:val="10"/>
        </w:numPr>
        <w:ind w:hanging="720"/>
        <w:contextualSpacing/>
        <w:rPr>
          <w:rFonts w:cs="Arial"/>
          <w:sz w:val="22"/>
          <w:szCs w:val="22"/>
        </w:rPr>
      </w:pPr>
      <w:r w:rsidRPr="00D839EE">
        <w:rPr>
          <w:rFonts w:cs="Arial"/>
          <w:sz w:val="22"/>
          <w:szCs w:val="22"/>
        </w:rPr>
        <w:t>Option 2</w:t>
      </w:r>
      <w:r w:rsidRPr="00D839EE" w:rsidR="00D45ECF">
        <w:rPr>
          <w:rFonts w:cs="Arial"/>
          <w:sz w:val="22"/>
          <w:szCs w:val="22"/>
        </w:rPr>
        <w:t xml:space="preserve"> (not selected)</w:t>
      </w:r>
      <w:r w:rsidRPr="00D839EE">
        <w:rPr>
          <w:rFonts w:cs="Arial"/>
          <w:sz w:val="22"/>
          <w:szCs w:val="22"/>
        </w:rPr>
        <w:t xml:space="preserve">:  Undertake rulemaking to require FSAR updates and revise the timely renewal provision.  This option </w:t>
      </w:r>
      <w:r w:rsidRPr="00D839EE">
        <w:rPr>
          <w:sz w:val="22"/>
          <w:szCs w:val="22"/>
        </w:rPr>
        <w:t>would</w:t>
      </w:r>
      <w:r w:rsidRPr="00D839EE" w:rsidR="00296C07">
        <w:rPr>
          <w:sz w:val="22"/>
          <w:szCs w:val="22"/>
        </w:rPr>
        <w:t xml:space="preserve"> have</w:t>
      </w:r>
      <w:r w:rsidRPr="00D839EE">
        <w:rPr>
          <w:sz w:val="22"/>
          <w:szCs w:val="22"/>
        </w:rPr>
        <w:t xml:space="preserve"> result</w:t>
      </w:r>
      <w:r w:rsidRPr="00D839EE" w:rsidR="00296C07">
        <w:rPr>
          <w:sz w:val="22"/>
          <w:szCs w:val="22"/>
        </w:rPr>
        <w:t>ed</w:t>
      </w:r>
      <w:r w:rsidRPr="00D839EE">
        <w:rPr>
          <w:sz w:val="22"/>
          <w:szCs w:val="22"/>
        </w:rPr>
        <w:t xml:space="preserve"> in improvements in the following </w:t>
      </w:r>
      <w:r w:rsidR="005E25E5">
        <w:rPr>
          <w:sz w:val="22"/>
          <w:szCs w:val="22"/>
        </w:rPr>
        <w:t>benefits</w:t>
      </w:r>
      <w:r w:rsidRPr="00D839EE">
        <w:rPr>
          <w:sz w:val="22"/>
          <w:szCs w:val="22"/>
        </w:rPr>
        <w:t xml:space="preserve">:  Public Health and Safety (Accident), Occupational Health (Accident), Offsite Property, Onsite Property, Environmental Considerations, and Regulatory Efficiency. </w:t>
      </w:r>
    </w:p>
    <w:p w:rsidR="00BF5AC4" w:rsidRPr="00D839EE" w:rsidP="00346B95" w14:paraId="7F493B0A" w14:textId="77777777">
      <w:pPr>
        <w:ind w:left="720" w:hanging="720"/>
        <w:contextualSpacing/>
        <w:rPr>
          <w:rFonts w:cs="Arial"/>
          <w:sz w:val="22"/>
          <w:szCs w:val="22"/>
        </w:rPr>
      </w:pPr>
    </w:p>
    <w:p w:rsidR="00BF5AC4" w:rsidRPr="00D839EE" w:rsidP="00346B95" w14:paraId="7F493B0B" w14:textId="77777777">
      <w:pPr>
        <w:numPr>
          <w:ilvl w:val="0"/>
          <w:numId w:val="10"/>
        </w:numPr>
        <w:ind w:hanging="720"/>
        <w:contextualSpacing/>
        <w:rPr>
          <w:rFonts w:cs="Arial"/>
          <w:sz w:val="22"/>
          <w:szCs w:val="22"/>
        </w:rPr>
      </w:pPr>
      <w:r w:rsidRPr="00D839EE">
        <w:rPr>
          <w:rFonts w:cs="Arial"/>
          <w:sz w:val="22"/>
          <w:szCs w:val="22"/>
        </w:rPr>
        <w:t>Option 3</w:t>
      </w:r>
      <w:r w:rsidRPr="00D839EE" w:rsidR="00D45ECF">
        <w:rPr>
          <w:rFonts w:cs="Arial"/>
          <w:sz w:val="22"/>
          <w:szCs w:val="22"/>
        </w:rPr>
        <w:t xml:space="preserve"> (the </w:t>
      </w:r>
      <w:r w:rsidRPr="00D839EE" w:rsidR="00BC5E9F">
        <w:rPr>
          <w:rFonts w:cs="Arial"/>
          <w:sz w:val="22"/>
          <w:szCs w:val="22"/>
        </w:rPr>
        <w:t>final</w:t>
      </w:r>
      <w:r w:rsidRPr="00D839EE" w:rsidR="00D45ECF">
        <w:rPr>
          <w:rFonts w:cs="Arial"/>
          <w:sz w:val="22"/>
          <w:szCs w:val="22"/>
        </w:rPr>
        <w:t xml:space="preserve"> rule)</w:t>
      </w:r>
      <w:r w:rsidRPr="00D839EE">
        <w:rPr>
          <w:rFonts w:cs="Arial"/>
          <w:sz w:val="22"/>
          <w:szCs w:val="22"/>
        </w:rPr>
        <w:t xml:space="preserve">:  Undertake rulemaking to require FSAR updates, revise the timely renewal provision, and eliminate license terms for </w:t>
      </w:r>
      <w:r w:rsidRPr="000B5298" w:rsidR="000B5298">
        <w:rPr>
          <w:rFonts w:cs="Arial"/>
          <w:sz w:val="22"/>
          <w:szCs w:val="22"/>
        </w:rPr>
        <w:t>medical therapy or research and development facilities, other than testing facilities, licensed under § 50.21(a) or (c)</w:t>
      </w:r>
      <w:r w:rsidR="000B5298">
        <w:rPr>
          <w:rFonts w:cs="Arial"/>
          <w:sz w:val="22"/>
          <w:szCs w:val="22"/>
        </w:rPr>
        <w:t xml:space="preserve"> </w:t>
      </w:r>
      <w:r w:rsidRPr="00D839EE">
        <w:rPr>
          <w:rFonts w:cs="Arial"/>
          <w:sz w:val="22"/>
          <w:szCs w:val="22"/>
        </w:rPr>
        <w:t xml:space="preserve">(among other changes described in Section 3.3).  This option, which is the </w:t>
      </w:r>
      <w:r w:rsidRPr="00D839EE" w:rsidR="00BC5E9F">
        <w:rPr>
          <w:rFonts w:cs="Arial"/>
          <w:sz w:val="22"/>
          <w:szCs w:val="22"/>
        </w:rPr>
        <w:t>final</w:t>
      </w:r>
      <w:r w:rsidRPr="00D839EE">
        <w:rPr>
          <w:rFonts w:cs="Arial"/>
          <w:sz w:val="22"/>
          <w:szCs w:val="22"/>
        </w:rPr>
        <w:t xml:space="preserve"> </w:t>
      </w:r>
      <w:r w:rsidR="007F2762">
        <w:rPr>
          <w:rFonts w:cs="Arial"/>
          <w:sz w:val="22"/>
          <w:szCs w:val="22"/>
        </w:rPr>
        <w:t>rule</w:t>
      </w:r>
      <w:r w:rsidRPr="00D839EE">
        <w:rPr>
          <w:rFonts w:cs="Arial"/>
          <w:sz w:val="22"/>
          <w:szCs w:val="22"/>
        </w:rPr>
        <w:t xml:space="preserve">, </w:t>
      </w:r>
      <w:r w:rsidRPr="00D839EE" w:rsidR="00BC5E9F">
        <w:rPr>
          <w:sz w:val="22"/>
          <w:szCs w:val="22"/>
        </w:rPr>
        <w:t>will</w:t>
      </w:r>
      <w:r w:rsidRPr="00D839EE">
        <w:rPr>
          <w:sz w:val="22"/>
          <w:szCs w:val="22"/>
        </w:rPr>
        <w:t xml:space="preserve"> result in improvements to Public Health and Safety, </w:t>
      </w:r>
      <w:r w:rsidR="00743A44">
        <w:rPr>
          <w:sz w:val="22"/>
          <w:szCs w:val="22"/>
        </w:rPr>
        <w:t>and</w:t>
      </w:r>
      <w:r w:rsidRPr="00D839EE">
        <w:rPr>
          <w:sz w:val="22"/>
          <w:szCs w:val="22"/>
        </w:rPr>
        <w:t xml:space="preserve"> substantia</w:t>
      </w:r>
      <w:r w:rsidRPr="00D839EE" w:rsidR="00AE4BB0">
        <w:rPr>
          <w:sz w:val="22"/>
          <w:szCs w:val="22"/>
        </w:rPr>
        <w:t>l</w:t>
      </w:r>
      <w:r w:rsidRPr="00D839EE">
        <w:rPr>
          <w:sz w:val="22"/>
          <w:szCs w:val="22"/>
        </w:rPr>
        <w:t xml:space="preserve"> improvements associated with Regulatory Efficiency (</w:t>
      </w:r>
      <w:r w:rsidRPr="00D839EE" w:rsidR="00AE4BB0">
        <w:rPr>
          <w:sz w:val="22"/>
          <w:szCs w:val="22"/>
        </w:rPr>
        <w:t xml:space="preserve">as </w:t>
      </w:r>
      <w:r w:rsidRPr="00D839EE">
        <w:rPr>
          <w:sz w:val="22"/>
          <w:szCs w:val="22"/>
        </w:rPr>
        <w:t xml:space="preserve">discussed below). </w:t>
      </w:r>
    </w:p>
    <w:p w:rsidR="00BF5AC4" w:rsidRPr="00346B95" w:rsidP="00D96410" w14:paraId="7F493B0C" w14:textId="77777777">
      <w:pPr>
        <w:pStyle w:val="Heading3"/>
        <w:spacing w:after="220"/>
      </w:pPr>
      <w:bookmarkStart w:id="352" w:name="_Toc443852802"/>
      <w:bookmarkStart w:id="353" w:name="_Toc530073291"/>
      <w:bookmarkStart w:id="354" w:name="_Toc534037109"/>
      <w:bookmarkStart w:id="355" w:name="_Toc534699729"/>
      <w:bookmarkStart w:id="356" w:name="_Toc536603297"/>
      <w:r w:rsidRPr="00346B95">
        <w:t>3.4.</w:t>
      </w:r>
      <w:r w:rsidRPr="00D96410" w:rsidR="00FF7F8D">
        <w:t>1</w:t>
      </w:r>
      <w:r w:rsidRPr="00346B95">
        <w:tab/>
        <w:t>Benefits Associated with Public Health (Accident), Occupational Health (Accident), Offsite Property, Onsite Property, and Environmental Considerations</w:t>
      </w:r>
      <w:bookmarkEnd w:id="352"/>
      <w:bookmarkEnd w:id="353"/>
      <w:bookmarkEnd w:id="354"/>
      <w:bookmarkEnd w:id="355"/>
      <w:bookmarkEnd w:id="356"/>
    </w:p>
    <w:p w:rsidR="00BF5AC4" w:rsidRPr="001176AF" w:rsidP="00346B95" w14:paraId="7F493B0D" w14:textId="77777777">
      <w:pPr>
        <w:pStyle w:val="Default"/>
        <w:spacing w:after="220"/>
        <w:rPr>
          <w:sz w:val="22"/>
        </w:rPr>
      </w:pPr>
      <w:r w:rsidRPr="0053647B">
        <w:rPr>
          <w:sz w:val="22"/>
        </w:rPr>
        <w:t>Because NPUFs operate at a low power level and are recognized as having no major impact on the environme</w:t>
      </w:r>
      <w:r w:rsidRPr="001176AF">
        <w:rPr>
          <w:sz w:val="22"/>
        </w:rPr>
        <w:t xml:space="preserve">nt or public health and safety, the </w:t>
      </w:r>
      <w:r w:rsidR="00A64717">
        <w:rPr>
          <w:sz w:val="22"/>
          <w:szCs w:val="22"/>
        </w:rPr>
        <w:t>rule’s associated</w:t>
      </w:r>
      <w:r w:rsidRPr="00496D9C">
        <w:rPr>
          <w:sz w:val="22"/>
          <w:szCs w:val="22"/>
        </w:rPr>
        <w:t xml:space="preserve"> </w:t>
      </w:r>
      <w:r w:rsidRPr="001176AF">
        <w:rPr>
          <w:sz w:val="22"/>
        </w:rPr>
        <w:t>safety risks</w:t>
      </w:r>
      <w:r w:rsidR="00A64717">
        <w:rPr>
          <w:sz w:val="22"/>
          <w:szCs w:val="22"/>
        </w:rPr>
        <w:t xml:space="preserve"> and</w:t>
      </w:r>
      <w:r w:rsidRPr="001176AF">
        <w:rPr>
          <w:sz w:val="22"/>
        </w:rPr>
        <w:t xml:space="preserve"> public health, occupational health, and environmental benefits are very small.</w:t>
      </w:r>
    </w:p>
    <w:p w:rsidR="00BF5AC4" w:rsidRPr="001176AF" w:rsidP="00346B95" w14:paraId="7F493B0E" w14:textId="77777777">
      <w:pPr>
        <w:pStyle w:val="Default"/>
        <w:spacing w:after="220"/>
        <w:rPr>
          <w:sz w:val="22"/>
        </w:rPr>
      </w:pPr>
      <w:r w:rsidRPr="0053647B">
        <w:rPr>
          <w:sz w:val="22"/>
        </w:rPr>
        <w:t>Under Option 3</w:t>
      </w:r>
      <w:r w:rsidRPr="001176AF" w:rsidR="00D45ECF">
        <w:rPr>
          <w:sz w:val="22"/>
        </w:rPr>
        <w:t xml:space="preserve"> (the </w:t>
      </w:r>
      <w:r w:rsidRPr="001176AF" w:rsidR="00BC5E9F">
        <w:rPr>
          <w:sz w:val="22"/>
        </w:rPr>
        <w:t>final</w:t>
      </w:r>
      <w:r w:rsidRPr="001176AF" w:rsidR="00D45ECF">
        <w:rPr>
          <w:sz w:val="22"/>
        </w:rPr>
        <w:t xml:space="preserve"> rule)</w:t>
      </w:r>
      <w:r w:rsidRPr="001176AF">
        <w:rPr>
          <w:sz w:val="22"/>
        </w:rPr>
        <w:t xml:space="preserve">, </w:t>
      </w:r>
      <w:r w:rsidR="00595219">
        <w:rPr>
          <w:sz w:val="22"/>
        </w:rPr>
        <w:t xml:space="preserve">all eligible </w:t>
      </w:r>
      <w:r w:rsidRPr="001176AF">
        <w:rPr>
          <w:sz w:val="22"/>
        </w:rPr>
        <w:t xml:space="preserve">NPUF licensees </w:t>
      </w:r>
      <w:r w:rsidR="00595219">
        <w:rPr>
          <w:sz w:val="22"/>
        </w:rPr>
        <w:t>must</w:t>
      </w:r>
      <w:r w:rsidRPr="001176AF">
        <w:rPr>
          <w:sz w:val="22"/>
        </w:rPr>
        <w:t xml:space="preserve"> undergo license renewal</w:t>
      </w:r>
      <w:r w:rsidRPr="00496D9C">
        <w:rPr>
          <w:sz w:val="22"/>
          <w:szCs w:val="22"/>
        </w:rPr>
        <w:t xml:space="preserve"> </w:t>
      </w:r>
      <w:r w:rsidR="00595219">
        <w:rPr>
          <w:rFonts w:eastAsia="Times New Roman" w:cs="Times New Roman"/>
          <w:color w:val="auto"/>
          <w:sz w:val="22"/>
          <w:szCs w:val="22"/>
        </w:rPr>
        <w:t>using</w:t>
      </w:r>
      <w:r w:rsidRPr="001176AF">
        <w:rPr>
          <w:sz w:val="22"/>
        </w:rPr>
        <w:t xml:space="preserve"> </w:t>
      </w:r>
      <w:r w:rsidR="00F749B4">
        <w:rPr>
          <w:sz w:val="22"/>
        </w:rPr>
        <w:t xml:space="preserve">the guidance in </w:t>
      </w:r>
      <w:r w:rsidRPr="001176AF">
        <w:rPr>
          <w:sz w:val="22"/>
        </w:rPr>
        <w:t>NUREG-1537</w:t>
      </w:r>
      <w:r w:rsidRPr="00595219" w:rsidR="00595219">
        <w:rPr>
          <w:sz w:val="22"/>
        </w:rPr>
        <w:t xml:space="preserve"> </w:t>
      </w:r>
      <w:r w:rsidRPr="001176AF" w:rsidR="00595219">
        <w:rPr>
          <w:sz w:val="22"/>
        </w:rPr>
        <w:t>to qualify for non</w:t>
      </w:r>
      <w:r w:rsidR="00595219">
        <w:rPr>
          <w:sz w:val="22"/>
        </w:rPr>
        <w:t>-</w:t>
      </w:r>
      <w:r w:rsidRPr="001176AF" w:rsidR="00595219">
        <w:rPr>
          <w:sz w:val="22"/>
        </w:rPr>
        <w:t>expiring license terms</w:t>
      </w:r>
      <w:r w:rsidRPr="001176AF">
        <w:rPr>
          <w:sz w:val="22"/>
        </w:rPr>
        <w:t xml:space="preserve"> to ensure that each </w:t>
      </w:r>
      <w:r w:rsidRPr="001176AF" w:rsidR="008F102F">
        <w:rPr>
          <w:sz w:val="22"/>
        </w:rPr>
        <w:t>licensee</w:t>
      </w:r>
      <w:r w:rsidRPr="001176AF">
        <w:rPr>
          <w:sz w:val="22"/>
        </w:rPr>
        <w:t xml:space="preserve">’s licensing basis has been </w:t>
      </w:r>
      <w:r w:rsidR="000B5298">
        <w:rPr>
          <w:sz w:val="22"/>
        </w:rPr>
        <w:t>appropriately maintained</w:t>
      </w:r>
      <w:r w:rsidRPr="001176AF">
        <w:rPr>
          <w:sz w:val="22"/>
        </w:rPr>
        <w:t>.</w:t>
      </w:r>
      <w:r>
        <w:rPr>
          <w:vertAlign w:val="superscript"/>
        </w:rPr>
        <w:footnoteReference w:id="15"/>
      </w:r>
      <w:r w:rsidRPr="0053647B">
        <w:rPr>
          <w:sz w:val="22"/>
        </w:rPr>
        <w:t xml:space="preserve"> </w:t>
      </w:r>
      <w:r w:rsidR="009221DF">
        <w:rPr>
          <w:sz w:val="22"/>
        </w:rPr>
        <w:t xml:space="preserve"> </w:t>
      </w:r>
      <w:r w:rsidRPr="0053647B">
        <w:rPr>
          <w:sz w:val="22"/>
        </w:rPr>
        <w:t xml:space="preserve">This </w:t>
      </w:r>
      <w:r w:rsidRPr="001176AF" w:rsidR="00BC5E9F">
        <w:rPr>
          <w:sz w:val="22"/>
        </w:rPr>
        <w:t>final</w:t>
      </w:r>
      <w:r w:rsidRPr="001176AF">
        <w:rPr>
          <w:sz w:val="22"/>
        </w:rPr>
        <w:t xml:space="preserve"> rule </w:t>
      </w:r>
      <w:r w:rsidRPr="001176AF" w:rsidR="00BC5E9F">
        <w:rPr>
          <w:sz w:val="22"/>
        </w:rPr>
        <w:t>will</w:t>
      </w:r>
      <w:r w:rsidRPr="001176AF">
        <w:rPr>
          <w:sz w:val="22"/>
        </w:rPr>
        <w:t xml:space="preserve"> add new requirements such as </w:t>
      </w:r>
      <w:r w:rsidRPr="001176AF" w:rsidR="005F4A41">
        <w:rPr>
          <w:sz w:val="22"/>
        </w:rPr>
        <w:t xml:space="preserve">the </w:t>
      </w:r>
      <w:r w:rsidRPr="00D839EE" w:rsidR="009403B2">
        <w:rPr>
          <w:sz w:val="22"/>
          <w:szCs w:val="22"/>
        </w:rPr>
        <w:t xml:space="preserve">submittal </w:t>
      </w:r>
      <w:r w:rsidR="009403B2">
        <w:rPr>
          <w:sz w:val="22"/>
          <w:szCs w:val="22"/>
        </w:rPr>
        <w:t xml:space="preserve">of </w:t>
      </w:r>
      <w:r w:rsidRPr="0012580F" w:rsidR="009403B2">
        <w:rPr>
          <w:sz w:val="22"/>
          <w:szCs w:val="22"/>
        </w:rPr>
        <w:t>updated FSARs and subsequent</w:t>
      </w:r>
      <w:r w:rsidRPr="00CC34E5" w:rsidR="009403B2">
        <w:rPr>
          <w:sz w:val="22"/>
        </w:rPr>
        <w:t xml:space="preserve"> FSAR updates</w:t>
      </w:r>
      <w:r w:rsidRPr="0012580F" w:rsidR="009403B2">
        <w:rPr>
          <w:sz w:val="22"/>
          <w:szCs w:val="22"/>
        </w:rPr>
        <w:t xml:space="preserve"> to the NRC at intervals not to exceed 5 years</w:t>
      </w:r>
      <w:r w:rsidRPr="0053647B">
        <w:rPr>
          <w:sz w:val="22"/>
        </w:rPr>
        <w:t xml:space="preserve">, which </w:t>
      </w:r>
      <w:r w:rsidRPr="001176AF" w:rsidR="00BC5E9F">
        <w:rPr>
          <w:sz w:val="22"/>
        </w:rPr>
        <w:t>will</w:t>
      </w:r>
      <w:r w:rsidRPr="001176AF">
        <w:rPr>
          <w:sz w:val="22"/>
        </w:rPr>
        <w:t xml:space="preserve"> help ensure that a licensee does not lose its licensing basis over time.</w:t>
      </w:r>
      <w:r>
        <w:rPr>
          <w:rStyle w:val="FootnoteReference"/>
          <w:sz w:val="22"/>
          <w:szCs w:val="22"/>
        </w:rPr>
        <w:footnoteReference w:id="16"/>
      </w:r>
      <w:r w:rsidRPr="001176AF">
        <w:rPr>
          <w:sz w:val="22"/>
        </w:rPr>
        <w:t xml:space="preserve">  </w:t>
      </w:r>
      <w:r w:rsidRPr="000B5298" w:rsidR="000B5298">
        <w:rPr>
          <w:sz w:val="22"/>
        </w:rPr>
        <w:t xml:space="preserve">Recurring FSAR updates by licensees and reviews by the NRC will increase licensees’ focus on maintaining their facilities’ licensing bases.  In addition, the public will remain informed about facility operations through the publicly available FSAR submittals and will continue to have opportunities to participate in the regulatory process through licensing actions and the </w:t>
      </w:r>
      <w:r w:rsidR="000B5298">
        <w:rPr>
          <w:sz w:val="22"/>
        </w:rPr>
        <w:t>10 CFR</w:t>
      </w:r>
      <w:r w:rsidRPr="000B5298" w:rsidR="000B5298">
        <w:rPr>
          <w:sz w:val="22"/>
        </w:rPr>
        <w:t xml:space="preserve"> 2.206 petition process.  </w:t>
      </w:r>
      <w:r w:rsidRPr="000B5298" w:rsidR="000B5298">
        <w:rPr>
          <w:sz w:val="22"/>
          <w:lang w:val="en"/>
        </w:rPr>
        <w:t xml:space="preserve">By eliminating license terms and requiring periodic FSAR update submittals, coupled with existing oversight processes, the NRC will reduce the burden on the affected licensees and the NRC, which is consistent with the AEA and supports </w:t>
      </w:r>
      <w:r w:rsidRPr="000B5298" w:rsidR="000B5298">
        <w:rPr>
          <w:sz w:val="22"/>
        </w:rPr>
        <w:t>the NRC’s goal of efficient and effective licensing</w:t>
      </w:r>
      <w:r w:rsidRPr="000B5298" w:rsidR="000B5298">
        <w:rPr>
          <w:sz w:val="22"/>
          <w:lang w:val="en"/>
        </w:rPr>
        <w:t>.</w:t>
      </w:r>
      <w:r w:rsidR="00595219">
        <w:rPr>
          <w:sz w:val="22"/>
          <w:lang w:val="en"/>
        </w:rPr>
        <w:t xml:space="preserve">  In addition, recurring FSAR updates will </w:t>
      </w:r>
      <w:r w:rsidRPr="00595219" w:rsidR="00595219">
        <w:rPr>
          <w:sz w:val="22"/>
          <w:lang w:val="en"/>
        </w:rPr>
        <w:t>maintain continuity of knowledge both for the licensee and the NRC and the understanding of changes and effects of changes on the facility</w:t>
      </w:r>
      <w:r w:rsidR="00595219">
        <w:rPr>
          <w:sz w:val="22"/>
          <w:lang w:val="en"/>
        </w:rPr>
        <w:t>.</w:t>
      </w:r>
      <w:r w:rsidRPr="00595219" w:rsidR="00595219">
        <w:rPr>
          <w:sz w:val="22"/>
          <w:lang w:val="en"/>
        </w:rPr>
        <w:t xml:space="preserve"> </w:t>
      </w:r>
      <w:r w:rsidRPr="001176AF">
        <w:rPr>
          <w:sz w:val="22"/>
        </w:rPr>
        <w:t xml:space="preserve"> </w:t>
      </w:r>
    </w:p>
    <w:p w:rsidR="00BF5AC4" w:rsidRPr="00346B95" w:rsidP="00346B95" w14:paraId="7F493B0F" w14:textId="77777777">
      <w:pPr>
        <w:pStyle w:val="Heading3"/>
        <w:spacing w:after="220"/>
      </w:pPr>
      <w:bookmarkStart w:id="357" w:name="_Toc443852803"/>
      <w:bookmarkStart w:id="358" w:name="_Toc530073292"/>
      <w:bookmarkStart w:id="359" w:name="_Toc534037110"/>
      <w:bookmarkStart w:id="360" w:name="_Toc534699730"/>
      <w:bookmarkStart w:id="361" w:name="_Toc536603298"/>
      <w:r w:rsidRPr="00346B95">
        <w:t>3.4.</w:t>
      </w:r>
      <w:r w:rsidRPr="00D96410" w:rsidR="00FF7F8D">
        <w:t>2</w:t>
      </w:r>
      <w:r w:rsidRPr="00D839EE">
        <w:t xml:space="preserve"> </w:t>
      </w:r>
      <w:r w:rsidRPr="00346B95">
        <w:t>Benefits Associated with Regulatory Efficiency</w:t>
      </w:r>
      <w:bookmarkEnd w:id="357"/>
      <w:bookmarkEnd w:id="358"/>
      <w:bookmarkEnd w:id="359"/>
      <w:bookmarkEnd w:id="360"/>
      <w:bookmarkEnd w:id="361"/>
      <w:r w:rsidRPr="00346B95">
        <w:t xml:space="preserve"> </w:t>
      </w:r>
    </w:p>
    <w:p w:rsidR="0082381C" w:rsidP="0082381C" w14:paraId="7F493B10" w14:textId="77777777">
      <w:pPr>
        <w:rPr>
          <w:rFonts w:cs="Arial"/>
          <w:sz w:val="22"/>
          <w:szCs w:val="22"/>
        </w:rPr>
      </w:pPr>
      <w:r w:rsidRPr="00496D9C">
        <w:rPr>
          <w:rFonts w:cs="Arial"/>
          <w:sz w:val="22"/>
          <w:szCs w:val="22"/>
        </w:rPr>
        <w:t>Under Option 3 (the final rule), the NRC anticipates that the requirements will result in regulatory efficiency</w:t>
      </w:r>
      <w:r>
        <w:rPr>
          <w:rFonts w:cs="Arial"/>
          <w:sz w:val="22"/>
          <w:szCs w:val="22"/>
        </w:rPr>
        <w:t xml:space="preserve"> through</w:t>
      </w:r>
      <w:r w:rsidRPr="008B02BB">
        <w:rPr>
          <w:rFonts w:cs="Arial"/>
          <w:sz w:val="22"/>
          <w:szCs w:val="22"/>
        </w:rPr>
        <w:t xml:space="preserve"> improved stability, predictability, and clarity </w:t>
      </w:r>
      <w:r>
        <w:rPr>
          <w:rFonts w:cs="Arial"/>
          <w:sz w:val="22"/>
          <w:szCs w:val="22"/>
        </w:rPr>
        <w:t>of the licens</w:t>
      </w:r>
      <w:r w:rsidR="009009AC">
        <w:rPr>
          <w:rFonts w:cs="Arial"/>
          <w:sz w:val="22"/>
          <w:szCs w:val="22"/>
        </w:rPr>
        <w:t xml:space="preserve">e renewal </w:t>
      </w:r>
      <w:r>
        <w:rPr>
          <w:rFonts w:cs="Arial"/>
          <w:sz w:val="22"/>
          <w:szCs w:val="22"/>
        </w:rPr>
        <w:t>process.</w:t>
      </w:r>
    </w:p>
    <w:p w:rsidR="0082381C" w:rsidP="0082381C" w14:paraId="7F493B11" w14:textId="77777777">
      <w:pPr>
        <w:rPr>
          <w:rFonts w:cs="Arial"/>
          <w:sz w:val="22"/>
          <w:szCs w:val="22"/>
        </w:rPr>
      </w:pPr>
    </w:p>
    <w:p w:rsidR="0082381C" w:rsidP="0082381C" w14:paraId="7F493B12" w14:textId="77777777">
      <w:pPr>
        <w:rPr>
          <w:rFonts w:cs="Arial"/>
          <w:sz w:val="22"/>
          <w:szCs w:val="22"/>
        </w:rPr>
      </w:pPr>
      <w:r w:rsidRPr="008B02BB">
        <w:rPr>
          <w:rFonts w:cs="Arial"/>
          <w:sz w:val="22"/>
          <w:szCs w:val="22"/>
        </w:rPr>
        <w:t>The final rule explicitly defines the regulatory requirements governing the license renewal process and updat</w:t>
      </w:r>
      <w:r>
        <w:rPr>
          <w:rFonts w:cs="Arial"/>
          <w:sz w:val="22"/>
          <w:szCs w:val="22"/>
        </w:rPr>
        <w:t>es</w:t>
      </w:r>
      <w:r w:rsidRPr="008B02BB">
        <w:rPr>
          <w:rFonts w:cs="Arial"/>
          <w:sz w:val="22"/>
          <w:szCs w:val="22"/>
        </w:rPr>
        <w:t xml:space="preserve"> the timely renewal requirements in </w:t>
      </w:r>
      <w:r w:rsidR="007F2762">
        <w:rPr>
          <w:rFonts w:cs="Arial"/>
          <w:sz w:val="22"/>
          <w:szCs w:val="22"/>
        </w:rPr>
        <w:t>10 CFR</w:t>
      </w:r>
      <w:r w:rsidRPr="008B02BB" w:rsidR="007F2762">
        <w:rPr>
          <w:rFonts w:cs="Arial"/>
          <w:sz w:val="22"/>
          <w:szCs w:val="22"/>
        </w:rPr>
        <w:t xml:space="preserve"> </w:t>
      </w:r>
      <w:r w:rsidRPr="008B02BB">
        <w:rPr>
          <w:rFonts w:cs="Arial"/>
          <w:sz w:val="22"/>
          <w:szCs w:val="22"/>
        </w:rPr>
        <w:t xml:space="preserve">2.109 </w:t>
      </w:r>
      <w:r>
        <w:rPr>
          <w:rFonts w:cs="Arial"/>
          <w:sz w:val="22"/>
          <w:szCs w:val="22"/>
        </w:rPr>
        <w:t xml:space="preserve">to </w:t>
      </w:r>
      <w:r w:rsidRPr="008B02BB">
        <w:rPr>
          <w:rFonts w:cs="Arial"/>
          <w:sz w:val="22"/>
          <w:szCs w:val="22"/>
        </w:rPr>
        <w:t xml:space="preserve">provide additional time for </w:t>
      </w:r>
      <w:r w:rsidR="009009AC">
        <w:rPr>
          <w:rFonts w:cs="Arial"/>
          <w:sz w:val="22"/>
          <w:szCs w:val="22"/>
        </w:rPr>
        <w:t xml:space="preserve">the NRC to perform </w:t>
      </w:r>
      <w:r w:rsidRPr="008B02BB">
        <w:rPr>
          <w:rFonts w:cs="Arial"/>
          <w:sz w:val="22"/>
          <w:szCs w:val="22"/>
        </w:rPr>
        <w:t>an acceptance review</w:t>
      </w:r>
      <w:r w:rsidR="000B5298">
        <w:rPr>
          <w:rFonts w:cs="Arial"/>
          <w:sz w:val="22"/>
          <w:szCs w:val="22"/>
        </w:rPr>
        <w:t xml:space="preserve"> and, in many cases, conduct the license renewal review</w:t>
      </w:r>
      <w:r w:rsidRPr="008B02BB">
        <w:rPr>
          <w:rFonts w:cs="Arial"/>
          <w:sz w:val="22"/>
          <w:szCs w:val="22"/>
        </w:rPr>
        <w:t xml:space="preserve">.  </w:t>
      </w:r>
      <w:r w:rsidR="000B5298">
        <w:rPr>
          <w:rFonts w:cs="Arial"/>
          <w:sz w:val="22"/>
          <w:szCs w:val="22"/>
        </w:rPr>
        <w:t>Challenges with the current license renewal process</w:t>
      </w:r>
      <w:r w:rsidR="009009AC">
        <w:rPr>
          <w:rFonts w:cs="Arial"/>
          <w:sz w:val="22"/>
          <w:szCs w:val="22"/>
        </w:rPr>
        <w:t xml:space="preserve"> contributed to</w:t>
      </w:r>
      <w:r w:rsidRPr="008B02BB">
        <w:rPr>
          <w:rFonts w:cs="Arial"/>
          <w:sz w:val="22"/>
          <w:szCs w:val="22"/>
        </w:rPr>
        <w:t xml:space="preserve"> long </w:t>
      </w:r>
      <w:r w:rsidR="000B5298">
        <w:rPr>
          <w:rFonts w:cs="Arial"/>
          <w:sz w:val="22"/>
          <w:szCs w:val="22"/>
        </w:rPr>
        <w:t xml:space="preserve">review </w:t>
      </w:r>
      <w:r w:rsidRPr="008B02BB">
        <w:rPr>
          <w:rFonts w:cs="Arial"/>
          <w:sz w:val="22"/>
          <w:szCs w:val="22"/>
        </w:rPr>
        <w:t>durations</w:t>
      </w:r>
      <w:r w:rsidR="000B5298">
        <w:rPr>
          <w:rFonts w:cs="Arial"/>
          <w:sz w:val="22"/>
          <w:szCs w:val="22"/>
        </w:rPr>
        <w:t xml:space="preserve"> and</w:t>
      </w:r>
      <w:r w:rsidRPr="008B02BB">
        <w:rPr>
          <w:rFonts w:cs="Arial"/>
          <w:sz w:val="22"/>
          <w:szCs w:val="22"/>
        </w:rPr>
        <w:t xml:space="preserve"> </w:t>
      </w:r>
      <w:r w:rsidR="001678E3">
        <w:rPr>
          <w:rFonts w:cs="Arial"/>
          <w:sz w:val="22"/>
          <w:szCs w:val="22"/>
        </w:rPr>
        <w:t>additional</w:t>
      </w:r>
      <w:r w:rsidRPr="008B02BB" w:rsidR="001678E3">
        <w:rPr>
          <w:rFonts w:cs="Arial"/>
          <w:sz w:val="22"/>
          <w:szCs w:val="22"/>
        </w:rPr>
        <w:t xml:space="preserve"> </w:t>
      </w:r>
      <w:r w:rsidRPr="008B02BB">
        <w:rPr>
          <w:rFonts w:cs="Arial"/>
          <w:sz w:val="22"/>
          <w:szCs w:val="22"/>
        </w:rPr>
        <w:t xml:space="preserve">costs </w:t>
      </w:r>
      <w:r w:rsidR="009009AC">
        <w:rPr>
          <w:rFonts w:cs="Arial"/>
          <w:sz w:val="22"/>
          <w:szCs w:val="22"/>
        </w:rPr>
        <w:t xml:space="preserve">to the NRC and licensees </w:t>
      </w:r>
      <w:r w:rsidR="000B5298">
        <w:rPr>
          <w:rFonts w:cs="Arial"/>
          <w:sz w:val="22"/>
          <w:szCs w:val="22"/>
        </w:rPr>
        <w:t>to address deficiencies in licensees’ documentation</w:t>
      </w:r>
      <w:r w:rsidRPr="008B02BB">
        <w:rPr>
          <w:rFonts w:cs="Arial"/>
          <w:sz w:val="22"/>
          <w:szCs w:val="22"/>
        </w:rPr>
        <w:t>.</w:t>
      </w:r>
    </w:p>
    <w:p w:rsidR="0082381C" w:rsidP="0082381C" w14:paraId="7F493B13" w14:textId="77777777">
      <w:pPr>
        <w:rPr>
          <w:rFonts w:cs="Arial"/>
          <w:sz w:val="22"/>
          <w:szCs w:val="22"/>
        </w:rPr>
      </w:pPr>
    </w:p>
    <w:p w:rsidR="009009AC" w:rsidRPr="009009AC" w:rsidP="009009AC" w14:paraId="7F493B14" w14:textId="77777777">
      <w:pPr>
        <w:rPr>
          <w:sz w:val="22"/>
          <w:szCs w:val="22"/>
        </w:rPr>
      </w:pPr>
      <w:r>
        <w:rPr>
          <w:sz w:val="22"/>
          <w:szCs w:val="22"/>
        </w:rPr>
        <w:t>Under Option 3, t</w:t>
      </w:r>
      <w:r w:rsidRPr="009009AC">
        <w:rPr>
          <w:sz w:val="22"/>
          <w:szCs w:val="22"/>
        </w:rPr>
        <w:t xml:space="preserve">he final rule </w:t>
      </w:r>
      <w:r w:rsidR="000B5298">
        <w:rPr>
          <w:sz w:val="22"/>
          <w:szCs w:val="22"/>
        </w:rPr>
        <w:t>creates</w:t>
      </w:r>
      <w:r w:rsidRPr="009009AC">
        <w:rPr>
          <w:sz w:val="22"/>
          <w:szCs w:val="22"/>
        </w:rPr>
        <w:t xml:space="preserve"> a </w:t>
      </w:r>
      <w:r w:rsidR="005351B8">
        <w:rPr>
          <w:sz w:val="22"/>
          <w:szCs w:val="22"/>
        </w:rPr>
        <w:t xml:space="preserve">consolidated </w:t>
      </w:r>
      <w:r w:rsidR="000B5298">
        <w:rPr>
          <w:sz w:val="22"/>
          <w:szCs w:val="22"/>
        </w:rPr>
        <w:t xml:space="preserve">regulatory framework for NPUF </w:t>
      </w:r>
      <w:r w:rsidRPr="009009AC">
        <w:rPr>
          <w:sz w:val="22"/>
          <w:szCs w:val="22"/>
        </w:rPr>
        <w:t xml:space="preserve">license renewal in </w:t>
      </w:r>
      <w:r w:rsidR="007F2762">
        <w:rPr>
          <w:sz w:val="22"/>
          <w:szCs w:val="22"/>
        </w:rPr>
        <w:t>10</w:t>
      </w:r>
      <w:r w:rsidR="000B5298">
        <w:rPr>
          <w:sz w:val="22"/>
          <w:szCs w:val="22"/>
        </w:rPr>
        <w:t> </w:t>
      </w:r>
      <w:r w:rsidR="007F2762">
        <w:rPr>
          <w:sz w:val="22"/>
          <w:szCs w:val="22"/>
        </w:rPr>
        <w:t>CFR</w:t>
      </w:r>
      <w:r w:rsidR="000B5298">
        <w:rPr>
          <w:sz w:val="22"/>
          <w:szCs w:val="22"/>
        </w:rPr>
        <w:t> </w:t>
      </w:r>
      <w:r w:rsidRPr="009009AC">
        <w:rPr>
          <w:sz w:val="22"/>
          <w:szCs w:val="22"/>
        </w:rPr>
        <w:t>50.135</w:t>
      </w:r>
      <w:r w:rsidR="00A4475E">
        <w:rPr>
          <w:sz w:val="22"/>
          <w:szCs w:val="22"/>
        </w:rPr>
        <w:t>.</w:t>
      </w:r>
      <w:r w:rsidRPr="009009AC">
        <w:rPr>
          <w:sz w:val="22"/>
          <w:szCs w:val="22"/>
        </w:rPr>
        <w:t xml:space="preserve">  Th</w:t>
      </w:r>
      <w:r w:rsidR="005351B8">
        <w:rPr>
          <w:sz w:val="22"/>
          <w:szCs w:val="22"/>
        </w:rPr>
        <w:t>is</w:t>
      </w:r>
      <w:r w:rsidRPr="009009AC">
        <w:rPr>
          <w:sz w:val="22"/>
          <w:szCs w:val="22"/>
        </w:rPr>
        <w:t xml:space="preserve"> framework provides stability, predictability, and clarity for the license renewal process.  In addition, for NPUFs that will continue to undergo license renewal, the requirements for updated FSARs, subsequent FSAR submittals, and the amended timely renewal provision will create efficiencies during the license renewal process by reducing the number and scope of requests for additional information and the </w:t>
      </w:r>
      <w:r w:rsidR="000B5298">
        <w:rPr>
          <w:sz w:val="22"/>
          <w:szCs w:val="22"/>
        </w:rPr>
        <w:t>NRC’s review</w:t>
      </w:r>
      <w:r w:rsidRPr="009009AC">
        <w:rPr>
          <w:sz w:val="22"/>
          <w:szCs w:val="22"/>
        </w:rPr>
        <w:t xml:space="preserve"> time. </w:t>
      </w:r>
      <w:r>
        <w:rPr>
          <w:sz w:val="22"/>
          <w:szCs w:val="22"/>
        </w:rPr>
        <w:t xml:space="preserve"> </w:t>
      </w:r>
      <w:r w:rsidRPr="009009AC">
        <w:rPr>
          <w:sz w:val="22"/>
          <w:szCs w:val="22"/>
        </w:rPr>
        <w:t xml:space="preserve">As a result, the NRC and licensees will expend </w:t>
      </w:r>
      <w:r w:rsidR="005351B8">
        <w:rPr>
          <w:sz w:val="22"/>
          <w:szCs w:val="22"/>
        </w:rPr>
        <w:t>fewer</w:t>
      </w:r>
      <w:r w:rsidRPr="009009AC" w:rsidR="005351B8">
        <w:rPr>
          <w:sz w:val="22"/>
          <w:szCs w:val="22"/>
        </w:rPr>
        <w:t xml:space="preserve"> </w:t>
      </w:r>
      <w:r w:rsidRPr="009009AC">
        <w:rPr>
          <w:sz w:val="22"/>
          <w:szCs w:val="22"/>
        </w:rPr>
        <w:t>resources during the license renewal process.</w:t>
      </w:r>
    </w:p>
    <w:p w:rsidR="00BF5AC4" w:rsidRPr="00346B95" w:rsidP="00346B95" w14:paraId="7F493B15" w14:textId="77777777">
      <w:pPr>
        <w:pStyle w:val="Heading2"/>
        <w:spacing w:after="220"/>
      </w:pPr>
      <w:bookmarkStart w:id="362" w:name="_Toc443852804"/>
      <w:bookmarkStart w:id="363" w:name="_Toc530073293"/>
      <w:bookmarkStart w:id="364" w:name="_Toc534037111"/>
      <w:bookmarkStart w:id="365" w:name="_Toc534699731"/>
      <w:bookmarkStart w:id="366" w:name="_Toc434330237"/>
      <w:bookmarkStart w:id="367" w:name="_Toc536603299"/>
      <w:r w:rsidRPr="00346B95">
        <w:t>3.5</w:t>
      </w:r>
      <w:r w:rsidRPr="00346B95">
        <w:tab/>
        <w:t>Disaggregation</w:t>
      </w:r>
      <w:bookmarkEnd w:id="362"/>
      <w:bookmarkEnd w:id="363"/>
      <w:bookmarkEnd w:id="364"/>
      <w:bookmarkEnd w:id="365"/>
      <w:bookmarkEnd w:id="366"/>
      <w:bookmarkEnd w:id="367"/>
    </w:p>
    <w:p w:rsidR="006617CF" w:rsidRPr="00D839EE" w:rsidP="00053E19" w14:paraId="7F493B16" w14:textId="5A824EE2">
      <w:pPr>
        <w:rPr>
          <w:rFonts w:cs="Arial"/>
          <w:sz w:val="22"/>
          <w:szCs w:val="22"/>
        </w:rPr>
      </w:pPr>
      <w:r w:rsidRPr="00053E19">
        <w:rPr>
          <w:rFonts w:cs="Arial"/>
          <w:sz w:val="22"/>
          <w:szCs w:val="22"/>
        </w:rPr>
        <w:t xml:space="preserve">To </w:t>
      </w:r>
      <w:r w:rsidR="000B5298">
        <w:rPr>
          <w:rFonts w:cs="Arial"/>
          <w:sz w:val="22"/>
          <w:szCs w:val="22"/>
        </w:rPr>
        <w:t>conform to</w:t>
      </w:r>
      <w:r w:rsidRPr="00053E19">
        <w:rPr>
          <w:rFonts w:cs="Arial"/>
          <w:sz w:val="22"/>
          <w:szCs w:val="22"/>
        </w:rPr>
        <w:t xml:space="preserve"> the guidance in </w:t>
      </w:r>
      <w:r w:rsidR="000B5298">
        <w:rPr>
          <w:rFonts w:cs="Arial"/>
          <w:sz w:val="22"/>
          <w:szCs w:val="22"/>
        </w:rPr>
        <w:t xml:space="preserve">draft final </w:t>
      </w:r>
      <w:r w:rsidRPr="00053E19">
        <w:rPr>
          <w:rFonts w:cs="Arial"/>
          <w:sz w:val="22"/>
          <w:szCs w:val="22"/>
        </w:rPr>
        <w:t>NUREG/BR-0058, Section 4.3.2, “Criteria for the Treatment of</w:t>
      </w:r>
      <w:r w:rsidR="000B5298">
        <w:rPr>
          <w:rFonts w:cs="Arial"/>
          <w:sz w:val="22"/>
          <w:szCs w:val="22"/>
        </w:rPr>
        <w:t xml:space="preserve"> </w:t>
      </w:r>
      <w:r w:rsidRPr="00053E19">
        <w:rPr>
          <w:rFonts w:cs="Arial"/>
          <w:sz w:val="22"/>
          <w:szCs w:val="22"/>
        </w:rPr>
        <w:t xml:space="preserve">Individual Requirements” </w:t>
      </w:r>
      <w:r w:rsidR="009B7928">
        <w:rPr>
          <w:rFonts w:cs="Arial"/>
          <w:sz w:val="22"/>
          <w:szCs w:val="22"/>
        </w:rPr>
        <w:t>(</w:t>
      </w:r>
      <w:r w:rsidRPr="00C520D9" w:rsidR="009B7928">
        <w:rPr>
          <w:rFonts w:cs="Arial"/>
          <w:sz w:val="22"/>
          <w:szCs w:val="22"/>
        </w:rPr>
        <w:t>Ref</w:t>
      </w:r>
      <w:r w:rsidRPr="00C520D9" w:rsidR="00F77564">
        <w:rPr>
          <w:rFonts w:cs="Arial"/>
          <w:sz w:val="22"/>
          <w:szCs w:val="22"/>
        </w:rPr>
        <w:t>.</w:t>
      </w:r>
      <w:r w:rsidRPr="00C520D9" w:rsidR="009B7928">
        <w:rPr>
          <w:rFonts w:cs="Arial"/>
          <w:sz w:val="22"/>
          <w:szCs w:val="22"/>
        </w:rPr>
        <w:t xml:space="preserve"> </w:t>
      </w:r>
      <w:r w:rsidR="00AA56A2">
        <w:rPr>
          <w:rFonts w:cs="Arial"/>
          <w:sz w:val="22"/>
          <w:szCs w:val="22"/>
        </w:rPr>
        <w:t>24</w:t>
      </w:r>
      <w:r w:rsidR="009B7928">
        <w:rPr>
          <w:rFonts w:cs="Arial"/>
          <w:sz w:val="22"/>
          <w:szCs w:val="22"/>
        </w:rPr>
        <w:t>)</w:t>
      </w:r>
      <w:r w:rsidR="00A4475E">
        <w:rPr>
          <w:rFonts w:cs="Arial"/>
          <w:sz w:val="22"/>
          <w:szCs w:val="22"/>
        </w:rPr>
        <w:t>,</w:t>
      </w:r>
      <w:r w:rsidRPr="00053E19">
        <w:rPr>
          <w:rFonts w:cs="Arial"/>
          <w:sz w:val="22"/>
          <w:szCs w:val="22"/>
        </w:rPr>
        <w:t xml:space="preserve"> the NRC performed a screening </w:t>
      </w:r>
      <w:r>
        <w:rPr>
          <w:rFonts w:cs="Arial"/>
          <w:sz w:val="22"/>
          <w:szCs w:val="22"/>
        </w:rPr>
        <w:t>review to determine whether the final</w:t>
      </w:r>
      <w:r w:rsidRPr="00053E19">
        <w:rPr>
          <w:rFonts w:cs="Arial"/>
          <w:sz w:val="22"/>
          <w:szCs w:val="22"/>
        </w:rPr>
        <w:t xml:space="preserve"> rule </w:t>
      </w:r>
      <w:r>
        <w:rPr>
          <w:rFonts w:cs="Arial"/>
          <w:sz w:val="22"/>
          <w:szCs w:val="22"/>
        </w:rPr>
        <w:t>is</w:t>
      </w:r>
      <w:r w:rsidRPr="00053E19">
        <w:rPr>
          <w:rFonts w:cs="Arial"/>
          <w:sz w:val="22"/>
          <w:szCs w:val="22"/>
        </w:rPr>
        <w:t xml:space="preserve"> unnecessary to achieve the objectives of the rulemaking.</w:t>
      </w:r>
      <w:r w:rsidR="003A7F24">
        <w:rPr>
          <w:rFonts w:cs="Arial"/>
          <w:sz w:val="22"/>
          <w:szCs w:val="22"/>
        </w:rPr>
        <w:t xml:space="preserve"> </w:t>
      </w:r>
      <w:r w:rsidR="00220B8F">
        <w:rPr>
          <w:rFonts w:cs="Arial"/>
          <w:sz w:val="22"/>
          <w:szCs w:val="22"/>
        </w:rPr>
        <w:t xml:space="preserve"> </w:t>
      </w:r>
      <w:r w:rsidRPr="00CF41A7" w:rsidR="00E05F2C">
        <w:rPr>
          <w:rFonts w:cs="Arial"/>
          <w:sz w:val="22"/>
          <w:szCs w:val="22"/>
        </w:rPr>
        <w:fldChar w:fldCharType="begin"/>
      </w:r>
      <w:r w:rsidRPr="00CF41A7" w:rsidR="00E05F2C">
        <w:rPr>
          <w:rFonts w:cs="Arial"/>
          <w:sz w:val="22"/>
          <w:szCs w:val="22"/>
        </w:rPr>
        <w:instrText xml:space="preserve"> REF _Ref534036037 \h </w:instrText>
      </w:r>
      <w:r w:rsidRPr="00B45BB6" w:rsidR="00E05F2C">
        <w:rPr>
          <w:rFonts w:cs="Arial"/>
          <w:sz w:val="22"/>
          <w:szCs w:val="22"/>
        </w:rPr>
        <w:instrText xml:space="preserve"> \* MERGEFORMAT </w:instrText>
      </w:r>
      <w:r w:rsidRPr="00CF41A7" w:rsidR="00E05F2C">
        <w:rPr>
          <w:rFonts w:cs="Arial"/>
          <w:sz w:val="22"/>
          <w:szCs w:val="22"/>
        </w:rPr>
        <w:fldChar w:fldCharType="separate"/>
      </w:r>
      <w:r w:rsidRPr="00977795" w:rsidR="00977795">
        <w:rPr>
          <w:sz w:val="22"/>
          <w:szCs w:val="22"/>
        </w:rPr>
        <w:t>Exhibit 3</w:t>
      </w:r>
      <w:r w:rsidRPr="00977795" w:rsidR="00977795">
        <w:rPr>
          <w:sz w:val="22"/>
          <w:szCs w:val="22"/>
        </w:rPr>
        <w:noBreakHyphen/>
        <w:t>22</w:t>
      </w:r>
      <w:r w:rsidRPr="00CF41A7" w:rsidR="00E05F2C">
        <w:rPr>
          <w:rFonts w:cs="Arial"/>
          <w:sz w:val="22"/>
          <w:szCs w:val="22"/>
        </w:rPr>
        <w:fldChar w:fldCharType="end"/>
      </w:r>
      <w:r w:rsidR="00E05F2C">
        <w:rPr>
          <w:rFonts w:cs="Arial"/>
          <w:sz w:val="22"/>
          <w:szCs w:val="22"/>
        </w:rPr>
        <w:t xml:space="preserve"> </w:t>
      </w:r>
      <w:r>
        <w:rPr>
          <w:rFonts w:cs="Arial"/>
          <w:sz w:val="22"/>
          <w:szCs w:val="22"/>
        </w:rPr>
        <w:t>shows how each component of the rule corresponds to the final rule’s</w:t>
      </w:r>
      <w:r w:rsidR="007C3B47">
        <w:rPr>
          <w:rFonts w:cs="Arial"/>
          <w:sz w:val="22"/>
          <w:szCs w:val="22"/>
        </w:rPr>
        <w:t xml:space="preserve"> objective</w:t>
      </w:r>
      <w:r>
        <w:rPr>
          <w:rFonts w:cs="Arial"/>
          <w:sz w:val="22"/>
          <w:szCs w:val="22"/>
        </w:rPr>
        <w:t>s</w:t>
      </w:r>
      <w:r w:rsidR="007C3B47">
        <w:rPr>
          <w:rFonts w:cs="Arial"/>
          <w:sz w:val="22"/>
          <w:szCs w:val="22"/>
        </w:rPr>
        <w:t xml:space="preserve">. </w:t>
      </w:r>
      <w:r w:rsidRPr="00B3416F" w:rsidR="00B3416F">
        <w:rPr>
          <w:rFonts w:cs="Arial"/>
          <w:sz w:val="22"/>
          <w:szCs w:val="22"/>
        </w:rPr>
        <w:t xml:space="preserve"> </w:t>
      </w:r>
      <w:r w:rsidRPr="00F84E5E" w:rsidR="00B3416F">
        <w:rPr>
          <w:rFonts w:cs="Arial"/>
          <w:sz w:val="22"/>
          <w:szCs w:val="22"/>
        </w:rPr>
        <w:fldChar w:fldCharType="begin"/>
      </w:r>
      <w:r w:rsidRPr="00B3416F" w:rsidR="00B3416F">
        <w:rPr>
          <w:rFonts w:cs="Arial"/>
          <w:sz w:val="22"/>
          <w:szCs w:val="22"/>
        </w:rPr>
        <w:instrText xml:space="preserve"> REF _Ref534641510 \h </w:instrText>
      </w:r>
      <w:r w:rsidRPr="001F3201" w:rsidR="00B3416F">
        <w:rPr>
          <w:rFonts w:cs="Arial"/>
          <w:sz w:val="22"/>
          <w:szCs w:val="22"/>
        </w:rPr>
        <w:instrText xml:space="preserve"> \* MERGEFORMAT </w:instrText>
      </w:r>
      <w:r w:rsidRPr="00F84E5E" w:rsidR="00B3416F">
        <w:rPr>
          <w:rFonts w:cs="Arial"/>
          <w:sz w:val="22"/>
          <w:szCs w:val="22"/>
        </w:rPr>
        <w:fldChar w:fldCharType="separate"/>
      </w:r>
      <w:r w:rsidRPr="00977795" w:rsidR="00977795">
        <w:rPr>
          <w:sz w:val="22"/>
          <w:szCs w:val="22"/>
        </w:rPr>
        <w:t>Exhibit 3</w:t>
      </w:r>
      <w:r w:rsidRPr="00977795" w:rsidR="00977795">
        <w:rPr>
          <w:sz w:val="22"/>
          <w:szCs w:val="22"/>
        </w:rPr>
        <w:noBreakHyphen/>
        <w:t>23</w:t>
      </w:r>
      <w:r w:rsidRPr="00F84E5E" w:rsidR="00B3416F">
        <w:rPr>
          <w:rFonts w:cs="Arial"/>
          <w:sz w:val="22"/>
          <w:szCs w:val="22"/>
        </w:rPr>
        <w:fldChar w:fldCharType="end"/>
      </w:r>
      <w:r w:rsidR="00B3416F">
        <w:rPr>
          <w:rFonts w:cs="Arial"/>
          <w:sz w:val="22"/>
          <w:szCs w:val="22"/>
        </w:rPr>
        <w:t xml:space="preserve"> presents costs, averted costs, and benefits by the objectives of the rule.</w:t>
      </w:r>
    </w:p>
    <w:p w:rsidR="00937390" w:rsidRPr="001E41D8" w:rsidP="00DB79AE" w14:paraId="7F493B17" w14:textId="77777777">
      <w:pPr>
        <w:rPr>
          <w:rFonts w:cs="Arial"/>
          <w:color w:val="000000"/>
          <w:sz w:val="28"/>
          <w:szCs w:val="28"/>
        </w:rPr>
      </w:pPr>
    </w:p>
    <w:p w:rsidR="00531A87" w:rsidRPr="000F7FD1" w:rsidP="00672B60" w14:paraId="7F493B18" w14:textId="68A772B3">
      <w:pPr>
        <w:pStyle w:val="Caption"/>
        <w:keepNext/>
        <w:spacing w:after="0"/>
        <w:jc w:val="center"/>
        <w:rPr>
          <w:b/>
          <w:i w:val="0"/>
          <w:color w:val="auto"/>
          <w:sz w:val="22"/>
        </w:rPr>
      </w:pPr>
      <w:bookmarkStart w:id="368" w:name="_Ref534036037"/>
      <w:bookmarkStart w:id="369" w:name="_Toc534712133"/>
      <w:bookmarkStart w:id="370" w:name="_Toc534037072"/>
      <w:bookmarkStart w:id="371" w:name="_Toc534710015"/>
      <w:bookmarkStart w:id="372" w:name="_Toc534711700"/>
      <w:bookmarkStart w:id="373" w:name="_Toc534712710"/>
      <w:bookmarkStart w:id="374" w:name="_Toc534713219"/>
      <w:bookmarkStart w:id="375" w:name="_Toc9526479"/>
      <w:bookmarkStart w:id="376" w:name="_Toc536603428"/>
      <w:r w:rsidRPr="000F7FD1">
        <w:rPr>
          <w:b/>
          <w:i w:val="0"/>
          <w:color w:val="auto"/>
          <w:sz w:val="22"/>
        </w:rPr>
        <w:t xml:space="preserve">Exhibit </w:t>
      </w:r>
      <w:r w:rsidRPr="000F7FD1" w:rsidR="005111B6">
        <w:rPr>
          <w:b/>
          <w:i w:val="0"/>
          <w:color w:val="auto"/>
          <w:sz w:val="22"/>
        </w:rPr>
        <w:t>3</w:t>
      </w:r>
      <w:r w:rsidRPr="000F7FD1" w:rsidR="002C5DA2">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22</w:t>
      </w:r>
      <w:r w:rsidRPr="000F7FD1" w:rsidR="00C276FC">
        <w:rPr>
          <w:b/>
          <w:i w:val="0"/>
          <w:color w:val="auto"/>
          <w:sz w:val="22"/>
        </w:rPr>
        <w:fldChar w:fldCharType="end"/>
      </w:r>
      <w:bookmarkEnd w:id="368"/>
      <w:r w:rsidRPr="000F7FD1">
        <w:rPr>
          <w:b/>
          <w:i w:val="0"/>
          <w:color w:val="auto"/>
          <w:sz w:val="22"/>
        </w:rPr>
        <w:t xml:space="preserve">. </w:t>
      </w:r>
      <w:bookmarkEnd w:id="369"/>
      <w:bookmarkEnd w:id="370"/>
      <w:bookmarkEnd w:id="371"/>
      <w:bookmarkEnd w:id="372"/>
      <w:bookmarkEnd w:id="373"/>
      <w:bookmarkEnd w:id="374"/>
      <w:r w:rsidRPr="000F7FD1" w:rsidR="00053E19">
        <w:rPr>
          <w:b/>
          <w:i w:val="0"/>
          <w:color w:val="auto"/>
          <w:sz w:val="22"/>
        </w:rPr>
        <w:t>Final Rule Components and Objectives</w:t>
      </w:r>
      <w:bookmarkEnd w:id="375"/>
      <w:bookmarkEnd w:id="376"/>
    </w:p>
    <w:tbl>
      <w:tblPr>
        <w:tblStyle w:val="TableGrid"/>
        <w:tblW w:w="9715" w:type="dxa"/>
        <w:tblLook w:val="04A0"/>
      </w:tblPr>
      <w:tblGrid>
        <w:gridCol w:w="3055"/>
        <w:gridCol w:w="1736"/>
        <w:gridCol w:w="1774"/>
        <w:gridCol w:w="1604"/>
        <w:gridCol w:w="1546"/>
      </w:tblGrid>
      <w:tr w14:paraId="7F493B1E" w14:textId="77777777" w:rsidTr="00DB27DF">
        <w:tblPrEx>
          <w:tblW w:w="9715" w:type="dxa"/>
          <w:tblLook w:val="04A0"/>
        </w:tblPrEx>
        <w:tc>
          <w:tcPr>
            <w:tcW w:w="3055" w:type="dxa"/>
            <w:vAlign w:val="center"/>
          </w:tcPr>
          <w:p w:rsidR="0084045D" w:rsidRPr="00F559C9" w:rsidP="000B5AC3" w14:paraId="7F493B19" w14:textId="77777777">
            <w:pPr>
              <w:keepNext/>
              <w:jc w:val="center"/>
              <w:rPr>
                <w:rFonts w:cs="Arial"/>
                <w:b/>
                <w:color w:val="000000"/>
                <w:sz w:val="28"/>
                <w:szCs w:val="28"/>
              </w:rPr>
            </w:pPr>
            <w:r w:rsidRPr="00F559C9">
              <w:rPr>
                <w:rFonts w:cs="Arial"/>
                <w:b/>
                <w:color w:val="000000"/>
                <w:sz w:val="22"/>
                <w:szCs w:val="28"/>
              </w:rPr>
              <w:t>Components</w:t>
            </w:r>
          </w:p>
        </w:tc>
        <w:tc>
          <w:tcPr>
            <w:tcW w:w="1736" w:type="dxa"/>
            <w:vAlign w:val="center"/>
          </w:tcPr>
          <w:p w:rsidR="0084045D" w:rsidRPr="00F559C9" w:rsidP="000B5AC3" w14:paraId="7F493B1A" w14:textId="77777777">
            <w:pPr>
              <w:keepNext/>
              <w:rPr>
                <w:rFonts w:cs="Arial"/>
                <w:b/>
                <w:color w:val="000000"/>
                <w:sz w:val="22"/>
                <w:szCs w:val="28"/>
              </w:rPr>
            </w:pPr>
            <w:r w:rsidRPr="000B5AC3">
              <w:rPr>
                <w:rFonts w:cs="Arial"/>
                <w:b/>
                <w:color w:val="000000"/>
                <w:sz w:val="22"/>
                <w:szCs w:val="28"/>
                <w:u w:val="single"/>
              </w:rPr>
              <w:t>Objective 1:</w:t>
            </w:r>
            <w:r w:rsidRPr="00F559C9">
              <w:rPr>
                <w:rFonts w:cs="Arial"/>
                <w:b/>
                <w:color w:val="000000"/>
                <w:sz w:val="22"/>
                <w:szCs w:val="28"/>
              </w:rPr>
              <w:t xml:space="preserve"> Address </w:t>
            </w:r>
            <w:r w:rsidRPr="00F559C9">
              <w:rPr>
                <w:rFonts w:cs="Arial"/>
                <w:b/>
                <w:color w:val="000000"/>
                <w:sz w:val="22"/>
                <w:szCs w:val="28"/>
              </w:rPr>
              <w:t>Reliance on Initial Licensing Regulations for License Renewal</w:t>
            </w:r>
          </w:p>
        </w:tc>
        <w:tc>
          <w:tcPr>
            <w:tcW w:w="1774" w:type="dxa"/>
            <w:vAlign w:val="center"/>
          </w:tcPr>
          <w:p w:rsidR="0084045D" w:rsidRPr="00F559C9" w:rsidP="0042192E" w14:paraId="7F493B1B" w14:textId="77777777">
            <w:pPr>
              <w:keepNext/>
              <w:rPr>
                <w:rFonts w:cs="Arial"/>
                <w:b/>
                <w:color w:val="000000"/>
                <w:sz w:val="22"/>
                <w:szCs w:val="28"/>
              </w:rPr>
            </w:pPr>
            <w:r w:rsidRPr="000B5AC3">
              <w:rPr>
                <w:rFonts w:cs="Arial"/>
                <w:b/>
                <w:color w:val="000000"/>
                <w:sz w:val="22"/>
                <w:szCs w:val="28"/>
                <w:u w:val="single"/>
              </w:rPr>
              <w:t>Objective 2:</w:t>
            </w:r>
            <w:r w:rsidRPr="00F559C9">
              <w:rPr>
                <w:rFonts w:cs="Arial"/>
                <w:b/>
                <w:color w:val="000000"/>
                <w:sz w:val="22"/>
                <w:szCs w:val="28"/>
              </w:rPr>
              <w:t xml:space="preserve"> Address </w:t>
            </w:r>
            <w:r w:rsidRPr="00F559C9">
              <w:rPr>
                <w:rFonts w:cs="Arial"/>
                <w:b/>
                <w:color w:val="000000"/>
                <w:sz w:val="22"/>
                <w:szCs w:val="28"/>
              </w:rPr>
              <w:t>Lack of Periodic Updates to FSAR</w:t>
            </w:r>
          </w:p>
        </w:tc>
        <w:tc>
          <w:tcPr>
            <w:tcW w:w="1604" w:type="dxa"/>
            <w:vAlign w:val="center"/>
          </w:tcPr>
          <w:p w:rsidR="0084045D" w:rsidRPr="00F559C9" w:rsidP="0042192E" w14:paraId="7F493B1C" w14:textId="77777777">
            <w:pPr>
              <w:keepNext/>
              <w:rPr>
                <w:rFonts w:cs="Arial"/>
                <w:b/>
                <w:color w:val="000000"/>
                <w:sz w:val="22"/>
                <w:szCs w:val="28"/>
              </w:rPr>
            </w:pPr>
            <w:r w:rsidRPr="000B5AC3">
              <w:rPr>
                <w:rFonts w:cs="Arial"/>
                <w:b/>
                <w:color w:val="000000"/>
                <w:sz w:val="22"/>
                <w:szCs w:val="28"/>
                <w:u w:val="single"/>
              </w:rPr>
              <w:t>Objective 3:</w:t>
            </w:r>
            <w:r w:rsidRPr="00F559C9">
              <w:rPr>
                <w:rFonts w:cs="Arial"/>
                <w:b/>
                <w:color w:val="000000"/>
                <w:sz w:val="22"/>
                <w:szCs w:val="28"/>
              </w:rPr>
              <w:t xml:space="preserve"> Address </w:t>
            </w:r>
            <w:r w:rsidRPr="00F559C9">
              <w:rPr>
                <w:rFonts w:cs="Arial"/>
                <w:b/>
                <w:color w:val="000000"/>
                <w:sz w:val="22"/>
                <w:szCs w:val="28"/>
              </w:rPr>
              <w:t>Constraints Related to Current “Timely Renewal” provision in 10 CFR 2.109</w:t>
            </w:r>
          </w:p>
        </w:tc>
        <w:tc>
          <w:tcPr>
            <w:tcW w:w="1546" w:type="dxa"/>
            <w:vAlign w:val="center"/>
          </w:tcPr>
          <w:p w:rsidR="0084045D" w:rsidRPr="00F559C9" w:rsidP="0042192E" w14:paraId="7F493B1D" w14:textId="77777777">
            <w:pPr>
              <w:keepNext/>
              <w:rPr>
                <w:rFonts w:cs="Arial"/>
                <w:b/>
                <w:color w:val="000000"/>
                <w:sz w:val="22"/>
                <w:szCs w:val="28"/>
              </w:rPr>
            </w:pPr>
            <w:r w:rsidRPr="000B5AC3">
              <w:rPr>
                <w:rFonts w:cs="Arial"/>
                <w:b/>
                <w:color w:val="000000"/>
                <w:sz w:val="22"/>
                <w:szCs w:val="28"/>
                <w:u w:val="single"/>
              </w:rPr>
              <w:t>Objective 4:</w:t>
            </w:r>
            <w:r w:rsidRPr="00F559C9">
              <w:rPr>
                <w:rFonts w:cs="Arial"/>
                <w:b/>
                <w:color w:val="000000"/>
                <w:sz w:val="22"/>
                <w:szCs w:val="28"/>
              </w:rPr>
              <w:t xml:space="preserve"> Address </w:t>
            </w:r>
            <w:r w:rsidRPr="00F559C9">
              <w:rPr>
                <w:rFonts w:cs="Arial"/>
                <w:b/>
                <w:color w:val="000000"/>
                <w:sz w:val="22"/>
                <w:szCs w:val="28"/>
              </w:rPr>
              <w:t>Other Rule Language Issues</w:t>
            </w:r>
          </w:p>
        </w:tc>
      </w:tr>
      <w:tr w14:paraId="7F493B24" w14:textId="77777777" w:rsidTr="00DB27DF">
        <w:tblPrEx>
          <w:tblW w:w="9715" w:type="dxa"/>
          <w:tblLook w:val="04A0"/>
        </w:tblPrEx>
        <w:tc>
          <w:tcPr>
            <w:tcW w:w="3055" w:type="dxa"/>
          </w:tcPr>
          <w:p w:rsidR="0084045D" w:rsidRPr="001E41D8" w:rsidP="0042192E" w14:paraId="7F493B1F" w14:textId="713C2B15">
            <w:pPr>
              <w:keepNext/>
              <w:rPr>
                <w:rFonts w:cs="Arial"/>
                <w:i/>
                <w:color w:val="000000"/>
                <w:sz w:val="22"/>
                <w:szCs w:val="28"/>
              </w:rPr>
            </w:pPr>
            <w:r>
              <w:rPr>
                <w:rFonts w:cs="Arial"/>
                <w:i/>
                <w:color w:val="000000"/>
                <w:sz w:val="22"/>
                <w:szCs w:val="28"/>
              </w:rPr>
              <w:t>R</w:t>
            </w:r>
            <w:r>
              <w:rPr>
                <w:rFonts w:cs="Arial"/>
                <w:i/>
                <w:color w:val="000000"/>
                <w:sz w:val="22"/>
                <w:szCs w:val="28"/>
              </w:rPr>
              <w:t>evised definitions</w:t>
            </w:r>
          </w:p>
        </w:tc>
        <w:tc>
          <w:tcPr>
            <w:tcW w:w="1736" w:type="dxa"/>
            <w:vAlign w:val="center"/>
          </w:tcPr>
          <w:p w:rsidR="0084045D" w:rsidRPr="001F3201" w:rsidP="0042192E" w14:paraId="7F493B20" w14:textId="77777777">
            <w:pPr>
              <w:keepNext/>
              <w:jc w:val="center"/>
              <w:rPr>
                <w:rFonts w:cs="Arial"/>
                <w:color w:val="000000"/>
                <w:sz w:val="28"/>
                <w:szCs w:val="28"/>
              </w:rPr>
            </w:pPr>
          </w:p>
        </w:tc>
        <w:tc>
          <w:tcPr>
            <w:tcW w:w="1774" w:type="dxa"/>
            <w:vAlign w:val="center"/>
          </w:tcPr>
          <w:p w:rsidR="0084045D" w:rsidRPr="001F3201" w:rsidP="0042192E" w14:paraId="7F493B21" w14:textId="77777777">
            <w:pPr>
              <w:keepNext/>
              <w:jc w:val="center"/>
              <w:rPr>
                <w:rFonts w:cs="Arial"/>
                <w:b/>
                <w:color w:val="000000"/>
                <w:sz w:val="28"/>
                <w:szCs w:val="28"/>
              </w:rPr>
            </w:pPr>
          </w:p>
        </w:tc>
        <w:tc>
          <w:tcPr>
            <w:tcW w:w="1604" w:type="dxa"/>
            <w:vAlign w:val="center"/>
          </w:tcPr>
          <w:p w:rsidR="0084045D" w:rsidRPr="001F3201" w:rsidP="0042192E" w14:paraId="7F493B22" w14:textId="77777777">
            <w:pPr>
              <w:keepNext/>
              <w:jc w:val="center"/>
              <w:rPr>
                <w:rFonts w:cs="Arial"/>
                <w:b/>
                <w:color w:val="000000"/>
                <w:sz w:val="28"/>
                <w:szCs w:val="28"/>
              </w:rPr>
            </w:pPr>
          </w:p>
        </w:tc>
        <w:tc>
          <w:tcPr>
            <w:tcW w:w="1546" w:type="dxa"/>
            <w:vAlign w:val="center"/>
          </w:tcPr>
          <w:p w:rsidR="0084045D" w:rsidRPr="001F3201" w:rsidP="0042192E" w14:paraId="7F493B23" w14:textId="77777777">
            <w:pPr>
              <w:keepNext/>
              <w:jc w:val="center"/>
              <w:rPr>
                <w:rFonts w:cs="Arial"/>
                <w:color w:val="000000"/>
                <w:sz w:val="28"/>
                <w:szCs w:val="28"/>
              </w:rPr>
            </w:pPr>
            <w:r w:rsidRPr="001F3201">
              <w:rPr>
                <w:rFonts w:cs="Arial"/>
                <w:color w:val="000000"/>
                <w:sz w:val="22"/>
                <w:szCs w:val="28"/>
              </w:rPr>
              <w:t>X</w:t>
            </w:r>
          </w:p>
        </w:tc>
      </w:tr>
      <w:tr w14:paraId="7F493B2A" w14:textId="77777777" w:rsidTr="00DB27DF">
        <w:tblPrEx>
          <w:tblW w:w="9715" w:type="dxa"/>
          <w:tblLook w:val="04A0"/>
        </w:tblPrEx>
        <w:tc>
          <w:tcPr>
            <w:tcW w:w="3055" w:type="dxa"/>
          </w:tcPr>
          <w:p w:rsidR="0084045D" w:rsidRPr="001E41D8" w:rsidP="0042192E" w14:paraId="7F493B25" w14:textId="77777777">
            <w:pPr>
              <w:keepNext/>
              <w:rPr>
                <w:rFonts w:cs="Arial"/>
                <w:i/>
                <w:color w:val="000000"/>
                <w:sz w:val="22"/>
                <w:szCs w:val="28"/>
              </w:rPr>
            </w:pPr>
            <w:r>
              <w:rPr>
                <w:rFonts w:cs="Arial"/>
                <w:i/>
                <w:color w:val="000000"/>
                <w:sz w:val="22"/>
                <w:szCs w:val="28"/>
              </w:rPr>
              <w:t xml:space="preserve">Eliminates license terms for </w:t>
            </w:r>
            <w:r w:rsidR="007C398E">
              <w:rPr>
                <w:rFonts w:cs="Arial"/>
                <w:i/>
                <w:color w:val="000000"/>
                <w:sz w:val="22"/>
                <w:szCs w:val="28"/>
              </w:rPr>
              <w:t>NPUFs</w:t>
            </w:r>
            <w:r>
              <w:rPr>
                <w:rFonts w:cs="Arial"/>
                <w:i/>
                <w:color w:val="000000"/>
                <w:sz w:val="22"/>
                <w:szCs w:val="28"/>
              </w:rPr>
              <w:t>, other than testing facilities, licensed under 10</w:t>
            </w:r>
            <w:r w:rsidR="00636F12">
              <w:rPr>
                <w:rFonts w:cs="Arial"/>
                <w:i/>
                <w:color w:val="000000"/>
                <w:sz w:val="22"/>
                <w:szCs w:val="28"/>
              </w:rPr>
              <w:t> </w:t>
            </w:r>
            <w:r>
              <w:rPr>
                <w:rFonts w:cs="Arial"/>
                <w:i/>
                <w:color w:val="000000"/>
                <w:sz w:val="22"/>
                <w:szCs w:val="28"/>
              </w:rPr>
              <w:t>CFR 50.21(a) or (c)</w:t>
            </w:r>
          </w:p>
        </w:tc>
        <w:tc>
          <w:tcPr>
            <w:tcW w:w="1736" w:type="dxa"/>
            <w:vAlign w:val="center"/>
          </w:tcPr>
          <w:p w:rsidR="0084045D" w:rsidRPr="001F3201" w:rsidP="0042192E" w14:paraId="7F493B26" w14:textId="77777777">
            <w:pPr>
              <w:keepNext/>
              <w:jc w:val="center"/>
              <w:rPr>
                <w:rFonts w:cs="Arial"/>
                <w:b/>
                <w:color w:val="000000"/>
                <w:sz w:val="28"/>
                <w:szCs w:val="28"/>
              </w:rPr>
            </w:pPr>
            <w:r w:rsidRPr="001F3201">
              <w:rPr>
                <w:rFonts w:cs="Arial"/>
                <w:color w:val="000000"/>
                <w:sz w:val="22"/>
                <w:szCs w:val="28"/>
              </w:rPr>
              <w:t>X</w:t>
            </w:r>
          </w:p>
        </w:tc>
        <w:tc>
          <w:tcPr>
            <w:tcW w:w="1774" w:type="dxa"/>
            <w:vAlign w:val="center"/>
          </w:tcPr>
          <w:p w:rsidR="0084045D" w:rsidRPr="001F3201" w:rsidP="0042192E" w14:paraId="7F493B27" w14:textId="77777777">
            <w:pPr>
              <w:keepNext/>
              <w:jc w:val="center"/>
              <w:rPr>
                <w:rFonts w:cs="Arial"/>
                <w:b/>
                <w:color w:val="000000"/>
                <w:sz w:val="28"/>
                <w:szCs w:val="28"/>
              </w:rPr>
            </w:pPr>
          </w:p>
        </w:tc>
        <w:tc>
          <w:tcPr>
            <w:tcW w:w="1604" w:type="dxa"/>
            <w:vAlign w:val="center"/>
          </w:tcPr>
          <w:p w:rsidR="0084045D" w:rsidRPr="001F3201" w:rsidP="0042192E" w14:paraId="7F493B28" w14:textId="77777777">
            <w:pPr>
              <w:keepNext/>
              <w:jc w:val="center"/>
              <w:rPr>
                <w:rFonts w:cs="Arial"/>
                <w:b/>
                <w:color w:val="000000"/>
                <w:sz w:val="28"/>
                <w:szCs w:val="28"/>
              </w:rPr>
            </w:pPr>
          </w:p>
        </w:tc>
        <w:tc>
          <w:tcPr>
            <w:tcW w:w="1546" w:type="dxa"/>
            <w:vAlign w:val="center"/>
          </w:tcPr>
          <w:p w:rsidR="0084045D" w:rsidRPr="001F3201" w:rsidP="0042192E" w14:paraId="7F493B29" w14:textId="77777777">
            <w:pPr>
              <w:keepNext/>
              <w:jc w:val="center"/>
              <w:rPr>
                <w:rFonts w:cs="Arial"/>
                <w:b/>
                <w:color w:val="000000"/>
                <w:sz w:val="28"/>
                <w:szCs w:val="28"/>
              </w:rPr>
            </w:pPr>
          </w:p>
        </w:tc>
      </w:tr>
      <w:tr w14:paraId="7F493B30" w14:textId="77777777" w:rsidTr="00DB27DF">
        <w:tblPrEx>
          <w:tblW w:w="9715" w:type="dxa"/>
          <w:tblLook w:val="04A0"/>
        </w:tblPrEx>
        <w:tc>
          <w:tcPr>
            <w:tcW w:w="3055" w:type="dxa"/>
          </w:tcPr>
          <w:p w:rsidR="0084045D" w:rsidP="0042192E" w14:paraId="7F493B2B" w14:textId="77777777">
            <w:pPr>
              <w:keepNext/>
              <w:rPr>
                <w:rFonts w:cs="Arial"/>
                <w:i/>
                <w:color w:val="000000"/>
                <w:sz w:val="22"/>
                <w:szCs w:val="28"/>
              </w:rPr>
            </w:pPr>
            <w:r>
              <w:rPr>
                <w:rFonts w:cs="Arial"/>
                <w:i/>
                <w:color w:val="000000"/>
                <w:sz w:val="22"/>
                <w:szCs w:val="28"/>
              </w:rPr>
              <w:t>Defines license renewal process</w:t>
            </w:r>
          </w:p>
        </w:tc>
        <w:tc>
          <w:tcPr>
            <w:tcW w:w="1736" w:type="dxa"/>
            <w:vAlign w:val="center"/>
          </w:tcPr>
          <w:p w:rsidR="0084045D" w:rsidRPr="001F3201" w:rsidP="0042192E" w14:paraId="7F493B2C" w14:textId="77777777">
            <w:pPr>
              <w:keepNext/>
              <w:jc w:val="center"/>
              <w:rPr>
                <w:rFonts w:cs="Arial"/>
                <w:b/>
                <w:color w:val="000000"/>
                <w:sz w:val="28"/>
                <w:szCs w:val="28"/>
              </w:rPr>
            </w:pPr>
            <w:r w:rsidRPr="001F3201">
              <w:rPr>
                <w:rFonts w:cs="Arial"/>
                <w:color w:val="000000"/>
                <w:sz w:val="22"/>
                <w:szCs w:val="28"/>
              </w:rPr>
              <w:t>X</w:t>
            </w:r>
          </w:p>
        </w:tc>
        <w:tc>
          <w:tcPr>
            <w:tcW w:w="1774" w:type="dxa"/>
            <w:vAlign w:val="center"/>
          </w:tcPr>
          <w:p w:rsidR="0084045D" w:rsidRPr="001F3201" w:rsidP="0042192E" w14:paraId="7F493B2D" w14:textId="77777777">
            <w:pPr>
              <w:keepNext/>
              <w:jc w:val="center"/>
              <w:rPr>
                <w:rFonts w:cs="Arial"/>
                <w:b/>
                <w:color w:val="000000"/>
                <w:sz w:val="28"/>
                <w:szCs w:val="28"/>
              </w:rPr>
            </w:pPr>
          </w:p>
        </w:tc>
        <w:tc>
          <w:tcPr>
            <w:tcW w:w="1604" w:type="dxa"/>
            <w:vAlign w:val="center"/>
          </w:tcPr>
          <w:p w:rsidR="0084045D" w:rsidRPr="001F3201" w:rsidP="0042192E" w14:paraId="7F493B2E" w14:textId="77777777">
            <w:pPr>
              <w:keepNext/>
              <w:jc w:val="center"/>
              <w:rPr>
                <w:rFonts w:cs="Arial"/>
                <w:b/>
                <w:color w:val="000000"/>
                <w:sz w:val="28"/>
                <w:szCs w:val="28"/>
              </w:rPr>
            </w:pPr>
          </w:p>
        </w:tc>
        <w:tc>
          <w:tcPr>
            <w:tcW w:w="1546" w:type="dxa"/>
            <w:vAlign w:val="center"/>
          </w:tcPr>
          <w:p w:rsidR="0084045D" w:rsidRPr="001F3201" w:rsidP="0042192E" w14:paraId="7F493B2F" w14:textId="77777777">
            <w:pPr>
              <w:keepNext/>
              <w:jc w:val="center"/>
              <w:rPr>
                <w:rFonts w:cs="Arial"/>
                <w:b/>
                <w:color w:val="000000"/>
                <w:sz w:val="28"/>
                <w:szCs w:val="28"/>
              </w:rPr>
            </w:pPr>
          </w:p>
        </w:tc>
      </w:tr>
      <w:tr w14:paraId="7F493B36" w14:textId="77777777" w:rsidTr="00DB27DF">
        <w:tblPrEx>
          <w:tblW w:w="9715" w:type="dxa"/>
          <w:tblLook w:val="04A0"/>
        </w:tblPrEx>
        <w:tc>
          <w:tcPr>
            <w:tcW w:w="3055" w:type="dxa"/>
          </w:tcPr>
          <w:p w:rsidR="0084045D" w:rsidP="0042192E" w14:paraId="7F493B31" w14:textId="77777777">
            <w:pPr>
              <w:keepNext/>
              <w:rPr>
                <w:rFonts w:cs="Arial"/>
                <w:i/>
                <w:color w:val="000000"/>
                <w:sz w:val="22"/>
                <w:szCs w:val="28"/>
              </w:rPr>
            </w:pPr>
            <w:r>
              <w:rPr>
                <w:rFonts w:cs="Arial"/>
                <w:i/>
                <w:color w:val="000000"/>
                <w:sz w:val="22"/>
                <w:szCs w:val="28"/>
              </w:rPr>
              <w:t>Requires NPUFs to submit updated FSARs and subsequent FSAR updates</w:t>
            </w:r>
          </w:p>
        </w:tc>
        <w:tc>
          <w:tcPr>
            <w:tcW w:w="1736" w:type="dxa"/>
            <w:vAlign w:val="center"/>
          </w:tcPr>
          <w:p w:rsidR="0084045D" w:rsidRPr="001F3201" w:rsidP="0042192E" w14:paraId="7F493B32" w14:textId="77777777">
            <w:pPr>
              <w:keepNext/>
              <w:jc w:val="center"/>
              <w:rPr>
                <w:rFonts w:cs="Arial"/>
                <w:b/>
                <w:color w:val="000000"/>
                <w:sz w:val="28"/>
                <w:szCs w:val="28"/>
              </w:rPr>
            </w:pPr>
          </w:p>
        </w:tc>
        <w:tc>
          <w:tcPr>
            <w:tcW w:w="1774" w:type="dxa"/>
            <w:vAlign w:val="center"/>
          </w:tcPr>
          <w:p w:rsidR="0084045D" w:rsidRPr="001F3201" w:rsidP="0042192E" w14:paraId="7F493B33" w14:textId="77777777">
            <w:pPr>
              <w:keepNext/>
              <w:jc w:val="center"/>
              <w:rPr>
                <w:rFonts w:cs="Arial"/>
                <w:b/>
                <w:color w:val="000000"/>
                <w:sz w:val="28"/>
                <w:szCs w:val="28"/>
              </w:rPr>
            </w:pPr>
            <w:r w:rsidRPr="001F3201">
              <w:rPr>
                <w:rFonts w:cs="Arial"/>
                <w:color w:val="000000"/>
                <w:sz w:val="22"/>
                <w:szCs w:val="28"/>
              </w:rPr>
              <w:t>X</w:t>
            </w:r>
          </w:p>
        </w:tc>
        <w:tc>
          <w:tcPr>
            <w:tcW w:w="1604" w:type="dxa"/>
            <w:vAlign w:val="center"/>
          </w:tcPr>
          <w:p w:rsidR="0084045D" w:rsidRPr="001F3201" w:rsidP="0042192E" w14:paraId="7F493B34" w14:textId="77777777">
            <w:pPr>
              <w:keepNext/>
              <w:jc w:val="center"/>
              <w:rPr>
                <w:rFonts w:cs="Arial"/>
                <w:b/>
                <w:color w:val="000000"/>
                <w:sz w:val="28"/>
                <w:szCs w:val="28"/>
              </w:rPr>
            </w:pPr>
          </w:p>
        </w:tc>
        <w:tc>
          <w:tcPr>
            <w:tcW w:w="1546" w:type="dxa"/>
            <w:vAlign w:val="center"/>
          </w:tcPr>
          <w:p w:rsidR="0084045D" w:rsidRPr="001F3201" w:rsidP="0042192E" w14:paraId="7F493B35" w14:textId="77777777">
            <w:pPr>
              <w:keepNext/>
              <w:jc w:val="center"/>
              <w:rPr>
                <w:rFonts w:cs="Arial"/>
                <w:b/>
                <w:color w:val="000000"/>
                <w:sz w:val="28"/>
                <w:szCs w:val="28"/>
              </w:rPr>
            </w:pPr>
          </w:p>
        </w:tc>
      </w:tr>
      <w:tr w14:paraId="7F493B3C" w14:textId="77777777" w:rsidTr="00DB27DF">
        <w:tblPrEx>
          <w:tblW w:w="9715" w:type="dxa"/>
          <w:tblLook w:val="04A0"/>
        </w:tblPrEx>
        <w:tc>
          <w:tcPr>
            <w:tcW w:w="3055" w:type="dxa"/>
          </w:tcPr>
          <w:p w:rsidR="0084045D" w:rsidP="00636F12" w14:paraId="7F493B37" w14:textId="77777777">
            <w:pPr>
              <w:keepNext/>
              <w:rPr>
                <w:rFonts w:cs="Arial"/>
                <w:i/>
                <w:color w:val="000000"/>
                <w:sz w:val="22"/>
                <w:szCs w:val="28"/>
              </w:rPr>
            </w:pPr>
            <w:r>
              <w:rPr>
                <w:rFonts w:cs="Arial"/>
                <w:i/>
                <w:color w:val="000000"/>
                <w:sz w:val="22"/>
                <w:szCs w:val="28"/>
              </w:rPr>
              <w:t>Amendment of timely renewal provision under 10</w:t>
            </w:r>
            <w:r w:rsidR="00636F12">
              <w:rPr>
                <w:rFonts w:cs="Arial"/>
                <w:i/>
                <w:color w:val="000000"/>
                <w:sz w:val="22"/>
                <w:szCs w:val="28"/>
              </w:rPr>
              <w:t> </w:t>
            </w:r>
            <w:r>
              <w:rPr>
                <w:rFonts w:cs="Arial"/>
                <w:i/>
                <w:color w:val="000000"/>
                <w:sz w:val="22"/>
                <w:szCs w:val="28"/>
              </w:rPr>
              <w:t>CFR 2.109</w:t>
            </w:r>
          </w:p>
        </w:tc>
        <w:tc>
          <w:tcPr>
            <w:tcW w:w="1736" w:type="dxa"/>
            <w:vAlign w:val="center"/>
          </w:tcPr>
          <w:p w:rsidR="0084045D" w:rsidRPr="001F3201" w:rsidP="0042192E" w14:paraId="7F493B38" w14:textId="77777777">
            <w:pPr>
              <w:keepNext/>
              <w:jc w:val="center"/>
              <w:rPr>
                <w:rFonts w:cs="Arial"/>
                <w:b/>
                <w:color w:val="000000"/>
                <w:sz w:val="28"/>
                <w:szCs w:val="28"/>
              </w:rPr>
            </w:pPr>
          </w:p>
        </w:tc>
        <w:tc>
          <w:tcPr>
            <w:tcW w:w="1774" w:type="dxa"/>
            <w:vAlign w:val="center"/>
          </w:tcPr>
          <w:p w:rsidR="0084045D" w:rsidRPr="001F3201" w:rsidP="0042192E" w14:paraId="7F493B39" w14:textId="77777777">
            <w:pPr>
              <w:keepNext/>
              <w:jc w:val="center"/>
              <w:rPr>
                <w:rFonts w:cs="Arial"/>
                <w:b/>
                <w:color w:val="000000"/>
                <w:sz w:val="28"/>
                <w:szCs w:val="28"/>
              </w:rPr>
            </w:pPr>
          </w:p>
        </w:tc>
        <w:tc>
          <w:tcPr>
            <w:tcW w:w="1604" w:type="dxa"/>
            <w:vAlign w:val="center"/>
          </w:tcPr>
          <w:p w:rsidR="0084045D" w:rsidRPr="001F3201" w:rsidP="0042192E" w14:paraId="7F493B3A" w14:textId="77777777">
            <w:pPr>
              <w:keepNext/>
              <w:jc w:val="center"/>
              <w:rPr>
                <w:rFonts w:cs="Arial"/>
                <w:b/>
                <w:color w:val="000000"/>
                <w:sz w:val="28"/>
                <w:szCs w:val="28"/>
              </w:rPr>
            </w:pPr>
            <w:r w:rsidRPr="001F3201">
              <w:rPr>
                <w:rFonts w:cs="Arial"/>
                <w:color w:val="000000"/>
                <w:sz w:val="22"/>
                <w:szCs w:val="28"/>
              </w:rPr>
              <w:t>X</w:t>
            </w:r>
          </w:p>
        </w:tc>
        <w:tc>
          <w:tcPr>
            <w:tcW w:w="1546" w:type="dxa"/>
            <w:vAlign w:val="center"/>
          </w:tcPr>
          <w:p w:rsidR="0084045D" w:rsidRPr="001F3201" w:rsidP="0042192E" w14:paraId="7F493B3B" w14:textId="77777777">
            <w:pPr>
              <w:keepNext/>
              <w:jc w:val="center"/>
              <w:rPr>
                <w:rFonts w:cs="Arial"/>
                <w:b/>
                <w:color w:val="000000"/>
                <w:sz w:val="28"/>
                <w:szCs w:val="28"/>
              </w:rPr>
            </w:pPr>
          </w:p>
        </w:tc>
      </w:tr>
      <w:tr w14:paraId="7F493B42" w14:textId="77777777" w:rsidTr="00DB27DF">
        <w:tblPrEx>
          <w:tblW w:w="9715" w:type="dxa"/>
          <w:tblLook w:val="04A0"/>
        </w:tblPrEx>
        <w:tc>
          <w:tcPr>
            <w:tcW w:w="3055" w:type="dxa"/>
          </w:tcPr>
          <w:p w:rsidR="0084045D" w:rsidP="0042192E" w14:paraId="7F493B3D" w14:textId="77777777">
            <w:pPr>
              <w:keepNext/>
              <w:rPr>
                <w:rFonts w:cs="Arial"/>
                <w:i/>
                <w:color w:val="000000"/>
                <w:sz w:val="22"/>
                <w:szCs w:val="28"/>
              </w:rPr>
            </w:pPr>
            <w:r>
              <w:rPr>
                <w:rFonts w:cs="Arial"/>
                <w:i/>
                <w:color w:val="000000"/>
                <w:sz w:val="22"/>
                <w:szCs w:val="28"/>
              </w:rPr>
              <w:t>Accident dose criterion</w:t>
            </w:r>
          </w:p>
        </w:tc>
        <w:tc>
          <w:tcPr>
            <w:tcW w:w="1736" w:type="dxa"/>
            <w:vAlign w:val="center"/>
          </w:tcPr>
          <w:p w:rsidR="0084045D" w:rsidRPr="001F3201" w:rsidP="0042192E" w14:paraId="7F493B3E" w14:textId="77777777">
            <w:pPr>
              <w:keepNext/>
              <w:jc w:val="center"/>
              <w:rPr>
                <w:rFonts w:cs="Arial"/>
                <w:color w:val="000000"/>
                <w:sz w:val="22"/>
                <w:szCs w:val="28"/>
              </w:rPr>
            </w:pPr>
          </w:p>
        </w:tc>
        <w:tc>
          <w:tcPr>
            <w:tcW w:w="1774" w:type="dxa"/>
            <w:vAlign w:val="center"/>
          </w:tcPr>
          <w:p w:rsidR="0084045D" w:rsidRPr="001F3201" w:rsidP="0042192E" w14:paraId="7F493B3F" w14:textId="77777777">
            <w:pPr>
              <w:keepNext/>
              <w:jc w:val="center"/>
              <w:rPr>
                <w:rFonts w:cs="Arial"/>
                <w:b/>
                <w:color w:val="000000"/>
                <w:sz w:val="28"/>
                <w:szCs w:val="28"/>
              </w:rPr>
            </w:pPr>
          </w:p>
        </w:tc>
        <w:tc>
          <w:tcPr>
            <w:tcW w:w="1604" w:type="dxa"/>
            <w:vAlign w:val="center"/>
          </w:tcPr>
          <w:p w:rsidR="0084045D" w:rsidRPr="001F3201" w:rsidP="0042192E" w14:paraId="7F493B40" w14:textId="77777777">
            <w:pPr>
              <w:keepNext/>
              <w:jc w:val="center"/>
              <w:rPr>
                <w:rFonts w:cs="Arial"/>
                <w:color w:val="000000"/>
                <w:sz w:val="22"/>
                <w:szCs w:val="28"/>
              </w:rPr>
            </w:pPr>
          </w:p>
        </w:tc>
        <w:tc>
          <w:tcPr>
            <w:tcW w:w="1546" w:type="dxa"/>
            <w:vAlign w:val="center"/>
          </w:tcPr>
          <w:p w:rsidR="0084045D" w:rsidRPr="001F3201" w:rsidP="0042192E" w14:paraId="7F493B41" w14:textId="77777777">
            <w:pPr>
              <w:keepNext/>
              <w:jc w:val="center"/>
              <w:rPr>
                <w:rFonts w:cs="Arial"/>
                <w:b/>
                <w:color w:val="000000"/>
                <w:sz w:val="28"/>
                <w:szCs w:val="28"/>
              </w:rPr>
            </w:pPr>
            <w:r w:rsidRPr="001F3201">
              <w:rPr>
                <w:rFonts w:cs="Arial"/>
                <w:color w:val="000000"/>
                <w:sz w:val="22"/>
                <w:szCs w:val="28"/>
              </w:rPr>
              <w:t>X</w:t>
            </w:r>
          </w:p>
        </w:tc>
      </w:tr>
      <w:tr w14:paraId="7F493B48" w14:textId="77777777" w:rsidTr="00DB27DF">
        <w:tblPrEx>
          <w:tblW w:w="9715" w:type="dxa"/>
          <w:tblLook w:val="04A0"/>
        </w:tblPrEx>
        <w:tc>
          <w:tcPr>
            <w:tcW w:w="3055" w:type="dxa"/>
          </w:tcPr>
          <w:p w:rsidR="0084045D" w:rsidP="0042192E" w14:paraId="7F493B43" w14:textId="77777777">
            <w:pPr>
              <w:keepNext/>
              <w:rPr>
                <w:rFonts w:cs="Arial"/>
                <w:i/>
                <w:color w:val="000000"/>
                <w:sz w:val="22"/>
                <w:szCs w:val="28"/>
              </w:rPr>
            </w:pPr>
            <w:r>
              <w:rPr>
                <w:rFonts w:cs="Arial"/>
                <w:i/>
                <w:color w:val="000000"/>
                <w:sz w:val="22"/>
                <w:szCs w:val="28"/>
              </w:rPr>
              <w:t>Extends applicability of 10 </w:t>
            </w:r>
            <w:r>
              <w:rPr>
                <w:rFonts w:cs="Arial"/>
                <w:i/>
                <w:color w:val="000000"/>
                <w:sz w:val="22"/>
                <w:szCs w:val="28"/>
              </w:rPr>
              <w:t>CFR 50.59</w:t>
            </w:r>
          </w:p>
        </w:tc>
        <w:tc>
          <w:tcPr>
            <w:tcW w:w="1736" w:type="dxa"/>
            <w:vAlign w:val="center"/>
          </w:tcPr>
          <w:p w:rsidR="0084045D" w:rsidRPr="001F3201" w:rsidP="0042192E" w14:paraId="7F493B44" w14:textId="77777777">
            <w:pPr>
              <w:keepNext/>
              <w:jc w:val="center"/>
              <w:rPr>
                <w:rFonts w:cs="Arial"/>
                <w:color w:val="000000"/>
                <w:sz w:val="22"/>
                <w:szCs w:val="28"/>
              </w:rPr>
            </w:pPr>
          </w:p>
        </w:tc>
        <w:tc>
          <w:tcPr>
            <w:tcW w:w="1774" w:type="dxa"/>
            <w:vAlign w:val="center"/>
          </w:tcPr>
          <w:p w:rsidR="0084045D" w:rsidRPr="001F3201" w:rsidP="0042192E" w14:paraId="7F493B45" w14:textId="77777777">
            <w:pPr>
              <w:keepNext/>
              <w:jc w:val="center"/>
              <w:rPr>
                <w:rFonts w:cs="Arial"/>
                <w:b/>
                <w:color w:val="000000"/>
                <w:sz w:val="28"/>
                <w:szCs w:val="28"/>
              </w:rPr>
            </w:pPr>
          </w:p>
        </w:tc>
        <w:tc>
          <w:tcPr>
            <w:tcW w:w="1604" w:type="dxa"/>
            <w:vAlign w:val="center"/>
          </w:tcPr>
          <w:p w:rsidR="0084045D" w:rsidRPr="001F3201" w:rsidP="0042192E" w14:paraId="7F493B46" w14:textId="77777777">
            <w:pPr>
              <w:keepNext/>
              <w:jc w:val="center"/>
              <w:rPr>
                <w:rFonts w:cs="Arial"/>
                <w:color w:val="000000"/>
                <w:sz w:val="22"/>
                <w:szCs w:val="28"/>
              </w:rPr>
            </w:pPr>
          </w:p>
        </w:tc>
        <w:tc>
          <w:tcPr>
            <w:tcW w:w="1546" w:type="dxa"/>
            <w:vAlign w:val="center"/>
          </w:tcPr>
          <w:p w:rsidR="0084045D" w:rsidRPr="001F3201" w:rsidP="0042192E" w14:paraId="7F493B47" w14:textId="77777777">
            <w:pPr>
              <w:keepNext/>
              <w:jc w:val="center"/>
              <w:rPr>
                <w:rFonts w:cs="Arial"/>
                <w:color w:val="000000"/>
                <w:sz w:val="22"/>
                <w:szCs w:val="28"/>
              </w:rPr>
            </w:pPr>
            <w:r w:rsidRPr="001F3201">
              <w:rPr>
                <w:rFonts w:cs="Arial"/>
                <w:color w:val="000000"/>
                <w:sz w:val="22"/>
                <w:szCs w:val="28"/>
              </w:rPr>
              <w:t>X</w:t>
            </w:r>
          </w:p>
        </w:tc>
      </w:tr>
      <w:tr w14:paraId="7F493B4E" w14:textId="77777777" w:rsidTr="00DB27DF">
        <w:tblPrEx>
          <w:tblW w:w="9715" w:type="dxa"/>
          <w:tblLook w:val="04A0"/>
        </w:tblPrEx>
        <w:tc>
          <w:tcPr>
            <w:tcW w:w="3055" w:type="dxa"/>
          </w:tcPr>
          <w:p w:rsidR="0084045D" w:rsidP="0042192E" w14:paraId="7F493B49" w14:textId="77777777">
            <w:pPr>
              <w:keepNext/>
              <w:rPr>
                <w:rFonts w:cs="Arial"/>
                <w:i/>
                <w:color w:val="000000"/>
                <w:sz w:val="22"/>
                <w:szCs w:val="28"/>
              </w:rPr>
            </w:pPr>
            <w:r>
              <w:rPr>
                <w:rFonts w:cs="Arial"/>
                <w:i/>
                <w:color w:val="000000"/>
                <w:sz w:val="22"/>
                <w:szCs w:val="28"/>
              </w:rPr>
              <w:t>Clarifies requirements of 10 </w:t>
            </w:r>
            <w:r>
              <w:rPr>
                <w:rFonts w:cs="Arial"/>
                <w:i/>
                <w:color w:val="000000"/>
                <w:sz w:val="22"/>
                <w:szCs w:val="28"/>
              </w:rPr>
              <w:t>CFR 51.45</w:t>
            </w:r>
          </w:p>
        </w:tc>
        <w:tc>
          <w:tcPr>
            <w:tcW w:w="1736" w:type="dxa"/>
            <w:vAlign w:val="center"/>
          </w:tcPr>
          <w:p w:rsidR="0084045D" w:rsidRPr="001F3201" w:rsidP="0042192E" w14:paraId="7F493B4A" w14:textId="77777777">
            <w:pPr>
              <w:keepNext/>
              <w:jc w:val="center"/>
              <w:rPr>
                <w:rFonts w:cs="Arial"/>
                <w:color w:val="000000"/>
                <w:sz w:val="22"/>
                <w:szCs w:val="28"/>
              </w:rPr>
            </w:pPr>
          </w:p>
        </w:tc>
        <w:tc>
          <w:tcPr>
            <w:tcW w:w="1774" w:type="dxa"/>
            <w:vAlign w:val="center"/>
          </w:tcPr>
          <w:p w:rsidR="0084045D" w:rsidRPr="001F3201" w:rsidP="0042192E" w14:paraId="7F493B4B" w14:textId="77777777">
            <w:pPr>
              <w:keepNext/>
              <w:jc w:val="center"/>
              <w:rPr>
                <w:rFonts w:cs="Arial"/>
                <w:b/>
                <w:color w:val="000000"/>
                <w:sz w:val="28"/>
                <w:szCs w:val="28"/>
              </w:rPr>
            </w:pPr>
          </w:p>
        </w:tc>
        <w:tc>
          <w:tcPr>
            <w:tcW w:w="1604" w:type="dxa"/>
            <w:vAlign w:val="center"/>
          </w:tcPr>
          <w:p w:rsidR="0084045D" w:rsidRPr="001F3201" w:rsidP="0042192E" w14:paraId="7F493B4C" w14:textId="77777777">
            <w:pPr>
              <w:keepNext/>
              <w:jc w:val="center"/>
              <w:rPr>
                <w:rFonts w:cs="Arial"/>
                <w:color w:val="000000"/>
                <w:sz w:val="22"/>
                <w:szCs w:val="28"/>
              </w:rPr>
            </w:pPr>
          </w:p>
        </w:tc>
        <w:tc>
          <w:tcPr>
            <w:tcW w:w="1546" w:type="dxa"/>
            <w:vAlign w:val="center"/>
          </w:tcPr>
          <w:p w:rsidR="0084045D" w:rsidRPr="001F3201" w:rsidP="0042192E" w14:paraId="7F493B4D" w14:textId="77777777">
            <w:pPr>
              <w:keepNext/>
              <w:jc w:val="center"/>
              <w:rPr>
                <w:rFonts w:cs="Arial"/>
                <w:color w:val="000000"/>
                <w:sz w:val="22"/>
                <w:szCs w:val="28"/>
              </w:rPr>
            </w:pPr>
            <w:r w:rsidRPr="001F3201">
              <w:rPr>
                <w:rFonts w:cs="Arial"/>
                <w:color w:val="000000"/>
                <w:sz w:val="22"/>
                <w:szCs w:val="28"/>
              </w:rPr>
              <w:t>X</w:t>
            </w:r>
          </w:p>
        </w:tc>
      </w:tr>
      <w:tr w14:paraId="7F493B54" w14:textId="77777777" w:rsidTr="00DB27DF">
        <w:tblPrEx>
          <w:tblW w:w="9715" w:type="dxa"/>
          <w:tblLook w:val="04A0"/>
        </w:tblPrEx>
        <w:tc>
          <w:tcPr>
            <w:tcW w:w="3055" w:type="dxa"/>
          </w:tcPr>
          <w:p w:rsidR="0084045D" w:rsidP="00E05F2C" w14:paraId="7F493B4F" w14:textId="77777777">
            <w:pPr>
              <w:rPr>
                <w:rFonts w:cs="Arial"/>
                <w:i/>
                <w:color w:val="000000"/>
                <w:sz w:val="22"/>
                <w:szCs w:val="28"/>
              </w:rPr>
            </w:pPr>
            <w:r>
              <w:rPr>
                <w:rFonts w:cs="Arial"/>
                <w:i/>
                <w:color w:val="000000"/>
                <w:sz w:val="22"/>
                <w:szCs w:val="28"/>
              </w:rPr>
              <w:t>Elimination of requirement under 10 CFR 50.33(f)(2)</w:t>
            </w:r>
          </w:p>
        </w:tc>
        <w:tc>
          <w:tcPr>
            <w:tcW w:w="1736" w:type="dxa"/>
            <w:vAlign w:val="center"/>
          </w:tcPr>
          <w:p w:rsidR="0084045D" w:rsidRPr="001F3201" w:rsidP="00E05F2C" w14:paraId="7F493B50" w14:textId="77777777">
            <w:pPr>
              <w:jc w:val="center"/>
              <w:rPr>
                <w:rFonts w:cs="Arial"/>
                <w:color w:val="000000"/>
                <w:sz w:val="22"/>
                <w:szCs w:val="28"/>
              </w:rPr>
            </w:pPr>
          </w:p>
        </w:tc>
        <w:tc>
          <w:tcPr>
            <w:tcW w:w="1774" w:type="dxa"/>
            <w:vAlign w:val="center"/>
          </w:tcPr>
          <w:p w:rsidR="0084045D" w:rsidRPr="001F3201" w:rsidP="00E05F2C" w14:paraId="7F493B51" w14:textId="77777777">
            <w:pPr>
              <w:jc w:val="center"/>
              <w:rPr>
                <w:rFonts w:cs="Arial"/>
                <w:b/>
                <w:color w:val="000000"/>
                <w:sz w:val="28"/>
                <w:szCs w:val="28"/>
              </w:rPr>
            </w:pPr>
          </w:p>
        </w:tc>
        <w:tc>
          <w:tcPr>
            <w:tcW w:w="1604" w:type="dxa"/>
            <w:vAlign w:val="center"/>
          </w:tcPr>
          <w:p w:rsidR="0084045D" w:rsidRPr="001F3201" w:rsidP="00E05F2C" w14:paraId="7F493B52" w14:textId="77777777">
            <w:pPr>
              <w:jc w:val="center"/>
              <w:rPr>
                <w:rFonts w:cs="Arial"/>
                <w:color w:val="000000"/>
                <w:sz w:val="22"/>
                <w:szCs w:val="28"/>
              </w:rPr>
            </w:pPr>
          </w:p>
        </w:tc>
        <w:tc>
          <w:tcPr>
            <w:tcW w:w="1546" w:type="dxa"/>
            <w:vAlign w:val="center"/>
          </w:tcPr>
          <w:p w:rsidR="0084045D" w:rsidRPr="001F3201" w:rsidP="00E05F2C" w14:paraId="7F493B53" w14:textId="77777777">
            <w:pPr>
              <w:jc w:val="center"/>
              <w:rPr>
                <w:rFonts w:cs="Arial"/>
                <w:color w:val="000000"/>
                <w:sz w:val="22"/>
                <w:szCs w:val="28"/>
              </w:rPr>
            </w:pPr>
            <w:r w:rsidRPr="001F3201">
              <w:rPr>
                <w:rFonts w:cs="Arial"/>
                <w:color w:val="000000"/>
                <w:sz w:val="22"/>
                <w:szCs w:val="28"/>
              </w:rPr>
              <w:t>X</w:t>
            </w:r>
          </w:p>
        </w:tc>
      </w:tr>
    </w:tbl>
    <w:p w:rsidR="0084045D" w:rsidP="00054386" w14:paraId="7F493B55" w14:textId="77777777"/>
    <w:p w:rsidR="00BF42F9" w:rsidRPr="00D96410" w:rsidP="00672B60" w14:paraId="7F493B56" w14:textId="25767414">
      <w:pPr>
        <w:pStyle w:val="Caption"/>
        <w:keepNext/>
        <w:spacing w:after="0"/>
        <w:jc w:val="center"/>
        <w:rPr>
          <w:b/>
          <w:i w:val="0"/>
          <w:color w:val="auto"/>
          <w:sz w:val="22"/>
        </w:rPr>
      </w:pPr>
      <w:bookmarkStart w:id="377" w:name="_Ref534641510"/>
      <w:bookmarkStart w:id="378" w:name="_Toc534710016"/>
      <w:bookmarkStart w:id="379" w:name="_Toc534711701"/>
      <w:bookmarkStart w:id="380" w:name="_Toc534712134"/>
      <w:bookmarkStart w:id="381" w:name="_Toc534712711"/>
      <w:bookmarkStart w:id="382" w:name="_Toc534713220"/>
      <w:bookmarkStart w:id="383" w:name="_Toc9526480"/>
      <w:bookmarkStart w:id="384" w:name="_Toc536603429"/>
      <w:r w:rsidRPr="00D96410">
        <w:rPr>
          <w:b/>
          <w:i w:val="0"/>
          <w:color w:val="auto"/>
          <w:sz w:val="22"/>
        </w:rPr>
        <w:t>Exhibit 3</w:t>
      </w:r>
      <w:r w:rsidRPr="00D96410">
        <w:rPr>
          <w:b/>
          <w:i w:val="0"/>
          <w:color w:val="auto"/>
          <w:sz w:val="22"/>
        </w:rPr>
        <w:noBreakHyphen/>
      </w:r>
      <w:r w:rsidRPr="00D96410" w:rsidR="00C276FC">
        <w:rPr>
          <w:b/>
          <w:i w:val="0"/>
          <w:color w:val="auto"/>
          <w:sz w:val="22"/>
        </w:rPr>
        <w:fldChar w:fldCharType="begin"/>
      </w:r>
      <w:r w:rsidRPr="00D96410" w:rsidR="00C276FC">
        <w:rPr>
          <w:b/>
          <w:i w:val="0"/>
          <w:color w:val="auto"/>
          <w:sz w:val="22"/>
        </w:rPr>
        <w:instrText xml:space="preserve"> SEQ Exhibit \* ARABIC </w:instrText>
      </w:r>
      <w:r w:rsidRPr="00D96410" w:rsidR="00C276FC">
        <w:rPr>
          <w:b/>
          <w:i w:val="0"/>
          <w:color w:val="auto"/>
          <w:sz w:val="22"/>
        </w:rPr>
        <w:fldChar w:fldCharType="separate"/>
      </w:r>
      <w:r w:rsidR="00977795">
        <w:rPr>
          <w:b/>
          <w:i w:val="0"/>
          <w:noProof/>
          <w:color w:val="auto"/>
          <w:sz w:val="22"/>
        </w:rPr>
        <w:t>23</w:t>
      </w:r>
      <w:r w:rsidRPr="00D96410" w:rsidR="00C276FC">
        <w:rPr>
          <w:b/>
          <w:i w:val="0"/>
          <w:color w:val="auto"/>
          <w:sz w:val="22"/>
        </w:rPr>
        <w:fldChar w:fldCharType="end"/>
      </w:r>
      <w:bookmarkEnd w:id="377"/>
      <w:r w:rsidRPr="00D96410">
        <w:rPr>
          <w:b/>
          <w:i w:val="0"/>
          <w:color w:val="auto"/>
          <w:sz w:val="22"/>
        </w:rPr>
        <w:t xml:space="preserve">. </w:t>
      </w:r>
      <w:r w:rsidRPr="00D96410" w:rsidR="000D0DF8">
        <w:rPr>
          <w:b/>
          <w:i w:val="0"/>
          <w:color w:val="auto"/>
          <w:sz w:val="22"/>
        </w:rPr>
        <w:t xml:space="preserve">Undiscounted </w:t>
      </w:r>
      <w:r w:rsidRPr="00D96410">
        <w:rPr>
          <w:b/>
          <w:i w:val="0"/>
          <w:color w:val="auto"/>
          <w:sz w:val="22"/>
        </w:rPr>
        <w:t>Costs, Averted Costs, and Benefits by Objective (2020$)</w:t>
      </w:r>
      <w:bookmarkEnd w:id="378"/>
      <w:bookmarkEnd w:id="379"/>
      <w:bookmarkEnd w:id="380"/>
      <w:bookmarkEnd w:id="381"/>
      <w:bookmarkEnd w:id="382"/>
      <w:bookmarkEnd w:id="383"/>
      <w:bookmarkEnd w:id="384"/>
    </w:p>
    <w:tbl>
      <w:tblPr>
        <w:tblStyle w:val="TableGrid"/>
        <w:tblW w:w="9617" w:type="dxa"/>
        <w:tblLayout w:type="fixed"/>
        <w:tblLook w:val="04A0"/>
      </w:tblPr>
      <w:tblGrid>
        <w:gridCol w:w="1255"/>
        <w:gridCol w:w="1890"/>
        <w:gridCol w:w="1684"/>
        <w:gridCol w:w="1800"/>
        <w:gridCol w:w="2988"/>
      </w:tblGrid>
      <w:tr w14:paraId="7F493B5C" w14:textId="77777777" w:rsidTr="001F3201">
        <w:tblPrEx>
          <w:tblW w:w="9617" w:type="dxa"/>
          <w:tblLayout w:type="fixed"/>
          <w:tblLook w:val="04A0"/>
        </w:tblPrEx>
        <w:tc>
          <w:tcPr>
            <w:tcW w:w="1255" w:type="dxa"/>
          </w:tcPr>
          <w:p w:rsidR="00807131" w:rsidRPr="001F3201" w:rsidP="00053E19" w14:paraId="7F493B57" w14:textId="77777777">
            <w:pPr>
              <w:keepNext/>
              <w:rPr>
                <w:rFonts w:cs="Arial"/>
                <w:b/>
                <w:i/>
                <w:color w:val="000000"/>
                <w:szCs w:val="28"/>
              </w:rPr>
            </w:pPr>
            <w:r w:rsidRPr="001F3201">
              <w:rPr>
                <w:rFonts w:cs="Arial"/>
                <w:b/>
                <w:i/>
                <w:color w:val="000000"/>
                <w:szCs w:val="28"/>
              </w:rPr>
              <w:t>Objectives</w:t>
            </w:r>
          </w:p>
        </w:tc>
        <w:tc>
          <w:tcPr>
            <w:tcW w:w="1890" w:type="dxa"/>
          </w:tcPr>
          <w:p w:rsidR="00807131" w:rsidRPr="001F3201" w:rsidP="000B5AC3" w14:paraId="7F493B58" w14:textId="77777777">
            <w:pPr>
              <w:keepNext/>
              <w:jc w:val="center"/>
              <w:rPr>
                <w:rFonts w:cs="Arial"/>
                <w:b/>
                <w:color w:val="000000"/>
                <w:szCs w:val="28"/>
              </w:rPr>
            </w:pPr>
            <w:r w:rsidRPr="001F3201">
              <w:rPr>
                <w:rFonts w:cs="Arial"/>
                <w:b/>
                <w:color w:val="000000"/>
                <w:szCs w:val="28"/>
              </w:rPr>
              <w:t>Costs</w:t>
            </w:r>
          </w:p>
        </w:tc>
        <w:tc>
          <w:tcPr>
            <w:tcW w:w="1684" w:type="dxa"/>
          </w:tcPr>
          <w:p w:rsidR="00807131" w:rsidRPr="001F3201" w:rsidP="000B5AC3" w14:paraId="7F493B59" w14:textId="77777777">
            <w:pPr>
              <w:keepNext/>
              <w:jc w:val="center"/>
              <w:rPr>
                <w:rFonts w:cs="Arial"/>
                <w:b/>
                <w:color w:val="000000"/>
                <w:szCs w:val="28"/>
              </w:rPr>
            </w:pPr>
            <w:r w:rsidRPr="001F3201">
              <w:rPr>
                <w:rFonts w:cs="Arial"/>
                <w:b/>
                <w:color w:val="000000"/>
                <w:szCs w:val="28"/>
              </w:rPr>
              <w:t>Averted Costs</w:t>
            </w:r>
          </w:p>
        </w:tc>
        <w:tc>
          <w:tcPr>
            <w:tcW w:w="1800" w:type="dxa"/>
          </w:tcPr>
          <w:p w:rsidR="00807131" w:rsidRPr="001F3201" w:rsidP="000B5AC3" w14:paraId="7F493B5A" w14:textId="77777777">
            <w:pPr>
              <w:keepNext/>
              <w:jc w:val="center"/>
              <w:rPr>
                <w:rFonts w:cs="Arial"/>
                <w:b/>
                <w:color w:val="000000"/>
                <w:szCs w:val="28"/>
              </w:rPr>
            </w:pPr>
            <w:r w:rsidRPr="001F3201">
              <w:rPr>
                <w:rFonts w:cs="Arial"/>
                <w:b/>
                <w:color w:val="000000"/>
                <w:szCs w:val="28"/>
              </w:rPr>
              <w:t>Net</w:t>
            </w:r>
          </w:p>
        </w:tc>
        <w:tc>
          <w:tcPr>
            <w:tcW w:w="2988" w:type="dxa"/>
          </w:tcPr>
          <w:p w:rsidR="00807131" w:rsidRPr="001F3201" w:rsidP="000B5AC3" w14:paraId="7F493B5B" w14:textId="77777777">
            <w:pPr>
              <w:keepNext/>
              <w:jc w:val="center"/>
              <w:rPr>
                <w:rFonts w:cs="Arial"/>
                <w:b/>
                <w:color w:val="000000"/>
                <w:szCs w:val="28"/>
              </w:rPr>
            </w:pPr>
            <w:r w:rsidRPr="001F3201">
              <w:rPr>
                <w:rFonts w:cs="Arial"/>
                <w:b/>
                <w:color w:val="000000"/>
                <w:szCs w:val="28"/>
              </w:rPr>
              <w:t>Qualitative</w:t>
            </w:r>
            <w:r w:rsidR="00632863">
              <w:rPr>
                <w:rFonts w:cs="Arial"/>
                <w:b/>
                <w:color w:val="000000"/>
                <w:szCs w:val="28"/>
              </w:rPr>
              <w:t xml:space="preserve"> Benefits</w:t>
            </w:r>
          </w:p>
        </w:tc>
      </w:tr>
      <w:tr w14:paraId="7F493B62" w14:textId="77777777" w:rsidTr="001F3201">
        <w:tblPrEx>
          <w:tblW w:w="9617" w:type="dxa"/>
          <w:tblLayout w:type="fixed"/>
          <w:tblLook w:val="04A0"/>
        </w:tblPrEx>
        <w:tc>
          <w:tcPr>
            <w:tcW w:w="1255" w:type="dxa"/>
          </w:tcPr>
          <w:p w:rsidR="00807131" w:rsidRPr="001F3201" w:rsidP="00053E19" w14:paraId="7F493B5D" w14:textId="77777777">
            <w:pPr>
              <w:keepNext/>
              <w:rPr>
                <w:rFonts w:cs="Arial"/>
                <w:color w:val="000000"/>
                <w:szCs w:val="28"/>
              </w:rPr>
            </w:pPr>
            <w:r w:rsidRPr="001F3201">
              <w:rPr>
                <w:rFonts w:cs="Arial"/>
                <w:color w:val="000000"/>
                <w:szCs w:val="28"/>
              </w:rPr>
              <w:t xml:space="preserve">Objective 1 </w:t>
            </w:r>
          </w:p>
        </w:tc>
        <w:tc>
          <w:tcPr>
            <w:tcW w:w="1890" w:type="dxa"/>
          </w:tcPr>
          <w:p w:rsidR="00807131" w:rsidRPr="001F3201" w:rsidP="00053E19" w14:paraId="7F493B5E" w14:textId="77777777">
            <w:pPr>
              <w:keepNext/>
              <w:rPr>
                <w:rFonts w:cs="Arial"/>
                <w:color w:val="000000"/>
                <w:szCs w:val="28"/>
              </w:rPr>
            </w:pPr>
            <w:r>
              <w:rPr>
                <w:rFonts w:cs="Arial"/>
                <w:color w:val="000000"/>
                <w:szCs w:val="28"/>
              </w:rPr>
              <w:t>$0</w:t>
            </w:r>
          </w:p>
        </w:tc>
        <w:tc>
          <w:tcPr>
            <w:tcW w:w="1684" w:type="dxa"/>
          </w:tcPr>
          <w:p w:rsidR="00807131" w:rsidRPr="001F3201" w:rsidP="00053E19" w14:paraId="7F493B5F" w14:textId="77777777">
            <w:pPr>
              <w:keepNext/>
              <w:rPr>
                <w:rFonts w:cs="Arial"/>
                <w:color w:val="000000"/>
                <w:szCs w:val="28"/>
              </w:rPr>
            </w:pPr>
            <w:r w:rsidRPr="001F3201">
              <w:rPr>
                <w:rFonts w:cs="Arial"/>
                <w:color w:val="000000"/>
                <w:szCs w:val="28"/>
              </w:rPr>
              <w:t>$19.3 million</w:t>
            </w:r>
          </w:p>
        </w:tc>
        <w:tc>
          <w:tcPr>
            <w:tcW w:w="1800" w:type="dxa"/>
          </w:tcPr>
          <w:p w:rsidR="00807131" w:rsidRPr="001F3201" w:rsidP="00053E19" w14:paraId="7F493B60" w14:textId="77777777">
            <w:pPr>
              <w:keepNext/>
              <w:rPr>
                <w:rFonts w:cs="Arial"/>
                <w:color w:val="000000"/>
                <w:szCs w:val="28"/>
              </w:rPr>
            </w:pPr>
            <w:r w:rsidRPr="001F3201">
              <w:rPr>
                <w:rFonts w:cs="Arial"/>
                <w:color w:val="000000"/>
                <w:szCs w:val="28"/>
              </w:rPr>
              <w:t>$19.3 million</w:t>
            </w:r>
          </w:p>
        </w:tc>
        <w:tc>
          <w:tcPr>
            <w:tcW w:w="2988" w:type="dxa"/>
          </w:tcPr>
          <w:p w:rsidR="00807131" w:rsidRPr="001F3201" w:rsidP="00053E19" w14:paraId="7F493B61" w14:textId="77777777">
            <w:pPr>
              <w:keepNext/>
              <w:rPr>
                <w:rFonts w:cs="Arial"/>
                <w:color w:val="000000"/>
                <w:szCs w:val="28"/>
              </w:rPr>
            </w:pPr>
            <w:r w:rsidRPr="001F3201">
              <w:rPr>
                <w:rFonts w:cs="Arial"/>
                <w:color w:val="000000"/>
                <w:szCs w:val="28"/>
              </w:rPr>
              <w:t>Regulatory efficiency benefits</w:t>
            </w:r>
          </w:p>
        </w:tc>
      </w:tr>
      <w:tr w14:paraId="7F493B68" w14:textId="77777777" w:rsidTr="001F3201">
        <w:tblPrEx>
          <w:tblW w:w="9617" w:type="dxa"/>
          <w:tblLayout w:type="fixed"/>
          <w:tblLook w:val="04A0"/>
        </w:tblPrEx>
        <w:tc>
          <w:tcPr>
            <w:tcW w:w="1255" w:type="dxa"/>
          </w:tcPr>
          <w:p w:rsidR="00807131" w:rsidRPr="001F3201" w:rsidP="00053E19" w14:paraId="7F493B63" w14:textId="77777777">
            <w:pPr>
              <w:keepNext/>
              <w:rPr>
                <w:rFonts w:cs="Arial"/>
                <w:color w:val="000000"/>
                <w:szCs w:val="28"/>
              </w:rPr>
            </w:pPr>
            <w:r w:rsidRPr="001F3201">
              <w:rPr>
                <w:rFonts w:cs="Arial"/>
                <w:color w:val="000000"/>
                <w:szCs w:val="28"/>
              </w:rPr>
              <w:t xml:space="preserve">Objective 2 </w:t>
            </w:r>
          </w:p>
        </w:tc>
        <w:tc>
          <w:tcPr>
            <w:tcW w:w="1890" w:type="dxa"/>
          </w:tcPr>
          <w:p w:rsidR="00807131" w:rsidRPr="001F3201" w:rsidP="00053E19" w14:paraId="7F493B64" w14:textId="77777777">
            <w:pPr>
              <w:keepNext/>
              <w:rPr>
                <w:rFonts w:cs="Arial"/>
                <w:color w:val="000000"/>
                <w:szCs w:val="28"/>
              </w:rPr>
            </w:pPr>
            <w:r w:rsidRPr="001F3201">
              <w:rPr>
                <w:rFonts w:cs="Arial"/>
                <w:color w:val="000000"/>
                <w:szCs w:val="28"/>
              </w:rPr>
              <w:t>(</w:t>
            </w:r>
            <w:r w:rsidRPr="001F3201" w:rsidR="000D0DF8">
              <w:rPr>
                <w:rFonts w:cs="Arial"/>
                <w:color w:val="000000"/>
                <w:szCs w:val="28"/>
              </w:rPr>
              <w:t>$2.3 million</w:t>
            </w:r>
            <w:r w:rsidR="00632863">
              <w:rPr>
                <w:rFonts w:cs="Arial"/>
                <w:color w:val="000000"/>
                <w:szCs w:val="28"/>
              </w:rPr>
              <w:t>)</w:t>
            </w:r>
          </w:p>
        </w:tc>
        <w:tc>
          <w:tcPr>
            <w:tcW w:w="1684" w:type="dxa"/>
          </w:tcPr>
          <w:p w:rsidR="00807131" w:rsidRPr="001F3201" w:rsidP="00053E19" w14:paraId="7F493B65" w14:textId="77777777">
            <w:pPr>
              <w:keepNext/>
              <w:rPr>
                <w:rFonts w:cs="Arial"/>
                <w:color w:val="000000"/>
                <w:szCs w:val="28"/>
              </w:rPr>
            </w:pPr>
            <w:r>
              <w:rPr>
                <w:rFonts w:cs="Arial"/>
                <w:color w:val="000000"/>
                <w:szCs w:val="28"/>
              </w:rPr>
              <w:t>$0</w:t>
            </w:r>
          </w:p>
        </w:tc>
        <w:tc>
          <w:tcPr>
            <w:tcW w:w="1800" w:type="dxa"/>
          </w:tcPr>
          <w:p w:rsidR="00807131" w:rsidRPr="001F3201" w:rsidP="00053E19" w14:paraId="7F493B66" w14:textId="77777777">
            <w:pPr>
              <w:keepNext/>
              <w:rPr>
                <w:rFonts w:cs="Arial"/>
                <w:color w:val="000000"/>
                <w:szCs w:val="28"/>
              </w:rPr>
            </w:pPr>
            <w:r w:rsidRPr="001F3201">
              <w:rPr>
                <w:rFonts w:cs="Arial"/>
                <w:color w:val="000000"/>
                <w:szCs w:val="28"/>
              </w:rPr>
              <w:t>(</w:t>
            </w:r>
            <w:r w:rsidRPr="001F3201" w:rsidR="000D0DF8">
              <w:rPr>
                <w:rFonts w:cs="Arial"/>
                <w:color w:val="000000"/>
                <w:szCs w:val="28"/>
              </w:rPr>
              <w:t>$2.3 million</w:t>
            </w:r>
            <w:r w:rsidR="00632863">
              <w:rPr>
                <w:rFonts w:cs="Arial"/>
                <w:color w:val="000000"/>
                <w:szCs w:val="28"/>
              </w:rPr>
              <w:t>)</w:t>
            </w:r>
          </w:p>
        </w:tc>
        <w:tc>
          <w:tcPr>
            <w:tcW w:w="2988" w:type="dxa"/>
          </w:tcPr>
          <w:p w:rsidR="00807131" w:rsidRPr="001F3201" w:rsidP="00053E19" w14:paraId="7F493B67" w14:textId="77777777">
            <w:pPr>
              <w:keepNext/>
              <w:rPr>
                <w:rFonts w:cs="Arial"/>
                <w:color w:val="000000"/>
                <w:szCs w:val="28"/>
              </w:rPr>
            </w:pPr>
            <w:r w:rsidRPr="001F3201">
              <w:rPr>
                <w:rFonts w:cs="Arial"/>
                <w:color w:val="000000"/>
                <w:szCs w:val="28"/>
              </w:rPr>
              <w:t>Public health and safety benefits</w:t>
            </w:r>
          </w:p>
        </w:tc>
      </w:tr>
      <w:tr w14:paraId="7F493B6E" w14:textId="77777777" w:rsidTr="001F3201">
        <w:tblPrEx>
          <w:tblW w:w="9617" w:type="dxa"/>
          <w:tblLayout w:type="fixed"/>
          <w:tblLook w:val="04A0"/>
        </w:tblPrEx>
        <w:tc>
          <w:tcPr>
            <w:tcW w:w="1255" w:type="dxa"/>
          </w:tcPr>
          <w:p w:rsidR="00807131" w:rsidRPr="001F3201" w:rsidP="00C00F2A" w14:paraId="7F493B69" w14:textId="77777777">
            <w:pPr>
              <w:rPr>
                <w:rFonts w:cs="Arial"/>
                <w:color w:val="000000"/>
                <w:szCs w:val="28"/>
              </w:rPr>
            </w:pPr>
            <w:r w:rsidRPr="001F3201">
              <w:rPr>
                <w:rFonts w:cs="Arial"/>
                <w:color w:val="000000"/>
                <w:szCs w:val="28"/>
              </w:rPr>
              <w:t xml:space="preserve">Objective 3 </w:t>
            </w:r>
          </w:p>
        </w:tc>
        <w:tc>
          <w:tcPr>
            <w:tcW w:w="1890" w:type="dxa"/>
          </w:tcPr>
          <w:p w:rsidR="00807131" w:rsidRPr="001F3201" w:rsidP="006F7A12" w14:paraId="7F493B6A" w14:textId="77777777">
            <w:pPr>
              <w:rPr>
                <w:rFonts w:cs="Arial"/>
                <w:color w:val="000000"/>
                <w:szCs w:val="28"/>
              </w:rPr>
            </w:pPr>
            <w:r w:rsidRPr="001F3201">
              <w:rPr>
                <w:rFonts w:cs="Arial"/>
                <w:color w:val="000000"/>
                <w:szCs w:val="28"/>
              </w:rPr>
              <w:t>($</w:t>
            </w:r>
            <w:r w:rsidR="006F7A12">
              <w:rPr>
                <w:rFonts w:cs="Arial"/>
                <w:color w:val="000000"/>
                <w:szCs w:val="28"/>
              </w:rPr>
              <w:t>2,100</w:t>
            </w:r>
            <w:r w:rsidRPr="001F3201">
              <w:rPr>
                <w:rFonts w:cs="Arial"/>
                <w:color w:val="000000"/>
                <w:szCs w:val="28"/>
              </w:rPr>
              <w:t>) – ($</w:t>
            </w:r>
            <w:r w:rsidR="006F7A12">
              <w:rPr>
                <w:rFonts w:cs="Arial"/>
                <w:color w:val="000000"/>
                <w:szCs w:val="28"/>
              </w:rPr>
              <w:t>21,000</w:t>
            </w:r>
            <w:r w:rsidRPr="001F3201">
              <w:rPr>
                <w:rFonts w:cs="Arial"/>
                <w:color w:val="000000"/>
                <w:szCs w:val="28"/>
              </w:rPr>
              <w:t>)</w:t>
            </w:r>
          </w:p>
        </w:tc>
        <w:tc>
          <w:tcPr>
            <w:tcW w:w="1684" w:type="dxa"/>
          </w:tcPr>
          <w:p w:rsidR="00807131" w:rsidRPr="001F3201" w:rsidP="00C00F2A" w14:paraId="7F493B6B" w14:textId="77777777">
            <w:pPr>
              <w:rPr>
                <w:rFonts w:cs="Arial"/>
                <w:color w:val="000000"/>
                <w:szCs w:val="28"/>
              </w:rPr>
            </w:pPr>
            <w:r>
              <w:rPr>
                <w:rFonts w:cs="Arial"/>
                <w:color w:val="000000"/>
                <w:szCs w:val="28"/>
              </w:rPr>
              <w:t>$0</w:t>
            </w:r>
          </w:p>
        </w:tc>
        <w:tc>
          <w:tcPr>
            <w:tcW w:w="1800" w:type="dxa"/>
          </w:tcPr>
          <w:p w:rsidR="00807131" w:rsidRPr="001F3201" w:rsidP="006F7A12" w14:paraId="7F493B6C" w14:textId="77777777">
            <w:pPr>
              <w:rPr>
                <w:rFonts w:cs="Arial"/>
                <w:color w:val="000000"/>
                <w:szCs w:val="28"/>
              </w:rPr>
            </w:pPr>
            <w:r w:rsidRPr="001F3201">
              <w:rPr>
                <w:rFonts w:cs="Arial"/>
                <w:color w:val="000000"/>
                <w:szCs w:val="28"/>
              </w:rPr>
              <w:t>($</w:t>
            </w:r>
            <w:r w:rsidR="006F7A12">
              <w:rPr>
                <w:rFonts w:cs="Arial"/>
                <w:color w:val="000000"/>
                <w:szCs w:val="28"/>
              </w:rPr>
              <w:t>2,100</w:t>
            </w:r>
            <w:r w:rsidRPr="001F3201">
              <w:rPr>
                <w:rFonts w:cs="Arial"/>
                <w:color w:val="000000"/>
                <w:szCs w:val="28"/>
              </w:rPr>
              <w:t>) – ($</w:t>
            </w:r>
            <w:r w:rsidR="006F7A12">
              <w:rPr>
                <w:rFonts w:cs="Arial"/>
                <w:color w:val="000000"/>
                <w:szCs w:val="28"/>
              </w:rPr>
              <w:t>21,000</w:t>
            </w:r>
            <w:r w:rsidRPr="001F3201">
              <w:rPr>
                <w:rFonts w:cs="Arial"/>
                <w:color w:val="000000"/>
                <w:szCs w:val="28"/>
              </w:rPr>
              <w:t>)</w:t>
            </w:r>
          </w:p>
        </w:tc>
        <w:tc>
          <w:tcPr>
            <w:tcW w:w="2988" w:type="dxa"/>
          </w:tcPr>
          <w:p w:rsidR="00807131" w:rsidRPr="001F3201" w:rsidP="00C00F2A" w14:paraId="7F493B6D" w14:textId="77777777">
            <w:pPr>
              <w:rPr>
                <w:rFonts w:cs="Arial"/>
                <w:color w:val="000000"/>
                <w:szCs w:val="28"/>
              </w:rPr>
            </w:pPr>
            <w:r w:rsidRPr="001F3201">
              <w:rPr>
                <w:rFonts w:cs="Arial"/>
                <w:color w:val="000000"/>
                <w:szCs w:val="28"/>
              </w:rPr>
              <w:t>Public health and safety benefits</w:t>
            </w:r>
          </w:p>
        </w:tc>
      </w:tr>
      <w:tr w14:paraId="7F493B74" w14:textId="77777777" w:rsidTr="001F3201">
        <w:tblPrEx>
          <w:tblW w:w="9617" w:type="dxa"/>
          <w:tblLayout w:type="fixed"/>
          <w:tblLook w:val="04A0"/>
        </w:tblPrEx>
        <w:tc>
          <w:tcPr>
            <w:tcW w:w="1255" w:type="dxa"/>
          </w:tcPr>
          <w:p w:rsidR="00807131" w:rsidRPr="001F3201" w:rsidP="00C00F2A" w14:paraId="7F493B6F" w14:textId="77777777">
            <w:pPr>
              <w:rPr>
                <w:rFonts w:cs="Arial"/>
                <w:color w:val="000000"/>
                <w:szCs w:val="28"/>
              </w:rPr>
            </w:pPr>
            <w:r w:rsidRPr="001F3201">
              <w:rPr>
                <w:rFonts w:cs="Arial"/>
                <w:color w:val="000000"/>
                <w:szCs w:val="28"/>
              </w:rPr>
              <w:t xml:space="preserve">Objective 4 </w:t>
            </w:r>
          </w:p>
        </w:tc>
        <w:tc>
          <w:tcPr>
            <w:tcW w:w="1890" w:type="dxa"/>
          </w:tcPr>
          <w:p w:rsidR="00807131" w:rsidRPr="001F3201" w:rsidP="00C00F2A" w14:paraId="7F493B70" w14:textId="77777777">
            <w:pPr>
              <w:rPr>
                <w:rFonts w:cs="Arial"/>
                <w:color w:val="000000"/>
                <w:szCs w:val="28"/>
              </w:rPr>
            </w:pPr>
            <w:r w:rsidRPr="001F3201">
              <w:rPr>
                <w:rFonts w:cs="Arial"/>
                <w:color w:val="000000"/>
                <w:szCs w:val="28"/>
              </w:rPr>
              <w:t>*</w:t>
            </w:r>
          </w:p>
        </w:tc>
        <w:tc>
          <w:tcPr>
            <w:tcW w:w="1684" w:type="dxa"/>
          </w:tcPr>
          <w:p w:rsidR="00807131" w:rsidRPr="001F3201" w:rsidP="00C00F2A" w14:paraId="7F493B71" w14:textId="77777777">
            <w:pPr>
              <w:rPr>
                <w:rFonts w:cs="Arial"/>
                <w:color w:val="000000"/>
                <w:szCs w:val="28"/>
              </w:rPr>
            </w:pPr>
            <w:r>
              <w:rPr>
                <w:rFonts w:cs="Arial"/>
                <w:color w:val="000000"/>
                <w:szCs w:val="28"/>
              </w:rPr>
              <w:t>$0</w:t>
            </w:r>
          </w:p>
        </w:tc>
        <w:tc>
          <w:tcPr>
            <w:tcW w:w="1800" w:type="dxa"/>
          </w:tcPr>
          <w:p w:rsidR="00807131" w:rsidRPr="001F3201" w:rsidP="00C00F2A" w14:paraId="7F493B72" w14:textId="77777777">
            <w:pPr>
              <w:rPr>
                <w:rFonts w:cs="Arial"/>
                <w:color w:val="000000"/>
                <w:szCs w:val="28"/>
              </w:rPr>
            </w:pPr>
            <w:r w:rsidRPr="001F3201">
              <w:rPr>
                <w:rFonts w:cs="Arial"/>
                <w:color w:val="000000"/>
                <w:szCs w:val="28"/>
              </w:rPr>
              <w:t>*</w:t>
            </w:r>
          </w:p>
        </w:tc>
        <w:tc>
          <w:tcPr>
            <w:tcW w:w="2988" w:type="dxa"/>
          </w:tcPr>
          <w:p w:rsidR="00807131" w:rsidRPr="001F3201" w:rsidP="00C00F2A" w14:paraId="7F493B73" w14:textId="77777777">
            <w:pPr>
              <w:rPr>
                <w:rFonts w:cs="Arial"/>
                <w:color w:val="000000"/>
                <w:szCs w:val="28"/>
              </w:rPr>
            </w:pPr>
            <w:r w:rsidRPr="001F3201">
              <w:rPr>
                <w:rFonts w:cs="Arial"/>
                <w:color w:val="000000"/>
                <w:szCs w:val="28"/>
              </w:rPr>
              <w:t xml:space="preserve">Regulatory efficiency, public health </w:t>
            </w:r>
            <w:r w:rsidR="005255DD">
              <w:rPr>
                <w:rFonts w:cs="Arial"/>
                <w:color w:val="000000"/>
                <w:szCs w:val="28"/>
              </w:rPr>
              <w:t xml:space="preserve">and safety </w:t>
            </w:r>
            <w:r w:rsidRPr="001F3201">
              <w:rPr>
                <w:rFonts w:cs="Arial"/>
                <w:color w:val="000000"/>
                <w:szCs w:val="28"/>
              </w:rPr>
              <w:t>benefits</w:t>
            </w:r>
          </w:p>
        </w:tc>
      </w:tr>
    </w:tbl>
    <w:p w:rsidR="00807131" w:rsidP="00054386" w14:paraId="7F493B75" w14:textId="77777777">
      <w:pPr>
        <w:rPr>
          <w:sz w:val="18"/>
        </w:rPr>
      </w:pPr>
      <w:r>
        <w:rPr>
          <w:sz w:val="18"/>
        </w:rPr>
        <w:t>*</w:t>
      </w:r>
      <w:r w:rsidRPr="001F3201" w:rsidR="000D0DF8">
        <w:rPr>
          <w:sz w:val="18"/>
        </w:rPr>
        <w:t xml:space="preserve">Objective 4, Other Rule Language Issues, </w:t>
      </w:r>
      <w:r w:rsidR="00145AD3">
        <w:rPr>
          <w:sz w:val="18"/>
        </w:rPr>
        <w:t>is</w:t>
      </w:r>
      <w:r w:rsidR="000D0DF8">
        <w:rPr>
          <w:sz w:val="18"/>
        </w:rPr>
        <w:t xml:space="preserve"> expected to </w:t>
      </w:r>
      <w:r w:rsidR="005255DD">
        <w:rPr>
          <w:sz w:val="18"/>
        </w:rPr>
        <w:t xml:space="preserve">impose a portion of the one-time implementation </w:t>
      </w:r>
      <w:r w:rsidR="000D0DF8">
        <w:rPr>
          <w:sz w:val="18"/>
        </w:rPr>
        <w:t xml:space="preserve">costs </w:t>
      </w:r>
      <w:r w:rsidR="005255DD">
        <w:rPr>
          <w:sz w:val="18"/>
        </w:rPr>
        <w:t>associated with the final rule (e.g., administrative review of the final rule requirements)</w:t>
      </w:r>
      <w:r w:rsidR="000D0DF8">
        <w:rPr>
          <w:sz w:val="18"/>
        </w:rPr>
        <w:t>.</w:t>
      </w:r>
      <w:r w:rsidR="005255DD">
        <w:rPr>
          <w:sz w:val="18"/>
        </w:rPr>
        <w:t xml:space="preserve">  These incremental costs are assumed to be offset by the ongoing regulatory efficiency and public health and safety benefits.</w:t>
      </w:r>
    </w:p>
    <w:p w:rsidR="00053E19" w:rsidP="00054386" w14:paraId="7F493B76" w14:textId="77777777">
      <w:pPr>
        <w:rPr>
          <w:sz w:val="18"/>
        </w:rPr>
      </w:pPr>
    </w:p>
    <w:p w:rsidR="00053E19" w:rsidRPr="00053E19" w:rsidP="00053E19" w14:paraId="7F493B78" w14:textId="53157284">
      <w:pPr>
        <w:rPr>
          <w:rFonts w:cs="Arial"/>
          <w:sz w:val="22"/>
          <w:szCs w:val="22"/>
        </w:rPr>
      </w:pPr>
      <w:r>
        <w:rPr>
          <w:rFonts w:cs="Arial"/>
          <w:sz w:val="22"/>
          <w:szCs w:val="22"/>
        </w:rPr>
        <w:t xml:space="preserve">With regard to Objective 2, which shows a </w:t>
      </w:r>
      <w:r w:rsidR="005255DD">
        <w:rPr>
          <w:rFonts w:cs="Arial"/>
          <w:sz w:val="22"/>
          <w:szCs w:val="22"/>
        </w:rPr>
        <w:t xml:space="preserve">sizable </w:t>
      </w:r>
      <w:r>
        <w:rPr>
          <w:rFonts w:cs="Arial"/>
          <w:sz w:val="22"/>
          <w:szCs w:val="22"/>
        </w:rPr>
        <w:t xml:space="preserve">cost without quantified averted costs, the final rule will help the NRC and licensees avoid </w:t>
      </w:r>
      <w:r w:rsidRPr="00D839EE">
        <w:rPr>
          <w:sz w:val="22"/>
          <w:szCs w:val="22"/>
        </w:rPr>
        <w:t xml:space="preserve">the burden associated with reconstituting licensing basis </w:t>
      </w:r>
      <w:r w:rsidR="000B5298">
        <w:rPr>
          <w:sz w:val="22"/>
          <w:szCs w:val="22"/>
        </w:rPr>
        <w:t>information that can be lost over</w:t>
      </w:r>
      <w:r w:rsidR="00B851F4">
        <w:rPr>
          <w:sz w:val="22"/>
          <w:szCs w:val="22"/>
        </w:rPr>
        <w:t xml:space="preserve"> </w:t>
      </w:r>
      <w:r w:rsidR="000B5298">
        <w:rPr>
          <w:sz w:val="22"/>
          <w:szCs w:val="22"/>
        </w:rPr>
        <w:t xml:space="preserve">time if FSARs are not </w:t>
      </w:r>
      <w:r w:rsidR="00020945">
        <w:rPr>
          <w:sz w:val="22"/>
          <w:szCs w:val="22"/>
        </w:rPr>
        <w:t xml:space="preserve">routinely </w:t>
      </w:r>
      <w:r w:rsidR="000B5298">
        <w:rPr>
          <w:sz w:val="22"/>
          <w:szCs w:val="22"/>
        </w:rPr>
        <w:t>updated</w:t>
      </w:r>
      <w:r>
        <w:rPr>
          <w:sz w:val="22"/>
          <w:szCs w:val="22"/>
        </w:rPr>
        <w:t xml:space="preserve">.  </w:t>
      </w:r>
      <w:r w:rsidRPr="000B5298" w:rsidR="000B5298">
        <w:rPr>
          <w:sz w:val="22"/>
        </w:rPr>
        <w:t>Recurring FSAR updates by licensees and reviews by the NRC will increase licensees’ focus on maintaining their facilities’ licensing bases and provide reasonable assurance that a facility will continue to operate without undue risk to public health and safety and without compromising common defense and security.</w:t>
      </w:r>
      <w:r w:rsidR="00400305">
        <w:rPr>
          <w:sz w:val="22"/>
          <w:szCs w:val="22"/>
        </w:rPr>
        <w:t xml:space="preserve"> </w:t>
      </w:r>
      <w:r w:rsidRPr="00053E19">
        <w:rPr>
          <w:rFonts w:cs="Arial"/>
          <w:sz w:val="22"/>
          <w:szCs w:val="22"/>
        </w:rPr>
        <w:t xml:space="preserve">Therefore, the NRC concludes that the </w:t>
      </w:r>
      <w:r>
        <w:rPr>
          <w:rFonts w:cs="Arial"/>
          <w:sz w:val="22"/>
          <w:szCs w:val="22"/>
        </w:rPr>
        <w:t>final</w:t>
      </w:r>
      <w:r w:rsidRPr="00053E19">
        <w:rPr>
          <w:rFonts w:cs="Arial"/>
          <w:sz w:val="22"/>
          <w:szCs w:val="22"/>
        </w:rPr>
        <w:t xml:space="preserve"> rule </w:t>
      </w:r>
      <w:r>
        <w:rPr>
          <w:rFonts w:cs="Arial"/>
          <w:sz w:val="22"/>
          <w:szCs w:val="22"/>
        </w:rPr>
        <w:t>is</w:t>
      </w:r>
      <w:r w:rsidRPr="00053E19">
        <w:rPr>
          <w:rFonts w:cs="Arial"/>
          <w:sz w:val="22"/>
          <w:szCs w:val="22"/>
        </w:rPr>
        <w:t xml:space="preserve"> necessary to achieve the</w:t>
      </w:r>
      <w:r>
        <w:rPr>
          <w:rFonts w:cs="Arial"/>
          <w:sz w:val="22"/>
          <w:szCs w:val="22"/>
        </w:rPr>
        <w:t xml:space="preserve"> </w:t>
      </w:r>
      <w:r w:rsidRPr="00053E19">
        <w:rPr>
          <w:rFonts w:cs="Arial"/>
          <w:sz w:val="22"/>
          <w:szCs w:val="22"/>
        </w:rPr>
        <w:t xml:space="preserve">objectives of the rulemaking, and each aspect when considered </w:t>
      </w:r>
      <w:r>
        <w:rPr>
          <w:rFonts w:cs="Arial"/>
          <w:sz w:val="22"/>
          <w:szCs w:val="22"/>
        </w:rPr>
        <w:t xml:space="preserve">separately adds to the net cost </w:t>
      </w:r>
      <w:r w:rsidRPr="00053E19">
        <w:rPr>
          <w:rFonts w:cs="Arial"/>
          <w:sz w:val="22"/>
          <w:szCs w:val="22"/>
        </w:rPr>
        <w:t xml:space="preserve">beneficial nature of the </w:t>
      </w:r>
      <w:r w:rsidR="005255DD">
        <w:rPr>
          <w:rFonts w:cs="Arial"/>
          <w:sz w:val="22"/>
          <w:szCs w:val="22"/>
        </w:rPr>
        <w:t>final</w:t>
      </w:r>
      <w:r w:rsidRPr="00053E19">
        <w:rPr>
          <w:rFonts w:cs="Arial"/>
          <w:sz w:val="22"/>
          <w:szCs w:val="22"/>
        </w:rPr>
        <w:t xml:space="preserve"> rule.</w:t>
      </w:r>
    </w:p>
    <w:p w:rsidR="00BF5AC4" w:rsidRPr="00346B95" w:rsidP="00346B95" w14:paraId="7F493B79" w14:textId="77777777">
      <w:pPr>
        <w:pStyle w:val="Heading2"/>
        <w:spacing w:after="220"/>
      </w:pPr>
      <w:bookmarkStart w:id="385" w:name="_Toc434330238"/>
      <w:bookmarkStart w:id="386" w:name="_Toc443852805"/>
      <w:bookmarkStart w:id="387" w:name="_Toc530073294"/>
      <w:bookmarkStart w:id="388" w:name="_Toc534037112"/>
      <w:bookmarkStart w:id="389" w:name="_Toc534699732"/>
      <w:bookmarkStart w:id="390" w:name="_Toc536603300"/>
      <w:r w:rsidRPr="00346B95">
        <w:t>3.6</w:t>
      </w:r>
      <w:r w:rsidRPr="00346B95">
        <w:tab/>
        <w:t>Uncertainty Analysis</w:t>
      </w:r>
      <w:bookmarkEnd w:id="385"/>
      <w:bookmarkEnd w:id="386"/>
      <w:bookmarkEnd w:id="387"/>
      <w:bookmarkEnd w:id="388"/>
      <w:bookmarkEnd w:id="389"/>
      <w:bookmarkEnd w:id="390"/>
    </w:p>
    <w:p w:rsidR="00BF5AC4" w:rsidRPr="00D839EE" w:rsidP="00BF5AC4" w14:paraId="7F493B7A" w14:textId="77777777">
      <w:pPr>
        <w:rPr>
          <w:rFonts w:cs="Arial"/>
          <w:sz w:val="22"/>
          <w:szCs w:val="22"/>
        </w:rPr>
      </w:pPr>
      <w:r w:rsidRPr="00D839EE">
        <w:rPr>
          <w:rFonts w:cs="Arial"/>
          <w:sz w:val="22"/>
          <w:szCs w:val="22"/>
        </w:rPr>
        <w:t xml:space="preserve">To determine the robustness of the costs and net benefits of the </w:t>
      </w:r>
      <w:r w:rsidRPr="00D839EE" w:rsidR="00BC5E9F">
        <w:rPr>
          <w:rFonts w:cs="Arial"/>
          <w:sz w:val="22"/>
          <w:szCs w:val="22"/>
        </w:rPr>
        <w:t>final</w:t>
      </w:r>
      <w:r w:rsidRPr="00D839EE">
        <w:rPr>
          <w:rFonts w:cs="Arial"/>
          <w:sz w:val="22"/>
          <w:szCs w:val="22"/>
        </w:rPr>
        <w:t xml:space="preserve"> rule, the NRC examined how </w:t>
      </w:r>
      <w:r w:rsidR="00F7383D">
        <w:rPr>
          <w:rFonts w:cs="Arial"/>
          <w:sz w:val="22"/>
          <w:szCs w:val="22"/>
        </w:rPr>
        <w:t>licensee</w:t>
      </w:r>
      <w:r w:rsidRPr="00D839EE" w:rsidR="00F7383D">
        <w:rPr>
          <w:rFonts w:cs="Arial"/>
          <w:sz w:val="22"/>
          <w:szCs w:val="22"/>
        </w:rPr>
        <w:t xml:space="preserve"> </w:t>
      </w:r>
      <w:r w:rsidRPr="00D839EE">
        <w:rPr>
          <w:rFonts w:cs="Arial"/>
          <w:sz w:val="22"/>
          <w:szCs w:val="22"/>
        </w:rPr>
        <w:t xml:space="preserve">and the NRC costs change </w:t>
      </w:r>
      <w:r w:rsidR="00EC4343">
        <w:rPr>
          <w:rFonts w:cs="Arial"/>
          <w:sz w:val="22"/>
          <w:szCs w:val="22"/>
        </w:rPr>
        <w:t>as a result of</w:t>
      </w:r>
      <w:r w:rsidRPr="00D839EE">
        <w:rPr>
          <w:rFonts w:cs="Arial"/>
          <w:sz w:val="22"/>
          <w:szCs w:val="22"/>
        </w:rPr>
        <w:t xml:space="preserve"> uncertainties associated with the</w:t>
      </w:r>
      <w:r w:rsidRPr="00D839EE" w:rsidR="000A4B10">
        <w:rPr>
          <w:rFonts w:cs="Arial"/>
          <w:sz w:val="22"/>
          <w:szCs w:val="22"/>
        </w:rPr>
        <w:t xml:space="preserve"> NRC</w:t>
      </w:r>
      <w:r w:rsidRPr="00D839EE">
        <w:rPr>
          <w:rFonts w:cs="Arial"/>
          <w:sz w:val="22"/>
          <w:szCs w:val="22"/>
        </w:rPr>
        <w:t xml:space="preserve">’s analytical assumptions and input data.  As mentioned in Section 3.1, the NRC used Monte Carlo simulation to examine the impact of uncertainty on the estimated net benefits of the </w:t>
      </w:r>
      <w:r w:rsidRPr="00D839EE" w:rsidR="00BC5E9F">
        <w:rPr>
          <w:rFonts w:cs="Arial"/>
          <w:sz w:val="22"/>
          <w:szCs w:val="22"/>
        </w:rPr>
        <w:t>final</w:t>
      </w:r>
      <w:r w:rsidRPr="00D839EE">
        <w:rPr>
          <w:rFonts w:cs="Arial"/>
          <w:sz w:val="22"/>
          <w:szCs w:val="22"/>
        </w:rPr>
        <w:t xml:space="preserve"> rule.  These Monte Carlo simulations were performed using the @Risk software package by Palisade Corporation.</w:t>
      </w:r>
      <w:r>
        <w:rPr>
          <w:rFonts w:cs="Arial"/>
          <w:sz w:val="22"/>
          <w:szCs w:val="22"/>
          <w:vertAlign w:val="superscript"/>
        </w:rPr>
        <w:footnoteReference w:id="17"/>
      </w:r>
      <w:r w:rsidRPr="00D839EE">
        <w:rPr>
          <w:rFonts w:cs="Arial"/>
          <w:sz w:val="22"/>
          <w:szCs w:val="22"/>
        </w:rPr>
        <w:t xml:space="preserve"> </w:t>
      </w:r>
    </w:p>
    <w:p w:rsidR="00BF5AC4" w:rsidRPr="00D839EE" w:rsidP="00BF5AC4" w14:paraId="7F493B7B" w14:textId="77777777">
      <w:pPr>
        <w:rPr>
          <w:rFonts w:cs="Arial"/>
          <w:sz w:val="22"/>
          <w:szCs w:val="22"/>
        </w:rPr>
      </w:pPr>
    </w:p>
    <w:p w:rsidR="00BF5AC4" w:rsidRPr="00D839EE" w:rsidP="00BF5AC4" w14:paraId="7F493B7C" w14:textId="77777777">
      <w:pPr>
        <w:rPr>
          <w:rFonts w:cs="Arial"/>
          <w:sz w:val="22"/>
          <w:szCs w:val="22"/>
        </w:rPr>
      </w:pPr>
      <w:r w:rsidRPr="00D839EE">
        <w:rPr>
          <w:rFonts w:cs="Arial"/>
          <w:sz w:val="22"/>
          <w:szCs w:val="22"/>
        </w:rPr>
        <w:t xml:space="preserve">Monte Carlo simulations involve introducing uncertainty into the analysis by replacing the point estimates of the variables used to estimate costs and </w:t>
      </w:r>
      <w:r w:rsidR="005E25E5">
        <w:rPr>
          <w:rFonts w:cs="Arial"/>
          <w:sz w:val="22"/>
          <w:szCs w:val="22"/>
        </w:rPr>
        <w:t>averted cost</w:t>
      </w:r>
      <w:r w:rsidRPr="00D839EE" w:rsidR="005E25E5">
        <w:rPr>
          <w:rFonts w:cs="Arial"/>
          <w:sz w:val="22"/>
          <w:szCs w:val="22"/>
        </w:rPr>
        <w:t xml:space="preserve">s </w:t>
      </w:r>
      <w:r w:rsidRPr="00D839EE">
        <w:rPr>
          <w:rFonts w:cs="Arial"/>
          <w:sz w:val="22"/>
          <w:szCs w:val="22"/>
        </w:rPr>
        <w:t xml:space="preserve">with probability distributions.  By defining input variables as probability distributions </w:t>
      </w:r>
      <w:r w:rsidR="001112A4">
        <w:rPr>
          <w:rFonts w:cs="Arial"/>
          <w:sz w:val="22"/>
          <w:szCs w:val="22"/>
        </w:rPr>
        <w:t>rather than</w:t>
      </w:r>
      <w:r w:rsidRPr="00D839EE">
        <w:rPr>
          <w:rFonts w:cs="Arial"/>
          <w:sz w:val="22"/>
          <w:szCs w:val="22"/>
        </w:rPr>
        <w:t xml:space="preserve"> point estimates, the effect of uncertainty on the results of the analysis (i.e., the net benefits) can be effectively modeled.  </w:t>
      </w:r>
    </w:p>
    <w:p w:rsidR="00BF5AC4" w:rsidRPr="00D839EE" w:rsidP="00BF5AC4" w14:paraId="7F493B7D" w14:textId="77777777">
      <w:pPr>
        <w:rPr>
          <w:rFonts w:cs="Arial"/>
          <w:sz w:val="22"/>
          <w:szCs w:val="22"/>
        </w:rPr>
      </w:pPr>
    </w:p>
    <w:p w:rsidR="00D55560" w:rsidRPr="00D839EE" w:rsidP="00BF5AC4" w14:paraId="7F493B7E" w14:textId="77777777">
      <w:pPr>
        <w:rPr>
          <w:rFonts w:cs="Arial"/>
          <w:sz w:val="22"/>
          <w:szCs w:val="22"/>
        </w:rPr>
      </w:pPr>
      <w:r w:rsidRPr="00D839EE">
        <w:rPr>
          <w:rFonts w:cs="Arial"/>
          <w:sz w:val="22"/>
          <w:szCs w:val="22"/>
        </w:rPr>
        <w:t xml:space="preserve">The Monte Carlo simulations were performed by repeatedly running the analysis </w:t>
      </w:r>
      <w:r w:rsidR="00B15491">
        <w:rPr>
          <w:rFonts w:cs="Arial"/>
          <w:sz w:val="22"/>
          <w:szCs w:val="22"/>
        </w:rPr>
        <w:t>(</w:t>
      </w:r>
      <w:r w:rsidRPr="00D839EE">
        <w:rPr>
          <w:rFonts w:cs="Arial"/>
          <w:sz w:val="22"/>
          <w:szCs w:val="22"/>
        </w:rPr>
        <w:t>5,000</w:t>
      </w:r>
      <w:r w:rsidR="001112A4">
        <w:rPr>
          <w:rFonts w:cs="Arial"/>
          <w:sz w:val="22"/>
          <w:szCs w:val="22"/>
        </w:rPr>
        <w:t> </w:t>
      </w:r>
      <w:r w:rsidRPr="00D839EE">
        <w:rPr>
          <w:rFonts w:cs="Arial"/>
          <w:sz w:val="22"/>
          <w:szCs w:val="22"/>
        </w:rPr>
        <w:t>times</w:t>
      </w:r>
      <w:r w:rsidR="00B15491">
        <w:rPr>
          <w:rFonts w:cs="Arial"/>
          <w:sz w:val="22"/>
          <w:szCs w:val="22"/>
        </w:rPr>
        <w:t>)</w:t>
      </w:r>
      <w:r w:rsidRPr="00D839EE">
        <w:rPr>
          <w:rFonts w:cs="Arial"/>
          <w:sz w:val="22"/>
          <w:szCs w:val="22"/>
        </w:rPr>
        <w:t xml:space="preserve">.  For each iteration of the analysis, </w:t>
      </w:r>
      <w:r w:rsidR="00A456BB">
        <w:rPr>
          <w:rFonts w:cs="Arial"/>
          <w:sz w:val="22"/>
          <w:szCs w:val="22"/>
        </w:rPr>
        <w:t xml:space="preserve">the staff chose </w:t>
      </w:r>
      <w:r w:rsidRPr="00D839EE">
        <w:rPr>
          <w:rFonts w:cs="Arial"/>
          <w:sz w:val="22"/>
          <w:szCs w:val="22"/>
        </w:rPr>
        <w:t xml:space="preserve">a value randomly from the probability distributions that define the input variables.  The value of the output variable (the net benefits) was recorded for each iteration, and all of the resulting values for the output variable were used to define a distribution for </w:t>
      </w:r>
      <w:r w:rsidRPr="00D839EE" w:rsidR="004E69FE">
        <w:rPr>
          <w:rFonts w:cs="Arial"/>
          <w:sz w:val="22"/>
          <w:szCs w:val="22"/>
        </w:rPr>
        <w:t>the results</w:t>
      </w:r>
      <w:r w:rsidRPr="00D839EE">
        <w:rPr>
          <w:rFonts w:cs="Arial"/>
          <w:sz w:val="22"/>
          <w:szCs w:val="22"/>
        </w:rPr>
        <w:t>.</w:t>
      </w:r>
    </w:p>
    <w:p w:rsidR="00D55560" w:rsidRPr="00346B95" w:rsidP="00346B95" w14:paraId="7F493B7F" w14:textId="77777777">
      <w:pPr>
        <w:pStyle w:val="Heading3"/>
        <w:spacing w:after="220"/>
      </w:pPr>
      <w:bookmarkStart w:id="391" w:name="_Toc443852806"/>
      <w:bookmarkStart w:id="392" w:name="_Toc530073295"/>
      <w:bookmarkStart w:id="393" w:name="_Toc534037113"/>
      <w:bookmarkStart w:id="394" w:name="_Toc534699733"/>
      <w:bookmarkStart w:id="395" w:name="_Toc536603301"/>
      <w:r w:rsidRPr="00346B95">
        <w:t>3.6.1</w:t>
      </w:r>
      <w:r w:rsidRPr="00346B95">
        <w:tab/>
        <w:t>Uncertainty Model Inputs</w:t>
      </w:r>
      <w:bookmarkEnd w:id="391"/>
      <w:bookmarkEnd w:id="392"/>
      <w:bookmarkEnd w:id="393"/>
      <w:bookmarkEnd w:id="394"/>
      <w:bookmarkEnd w:id="395"/>
    </w:p>
    <w:p w:rsidR="00557DA7" w:rsidP="00D55560" w14:paraId="7F493B80" w14:textId="77777777">
      <w:pPr>
        <w:rPr>
          <w:rFonts w:cs="Arial"/>
          <w:sz w:val="22"/>
          <w:szCs w:val="22"/>
        </w:rPr>
      </w:pPr>
      <w:r>
        <w:rPr>
          <w:rFonts w:cs="Arial"/>
          <w:sz w:val="22"/>
          <w:szCs w:val="22"/>
        </w:rPr>
        <w:t>To account for uncertainty</w:t>
      </w:r>
      <w:r w:rsidRPr="00D839EE" w:rsidR="00D55560">
        <w:rPr>
          <w:rFonts w:cs="Arial"/>
          <w:sz w:val="22"/>
          <w:szCs w:val="22"/>
        </w:rPr>
        <w:t xml:space="preserve">, the NRC assigned probability distributions to the </w:t>
      </w:r>
      <w:r>
        <w:rPr>
          <w:rFonts w:cs="Arial"/>
          <w:sz w:val="22"/>
          <w:szCs w:val="22"/>
        </w:rPr>
        <w:t xml:space="preserve">inputs of </w:t>
      </w:r>
      <w:r w:rsidRPr="00D839EE" w:rsidR="00D55560">
        <w:rPr>
          <w:rFonts w:cs="Arial"/>
          <w:sz w:val="22"/>
          <w:szCs w:val="22"/>
        </w:rPr>
        <w:t xml:space="preserve">LOE, workload percentage, and existing NRC costs </w:t>
      </w:r>
      <w:r w:rsidRPr="00D839EE" w:rsidR="00FC35C0">
        <w:rPr>
          <w:rFonts w:cs="Arial"/>
          <w:sz w:val="22"/>
          <w:szCs w:val="22"/>
        </w:rPr>
        <w:t>for Low, Medium, High</w:t>
      </w:r>
      <w:r w:rsidR="004C24AF">
        <w:rPr>
          <w:rFonts w:cs="Arial"/>
          <w:sz w:val="22"/>
          <w:szCs w:val="22"/>
        </w:rPr>
        <w:t>, and Other NPUF</w:t>
      </w:r>
      <w:r w:rsidRPr="00D839EE" w:rsidR="00FC35C0">
        <w:rPr>
          <w:rFonts w:cs="Arial"/>
          <w:sz w:val="22"/>
          <w:szCs w:val="22"/>
        </w:rPr>
        <w:t xml:space="preserve"> category facilities</w:t>
      </w:r>
      <w:r>
        <w:rPr>
          <w:rFonts w:cs="Arial"/>
          <w:sz w:val="22"/>
          <w:szCs w:val="22"/>
        </w:rPr>
        <w:t>:</w:t>
      </w:r>
      <w:r w:rsidRPr="00D839EE" w:rsidR="00FC35C0">
        <w:rPr>
          <w:rFonts w:cs="Arial"/>
          <w:sz w:val="22"/>
          <w:szCs w:val="22"/>
        </w:rPr>
        <w:t xml:space="preserve">  </w:t>
      </w:r>
    </w:p>
    <w:p w:rsidR="00557DA7" w:rsidP="00D55560" w14:paraId="7F493B81" w14:textId="77777777">
      <w:pPr>
        <w:rPr>
          <w:rFonts w:cs="Arial"/>
          <w:sz w:val="22"/>
          <w:szCs w:val="22"/>
        </w:rPr>
      </w:pPr>
    </w:p>
    <w:p w:rsidR="00557DA7" w:rsidRPr="00FD2E55" w:rsidP="00FD2E55" w14:paraId="7F493B82" w14:textId="77777777">
      <w:pPr>
        <w:pStyle w:val="ListParagraph"/>
        <w:numPr>
          <w:ilvl w:val="0"/>
          <w:numId w:val="35"/>
        </w:numPr>
        <w:ind w:hanging="720"/>
        <w:rPr>
          <w:rFonts w:cs="Arial"/>
          <w:sz w:val="22"/>
          <w:szCs w:val="22"/>
        </w:rPr>
      </w:pPr>
      <w:r w:rsidRPr="00FD2E55">
        <w:rPr>
          <w:rFonts w:cs="Arial"/>
          <w:sz w:val="22"/>
          <w:szCs w:val="22"/>
        </w:rPr>
        <w:t xml:space="preserve">The LOEs for both the </w:t>
      </w:r>
      <w:r w:rsidR="009E4A30">
        <w:rPr>
          <w:rFonts w:cs="Arial"/>
          <w:sz w:val="22"/>
          <w:szCs w:val="22"/>
        </w:rPr>
        <w:t>licensees</w:t>
      </w:r>
      <w:r w:rsidRPr="00FD2E55">
        <w:rPr>
          <w:rFonts w:cs="Arial"/>
          <w:sz w:val="22"/>
          <w:szCs w:val="22"/>
        </w:rPr>
        <w:t xml:space="preserve"> and the NRC for the current license renewal process and the </w:t>
      </w:r>
      <w:r w:rsidRPr="00FD2E55" w:rsidR="00BC5E9F">
        <w:rPr>
          <w:rFonts w:cs="Arial"/>
          <w:sz w:val="22"/>
          <w:szCs w:val="22"/>
        </w:rPr>
        <w:t>final</w:t>
      </w:r>
      <w:r w:rsidRPr="00FD2E55">
        <w:rPr>
          <w:rFonts w:cs="Arial"/>
          <w:sz w:val="22"/>
          <w:szCs w:val="22"/>
        </w:rPr>
        <w:t xml:space="preserve"> rule are uncertain</w:t>
      </w:r>
      <w:r w:rsidRPr="00FD2E55">
        <w:rPr>
          <w:rFonts w:cs="Arial"/>
          <w:sz w:val="22"/>
          <w:szCs w:val="22"/>
        </w:rPr>
        <w:t>;</w:t>
      </w:r>
      <w:r w:rsidRPr="00FD2E55">
        <w:rPr>
          <w:rFonts w:cs="Arial"/>
          <w:sz w:val="22"/>
          <w:szCs w:val="22"/>
        </w:rPr>
        <w:t xml:space="preserve"> therefore</w:t>
      </w:r>
      <w:r w:rsidRPr="00FD2E55" w:rsidR="00BA2AA1">
        <w:rPr>
          <w:rFonts w:cs="Arial"/>
          <w:sz w:val="22"/>
          <w:szCs w:val="22"/>
        </w:rPr>
        <w:t>,</w:t>
      </w:r>
      <w:r w:rsidRPr="00FD2E55">
        <w:rPr>
          <w:rFonts w:cs="Arial"/>
          <w:sz w:val="22"/>
          <w:szCs w:val="22"/>
        </w:rPr>
        <w:t xml:space="preserve"> the NRC assigned distributions to these variables.  </w:t>
      </w:r>
    </w:p>
    <w:p w:rsidR="00557DA7" w:rsidP="00FD2E55" w14:paraId="7F493B83" w14:textId="77777777">
      <w:pPr>
        <w:ind w:hanging="720"/>
        <w:rPr>
          <w:rFonts w:cs="Arial"/>
          <w:sz w:val="22"/>
          <w:szCs w:val="22"/>
        </w:rPr>
      </w:pPr>
    </w:p>
    <w:p w:rsidR="00557DA7" w:rsidRPr="00FD2E55" w:rsidP="00FD2E55" w14:paraId="7F493B84" w14:textId="77777777">
      <w:pPr>
        <w:pStyle w:val="ListParagraph"/>
        <w:numPr>
          <w:ilvl w:val="0"/>
          <w:numId w:val="35"/>
        </w:numPr>
        <w:ind w:hanging="720"/>
        <w:rPr>
          <w:rFonts w:cs="Arial"/>
          <w:sz w:val="22"/>
          <w:szCs w:val="22"/>
        </w:rPr>
      </w:pPr>
      <w:r w:rsidRPr="00FD2E55">
        <w:rPr>
          <w:rFonts w:cs="Arial"/>
          <w:sz w:val="22"/>
          <w:szCs w:val="22"/>
        </w:rPr>
        <w:t xml:space="preserve">The NRC also assigned probability distributions to the workload percentages, or the amount of work performed by each labor category.  </w:t>
      </w:r>
    </w:p>
    <w:p w:rsidR="00557DA7" w:rsidP="00FD2E55" w14:paraId="7F493B85" w14:textId="77777777">
      <w:pPr>
        <w:ind w:hanging="720"/>
        <w:rPr>
          <w:rFonts w:cs="Arial"/>
          <w:sz w:val="22"/>
          <w:szCs w:val="22"/>
        </w:rPr>
      </w:pPr>
    </w:p>
    <w:p w:rsidR="00D55560" w:rsidRPr="00FD2E55" w:rsidP="00346B95" w14:paraId="7F493B86" w14:textId="77777777">
      <w:pPr>
        <w:pStyle w:val="ListParagraph"/>
        <w:numPr>
          <w:ilvl w:val="0"/>
          <w:numId w:val="35"/>
        </w:numPr>
        <w:ind w:hanging="720"/>
        <w:rPr>
          <w:rFonts w:cs="Arial"/>
          <w:sz w:val="22"/>
          <w:szCs w:val="22"/>
        </w:rPr>
      </w:pPr>
      <w:r w:rsidRPr="00FD2E55">
        <w:rPr>
          <w:rFonts w:cs="Arial"/>
          <w:sz w:val="22"/>
          <w:szCs w:val="22"/>
        </w:rPr>
        <w:t>T</w:t>
      </w:r>
      <w:r w:rsidRPr="00FD2E55">
        <w:rPr>
          <w:rFonts w:cs="Arial"/>
          <w:sz w:val="22"/>
          <w:szCs w:val="22"/>
        </w:rPr>
        <w:t xml:space="preserve">he NRC relied upon NRC timekeeping data and NRC contractor cost data to estimate the cost of the existing license renewal process to the NRC.  The NRC assigned probability distributions informed by these data to the NRC costs.  </w:t>
      </w:r>
    </w:p>
    <w:p w:rsidR="00D55560" w:rsidRPr="00D839EE" w:rsidP="00BF5AC4" w14:paraId="7F493B87" w14:textId="77777777">
      <w:pPr>
        <w:rPr>
          <w:rFonts w:cs="Arial"/>
          <w:sz w:val="22"/>
          <w:szCs w:val="22"/>
        </w:rPr>
      </w:pPr>
    </w:p>
    <w:p w:rsidR="00BF5AC4" w:rsidRPr="00D839EE" w:rsidP="00BF5AC4" w14:paraId="7F493B88" w14:textId="77777777">
      <w:pPr>
        <w:rPr>
          <w:rFonts w:cs="Arial"/>
          <w:sz w:val="22"/>
          <w:szCs w:val="22"/>
        </w:rPr>
      </w:pPr>
      <w:r w:rsidRPr="00D839EE">
        <w:rPr>
          <w:rFonts w:cs="Arial"/>
          <w:sz w:val="22"/>
          <w:szCs w:val="22"/>
        </w:rPr>
        <w:t xml:space="preserve">The probability distributions chosen to represent the different variables in the analysis were bounded by the range of LOE and labor category workloads </w:t>
      </w:r>
      <w:r w:rsidR="00557DA7">
        <w:rPr>
          <w:rFonts w:cs="Arial"/>
          <w:sz w:val="22"/>
          <w:szCs w:val="22"/>
        </w:rPr>
        <w:t>derived from</w:t>
      </w:r>
      <w:r w:rsidRPr="00D839EE">
        <w:rPr>
          <w:rFonts w:cs="Arial"/>
          <w:sz w:val="22"/>
          <w:szCs w:val="22"/>
        </w:rPr>
        <w:t xml:space="preserve"> licensee input and the NRC</w:t>
      </w:r>
      <w:r w:rsidR="00263B2F">
        <w:rPr>
          <w:rFonts w:cs="Arial"/>
          <w:sz w:val="22"/>
          <w:szCs w:val="22"/>
        </w:rPr>
        <w:t>’</w:t>
      </w:r>
      <w:r w:rsidRPr="00D839EE">
        <w:rPr>
          <w:rFonts w:cs="Arial"/>
          <w:sz w:val="22"/>
          <w:szCs w:val="22"/>
        </w:rPr>
        <w:t>s professional judgment.  These distributions have mean values equal to the average LOE or workload per NPUF category (Low, Medium, High</w:t>
      </w:r>
      <w:r w:rsidRPr="00D839EE" w:rsidR="00B14C00">
        <w:rPr>
          <w:rFonts w:cs="Arial"/>
          <w:sz w:val="22"/>
          <w:szCs w:val="22"/>
        </w:rPr>
        <w:t>, and Other NPUFs</w:t>
      </w:r>
      <w:r w:rsidRPr="00D839EE">
        <w:rPr>
          <w:rFonts w:cs="Arial"/>
          <w:sz w:val="22"/>
          <w:szCs w:val="22"/>
        </w:rPr>
        <w:t xml:space="preserve">).  These mean values appear in the </w:t>
      </w:r>
      <w:r w:rsidR="00557DA7">
        <w:rPr>
          <w:rFonts w:cs="Arial"/>
          <w:sz w:val="22"/>
          <w:szCs w:val="22"/>
        </w:rPr>
        <w:t>e</w:t>
      </w:r>
      <w:r w:rsidRPr="00D839EE">
        <w:rPr>
          <w:rFonts w:cs="Arial"/>
          <w:sz w:val="22"/>
          <w:szCs w:val="22"/>
        </w:rPr>
        <w:t xml:space="preserve">xhibits in Section 3.2, Section 3.3, and Appendix </w:t>
      </w:r>
      <w:r w:rsidR="00A002D2">
        <w:rPr>
          <w:rFonts w:cs="Arial"/>
          <w:sz w:val="22"/>
          <w:szCs w:val="22"/>
        </w:rPr>
        <w:t>A</w:t>
      </w:r>
      <w:r w:rsidRPr="00D839EE">
        <w:rPr>
          <w:rFonts w:cs="Arial"/>
          <w:sz w:val="22"/>
          <w:szCs w:val="22"/>
        </w:rPr>
        <w:t>.</w:t>
      </w:r>
    </w:p>
    <w:p w:rsidR="00A22B67" w:rsidRPr="00D839EE" w:rsidP="00BF5AC4" w14:paraId="7F493B8A" w14:textId="77777777">
      <w:pPr>
        <w:rPr>
          <w:rFonts w:cs="Arial"/>
          <w:sz w:val="22"/>
          <w:szCs w:val="22"/>
        </w:rPr>
      </w:pPr>
      <w:r w:rsidRPr="00D839EE">
        <w:rPr>
          <w:rFonts w:cs="Arial"/>
          <w:sz w:val="22"/>
          <w:szCs w:val="22"/>
        </w:rPr>
        <w:t xml:space="preserve">When defining the probability distributions for use in the Monte Carlo simulation, </w:t>
      </w:r>
      <w:r w:rsidR="00713ECF">
        <w:rPr>
          <w:rFonts w:cs="Arial"/>
          <w:sz w:val="22"/>
          <w:szCs w:val="22"/>
        </w:rPr>
        <w:t xml:space="preserve">the staff needed </w:t>
      </w:r>
      <w:r w:rsidRPr="00D839EE">
        <w:rPr>
          <w:rFonts w:cs="Arial"/>
          <w:sz w:val="22"/>
          <w:szCs w:val="22"/>
        </w:rPr>
        <w:t xml:space="preserve">other summary statistics besides the mean value to characterize the distributions.  These other summary statistics include the standard deviation of a distribution with a normal shape, or the minimum and maximum of a triangular distribution.  For the LOE distributions, the NRC used input from licensees to set the minimum and maximum values of the triangular distributions.  </w:t>
      </w:r>
    </w:p>
    <w:p w:rsidR="00BF5AC4" w:rsidRPr="00D839EE" w:rsidP="00BF5AC4" w14:paraId="7F493B8B" w14:textId="77777777">
      <w:pPr>
        <w:rPr>
          <w:rFonts w:cs="Arial"/>
          <w:sz w:val="22"/>
          <w:szCs w:val="22"/>
        </w:rPr>
      </w:pPr>
    </w:p>
    <w:p w:rsidR="0028583C" w:rsidP="0028583C" w14:paraId="7F493B8C" w14:textId="7360A3BA">
      <w:pPr>
        <w:rPr>
          <w:rFonts w:cs="Arial"/>
          <w:sz w:val="22"/>
          <w:szCs w:val="22"/>
        </w:rPr>
      </w:pPr>
      <w:r w:rsidRPr="00D839EE">
        <w:rPr>
          <w:rFonts w:cs="Arial"/>
          <w:sz w:val="22"/>
          <w:szCs w:val="22"/>
        </w:rPr>
        <w:t xml:space="preserve">As an example of the variables and distributions used in the Monte Carlo simulations, </w:t>
      </w:r>
      <w:r w:rsidRPr="00CF41A7" w:rsidR="00E05F2C">
        <w:rPr>
          <w:rFonts w:cs="Arial"/>
          <w:sz w:val="22"/>
          <w:szCs w:val="22"/>
        </w:rPr>
        <w:fldChar w:fldCharType="begin"/>
      </w:r>
      <w:r w:rsidRPr="00CF41A7" w:rsidR="00E05F2C">
        <w:rPr>
          <w:rFonts w:cs="Arial"/>
          <w:sz w:val="22"/>
          <w:szCs w:val="22"/>
        </w:rPr>
        <w:instrText xml:space="preserve"> REF _Ref534036146 \h </w:instrText>
      </w:r>
      <w:r w:rsidRPr="00B45BB6" w:rsidR="00E05F2C">
        <w:rPr>
          <w:rFonts w:cs="Arial"/>
          <w:sz w:val="22"/>
          <w:szCs w:val="22"/>
        </w:rPr>
        <w:instrText xml:space="preserve"> \* MERGEFORMAT </w:instrText>
      </w:r>
      <w:r w:rsidRPr="00CF41A7" w:rsidR="00E05F2C">
        <w:rPr>
          <w:rFonts w:cs="Arial"/>
          <w:sz w:val="22"/>
          <w:szCs w:val="22"/>
        </w:rPr>
        <w:fldChar w:fldCharType="separate"/>
      </w:r>
      <w:r w:rsidRPr="00977795" w:rsidR="00977795">
        <w:rPr>
          <w:sz w:val="22"/>
          <w:szCs w:val="22"/>
        </w:rPr>
        <w:t>Exhibit</w:t>
      </w:r>
      <w:r w:rsidRPr="00977795" w:rsidR="00977795">
        <w:rPr>
          <w:b/>
          <w:sz w:val="22"/>
          <w:szCs w:val="22"/>
        </w:rPr>
        <w:t xml:space="preserve"> </w:t>
      </w:r>
      <w:r w:rsidRPr="00977795" w:rsidR="00977795">
        <w:rPr>
          <w:sz w:val="22"/>
        </w:rPr>
        <w:t>3</w:t>
      </w:r>
      <w:r w:rsidRPr="00977795" w:rsidR="00977795">
        <w:rPr>
          <w:sz w:val="22"/>
        </w:rPr>
        <w:noBreakHyphen/>
        <w:t>24</w:t>
      </w:r>
      <w:r w:rsidRPr="00CF41A7" w:rsidR="00E05F2C">
        <w:rPr>
          <w:rFonts w:cs="Arial"/>
          <w:sz w:val="22"/>
          <w:szCs w:val="22"/>
        </w:rPr>
        <w:fldChar w:fldCharType="end"/>
      </w:r>
      <w:r w:rsidRPr="00CF41A7" w:rsidR="00E05F2C">
        <w:rPr>
          <w:rFonts w:cs="Arial"/>
          <w:sz w:val="22"/>
          <w:szCs w:val="22"/>
        </w:rPr>
        <w:t xml:space="preserve"> </w:t>
      </w:r>
      <w:r w:rsidRPr="00D839EE">
        <w:rPr>
          <w:rFonts w:cs="Arial"/>
          <w:sz w:val="22"/>
          <w:szCs w:val="22"/>
        </w:rPr>
        <w:t xml:space="preserve">displays the inputs for the analysis runs for </w:t>
      </w:r>
      <w:r w:rsidRPr="00D839EE" w:rsidR="00BF5AC4">
        <w:rPr>
          <w:rFonts w:cs="Arial"/>
          <w:sz w:val="22"/>
          <w:szCs w:val="22"/>
        </w:rPr>
        <w:t>Medium category facilities (</w:t>
      </w:r>
      <w:r w:rsidRPr="00553612" w:rsidR="00BF5AC4">
        <w:rPr>
          <w:rFonts w:cs="Arial"/>
          <w:sz w:val="22"/>
          <w:szCs w:val="22"/>
        </w:rPr>
        <w:t xml:space="preserve">see </w:t>
      </w:r>
      <w:r w:rsidRPr="00D96410" w:rsidR="00553612">
        <w:rPr>
          <w:rFonts w:cs="Arial"/>
          <w:sz w:val="22"/>
          <w:szCs w:val="22"/>
        </w:rPr>
        <w:fldChar w:fldCharType="begin"/>
      </w:r>
      <w:r w:rsidRPr="00D96410" w:rsidR="00553612">
        <w:rPr>
          <w:rFonts w:cs="Arial"/>
          <w:sz w:val="22"/>
          <w:szCs w:val="22"/>
        </w:rPr>
        <w:instrText xml:space="preserve"> REF _Ref534710758 \h  \* MERGEFORMAT </w:instrText>
      </w:r>
      <w:r w:rsidRPr="00D96410" w:rsidR="00553612">
        <w:rPr>
          <w:rFonts w:cs="Arial"/>
          <w:sz w:val="22"/>
          <w:szCs w:val="22"/>
        </w:rPr>
        <w:fldChar w:fldCharType="separate"/>
      </w:r>
      <w:r w:rsidRPr="00977795" w:rsidR="00977795">
        <w:rPr>
          <w:sz w:val="22"/>
        </w:rPr>
        <w:t>Exhibit</w:t>
      </w:r>
      <w:r w:rsidRPr="00977795" w:rsidR="00977795">
        <w:rPr>
          <w:b/>
          <w:sz w:val="22"/>
        </w:rPr>
        <w:t xml:space="preserve"> </w:t>
      </w:r>
      <w:r w:rsidRPr="00977795" w:rsidR="00977795">
        <w:rPr>
          <w:sz w:val="22"/>
        </w:rPr>
        <w:t>3</w:t>
      </w:r>
      <w:r w:rsidRPr="00977795" w:rsidR="00977795">
        <w:rPr>
          <w:sz w:val="22"/>
        </w:rPr>
        <w:noBreakHyphen/>
        <w:t>1</w:t>
      </w:r>
      <w:r w:rsidRPr="00D96410" w:rsidR="00553612">
        <w:rPr>
          <w:rFonts w:cs="Arial"/>
          <w:sz w:val="22"/>
          <w:szCs w:val="22"/>
        </w:rPr>
        <w:fldChar w:fldCharType="end"/>
      </w:r>
      <w:r w:rsidR="00BF2A36">
        <w:rPr>
          <w:rFonts w:cs="Arial"/>
          <w:sz w:val="22"/>
          <w:szCs w:val="22"/>
        </w:rPr>
        <w:t>)</w:t>
      </w:r>
      <w:r w:rsidRPr="00D839EE" w:rsidR="00BF5AC4">
        <w:rPr>
          <w:rFonts w:cs="Arial"/>
          <w:sz w:val="22"/>
          <w:szCs w:val="22"/>
        </w:rPr>
        <w:t xml:space="preserve">.  The NRC constructed these distributions differently for Low, Medium, </w:t>
      </w:r>
      <w:r w:rsidRPr="00D839EE" w:rsidR="00B14C00">
        <w:rPr>
          <w:rFonts w:cs="Arial"/>
          <w:sz w:val="22"/>
          <w:szCs w:val="22"/>
        </w:rPr>
        <w:t xml:space="preserve">High, </w:t>
      </w:r>
      <w:r w:rsidRPr="00D839EE" w:rsidR="00BF5AC4">
        <w:rPr>
          <w:rFonts w:cs="Arial"/>
          <w:sz w:val="22"/>
          <w:szCs w:val="22"/>
        </w:rPr>
        <w:t xml:space="preserve">and </w:t>
      </w:r>
      <w:r w:rsidRPr="00D839EE" w:rsidR="00B14C00">
        <w:rPr>
          <w:rFonts w:cs="Arial"/>
          <w:sz w:val="22"/>
          <w:szCs w:val="22"/>
        </w:rPr>
        <w:t>Other NPUF</w:t>
      </w:r>
      <w:r w:rsidRPr="00D839EE" w:rsidR="00BF5AC4">
        <w:rPr>
          <w:rFonts w:cs="Arial"/>
          <w:sz w:val="22"/>
          <w:szCs w:val="22"/>
        </w:rPr>
        <w:t xml:space="preserve"> category facilities.  Appendix </w:t>
      </w:r>
      <w:r w:rsidR="00A002D2">
        <w:rPr>
          <w:rFonts w:cs="Arial"/>
          <w:sz w:val="22"/>
          <w:szCs w:val="22"/>
        </w:rPr>
        <w:t>A</w:t>
      </w:r>
      <w:r w:rsidRPr="00D839EE" w:rsidR="00BF5AC4">
        <w:rPr>
          <w:rFonts w:cs="Arial"/>
          <w:sz w:val="22"/>
          <w:szCs w:val="22"/>
        </w:rPr>
        <w:t xml:space="preserve"> contains a complete list of the variable</w:t>
      </w:r>
      <w:r w:rsidRPr="00D839EE" w:rsidR="00B01D34">
        <w:rPr>
          <w:rFonts w:cs="Arial"/>
          <w:sz w:val="22"/>
          <w:szCs w:val="22"/>
        </w:rPr>
        <w:t>s</w:t>
      </w:r>
      <w:r w:rsidRPr="00D839EE" w:rsidR="00BF5AC4">
        <w:rPr>
          <w:rFonts w:cs="Arial"/>
          <w:sz w:val="22"/>
          <w:szCs w:val="22"/>
        </w:rPr>
        <w:t xml:space="preserve"> included in the uncertainty analysis.</w:t>
      </w:r>
    </w:p>
    <w:p w:rsidR="0028583C" w:rsidP="0028583C" w14:paraId="7F493B8D" w14:textId="77777777">
      <w:pPr>
        <w:rPr>
          <w:rFonts w:cs="Arial"/>
          <w:sz w:val="22"/>
          <w:szCs w:val="22"/>
        </w:rPr>
      </w:pPr>
    </w:p>
    <w:p w:rsidR="00672B60" w:rsidP="00D341C4" w14:paraId="7F493B8E" w14:textId="31793B85">
      <w:pPr>
        <w:pStyle w:val="Caption"/>
        <w:keepNext/>
        <w:spacing w:after="0"/>
        <w:jc w:val="center"/>
        <w:rPr>
          <w:b/>
          <w:i w:val="0"/>
          <w:color w:val="auto"/>
          <w:sz w:val="22"/>
          <w:szCs w:val="22"/>
        </w:rPr>
      </w:pPr>
      <w:r w:rsidRPr="001176AF">
        <w:rPr>
          <w:b/>
          <w:sz w:val="22"/>
        </w:rPr>
        <w:t xml:space="preserve"> </w:t>
      </w:r>
      <w:bookmarkStart w:id="396" w:name="_Ref534036146"/>
      <w:bookmarkStart w:id="397" w:name="_Toc9526481"/>
      <w:bookmarkStart w:id="398" w:name="_Toc536603430"/>
      <w:bookmarkStart w:id="399" w:name="_Toc534037073"/>
      <w:bookmarkStart w:id="400" w:name="_Toc534710017"/>
      <w:bookmarkStart w:id="401" w:name="_Toc534711702"/>
      <w:bookmarkStart w:id="402" w:name="_Toc534712135"/>
      <w:bookmarkStart w:id="403" w:name="_Toc534712712"/>
      <w:bookmarkStart w:id="404" w:name="_Toc534713221"/>
      <w:r w:rsidRPr="000F7FD1" w:rsidR="00531A87">
        <w:rPr>
          <w:b/>
          <w:i w:val="0"/>
          <w:color w:val="auto"/>
          <w:sz w:val="22"/>
          <w:szCs w:val="22"/>
        </w:rPr>
        <w:t xml:space="preserve">Exhibit </w:t>
      </w:r>
      <w:r w:rsidRPr="000F7FD1" w:rsidR="005111B6">
        <w:rPr>
          <w:b/>
          <w:i w:val="0"/>
          <w:color w:val="auto"/>
          <w:sz w:val="22"/>
          <w:szCs w:val="22"/>
        </w:rPr>
        <w:t>3</w:t>
      </w:r>
      <w:r w:rsidRPr="000F7FD1" w:rsidR="00180D68">
        <w:rPr>
          <w:b/>
          <w:i w:val="0"/>
          <w:color w:val="auto"/>
          <w:sz w:val="22"/>
          <w:szCs w:val="22"/>
        </w:rPr>
        <w:noBreakHyphen/>
      </w:r>
      <w:r w:rsidRPr="000F7FD1" w:rsidR="00C276FC">
        <w:rPr>
          <w:b/>
          <w:i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 w:val="0"/>
          <w:color w:val="auto"/>
          <w:sz w:val="22"/>
          <w:szCs w:val="22"/>
        </w:rPr>
        <w:fldChar w:fldCharType="separate"/>
      </w:r>
      <w:r w:rsidR="00977795">
        <w:rPr>
          <w:b/>
          <w:i w:val="0"/>
          <w:noProof/>
          <w:color w:val="auto"/>
          <w:sz w:val="22"/>
          <w:szCs w:val="22"/>
        </w:rPr>
        <w:t>24</w:t>
      </w:r>
      <w:r w:rsidRPr="000F7FD1" w:rsidR="00C276FC">
        <w:rPr>
          <w:b/>
          <w:i w:val="0"/>
          <w:color w:val="auto"/>
          <w:sz w:val="22"/>
          <w:szCs w:val="22"/>
        </w:rPr>
        <w:fldChar w:fldCharType="end"/>
      </w:r>
      <w:bookmarkEnd w:id="396"/>
      <w:r w:rsidRPr="000F7FD1" w:rsidR="00531A87">
        <w:rPr>
          <w:b/>
          <w:i w:val="0"/>
          <w:color w:val="auto"/>
          <w:sz w:val="22"/>
          <w:szCs w:val="22"/>
        </w:rPr>
        <w:t>. Example Variables and Distributions Used in the</w:t>
      </w:r>
      <w:bookmarkEnd w:id="397"/>
      <w:bookmarkEnd w:id="398"/>
      <w:r w:rsidRPr="000F7FD1" w:rsidR="00531A87">
        <w:rPr>
          <w:b/>
          <w:i w:val="0"/>
          <w:color w:val="auto"/>
          <w:sz w:val="22"/>
          <w:szCs w:val="22"/>
        </w:rPr>
        <w:t xml:space="preserve"> </w:t>
      </w:r>
    </w:p>
    <w:p w:rsidR="00531A87" w:rsidRPr="000F7FD1" w:rsidP="00D341C4" w14:paraId="7F493B8F" w14:textId="77777777">
      <w:pPr>
        <w:pStyle w:val="Caption"/>
        <w:keepNext/>
        <w:spacing w:after="0"/>
        <w:jc w:val="center"/>
        <w:rPr>
          <w:b/>
          <w:color w:val="auto"/>
          <w:sz w:val="22"/>
          <w:szCs w:val="22"/>
        </w:rPr>
      </w:pPr>
      <w:r w:rsidRPr="000F7FD1">
        <w:rPr>
          <w:b/>
          <w:i w:val="0"/>
          <w:color w:val="auto"/>
          <w:sz w:val="22"/>
          <w:szCs w:val="22"/>
        </w:rPr>
        <w:t>Monte Carlo Analysis (Medium Category)</w:t>
      </w:r>
      <w:bookmarkEnd w:id="399"/>
      <w:bookmarkEnd w:id="400"/>
      <w:bookmarkEnd w:id="401"/>
      <w:bookmarkEnd w:id="402"/>
      <w:bookmarkEnd w:id="403"/>
      <w:bookmarkEnd w:id="404"/>
    </w:p>
    <w:tbl>
      <w:tblPr>
        <w:tblStyle w:val="TableGrid"/>
        <w:tblW w:w="9586" w:type="dxa"/>
        <w:jc w:val="center"/>
        <w:tblLook w:val="04A0"/>
      </w:tblPr>
      <w:tblGrid>
        <w:gridCol w:w="1658"/>
        <w:gridCol w:w="1725"/>
        <w:gridCol w:w="1497"/>
        <w:gridCol w:w="1261"/>
        <w:gridCol w:w="1223"/>
        <w:gridCol w:w="2222"/>
      </w:tblGrid>
      <w:tr w14:paraId="7F493B96" w14:textId="77777777" w:rsidTr="008225B6">
        <w:tblPrEx>
          <w:tblW w:w="9586" w:type="dxa"/>
          <w:jc w:val="center"/>
          <w:tblLook w:val="04A0"/>
        </w:tblPrEx>
        <w:trPr>
          <w:trHeight w:val="251"/>
          <w:tblHeader/>
          <w:jc w:val="center"/>
        </w:trPr>
        <w:tc>
          <w:tcPr>
            <w:tcW w:w="1482" w:type="dxa"/>
            <w:vAlign w:val="center"/>
          </w:tcPr>
          <w:p w:rsidR="008225B6" w:rsidRPr="00D839EE" w:rsidP="00BF5AC4" w14:paraId="7F493B90" w14:textId="77777777">
            <w:pPr>
              <w:jc w:val="center"/>
              <w:rPr>
                <w:rFonts w:cs="Arial"/>
                <w:b/>
              </w:rPr>
            </w:pPr>
            <w:r w:rsidRPr="00D839EE">
              <w:rPr>
                <w:rFonts w:cs="Arial"/>
                <w:b/>
              </w:rPr>
              <w:t>Variable</w:t>
            </w:r>
          </w:p>
        </w:tc>
        <w:tc>
          <w:tcPr>
            <w:tcW w:w="1542" w:type="dxa"/>
            <w:vAlign w:val="center"/>
          </w:tcPr>
          <w:p w:rsidR="008225B6" w:rsidRPr="00D839EE" w:rsidP="00BF5AC4" w14:paraId="7F493B91" w14:textId="77777777">
            <w:pPr>
              <w:jc w:val="center"/>
              <w:rPr>
                <w:rFonts w:cs="Arial"/>
                <w:b/>
              </w:rPr>
            </w:pPr>
            <w:r w:rsidRPr="00D839EE">
              <w:rPr>
                <w:rFonts w:cs="Arial"/>
                <w:b/>
              </w:rPr>
              <w:t>Description</w:t>
            </w:r>
          </w:p>
        </w:tc>
        <w:tc>
          <w:tcPr>
            <w:tcW w:w="1299" w:type="dxa"/>
            <w:vAlign w:val="center"/>
          </w:tcPr>
          <w:p w:rsidR="008225B6" w:rsidRPr="00D839EE" w:rsidP="00BF5AC4" w14:paraId="7F493B92" w14:textId="77777777">
            <w:pPr>
              <w:jc w:val="center"/>
              <w:rPr>
                <w:rFonts w:cs="Arial"/>
                <w:b/>
              </w:rPr>
            </w:pPr>
            <w:r w:rsidRPr="00D839EE">
              <w:rPr>
                <w:rFonts w:cs="Arial"/>
                <w:b/>
              </w:rPr>
              <w:t>Distribution</w:t>
            </w:r>
          </w:p>
        </w:tc>
        <w:tc>
          <w:tcPr>
            <w:tcW w:w="1128" w:type="dxa"/>
            <w:vAlign w:val="center"/>
          </w:tcPr>
          <w:p w:rsidR="008225B6" w:rsidRPr="00D839EE" w:rsidP="00BF5AC4" w14:paraId="7F493B93" w14:textId="77777777">
            <w:pPr>
              <w:jc w:val="center"/>
              <w:rPr>
                <w:rFonts w:cs="Arial"/>
                <w:b/>
              </w:rPr>
            </w:pPr>
            <w:r w:rsidRPr="00D839EE">
              <w:rPr>
                <w:rFonts w:cs="Arial"/>
                <w:b/>
              </w:rPr>
              <w:t>Mean</w:t>
            </w:r>
          </w:p>
        </w:tc>
        <w:tc>
          <w:tcPr>
            <w:tcW w:w="1063" w:type="dxa"/>
            <w:vAlign w:val="center"/>
          </w:tcPr>
          <w:p w:rsidR="008225B6" w:rsidRPr="00D839EE" w:rsidP="00BF5AC4" w14:paraId="7F493B94" w14:textId="77777777">
            <w:pPr>
              <w:jc w:val="center"/>
              <w:rPr>
                <w:rFonts w:cs="Arial"/>
                <w:b/>
              </w:rPr>
            </w:pPr>
            <w:r w:rsidRPr="00D839EE">
              <w:rPr>
                <w:rFonts w:cs="Arial"/>
                <w:b/>
              </w:rPr>
              <w:t>Minimum</w:t>
            </w:r>
          </w:p>
        </w:tc>
        <w:tc>
          <w:tcPr>
            <w:tcW w:w="1987" w:type="dxa"/>
            <w:vAlign w:val="center"/>
          </w:tcPr>
          <w:p w:rsidR="008225B6" w:rsidRPr="00D839EE" w:rsidP="00BF5AC4" w14:paraId="7F493B95" w14:textId="77777777">
            <w:pPr>
              <w:jc w:val="center"/>
              <w:rPr>
                <w:rFonts w:cs="Arial"/>
                <w:b/>
              </w:rPr>
            </w:pPr>
            <w:r w:rsidRPr="00D839EE">
              <w:rPr>
                <w:rFonts w:cs="Arial"/>
                <w:b/>
              </w:rPr>
              <w:t>Maximum</w:t>
            </w:r>
          </w:p>
        </w:tc>
      </w:tr>
      <w:tr w14:paraId="7F493BA0" w14:textId="77777777" w:rsidTr="008225B6">
        <w:tblPrEx>
          <w:tblW w:w="9586" w:type="dxa"/>
          <w:jc w:val="center"/>
          <w:tblLook w:val="04A0"/>
        </w:tblPrEx>
        <w:trPr>
          <w:trHeight w:val="503"/>
          <w:jc w:val="center"/>
        </w:trPr>
        <w:tc>
          <w:tcPr>
            <w:tcW w:w="1482" w:type="dxa"/>
            <w:vAlign w:val="center"/>
          </w:tcPr>
          <w:p w:rsidR="008225B6" w:rsidP="000B5AC3" w14:paraId="7F493B97" w14:textId="77777777">
            <w:pPr>
              <w:rPr>
                <w:rFonts w:cs="Arial"/>
              </w:rPr>
            </w:pPr>
            <w:r w:rsidRPr="00D839EE">
              <w:rPr>
                <w:rFonts w:cs="Arial"/>
              </w:rPr>
              <w:t xml:space="preserve">Responding to </w:t>
            </w:r>
          </w:p>
          <w:p w:rsidR="008225B6" w:rsidRPr="00D839EE" w:rsidP="000B5AC3" w14:paraId="7F493B98" w14:textId="77777777">
            <w:pPr>
              <w:rPr>
                <w:rFonts w:cs="Arial"/>
              </w:rPr>
            </w:pPr>
            <w:r>
              <w:rPr>
                <w:rFonts w:cs="Arial"/>
              </w:rPr>
              <w:t>A</w:t>
            </w:r>
            <w:r w:rsidRPr="00D839EE">
              <w:rPr>
                <w:rFonts w:cs="Arial"/>
              </w:rPr>
              <w:t>ll RAIs</w:t>
            </w:r>
          </w:p>
        </w:tc>
        <w:tc>
          <w:tcPr>
            <w:tcW w:w="1542" w:type="dxa"/>
            <w:vAlign w:val="center"/>
          </w:tcPr>
          <w:p w:rsidR="008225B6" w:rsidRPr="00D839EE" w:rsidP="00BF5AC4" w14:paraId="7F493B99" w14:textId="77777777">
            <w:pPr>
              <w:jc w:val="center"/>
              <w:rPr>
                <w:rFonts w:cs="Arial"/>
              </w:rPr>
            </w:pPr>
            <w:r w:rsidRPr="00D839EE">
              <w:rPr>
                <w:rFonts w:cs="Arial"/>
              </w:rPr>
              <w:t>NPUF</w:t>
            </w:r>
          </w:p>
          <w:p w:rsidR="008225B6" w:rsidRPr="00D839EE" w:rsidP="00BF5AC4" w14:paraId="7F493B9A" w14:textId="77777777">
            <w:pPr>
              <w:jc w:val="center"/>
              <w:rPr>
                <w:rFonts w:cs="Arial"/>
              </w:rPr>
            </w:pPr>
            <w:r w:rsidRPr="00D839EE">
              <w:rPr>
                <w:rFonts w:cs="Arial"/>
              </w:rPr>
              <w:t>Pre</w:t>
            </w:r>
            <w:r>
              <w:rPr>
                <w:rFonts w:cs="Arial"/>
              </w:rPr>
              <w:t>-</w:t>
            </w:r>
            <w:r w:rsidRPr="00D839EE">
              <w:rPr>
                <w:rFonts w:cs="Arial"/>
              </w:rPr>
              <w:t>Rule</w:t>
            </w:r>
          </w:p>
          <w:p w:rsidR="008225B6" w:rsidRPr="00D839EE" w:rsidP="00BF5AC4" w14:paraId="7F493B9B" w14:textId="77777777">
            <w:pPr>
              <w:jc w:val="center"/>
              <w:rPr>
                <w:rFonts w:cs="Arial"/>
              </w:rPr>
            </w:pPr>
            <w:r w:rsidRPr="00D839EE">
              <w:rPr>
                <w:rFonts w:cs="Arial"/>
              </w:rPr>
              <w:t>LOE*</w:t>
            </w:r>
          </w:p>
        </w:tc>
        <w:tc>
          <w:tcPr>
            <w:tcW w:w="1299" w:type="dxa"/>
            <w:vAlign w:val="center"/>
          </w:tcPr>
          <w:p w:rsidR="008225B6" w:rsidRPr="00D839EE" w:rsidP="00BF5AC4" w14:paraId="7F493B9C" w14:textId="77777777">
            <w:pPr>
              <w:jc w:val="center"/>
              <w:rPr>
                <w:rFonts w:cs="Arial"/>
              </w:rPr>
            </w:pPr>
            <w:r w:rsidRPr="00D839EE">
              <w:rPr>
                <w:rFonts w:cs="Arial"/>
              </w:rPr>
              <w:t>Triangular</w:t>
            </w:r>
          </w:p>
        </w:tc>
        <w:tc>
          <w:tcPr>
            <w:tcW w:w="1128" w:type="dxa"/>
            <w:vAlign w:val="center"/>
          </w:tcPr>
          <w:p w:rsidR="008225B6" w:rsidRPr="00D839EE" w:rsidP="00BF5AC4" w14:paraId="7F493B9D" w14:textId="77777777">
            <w:pPr>
              <w:jc w:val="center"/>
              <w:rPr>
                <w:rFonts w:cs="Arial"/>
              </w:rPr>
            </w:pPr>
            <w:r w:rsidRPr="00D839EE">
              <w:rPr>
                <w:rFonts w:cs="Arial"/>
              </w:rPr>
              <w:t>1</w:t>
            </w:r>
            <w:r>
              <w:rPr>
                <w:rFonts w:cs="Arial"/>
              </w:rPr>
              <w:t>,</w:t>
            </w:r>
            <w:r w:rsidRPr="00D839EE">
              <w:rPr>
                <w:rFonts w:cs="Arial"/>
              </w:rPr>
              <w:t>491 hours</w:t>
            </w:r>
          </w:p>
        </w:tc>
        <w:tc>
          <w:tcPr>
            <w:tcW w:w="1063" w:type="dxa"/>
            <w:vAlign w:val="center"/>
          </w:tcPr>
          <w:p w:rsidR="008225B6" w:rsidRPr="00D839EE" w:rsidP="00BF5AC4" w14:paraId="7F493B9E" w14:textId="77777777">
            <w:pPr>
              <w:jc w:val="center"/>
              <w:rPr>
                <w:rFonts w:cs="Arial"/>
              </w:rPr>
            </w:pPr>
            <w:r w:rsidRPr="00D839EE">
              <w:rPr>
                <w:rFonts w:cs="Arial"/>
              </w:rPr>
              <w:t>120 hours</w:t>
            </w:r>
          </w:p>
        </w:tc>
        <w:tc>
          <w:tcPr>
            <w:tcW w:w="1987" w:type="dxa"/>
            <w:vAlign w:val="center"/>
          </w:tcPr>
          <w:p w:rsidR="008225B6" w:rsidRPr="00D839EE" w:rsidP="00BF5AC4" w14:paraId="7F493B9F" w14:textId="77777777">
            <w:pPr>
              <w:jc w:val="center"/>
              <w:rPr>
                <w:rFonts w:cs="Arial"/>
              </w:rPr>
            </w:pPr>
            <w:r>
              <w:rPr>
                <w:rFonts w:cs="Arial"/>
              </w:rPr>
              <w:t>2682</w:t>
            </w:r>
            <w:r w:rsidRPr="00D839EE">
              <w:rPr>
                <w:rFonts w:cs="Arial"/>
              </w:rPr>
              <w:t xml:space="preserve"> hours</w:t>
            </w:r>
          </w:p>
        </w:tc>
      </w:tr>
      <w:tr w14:paraId="7F493BAA" w14:textId="77777777" w:rsidTr="008225B6">
        <w:tblPrEx>
          <w:tblW w:w="9586" w:type="dxa"/>
          <w:jc w:val="center"/>
          <w:tblLook w:val="04A0"/>
        </w:tblPrEx>
        <w:trPr>
          <w:trHeight w:val="611"/>
          <w:jc w:val="center"/>
        </w:trPr>
        <w:tc>
          <w:tcPr>
            <w:tcW w:w="1482" w:type="dxa"/>
            <w:vAlign w:val="center"/>
          </w:tcPr>
          <w:p w:rsidR="008225B6" w:rsidP="000B5AC3" w14:paraId="7F493BA1" w14:textId="77777777">
            <w:pPr>
              <w:rPr>
                <w:rFonts w:cs="Arial"/>
              </w:rPr>
            </w:pPr>
            <w:r w:rsidRPr="00D839EE">
              <w:rPr>
                <w:rFonts w:cs="Arial"/>
              </w:rPr>
              <w:t xml:space="preserve">Preparing </w:t>
            </w:r>
          </w:p>
          <w:p w:rsidR="008225B6" w:rsidRPr="00D839EE" w:rsidP="000B5AC3" w14:paraId="7F493BA2" w14:textId="77777777">
            <w:pPr>
              <w:rPr>
                <w:rFonts w:cs="Arial"/>
              </w:rPr>
            </w:pPr>
            <w:r w:rsidRPr="00D839EE">
              <w:rPr>
                <w:rFonts w:cs="Arial"/>
              </w:rPr>
              <w:t>Updated FSAR</w:t>
            </w:r>
          </w:p>
        </w:tc>
        <w:tc>
          <w:tcPr>
            <w:tcW w:w="1542" w:type="dxa"/>
            <w:vAlign w:val="center"/>
          </w:tcPr>
          <w:p w:rsidR="008225B6" w:rsidRPr="00D839EE" w:rsidP="00BF5AC4" w14:paraId="7F493BA3" w14:textId="77777777">
            <w:pPr>
              <w:jc w:val="center"/>
              <w:rPr>
                <w:rFonts w:cs="Arial"/>
              </w:rPr>
            </w:pPr>
            <w:r w:rsidRPr="00D839EE">
              <w:rPr>
                <w:rFonts w:cs="Arial"/>
              </w:rPr>
              <w:t>NPUF</w:t>
            </w:r>
          </w:p>
          <w:p w:rsidR="008225B6" w:rsidRPr="00D839EE" w:rsidP="00BF5AC4" w14:paraId="7F493BA4" w14:textId="77777777">
            <w:pPr>
              <w:jc w:val="center"/>
              <w:rPr>
                <w:rFonts w:cs="Arial"/>
              </w:rPr>
            </w:pPr>
            <w:r w:rsidRPr="00D839EE">
              <w:rPr>
                <w:rFonts w:cs="Arial"/>
              </w:rPr>
              <w:t>Post</w:t>
            </w:r>
            <w:r>
              <w:rPr>
                <w:rFonts w:cs="Arial"/>
              </w:rPr>
              <w:t>-</w:t>
            </w:r>
            <w:r w:rsidRPr="00D839EE">
              <w:rPr>
                <w:rFonts w:cs="Arial"/>
              </w:rPr>
              <w:t>Rule</w:t>
            </w:r>
          </w:p>
          <w:p w:rsidR="008225B6" w:rsidRPr="00D839EE" w:rsidP="00BF5AC4" w14:paraId="7F493BA5" w14:textId="77777777">
            <w:pPr>
              <w:jc w:val="center"/>
              <w:rPr>
                <w:rFonts w:cs="Arial"/>
              </w:rPr>
            </w:pPr>
            <w:r w:rsidRPr="00D839EE">
              <w:rPr>
                <w:rFonts w:cs="Arial"/>
              </w:rPr>
              <w:t>LOE</w:t>
            </w:r>
          </w:p>
        </w:tc>
        <w:tc>
          <w:tcPr>
            <w:tcW w:w="1299" w:type="dxa"/>
            <w:vAlign w:val="center"/>
          </w:tcPr>
          <w:p w:rsidR="008225B6" w:rsidRPr="00D839EE" w:rsidP="00BF5AC4" w14:paraId="7F493BA6" w14:textId="77777777">
            <w:pPr>
              <w:jc w:val="center"/>
              <w:rPr>
                <w:rFonts w:cs="Arial"/>
              </w:rPr>
            </w:pPr>
            <w:r w:rsidRPr="00D839EE">
              <w:rPr>
                <w:rFonts w:cs="Arial"/>
              </w:rPr>
              <w:t>Triangular</w:t>
            </w:r>
          </w:p>
        </w:tc>
        <w:tc>
          <w:tcPr>
            <w:tcW w:w="1128" w:type="dxa"/>
            <w:vAlign w:val="center"/>
          </w:tcPr>
          <w:p w:rsidR="008225B6" w:rsidRPr="00D839EE" w:rsidP="00BF5AC4" w14:paraId="7F493BA7" w14:textId="77777777">
            <w:pPr>
              <w:jc w:val="center"/>
              <w:rPr>
                <w:rFonts w:cs="Arial"/>
              </w:rPr>
            </w:pPr>
            <w:r w:rsidRPr="00D839EE">
              <w:rPr>
                <w:rFonts w:cs="Arial"/>
              </w:rPr>
              <w:t>127.5 hours</w:t>
            </w:r>
          </w:p>
        </w:tc>
        <w:tc>
          <w:tcPr>
            <w:tcW w:w="1063" w:type="dxa"/>
            <w:vAlign w:val="center"/>
          </w:tcPr>
          <w:p w:rsidR="008225B6" w:rsidRPr="00D839EE" w:rsidP="00BF5AC4" w14:paraId="7F493BA8" w14:textId="77777777">
            <w:pPr>
              <w:jc w:val="center"/>
              <w:rPr>
                <w:rFonts w:cs="Arial"/>
              </w:rPr>
            </w:pPr>
            <w:r w:rsidRPr="00D839EE">
              <w:rPr>
                <w:rFonts w:cs="Arial"/>
              </w:rPr>
              <w:t>110 hours</w:t>
            </w:r>
          </w:p>
        </w:tc>
        <w:tc>
          <w:tcPr>
            <w:tcW w:w="1987" w:type="dxa"/>
            <w:vAlign w:val="center"/>
          </w:tcPr>
          <w:p w:rsidR="008225B6" w:rsidRPr="00D839EE" w:rsidP="00BF5AC4" w14:paraId="7F493BA9" w14:textId="77777777">
            <w:pPr>
              <w:jc w:val="center"/>
              <w:rPr>
                <w:rFonts w:cs="Arial"/>
              </w:rPr>
            </w:pPr>
            <w:r w:rsidRPr="00D839EE">
              <w:rPr>
                <w:rFonts w:cs="Arial"/>
              </w:rPr>
              <w:t>145 hours</w:t>
            </w:r>
          </w:p>
        </w:tc>
      </w:tr>
      <w:tr w14:paraId="7F493BB5" w14:textId="77777777" w:rsidTr="008225B6">
        <w:tblPrEx>
          <w:tblW w:w="9586" w:type="dxa"/>
          <w:jc w:val="center"/>
          <w:tblLook w:val="04A0"/>
        </w:tblPrEx>
        <w:trPr>
          <w:trHeight w:val="1079"/>
          <w:jc w:val="center"/>
        </w:trPr>
        <w:tc>
          <w:tcPr>
            <w:tcW w:w="1482" w:type="dxa"/>
            <w:vAlign w:val="center"/>
          </w:tcPr>
          <w:p w:rsidR="008225B6" w:rsidP="000B5AC3" w14:paraId="7F493BAB" w14:textId="77777777">
            <w:pPr>
              <w:rPr>
                <w:rFonts w:cs="Arial"/>
              </w:rPr>
            </w:pPr>
            <w:r w:rsidRPr="00D839EE">
              <w:rPr>
                <w:rFonts w:cs="Arial"/>
              </w:rPr>
              <w:t xml:space="preserve">Preparing </w:t>
            </w:r>
          </w:p>
          <w:p w:rsidR="008225B6" w:rsidRPr="00D839EE" w:rsidP="000B5AC3" w14:paraId="7F493BAC" w14:textId="77777777">
            <w:pPr>
              <w:rPr>
                <w:rFonts w:cs="Arial"/>
              </w:rPr>
            </w:pPr>
            <w:r w:rsidRPr="00D839EE">
              <w:rPr>
                <w:rFonts w:cs="Arial"/>
              </w:rPr>
              <w:t>Updated FSAR</w:t>
            </w:r>
          </w:p>
        </w:tc>
        <w:tc>
          <w:tcPr>
            <w:tcW w:w="1542" w:type="dxa"/>
            <w:vAlign w:val="center"/>
          </w:tcPr>
          <w:p w:rsidR="008225B6" w:rsidRPr="00D839EE" w:rsidP="00BF5AC4" w14:paraId="7F493BAD" w14:textId="77777777">
            <w:pPr>
              <w:jc w:val="center"/>
              <w:rPr>
                <w:rFonts w:cs="Arial"/>
              </w:rPr>
            </w:pPr>
            <w:r w:rsidRPr="00D839EE">
              <w:rPr>
                <w:rFonts w:cs="Arial"/>
              </w:rPr>
              <w:t>NPUF</w:t>
            </w:r>
          </w:p>
          <w:p w:rsidR="008225B6" w:rsidRPr="00D839EE" w:rsidP="00BF5AC4" w14:paraId="7F493BAE" w14:textId="77777777">
            <w:pPr>
              <w:jc w:val="center"/>
              <w:rPr>
                <w:rFonts w:cs="Arial"/>
              </w:rPr>
            </w:pPr>
            <w:r w:rsidRPr="00D839EE">
              <w:rPr>
                <w:rFonts w:cs="Arial"/>
              </w:rPr>
              <w:t>Post</w:t>
            </w:r>
            <w:r>
              <w:rPr>
                <w:rFonts w:cs="Arial"/>
              </w:rPr>
              <w:t>-</w:t>
            </w:r>
            <w:r w:rsidRPr="00D839EE">
              <w:rPr>
                <w:rFonts w:cs="Arial"/>
              </w:rPr>
              <w:t>Rule</w:t>
            </w:r>
          </w:p>
          <w:p w:rsidR="008225B6" w:rsidRPr="00D839EE" w:rsidP="00BF5AC4" w14:paraId="7F493BAF" w14:textId="77777777">
            <w:pPr>
              <w:jc w:val="center"/>
              <w:rPr>
                <w:rFonts w:cs="Arial"/>
              </w:rPr>
            </w:pPr>
            <w:r w:rsidRPr="00D839EE">
              <w:rPr>
                <w:rFonts w:cs="Arial"/>
              </w:rPr>
              <w:t>Graduate Student</w:t>
            </w:r>
          </w:p>
          <w:p w:rsidR="008225B6" w:rsidRPr="00D839EE" w:rsidP="00BF5AC4" w14:paraId="7F493BB0" w14:textId="77777777">
            <w:pPr>
              <w:jc w:val="center"/>
              <w:rPr>
                <w:rFonts w:cs="Arial"/>
              </w:rPr>
            </w:pPr>
            <w:r w:rsidRPr="00D839EE">
              <w:rPr>
                <w:rFonts w:cs="Arial"/>
              </w:rPr>
              <w:t>Workload</w:t>
            </w:r>
          </w:p>
        </w:tc>
        <w:tc>
          <w:tcPr>
            <w:tcW w:w="1299" w:type="dxa"/>
            <w:vAlign w:val="center"/>
          </w:tcPr>
          <w:p w:rsidR="008225B6" w:rsidRPr="00D839EE" w:rsidP="00BF5AC4" w14:paraId="7F493BB1" w14:textId="77777777">
            <w:pPr>
              <w:jc w:val="center"/>
              <w:rPr>
                <w:rFonts w:cs="Arial"/>
              </w:rPr>
            </w:pPr>
            <w:r w:rsidRPr="00D839EE">
              <w:rPr>
                <w:rFonts w:cs="Arial"/>
              </w:rPr>
              <w:t>Triangular</w:t>
            </w:r>
          </w:p>
        </w:tc>
        <w:tc>
          <w:tcPr>
            <w:tcW w:w="1128" w:type="dxa"/>
            <w:vAlign w:val="center"/>
          </w:tcPr>
          <w:p w:rsidR="008225B6" w:rsidRPr="00D839EE" w:rsidP="00BF5AC4" w14:paraId="7F493BB2" w14:textId="77777777">
            <w:pPr>
              <w:jc w:val="center"/>
              <w:rPr>
                <w:rFonts w:cs="Arial"/>
              </w:rPr>
            </w:pPr>
            <w:r w:rsidRPr="00D839EE">
              <w:rPr>
                <w:rFonts w:cs="Arial"/>
              </w:rPr>
              <w:t>30%</w:t>
            </w:r>
          </w:p>
        </w:tc>
        <w:tc>
          <w:tcPr>
            <w:tcW w:w="1063" w:type="dxa"/>
            <w:shd w:val="clear" w:color="auto" w:fill="FFFFFF" w:themeFill="background1"/>
            <w:vAlign w:val="center"/>
          </w:tcPr>
          <w:p w:rsidR="008225B6" w:rsidRPr="00D839EE" w:rsidP="00BF5AC4" w14:paraId="7F493BB3" w14:textId="77777777">
            <w:pPr>
              <w:jc w:val="center"/>
              <w:rPr>
                <w:rFonts w:cs="Arial"/>
              </w:rPr>
            </w:pPr>
            <w:r w:rsidRPr="00D839EE">
              <w:rPr>
                <w:rFonts w:cs="Arial"/>
              </w:rPr>
              <w:t>10%</w:t>
            </w:r>
          </w:p>
        </w:tc>
        <w:tc>
          <w:tcPr>
            <w:tcW w:w="1987" w:type="dxa"/>
            <w:shd w:val="clear" w:color="auto" w:fill="FFFFFF" w:themeFill="background1"/>
            <w:vAlign w:val="center"/>
          </w:tcPr>
          <w:p w:rsidR="008225B6" w:rsidRPr="00D839EE" w:rsidP="00BF5AC4" w14:paraId="7F493BB4" w14:textId="77777777">
            <w:pPr>
              <w:jc w:val="center"/>
              <w:rPr>
                <w:rFonts w:cs="Arial"/>
              </w:rPr>
            </w:pPr>
            <w:r w:rsidRPr="00D839EE">
              <w:rPr>
                <w:rFonts w:cs="Arial"/>
              </w:rPr>
              <w:t>50%</w:t>
            </w:r>
          </w:p>
        </w:tc>
      </w:tr>
    </w:tbl>
    <w:p w:rsidR="00691D7F" w:rsidP="00346B95" w14:paraId="7F493BB6" w14:textId="77777777">
      <w:pPr>
        <w:rPr>
          <w:rFonts w:cs="Arial"/>
          <w:b/>
          <w:bCs/>
          <w:sz w:val="26"/>
          <w:szCs w:val="26"/>
        </w:rPr>
      </w:pPr>
      <w:r>
        <w:rPr>
          <w:rFonts w:cs="Arial"/>
          <w:sz w:val="18"/>
          <w:szCs w:val="18"/>
        </w:rPr>
        <w:t>*</w:t>
      </w:r>
      <w:r w:rsidRPr="00D839EE" w:rsidR="008102FB">
        <w:rPr>
          <w:rFonts w:cs="Arial"/>
          <w:sz w:val="18"/>
          <w:szCs w:val="18"/>
        </w:rPr>
        <w:t>Costs described as “Pre</w:t>
      </w:r>
      <w:r w:rsidR="0064320B">
        <w:rPr>
          <w:rFonts w:cs="Arial"/>
          <w:sz w:val="18"/>
          <w:szCs w:val="18"/>
        </w:rPr>
        <w:t>-</w:t>
      </w:r>
      <w:r w:rsidRPr="00D839EE" w:rsidR="008102FB">
        <w:rPr>
          <w:rFonts w:cs="Arial"/>
          <w:sz w:val="18"/>
          <w:szCs w:val="18"/>
        </w:rPr>
        <w:t xml:space="preserve">Rule LOE” are costs assumed not to be incurred by licensees after the effective date of the rule (i.e., averted costs or cost savings). </w:t>
      </w:r>
      <w:bookmarkStart w:id="405" w:name="_Toc443852807"/>
      <w:bookmarkStart w:id="406" w:name="_Toc530073296"/>
    </w:p>
    <w:p w:rsidR="00D55560" w:rsidRPr="00346B95" w:rsidP="00346B95" w14:paraId="7F493BB7" w14:textId="77777777">
      <w:pPr>
        <w:pStyle w:val="Heading3"/>
        <w:spacing w:after="220"/>
      </w:pPr>
      <w:bookmarkStart w:id="407" w:name="_Toc534037114"/>
      <w:bookmarkStart w:id="408" w:name="_Toc534699734"/>
      <w:bookmarkStart w:id="409" w:name="_Toc536603302"/>
      <w:r w:rsidRPr="00346B95">
        <w:t>3.6.2</w:t>
      </w:r>
      <w:r w:rsidRPr="00346B95">
        <w:tab/>
        <w:t>Uncertainty Model Results</w:t>
      </w:r>
      <w:bookmarkEnd w:id="405"/>
      <w:bookmarkEnd w:id="406"/>
      <w:bookmarkEnd w:id="407"/>
      <w:bookmarkEnd w:id="408"/>
      <w:bookmarkEnd w:id="409"/>
    </w:p>
    <w:p w:rsidR="00BF5AC4" w:rsidRPr="00D839EE" w:rsidP="00BF5AC4" w14:paraId="7F493BB8" w14:textId="28F06194">
      <w:pPr>
        <w:rPr>
          <w:rFonts w:cs="Arial"/>
          <w:sz w:val="22"/>
          <w:szCs w:val="22"/>
        </w:rPr>
      </w:pPr>
      <w:r w:rsidRPr="00CF41A7">
        <w:rPr>
          <w:rFonts w:cs="Arial"/>
          <w:sz w:val="22"/>
          <w:szCs w:val="22"/>
        </w:rPr>
        <w:fldChar w:fldCharType="begin"/>
      </w:r>
      <w:r w:rsidRPr="00CF41A7">
        <w:rPr>
          <w:rFonts w:cs="Arial"/>
          <w:sz w:val="22"/>
          <w:szCs w:val="22"/>
        </w:rPr>
        <w:instrText xml:space="preserve"> REF _Ref534036179 \h </w:instrText>
      </w:r>
      <w:r w:rsidRPr="00B45BB6">
        <w:rPr>
          <w:rFonts w:cs="Arial"/>
          <w:sz w:val="22"/>
          <w:szCs w:val="22"/>
        </w:rPr>
        <w:instrText xml:space="preserve"> \* MERGEFORMAT </w:instrText>
      </w:r>
      <w:r w:rsidRPr="00CF41A7">
        <w:rPr>
          <w:rFonts w:cs="Arial"/>
          <w:sz w:val="22"/>
          <w:szCs w:val="22"/>
        </w:rPr>
        <w:fldChar w:fldCharType="separate"/>
      </w:r>
      <w:r w:rsidRPr="00977795" w:rsidR="00977795">
        <w:rPr>
          <w:sz w:val="22"/>
          <w:szCs w:val="22"/>
        </w:rPr>
        <w:t>Exhibit 3</w:t>
      </w:r>
      <w:r w:rsidRPr="00977795" w:rsidR="00977795">
        <w:rPr>
          <w:sz w:val="22"/>
          <w:szCs w:val="22"/>
        </w:rPr>
        <w:noBreakHyphen/>
        <w:t>25</w:t>
      </w:r>
      <w:r w:rsidRPr="00CF41A7">
        <w:rPr>
          <w:rFonts w:cs="Arial"/>
          <w:sz w:val="22"/>
          <w:szCs w:val="22"/>
        </w:rPr>
        <w:fldChar w:fldCharType="end"/>
      </w:r>
      <w:r w:rsidRPr="00CF41A7">
        <w:rPr>
          <w:rFonts w:cs="Arial"/>
          <w:sz w:val="22"/>
          <w:szCs w:val="22"/>
        </w:rPr>
        <w:t xml:space="preserve"> </w:t>
      </w:r>
      <w:r w:rsidRPr="00D839EE">
        <w:rPr>
          <w:rFonts w:cs="Arial"/>
          <w:sz w:val="22"/>
          <w:szCs w:val="22"/>
        </w:rPr>
        <w:t>summar</w:t>
      </w:r>
      <w:r w:rsidR="0064320B">
        <w:rPr>
          <w:rFonts w:cs="Arial"/>
          <w:sz w:val="22"/>
          <w:szCs w:val="22"/>
        </w:rPr>
        <w:t>izes</w:t>
      </w:r>
      <w:r w:rsidRPr="00D839EE">
        <w:rPr>
          <w:rFonts w:cs="Arial"/>
          <w:sz w:val="22"/>
          <w:szCs w:val="22"/>
        </w:rPr>
        <w:t xml:space="preserve"> the distribution of the undiscounted net benefits (</w:t>
      </w:r>
      <w:r w:rsidR="00DC4677">
        <w:rPr>
          <w:rFonts w:cs="Arial"/>
          <w:sz w:val="22"/>
          <w:szCs w:val="22"/>
        </w:rPr>
        <w:t>dotted line</w:t>
      </w:r>
      <w:r w:rsidRPr="00D839EE">
        <w:rPr>
          <w:rFonts w:cs="Arial"/>
          <w:sz w:val="22"/>
          <w:szCs w:val="22"/>
        </w:rPr>
        <w:t xml:space="preserve">) and the results discounted at 3 </w:t>
      </w:r>
      <w:r w:rsidR="002506F6">
        <w:rPr>
          <w:rFonts w:cs="Arial"/>
          <w:sz w:val="22"/>
          <w:szCs w:val="22"/>
        </w:rPr>
        <w:t>percent</w:t>
      </w:r>
      <w:r w:rsidRPr="00D839EE">
        <w:rPr>
          <w:rFonts w:cs="Arial"/>
          <w:sz w:val="22"/>
          <w:szCs w:val="22"/>
        </w:rPr>
        <w:t xml:space="preserve"> (</w:t>
      </w:r>
      <w:r w:rsidR="00DC4677">
        <w:rPr>
          <w:rFonts w:cs="Arial"/>
          <w:sz w:val="22"/>
          <w:szCs w:val="22"/>
        </w:rPr>
        <w:t>dashed line</w:t>
      </w:r>
      <w:r w:rsidRPr="00D839EE">
        <w:rPr>
          <w:rFonts w:cs="Arial"/>
          <w:sz w:val="22"/>
          <w:szCs w:val="22"/>
        </w:rPr>
        <w:t>)</w:t>
      </w:r>
      <w:r w:rsidR="004113F3">
        <w:rPr>
          <w:rFonts w:cs="Arial"/>
          <w:sz w:val="22"/>
          <w:szCs w:val="22"/>
        </w:rPr>
        <w:t xml:space="preserve"> and </w:t>
      </w:r>
      <w:r w:rsidRPr="00D839EE" w:rsidR="004113F3">
        <w:rPr>
          <w:rFonts w:cs="Arial"/>
          <w:sz w:val="22"/>
          <w:szCs w:val="22"/>
        </w:rPr>
        <w:t>7 percent (</w:t>
      </w:r>
      <w:r w:rsidR="004113F3">
        <w:rPr>
          <w:rFonts w:cs="Arial"/>
          <w:sz w:val="22"/>
          <w:szCs w:val="22"/>
        </w:rPr>
        <w:t>solid line</w:t>
      </w:r>
      <w:r w:rsidRPr="00D839EE" w:rsidR="004113F3">
        <w:rPr>
          <w:rFonts w:cs="Arial"/>
          <w:sz w:val="22"/>
          <w:szCs w:val="22"/>
        </w:rPr>
        <w:t>)</w:t>
      </w:r>
      <w:r w:rsidRPr="00D839EE">
        <w:rPr>
          <w:rFonts w:cs="Arial"/>
          <w:sz w:val="22"/>
          <w:szCs w:val="22"/>
        </w:rPr>
        <w:t xml:space="preserve">.  </w:t>
      </w:r>
      <w:r w:rsidR="00A22B67">
        <w:rPr>
          <w:rFonts w:cs="Arial"/>
          <w:sz w:val="22"/>
          <w:szCs w:val="22"/>
        </w:rPr>
        <w:t>T</w:t>
      </w:r>
      <w:r w:rsidRPr="00D839EE" w:rsidR="003A5005">
        <w:rPr>
          <w:rFonts w:cs="Arial"/>
          <w:sz w:val="22"/>
          <w:szCs w:val="22"/>
        </w:rPr>
        <w:t xml:space="preserve">he exhibits below present the results </w:t>
      </w:r>
      <w:r w:rsidRPr="00D839EE" w:rsidR="00C9602F">
        <w:rPr>
          <w:rFonts w:cs="Arial"/>
          <w:sz w:val="22"/>
          <w:szCs w:val="22"/>
        </w:rPr>
        <w:t>and</w:t>
      </w:r>
      <w:r w:rsidRPr="00D839EE" w:rsidR="003A5005">
        <w:rPr>
          <w:rFonts w:cs="Arial"/>
          <w:sz w:val="22"/>
          <w:szCs w:val="22"/>
        </w:rPr>
        <w:t xml:space="preserve"> include all categories of facilities</w:t>
      </w:r>
      <w:r w:rsidRPr="00D839EE" w:rsidR="00C9602F">
        <w:rPr>
          <w:rFonts w:cs="Arial"/>
          <w:sz w:val="22"/>
          <w:szCs w:val="22"/>
        </w:rPr>
        <w:t xml:space="preserve"> (Low, Medium, High</w:t>
      </w:r>
      <w:r w:rsidR="00A22B67">
        <w:rPr>
          <w:rFonts w:cs="Arial"/>
          <w:sz w:val="22"/>
          <w:szCs w:val="22"/>
        </w:rPr>
        <w:t>, and Other NPUFs</w:t>
      </w:r>
      <w:r w:rsidRPr="00D839EE" w:rsidR="00C9602F">
        <w:rPr>
          <w:rFonts w:cs="Arial"/>
          <w:sz w:val="22"/>
          <w:szCs w:val="22"/>
        </w:rPr>
        <w:t>)</w:t>
      </w:r>
      <w:r w:rsidRPr="00D839EE" w:rsidR="003A5005">
        <w:rPr>
          <w:rFonts w:cs="Arial"/>
          <w:sz w:val="22"/>
          <w:szCs w:val="22"/>
        </w:rPr>
        <w:t>.</w:t>
      </w:r>
      <w:r w:rsidR="00A22B67">
        <w:rPr>
          <w:rFonts w:cs="Arial"/>
          <w:sz w:val="22"/>
          <w:szCs w:val="22"/>
        </w:rPr>
        <w:t xml:space="preserve">  </w:t>
      </w:r>
      <w:r w:rsidRPr="00D839EE">
        <w:rPr>
          <w:rFonts w:cs="Arial"/>
          <w:sz w:val="22"/>
          <w:szCs w:val="22"/>
        </w:rPr>
        <w:t xml:space="preserve">As can be seen below, regardless of discount rate, the </w:t>
      </w:r>
      <w:r w:rsidRPr="00D839EE" w:rsidR="00BC5E9F">
        <w:rPr>
          <w:rFonts w:cs="Arial"/>
          <w:sz w:val="22"/>
          <w:szCs w:val="22"/>
        </w:rPr>
        <w:t>final</w:t>
      </w:r>
      <w:r w:rsidRPr="00D839EE">
        <w:rPr>
          <w:rFonts w:cs="Arial"/>
          <w:sz w:val="22"/>
          <w:szCs w:val="22"/>
        </w:rPr>
        <w:t xml:space="preserve"> rule has a positive net benefit (</w:t>
      </w:r>
      <w:r w:rsidR="0064320B">
        <w:rPr>
          <w:rFonts w:cs="Arial"/>
          <w:sz w:val="22"/>
          <w:szCs w:val="22"/>
        </w:rPr>
        <w:t>i.e., </w:t>
      </w:r>
      <w:r w:rsidRPr="00D839EE">
        <w:rPr>
          <w:rFonts w:cs="Arial"/>
          <w:sz w:val="22"/>
          <w:szCs w:val="22"/>
        </w:rPr>
        <w:t>100</w:t>
      </w:r>
      <w:r w:rsidRPr="00D839EE" w:rsidR="00B75C10">
        <w:rPr>
          <w:rFonts w:cs="Arial"/>
          <w:sz w:val="22"/>
          <w:szCs w:val="22"/>
        </w:rPr>
        <w:t xml:space="preserve"> </w:t>
      </w:r>
      <w:r w:rsidRPr="00D839EE">
        <w:rPr>
          <w:rFonts w:cs="Arial"/>
          <w:sz w:val="22"/>
          <w:szCs w:val="22"/>
        </w:rPr>
        <w:t>percent of the distributions are above zero).</w:t>
      </w:r>
    </w:p>
    <w:p w:rsidR="00BF5AC4" w:rsidRPr="0064320B" w:rsidP="00BF5AC4" w14:paraId="7F493BB9" w14:textId="77777777">
      <w:pPr>
        <w:rPr>
          <w:rFonts w:cs="Arial"/>
          <w:sz w:val="22"/>
          <w:szCs w:val="22"/>
        </w:rPr>
      </w:pPr>
    </w:p>
    <w:p w:rsidR="004045CF" w:rsidRPr="000F7FD1" w:rsidP="00672B60" w14:paraId="7F493BBA" w14:textId="666FA40B">
      <w:pPr>
        <w:keepNext/>
        <w:jc w:val="center"/>
        <w:rPr>
          <w:rFonts w:cs="Arial"/>
          <w:b/>
        </w:rPr>
      </w:pPr>
      <w:bookmarkStart w:id="410" w:name="_Ref534036179"/>
      <w:bookmarkStart w:id="411" w:name="_Toc534037074"/>
      <w:bookmarkStart w:id="412" w:name="_Toc534710018"/>
      <w:bookmarkStart w:id="413" w:name="_Toc534711703"/>
      <w:bookmarkStart w:id="414" w:name="_Toc534712136"/>
      <w:bookmarkStart w:id="415" w:name="_Toc534712713"/>
      <w:bookmarkStart w:id="416" w:name="_Toc534713222"/>
      <w:bookmarkStart w:id="417" w:name="_Toc9526482"/>
      <w:bookmarkStart w:id="418" w:name="_Toc536603431"/>
      <w:r w:rsidRPr="000F7FD1">
        <w:rPr>
          <w:b/>
          <w:sz w:val="22"/>
        </w:rPr>
        <w:t xml:space="preserve">Exhibit </w:t>
      </w:r>
      <w:r w:rsidRPr="000F7FD1" w:rsidR="005111B6">
        <w:rPr>
          <w:b/>
          <w:sz w:val="22"/>
        </w:rPr>
        <w:t>3</w:t>
      </w:r>
      <w:r w:rsidRPr="000F7FD1" w:rsidR="00180D68">
        <w:rPr>
          <w:b/>
          <w:sz w:val="22"/>
        </w:rPr>
        <w:noBreakHyphen/>
      </w:r>
      <w:r w:rsidRPr="000F7FD1" w:rsidR="00C276FC">
        <w:rPr>
          <w:b/>
          <w:sz w:val="22"/>
        </w:rPr>
        <w:fldChar w:fldCharType="begin"/>
      </w:r>
      <w:r w:rsidRPr="000F7FD1" w:rsidR="00C276FC">
        <w:rPr>
          <w:b/>
          <w:sz w:val="22"/>
        </w:rPr>
        <w:instrText xml:space="preserve"> SEQ Exhibit \* ARABIC </w:instrText>
      </w:r>
      <w:r w:rsidRPr="000F7FD1" w:rsidR="00C276FC">
        <w:rPr>
          <w:b/>
          <w:sz w:val="22"/>
        </w:rPr>
        <w:fldChar w:fldCharType="separate"/>
      </w:r>
      <w:r w:rsidR="00977795">
        <w:rPr>
          <w:b/>
          <w:noProof/>
          <w:sz w:val="22"/>
        </w:rPr>
        <w:t>25</w:t>
      </w:r>
      <w:r w:rsidRPr="000F7FD1" w:rsidR="00C276FC">
        <w:rPr>
          <w:b/>
          <w:sz w:val="22"/>
        </w:rPr>
        <w:fldChar w:fldCharType="end"/>
      </w:r>
      <w:bookmarkEnd w:id="410"/>
      <w:r w:rsidRPr="000F7FD1">
        <w:rPr>
          <w:b/>
          <w:sz w:val="22"/>
        </w:rPr>
        <w:t>. Relative Frequency of the Net Benefits of the Final Rule (</w:t>
      </w:r>
      <w:r w:rsidRPr="000F7FD1" w:rsidR="009170F7">
        <w:rPr>
          <w:b/>
          <w:sz w:val="22"/>
        </w:rPr>
        <w:t>2020$</w:t>
      </w:r>
      <w:r w:rsidRPr="000F7FD1">
        <w:rPr>
          <w:b/>
          <w:sz w:val="22"/>
        </w:rPr>
        <w:t>)</w:t>
      </w:r>
      <w:bookmarkEnd w:id="411"/>
      <w:bookmarkEnd w:id="412"/>
      <w:bookmarkEnd w:id="413"/>
      <w:bookmarkEnd w:id="414"/>
      <w:bookmarkEnd w:id="415"/>
      <w:bookmarkEnd w:id="416"/>
      <w:bookmarkEnd w:id="417"/>
      <w:bookmarkEnd w:id="418"/>
      <w:r w:rsidRPr="000F7FD1" w:rsidR="00DC4677">
        <w:rPr>
          <w:rFonts w:cs="Arial"/>
          <w:b/>
          <w:sz w:val="22"/>
        </w:rPr>
        <w:t xml:space="preserve"> </w:t>
      </w:r>
    </w:p>
    <w:p w:rsidR="00DC4677" w:rsidRPr="00D839EE" w:rsidP="00545C95" w14:paraId="7F493BBB" w14:textId="77777777">
      <w:pPr>
        <w:keepNext/>
        <w:spacing w:after="120"/>
        <w:jc w:val="center"/>
        <w:rPr>
          <w:rFonts w:cs="Arial"/>
          <w:b/>
        </w:rPr>
      </w:pPr>
      <w:r>
        <w:rPr>
          <w:noProof/>
        </w:rPr>
        <mc:AlternateContent>
          <mc:Choice Requires="wpg">
            <w:drawing>
              <wp:anchor distT="0" distB="0" distL="114300" distR="114300" simplePos="0" relativeHeight="251661312" behindDoc="0" locked="0" layoutInCell="1" allowOverlap="1">
                <wp:simplePos x="0" y="0"/>
                <wp:positionH relativeFrom="column">
                  <wp:posOffset>1704975</wp:posOffset>
                </wp:positionH>
                <wp:positionV relativeFrom="paragraph">
                  <wp:posOffset>180975</wp:posOffset>
                </wp:positionV>
                <wp:extent cx="5149215" cy="103695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5149215" cy="1036955"/>
                          <a:chOff x="0" y="0"/>
                          <a:chExt cx="5149215" cy="1036955"/>
                        </a:xfrm>
                      </wpg:grpSpPr>
                      <wps:wsp xmlns:wps="http://schemas.microsoft.com/office/word/2010/wordprocessingShape">
                        <wps:cNvPr id="9" name="Text Box 2"/>
                        <wps:cNvSpPr txBox="1">
                          <a:spLocks noChangeArrowheads="1"/>
                        </wps:cNvSpPr>
                        <wps:spPr bwMode="auto">
                          <a:xfrm>
                            <a:off x="2771775" y="790575"/>
                            <a:ext cx="2377440" cy="246380"/>
                          </a:xfrm>
                          <a:prstGeom prst="rect">
                            <a:avLst/>
                          </a:prstGeom>
                          <a:noFill/>
                          <a:ln w="9525">
                            <a:noFill/>
                            <a:miter lim="800000"/>
                            <a:headEnd/>
                            <a:tailEnd/>
                          </a:ln>
                        </wps:spPr>
                        <wps:txbx>
                          <w:txbxContent>
                            <w:p w:rsidR="003C4E07" w:rsidP="00DC4677" w14:textId="77777777">
                              <w:r>
                                <w:t>Undiscounted</w:t>
                              </w:r>
                            </w:p>
                          </w:txbxContent>
                        </wps:txbx>
                        <wps:bodyPr rot="0" vert="horz" wrap="square" lIns="91440" tIns="45720" rIns="91440" bIns="45720" anchor="t" anchorCtr="0">
                          <a:spAutoFit/>
                        </wps:bodyPr>
                      </wps:wsp>
                      <wps:wsp xmlns:wps="http://schemas.microsoft.com/office/word/2010/wordprocessingShape">
                        <wps:cNvPr id="10" name="Text Box 2"/>
                        <wps:cNvSpPr txBox="1">
                          <a:spLocks noChangeArrowheads="1"/>
                        </wps:cNvSpPr>
                        <wps:spPr bwMode="auto">
                          <a:xfrm>
                            <a:off x="1257300" y="381000"/>
                            <a:ext cx="2377440" cy="246380"/>
                          </a:xfrm>
                          <a:prstGeom prst="rect">
                            <a:avLst/>
                          </a:prstGeom>
                          <a:noFill/>
                          <a:ln w="9525">
                            <a:noFill/>
                            <a:miter lim="800000"/>
                            <a:headEnd/>
                            <a:tailEnd/>
                          </a:ln>
                        </wps:spPr>
                        <wps:txbx>
                          <w:txbxContent>
                            <w:p w:rsidR="003C4E07" w:rsidP="00DC4677" w14:textId="77777777">
                              <w:r>
                                <w:t>3 percent discounting</w:t>
                              </w:r>
                            </w:p>
                          </w:txbxContent>
                        </wps:txbx>
                        <wps:bodyPr rot="0" vert="horz" wrap="square" lIns="91440" tIns="45720" rIns="91440" bIns="45720" anchor="t" anchorCtr="0">
                          <a:spAutoFit/>
                        </wps:bodyPr>
                      </wps:wsp>
                      <wps:wsp xmlns:wps="http://schemas.microsoft.com/office/word/2010/wordprocessingShape">
                        <wps:cNvPr id="11" name="Text Box 2"/>
                        <wps:cNvSpPr txBox="1">
                          <a:spLocks noChangeArrowheads="1"/>
                        </wps:cNvSpPr>
                        <wps:spPr bwMode="auto">
                          <a:xfrm>
                            <a:off x="0" y="0"/>
                            <a:ext cx="2377440" cy="246380"/>
                          </a:xfrm>
                          <a:prstGeom prst="rect">
                            <a:avLst/>
                          </a:prstGeom>
                          <a:noFill/>
                          <a:ln w="9525">
                            <a:noFill/>
                            <a:miter lim="800000"/>
                            <a:headEnd/>
                            <a:tailEnd/>
                          </a:ln>
                        </wps:spPr>
                        <wps:txbx>
                          <w:txbxContent>
                            <w:p w:rsidR="003C4E07" w:rsidP="00DC4677" w14:textId="77777777">
                              <w:r>
                                <w:t>7 percent discounting</w:t>
                              </w:r>
                            </w:p>
                          </w:txbxContent>
                        </wps:txbx>
                        <wps:bodyPr rot="0" vert="horz" wrap="square" lIns="91440" tIns="45720" rIns="91440" bIns="45720" anchor="t" anchorCtr="0">
                          <a:spAutoFit/>
                        </wps:bodyPr>
                      </wps:wsp>
                    </wpg:wgp>
                  </a:graphicData>
                </a:graphic>
              </wp:anchor>
            </w:drawing>
          </mc:Choice>
          <mc:Fallback>
            <w:pict>
              <v:group id="Group 14" o:spid="_x0000_s1026" style="width:405.45pt;height:81.65pt;margin-top:14.25pt;margin-left:134.25pt;position:absolute;z-index:251662336" coordsize="51492,10369">
                <v:shapetype id="_x0000_t202" coordsize="21600,21600" o:spt="202" path="m,l,21600r21600,l21600,xe">
                  <v:stroke joinstyle="miter"/>
                  <v:path gradientshapeok="t" o:connecttype="rect"/>
                </v:shapetype>
                <v:shape id="Text Box 2" o:spid="_x0000_s1027" type="#_x0000_t202" style="width:23775;height:2464;left:27717;mso-wrap-style:square;position:absolute;top:7905;visibility:visible;v-text-anchor:top" filled="f" stroked="f">
                  <v:textbox style="mso-fit-shape-to-text:t">
                    <w:txbxContent>
                      <w:p w:rsidR="003C4E07" w:rsidP="00DC4677" w14:paraId="7F49440B" w14:textId="77777777">
                        <w:r>
                          <w:t>Undiscounted</w:t>
                        </w:r>
                      </w:p>
                    </w:txbxContent>
                  </v:textbox>
                </v:shape>
                <v:shape id="Text Box 2" o:spid="_x0000_s1028" type="#_x0000_t202" style="width:23774;height:2463;left:12573;mso-wrap-style:square;position:absolute;top:3810;visibility:visible;v-text-anchor:top" filled="f" stroked="f">
                  <v:textbox style="mso-fit-shape-to-text:t">
                    <w:txbxContent>
                      <w:p w:rsidR="003C4E07" w:rsidP="00DC4677" w14:paraId="7F49440C" w14:textId="77777777">
                        <w:r>
                          <w:t>3 percent discounting</w:t>
                        </w:r>
                      </w:p>
                    </w:txbxContent>
                  </v:textbox>
                </v:shape>
                <v:shape id="Text Box 2" o:spid="_x0000_s1029" type="#_x0000_t202" style="width:23774;height:2463;mso-wrap-style:square;position:absolute;visibility:visible;v-text-anchor:top" filled="f" stroked="f">
                  <v:textbox style="mso-fit-shape-to-text:t">
                    <w:txbxContent>
                      <w:p w:rsidR="003C4E07" w:rsidP="00DC4677" w14:paraId="7F49440D" w14:textId="77777777">
                        <w:r>
                          <w:t>7 percent discounting</w:t>
                        </w:r>
                      </w:p>
                    </w:txbxContent>
                  </v:textbox>
                </v:shape>
              </v:group>
            </w:pict>
          </mc:Fallback>
        </mc:AlternateContent>
      </w:r>
      <w:r>
        <w:rPr>
          <w:noProof/>
        </w:rPr>
        <w:drawing>
          <wp:inline distT="0" distB="0" distL="0" distR="0">
            <wp:extent cx="5943600" cy="2846070"/>
            <wp:effectExtent l="0" t="0" r="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0258" w:rsidRPr="00D839EE" w:rsidP="00EA25C6" w14:paraId="7F493BBC" w14:textId="77777777">
      <w:pPr>
        <w:keepNext/>
        <w:ind w:left="720"/>
        <w:rPr>
          <w:rFonts w:cs="Arial"/>
          <w:sz w:val="18"/>
          <w:szCs w:val="18"/>
        </w:rPr>
      </w:pPr>
      <w:r w:rsidRPr="00D839EE">
        <w:rPr>
          <w:rFonts w:cs="Arial"/>
          <w:sz w:val="18"/>
          <w:szCs w:val="18"/>
        </w:rPr>
        <w:t>NOTE:</w:t>
      </w:r>
      <w:r w:rsidR="0064320B">
        <w:rPr>
          <w:rFonts w:cs="Arial"/>
          <w:sz w:val="18"/>
          <w:szCs w:val="18"/>
        </w:rPr>
        <w:t xml:space="preserve"> </w:t>
      </w:r>
      <w:r w:rsidRPr="00D839EE" w:rsidR="00012843">
        <w:rPr>
          <w:rFonts w:cs="Arial"/>
          <w:sz w:val="18"/>
          <w:szCs w:val="18"/>
        </w:rPr>
        <w:t xml:space="preserve">As the discount rate increases in the above exhibit, the distributions become narrower.  This narrowing is a result of the decreasing range of present value net benefits as discount rates increase.  Larger discount rates result in smaller </w:t>
      </w:r>
      <w:r w:rsidRPr="00D839EE" w:rsidR="00F03DBE">
        <w:rPr>
          <w:rFonts w:cs="Arial"/>
          <w:sz w:val="18"/>
          <w:szCs w:val="18"/>
        </w:rPr>
        <w:t>cost and benefit values</w:t>
      </w:r>
      <w:r w:rsidRPr="00D839EE" w:rsidR="00012843">
        <w:rPr>
          <w:rFonts w:cs="Arial"/>
          <w:sz w:val="18"/>
          <w:szCs w:val="18"/>
        </w:rPr>
        <w:t xml:space="preserve"> in later years </w:t>
      </w:r>
      <w:r w:rsidRPr="00D839EE" w:rsidR="00F03DBE">
        <w:rPr>
          <w:rFonts w:cs="Arial"/>
          <w:sz w:val="18"/>
          <w:szCs w:val="18"/>
        </w:rPr>
        <w:t>in the analysis period, resulting in</w:t>
      </w:r>
      <w:r w:rsidRPr="00D839EE" w:rsidR="00012843">
        <w:rPr>
          <w:rFonts w:cs="Arial"/>
          <w:sz w:val="18"/>
          <w:szCs w:val="18"/>
        </w:rPr>
        <w:t xml:space="preserve"> a smaller range</w:t>
      </w:r>
      <w:r w:rsidRPr="00D839EE" w:rsidR="00F03DBE">
        <w:rPr>
          <w:rFonts w:cs="Arial"/>
          <w:sz w:val="18"/>
          <w:szCs w:val="18"/>
        </w:rPr>
        <w:t xml:space="preserve"> </w:t>
      </w:r>
      <w:r w:rsidRPr="00D839EE" w:rsidR="00012843">
        <w:rPr>
          <w:rFonts w:cs="Arial"/>
          <w:sz w:val="18"/>
          <w:szCs w:val="18"/>
        </w:rPr>
        <w:t>and a narrower distribution.</w:t>
      </w:r>
    </w:p>
    <w:p w:rsidR="00BF5AC4" w:rsidRPr="00D839EE" w:rsidP="00BF5AC4" w14:paraId="7F493BBD" w14:textId="77777777">
      <w:pPr>
        <w:rPr>
          <w:rFonts w:cs="Arial"/>
        </w:rPr>
      </w:pPr>
    </w:p>
    <w:p w:rsidR="00BF5AC4" w:rsidRPr="00D839EE" w:rsidP="00BF5AC4" w14:paraId="7F493BBE" w14:textId="728B2934">
      <w:pPr>
        <w:rPr>
          <w:rFonts w:cs="Arial"/>
          <w:sz w:val="22"/>
          <w:szCs w:val="22"/>
        </w:rPr>
      </w:pPr>
      <w:r w:rsidRPr="00535160">
        <w:rPr>
          <w:rFonts w:cs="Arial"/>
          <w:sz w:val="22"/>
          <w:szCs w:val="22"/>
        </w:rPr>
        <w:fldChar w:fldCharType="begin"/>
      </w:r>
      <w:r w:rsidRPr="00535160">
        <w:rPr>
          <w:rFonts w:cs="Arial"/>
          <w:sz w:val="22"/>
          <w:szCs w:val="22"/>
        </w:rPr>
        <w:instrText xml:space="preserve"> REF _Ref534037049 \h </w:instrText>
      </w:r>
      <w:r w:rsidRPr="00B45BB6">
        <w:rPr>
          <w:rFonts w:cs="Arial"/>
          <w:sz w:val="22"/>
          <w:szCs w:val="22"/>
        </w:rPr>
        <w:instrText xml:space="preserve"> \* MERGEFORMAT </w:instrText>
      </w:r>
      <w:r w:rsidRPr="00535160">
        <w:rPr>
          <w:rFonts w:cs="Arial"/>
          <w:sz w:val="22"/>
          <w:szCs w:val="22"/>
        </w:rPr>
        <w:fldChar w:fldCharType="separate"/>
      </w:r>
      <w:r w:rsidRPr="00977795" w:rsidR="00977795">
        <w:rPr>
          <w:sz w:val="22"/>
          <w:szCs w:val="22"/>
        </w:rPr>
        <w:t>Exhibit 3</w:t>
      </w:r>
      <w:r w:rsidRPr="00977795" w:rsidR="00977795">
        <w:rPr>
          <w:sz w:val="22"/>
          <w:szCs w:val="22"/>
        </w:rPr>
        <w:noBreakHyphen/>
        <w:t>26</w:t>
      </w:r>
      <w:r w:rsidRPr="00535160">
        <w:rPr>
          <w:rFonts w:cs="Arial"/>
          <w:sz w:val="22"/>
          <w:szCs w:val="22"/>
        </w:rPr>
        <w:fldChar w:fldCharType="end"/>
      </w:r>
      <w:r>
        <w:rPr>
          <w:rFonts w:cs="Arial"/>
          <w:sz w:val="22"/>
          <w:szCs w:val="22"/>
        </w:rPr>
        <w:t xml:space="preserve"> </w:t>
      </w:r>
      <w:r w:rsidRPr="00D839EE">
        <w:rPr>
          <w:rFonts w:cs="Arial"/>
          <w:sz w:val="22"/>
          <w:szCs w:val="22"/>
        </w:rPr>
        <w:t>displays the results of the uncertainty analysis for the net benefits (</w:t>
      </w:r>
      <w:r w:rsidR="005E25E5">
        <w:rPr>
          <w:rFonts w:cs="Arial"/>
          <w:sz w:val="22"/>
          <w:szCs w:val="22"/>
        </w:rPr>
        <w:t>averted costs</w:t>
      </w:r>
      <w:r w:rsidRPr="00D839EE">
        <w:rPr>
          <w:rFonts w:cs="Arial"/>
          <w:sz w:val="22"/>
          <w:szCs w:val="22"/>
        </w:rPr>
        <w:t xml:space="preserve"> minus costs) of the </w:t>
      </w:r>
      <w:r w:rsidRPr="00D839EE" w:rsidR="00BC5E9F">
        <w:rPr>
          <w:rFonts w:cs="Arial"/>
          <w:sz w:val="22"/>
          <w:szCs w:val="22"/>
        </w:rPr>
        <w:t>final</w:t>
      </w:r>
      <w:r w:rsidRPr="00D839EE">
        <w:rPr>
          <w:rFonts w:cs="Arial"/>
          <w:sz w:val="22"/>
          <w:szCs w:val="22"/>
        </w:rPr>
        <w:t xml:space="preserve"> rule.  By allowing uncertain assumptions and inputs to range across a distribution</w:t>
      </w:r>
      <w:r w:rsidR="00014EB9">
        <w:rPr>
          <w:rFonts w:cs="Arial"/>
          <w:sz w:val="22"/>
          <w:szCs w:val="22"/>
        </w:rPr>
        <w:t>,</w:t>
      </w:r>
      <w:r w:rsidRPr="00D839EE">
        <w:rPr>
          <w:rFonts w:cs="Arial"/>
          <w:sz w:val="22"/>
          <w:szCs w:val="22"/>
        </w:rPr>
        <w:t xml:space="preserve"> the results are no longer static and instead spread across a range with varying degrees of certainty.  In this particular simulation, the analysis indicates that 90 percent of the times the model was run (out of 5,000 times)</w:t>
      </w:r>
      <w:r w:rsidR="00014EB9">
        <w:rPr>
          <w:rFonts w:cs="Arial"/>
          <w:sz w:val="22"/>
          <w:szCs w:val="22"/>
        </w:rPr>
        <w:t>,</w:t>
      </w:r>
      <w:r w:rsidRPr="00D839EE">
        <w:rPr>
          <w:rFonts w:cs="Arial"/>
          <w:sz w:val="22"/>
          <w:szCs w:val="22"/>
        </w:rPr>
        <w:t xml:space="preserve"> the </w:t>
      </w:r>
      <w:r w:rsidRPr="00D839EE" w:rsidR="00BC5E9F">
        <w:rPr>
          <w:rFonts w:cs="Arial"/>
          <w:sz w:val="22"/>
          <w:szCs w:val="22"/>
        </w:rPr>
        <w:t>final</w:t>
      </w:r>
      <w:r w:rsidRPr="00D839EE">
        <w:rPr>
          <w:rFonts w:cs="Arial"/>
          <w:sz w:val="22"/>
          <w:szCs w:val="22"/>
        </w:rPr>
        <w:t xml:space="preserve"> rule resulted in a</w:t>
      </w:r>
      <w:r w:rsidR="005E25E5">
        <w:rPr>
          <w:rFonts w:cs="Arial"/>
          <w:sz w:val="22"/>
          <w:szCs w:val="22"/>
        </w:rPr>
        <w:t xml:space="preserve">n averted cost </w:t>
      </w:r>
      <w:r w:rsidRPr="00D839EE">
        <w:rPr>
          <w:rFonts w:cs="Arial"/>
          <w:sz w:val="22"/>
          <w:szCs w:val="22"/>
        </w:rPr>
        <w:t>of $</w:t>
      </w:r>
      <w:r w:rsidR="00935E57">
        <w:rPr>
          <w:rFonts w:cs="Arial"/>
          <w:sz w:val="22"/>
          <w:szCs w:val="22"/>
        </w:rPr>
        <w:t>15</w:t>
      </w:r>
      <w:r w:rsidR="002E6134">
        <w:rPr>
          <w:rFonts w:cs="Arial"/>
          <w:sz w:val="22"/>
          <w:szCs w:val="22"/>
        </w:rPr>
        <w:t>.</w:t>
      </w:r>
      <w:r w:rsidR="00935E57">
        <w:rPr>
          <w:rFonts w:cs="Arial"/>
          <w:sz w:val="22"/>
          <w:szCs w:val="22"/>
        </w:rPr>
        <w:t>5</w:t>
      </w:r>
      <w:r w:rsidRPr="00D839EE" w:rsidR="004E4971">
        <w:rPr>
          <w:rFonts w:cs="Arial"/>
          <w:sz w:val="22"/>
          <w:szCs w:val="22"/>
        </w:rPr>
        <w:t> </w:t>
      </w:r>
      <w:r w:rsidRPr="00D839EE">
        <w:rPr>
          <w:rFonts w:cs="Arial"/>
          <w:sz w:val="22"/>
          <w:szCs w:val="22"/>
        </w:rPr>
        <w:t>million to $</w:t>
      </w:r>
      <w:r w:rsidR="00935E57">
        <w:rPr>
          <w:rFonts w:cs="Arial"/>
          <w:sz w:val="22"/>
          <w:szCs w:val="22"/>
        </w:rPr>
        <w:t>18.5</w:t>
      </w:r>
      <w:r w:rsidRPr="00D839EE">
        <w:rPr>
          <w:rFonts w:cs="Arial"/>
          <w:sz w:val="22"/>
          <w:szCs w:val="22"/>
        </w:rPr>
        <w:t xml:space="preserve"> million.  In some iterations, the model did result in a net benefit as low as $</w:t>
      </w:r>
      <w:r w:rsidR="00935E57">
        <w:rPr>
          <w:rFonts w:cs="Arial"/>
          <w:sz w:val="22"/>
          <w:szCs w:val="22"/>
        </w:rPr>
        <w:t>13.9</w:t>
      </w:r>
      <w:r w:rsidR="009C29C0">
        <w:rPr>
          <w:rFonts w:cs="Arial"/>
          <w:sz w:val="22"/>
          <w:szCs w:val="22"/>
        </w:rPr>
        <w:t xml:space="preserve"> </w:t>
      </w:r>
      <w:r w:rsidRPr="00D839EE">
        <w:rPr>
          <w:rFonts w:cs="Arial"/>
          <w:sz w:val="22"/>
          <w:szCs w:val="22"/>
        </w:rPr>
        <w:t>million and as high as $</w:t>
      </w:r>
      <w:r w:rsidR="00935E57">
        <w:rPr>
          <w:rFonts w:cs="Arial"/>
          <w:sz w:val="22"/>
          <w:szCs w:val="22"/>
        </w:rPr>
        <w:t>19.9</w:t>
      </w:r>
      <w:r w:rsidRPr="00D839EE" w:rsidR="00B0786D">
        <w:rPr>
          <w:rFonts w:cs="Arial"/>
          <w:sz w:val="22"/>
          <w:szCs w:val="22"/>
        </w:rPr>
        <w:t xml:space="preserve"> </w:t>
      </w:r>
      <w:r w:rsidRPr="00D839EE">
        <w:rPr>
          <w:rFonts w:cs="Arial"/>
          <w:sz w:val="22"/>
          <w:szCs w:val="22"/>
        </w:rPr>
        <w:t>million, with an average of $</w:t>
      </w:r>
      <w:r w:rsidR="00935E57">
        <w:rPr>
          <w:rFonts w:cs="Arial"/>
          <w:sz w:val="22"/>
          <w:szCs w:val="22"/>
        </w:rPr>
        <w:t>17.0</w:t>
      </w:r>
      <w:r w:rsidR="00681179">
        <w:rPr>
          <w:rFonts w:cs="Arial"/>
          <w:sz w:val="22"/>
          <w:szCs w:val="22"/>
        </w:rPr>
        <w:t xml:space="preserve"> </w:t>
      </w:r>
      <w:r w:rsidRPr="00D839EE">
        <w:rPr>
          <w:rFonts w:cs="Arial"/>
          <w:sz w:val="22"/>
          <w:szCs w:val="22"/>
        </w:rPr>
        <w:t>million.</w:t>
      </w:r>
    </w:p>
    <w:p w:rsidR="00BF5AC4" w:rsidRPr="00D839EE" w:rsidP="00BF5AC4" w14:paraId="7F493BBF" w14:textId="77777777">
      <w:pPr>
        <w:jc w:val="center"/>
        <w:rPr>
          <w:rFonts w:cs="Arial"/>
          <w:b/>
        </w:rPr>
      </w:pPr>
    </w:p>
    <w:p w:rsidR="00672B60" w:rsidP="00672B60" w14:paraId="7F493BC0" w14:textId="7B6F8CA8">
      <w:pPr>
        <w:pStyle w:val="Caption"/>
        <w:keepNext/>
        <w:spacing w:after="0"/>
        <w:jc w:val="center"/>
        <w:rPr>
          <w:b/>
          <w:i w:val="0"/>
          <w:color w:val="auto"/>
          <w:sz w:val="22"/>
        </w:rPr>
      </w:pPr>
      <w:bookmarkStart w:id="419" w:name="_Ref534037049"/>
      <w:bookmarkStart w:id="420" w:name="_Toc9526483"/>
      <w:bookmarkStart w:id="421" w:name="_Toc536603432"/>
      <w:bookmarkStart w:id="422" w:name="_Toc534710019"/>
      <w:bookmarkStart w:id="423" w:name="_Toc534711704"/>
      <w:bookmarkStart w:id="424" w:name="_Toc534712137"/>
      <w:bookmarkStart w:id="425" w:name="_Toc534712714"/>
      <w:bookmarkStart w:id="426" w:name="_Toc534713223"/>
      <w:bookmarkStart w:id="427" w:name="_Toc534037075"/>
      <w:r w:rsidRPr="000F7FD1">
        <w:rPr>
          <w:b/>
          <w:i w:val="0"/>
          <w:color w:val="auto"/>
          <w:sz w:val="22"/>
        </w:rPr>
        <w:t xml:space="preserve">Exhibit </w:t>
      </w:r>
      <w:r w:rsidRPr="000F7FD1" w:rsidR="005111B6">
        <w:rPr>
          <w:b/>
          <w:i w:val="0"/>
          <w:color w:val="auto"/>
          <w:sz w:val="22"/>
        </w:rPr>
        <w:t>3</w:t>
      </w:r>
      <w:r w:rsidRPr="000F7FD1" w:rsidR="00180D68">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26</w:t>
      </w:r>
      <w:r w:rsidRPr="000F7FD1" w:rsidR="00C276FC">
        <w:rPr>
          <w:b/>
          <w:i w:val="0"/>
          <w:color w:val="auto"/>
          <w:sz w:val="22"/>
        </w:rPr>
        <w:fldChar w:fldCharType="end"/>
      </w:r>
      <w:bookmarkEnd w:id="419"/>
      <w:r w:rsidRPr="000F7FD1">
        <w:rPr>
          <w:b/>
          <w:i w:val="0"/>
          <w:color w:val="auto"/>
          <w:sz w:val="22"/>
        </w:rPr>
        <w:t>. Relative Frequency of the Undiscounted</w:t>
      </w:r>
      <w:bookmarkEnd w:id="420"/>
      <w:bookmarkEnd w:id="421"/>
      <w:r w:rsidRPr="000F7FD1">
        <w:rPr>
          <w:b/>
          <w:i w:val="0"/>
          <w:color w:val="auto"/>
          <w:sz w:val="22"/>
        </w:rPr>
        <w:t xml:space="preserve"> </w:t>
      </w:r>
    </w:p>
    <w:p w:rsidR="00531A87" w:rsidRPr="000F7FD1" w:rsidP="00672B60" w14:paraId="7F493BC1" w14:textId="77777777">
      <w:pPr>
        <w:pStyle w:val="Caption"/>
        <w:keepNext/>
        <w:spacing w:after="0"/>
        <w:jc w:val="center"/>
        <w:rPr>
          <w:b/>
          <w:i w:val="0"/>
          <w:color w:val="auto"/>
          <w:sz w:val="22"/>
        </w:rPr>
      </w:pPr>
      <w:r w:rsidRPr="000F7FD1">
        <w:rPr>
          <w:b/>
          <w:i w:val="0"/>
          <w:color w:val="auto"/>
          <w:sz w:val="22"/>
        </w:rPr>
        <w:t>Net Benefits of the Final Rule (</w:t>
      </w:r>
      <w:r w:rsidRPr="000F7FD1" w:rsidR="009170F7">
        <w:rPr>
          <w:b/>
          <w:i w:val="0"/>
          <w:color w:val="auto"/>
          <w:sz w:val="22"/>
        </w:rPr>
        <w:t>2020$</w:t>
      </w:r>
      <w:r w:rsidRPr="000F7FD1">
        <w:rPr>
          <w:b/>
          <w:i w:val="0"/>
          <w:color w:val="auto"/>
          <w:sz w:val="22"/>
        </w:rPr>
        <w:t>)</w:t>
      </w:r>
      <w:bookmarkEnd w:id="422"/>
      <w:bookmarkEnd w:id="423"/>
      <w:bookmarkEnd w:id="424"/>
      <w:bookmarkEnd w:id="425"/>
      <w:bookmarkEnd w:id="426"/>
      <w:bookmarkEnd w:id="427"/>
    </w:p>
    <w:p w:rsidR="00DC4677" w:rsidRPr="00D839EE" w:rsidP="00681179" w14:paraId="7F493BC2" w14:textId="77777777">
      <w:pPr>
        <w:keepNext/>
        <w:jc w:val="center"/>
        <w:rPr>
          <w:rFonts w:cs="Arial"/>
          <w:sz w:val="22"/>
          <w:szCs w:val="22"/>
        </w:rPr>
      </w:pPr>
      <w:r w:rsidRPr="00DC4677">
        <w:rPr>
          <w:rFonts w:cs="Arial"/>
          <w:noProof/>
          <w:sz w:val="22"/>
          <w:szCs w:val="22"/>
        </w:rPr>
        <w:drawing>
          <wp:inline distT="0" distB="0" distL="0" distR="0">
            <wp:extent cx="5943600" cy="3141991"/>
            <wp:effectExtent l="19050" t="19050" r="19050" b="203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41991"/>
                    </a:xfrm>
                    <a:prstGeom prst="rect">
                      <a:avLst/>
                    </a:prstGeom>
                    <a:noFill/>
                    <a:ln>
                      <a:solidFill>
                        <a:schemeClr val="tx1"/>
                      </a:solidFill>
                    </a:ln>
                  </pic:spPr>
                </pic:pic>
              </a:graphicData>
            </a:graphic>
          </wp:inline>
        </w:drawing>
      </w:r>
    </w:p>
    <w:p w:rsidR="002709E2" w:rsidP="004113F3" w14:paraId="7F493BC3" w14:textId="77777777">
      <w:pPr>
        <w:spacing w:before="120"/>
        <w:rPr>
          <w:rFonts w:cs="Arial"/>
          <w:sz w:val="22"/>
          <w:szCs w:val="22"/>
        </w:rPr>
      </w:pPr>
      <w:r w:rsidRPr="00D65028">
        <w:rPr>
          <w:rFonts w:cs="Arial"/>
          <w:sz w:val="22"/>
        </w:rPr>
        <w:t xml:space="preserve">Similarly, </w:t>
      </w:r>
      <w:r w:rsidR="00BC0708">
        <w:rPr>
          <w:rFonts w:cs="Arial"/>
          <w:sz w:val="22"/>
        </w:rPr>
        <w:t>Exhibit 3-27</w:t>
      </w:r>
      <w:r w:rsidRPr="00D65028" w:rsidR="00D65028">
        <w:rPr>
          <w:rFonts w:cs="Arial"/>
          <w:sz w:val="22"/>
        </w:rPr>
        <w:t xml:space="preserve"> </w:t>
      </w:r>
      <w:r w:rsidRPr="00D65028" w:rsidR="00014EB9">
        <w:rPr>
          <w:rFonts w:cs="Arial"/>
          <w:sz w:val="22"/>
        </w:rPr>
        <w:t>and</w:t>
      </w:r>
      <w:r w:rsidRPr="00D65028" w:rsidR="00D65028">
        <w:rPr>
          <w:rFonts w:cs="Arial"/>
          <w:sz w:val="22"/>
        </w:rPr>
        <w:t xml:space="preserve"> </w:t>
      </w:r>
      <w:r w:rsidR="00BC0708">
        <w:rPr>
          <w:rFonts w:cs="Arial"/>
          <w:sz w:val="22"/>
        </w:rPr>
        <w:t>Exhibit 3-28</w:t>
      </w:r>
      <w:r w:rsidR="004113F3">
        <w:rPr>
          <w:rFonts w:cs="Arial"/>
          <w:sz w:val="22"/>
        </w:rPr>
        <w:t xml:space="preserve"> </w:t>
      </w:r>
      <w:r w:rsidR="00014EB9">
        <w:rPr>
          <w:rFonts w:cs="Arial"/>
          <w:sz w:val="22"/>
          <w:szCs w:val="22"/>
        </w:rPr>
        <w:t xml:space="preserve">show </w:t>
      </w:r>
      <w:r w:rsidRPr="00D839EE">
        <w:rPr>
          <w:rFonts w:cs="Arial"/>
          <w:sz w:val="22"/>
          <w:szCs w:val="22"/>
        </w:rPr>
        <w:t xml:space="preserve">the net benefits with </w:t>
      </w:r>
      <w:r>
        <w:rPr>
          <w:rFonts w:cs="Arial"/>
          <w:sz w:val="22"/>
          <w:szCs w:val="22"/>
        </w:rPr>
        <w:t>3</w:t>
      </w:r>
      <w:r w:rsidR="003A7F24">
        <w:rPr>
          <w:rFonts w:cs="Arial"/>
          <w:sz w:val="22"/>
          <w:szCs w:val="22"/>
        </w:rPr>
        <w:noBreakHyphen/>
      </w:r>
      <w:r w:rsidRPr="00D839EE">
        <w:rPr>
          <w:rFonts w:cs="Arial"/>
          <w:sz w:val="22"/>
          <w:szCs w:val="22"/>
        </w:rPr>
        <w:t xml:space="preserve"> and </w:t>
      </w:r>
      <w:r>
        <w:rPr>
          <w:rFonts w:cs="Arial"/>
          <w:sz w:val="22"/>
          <w:szCs w:val="22"/>
        </w:rPr>
        <w:t>7</w:t>
      </w:r>
      <w:r w:rsidR="00014EB9">
        <w:rPr>
          <w:rFonts w:cs="Arial"/>
          <w:sz w:val="22"/>
          <w:szCs w:val="22"/>
        </w:rPr>
        <w:t>-</w:t>
      </w:r>
      <w:r w:rsidRPr="00D839EE">
        <w:rPr>
          <w:rFonts w:cs="Arial"/>
          <w:sz w:val="22"/>
          <w:szCs w:val="22"/>
        </w:rPr>
        <w:t>percent discounting.</w:t>
      </w:r>
      <w:r>
        <w:rPr>
          <w:rFonts w:cs="Arial"/>
          <w:sz w:val="22"/>
          <w:szCs w:val="22"/>
        </w:rPr>
        <w:t xml:space="preserve">  </w:t>
      </w:r>
      <w:r w:rsidRPr="00D839EE">
        <w:rPr>
          <w:rFonts w:cs="Arial"/>
          <w:sz w:val="22"/>
          <w:szCs w:val="22"/>
        </w:rPr>
        <w:t>When using 3</w:t>
      </w:r>
      <w:r w:rsidR="00014EB9">
        <w:rPr>
          <w:rFonts w:cs="Arial"/>
          <w:sz w:val="22"/>
          <w:szCs w:val="22"/>
        </w:rPr>
        <w:t>-</w:t>
      </w:r>
      <w:r w:rsidRPr="00D839EE">
        <w:rPr>
          <w:rFonts w:cs="Arial"/>
          <w:sz w:val="22"/>
          <w:szCs w:val="22"/>
        </w:rPr>
        <w:t>percent discounting, 90 percent of the times the model was run</w:t>
      </w:r>
      <w:r w:rsidRPr="00D839EE" w:rsidR="00BA2AA1">
        <w:rPr>
          <w:rFonts w:cs="Arial"/>
          <w:sz w:val="22"/>
          <w:szCs w:val="22"/>
        </w:rPr>
        <w:t>,</w:t>
      </w:r>
      <w:r w:rsidRPr="00D839EE">
        <w:rPr>
          <w:rFonts w:cs="Arial"/>
          <w:sz w:val="22"/>
          <w:szCs w:val="22"/>
        </w:rPr>
        <w:t xml:space="preserve"> the </w:t>
      </w:r>
      <w:r w:rsidRPr="00D839EE" w:rsidR="00BC5E9F">
        <w:rPr>
          <w:rFonts w:cs="Arial"/>
          <w:sz w:val="22"/>
          <w:szCs w:val="22"/>
        </w:rPr>
        <w:t>final</w:t>
      </w:r>
      <w:r w:rsidRPr="00D839EE">
        <w:rPr>
          <w:rFonts w:cs="Arial"/>
          <w:sz w:val="22"/>
          <w:szCs w:val="22"/>
        </w:rPr>
        <w:t xml:space="preserve"> rule resulted in </w:t>
      </w:r>
      <w:r w:rsidR="005E25E5">
        <w:rPr>
          <w:rFonts w:cs="Arial"/>
          <w:sz w:val="22"/>
          <w:szCs w:val="22"/>
        </w:rPr>
        <w:t>an averted cost</w:t>
      </w:r>
      <w:r w:rsidRPr="00D839EE">
        <w:rPr>
          <w:rFonts w:cs="Arial"/>
          <w:sz w:val="22"/>
          <w:szCs w:val="22"/>
        </w:rPr>
        <w:t xml:space="preserve"> of $</w:t>
      </w:r>
      <w:r w:rsidR="000338BA">
        <w:rPr>
          <w:rFonts w:cs="Arial"/>
          <w:sz w:val="22"/>
          <w:szCs w:val="22"/>
        </w:rPr>
        <w:t>11.4</w:t>
      </w:r>
      <w:r w:rsidRPr="00D839EE">
        <w:rPr>
          <w:rFonts w:cs="Arial"/>
          <w:sz w:val="22"/>
          <w:szCs w:val="22"/>
        </w:rPr>
        <w:t xml:space="preserve"> million to $</w:t>
      </w:r>
      <w:r w:rsidR="000338BA">
        <w:rPr>
          <w:rFonts w:cs="Arial"/>
          <w:sz w:val="22"/>
          <w:szCs w:val="22"/>
        </w:rPr>
        <w:t>13.6</w:t>
      </w:r>
      <w:r w:rsidRPr="00D839EE">
        <w:rPr>
          <w:rFonts w:cs="Arial"/>
          <w:sz w:val="22"/>
          <w:szCs w:val="22"/>
        </w:rPr>
        <w:t xml:space="preserve"> million.  In some iterations</w:t>
      </w:r>
      <w:r w:rsidRPr="00D839EE" w:rsidR="00BA2AA1">
        <w:rPr>
          <w:rFonts w:cs="Arial"/>
          <w:sz w:val="22"/>
          <w:szCs w:val="22"/>
        </w:rPr>
        <w:t>,</w:t>
      </w:r>
      <w:r w:rsidRPr="00D839EE">
        <w:rPr>
          <w:rFonts w:cs="Arial"/>
          <w:sz w:val="22"/>
          <w:szCs w:val="22"/>
        </w:rPr>
        <w:t xml:space="preserve"> the model did result in a net benefit as low as $</w:t>
      </w:r>
      <w:r w:rsidR="000338BA">
        <w:rPr>
          <w:rFonts w:cs="Arial"/>
          <w:sz w:val="22"/>
          <w:szCs w:val="22"/>
        </w:rPr>
        <w:t>10.2</w:t>
      </w:r>
      <w:r w:rsidRPr="00D839EE">
        <w:rPr>
          <w:rFonts w:cs="Arial"/>
          <w:sz w:val="22"/>
          <w:szCs w:val="22"/>
        </w:rPr>
        <w:t xml:space="preserve"> million and as high as $</w:t>
      </w:r>
      <w:r w:rsidR="000338BA">
        <w:rPr>
          <w:rFonts w:cs="Arial"/>
          <w:sz w:val="22"/>
          <w:szCs w:val="22"/>
        </w:rPr>
        <w:t>14.6</w:t>
      </w:r>
      <w:r w:rsidRPr="00D839EE" w:rsidR="005F5D4B">
        <w:rPr>
          <w:rFonts w:cs="Arial"/>
          <w:sz w:val="22"/>
          <w:szCs w:val="22"/>
        </w:rPr>
        <w:t xml:space="preserve"> </w:t>
      </w:r>
      <w:r w:rsidRPr="00D839EE">
        <w:rPr>
          <w:rFonts w:cs="Arial"/>
          <w:sz w:val="22"/>
          <w:szCs w:val="22"/>
        </w:rPr>
        <w:t>million, with an average of $</w:t>
      </w:r>
      <w:r w:rsidR="000338BA">
        <w:rPr>
          <w:rFonts w:cs="Arial"/>
          <w:sz w:val="22"/>
          <w:szCs w:val="22"/>
        </w:rPr>
        <w:t>12.5</w:t>
      </w:r>
      <w:r w:rsidRPr="00D839EE" w:rsidR="005F5D4B">
        <w:rPr>
          <w:rFonts w:cs="Arial"/>
          <w:sz w:val="22"/>
          <w:szCs w:val="22"/>
        </w:rPr>
        <w:t xml:space="preserve"> </w:t>
      </w:r>
      <w:r w:rsidRPr="00D839EE">
        <w:rPr>
          <w:rFonts w:cs="Arial"/>
          <w:sz w:val="22"/>
          <w:szCs w:val="22"/>
        </w:rPr>
        <w:t>million.</w:t>
      </w:r>
    </w:p>
    <w:p w:rsidR="00BF5AC4" w:rsidRPr="00D839EE" w:rsidP="004113F3" w14:paraId="7F493BC4" w14:textId="77777777">
      <w:pPr>
        <w:spacing w:before="120"/>
        <w:rPr>
          <w:rFonts w:cs="Arial"/>
          <w:sz w:val="22"/>
          <w:szCs w:val="22"/>
        </w:rPr>
      </w:pPr>
      <w:r w:rsidRPr="00D839EE">
        <w:rPr>
          <w:rFonts w:cs="Arial"/>
          <w:sz w:val="22"/>
          <w:szCs w:val="22"/>
        </w:rPr>
        <w:t>When using 7</w:t>
      </w:r>
      <w:r>
        <w:rPr>
          <w:rFonts w:cs="Arial"/>
          <w:sz w:val="22"/>
          <w:szCs w:val="22"/>
        </w:rPr>
        <w:t>-</w:t>
      </w:r>
      <w:r w:rsidRPr="00D839EE">
        <w:rPr>
          <w:rFonts w:cs="Arial"/>
          <w:sz w:val="22"/>
          <w:szCs w:val="22"/>
        </w:rPr>
        <w:t>percent discounting, 90 percent of the times the model was run</w:t>
      </w:r>
      <w:r>
        <w:rPr>
          <w:rFonts w:cs="Arial"/>
          <w:sz w:val="22"/>
          <w:szCs w:val="22"/>
        </w:rPr>
        <w:t>,</w:t>
      </w:r>
      <w:r w:rsidRPr="00D839EE">
        <w:rPr>
          <w:rFonts w:cs="Arial"/>
          <w:sz w:val="22"/>
          <w:szCs w:val="22"/>
        </w:rPr>
        <w:t xml:space="preserve"> the final rule resulted in a</w:t>
      </w:r>
      <w:r>
        <w:rPr>
          <w:rFonts w:cs="Arial"/>
          <w:sz w:val="22"/>
          <w:szCs w:val="22"/>
        </w:rPr>
        <w:t>n averted cost</w:t>
      </w:r>
      <w:r w:rsidRPr="00D839EE">
        <w:rPr>
          <w:rFonts w:cs="Arial"/>
          <w:sz w:val="22"/>
          <w:szCs w:val="22"/>
        </w:rPr>
        <w:t xml:space="preserve"> of $</w:t>
      </w:r>
      <w:r>
        <w:rPr>
          <w:rFonts w:cs="Arial"/>
          <w:sz w:val="22"/>
          <w:szCs w:val="22"/>
        </w:rPr>
        <w:t>7.7</w:t>
      </w:r>
      <w:r w:rsidRPr="00D839EE">
        <w:rPr>
          <w:rFonts w:cs="Arial"/>
          <w:sz w:val="22"/>
          <w:szCs w:val="22"/>
        </w:rPr>
        <w:t xml:space="preserve"> million to $</w:t>
      </w:r>
      <w:r>
        <w:rPr>
          <w:rFonts w:cs="Arial"/>
          <w:sz w:val="22"/>
          <w:szCs w:val="22"/>
        </w:rPr>
        <w:t>9.2</w:t>
      </w:r>
      <w:r w:rsidRPr="00D839EE">
        <w:rPr>
          <w:rFonts w:cs="Arial"/>
          <w:sz w:val="22"/>
          <w:szCs w:val="22"/>
        </w:rPr>
        <w:t xml:space="preserve"> million.  In some iterations</w:t>
      </w:r>
      <w:r>
        <w:rPr>
          <w:rFonts w:cs="Arial"/>
          <w:sz w:val="22"/>
          <w:szCs w:val="22"/>
        </w:rPr>
        <w:t>,</w:t>
      </w:r>
      <w:r w:rsidRPr="00D839EE">
        <w:rPr>
          <w:rFonts w:cs="Arial"/>
          <w:sz w:val="22"/>
          <w:szCs w:val="22"/>
        </w:rPr>
        <w:t xml:space="preserve"> the model did result in a net benefit as low as $</w:t>
      </w:r>
      <w:r>
        <w:rPr>
          <w:rFonts w:cs="Arial"/>
          <w:sz w:val="22"/>
          <w:szCs w:val="22"/>
        </w:rPr>
        <w:t>6.9</w:t>
      </w:r>
      <w:r w:rsidRPr="00D839EE">
        <w:rPr>
          <w:rFonts w:cs="Arial"/>
          <w:sz w:val="22"/>
          <w:szCs w:val="22"/>
        </w:rPr>
        <w:t xml:space="preserve"> million and as high as $</w:t>
      </w:r>
      <w:r>
        <w:rPr>
          <w:rFonts w:cs="Arial"/>
          <w:sz w:val="22"/>
          <w:szCs w:val="22"/>
        </w:rPr>
        <w:t>9.9</w:t>
      </w:r>
      <w:r w:rsidRPr="00D839EE">
        <w:rPr>
          <w:rFonts w:cs="Arial"/>
          <w:sz w:val="22"/>
          <w:szCs w:val="22"/>
        </w:rPr>
        <w:t xml:space="preserve"> million, with an average of $</w:t>
      </w:r>
      <w:r>
        <w:rPr>
          <w:rFonts w:cs="Arial"/>
          <w:sz w:val="22"/>
          <w:szCs w:val="22"/>
        </w:rPr>
        <w:t>8.4</w:t>
      </w:r>
      <w:r w:rsidR="003A7F24">
        <w:rPr>
          <w:rFonts w:cs="Arial"/>
          <w:sz w:val="22"/>
          <w:szCs w:val="22"/>
        </w:rPr>
        <w:t> </w:t>
      </w:r>
      <w:r w:rsidRPr="00D839EE">
        <w:rPr>
          <w:rFonts w:cs="Arial"/>
          <w:sz w:val="22"/>
          <w:szCs w:val="22"/>
        </w:rPr>
        <w:t>million.</w:t>
      </w:r>
    </w:p>
    <w:p w:rsidR="00BF5AC4" w:rsidRPr="00D839EE" w:rsidP="00BF5AC4" w14:paraId="7F493BC5" w14:textId="77777777">
      <w:pPr>
        <w:jc w:val="center"/>
        <w:rPr>
          <w:rFonts w:cs="Arial"/>
          <w:b/>
          <w:sz w:val="22"/>
          <w:szCs w:val="22"/>
        </w:rPr>
      </w:pPr>
    </w:p>
    <w:p w:rsidR="002709E2" w:rsidP="002709E2" w14:paraId="7F493BC6" w14:textId="00238013">
      <w:pPr>
        <w:pStyle w:val="Caption"/>
        <w:keepNext/>
        <w:spacing w:after="0"/>
        <w:jc w:val="center"/>
        <w:rPr>
          <w:b/>
          <w:i w:val="0"/>
          <w:color w:val="auto"/>
          <w:sz w:val="22"/>
        </w:rPr>
      </w:pPr>
      <w:bookmarkStart w:id="428" w:name="_Toc9526484"/>
      <w:bookmarkStart w:id="429" w:name="_Ref534709008"/>
      <w:bookmarkStart w:id="430" w:name="_Ref534037050"/>
      <w:bookmarkStart w:id="431" w:name="_Ref534037051"/>
      <w:bookmarkStart w:id="432" w:name="_Toc536603433"/>
      <w:bookmarkStart w:id="433" w:name="_Toc534037076"/>
      <w:bookmarkStart w:id="434" w:name="_Toc534710020"/>
      <w:bookmarkStart w:id="435" w:name="_Toc534711705"/>
      <w:bookmarkStart w:id="436" w:name="_Toc534712138"/>
      <w:bookmarkStart w:id="437" w:name="_Toc534712715"/>
      <w:bookmarkStart w:id="438" w:name="_Toc534713224"/>
      <w:r w:rsidRPr="000F7FD1">
        <w:rPr>
          <w:b/>
          <w:i w:val="0"/>
          <w:color w:val="auto"/>
          <w:sz w:val="22"/>
        </w:rPr>
        <w:t>Exhibit 3</w:t>
      </w:r>
      <w:r w:rsidRPr="000F7FD1">
        <w:rPr>
          <w:b/>
          <w:i w:val="0"/>
          <w:color w:val="auto"/>
          <w:sz w:val="22"/>
        </w:rPr>
        <w:noBreakHyphen/>
      </w:r>
      <w:r w:rsidRPr="000F7FD1">
        <w:rPr>
          <w:b/>
          <w:i w:val="0"/>
          <w:color w:val="auto"/>
          <w:sz w:val="22"/>
        </w:rPr>
        <w:fldChar w:fldCharType="begin"/>
      </w:r>
      <w:r w:rsidRPr="000F7FD1">
        <w:rPr>
          <w:b/>
          <w:i w:val="0"/>
          <w:color w:val="auto"/>
          <w:sz w:val="22"/>
        </w:rPr>
        <w:instrText xml:space="preserve"> SEQ Exhibit \* ARABIC </w:instrText>
      </w:r>
      <w:r w:rsidRPr="000F7FD1">
        <w:rPr>
          <w:b/>
          <w:i w:val="0"/>
          <w:color w:val="auto"/>
          <w:sz w:val="22"/>
        </w:rPr>
        <w:fldChar w:fldCharType="separate"/>
      </w:r>
      <w:r w:rsidR="00977795">
        <w:rPr>
          <w:b/>
          <w:i w:val="0"/>
          <w:noProof/>
          <w:color w:val="auto"/>
          <w:sz w:val="22"/>
        </w:rPr>
        <w:t>27</w:t>
      </w:r>
      <w:r w:rsidRPr="000F7FD1">
        <w:rPr>
          <w:b/>
          <w:i w:val="0"/>
          <w:color w:val="auto"/>
          <w:sz w:val="22"/>
        </w:rPr>
        <w:fldChar w:fldCharType="end"/>
      </w:r>
      <w:r w:rsidRPr="000F7FD1">
        <w:rPr>
          <w:b/>
          <w:i w:val="0"/>
          <w:color w:val="auto"/>
          <w:sz w:val="22"/>
        </w:rPr>
        <w:t>. Relative Frequency of the Net Benefits of the Final Rule at</w:t>
      </w:r>
      <w:bookmarkEnd w:id="428"/>
      <w:r w:rsidRPr="000F7FD1">
        <w:rPr>
          <w:b/>
          <w:i w:val="0"/>
          <w:color w:val="auto"/>
          <w:sz w:val="22"/>
        </w:rPr>
        <w:t xml:space="preserve"> </w:t>
      </w:r>
    </w:p>
    <w:p w:rsidR="002709E2" w:rsidRPr="000F7FD1" w:rsidP="002709E2" w14:paraId="7F493BC7" w14:textId="77777777">
      <w:pPr>
        <w:pStyle w:val="Caption"/>
        <w:keepNext/>
        <w:spacing w:after="0"/>
        <w:jc w:val="center"/>
        <w:rPr>
          <w:b/>
          <w:i w:val="0"/>
          <w:color w:val="auto"/>
          <w:sz w:val="22"/>
        </w:rPr>
      </w:pPr>
      <w:r w:rsidRPr="000F7FD1">
        <w:rPr>
          <w:b/>
          <w:i w:val="0"/>
          <w:color w:val="auto"/>
          <w:sz w:val="22"/>
        </w:rPr>
        <w:t>3 Percent Discounting (2020$)</w:t>
      </w:r>
    </w:p>
    <w:p w:rsidR="002709E2" w:rsidRPr="00D839EE" w:rsidP="002709E2" w14:paraId="7F493BC8" w14:textId="77777777">
      <w:pPr>
        <w:keepNext/>
        <w:rPr>
          <w:rFonts w:cs="Arial"/>
        </w:rPr>
      </w:pPr>
      <w:r w:rsidRPr="000338BA">
        <w:rPr>
          <w:rFonts w:cs="Arial"/>
          <w:noProof/>
        </w:rPr>
        <w:drawing>
          <wp:inline distT="0" distB="0" distL="0" distR="0">
            <wp:extent cx="5943600" cy="3141991"/>
            <wp:effectExtent l="19050" t="19050" r="1905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41991"/>
                    </a:xfrm>
                    <a:prstGeom prst="rect">
                      <a:avLst/>
                    </a:prstGeom>
                    <a:noFill/>
                    <a:ln>
                      <a:solidFill>
                        <a:schemeClr val="tx1"/>
                      </a:solidFill>
                    </a:ln>
                  </pic:spPr>
                </pic:pic>
              </a:graphicData>
            </a:graphic>
          </wp:inline>
        </w:drawing>
      </w:r>
    </w:p>
    <w:p w:rsidR="002709E2" w:rsidRPr="00D839EE" w:rsidP="002709E2" w14:paraId="7F493BC9" w14:textId="77777777">
      <w:pPr>
        <w:rPr>
          <w:rFonts w:cs="Arial"/>
          <w:sz w:val="22"/>
          <w:szCs w:val="22"/>
        </w:rPr>
      </w:pPr>
    </w:p>
    <w:p w:rsidR="00672B60" w:rsidP="00672B60" w14:paraId="7F493BCA" w14:textId="17965F3B">
      <w:pPr>
        <w:pStyle w:val="Caption"/>
        <w:keepNext/>
        <w:spacing w:after="0"/>
        <w:jc w:val="center"/>
        <w:rPr>
          <w:b/>
          <w:i w:val="0"/>
          <w:color w:val="auto"/>
          <w:sz w:val="22"/>
          <w:szCs w:val="22"/>
        </w:rPr>
      </w:pPr>
      <w:bookmarkStart w:id="439" w:name="_Toc9526485"/>
      <w:r w:rsidRPr="000F7FD1">
        <w:rPr>
          <w:b/>
          <w:i w:val="0"/>
          <w:color w:val="auto"/>
          <w:sz w:val="22"/>
          <w:szCs w:val="22"/>
        </w:rPr>
        <w:t xml:space="preserve">Exhibit </w:t>
      </w:r>
      <w:r w:rsidRPr="000F7FD1" w:rsidR="005111B6">
        <w:rPr>
          <w:b/>
          <w:i w:val="0"/>
          <w:color w:val="auto"/>
          <w:sz w:val="22"/>
          <w:szCs w:val="22"/>
        </w:rPr>
        <w:t>3</w:t>
      </w:r>
      <w:r w:rsidRPr="000F7FD1" w:rsidR="00180D68">
        <w:rPr>
          <w:b/>
          <w:i w:val="0"/>
          <w:color w:val="auto"/>
          <w:sz w:val="22"/>
          <w:szCs w:val="22"/>
        </w:rPr>
        <w:noBreakHyphen/>
      </w:r>
      <w:r w:rsidRPr="000F7FD1" w:rsidR="00C276FC">
        <w:rPr>
          <w:b/>
          <w:iCs w:val="0"/>
          <w:color w:val="auto"/>
          <w:sz w:val="22"/>
          <w:szCs w:val="22"/>
        </w:rPr>
        <w:fldChar w:fldCharType="begin"/>
      </w:r>
      <w:r w:rsidRPr="000F7FD1" w:rsidR="00C276FC">
        <w:rPr>
          <w:b/>
          <w:i w:val="0"/>
          <w:color w:val="auto"/>
          <w:sz w:val="22"/>
          <w:szCs w:val="22"/>
        </w:rPr>
        <w:instrText xml:space="preserve"> SEQ Exhibit \* ARABIC </w:instrText>
      </w:r>
      <w:r w:rsidRPr="000F7FD1" w:rsidR="00C276FC">
        <w:rPr>
          <w:b/>
          <w:iCs w:val="0"/>
          <w:color w:val="auto"/>
          <w:sz w:val="22"/>
          <w:szCs w:val="22"/>
        </w:rPr>
        <w:fldChar w:fldCharType="separate"/>
      </w:r>
      <w:r w:rsidR="00977795">
        <w:rPr>
          <w:b/>
          <w:i w:val="0"/>
          <w:noProof/>
          <w:color w:val="auto"/>
          <w:sz w:val="22"/>
          <w:szCs w:val="22"/>
        </w:rPr>
        <w:t>28</w:t>
      </w:r>
      <w:r w:rsidRPr="000F7FD1" w:rsidR="00C276FC">
        <w:rPr>
          <w:b/>
          <w:iCs w:val="0"/>
          <w:color w:val="auto"/>
          <w:sz w:val="22"/>
          <w:szCs w:val="22"/>
        </w:rPr>
        <w:fldChar w:fldCharType="end"/>
      </w:r>
      <w:bookmarkEnd w:id="429"/>
      <w:bookmarkEnd w:id="430"/>
      <w:bookmarkEnd w:id="431"/>
      <w:r w:rsidRPr="000F7FD1">
        <w:rPr>
          <w:b/>
          <w:i w:val="0"/>
          <w:color w:val="auto"/>
          <w:sz w:val="22"/>
          <w:szCs w:val="22"/>
        </w:rPr>
        <w:t>. Relative Frequency of the Net Benefits of the Final Rule at</w:t>
      </w:r>
      <w:bookmarkEnd w:id="432"/>
      <w:bookmarkEnd w:id="439"/>
      <w:r w:rsidRPr="000F7FD1">
        <w:rPr>
          <w:b/>
          <w:i w:val="0"/>
          <w:color w:val="auto"/>
          <w:sz w:val="22"/>
          <w:szCs w:val="22"/>
        </w:rPr>
        <w:t xml:space="preserve"> </w:t>
      </w:r>
    </w:p>
    <w:p w:rsidR="00681179" w:rsidRPr="000F7FD1" w:rsidP="00672B60" w14:paraId="7F493BCB" w14:textId="77777777">
      <w:pPr>
        <w:pStyle w:val="Caption"/>
        <w:keepNext/>
        <w:spacing w:after="0"/>
        <w:jc w:val="center"/>
        <w:rPr>
          <w:rFonts w:cs="Arial"/>
          <w:color w:val="auto"/>
          <w:sz w:val="22"/>
          <w:szCs w:val="22"/>
        </w:rPr>
      </w:pPr>
      <w:r w:rsidRPr="000F7FD1">
        <w:rPr>
          <w:b/>
          <w:i w:val="0"/>
          <w:color w:val="auto"/>
          <w:sz w:val="22"/>
          <w:szCs w:val="22"/>
        </w:rPr>
        <w:t>7 Percent Discounting (</w:t>
      </w:r>
      <w:r w:rsidRPr="000F7FD1" w:rsidR="009170F7">
        <w:rPr>
          <w:b/>
          <w:i w:val="0"/>
          <w:color w:val="auto"/>
          <w:sz w:val="22"/>
          <w:szCs w:val="22"/>
        </w:rPr>
        <w:t>2020$</w:t>
      </w:r>
      <w:r w:rsidRPr="000F7FD1">
        <w:rPr>
          <w:b/>
          <w:i w:val="0"/>
          <w:color w:val="auto"/>
          <w:sz w:val="22"/>
          <w:szCs w:val="22"/>
        </w:rPr>
        <w:t>)</w:t>
      </w:r>
      <w:bookmarkEnd w:id="433"/>
      <w:bookmarkEnd w:id="434"/>
      <w:bookmarkEnd w:id="435"/>
      <w:bookmarkEnd w:id="436"/>
      <w:bookmarkEnd w:id="437"/>
      <w:bookmarkEnd w:id="438"/>
    </w:p>
    <w:p w:rsidR="00935E57" w:rsidRPr="00D839EE" w:rsidP="00B20C36" w14:paraId="7F493BCC" w14:textId="77777777">
      <w:pPr>
        <w:keepNext/>
        <w:keepLines/>
        <w:contextualSpacing/>
        <w:jc w:val="center"/>
        <w:rPr>
          <w:rFonts w:cs="Arial"/>
        </w:rPr>
      </w:pPr>
      <w:r w:rsidRPr="00935E57">
        <w:rPr>
          <w:rFonts w:cs="Arial"/>
          <w:noProof/>
        </w:rPr>
        <w:drawing>
          <wp:inline distT="0" distB="0" distL="0" distR="0">
            <wp:extent cx="5943600" cy="3141991"/>
            <wp:effectExtent l="19050" t="19050" r="19050" b="203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41991"/>
                    </a:xfrm>
                    <a:prstGeom prst="rect">
                      <a:avLst/>
                    </a:prstGeom>
                    <a:noFill/>
                    <a:ln>
                      <a:solidFill>
                        <a:schemeClr val="tx1"/>
                      </a:solidFill>
                    </a:ln>
                  </pic:spPr>
                </pic:pic>
              </a:graphicData>
            </a:graphic>
          </wp:inline>
        </w:drawing>
      </w:r>
    </w:p>
    <w:p w:rsidR="00BF5AC4" w:rsidRPr="00D839EE" w:rsidP="007D37BE" w14:paraId="7F493BCD" w14:textId="77777777">
      <w:pPr>
        <w:keepNext/>
        <w:contextualSpacing/>
        <w:jc w:val="center"/>
        <w:rPr>
          <w:rFonts w:cs="Arial"/>
        </w:rPr>
      </w:pPr>
    </w:p>
    <w:p w:rsidR="00BF5AC4" w:rsidRPr="00D839EE" w:rsidP="00BF5AC4" w14:paraId="7F493BCE" w14:textId="77777777">
      <w:pPr>
        <w:contextualSpacing/>
        <w:rPr>
          <w:rFonts w:cs="Arial"/>
        </w:rPr>
      </w:pPr>
    </w:p>
    <w:p w:rsidR="00BF5AC4" w:rsidRPr="00D839EE" w:rsidP="00BF5AC4" w14:paraId="7F493BCF" w14:textId="77777777">
      <w:pPr>
        <w:rPr>
          <w:rFonts w:cs="Arial"/>
          <w:sz w:val="22"/>
          <w:szCs w:val="22"/>
        </w:rPr>
      </w:pPr>
      <w:r w:rsidRPr="00D839EE">
        <w:rPr>
          <w:rFonts w:cs="Arial"/>
          <w:sz w:val="22"/>
          <w:szCs w:val="22"/>
        </w:rPr>
        <w:t xml:space="preserve">Examining the range of the resulting distributions of net benefits, it is possible to more confidently discuss the potential costs and </w:t>
      </w:r>
      <w:r w:rsidR="005E25E5">
        <w:rPr>
          <w:rFonts w:cs="Arial"/>
          <w:sz w:val="22"/>
          <w:szCs w:val="22"/>
        </w:rPr>
        <w:t>averted cost</w:t>
      </w:r>
      <w:r w:rsidRPr="00D839EE" w:rsidR="005E25E5">
        <w:rPr>
          <w:rFonts w:cs="Arial"/>
          <w:sz w:val="22"/>
          <w:szCs w:val="22"/>
        </w:rPr>
        <w:t xml:space="preserve">s </w:t>
      </w:r>
      <w:r w:rsidRPr="00D839EE">
        <w:rPr>
          <w:rFonts w:cs="Arial"/>
          <w:sz w:val="22"/>
          <w:szCs w:val="22"/>
        </w:rPr>
        <w:t xml:space="preserve">of the </w:t>
      </w:r>
      <w:r w:rsidRPr="00D839EE" w:rsidR="00BC5E9F">
        <w:rPr>
          <w:rFonts w:cs="Arial"/>
          <w:sz w:val="22"/>
          <w:szCs w:val="22"/>
        </w:rPr>
        <w:t>final</w:t>
      </w:r>
      <w:r w:rsidRPr="00D839EE">
        <w:rPr>
          <w:rFonts w:cs="Arial"/>
          <w:sz w:val="22"/>
          <w:szCs w:val="22"/>
        </w:rPr>
        <w:t xml:space="preserve"> rule.  As mentioned above, the exhibits display a 90</w:t>
      </w:r>
      <w:r w:rsidR="00905A99">
        <w:rPr>
          <w:rFonts w:cs="Arial"/>
          <w:sz w:val="22"/>
          <w:szCs w:val="22"/>
        </w:rPr>
        <w:t>-</w:t>
      </w:r>
      <w:r w:rsidRPr="00D839EE">
        <w:rPr>
          <w:rFonts w:cs="Arial"/>
          <w:sz w:val="22"/>
          <w:szCs w:val="22"/>
        </w:rPr>
        <w:t xml:space="preserve">percent confidence interval, meaning that the net benefits </w:t>
      </w:r>
      <w:r w:rsidRPr="00D839EE" w:rsidR="00BC5E9F">
        <w:rPr>
          <w:rFonts w:cs="Arial"/>
          <w:sz w:val="22"/>
          <w:szCs w:val="22"/>
        </w:rPr>
        <w:t>will</w:t>
      </w:r>
      <w:r w:rsidRPr="00D839EE">
        <w:rPr>
          <w:rFonts w:cs="Arial"/>
          <w:sz w:val="22"/>
          <w:szCs w:val="22"/>
        </w:rPr>
        <w:t xml:space="preserve"> fall between the ranges mentioned above for 90 percent of the iterations run as part of the Monte Carlo simulations.  In all cases, regardless of the discount rate used, the </w:t>
      </w:r>
      <w:r w:rsidR="005E25E5">
        <w:rPr>
          <w:rFonts w:cs="Arial"/>
          <w:sz w:val="22"/>
          <w:szCs w:val="22"/>
        </w:rPr>
        <w:t>averted cost</w:t>
      </w:r>
      <w:r w:rsidRPr="00D839EE" w:rsidR="005E25E5">
        <w:rPr>
          <w:rFonts w:cs="Arial"/>
          <w:sz w:val="22"/>
          <w:szCs w:val="22"/>
        </w:rPr>
        <w:t xml:space="preserve">s </w:t>
      </w:r>
      <w:r w:rsidRPr="00D839EE">
        <w:rPr>
          <w:rFonts w:cs="Arial"/>
          <w:sz w:val="22"/>
          <w:szCs w:val="22"/>
        </w:rPr>
        <w:t xml:space="preserve">of the </w:t>
      </w:r>
      <w:r w:rsidRPr="00D839EE" w:rsidR="00BC5E9F">
        <w:rPr>
          <w:rFonts w:cs="Arial"/>
          <w:sz w:val="22"/>
          <w:szCs w:val="22"/>
        </w:rPr>
        <w:t>final</w:t>
      </w:r>
      <w:r w:rsidRPr="00D839EE">
        <w:rPr>
          <w:rFonts w:cs="Arial"/>
          <w:sz w:val="22"/>
          <w:szCs w:val="22"/>
        </w:rPr>
        <w:t xml:space="preserve"> rule </w:t>
      </w:r>
      <w:r w:rsidRPr="00D839EE" w:rsidR="00BC5E9F">
        <w:rPr>
          <w:rFonts w:cs="Arial"/>
          <w:sz w:val="22"/>
          <w:szCs w:val="22"/>
        </w:rPr>
        <w:t>will</w:t>
      </w:r>
      <w:r w:rsidRPr="00D839EE">
        <w:rPr>
          <w:rFonts w:cs="Arial"/>
          <w:sz w:val="22"/>
          <w:szCs w:val="22"/>
        </w:rPr>
        <w:t xml:space="preserve"> outweigh the costs that </w:t>
      </w:r>
      <w:r w:rsidRPr="00D839EE" w:rsidR="00BC5E9F">
        <w:rPr>
          <w:rFonts w:cs="Arial"/>
          <w:sz w:val="22"/>
          <w:szCs w:val="22"/>
        </w:rPr>
        <w:t>will</w:t>
      </w:r>
      <w:r w:rsidRPr="00D839EE">
        <w:rPr>
          <w:rFonts w:cs="Arial"/>
          <w:sz w:val="22"/>
          <w:szCs w:val="22"/>
        </w:rPr>
        <w:t xml:space="preserve"> be incurred by licensees and the NRC</w:t>
      </w:r>
      <w:r w:rsidR="00905A99">
        <w:rPr>
          <w:rFonts w:cs="Arial"/>
          <w:sz w:val="22"/>
          <w:szCs w:val="22"/>
        </w:rPr>
        <w:t xml:space="preserve"> for implementation of the final rule</w:t>
      </w:r>
      <w:r w:rsidRPr="00D839EE">
        <w:rPr>
          <w:rFonts w:cs="Arial"/>
          <w:sz w:val="22"/>
          <w:szCs w:val="22"/>
        </w:rPr>
        <w:t xml:space="preserve">.  This result is demonstrated by the fact that the resulting distributions of net benefits, whether undiscounted or at </w:t>
      </w:r>
      <w:r w:rsidR="00B91A63">
        <w:rPr>
          <w:rFonts w:cs="Arial"/>
          <w:sz w:val="22"/>
          <w:szCs w:val="22"/>
        </w:rPr>
        <w:t>3</w:t>
      </w:r>
      <w:r w:rsidR="00905A99">
        <w:rPr>
          <w:rFonts w:cs="Arial"/>
          <w:sz w:val="22"/>
          <w:szCs w:val="22"/>
        </w:rPr>
        <w:t>-</w:t>
      </w:r>
      <w:r w:rsidRPr="00D839EE">
        <w:rPr>
          <w:rFonts w:cs="Arial"/>
          <w:sz w:val="22"/>
          <w:szCs w:val="22"/>
        </w:rPr>
        <w:t xml:space="preserve"> or </w:t>
      </w:r>
      <w:r w:rsidR="00B91A63">
        <w:rPr>
          <w:rFonts w:cs="Arial"/>
          <w:sz w:val="22"/>
          <w:szCs w:val="22"/>
        </w:rPr>
        <w:t>7</w:t>
      </w:r>
      <w:r w:rsidR="00905A99">
        <w:rPr>
          <w:rFonts w:cs="Arial"/>
          <w:sz w:val="22"/>
          <w:szCs w:val="22"/>
        </w:rPr>
        <w:t>-</w:t>
      </w:r>
      <w:r w:rsidRPr="00D839EE">
        <w:rPr>
          <w:rFonts w:cs="Arial"/>
          <w:sz w:val="22"/>
          <w:szCs w:val="22"/>
        </w:rPr>
        <w:t>percent discount rates, are always above zero.</w:t>
      </w:r>
    </w:p>
    <w:p w:rsidR="00D55560" w:rsidRPr="00346B95" w:rsidP="00346B95" w14:paraId="7F493BD0" w14:textId="77777777">
      <w:pPr>
        <w:pStyle w:val="Heading3"/>
        <w:spacing w:after="220"/>
      </w:pPr>
      <w:bookmarkStart w:id="440" w:name="_Toc443852808"/>
      <w:bookmarkStart w:id="441" w:name="_Toc530073297"/>
      <w:bookmarkStart w:id="442" w:name="_Toc534037115"/>
      <w:bookmarkStart w:id="443" w:name="_Toc534699735"/>
      <w:bookmarkStart w:id="444" w:name="_Toc536603303"/>
      <w:r w:rsidRPr="00346B95">
        <w:t>3.6.3</w:t>
      </w:r>
      <w:r w:rsidRPr="00346B95">
        <w:tab/>
        <w:t>Sensitivity Analysis</w:t>
      </w:r>
      <w:bookmarkEnd w:id="440"/>
      <w:bookmarkEnd w:id="441"/>
      <w:bookmarkEnd w:id="442"/>
      <w:bookmarkEnd w:id="443"/>
      <w:bookmarkEnd w:id="444"/>
      <w:r w:rsidRPr="00346B95">
        <w:t xml:space="preserve"> </w:t>
      </w:r>
    </w:p>
    <w:p w:rsidR="00BF5AC4" w:rsidRPr="00D839EE" w:rsidP="00BF5AC4" w14:paraId="7F493BD1" w14:textId="77777777">
      <w:pPr>
        <w:rPr>
          <w:rFonts w:cs="Arial"/>
          <w:sz w:val="22"/>
          <w:szCs w:val="22"/>
        </w:rPr>
      </w:pPr>
      <w:r w:rsidRPr="00D839EE">
        <w:rPr>
          <w:rFonts w:cs="Arial"/>
          <w:sz w:val="22"/>
          <w:szCs w:val="22"/>
        </w:rPr>
        <w:t xml:space="preserve">In addition to estimating the probability distributions for the net benefits of the </w:t>
      </w:r>
      <w:r w:rsidRPr="00D839EE" w:rsidR="00BC5E9F">
        <w:rPr>
          <w:rFonts w:cs="Arial"/>
          <w:sz w:val="22"/>
          <w:szCs w:val="22"/>
        </w:rPr>
        <w:t>final</w:t>
      </w:r>
      <w:r w:rsidRPr="00D839EE">
        <w:rPr>
          <w:rFonts w:cs="Arial"/>
          <w:sz w:val="22"/>
          <w:szCs w:val="22"/>
        </w:rPr>
        <w:t xml:space="preserve"> rule, </w:t>
      </w:r>
      <w:r w:rsidR="00D341C4">
        <w:rPr>
          <w:rFonts w:cs="Arial"/>
          <w:sz w:val="22"/>
          <w:szCs w:val="22"/>
        </w:rPr>
        <w:t>the NRC</w:t>
      </w:r>
      <w:r w:rsidR="0093258B">
        <w:rPr>
          <w:rFonts w:cs="Arial"/>
          <w:sz w:val="22"/>
          <w:szCs w:val="22"/>
        </w:rPr>
        <w:t xml:space="preserve"> used </w:t>
      </w:r>
      <w:r w:rsidRPr="00D839EE">
        <w:rPr>
          <w:rFonts w:cs="Arial"/>
          <w:sz w:val="22"/>
          <w:szCs w:val="22"/>
        </w:rPr>
        <w:t xml:space="preserve">Monte Carlo simulation to </w:t>
      </w:r>
      <w:r w:rsidRPr="00D839EE" w:rsidR="00D55560">
        <w:rPr>
          <w:rFonts w:cs="Arial"/>
          <w:sz w:val="22"/>
          <w:szCs w:val="22"/>
        </w:rPr>
        <w:t xml:space="preserve">conduct a sensitivity analysis to </w:t>
      </w:r>
      <w:r w:rsidRPr="00D839EE">
        <w:rPr>
          <w:rFonts w:cs="Arial"/>
          <w:sz w:val="22"/>
          <w:szCs w:val="22"/>
        </w:rPr>
        <w:t xml:space="preserve">determine the variables with </w:t>
      </w:r>
      <w:r w:rsidR="0093258B">
        <w:rPr>
          <w:rFonts w:cs="Arial"/>
          <w:sz w:val="22"/>
          <w:szCs w:val="22"/>
        </w:rPr>
        <w:t xml:space="preserve">the </w:t>
      </w:r>
      <w:r w:rsidRPr="00D839EE">
        <w:rPr>
          <w:rFonts w:cs="Arial"/>
          <w:sz w:val="22"/>
          <w:szCs w:val="22"/>
        </w:rPr>
        <w:t>greatest impact on the resulting net benefits.  Variables shown to have a large effect on the resulting net benefits may deserve more attention and scrutiny than variables shown to have a small or minimal effect.</w:t>
      </w:r>
    </w:p>
    <w:p w:rsidR="00BF5AC4" w:rsidRPr="00D839EE" w:rsidP="00BF5AC4" w14:paraId="7F493BD2" w14:textId="77777777">
      <w:pPr>
        <w:rPr>
          <w:rFonts w:cs="Arial"/>
          <w:sz w:val="22"/>
          <w:szCs w:val="22"/>
        </w:rPr>
      </w:pPr>
    </w:p>
    <w:p w:rsidR="00BF5AC4" w:rsidP="00BF5AC4" w14:paraId="7F493BD3" w14:textId="6499B84D">
      <w:pPr>
        <w:rPr>
          <w:rFonts w:cs="Arial"/>
          <w:sz w:val="22"/>
          <w:szCs w:val="22"/>
        </w:rPr>
      </w:pPr>
      <w:r w:rsidRPr="00D839EE">
        <w:rPr>
          <w:rFonts w:cs="Arial"/>
          <w:sz w:val="22"/>
          <w:szCs w:val="22"/>
        </w:rPr>
        <w:t xml:space="preserve">To estimate the effect of each variable on the net benefits, </w:t>
      </w:r>
      <w:r w:rsidR="0093258B">
        <w:rPr>
          <w:rFonts w:cs="Arial"/>
          <w:sz w:val="22"/>
          <w:szCs w:val="22"/>
        </w:rPr>
        <w:t xml:space="preserve">the staff performed </w:t>
      </w:r>
      <w:r w:rsidRPr="00D839EE">
        <w:rPr>
          <w:rFonts w:cs="Arial"/>
          <w:sz w:val="22"/>
          <w:szCs w:val="22"/>
        </w:rPr>
        <w:t>a regression with the net benefits as the dependent variable and the inputs as the independent variables.  The result of this regression</w:t>
      </w:r>
      <w:r w:rsidR="0093258B">
        <w:rPr>
          <w:rFonts w:cs="Arial"/>
          <w:sz w:val="22"/>
          <w:szCs w:val="22"/>
        </w:rPr>
        <w:t xml:space="preserve">, </w:t>
      </w:r>
      <w:r w:rsidRPr="00D839EE">
        <w:rPr>
          <w:rFonts w:cs="Arial"/>
          <w:sz w:val="22"/>
          <w:szCs w:val="22"/>
        </w:rPr>
        <w:t xml:space="preserve">called a “tornado diagram,” presents in vertical order the variables with the greatest influence on net benefits.  The tornado diagram also displays the resulting regression coefficient for each of the input variables.  </w:t>
      </w:r>
      <w:r w:rsidRPr="00535160" w:rsidR="00535160">
        <w:rPr>
          <w:rFonts w:cs="Arial"/>
          <w:sz w:val="22"/>
          <w:szCs w:val="22"/>
        </w:rPr>
        <w:fldChar w:fldCharType="begin"/>
      </w:r>
      <w:r w:rsidRPr="00535160" w:rsidR="00535160">
        <w:rPr>
          <w:rFonts w:cs="Arial"/>
          <w:sz w:val="22"/>
          <w:szCs w:val="22"/>
        </w:rPr>
        <w:instrText xml:space="preserve"> REF _Ref534037060 \h </w:instrText>
      </w:r>
      <w:r w:rsidRPr="00B45BB6" w:rsidR="00535160">
        <w:rPr>
          <w:rFonts w:cs="Arial"/>
          <w:sz w:val="22"/>
          <w:szCs w:val="22"/>
        </w:rPr>
        <w:instrText xml:space="preserve"> \* MERGEFORMAT </w:instrText>
      </w:r>
      <w:r w:rsidRPr="00535160" w:rsidR="00535160">
        <w:rPr>
          <w:rFonts w:cs="Arial"/>
          <w:sz w:val="22"/>
          <w:szCs w:val="22"/>
        </w:rPr>
        <w:fldChar w:fldCharType="separate"/>
      </w:r>
      <w:r w:rsidRPr="00977795" w:rsidR="00977795">
        <w:rPr>
          <w:sz w:val="22"/>
          <w:szCs w:val="22"/>
        </w:rPr>
        <w:t>Exhibit 3</w:t>
      </w:r>
      <w:r w:rsidRPr="00977795" w:rsidR="00977795">
        <w:rPr>
          <w:sz w:val="22"/>
          <w:szCs w:val="22"/>
        </w:rPr>
        <w:noBreakHyphen/>
        <w:t>29</w:t>
      </w:r>
      <w:r w:rsidRPr="00535160" w:rsidR="00535160">
        <w:rPr>
          <w:rFonts w:cs="Arial"/>
          <w:sz w:val="22"/>
          <w:szCs w:val="22"/>
        </w:rPr>
        <w:fldChar w:fldCharType="end"/>
      </w:r>
      <w:r w:rsidRPr="00535160" w:rsidR="00535160">
        <w:rPr>
          <w:rFonts w:cs="Arial"/>
          <w:sz w:val="22"/>
          <w:szCs w:val="22"/>
        </w:rPr>
        <w:t xml:space="preserve"> </w:t>
      </w:r>
      <w:r w:rsidRPr="00D839EE">
        <w:rPr>
          <w:rFonts w:cs="Arial"/>
          <w:sz w:val="22"/>
          <w:szCs w:val="22"/>
        </w:rPr>
        <w:t xml:space="preserve">presents a tornado diagram for the total costs of the </w:t>
      </w:r>
      <w:r w:rsidRPr="00D839EE" w:rsidR="00BC5E9F">
        <w:rPr>
          <w:rFonts w:cs="Arial"/>
          <w:sz w:val="22"/>
          <w:szCs w:val="22"/>
        </w:rPr>
        <w:t>final</w:t>
      </w:r>
      <w:r w:rsidRPr="00D839EE">
        <w:rPr>
          <w:rFonts w:cs="Arial"/>
          <w:sz w:val="22"/>
          <w:szCs w:val="22"/>
        </w:rPr>
        <w:t xml:space="preserve"> rule.  Similarly,</w:t>
      </w:r>
      <w:r w:rsidRPr="00535160">
        <w:rPr>
          <w:rFonts w:cs="Arial"/>
          <w:sz w:val="22"/>
          <w:szCs w:val="22"/>
        </w:rPr>
        <w:t xml:space="preserve"> </w:t>
      </w:r>
      <w:r w:rsidRPr="00535160" w:rsidR="00535160">
        <w:rPr>
          <w:rFonts w:cs="Arial"/>
          <w:sz w:val="22"/>
          <w:szCs w:val="22"/>
        </w:rPr>
        <w:fldChar w:fldCharType="begin"/>
      </w:r>
      <w:r w:rsidRPr="00535160" w:rsidR="00535160">
        <w:rPr>
          <w:rFonts w:cs="Arial"/>
          <w:sz w:val="22"/>
          <w:szCs w:val="22"/>
        </w:rPr>
        <w:instrText xml:space="preserve"> REF _Ref534037090 \h </w:instrText>
      </w:r>
      <w:r w:rsidRPr="00B45BB6" w:rsidR="00535160">
        <w:rPr>
          <w:rFonts w:cs="Arial"/>
          <w:sz w:val="22"/>
          <w:szCs w:val="22"/>
        </w:rPr>
        <w:instrText xml:space="preserve"> \* MERGEFORMAT </w:instrText>
      </w:r>
      <w:r w:rsidRPr="00535160" w:rsidR="00535160">
        <w:rPr>
          <w:rFonts w:cs="Arial"/>
          <w:sz w:val="22"/>
          <w:szCs w:val="22"/>
        </w:rPr>
        <w:fldChar w:fldCharType="separate"/>
      </w:r>
      <w:r w:rsidRPr="00977795" w:rsidR="00977795">
        <w:rPr>
          <w:sz w:val="22"/>
          <w:szCs w:val="22"/>
        </w:rPr>
        <w:t>Exhibit 3</w:t>
      </w:r>
      <w:r w:rsidRPr="00977795" w:rsidR="00977795">
        <w:rPr>
          <w:sz w:val="22"/>
          <w:szCs w:val="22"/>
        </w:rPr>
        <w:noBreakHyphen/>
        <w:t>30</w:t>
      </w:r>
      <w:r w:rsidRPr="00535160" w:rsidR="00535160">
        <w:rPr>
          <w:rFonts w:cs="Arial"/>
          <w:sz w:val="22"/>
          <w:szCs w:val="22"/>
        </w:rPr>
        <w:fldChar w:fldCharType="end"/>
      </w:r>
      <w:r w:rsidRPr="00D839EE">
        <w:rPr>
          <w:rFonts w:cs="Arial"/>
          <w:sz w:val="22"/>
          <w:szCs w:val="22"/>
        </w:rPr>
        <w:t xml:space="preserve"> presents the tornado diagram for the net benefits of the </w:t>
      </w:r>
      <w:r w:rsidRPr="00D839EE" w:rsidR="00BC5E9F">
        <w:rPr>
          <w:rFonts w:cs="Arial"/>
          <w:sz w:val="22"/>
          <w:szCs w:val="22"/>
        </w:rPr>
        <w:t>final</w:t>
      </w:r>
      <w:r w:rsidRPr="00D839EE">
        <w:rPr>
          <w:rFonts w:cs="Arial"/>
          <w:sz w:val="22"/>
          <w:szCs w:val="22"/>
        </w:rPr>
        <w:t xml:space="preserve"> rule.</w:t>
      </w:r>
    </w:p>
    <w:p w:rsidR="00691D7F" w:rsidRPr="001176AF" w:rsidP="00BF5AC4" w14:paraId="7F493BD4" w14:textId="77777777">
      <w:pPr>
        <w:rPr>
          <w:sz w:val="22"/>
        </w:rPr>
      </w:pPr>
    </w:p>
    <w:p w:rsidR="008E3030" w:rsidRPr="000F7FD1" w:rsidP="00672B60" w14:paraId="7F493BD5" w14:textId="78646F23">
      <w:pPr>
        <w:pStyle w:val="Caption"/>
        <w:keepNext/>
        <w:spacing w:after="0"/>
        <w:jc w:val="center"/>
        <w:rPr>
          <w:noProof/>
          <w:color w:val="auto"/>
        </w:rPr>
      </w:pPr>
      <w:bookmarkStart w:id="445" w:name="_Ref534037060"/>
      <w:bookmarkStart w:id="446" w:name="_Toc534037078"/>
      <w:bookmarkStart w:id="447" w:name="_Toc534710022"/>
      <w:bookmarkStart w:id="448" w:name="_Toc534711707"/>
      <w:bookmarkStart w:id="449" w:name="_Toc534712140"/>
      <w:bookmarkStart w:id="450" w:name="_Toc534712717"/>
      <w:bookmarkStart w:id="451" w:name="_Toc534713226"/>
      <w:bookmarkStart w:id="452" w:name="_Toc9526486"/>
      <w:bookmarkStart w:id="453" w:name="_Toc536603435"/>
      <w:r w:rsidRPr="000F7FD1">
        <w:rPr>
          <w:b/>
          <w:i w:val="0"/>
          <w:color w:val="auto"/>
          <w:sz w:val="22"/>
        </w:rPr>
        <w:t>Exhibit</w:t>
      </w:r>
      <w:r w:rsidRPr="000F7FD1" w:rsidR="005111B6">
        <w:rPr>
          <w:b/>
          <w:i w:val="0"/>
          <w:color w:val="auto"/>
          <w:sz w:val="22"/>
        </w:rPr>
        <w:t xml:space="preserve"> 3</w:t>
      </w:r>
      <w:r w:rsidRPr="000F7FD1" w:rsidR="00180D68">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29</w:t>
      </w:r>
      <w:r w:rsidRPr="000F7FD1" w:rsidR="00C276FC">
        <w:rPr>
          <w:b/>
          <w:i w:val="0"/>
          <w:color w:val="auto"/>
          <w:sz w:val="22"/>
        </w:rPr>
        <w:fldChar w:fldCharType="end"/>
      </w:r>
      <w:bookmarkEnd w:id="445"/>
      <w:r w:rsidRPr="000F7FD1">
        <w:rPr>
          <w:b/>
          <w:i w:val="0"/>
          <w:color w:val="auto"/>
          <w:sz w:val="22"/>
        </w:rPr>
        <w:t>. Tornado Diagram for the Costs of the Final Rule (</w:t>
      </w:r>
      <w:r w:rsidRPr="000F7FD1" w:rsidR="009170F7">
        <w:rPr>
          <w:b/>
          <w:i w:val="0"/>
          <w:color w:val="auto"/>
          <w:sz w:val="22"/>
        </w:rPr>
        <w:t>2020$</w:t>
      </w:r>
      <w:r w:rsidRPr="000F7FD1">
        <w:rPr>
          <w:b/>
          <w:i w:val="0"/>
          <w:color w:val="auto"/>
          <w:sz w:val="22"/>
        </w:rPr>
        <w:t>)*</w:t>
      </w:r>
      <w:bookmarkEnd w:id="446"/>
      <w:bookmarkEnd w:id="447"/>
      <w:bookmarkEnd w:id="448"/>
      <w:bookmarkEnd w:id="449"/>
      <w:bookmarkEnd w:id="450"/>
      <w:bookmarkEnd w:id="451"/>
      <w:bookmarkEnd w:id="452"/>
      <w:bookmarkEnd w:id="453"/>
    </w:p>
    <w:p w:rsidR="00D74EE6" w:rsidRPr="00D839EE" w:rsidP="007D37BE" w14:paraId="7F493BD6" w14:textId="77777777">
      <w:pPr>
        <w:keepNext/>
        <w:jc w:val="center"/>
        <w:rPr>
          <w:noProof/>
        </w:rPr>
      </w:pPr>
      <w:r>
        <w:rPr>
          <w:noProof/>
        </w:rPr>
        <w:drawing>
          <wp:inline distT="0" distB="0" distL="0" distR="0">
            <wp:extent cx="6372225" cy="2407920"/>
            <wp:effectExtent l="0" t="0" r="9525" b="114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5AC4" w:rsidRPr="00D839EE" w:rsidP="00EA25C6" w14:paraId="7F493BD7" w14:textId="77777777">
      <w:pPr>
        <w:keepNext/>
        <w:rPr>
          <w:rFonts w:cs="Arial"/>
          <w:sz w:val="18"/>
          <w:szCs w:val="18"/>
        </w:rPr>
      </w:pPr>
      <w:r>
        <w:rPr>
          <w:rFonts w:cs="Arial"/>
          <w:sz w:val="18"/>
          <w:szCs w:val="18"/>
        </w:rPr>
        <w:t xml:space="preserve">* </w:t>
      </w:r>
      <w:r w:rsidRPr="00D839EE" w:rsidR="003B6225">
        <w:rPr>
          <w:rFonts w:cs="Arial"/>
          <w:sz w:val="18"/>
          <w:szCs w:val="18"/>
        </w:rPr>
        <w:t>Some of the process steps, such as Preparing Updated FSARs, have multiple substeps.  Exhibit</w:t>
      </w:r>
      <w:r w:rsidR="00194AAC">
        <w:rPr>
          <w:rFonts w:cs="Arial"/>
          <w:sz w:val="18"/>
          <w:szCs w:val="18"/>
        </w:rPr>
        <w:t>s</w:t>
      </w:r>
      <w:r w:rsidRPr="00D839EE" w:rsidR="003B6225">
        <w:rPr>
          <w:rFonts w:cs="Arial"/>
          <w:sz w:val="18"/>
          <w:szCs w:val="18"/>
        </w:rPr>
        <w:t xml:space="preserve"> </w:t>
      </w:r>
      <w:r w:rsidR="00B152B6">
        <w:rPr>
          <w:rFonts w:cs="Arial"/>
          <w:sz w:val="18"/>
          <w:szCs w:val="18"/>
        </w:rPr>
        <w:t>A</w:t>
      </w:r>
      <w:r w:rsidRPr="00D839EE" w:rsidR="003B6225">
        <w:rPr>
          <w:rFonts w:cs="Arial"/>
          <w:sz w:val="18"/>
          <w:szCs w:val="18"/>
        </w:rPr>
        <w:t xml:space="preserve">-1 and </w:t>
      </w:r>
      <w:r w:rsidR="00B152B6">
        <w:rPr>
          <w:rFonts w:cs="Arial"/>
          <w:sz w:val="18"/>
          <w:szCs w:val="18"/>
        </w:rPr>
        <w:t>A</w:t>
      </w:r>
      <w:r w:rsidRPr="00D839EE" w:rsidR="003B6225">
        <w:rPr>
          <w:rFonts w:cs="Arial"/>
          <w:sz w:val="18"/>
          <w:szCs w:val="18"/>
        </w:rPr>
        <w:t xml:space="preserve">-2 in Appendix </w:t>
      </w:r>
      <w:r w:rsidR="00A002D2">
        <w:rPr>
          <w:rFonts w:cs="Arial"/>
          <w:sz w:val="18"/>
          <w:szCs w:val="18"/>
        </w:rPr>
        <w:t>A</w:t>
      </w:r>
      <w:r w:rsidR="00194AAC">
        <w:rPr>
          <w:rFonts w:cs="Arial"/>
          <w:sz w:val="18"/>
          <w:szCs w:val="18"/>
        </w:rPr>
        <w:t xml:space="preserve"> to this analysis</w:t>
      </w:r>
      <w:r w:rsidRPr="00D839EE" w:rsidR="003B6225">
        <w:rPr>
          <w:rFonts w:cs="Arial"/>
          <w:sz w:val="18"/>
          <w:szCs w:val="18"/>
        </w:rPr>
        <w:t xml:space="preserve"> detail these substeps.</w:t>
      </w:r>
    </w:p>
    <w:p w:rsidR="00A03967" w:rsidRPr="00D839EE" w:rsidP="00BF5AC4" w14:paraId="7F493BD8" w14:textId="77777777">
      <w:pPr>
        <w:rPr>
          <w:rFonts w:cs="Arial"/>
          <w:sz w:val="22"/>
          <w:szCs w:val="22"/>
        </w:rPr>
      </w:pPr>
    </w:p>
    <w:p w:rsidR="00BF5AC4" w:rsidRPr="00D839EE" w:rsidP="00BF5AC4" w14:paraId="7F493BD9" w14:textId="439F5B0F">
      <w:pPr>
        <w:rPr>
          <w:rFonts w:cs="Arial"/>
          <w:sz w:val="22"/>
          <w:szCs w:val="22"/>
        </w:rPr>
      </w:pPr>
      <w:r w:rsidRPr="00D839EE">
        <w:rPr>
          <w:rFonts w:cs="Arial"/>
          <w:sz w:val="22"/>
          <w:szCs w:val="22"/>
        </w:rPr>
        <w:t xml:space="preserve">The Y-axis </w:t>
      </w:r>
      <w:r w:rsidR="00194AAC">
        <w:rPr>
          <w:rFonts w:cs="Arial"/>
          <w:sz w:val="22"/>
          <w:szCs w:val="22"/>
        </w:rPr>
        <w:t xml:space="preserve">in </w:t>
      </w:r>
      <w:r w:rsidRPr="00535160" w:rsidR="00A27D65">
        <w:fldChar w:fldCharType="begin"/>
      </w:r>
      <w:r w:rsidRPr="00535160" w:rsidR="00A27D65">
        <w:instrText xml:space="preserve"> REF _Ref534037060 \h </w:instrText>
      </w:r>
      <w:r w:rsidRPr="00B45BB6" w:rsidR="00A27D65">
        <w:instrText xml:space="preserve"> \* MERGEFORMAT </w:instrText>
      </w:r>
      <w:r w:rsidRPr="00535160" w:rsidR="00A27D65">
        <w:fldChar w:fldCharType="separate"/>
      </w:r>
      <w:r w:rsidRPr="00977795" w:rsidR="00977795">
        <w:rPr>
          <w:sz w:val="22"/>
        </w:rPr>
        <w:t>Exhibit 3</w:t>
      </w:r>
      <w:r w:rsidRPr="00977795" w:rsidR="00977795">
        <w:rPr>
          <w:sz w:val="22"/>
        </w:rPr>
        <w:noBreakHyphen/>
        <w:t>29</w:t>
      </w:r>
      <w:r w:rsidRPr="00535160" w:rsidR="00A27D65">
        <w:fldChar w:fldCharType="end"/>
      </w:r>
      <w:r w:rsidR="00A27D65">
        <w:t xml:space="preserve"> </w:t>
      </w:r>
      <w:r w:rsidR="00194AAC">
        <w:rPr>
          <w:rFonts w:cs="Arial"/>
          <w:sz w:val="22"/>
          <w:szCs w:val="22"/>
        </w:rPr>
        <w:t>shows the</w:t>
      </w:r>
      <w:r w:rsidRPr="00D839EE">
        <w:rPr>
          <w:rFonts w:cs="Arial"/>
          <w:sz w:val="22"/>
          <w:szCs w:val="22"/>
        </w:rPr>
        <w:t xml:space="preserve"> </w:t>
      </w:r>
      <w:r w:rsidR="00194AAC">
        <w:rPr>
          <w:rFonts w:cs="Arial"/>
          <w:sz w:val="22"/>
          <w:szCs w:val="22"/>
        </w:rPr>
        <w:t>p</w:t>
      </w:r>
      <w:r w:rsidRPr="00D839EE">
        <w:rPr>
          <w:rFonts w:cs="Arial"/>
          <w:sz w:val="22"/>
          <w:szCs w:val="22"/>
        </w:rPr>
        <w:t xml:space="preserve">rocess </w:t>
      </w:r>
      <w:r w:rsidR="00194AAC">
        <w:rPr>
          <w:rFonts w:cs="Arial"/>
          <w:sz w:val="22"/>
          <w:szCs w:val="22"/>
        </w:rPr>
        <w:t>s</w:t>
      </w:r>
      <w:r w:rsidRPr="00D839EE">
        <w:rPr>
          <w:rFonts w:cs="Arial"/>
          <w:sz w:val="22"/>
          <w:szCs w:val="22"/>
        </w:rPr>
        <w:t>tep</w:t>
      </w:r>
      <w:r w:rsidR="00194AAC">
        <w:rPr>
          <w:rFonts w:cs="Arial"/>
          <w:sz w:val="22"/>
          <w:szCs w:val="22"/>
        </w:rPr>
        <w:t xml:space="preserve"> followed by the c</w:t>
      </w:r>
      <w:r w:rsidRPr="00D839EE">
        <w:rPr>
          <w:rFonts w:cs="Arial"/>
          <w:sz w:val="22"/>
          <w:szCs w:val="22"/>
        </w:rPr>
        <w:t>ategory</w:t>
      </w:r>
      <w:r w:rsidR="00194AAC">
        <w:rPr>
          <w:rFonts w:cs="Arial"/>
          <w:sz w:val="22"/>
          <w:szCs w:val="22"/>
        </w:rPr>
        <w:t xml:space="preserve"> of facility</w:t>
      </w:r>
      <w:r w:rsidRPr="00D839EE">
        <w:rPr>
          <w:rFonts w:cs="Arial"/>
          <w:sz w:val="22"/>
          <w:szCs w:val="22"/>
        </w:rPr>
        <w:t xml:space="preserve">.  Therefore, Row 1 shows that the largest driving cost </w:t>
      </w:r>
      <w:r w:rsidR="008E3030">
        <w:rPr>
          <w:rFonts w:cs="Arial"/>
          <w:sz w:val="22"/>
          <w:szCs w:val="22"/>
        </w:rPr>
        <w:t xml:space="preserve">is </w:t>
      </w:r>
      <w:r w:rsidR="003A7F24">
        <w:rPr>
          <w:rFonts w:cs="Arial"/>
          <w:sz w:val="22"/>
          <w:szCs w:val="22"/>
        </w:rPr>
        <w:t>“</w:t>
      </w:r>
      <w:r w:rsidR="008E3030">
        <w:rPr>
          <w:rFonts w:cs="Arial"/>
          <w:sz w:val="22"/>
          <w:szCs w:val="22"/>
        </w:rPr>
        <w:t>Preparing the Update FSAR</w:t>
      </w:r>
      <w:r w:rsidR="003A7F24">
        <w:rPr>
          <w:rFonts w:cs="Arial"/>
          <w:sz w:val="22"/>
          <w:szCs w:val="22"/>
        </w:rPr>
        <w:t>”</w:t>
      </w:r>
      <w:r w:rsidR="00792F75">
        <w:rPr>
          <w:rFonts w:cs="Arial"/>
          <w:sz w:val="22"/>
          <w:szCs w:val="22"/>
        </w:rPr>
        <w:t xml:space="preserve"> fo</w:t>
      </w:r>
      <w:r w:rsidRPr="00D839EE" w:rsidR="00542767">
        <w:rPr>
          <w:rFonts w:cs="Arial"/>
          <w:sz w:val="22"/>
          <w:szCs w:val="22"/>
        </w:rPr>
        <w:t xml:space="preserve">r </w:t>
      </w:r>
      <w:r w:rsidR="003A7F24">
        <w:rPr>
          <w:rFonts w:cs="Arial"/>
          <w:sz w:val="22"/>
          <w:szCs w:val="22"/>
        </w:rPr>
        <w:t>m</w:t>
      </w:r>
      <w:r w:rsidRPr="00D839EE" w:rsidR="00542767">
        <w:rPr>
          <w:rFonts w:cs="Arial"/>
          <w:sz w:val="22"/>
          <w:szCs w:val="22"/>
        </w:rPr>
        <w:t>edium</w:t>
      </w:r>
      <w:r w:rsidR="00547D0E">
        <w:rPr>
          <w:rFonts w:cs="Arial"/>
          <w:sz w:val="22"/>
          <w:szCs w:val="22"/>
        </w:rPr>
        <w:t xml:space="preserve"> category</w:t>
      </w:r>
      <w:r w:rsidRPr="00D839EE">
        <w:rPr>
          <w:rFonts w:cs="Arial"/>
          <w:sz w:val="22"/>
          <w:szCs w:val="22"/>
        </w:rPr>
        <w:t xml:space="preserve"> facilities.</w:t>
      </w:r>
    </w:p>
    <w:p w:rsidR="00BF5AC4" w:rsidRPr="001176AF" w:rsidP="00BF5AC4" w14:paraId="7F493BDA" w14:textId="77777777">
      <w:pPr>
        <w:rPr>
          <w:sz w:val="22"/>
        </w:rPr>
      </w:pPr>
    </w:p>
    <w:p w:rsidR="008E3030" w:rsidRPr="000F7FD1" w:rsidP="00672B60" w14:paraId="7F493BDB" w14:textId="4FFBAFF8">
      <w:pPr>
        <w:pStyle w:val="Caption"/>
        <w:keepNext/>
        <w:spacing w:after="0"/>
        <w:jc w:val="center"/>
        <w:rPr>
          <w:rFonts w:cs="Arial"/>
          <w:b/>
          <w:color w:val="auto"/>
          <w:sz w:val="26"/>
          <w:szCs w:val="26"/>
        </w:rPr>
      </w:pPr>
      <w:bookmarkStart w:id="454" w:name="_Ref534037090"/>
      <w:bookmarkStart w:id="455" w:name="_Toc534037079"/>
      <w:bookmarkStart w:id="456" w:name="_Toc534710023"/>
      <w:bookmarkStart w:id="457" w:name="_Toc534711708"/>
      <w:bookmarkStart w:id="458" w:name="_Toc534712141"/>
      <w:bookmarkStart w:id="459" w:name="_Toc534712718"/>
      <w:bookmarkStart w:id="460" w:name="_Toc534713227"/>
      <w:bookmarkStart w:id="461" w:name="_Toc9526487"/>
      <w:bookmarkStart w:id="462" w:name="_Toc536603436"/>
      <w:r w:rsidRPr="000F7FD1">
        <w:rPr>
          <w:b/>
          <w:i w:val="0"/>
          <w:color w:val="auto"/>
          <w:sz w:val="22"/>
        </w:rPr>
        <w:t xml:space="preserve">Exhibit </w:t>
      </w:r>
      <w:r w:rsidRPr="000F7FD1" w:rsidR="005111B6">
        <w:rPr>
          <w:b/>
          <w:i w:val="0"/>
          <w:color w:val="auto"/>
          <w:sz w:val="22"/>
        </w:rPr>
        <w:t>3</w:t>
      </w:r>
      <w:r w:rsidRPr="000F7FD1" w:rsidR="00180D68">
        <w:rPr>
          <w:b/>
          <w:i w:val="0"/>
          <w:color w:val="auto"/>
          <w:sz w:val="22"/>
        </w:rPr>
        <w:noBreakHyphen/>
      </w:r>
      <w:r w:rsidRPr="000F7FD1" w:rsidR="00C276FC">
        <w:rPr>
          <w:b/>
          <w:i w:val="0"/>
          <w:color w:val="auto"/>
          <w:sz w:val="22"/>
        </w:rPr>
        <w:fldChar w:fldCharType="begin"/>
      </w:r>
      <w:r w:rsidRPr="000F7FD1" w:rsidR="00C276FC">
        <w:rPr>
          <w:b/>
          <w:i w:val="0"/>
          <w:color w:val="auto"/>
          <w:sz w:val="22"/>
        </w:rPr>
        <w:instrText xml:space="preserve"> SEQ Exhibit \* ARABIC </w:instrText>
      </w:r>
      <w:r w:rsidRPr="000F7FD1" w:rsidR="00C276FC">
        <w:rPr>
          <w:b/>
          <w:i w:val="0"/>
          <w:color w:val="auto"/>
          <w:sz w:val="22"/>
        </w:rPr>
        <w:fldChar w:fldCharType="separate"/>
      </w:r>
      <w:r w:rsidR="00977795">
        <w:rPr>
          <w:b/>
          <w:i w:val="0"/>
          <w:noProof/>
          <w:color w:val="auto"/>
          <w:sz w:val="22"/>
        </w:rPr>
        <w:t>30</w:t>
      </w:r>
      <w:r w:rsidRPr="000F7FD1" w:rsidR="00C276FC">
        <w:rPr>
          <w:b/>
          <w:i w:val="0"/>
          <w:color w:val="auto"/>
          <w:sz w:val="22"/>
        </w:rPr>
        <w:fldChar w:fldCharType="end"/>
      </w:r>
      <w:bookmarkEnd w:id="454"/>
      <w:r w:rsidRPr="000F7FD1">
        <w:rPr>
          <w:b/>
          <w:i w:val="0"/>
          <w:color w:val="auto"/>
          <w:sz w:val="22"/>
        </w:rPr>
        <w:t>. Tornado Diagram for the Net Benefits of the Final Rule (</w:t>
      </w:r>
      <w:r w:rsidRPr="000F7FD1" w:rsidR="009170F7">
        <w:rPr>
          <w:b/>
          <w:i w:val="0"/>
          <w:color w:val="auto"/>
          <w:sz w:val="22"/>
        </w:rPr>
        <w:t>2020$</w:t>
      </w:r>
      <w:r w:rsidRPr="000F7FD1">
        <w:rPr>
          <w:b/>
          <w:i w:val="0"/>
          <w:color w:val="auto"/>
          <w:sz w:val="22"/>
        </w:rPr>
        <w:t>)</w:t>
      </w:r>
      <w:bookmarkEnd w:id="455"/>
      <w:bookmarkEnd w:id="456"/>
      <w:bookmarkEnd w:id="457"/>
      <w:bookmarkEnd w:id="458"/>
      <w:bookmarkEnd w:id="459"/>
      <w:bookmarkEnd w:id="460"/>
      <w:bookmarkEnd w:id="461"/>
      <w:bookmarkEnd w:id="462"/>
    </w:p>
    <w:p w:rsidR="0032047F" w:rsidRPr="00D839EE" w:rsidP="00B618F6" w14:paraId="7F493BDC" w14:textId="77777777">
      <w:pPr>
        <w:keepNext/>
        <w:jc w:val="center"/>
        <w:rPr>
          <w:rFonts w:cs="Arial"/>
          <w:b/>
          <w:sz w:val="26"/>
          <w:szCs w:val="26"/>
        </w:rPr>
      </w:pPr>
      <w:r>
        <w:rPr>
          <w:noProof/>
        </w:rPr>
        <w:drawing>
          <wp:inline distT="0" distB="0" distL="0" distR="0">
            <wp:extent cx="6334125" cy="2407920"/>
            <wp:effectExtent l="0" t="0" r="9525" b="1143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51226" w:rsidRPr="00D839EE" w:rsidP="00B618F6" w14:paraId="7F493BDD" w14:textId="77777777">
      <w:pPr>
        <w:rPr>
          <w:rFonts w:cs="Arial"/>
          <w:b/>
          <w:sz w:val="26"/>
          <w:szCs w:val="26"/>
        </w:rPr>
      </w:pPr>
    </w:p>
    <w:p w:rsidR="00BF5AC4" w:rsidRPr="00D839EE" w:rsidP="00BF5AC4" w14:paraId="7F493BDE" w14:textId="0C88FF87">
      <w:pPr>
        <w:rPr>
          <w:rFonts w:cs="Arial"/>
          <w:sz w:val="22"/>
          <w:szCs w:val="22"/>
        </w:rPr>
      </w:pPr>
      <w:r w:rsidRPr="00D839EE">
        <w:rPr>
          <w:rFonts w:cs="Arial"/>
          <w:sz w:val="22"/>
          <w:szCs w:val="22"/>
        </w:rPr>
        <w:t xml:space="preserve">The Y-axis </w:t>
      </w:r>
      <w:r w:rsidR="00194AAC">
        <w:rPr>
          <w:rFonts w:cs="Arial"/>
          <w:sz w:val="22"/>
          <w:szCs w:val="22"/>
        </w:rPr>
        <w:t xml:space="preserve">in </w:t>
      </w:r>
      <w:r w:rsidRPr="00535160" w:rsidR="00A27D65">
        <w:fldChar w:fldCharType="begin"/>
      </w:r>
      <w:r w:rsidRPr="00535160" w:rsidR="00A27D65">
        <w:instrText xml:space="preserve"> REF _Ref534037090 \h </w:instrText>
      </w:r>
      <w:r w:rsidRPr="00B45BB6" w:rsidR="00A27D65">
        <w:instrText xml:space="preserve"> \* MERGEFORMAT </w:instrText>
      </w:r>
      <w:r w:rsidRPr="00535160" w:rsidR="00A27D65">
        <w:fldChar w:fldCharType="separate"/>
      </w:r>
      <w:r w:rsidRPr="00977795" w:rsidR="00977795">
        <w:rPr>
          <w:sz w:val="22"/>
        </w:rPr>
        <w:t>Exhibit 3</w:t>
      </w:r>
      <w:r w:rsidRPr="00977795" w:rsidR="00977795">
        <w:rPr>
          <w:sz w:val="22"/>
        </w:rPr>
        <w:noBreakHyphen/>
        <w:t>30</w:t>
      </w:r>
      <w:r w:rsidRPr="00535160" w:rsidR="00A27D65">
        <w:fldChar w:fldCharType="end"/>
      </w:r>
      <w:r w:rsidR="00A27D65">
        <w:t xml:space="preserve"> </w:t>
      </w:r>
      <w:r w:rsidR="00194AAC">
        <w:rPr>
          <w:rFonts w:cs="Arial"/>
          <w:sz w:val="22"/>
          <w:szCs w:val="22"/>
        </w:rPr>
        <w:t>shows the</w:t>
      </w:r>
      <w:r w:rsidRPr="00D839EE">
        <w:rPr>
          <w:rFonts w:cs="Arial"/>
          <w:sz w:val="22"/>
          <w:szCs w:val="22"/>
        </w:rPr>
        <w:t xml:space="preserve"> </w:t>
      </w:r>
      <w:r w:rsidR="00194AAC">
        <w:rPr>
          <w:rFonts w:cs="Arial"/>
          <w:sz w:val="22"/>
          <w:szCs w:val="22"/>
        </w:rPr>
        <w:t>p</w:t>
      </w:r>
      <w:r w:rsidRPr="00D839EE">
        <w:rPr>
          <w:rFonts w:cs="Arial"/>
          <w:sz w:val="22"/>
          <w:szCs w:val="22"/>
        </w:rPr>
        <w:t xml:space="preserve">rocess </w:t>
      </w:r>
      <w:r w:rsidR="00194AAC">
        <w:rPr>
          <w:rFonts w:cs="Arial"/>
          <w:sz w:val="22"/>
          <w:szCs w:val="22"/>
        </w:rPr>
        <w:t>s</w:t>
      </w:r>
      <w:r w:rsidRPr="00D839EE">
        <w:rPr>
          <w:rFonts w:cs="Arial"/>
          <w:sz w:val="22"/>
          <w:szCs w:val="22"/>
        </w:rPr>
        <w:t>tep</w:t>
      </w:r>
      <w:r w:rsidR="00194AAC">
        <w:rPr>
          <w:rFonts w:cs="Arial"/>
          <w:sz w:val="22"/>
          <w:szCs w:val="22"/>
        </w:rPr>
        <w:t xml:space="preserve"> followed by the c</w:t>
      </w:r>
      <w:r w:rsidRPr="00D839EE">
        <w:rPr>
          <w:rFonts w:cs="Arial"/>
          <w:sz w:val="22"/>
          <w:szCs w:val="22"/>
        </w:rPr>
        <w:t>ategory</w:t>
      </w:r>
      <w:r w:rsidR="00194AAC">
        <w:rPr>
          <w:rFonts w:cs="Arial"/>
          <w:sz w:val="22"/>
          <w:szCs w:val="22"/>
        </w:rPr>
        <w:t xml:space="preserve"> of facility</w:t>
      </w:r>
      <w:r w:rsidRPr="00D839EE">
        <w:rPr>
          <w:rFonts w:cs="Arial"/>
          <w:sz w:val="22"/>
          <w:szCs w:val="22"/>
        </w:rPr>
        <w:t xml:space="preserve">.  Therefore, Row 1 shows that the largest net benefit is the </w:t>
      </w:r>
      <w:r w:rsidR="00EB1277">
        <w:rPr>
          <w:rFonts w:cs="Arial"/>
          <w:sz w:val="22"/>
          <w:szCs w:val="22"/>
        </w:rPr>
        <w:t xml:space="preserve">Responding to RAIs averted </w:t>
      </w:r>
      <w:r w:rsidRPr="00D839EE">
        <w:rPr>
          <w:rFonts w:cs="Arial"/>
          <w:sz w:val="22"/>
          <w:szCs w:val="22"/>
        </w:rPr>
        <w:t xml:space="preserve">costs for </w:t>
      </w:r>
      <w:r w:rsidRPr="00D839EE" w:rsidR="00EE2BAF">
        <w:rPr>
          <w:rFonts w:cs="Arial"/>
          <w:sz w:val="22"/>
          <w:szCs w:val="22"/>
        </w:rPr>
        <w:t>Medium</w:t>
      </w:r>
      <w:r w:rsidRPr="00D839EE">
        <w:rPr>
          <w:rFonts w:cs="Arial"/>
          <w:sz w:val="22"/>
          <w:szCs w:val="22"/>
        </w:rPr>
        <w:t xml:space="preserve"> category facilities.</w:t>
      </w:r>
    </w:p>
    <w:p w:rsidR="00BF5AC4" w:rsidRPr="00D839EE" w:rsidP="00BF5AC4" w14:paraId="7F493BDF" w14:textId="77777777">
      <w:pPr>
        <w:jc w:val="center"/>
        <w:rPr>
          <w:rFonts w:cs="Arial"/>
          <w:b/>
          <w:sz w:val="22"/>
          <w:szCs w:val="22"/>
        </w:rPr>
      </w:pPr>
    </w:p>
    <w:p w:rsidR="00BF5AC4" w:rsidRPr="00D839EE" w:rsidP="0083525A" w14:paraId="7F493BE0" w14:textId="4F27ACA6">
      <w:pPr>
        <w:pStyle w:val="BodyText"/>
      </w:pPr>
      <w:r w:rsidRPr="00D839EE">
        <w:t xml:space="preserve">Examining the tornado diagrams provides insight into which of the current and new licensing steps have the largest impacts on the results of this analysis.  From </w:t>
      </w:r>
      <w:r w:rsidRPr="00535160" w:rsidR="00AA0BF3">
        <w:fldChar w:fldCharType="begin"/>
      </w:r>
      <w:r w:rsidRPr="00535160" w:rsidR="00AA0BF3">
        <w:instrText xml:space="preserve"> REF _Ref534037060 \h </w:instrText>
      </w:r>
      <w:r w:rsidRPr="00B45BB6" w:rsidR="00AA0BF3">
        <w:instrText xml:space="preserve"> \* MERGEFORMAT </w:instrText>
      </w:r>
      <w:r w:rsidRPr="00535160" w:rsidR="00AA0BF3">
        <w:fldChar w:fldCharType="separate"/>
      </w:r>
      <w:r w:rsidRPr="00977795" w:rsidR="00977795">
        <w:t>Exhibit 3</w:t>
      </w:r>
      <w:r w:rsidRPr="00977795" w:rsidR="00977795">
        <w:noBreakHyphen/>
        <w:t>29</w:t>
      </w:r>
      <w:r w:rsidRPr="00535160" w:rsidR="00AA0BF3">
        <w:fldChar w:fldCharType="end"/>
      </w:r>
      <w:r w:rsidRPr="00D839EE">
        <w:t xml:space="preserve">, the parameters having the greatest influence on the total costs of the </w:t>
      </w:r>
      <w:r w:rsidRPr="00D839EE" w:rsidR="00BC5E9F">
        <w:t>final</w:t>
      </w:r>
      <w:r w:rsidRPr="00D839EE">
        <w:t xml:space="preserve"> rule are the costs for</w:t>
      </w:r>
      <w:r w:rsidRPr="00D839EE" w:rsidR="00D270DE">
        <w:t xml:space="preserve"> </w:t>
      </w:r>
      <w:r w:rsidRPr="00D839EE">
        <w:t>preparing the updated FSARs</w:t>
      </w:r>
      <w:r w:rsidR="00AA0BF3">
        <w:t xml:space="preserve"> and preparing the license renewal application for medium facilities</w:t>
      </w:r>
      <w:r w:rsidRPr="00D839EE">
        <w:t>.  The influence of a variable on the output is not only a function of the value of the variable but also o</w:t>
      </w:r>
      <w:r w:rsidR="008C66CC">
        <w:t>f</w:t>
      </w:r>
      <w:r w:rsidRPr="00D839EE">
        <w:t xml:space="preserve"> the spread of its distribution.</w:t>
      </w:r>
    </w:p>
    <w:p w:rsidR="00BF5AC4" w:rsidRPr="0083525A" w:rsidP="0083525A" w14:paraId="7F493BE1" w14:textId="77777777">
      <w:pPr>
        <w:pStyle w:val="Header"/>
        <w:tabs>
          <w:tab w:val="clear" w:pos="4680"/>
          <w:tab w:val="clear" w:pos="9360"/>
        </w:tabs>
        <w:autoSpaceDE w:val="0"/>
        <w:autoSpaceDN w:val="0"/>
        <w:adjustRightInd w:val="0"/>
        <w:rPr>
          <w:rFonts w:cs="Arial"/>
        </w:rPr>
      </w:pPr>
    </w:p>
    <w:p w:rsidR="008D2E46" w:rsidRPr="00346B95" w:rsidP="0083525A" w14:paraId="7F493BE2" w14:textId="5FC95D81">
      <w:pPr>
        <w:pStyle w:val="BodyText"/>
        <w:rPr>
          <w:b/>
          <w:i/>
          <w:sz w:val="28"/>
        </w:rPr>
      </w:pPr>
      <w:r>
        <w:t>T</w:t>
      </w:r>
      <w:r w:rsidRPr="00D839EE" w:rsidR="00BF5AC4">
        <w:t xml:space="preserve">he values </w:t>
      </w:r>
      <w:r>
        <w:t xml:space="preserve">shown in </w:t>
      </w:r>
      <w:r w:rsidRPr="00535160" w:rsidR="00A27D65">
        <w:fldChar w:fldCharType="begin"/>
      </w:r>
      <w:r w:rsidRPr="00535160" w:rsidR="00A27D65">
        <w:instrText xml:space="preserve"> REF _Ref534037090 \h </w:instrText>
      </w:r>
      <w:r w:rsidRPr="00B45BB6" w:rsidR="00A27D65">
        <w:instrText xml:space="preserve"> \* MERGEFORMAT </w:instrText>
      </w:r>
      <w:r w:rsidRPr="00535160" w:rsidR="00A27D65">
        <w:fldChar w:fldCharType="separate"/>
      </w:r>
      <w:r w:rsidRPr="00977795" w:rsidR="00977795">
        <w:t>Exhibit 3</w:t>
      </w:r>
      <w:r w:rsidRPr="00977795" w:rsidR="00977795">
        <w:noBreakHyphen/>
        <w:t>30</w:t>
      </w:r>
      <w:r w:rsidRPr="00535160" w:rsidR="00A27D65">
        <w:fldChar w:fldCharType="end"/>
      </w:r>
      <w:r w:rsidR="00A27D65">
        <w:t xml:space="preserve"> </w:t>
      </w:r>
      <w:r w:rsidRPr="00D839EE" w:rsidR="00BF5AC4">
        <w:t>are net benefits and</w:t>
      </w:r>
      <w:r w:rsidRPr="00D839EE" w:rsidR="00BA2AA1">
        <w:t>,</w:t>
      </w:r>
      <w:r w:rsidRPr="00D839EE" w:rsidR="00BF5AC4">
        <w:t xml:space="preserve"> therefore</w:t>
      </w:r>
      <w:r w:rsidRPr="00D839EE" w:rsidR="00BA2AA1">
        <w:t>,</w:t>
      </w:r>
      <w:r w:rsidRPr="00D839EE" w:rsidR="00BF5AC4">
        <w:t xml:space="preserve"> are savings brought about by the </w:t>
      </w:r>
      <w:r w:rsidRPr="00D839EE" w:rsidR="00BC5E9F">
        <w:t>final</w:t>
      </w:r>
      <w:r w:rsidRPr="00D839EE" w:rsidR="00BF5AC4">
        <w:t xml:space="preserve"> rule.  The parameters having the greatest influence on the net benefits of the </w:t>
      </w:r>
      <w:r w:rsidRPr="00D839EE" w:rsidR="00BC5E9F">
        <w:t>final</w:t>
      </w:r>
      <w:r w:rsidRPr="00D839EE" w:rsidR="00BF5AC4">
        <w:t xml:space="preserve"> rule are the averted costs, or savings</w:t>
      </w:r>
      <w:r>
        <w:t>,</w:t>
      </w:r>
      <w:r w:rsidRPr="00D839EE" w:rsidR="00BF5AC4">
        <w:t xml:space="preserve"> for </w:t>
      </w:r>
      <w:r w:rsidR="00AA0BF3">
        <w:t>responding to RAIs</w:t>
      </w:r>
      <w:r w:rsidRPr="00D839EE" w:rsidR="00BF5AC4">
        <w:t xml:space="preserve"> of </w:t>
      </w:r>
      <w:r w:rsidR="003A7F24">
        <w:t>m</w:t>
      </w:r>
      <w:r w:rsidRPr="00D839EE" w:rsidR="00BF5AC4">
        <w:t xml:space="preserve">edium category facilities under the current licensing process.   </w:t>
      </w:r>
    </w:p>
    <w:p w:rsidR="00843633" w:rsidRPr="00C67E91" w:rsidP="00C67E91" w14:paraId="7F493BE3" w14:textId="77777777">
      <w:pPr>
        <w:pStyle w:val="Heading3"/>
        <w:spacing w:after="220"/>
        <w:rPr>
          <w:b w:val="0"/>
          <w:bCs w:val="0"/>
        </w:rPr>
      </w:pPr>
      <w:bookmarkStart w:id="463" w:name="_Toc534037116"/>
      <w:bookmarkStart w:id="464" w:name="_Toc534699736"/>
      <w:bookmarkStart w:id="465" w:name="_Toc536603304"/>
      <w:r>
        <w:t>3.6.4</w:t>
      </w:r>
      <w:r w:rsidRPr="00346B95">
        <w:tab/>
      </w:r>
      <w:r w:rsidRPr="00C67E91">
        <w:t>Decommissioning</w:t>
      </w:r>
      <w:r w:rsidRPr="00C67E91" w:rsidR="00B61DF6">
        <w:t xml:space="preserve"> </w:t>
      </w:r>
      <w:r w:rsidR="00C971A0">
        <w:t xml:space="preserve">NPUFs Assumption </w:t>
      </w:r>
      <w:r w:rsidRPr="00C67E91" w:rsidR="00B61DF6">
        <w:t>Sensitivity</w:t>
      </w:r>
      <w:bookmarkEnd w:id="463"/>
      <w:bookmarkEnd w:id="464"/>
      <w:bookmarkEnd w:id="465"/>
    </w:p>
    <w:p w:rsidR="00336030" w:rsidP="00683B19" w14:paraId="7F493BE4" w14:textId="77777777">
      <w:pPr>
        <w:contextualSpacing/>
        <w:rPr>
          <w:rFonts w:cs="Arial"/>
          <w:sz w:val="22"/>
          <w:szCs w:val="22"/>
        </w:rPr>
      </w:pPr>
      <w:r w:rsidRPr="00D839EE">
        <w:rPr>
          <w:rFonts w:cs="Arial"/>
          <w:sz w:val="22"/>
          <w:szCs w:val="22"/>
        </w:rPr>
        <w:t xml:space="preserve">The NRC estimated the costs and </w:t>
      </w:r>
      <w:r>
        <w:rPr>
          <w:rFonts w:cs="Arial"/>
          <w:sz w:val="22"/>
          <w:szCs w:val="22"/>
        </w:rPr>
        <w:t>averted costs</w:t>
      </w:r>
      <w:r w:rsidRPr="00D839EE">
        <w:rPr>
          <w:rFonts w:cs="Arial"/>
          <w:sz w:val="22"/>
          <w:szCs w:val="22"/>
        </w:rPr>
        <w:t xml:space="preserve"> incurred by the </w:t>
      </w:r>
      <w:r>
        <w:rPr>
          <w:rFonts w:cs="Arial"/>
          <w:sz w:val="22"/>
          <w:szCs w:val="22"/>
        </w:rPr>
        <w:t xml:space="preserve">31 </w:t>
      </w:r>
      <w:r w:rsidRPr="00D839EE">
        <w:rPr>
          <w:rFonts w:cs="Arial"/>
          <w:sz w:val="22"/>
          <w:szCs w:val="22"/>
        </w:rPr>
        <w:t>NPUFs</w:t>
      </w:r>
      <w:r w:rsidR="004113F3">
        <w:rPr>
          <w:rFonts w:cs="Arial"/>
          <w:sz w:val="22"/>
          <w:szCs w:val="22"/>
        </w:rPr>
        <w:t xml:space="preserve"> currently licensed to operate</w:t>
      </w:r>
      <w:r>
        <w:rPr>
          <w:rFonts w:cs="Arial"/>
          <w:sz w:val="22"/>
          <w:szCs w:val="22"/>
        </w:rPr>
        <w:t xml:space="preserve"> as well as two NPUFs anticipated to be </w:t>
      </w:r>
      <w:r w:rsidR="004113F3">
        <w:rPr>
          <w:rFonts w:cs="Arial"/>
          <w:sz w:val="22"/>
          <w:szCs w:val="22"/>
        </w:rPr>
        <w:t xml:space="preserve">licensed to operate </w:t>
      </w:r>
      <w:r>
        <w:rPr>
          <w:rFonts w:cs="Arial"/>
          <w:sz w:val="22"/>
          <w:szCs w:val="22"/>
        </w:rPr>
        <w:t xml:space="preserve">within the next </w:t>
      </w:r>
      <w:r w:rsidR="00323315">
        <w:rPr>
          <w:rFonts w:cs="Arial"/>
          <w:sz w:val="22"/>
          <w:szCs w:val="22"/>
        </w:rPr>
        <w:t>5</w:t>
      </w:r>
      <w:r>
        <w:rPr>
          <w:rFonts w:cs="Arial"/>
          <w:sz w:val="22"/>
          <w:szCs w:val="22"/>
        </w:rPr>
        <w:t xml:space="preserve"> years</w:t>
      </w:r>
      <w:r w:rsidRPr="00D839EE">
        <w:rPr>
          <w:rFonts w:cs="Arial"/>
          <w:sz w:val="22"/>
          <w:szCs w:val="22"/>
        </w:rPr>
        <w:t xml:space="preserve">.  Incremental costs and benefits to the other </w:t>
      </w:r>
      <w:r>
        <w:rPr>
          <w:rFonts w:cs="Arial"/>
          <w:sz w:val="22"/>
          <w:szCs w:val="22"/>
        </w:rPr>
        <w:t>three</w:t>
      </w:r>
      <w:r w:rsidRPr="00D839EE">
        <w:rPr>
          <w:rFonts w:cs="Arial"/>
          <w:sz w:val="22"/>
          <w:szCs w:val="22"/>
        </w:rPr>
        <w:t xml:space="preserve"> regulated NPUFs that are in the process of decommissioning, have possession-only licenses, or are permanently shut down are not considered in the regulatory analysis.</w:t>
      </w:r>
      <w:r w:rsidR="00234FB4">
        <w:rPr>
          <w:rFonts w:cs="Arial"/>
          <w:sz w:val="22"/>
          <w:szCs w:val="22"/>
        </w:rPr>
        <w:t xml:space="preserve">  These other three regulated NPUFs include two General Atomics facilities whose licenses should be terminated in 2019 (so no costs </w:t>
      </w:r>
      <w:r w:rsidR="004113F3">
        <w:rPr>
          <w:rFonts w:cs="Arial"/>
          <w:sz w:val="22"/>
          <w:szCs w:val="22"/>
        </w:rPr>
        <w:t xml:space="preserve">would be incurred </w:t>
      </w:r>
      <w:r w:rsidR="00234FB4">
        <w:rPr>
          <w:rFonts w:cs="Arial"/>
          <w:sz w:val="22"/>
          <w:szCs w:val="22"/>
        </w:rPr>
        <w:t xml:space="preserve">associated with the rule), and the </w:t>
      </w:r>
      <w:r w:rsidRPr="00234FB4" w:rsidR="00234FB4">
        <w:rPr>
          <w:rFonts w:cs="Arial"/>
          <w:sz w:val="22"/>
          <w:szCs w:val="22"/>
        </w:rPr>
        <w:t>General Electric Co. General Electric Test Reactor</w:t>
      </w:r>
      <w:r w:rsidR="00234FB4">
        <w:rPr>
          <w:rFonts w:cs="Arial"/>
          <w:sz w:val="22"/>
          <w:szCs w:val="22"/>
        </w:rPr>
        <w:t xml:space="preserve"> that will stay in SAFSTOR until 2041.  </w:t>
      </w:r>
    </w:p>
    <w:p w:rsidR="00336030" w:rsidP="00683B19" w14:paraId="7F493BE5" w14:textId="77777777">
      <w:pPr>
        <w:contextualSpacing/>
        <w:rPr>
          <w:rFonts w:cs="Arial"/>
          <w:sz w:val="22"/>
          <w:szCs w:val="22"/>
        </w:rPr>
      </w:pPr>
    </w:p>
    <w:p w:rsidR="00683B19" w:rsidRPr="00D839EE" w:rsidP="00683B19" w14:paraId="7F493BE6" w14:textId="77777777">
      <w:pPr>
        <w:contextualSpacing/>
        <w:rPr>
          <w:rFonts w:cs="Arial"/>
          <w:sz w:val="22"/>
          <w:szCs w:val="22"/>
        </w:rPr>
      </w:pPr>
      <w:r>
        <w:rPr>
          <w:rFonts w:cs="Arial"/>
          <w:sz w:val="22"/>
          <w:szCs w:val="22"/>
        </w:rPr>
        <w:t>Based on the condition of the General Electric Test Reactor, t</w:t>
      </w:r>
      <w:r w:rsidR="00336030">
        <w:rPr>
          <w:rFonts w:cs="Arial"/>
          <w:sz w:val="22"/>
          <w:szCs w:val="22"/>
        </w:rPr>
        <w:t xml:space="preserve">he </w:t>
      </w:r>
      <w:r>
        <w:rPr>
          <w:rFonts w:cs="Arial"/>
          <w:sz w:val="22"/>
          <w:szCs w:val="22"/>
        </w:rPr>
        <w:t xml:space="preserve">NRC estimates that the </w:t>
      </w:r>
      <w:r w:rsidR="00336030">
        <w:rPr>
          <w:rFonts w:cs="Arial"/>
          <w:sz w:val="22"/>
          <w:szCs w:val="22"/>
        </w:rPr>
        <w:t xml:space="preserve">costs associated </w:t>
      </w:r>
      <w:r>
        <w:rPr>
          <w:rFonts w:cs="Arial"/>
          <w:sz w:val="22"/>
          <w:szCs w:val="22"/>
        </w:rPr>
        <w:t>incurred by this decommissioning NPUF will be approximately $1,000, undiscounted, over the 20-year period of analysis.  This cost estimate covers</w:t>
      </w:r>
      <w:r w:rsidR="00336030">
        <w:rPr>
          <w:rFonts w:cs="Arial"/>
          <w:sz w:val="22"/>
          <w:szCs w:val="22"/>
        </w:rPr>
        <w:t xml:space="preserve"> the time required to draft a letter </w:t>
      </w:r>
      <w:r>
        <w:rPr>
          <w:rFonts w:cs="Arial"/>
          <w:sz w:val="22"/>
          <w:szCs w:val="22"/>
        </w:rPr>
        <w:t xml:space="preserve">once every 5 years </w:t>
      </w:r>
      <w:r w:rsidR="00336030">
        <w:rPr>
          <w:rFonts w:cs="Arial"/>
          <w:sz w:val="22"/>
          <w:szCs w:val="22"/>
        </w:rPr>
        <w:t>indicating</w:t>
      </w:r>
      <w:r>
        <w:rPr>
          <w:rFonts w:cs="Arial"/>
          <w:sz w:val="22"/>
          <w:szCs w:val="22"/>
        </w:rPr>
        <w:t xml:space="preserve"> that there have been</w:t>
      </w:r>
      <w:r w:rsidR="00336030">
        <w:rPr>
          <w:rFonts w:cs="Arial"/>
          <w:sz w:val="22"/>
          <w:szCs w:val="22"/>
        </w:rPr>
        <w:t xml:space="preserve"> no change</w:t>
      </w:r>
      <w:r>
        <w:rPr>
          <w:rFonts w:cs="Arial"/>
          <w:sz w:val="22"/>
          <w:szCs w:val="22"/>
        </w:rPr>
        <w:t>s</w:t>
      </w:r>
      <w:r w:rsidR="00336030">
        <w:rPr>
          <w:rFonts w:cs="Arial"/>
          <w:sz w:val="22"/>
          <w:szCs w:val="22"/>
        </w:rPr>
        <w:t xml:space="preserve"> to the </w:t>
      </w:r>
      <w:r>
        <w:rPr>
          <w:rFonts w:cs="Arial"/>
          <w:sz w:val="22"/>
          <w:szCs w:val="22"/>
        </w:rPr>
        <w:t xml:space="preserve">facility’s </w:t>
      </w:r>
      <w:r w:rsidR="00336030">
        <w:rPr>
          <w:rFonts w:cs="Arial"/>
          <w:sz w:val="22"/>
          <w:szCs w:val="22"/>
        </w:rPr>
        <w:t xml:space="preserve">FSAR.   </w:t>
      </w:r>
      <w:r w:rsidRPr="00D839EE">
        <w:rPr>
          <w:rFonts w:cs="Arial"/>
          <w:sz w:val="22"/>
          <w:szCs w:val="22"/>
        </w:rPr>
        <w:t xml:space="preserve">  </w:t>
      </w:r>
    </w:p>
    <w:p w:rsidR="00683B19" w:rsidP="00683B19" w14:paraId="7F493BE7" w14:textId="77777777">
      <w:pPr>
        <w:contextualSpacing/>
        <w:rPr>
          <w:rFonts w:cs="Arial"/>
          <w:sz w:val="22"/>
          <w:szCs w:val="22"/>
        </w:rPr>
      </w:pPr>
    </w:p>
    <w:p w:rsidR="0028267B" w:rsidRPr="00CC4F22" w:rsidP="0083525A" w14:paraId="7F493BE8" w14:textId="77777777">
      <w:pPr>
        <w:pStyle w:val="BodyText"/>
      </w:pPr>
      <w:r w:rsidRPr="00CC4F22">
        <w:t xml:space="preserve">As an additional sensitivity, </w:t>
      </w:r>
      <w:r w:rsidR="00C971A0">
        <w:t xml:space="preserve">the </w:t>
      </w:r>
      <w:r w:rsidRPr="00CC4F22">
        <w:t xml:space="preserve">NRC examined the costs associated with </w:t>
      </w:r>
      <w:r w:rsidR="00C971A0">
        <w:t xml:space="preserve">the potential outcome where </w:t>
      </w:r>
      <w:r w:rsidRPr="00CC4F22">
        <w:t xml:space="preserve">an additional NPUF </w:t>
      </w:r>
      <w:r w:rsidR="00C971A0">
        <w:t xml:space="preserve">enters </w:t>
      </w:r>
      <w:r w:rsidRPr="00CC4F22">
        <w:t>decommissioning</w:t>
      </w:r>
      <w:r w:rsidR="00C971A0">
        <w:t xml:space="preserve"> during the period of analysis</w:t>
      </w:r>
      <w:r w:rsidRPr="00CC4F22">
        <w:t>.  Per the provisions in th</w:t>
      </w:r>
      <w:r w:rsidR="000B26C8">
        <w:t>e final rule</w:t>
      </w:r>
      <w:r w:rsidRPr="00CC4F22">
        <w:t xml:space="preserve">, an NPUF undergoing decommissioning would continue to submit </w:t>
      </w:r>
      <w:r w:rsidR="00C971A0">
        <w:t xml:space="preserve">subsequent </w:t>
      </w:r>
      <w:r w:rsidRPr="00CC4F22">
        <w:t xml:space="preserve">FSAR </w:t>
      </w:r>
      <w:r w:rsidR="00C971A0">
        <w:t>updates</w:t>
      </w:r>
      <w:r w:rsidR="00483B10">
        <w:t xml:space="preserve"> to the NRC at intervals not to exceed 5 years</w:t>
      </w:r>
      <w:r w:rsidRPr="00CC4F22">
        <w:t>.  The</w:t>
      </w:r>
      <w:r w:rsidR="00C971A0">
        <w:t xml:space="preserve"> NRC anticipates that subsequent FSAR submittals by </w:t>
      </w:r>
      <w:r w:rsidR="00483B10">
        <w:t xml:space="preserve">the decommissioning NPUF would </w:t>
      </w:r>
      <w:r w:rsidRPr="00CC4F22">
        <w:t xml:space="preserve">generally describe systems or components </w:t>
      </w:r>
      <w:r w:rsidR="00483B10">
        <w:t xml:space="preserve">that </w:t>
      </w:r>
      <w:r w:rsidRPr="00CC4F22">
        <w:t xml:space="preserve">have been removed </w:t>
      </w:r>
      <w:r w:rsidR="00483B10">
        <w:t xml:space="preserve">from the facility </w:t>
      </w:r>
      <w:r w:rsidRPr="00CC4F22">
        <w:t xml:space="preserve">or update the description of the site.  </w:t>
      </w:r>
    </w:p>
    <w:p w:rsidR="001A2D7A" w:rsidRPr="00CC4F22" w:rsidP="0083525A" w14:paraId="7F493BE9" w14:textId="77777777">
      <w:pPr>
        <w:pStyle w:val="BodyText"/>
      </w:pPr>
    </w:p>
    <w:p w:rsidR="001A2D7A" w:rsidRPr="00CE1566" w:rsidP="00CE1566" w14:paraId="7F493BEA" w14:textId="5018462A">
      <w:pPr>
        <w:rPr>
          <w:rFonts w:cs="Arial"/>
          <w:sz w:val="22"/>
          <w:szCs w:val="22"/>
        </w:rPr>
      </w:pPr>
      <w:r w:rsidRPr="00CE1566">
        <w:rPr>
          <w:rFonts w:cs="Arial"/>
          <w:sz w:val="22"/>
          <w:szCs w:val="22"/>
        </w:rPr>
        <w:t xml:space="preserve">Based on this information, </w:t>
      </w:r>
      <w:r w:rsidR="00483B10">
        <w:rPr>
          <w:rFonts w:cs="Arial"/>
          <w:sz w:val="22"/>
          <w:szCs w:val="22"/>
        </w:rPr>
        <w:t xml:space="preserve">the </w:t>
      </w:r>
      <w:r w:rsidRPr="00CE1566">
        <w:rPr>
          <w:rFonts w:cs="Arial"/>
          <w:sz w:val="22"/>
          <w:szCs w:val="22"/>
        </w:rPr>
        <w:t xml:space="preserve">NRC estimates that there is little difference between subsequent FSAR updates for operating reactors </w:t>
      </w:r>
      <w:r w:rsidR="00483B10">
        <w:rPr>
          <w:rFonts w:cs="Arial"/>
          <w:sz w:val="22"/>
          <w:szCs w:val="22"/>
        </w:rPr>
        <w:t xml:space="preserve">and </w:t>
      </w:r>
      <w:r w:rsidRPr="00CE1566">
        <w:rPr>
          <w:rFonts w:cs="Arial"/>
          <w:sz w:val="22"/>
          <w:szCs w:val="22"/>
        </w:rPr>
        <w:t xml:space="preserve">decommissioning NPUFs in terms of NRC and licensee LOE.  Additionally, an initial updated FSAR is not required, so a decommissioning facility would only provide the subsequent FSAR updates at the 5-year intervals.  </w:t>
      </w:r>
      <w:r w:rsidRPr="00CE1566" w:rsidR="00CE1566">
        <w:rPr>
          <w:rFonts w:cs="Arial"/>
          <w:sz w:val="22"/>
          <w:szCs w:val="22"/>
        </w:rPr>
        <w:t xml:space="preserve">For the purposes of the sensitivity analysis, the NRC uses a conservative assumption that the decommissioning process for NPUFs will last 20 years. </w:t>
      </w:r>
      <w:r w:rsidR="00792F75">
        <w:rPr>
          <w:rFonts w:cs="Arial"/>
          <w:sz w:val="22"/>
          <w:szCs w:val="22"/>
        </w:rPr>
        <w:t xml:space="preserve"> </w:t>
      </w:r>
      <w:r w:rsidRPr="00CE1566" w:rsidR="00CE1566">
        <w:rPr>
          <w:rFonts w:cs="Arial"/>
          <w:sz w:val="22"/>
          <w:szCs w:val="22"/>
        </w:rPr>
        <w:t xml:space="preserve">This assumption allows the sensitivity analysis to capture the maximum potential costs to NPUF licensees of complying with the final rule during decommissioning and ensures consistency with other assumptions in the regulatory analysis. </w:t>
      </w:r>
      <w:r w:rsidR="00792F75">
        <w:rPr>
          <w:rFonts w:cs="Arial"/>
          <w:sz w:val="22"/>
          <w:szCs w:val="22"/>
        </w:rPr>
        <w:t xml:space="preserve"> </w:t>
      </w:r>
      <w:r w:rsidRPr="00CE1566" w:rsidR="00CE1566">
        <w:rPr>
          <w:rFonts w:cs="Arial"/>
          <w:sz w:val="22"/>
          <w:szCs w:val="22"/>
        </w:rPr>
        <w:t>The length of the decommissioning process for NPUFs may be less than 20 years, depending on licensee-specific criteria.  In those cases, the regulatory analysis overestimates the costs of complying with the final rule during the period of decommissioning.</w:t>
      </w:r>
      <w:r w:rsidR="0008631B">
        <w:rPr>
          <w:rFonts w:cs="Arial"/>
          <w:sz w:val="22"/>
          <w:szCs w:val="22"/>
        </w:rPr>
        <w:t xml:space="preserve"> </w:t>
      </w:r>
      <w:r w:rsidR="0059151F">
        <w:rPr>
          <w:rFonts w:cs="Arial"/>
          <w:sz w:val="22"/>
          <w:szCs w:val="22"/>
        </w:rPr>
        <w:t xml:space="preserve"> </w:t>
      </w:r>
      <w:r w:rsidRPr="00CE1566" w:rsidR="00F62733">
        <w:rPr>
          <w:sz w:val="22"/>
          <w:szCs w:val="22"/>
        </w:rPr>
        <w:t>Cost estimates by licensee and NRC are presente</w:t>
      </w:r>
      <w:r w:rsidRPr="009B4412" w:rsidR="00F62733">
        <w:rPr>
          <w:sz w:val="22"/>
          <w:szCs w:val="22"/>
        </w:rPr>
        <w:t xml:space="preserve">d in </w:t>
      </w:r>
      <w:r w:rsidRPr="009B4412" w:rsidR="009B4412">
        <w:rPr>
          <w:sz w:val="22"/>
          <w:szCs w:val="22"/>
        </w:rPr>
        <w:fldChar w:fldCharType="begin"/>
      </w:r>
      <w:r w:rsidRPr="009B4412" w:rsidR="009B4412">
        <w:rPr>
          <w:sz w:val="22"/>
          <w:szCs w:val="22"/>
        </w:rPr>
        <w:instrText xml:space="preserve"> REF _Ref534705386 \h </w:instrText>
      </w:r>
      <w:r w:rsidRPr="00D96410" w:rsidR="009B4412">
        <w:rPr>
          <w:sz w:val="22"/>
          <w:szCs w:val="22"/>
        </w:rPr>
        <w:instrText xml:space="preserve"> \* MERGEFORMAT </w:instrText>
      </w:r>
      <w:r w:rsidRPr="009B4412" w:rsidR="009B4412">
        <w:rPr>
          <w:sz w:val="22"/>
          <w:szCs w:val="22"/>
        </w:rPr>
        <w:fldChar w:fldCharType="separate"/>
      </w:r>
      <w:r w:rsidRPr="00977795" w:rsidR="00977795">
        <w:rPr>
          <w:rFonts w:cs="Arial"/>
          <w:sz w:val="22"/>
          <w:szCs w:val="22"/>
        </w:rPr>
        <w:t>Exhibit 3</w:t>
      </w:r>
      <w:r w:rsidRPr="00977795" w:rsidR="00977795">
        <w:rPr>
          <w:rFonts w:cs="Arial"/>
          <w:sz w:val="22"/>
          <w:szCs w:val="22"/>
        </w:rPr>
        <w:noBreakHyphen/>
        <w:t>31</w:t>
      </w:r>
      <w:r w:rsidRPr="009B4412" w:rsidR="009B4412">
        <w:rPr>
          <w:sz w:val="22"/>
          <w:szCs w:val="22"/>
        </w:rPr>
        <w:fldChar w:fldCharType="end"/>
      </w:r>
      <w:r w:rsidRPr="00D96410" w:rsidR="00535160">
        <w:rPr>
          <w:sz w:val="22"/>
          <w:szCs w:val="22"/>
          <w:highlight w:val="yellow"/>
        </w:rPr>
        <w:fldChar w:fldCharType="begin"/>
      </w:r>
      <w:r w:rsidRPr="00D96410" w:rsidR="00535160">
        <w:rPr>
          <w:sz w:val="22"/>
          <w:szCs w:val="22"/>
          <w:highlight w:val="yellow"/>
        </w:rPr>
        <w:instrText xml:space="preserve"> REF _Ref534037131 \h  \* MERGEFORMAT </w:instrText>
      </w:r>
      <w:r w:rsidRPr="00D96410" w:rsidR="00535160">
        <w:rPr>
          <w:sz w:val="22"/>
          <w:szCs w:val="22"/>
          <w:highlight w:val="yellow"/>
        </w:rPr>
        <w:fldChar w:fldCharType="separate"/>
      </w:r>
      <w:r w:rsidRPr="00D96410" w:rsidR="00535160">
        <w:rPr>
          <w:sz w:val="22"/>
          <w:szCs w:val="22"/>
          <w:highlight w:val="yellow"/>
        </w:rPr>
        <w:fldChar w:fldCharType="end"/>
      </w:r>
      <w:r w:rsidRPr="00CE1566" w:rsidR="00F62733">
        <w:rPr>
          <w:sz w:val="22"/>
          <w:szCs w:val="22"/>
        </w:rPr>
        <w:t>.</w:t>
      </w:r>
      <w:r w:rsidR="0008631B">
        <w:rPr>
          <w:sz w:val="22"/>
          <w:szCs w:val="22"/>
        </w:rPr>
        <w:t xml:space="preserve"> </w:t>
      </w:r>
      <w:r w:rsidR="000B5AC3">
        <w:rPr>
          <w:sz w:val="22"/>
          <w:szCs w:val="22"/>
        </w:rPr>
        <w:t xml:space="preserve"> </w:t>
      </w:r>
      <w:r w:rsidR="00483B10">
        <w:rPr>
          <w:sz w:val="22"/>
          <w:szCs w:val="22"/>
        </w:rPr>
        <w:t>L</w:t>
      </w:r>
      <w:r w:rsidRPr="00CE1566">
        <w:rPr>
          <w:sz w:val="22"/>
          <w:szCs w:val="22"/>
        </w:rPr>
        <w:t>icensee undiscounted costs associated with decommissioning would amount to:</w:t>
      </w:r>
      <w:r w:rsidR="0008631B">
        <w:rPr>
          <w:sz w:val="22"/>
          <w:szCs w:val="22"/>
        </w:rPr>
        <w:t xml:space="preserve"> </w:t>
      </w:r>
      <w:r w:rsidRPr="00CE1566" w:rsidR="00F62733">
        <w:rPr>
          <w:sz w:val="22"/>
          <w:szCs w:val="22"/>
        </w:rPr>
        <w:t>($26,000)</w:t>
      </w:r>
      <w:r w:rsidRPr="00CE1566">
        <w:rPr>
          <w:sz w:val="22"/>
          <w:szCs w:val="22"/>
        </w:rPr>
        <w:t xml:space="preserve"> for a Low category NPUF</w:t>
      </w:r>
      <w:r w:rsidR="004113F3">
        <w:rPr>
          <w:sz w:val="22"/>
          <w:szCs w:val="22"/>
        </w:rPr>
        <w:t>,</w:t>
      </w:r>
      <w:r w:rsidRPr="00CE1566">
        <w:rPr>
          <w:sz w:val="22"/>
          <w:szCs w:val="22"/>
        </w:rPr>
        <w:t xml:space="preserve"> </w:t>
      </w:r>
      <w:r w:rsidRPr="00CE1566" w:rsidR="00F62733">
        <w:rPr>
          <w:sz w:val="22"/>
          <w:szCs w:val="22"/>
        </w:rPr>
        <w:t>($37,000</w:t>
      </w:r>
      <w:r w:rsidRPr="00CE1566">
        <w:rPr>
          <w:sz w:val="22"/>
          <w:szCs w:val="22"/>
        </w:rPr>
        <w:t xml:space="preserve"> for a Medium category NPUF</w:t>
      </w:r>
      <w:r w:rsidR="004113F3">
        <w:rPr>
          <w:sz w:val="22"/>
          <w:szCs w:val="22"/>
        </w:rPr>
        <w:t>,</w:t>
      </w:r>
      <w:r w:rsidRPr="00CE1566">
        <w:rPr>
          <w:sz w:val="22"/>
          <w:szCs w:val="22"/>
        </w:rPr>
        <w:t xml:space="preserve"> </w:t>
      </w:r>
      <w:r w:rsidRPr="00CE1566" w:rsidR="00F62733">
        <w:rPr>
          <w:sz w:val="22"/>
          <w:szCs w:val="22"/>
        </w:rPr>
        <w:t>(</w:t>
      </w:r>
      <w:r w:rsidRPr="00CE1566">
        <w:rPr>
          <w:sz w:val="22"/>
          <w:szCs w:val="22"/>
        </w:rPr>
        <w:t>$</w:t>
      </w:r>
      <w:r w:rsidRPr="00CE1566" w:rsidR="00F62733">
        <w:rPr>
          <w:sz w:val="22"/>
          <w:szCs w:val="22"/>
        </w:rPr>
        <w:t xml:space="preserve">57,000) </w:t>
      </w:r>
      <w:r w:rsidRPr="00CE1566">
        <w:rPr>
          <w:sz w:val="22"/>
          <w:szCs w:val="22"/>
        </w:rPr>
        <w:t>for a High category NPUF</w:t>
      </w:r>
      <w:r w:rsidR="004113F3">
        <w:rPr>
          <w:sz w:val="22"/>
          <w:szCs w:val="22"/>
        </w:rPr>
        <w:t>,</w:t>
      </w:r>
      <w:r w:rsidRPr="00CE1566">
        <w:rPr>
          <w:sz w:val="22"/>
          <w:szCs w:val="22"/>
        </w:rPr>
        <w:t xml:space="preserve"> and </w:t>
      </w:r>
      <w:r w:rsidRPr="00CE1566" w:rsidR="00F62733">
        <w:rPr>
          <w:sz w:val="22"/>
          <w:szCs w:val="22"/>
        </w:rPr>
        <w:t>(</w:t>
      </w:r>
      <w:r w:rsidRPr="00CE1566">
        <w:rPr>
          <w:sz w:val="22"/>
          <w:szCs w:val="22"/>
        </w:rPr>
        <w:t>$</w:t>
      </w:r>
      <w:r w:rsidRPr="00CE1566" w:rsidR="00F62733">
        <w:rPr>
          <w:sz w:val="22"/>
          <w:szCs w:val="22"/>
        </w:rPr>
        <w:t>62,000)</w:t>
      </w:r>
      <w:r w:rsidRPr="00CE1566">
        <w:rPr>
          <w:sz w:val="22"/>
          <w:szCs w:val="22"/>
        </w:rPr>
        <w:t xml:space="preserve"> for an Other category NPUF.</w:t>
      </w:r>
    </w:p>
    <w:p w:rsidR="001A2D7A" w:rsidRPr="00CC4F22" w:rsidP="0083525A" w14:paraId="7F493BEB" w14:textId="77777777">
      <w:pPr>
        <w:pStyle w:val="BodyText"/>
        <w:rPr>
          <w:b/>
        </w:rPr>
      </w:pPr>
    </w:p>
    <w:p w:rsidR="001A2D7A" w:rsidRPr="000F7FD1" w:rsidP="005E0621" w14:paraId="7F493BEC" w14:textId="78F8BBEC">
      <w:pPr>
        <w:pStyle w:val="Caption"/>
        <w:keepNext/>
        <w:spacing w:after="0"/>
        <w:jc w:val="center"/>
        <w:rPr>
          <w:rFonts w:cs="Arial"/>
          <w:b/>
          <w:i w:val="0"/>
          <w:color w:val="auto"/>
          <w:sz w:val="22"/>
          <w:szCs w:val="22"/>
        </w:rPr>
      </w:pPr>
      <w:bookmarkStart w:id="466" w:name="_Ref534037131"/>
      <w:bookmarkStart w:id="467" w:name="_Ref534705386"/>
      <w:bookmarkStart w:id="468" w:name="_Toc534037080"/>
      <w:bookmarkStart w:id="469" w:name="_Toc534710024"/>
      <w:bookmarkStart w:id="470" w:name="_Toc534711709"/>
      <w:bookmarkStart w:id="471" w:name="_Toc534712142"/>
      <w:bookmarkStart w:id="472" w:name="_Toc534712719"/>
      <w:bookmarkStart w:id="473" w:name="_Toc534713228"/>
      <w:bookmarkStart w:id="474" w:name="_Toc9526488"/>
      <w:bookmarkStart w:id="475" w:name="_Toc536603437"/>
      <w:bookmarkEnd w:id="466"/>
      <w:r w:rsidRPr="000F7FD1">
        <w:rPr>
          <w:rFonts w:cs="Arial"/>
          <w:b/>
          <w:i w:val="0"/>
          <w:color w:val="auto"/>
          <w:sz w:val="22"/>
          <w:szCs w:val="22"/>
        </w:rPr>
        <w:t>Exhibit 3</w:t>
      </w:r>
      <w:r w:rsidRPr="000F7FD1">
        <w:rPr>
          <w:rFonts w:cs="Arial"/>
          <w:b/>
          <w:i w:val="0"/>
          <w:color w:val="auto"/>
          <w:sz w:val="22"/>
          <w:szCs w:val="22"/>
        </w:rPr>
        <w:noBreakHyphen/>
      </w:r>
      <w:r w:rsidRPr="000F7FD1" w:rsidR="00C276FC">
        <w:rPr>
          <w:rFonts w:cs="Arial"/>
          <w:b/>
          <w:i w:val="0"/>
          <w:color w:val="auto"/>
          <w:sz w:val="22"/>
          <w:szCs w:val="22"/>
        </w:rPr>
        <w:fldChar w:fldCharType="begin"/>
      </w:r>
      <w:r w:rsidRPr="000F7FD1" w:rsidR="00C276FC">
        <w:rPr>
          <w:rFonts w:cs="Arial"/>
          <w:b/>
          <w:i w:val="0"/>
          <w:color w:val="auto"/>
          <w:sz w:val="22"/>
          <w:szCs w:val="22"/>
        </w:rPr>
        <w:instrText xml:space="preserve"> SEQ Exhibit \* ARABIC </w:instrText>
      </w:r>
      <w:r w:rsidRPr="000F7FD1" w:rsidR="00C276FC">
        <w:rPr>
          <w:rFonts w:cs="Arial"/>
          <w:b/>
          <w:i w:val="0"/>
          <w:color w:val="auto"/>
          <w:sz w:val="22"/>
          <w:szCs w:val="22"/>
        </w:rPr>
        <w:fldChar w:fldCharType="separate"/>
      </w:r>
      <w:r w:rsidR="00977795">
        <w:rPr>
          <w:rFonts w:cs="Arial"/>
          <w:b/>
          <w:i w:val="0"/>
          <w:noProof/>
          <w:color w:val="auto"/>
          <w:sz w:val="22"/>
          <w:szCs w:val="22"/>
        </w:rPr>
        <w:t>31</w:t>
      </w:r>
      <w:r w:rsidRPr="000F7FD1" w:rsidR="00C276FC">
        <w:rPr>
          <w:rFonts w:cs="Arial"/>
          <w:b/>
          <w:i w:val="0"/>
          <w:color w:val="auto"/>
          <w:sz w:val="22"/>
          <w:szCs w:val="22"/>
        </w:rPr>
        <w:fldChar w:fldCharType="end"/>
      </w:r>
      <w:bookmarkEnd w:id="467"/>
      <w:r w:rsidRPr="000F7FD1">
        <w:rPr>
          <w:rFonts w:cs="Arial"/>
          <w:b/>
          <w:i w:val="0"/>
          <w:color w:val="auto"/>
          <w:sz w:val="22"/>
          <w:szCs w:val="22"/>
        </w:rPr>
        <w:t xml:space="preserve">. </w:t>
      </w:r>
      <w:r w:rsidRPr="000F7FD1">
        <w:rPr>
          <w:rFonts w:cs="Arial"/>
          <w:b/>
          <w:i w:val="0"/>
          <w:color w:val="auto"/>
          <w:sz w:val="22"/>
          <w:szCs w:val="22"/>
        </w:rPr>
        <w:t>Decommissioning Costs (2020$)</w:t>
      </w:r>
      <w:bookmarkEnd w:id="468"/>
      <w:bookmarkEnd w:id="469"/>
      <w:bookmarkEnd w:id="470"/>
      <w:bookmarkEnd w:id="471"/>
      <w:bookmarkEnd w:id="472"/>
      <w:bookmarkEnd w:id="473"/>
      <w:bookmarkEnd w:id="474"/>
      <w:bookmarkEnd w:id="475"/>
    </w:p>
    <w:tbl>
      <w:tblPr>
        <w:tblW w:w="5837" w:type="dxa"/>
        <w:jc w:val="center"/>
        <w:tblLook w:val="04A0"/>
      </w:tblPr>
      <w:tblGrid>
        <w:gridCol w:w="1128"/>
        <w:gridCol w:w="1073"/>
        <w:gridCol w:w="1098"/>
        <w:gridCol w:w="1073"/>
        <w:gridCol w:w="1465"/>
      </w:tblGrid>
      <w:tr w14:paraId="7F493BF2" w14:textId="77777777" w:rsidTr="00CC4F22">
        <w:tblPrEx>
          <w:tblW w:w="5837" w:type="dxa"/>
          <w:jc w:val="center"/>
          <w:tblLook w:val="04A0"/>
        </w:tblPrEx>
        <w:trPr>
          <w:trHeight w:val="116"/>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2BB" w:rsidRPr="00256FFF" w:rsidP="00CC4F22" w14:paraId="7F493BED" w14:textId="77777777">
            <w:pPr>
              <w:keepNext/>
              <w:autoSpaceDE/>
              <w:autoSpaceDN/>
              <w:adjustRightInd/>
              <w:rPr>
                <w:b/>
                <w:color w:val="000000"/>
              </w:rPr>
            </w:pPr>
            <w:r>
              <w:rPr>
                <w:rFonts w:cs="Arial"/>
                <w:b/>
                <w:bCs/>
                <w:color w:val="000000"/>
              </w:rPr>
              <w:t>Costs</w:t>
            </w:r>
          </w:p>
        </w:tc>
        <w:tc>
          <w:tcPr>
            <w:tcW w:w="1073" w:type="dxa"/>
            <w:tcBorders>
              <w:top w:val="single" w:sz="4" w:space="0" w:color="auto"/>
              <w:left w:val="nil"/>
              <w:bottom w:val="nil"/>
              <w:right w:val="single" w:sz="4" w:space="0" w:color="auto"/>
            </w:tcBorders>
            <w:shd w:val="clear" w:color="auto" w:fill="auto"/>
            <w:noWrap/>
            <w:vAlign w:val="center"/>
            <w:hideMark/>
          </w:tcPr>
          <w:p w:rsidR="00F322BB" w:rsidRPr="00256FFF" w:rsidP="00E83B04" w14:paraId="7F493BEE" w14:textId="77777777">
            <w:pPr>
              <w:keepNext/>
              <w:autoSpaceDE/>
              <w:autoSpaceDN/>
              <w:adjustRightInd/>
              <w:jc w:val="center"/>
              <w:rPr>
                <w:b/>
                <w:color w:val="000000"/>
              </w:rPr>
            </w:pPr>
            <w:r w:rsidRPr="00D839EE">
              <w:rPr>
                <w:rFonts w:cs="Arial"/>
                <w:b/>
                <w:color w:val="000000"/>
              </w:rPr>
              <w:t>Low</w:t>
            </w:r>
          </w:p>
        </w:tc>
        <w:tc>
          <w:tcPr>
            <w:tcW w:w="1098" w:type="dxa"/>
            <w:tcBorders>
              <w:top w:val="single" w:sz="4" w:space="0" w:color="auto"/>
              <w:left w:val="nil"/>
              <w:bottom w:val="nil"/>
              <w:right w:val="single" w:sz="4" w:space="0" w:color="auto"/>
            </w:tcBorders>
            <w:shd w:val="clear" w:color="auto" w:fill="auto"/>
            <w:noWrap/>
            <w:vAlign w:val="center"/>
            <w:hideMark/>
          </w:tcPr>
          <w:p w:rsidR="00F322BB" w:rsidRPr="00D839EE" w:rsidP="00E83B04" w14:paraId="7F493BEF" w14:textId="77777777">
            <w:pPr>
              <w:keepNext/>
              <w:autoSpaceDE/>
              <w:autoSpaceDN/>
              <w:adjustRightInd/>
              <w:jc w:val="center"/>
              <w:rPr>
                <w:rFonts w:cs="Arial"/>
                <w:b/>
                <w:color w:val="000000"/>
              </w:rPr>
            </w:pPr>
            <w:r w:rsidRPr="00D839EE">
              <w:rPr>
                <w:rFonts w:cs="Arial"/>
                <w:b/>
                <w:color w:val="000000"/>
              </w:rPr>
              <w:t>Medium</w:t>
            </w:r>
          </w:p>
        </w:tc>
        <w:tc>
          <w:tcPr>
            <w:tcW w:w="1073" w:type="dxa"/>
            <w:tcBorders>
              <w:top w:val="single" w:sz="4" w:space="0" w:color="auto"/>
              <w:left w:val="nil"/>
              <w:bottom w:val="nil"/>
              <w:right w:val="single" w:sz="4" w:space="0" w:color="auto"/>
            </w:tcBorders>
            <w:shd w:val="clear" w:color="auto" w:fill="auto"/>
            <w:noWrap/>
            <w:vAlign w:val="center"/>
            <w:hideMark/>
          </w:tcPr>
          <w:p w:rsidR="00F322BB" w:rsidRPr="00D839EE" w:rsidP="00E83B04" w14:paraId="7F493BF0" w14:textId="77777777">
            <w:pPr>
              <w:keepNext/>
              <w:autoSpaceDE/>
              <w:autoSpaceDN/>
              <w:adjustRightInd/>
              <w:jc w:val="center"/>
              <w:rPr>
                <w:rFonts w:cs="Arial"/>
                <w:b/>
                <w:color w:val="000000"/>
              </w:rPr>
            </w:pPr>
            <w:r w:rsidRPr="00256FFF">
              <w:rPr>
                <w:b/>
                <w:color w:val="000000"/>
              </w:rPr>
              <w:t>High</w:t>
            </w:r>
          </w:p>
        </w:tc>
        <w:tc>
          <w:tcPr>
            <w:tcW w:w="1465" w:type="dxa"/>
            <w:tcBorders>
              <w:top w:val="single" w:sz="4" w:space="0" w:color="auto"/>
              <w:left w:val="nil"/>
              <w:bottom w:val="nil"/>
              <w:right w:val="single" w:sz="4" w:space="0" w:color="auto"/>
            </w:tcBorders>
            <w:shd w:val="clear" w:color="auto" w:fill="auto"/>
            <w:noWrap/>
            <w:vAlign w:val="center"/>
            <w:hideMark/>
          </w:tcPr>
          <w:p w:rsidR="00F322BB" w:rsidRPr="00D839EE" w:rsidP="00E83B04" w14:paraId="7F493BF1" w14:textId="77777777">
            <w:pPr>
              <w:keepNext/>
              <w:autoSpaceDE/>
              <w:autoSpaceDN/>
              <w:adjustRightInd/>
              <w:jc w:val="center"/>
              <w:rPr>
                <w:rFonts w:cs="Arial"/>
                <w:b/>
                <w:color w:val="000000"/>
              </w:rPr>
            </w:pPr>
            <w:r w:rsidRPr="00D839EE">
              <w:rPr>
                <w:rFonts w:cs="Arial"/>
                <w:b/>
                <w:color w:val="000000"/>
              </w:rPr>
              <w:t>Other NPUFs</w:t>
            </w:r>
          </w:p>
        </w:tc>
      </w:tr>
      <w:tr w14:paraId="7F493BF8" w14:textId="77777777" w:rsidTr="00CC4F22">
        <w:tblPrEx>
          <w:tblW w:w="5837" w:type="dxa"/>
          <w:jc w:val="center"/>
          <w:tblLook w:val="04A0"/>
        </w:tblPrEx>
        <w:trPr>
          <w:trHeight w:val="152"/>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322BB" w:rsidRPr="00D839EE" w:rsidP="00CC4F22" w14:paraId="7F493BF3" w14:textId="77777777">
            <w:pPr>
              <w:keepNext/>
              <w:autoSpaceDE/>
              <w:autoSpaceDN/>
              <w:adjustRightInd/>
              <w:rPr>
                <w:rFonts w:cs="Arial"/>
                <w:color w:val="000000"/>
              </w:rPr>
            </w:pPr>
            <w:r>
              <w:rPr>
                <w:rFonts w:cs="Arial"/>
                <w:color w:val="000000"/>
              </w:rPr>
              <w:t>Licensee</w:t>
            </w:r>
          </w:p>
        </w:tc>
        <w:tc>
          <w:tcPr>
            <w:tcW w:w="1073" w:type="dxa"/>
            <w:tcBorders>
              <w:top w:val="single" w:sz="4" w:space="0" w:color="auto"/>
              <w:left w:val="nil"/>
              <w:bottom w:val="nil"/>
              <w:right w:val="single" w:sz="4" w:space="0" w:color="auto"/>
            </w:tcBorders>
            <w:shd w:val="clear" w:color="auto" w:fill="auto"/>
            <w:noWrap/>
            <w:vAlign w:val="bottom"/>
          </w:tcPr>
          <w:p w:rsidR="00F322BB" w:rsidRPr="00CC4F22" w:rsidP="00F322BB" w14:paraId="7F493BF4"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$13,000</w:t>
            </w:r>
            <w:r>
              <w:rPr>
                <w:rFonts w:cs="Arial"/>
                <w:color w:val="000000"/>
                <w:szCs w:val="22"/>
              </w:rPr>
              <w:t>)</w:t>
            </w:r>
          </w:p>
        </w:tc>
        <w:tc>
          <w:tcPr>
            <w:tcW w:w="1098" w:type="dxa"/>
            <w:tcBorders>
              <w:top w:val="single" w:sz="4" w:space="0" w:color="auto"/>
              <w:left w:val="nil"/>
              <w:bottom w:val="nil"/>
              <w:right w:val="single" w:sz="4" w:space="0" w:color="auto"/>
            </w:tcBorders>
            <w:shd w:val="clear" w:color="auto" w:fill="auto"/>
            <w:noWrap/>
            <w:vAlign w:val="bottom"/>
          </w:tcPr>
          <w:p w:rsidR="00F322BB" w:rsidRPr="00CC4F22" w:rsidP="00F322BB" w14:paraId="7F493BF5"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$20,000</w:t>
            </w:r>
            <w:r>
              <w:rPr>
                <w:rFonts w:cs="Arial"/>
                <w:color w:val="000000"/>
                <w:szCs w:val="22"/>
              </w:rPr>
              <w:t>)</w:t>
            </w:r>
          </w:p>
        </w:tc>
        <w:tc>
          <w:tcPr>
            <w:tcW w:w="1073" w:type="dxa"/>
            <w:tcBorders>
              <w:top w:val="single" w:sz="4" w:space="0" w:color="auto"/>
              <w:left w:val="nil"/>
              <w:bottom w:val="nil"/>
              <w:right w:val="single" w:sz="4" w:space="0" w:color="auto"/>
            </w:tcBorders>
            <w:shd w:val="clear" w:color="auto" w:fill="auto"/>
            <w:noWrap/>
            <w:vAlign w:val="bottom"/>
          </w:tcPr>
          <w:p w:rsidR="00F322BB" w:rsidRPr="00CC4F22" w:rsidP="00F322BB" w14:paraId="7F493BF6"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$35,000</w:t>
            </w:r>
            <w:r>
              <w:rPr>
                <w:rFonts w:cs="Arial"/>
                <w:color w:val="000000"/>
                <w:szCs w:val="22"/>
              </w:rPr>
              <w:t>)</w:t>
            </w:r>
          </w:p>
        </w:tc>
        <w:tc>
          <w:tcPr>
            <w:tcW w:w="1465" w:type="dxa"/>
            <w:tcBorders>
              <w:top w:val="single" w:sz="4" w:space="0" w:color="auto"/>
              <w:left w:val="nil"/>
              <w:bottom w:val="nil"/>
              <w:right w:val="single" w:sz="4" w:space="0" w:color="auto"/>
            </w:tcBorders>
            <w:shd w:val="clear" w:color="auto" w:fill="auto"/>
            <w:noWrap/>
            <w:vAlign w:val="bottom"/>
          </w:tcPr>
          <w:p w:rsidR="00F322BB" w:rsidRPr="00CC4F22" w:rsidP="00F322BB" w14:paraId="7F493BF7"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$41,000</w:t>
            </w:r>
            <w:r>
              <w:rPr>
                <w:rFonts w:cs="Arial"/>
                <w:color w:val="000000"/>
                <w:szCs w:val="22"/>
              </w:rPr>
              <w:t>)</w:t>
            </w:r>
          </w:p>
        </w:tc>
      </w:tr>
      <w:tr w14:paraId="7F493BFE" w14:textId="77777777" w:rsidTr="00CC4F22">
        <w:tblPrEx>
          <w:tblW w:w="5837" w:type="dxa"/>
          <w:jc w:val="center"/>
          <w:tblLook w:val="04A0"/>
        </w:tblPrEx>
        <w:trPr>
          <w:trHeight w:val="152"/>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rsidR="00F322BB" w:rsidRPr="00D839EE" w:rsidP="00CC4F22" w14:paraId="7F493BF9" w14:textId="77777777">
            <w:pPr>
              <w:keepNext/>
              <w:autoSpaceDE/>
              <w:autoSpaceDN/>
              <w:adjustRightInd/>
              <w:rPr>
                <w:rFonts w:cs="Arial"/>
                <w:color w:val="000000"/>
              </w:rPr>
            </w:pPr>
            <w:r>
              <w:rPr>
                <w:rFonts w:cs="Arial"/>
                <w:color w:val="000000"/>
              </w:rPr>
              <w:t>NRC</w:t>
            </w:r>
          </w:p>
        </w:tc>
        <w:tc>
          <w:tcPr>
            <w:tcW w:w="1073" w:type="dxa"/>
            <w:tcBorders>
              <w:top w:val="single" w:sz="4" w:space="0" w:color="auto"/>
              <w:left w:val="nil"/>
              <w:bottom w:val="nil"/>
              <w:right w:val="single" w:sz="4" w:space="0" w:color="auto"/>
            </w:tcBorders>
            <w:shd w:val="clear" w:color="auto" w:fill="auto"/>
            <w:noWrap/>
            <w:vAlign w:val="bottom"/>
          </w:tcPr>
          <w:p w:rsidR="00F322BB" w:rsidRPr="00CC4F22" w:rsidP="00F322BB" w14:paraId="7F493BFA"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$13,000</w:t>
            </w:r>
            <w:r>
              <w:rPr>
                <w:rFonts w:cs="Arial"/>
                <w:color w:val="000000"/>
                <w:szCs w:val="22"/>
              </w:rPr>
              <w:t>)</w:t>
            </w:r>
          </w:p>
        </w:tc>
        <w:tc>
          <w:tcPr>
            <w:tcW w:w="1098" w:type="dxa"/>
            <w:tcBorders>
              <w:top w:val="single" w:sz="4" w:space="0" w:color="auto"/>
              <w:left w:val="nil"/>
              <w:bottom w:val="nil"/>
              <w:right w:val="single" w:sz="4" w:space="0" w:color="auto"/>
            </w:tcBorders>
            <w:shd w:val="clear" w:color="auto" w:fill="auto"/>
            <w:noWrap/>
            <w:vAlign w:val="bottom"/>
          </w:tcPr>
          <w:p w:rsidR="00F322BB" w:rsidRPr="00CC4F22" w:rsidP="00F322BB" w14:paraId="7F493BFB"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$17,000</w:t>
            </w:r>
            <w:r>
              <w:rPr>
                <w:rFonts w:cs="Arial"/>
                <w:color w:val="000000"/>
                <w:szCs w:val="22"/>
              </w:rPr>
              <w:t>)</w:t>
            </w:r>
          </w:p>
        </w:tc>
        <w:tc>
          <w:tcPr>
            <w:tcW w:w="1073" w:type="dxa"/>
            <w:tcBorders>
              <w:top w:val="single" w:sz="4" w:space="0" w:color="auto"/>
              <w:left w:val="nil"/>
              <w:bottom w:val="nil"/>
              <w:right w:val="single" w:sz="4" w:space="0" w:color="auto"/>
            </w:tcBorders>
            <w:shd w:val="clear" w:color="auto" w:fill="auto"/>
            <w:noWrap/>
            <w:vAlign w:val="bottom"/>
          </w:tcPr>
          <w:p w:rsidR="00F322BB" w:rsidRPr="00CC4F22" w:rsidP="00F322BB" w14:paraId="7F493BFC"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$21,000</w:t>
            </w:r>
            <w:r>
              <w:rPr>
                <w:rFonts w:cs="Arial"/>
                <w:color w:val="000000"/>
                <w:szCs w:val="22"/>
              </w:rPr>
              <w:t>)</w:t>
            </w:r>
          </w:p>
        </w:tc>
        <w:tc>
          <w:tcPr>
            <w:tcW w:w="1465" w:type="dxa"/>
            <w:tcBorders>
              <w:top w:val="single" w:sz="4" w:space="0" w:color="auto"/>
              <w:left w:val="nil"/>
              <w:bottom w:val="nil"/>
              <w:right w:val="single" w:sz="4" w:space="0" w:color="auto"/>
            </w:tcBorders>
            <w:shd w:val="clear" w:color="auto" w:fill="auto"/>
            <w:noWrap/>
            <w:vAlign w:val="bottom"/>
          </w:tcPr>
          <w:p w:rsidR="00F322BB" w:rsidRPr="00CC4F22" w:rsidP="00F322BB" w14:paraId="7F493BFD" w14:textId="77777777">
            <w:pPr>
              <w:keepNext/>
              <w:autoSpaceDE/>
              <w:autoSpaceDN/>
              <w:adjustRightInd/>
              <w:jc w:val="center"/>
              <w:rPr>
                <w:rFonts w:cs="Arial"/>
                <w:color w:val="000000"/>
              </w:rPr>
            </w:pPr>
            <w:r>
              <w:rPr>
                <w:rFonts w:cs="Arial"/>
                <w:color w:val="000000"/>
                <w:szCs w:val="22"/>
              </w:rPr>
              <w:t>(</w:t>
            </w:r>
            <w:r w:rsidRPr="00CC4F22">
              <w:rPr>
                <w:rFonts w:cs="Arial"/>
                <w:color w:val="000000"/>
                <w:szCs w:val="22"/>
              </w:rPr>
              <w:t>$21,000</w:t>
            </w:r>
            <w:r>
              <w:rPr>
                <w:rFonts w:cs="Arial"/>
                <w:color w:val="000000"/>
                <w:szCs w:val="22"/>
              </w:rPr>
              <w:t>)</w:t>
            </w:r>
          </w:p>
        </w:tc>
      </w:tr>
      <w:tr w14:paraId="7F493C04" w14:textId="77777777" w:rsidTr="00CC4F22">
        <w:tblPrEx>
          <w:tblW w:w="5837" w:type="dxa"/>
          <w:jc w:val="center"/>
          <w:tblLook w:val="04A0"/>
        </w:tblPrEx>
        <w:trPr>
          <w:trHeight w:val="269"/>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322BB" w:rsidRPr="00D839EE" w:rsidP="00CC4F22" w14:paraId="7F493BFF" w14:textId="77777777">
            <w:pPr>
              <w:keepNext/>
              <w:autoSpaceDE/>
              <w:autoSpaceDN/>
              <w:adjustRightInd/>
              <w:rPr>
                <w:rFonts w:cs="Arial"/>
                <w:b/>
                <w:bCs/>
                <w:color w:val="000000"/>
              </w:rPr>
            </w:pPr>
            <w:r>
              <w:rPr>
                <w:rFonts w:cs="Arial"/>
                <w:b/>
                <w:bCs/>
                <w:color w:val="000000"/>
              </w:rPr>
              <w:t>Total</w:t>
            </w:r>
          </w:p>
        </w:tc>
        <w:tc>
          <w:tcPr>
            <w:tcW w:w="1073" w:type="dxa"/>
            <w:tcBorders>
              <w:top w:val="single" w:sz="4" w:space="0" w:color="auto"/>
              <w:left w:val="nil"/>
              <w:bottom w:val="single" w:sz="4" w:space="0" w:color="auto"/>
              <w:right w:val="nil"/>
            </w:tcBorders>
            <w:shd w:val="clear" w:color="auto" w:fill="auto"/>
            <w:noWrap/>
            <w:vAlign w:val="bottom"/>
          </w:tcPr>
          <w:p w:rsidR="00F322BB" w:rsidRPr="00CC4F22" w:rsidP="00F322BB" w14:paraId="7F493C00" w14:textId="77777777">
            <w:pPr>
              <w:keepNext/>
              <w:autoSpaceDE/>
              <w:autoSpaceDN/>
              <w:adjustRightInd/>
              <w:jc w:val="center"/>
              <w:rPr>
                <w:rFonts w:cs="Arial"/>
                <w:b/>
                <w:color w:val="000000"/>
              </w:rPr>
            </w:pPr>
            <w:r>
              <w:rPr>
                <w:rFonts w:cs="Arial"/>
                <w:color w:val="000000"/>
                <w:szCs w:val="22"/>
              </w:rPr>
              <w:t>(</w:t>
            </w:r>
            <w:r w:rsidRPr="00CC4F22">
              <w:rPr>
                <w:rFonts w:cs="Arial"/>
                <w:color w:val="000000"/>
                <w:szCs w:val="22"/>
              </w:rPr>
              <w:t>$26,000</w:t>
            </w:r>
            <w:r>
              <w:rPr>
                <w:rFonts w:cs="Arial"/>
                <w:color w:val="000000"/>
                <w:szCs w:val="22"/>
              </w:rPr>
              <w:t>)</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22BB" w:rsidRPr="00CC4F22" w:rsidP="00F322BB" w14:paraId="7F493C01" w14:textId="77777777">
            <w:pPr>
              <w:keepNext/>
              <w:autoSpaceDE/>
              <w:autoSpaceDN/>
              <w:adjustRightInd/>
              <w:jc w:val="center"/>
              <w:rPr>
                <w:rFonts w:cs="Arial"/>
                <w:b/>
                <w:color w:val="000000"/>
              </w:rPr>
            </w:pPr>
            <w:r>
              <w:rPr>
                <w:rFonts w:cs="Arial"/>
                <w:color w:val="000000"/>
                <w:szCs w:val="22"/>
              </w:rPr>
              <w:t>(</w:t>
            </w:r>
            <w:r w:rsidRPr="00CC4F22">
              <w:rPr>
                <w:rFonts w:cs="Arial"/>
                <w:color w:val="000000"/>
                <w:szCs w:val="22"/>
              </w:rPr>
              <w:t>$37,000</w:t>
            </w:r>
            <w:r>
              <w:rPr>
                <w:rFonts w:cs="Arial"/>
                <w:color w:val="000000"/>
                <w:szCs w:val="22"/>
              </w:rPr>
              <w:t>)</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F322BB" w:rsidRPr="00CC4F22" w:rsidP="00F322BB" w14:paraId="7F493C02" w14:textId="77777777">
            <w:pPr>
              <w:keepNext/>
              <w:autoSpaceDE/>
              <w:autoSpaceDN/>
              <w:adjustRightInd/>
              <w:jc w:val="center"/>
              <w:rPr>
                <w:rFonts w:cs="Arial"/>
                <w:b/>
                <w:color w:val="000000"/>
              </w:rPr>
            </w:pPr>
            <w:r>
              <w:rPr>
                <w:rFonts w:cs="Arial"/>
                <w:color w:val="000000"/>
                <w:szCs w:val="22"/>
              </w:rPr>
              <w:t>(</w:t>
            </w:r>
            <w:r w:rsidRPr="00CC4F22">
              <w:rPr>
                <w:rFonts w:cs="Arial"/>
                <w:color w:val="000000"/>
                <w:szCs w:val="22"/>
              </w:rPr>
              <w:t>$57,000</w:t>
            </w:r>
            <w:r>
              <w:rPr>
                <w:rFonts w:cs="Arial"/>
                <w:color w:val="000000"/>
                <w:szCs w:val="22"/>
              </w:rPr>
              <w:t>)</w:t>
            </w:r>
          </w:p>
        </w:tc>
        <w:tc>
          <w:tcPr>
            <w:tcW w:w="1465" w:type="dxa"/>
            <w:tcBorders>
              <w:top w:val="single" w:sz="4" w:space="0" w:color="auto"/>
              <w:left w:val="nil"/>
              <w:bottom w:val="single" w:sz="4" w:space="0" w:color="auto"/>
              <w:right w:val="single" w:sz="4" w:space="0" w:color="auto"/>
            </w:tcBorders>
            <w:shd w:val="clear" w:color="auto" w:fill="auto"/>
            <w:noWrap/>
            <w:vAlign w:val="bottom"/>
          </w:tcPr>
          <w:p w:rsidR="00F322BB" w:rsidRPr="00CC4F22" w:rsidP="00F322BB" w14:paraId="7F493C03" w14:textId="77777777">
            <w:pPr>
              <w:keepNext/>
              <w:autoSpaceDE/>
              <w:autoSpaceDN/>
              <w:adjustRightInd/>
              <w:jc w:val="center"/>
              <w:rPr>
                <w:rFonts w:cs="Arial"/>
                <w:b/>
                <w:color w:val="000000"/>
              </w:rPr>
            </w:pPr>
            <w:r>
              <w:rPr>
                <w:rFonts w:cs="Arial"/>
                <w:color w:val="000000"/>
                <w:szCs w:val="22"/>
              </w:rPr>
              <w:t>(</w:t>
            </w:r>
            <w:r w:rsidRPr="00CC4F22">
              <w:rPr>
                <w:rFonts w:cs="Arial"/>
                <w:color w:val="000000"/>
                <w:szCs w:val="22"/>
              </w:rPr>
              <w:t>$62,000</w:t>
            </w:r>
            <w:r>
              <w:rPr>
                <w:rFonts w:cs="Arial"/>
                <w:color w:val="000000"/>
                <w:szCs w:val="22"/>
              </w:rPr>
              <w:t>)</w:t>
            </w:r>
          </w:p>
        </w:tc>
      </w:tr>
    </w:tbl>
    <w:p w:rsidR="00F62733" w:rsidRPr="00D839EE" w:rsidP="00CC4F22" w14:paraId="7F493C05" w14:textId="77777777">
      <w:pPr>
        <w:ind w:left="720" w:firstLine="720"/>
        <w:contextualSpacing/>
        <w:rPr>
          <w:rFonts w:cs="Arial"/>
          <w:sz w:val="18"/>
          <w:szCs w:val="18"/>
        </w:rPr>
      </w:pPr>
      <w:r>
        <w:rPr>
          <w:rFonts w:cs="Arial"/>
          <w:sz w:val="18"/>
          <w:szCs w:val="18"/>
        </w:rPr>
        <w:t xml:space="preserve">      </w:t>
      </w:r>
      <w:r w:rsidRPr="00D839EE">
        <w:rPr>
          <w:rFonts w:cs="Arial"/>
          <w:sz w:val="18"/>
          <w:szCs w:val="18"/>
        </w:rPr>
        <w:t xml:space="preserve">Totals may not </w:t>
      </w:r>
      <w:r>
        <w:rPr>
          <w:rFonts w:cs="Arial"/>
          <w:sz w:val="18"/>
          <w:szCs w:val="18"/>
        </w:rPr>
        <w:t>match</w:t>
      </w:r>
      <w:r w:rsidRPr="00D839EE">
        <w:rPr>
          <w:rFonts w:cs="Arial"/>
          <w:sz w:val="18"/>
          <w:szCs w:val="18"/>
        </w:rPr>
        <w:t xml:space="preserve"> due to rounding.</w:t>
      </w:r>
    </w:p>
    <w:p w:rsidR="00B61DF6" w:rsidRPr="006F3CA2" w:rsidP="00C67E91" w14:paraId="7F493C06" w14:textId="77777777">
      <w:pPr>
        <w:pStyle w:val="Heading3"/>
        <w:spacing w:after="220"/>
        <w:rPr>
          <w:b w:val="0"/>
          <w:bCs w:val="0"/>
          <w:sz w:val="28"/>
          <w:szCs w:val="28"/>
        </w:rPr>
      </w:pPr>
      <w:bookmarkStart w:id="476" w:name="_Toc534037117"/>
      <w:bookmarkStart w:id="477" w:name="_Toc534699737"/>
      <w:bookmarkStart w:id="478" w:name="_Toc536603305"/>
      <w:r>
        <w:t>3.6.5</w:t>
      </w:r>
      <w:r w:rsidRPr="00346B95">
        <w:tab/>
      </w:r>
      <w:r w:rsidR="004113F3">
        <w:t>SHINE</w:t>
      </w:r>
      <w:r w:rsidRPr="00C67E91" w:rsidR="004113F3">
        <w:t xml:space="preserve"> </w:t>
      </w:r>
      <w:r w:rsidRPr="00C67E91">
        <w:t xml:space="preserve">and NWMI </w:t>
      </w:r>
      <w:r w:rsidR="00483B10">
        <w:t>Licensing</w:t>
      </w:r>
      <w:r w:rsidRPr="00C67E91" w:rsidR="00483B10">
        <w:t xml:space="preserve"> </w:t>
      </w:r>
      <w:r w:rsidRPr="00C67E91">
        <w:t>Sensitivity</w:t>
      </w:r>
      <w:bookmarkEnd w:id="476"/>
      <w:bookmarkEnd w:id="477"/>
      <w:bookmarkEnd w:id="478"/>
    </w:p>
    <w:p w:rsidR="00EB05D0" w:rsidRPr="00A67D71" w:rsidP="0083525A" w14:paraId="7F493C07" w14:textId="630269DB">
      <w:pPr>
        <w:pStyle w:val="BodyText"/>
      </w:pPr>
      <w:r w:rsidRPr="00EB05D0">
        <w:t xml:space="preserve">SHINE and NWMI currently hold construction permits for their facilities but have not yet applied for operating licenses. </w:t>
      </w:r>
      <w:r w:rsidR="00792F75">
        <w:t xml:space="preserve"> </w:t>
      </w:r>
      <w:r w:rsidRPr="00EB05D0">
        <w:t>The regulatory analysis assumes that each facility will be licensed to operate in 2021.</w:t>
      </w:r>
      <w:r w:rsidR="00792F75">
        <w:t xml:space="preserve"> </w:t>
      </w:r>
      <w:r w:rsidRPr="00EB05D0">
        <w:t xml:space="preserve"> The actual dates could be earlier or later depending on</w:t>
      </w:r>
      <w:r w:rsidR="0016017C">
        <w:t xml:space="preserve"> various factors, such as</w:t>
      </w:r>
      <w:r w:rsidRPr="00EB05D0">
        <w:t xml:space="preserve"> when SHINE and </w:t>
      </w:r>
      <w:r w:rsidRPr="00A67D71">
        <w:t>NWMI submit operating license applications.</w:t>
      </w:r>
    </w:p>
    <w:p w:rsidR="00EB05D0" w:rsidRPr="00A67D71" w:rsidP="0083525A" w14:paraId="7F493C08" w14:textId="77777777">
      <w:pPr>
        <w:pStyle w:val="BodyText"/>
      </w:pPr>
    </w:p>
    <w:p w:rsidR="00EB05D0" w:rsidRPr="00A67D71" w:rsidP="0083525A" w14:paraId="7F493C09" w14:textId="77777777">
      <w:pPr>
        <w:pStyle w:val="BodyText"/>
      </w:pPr>
      <w:r w:rsidRPr="00A67D71">
        <w:t>If SHINE and NWMI were to receive operating license</w:t>
      </w:r>
      <w:r w:rsidR="00887AEE">
        <w:t>s</w:t>
      </w:r>
      <w:r w:rsidRPr="00A67D71">
        <w:t xml:space="preserve"> prior to 2021, their FSAR update costs would be incurred earlier, and an additional round of subsequent FSAR updates may fall within the analysis period.  Similarly, if they receive their operating license after 2021, their FSAR update costs would be incurred later, and fewer rounds of subsequent FSAR updates may occur during the analysis period.</w:t>
      </w:r>
      <w:r w:rsidRPr="00A67D71" w:rsidR="00364AF0">
        <w:t xml:space="preserve">  </w:t>
      </w:r>
      <w:r w:rsidR="00483B10">
        <w:t xml:space="preserve">The </w:t>
      </w:r>
      <w:r w:rsidRPr="00A67D71" w:rsidR="00364AF0">
        <w:t xml:space="preserve">NRC estimates an additional round of subsequent FSAR updates for the Other NPUF category </w:t>
      </w:r>
      <w:r w:rsidRPr="00A67D71" w:rsidR="00A67D71">
        <w:t>to cost licensees $10,000 and NRC $5,000 per NPUF.</w:t>
      </w:r>
    </w:p>
    <w:p w:rsidR="00EB05D0" w:rsidP="0083525A" w14:paraId="7F493C0A" w14:textId="77777777">
      <w:pPr>
        <w:pStyle w:val="BodyText"/>
        <w:rPr>
          <w:highlight w:val="yellow"/>
        </w:rPr>
      </w:pPr>
    </w:p>
    <w:p w:rsidR="006A7FDF" w:rsidP="0083525A" w14:paraId="7F493C0B" w14:textId="77777777">
      <w:pPr>
        <w:pStyle w:val="BodyText"/>
        <w:rPr>
          <w:highlight w:val="yellow"/>
        </w:rPr>
      </w:pPr>
    </w:p>
    <w:p w:rsidR="006A7FDF" w:rsidP="0083525A" w14:paraId="7F493C0C" w14:textId="77777777">
      <w:pPr>
        <w:pStyle w:val="BodyText"/>
        <w:rPr>
          <w:highlight w:val="yellow"/>
        </w:rPr>
      </w:pPr>
    </w:p>
    <w:p w:rsidR="006A7FDF" w:rsidP="0083525A" w14:paraId="7F493C0D" w14:textId="77777777">
      <w:pPr>
        <w:pStyle w:val="BodyText"/>
        <w:rPr>
          <w:highlight w:val="yellow"/>
        </w:rPr>
      </w:pPr>
    </w:p>
    <w:p w:rsidR="005E0621" w14:paraId="7F493C0E" w14:textId="77777777">
      <w:pPr>
        <w:autoSpaceDE/>
        <w:autoSpaceDN/>
        <w:adjustRightInd/>
        <w:spacing w:after="160" w:line="259" w:lineRule="auto"/>
        <w:rPr>
          <w:rFonts w:cs="Arial"/>
          <w:b/>
          <w:bCs/>
          <w:kern w:val="32"/>
          <w:sz w:val="32"/>
          <w:szCs w:val="32"/>
        </w:rPr>
      </w:pPr>
      <w:bookmarkStart w:id="479" w:name="_Toc534699738"/>
      <w:r>
        <w:rPr>
          <w:b/>
          <w:bCs/>
          <w:kern w:val="32"/>
          <w:sz w:val="32"/>
          <w:szCs w:val="32"/>
        </w:rPr>
        <w:br w:type="page"/>
      </w:r>
    </w:p>
    <w:p w:rsidR="00EB05D0" w:rsidP="00AC515D" w14:paraId="7F493C0F" w14:textId="77777777">
      <w:pPr>
        <w:pStyle w:val="BodyText"/>
        <w:spacing w:before="240" w:after="120"/>
        <w:outlineLvl w:val="0"/>
        <w:rPr>
          <w:b/>
          <w:kern w:val="32"/>
          <w:sz w:val="32"/>
          <w:szCs w:val="32"/>
        </w:rPr>
      </w:pPr>
      <w:bookmarkStart w:id="480" w:name="_Toc536603306"/>
      <w:r w:rsidRPr="00D839EE">
        <w:rPr>
          <w:b/>
          <w:bCs/>
          <w:kern w:val="32"/>
          <w:sz w:val="32"/>
          <w:szCs w:val="32"/>
        </w:rPr>
        <w:t xml:space="preserve">4. </w:t>
      </w:r>
      <w:r w:rsidRPr="00D839EE">
        <w:rPr>
          <w:b/>
          <w:bCs/>
          <w:kern w:val="32"/>
          <w:sz w:val="32"/>
          <w:szCs w:val="32"/>
        </w:rPr>
        <w:tab/>
      </w:r>
      <w:r w:rsidRPr="00D96410">
        <w:rPr>
          <w:b/>
          <w:bCs/>
          <w:kern w:val="32"/>
          <w:sz w:val="32"/>
          <w:szCs w:val="32"/>
        </w:rPr>
        <w:t>Regulatory Flexibility Analysis</w:t>
      </w:r>
      <w:bookmarkEnd w:id="479"/>
      <w:bookmarkEnd w:id="480"/>
    </w:p>
    <w:p w:rsidR="00617D9D" w:rsidRPr="00A12833" w:rsidP="00D96410" w14:paraId="7F493C10" w14:textId="77777777">
      <w:pPr>
        <w:pStyle w:val="BodyText"/>
      </w:pPr>
      <w:r w:rsidRPr="00D66301">
        <w:t xml:space="preserve">The Regulatory Flexibility Act (RFA), as amended at 5 U.S.C. 601 et seq. </w:t>
      </w:r>
      <w:r w:rsidR="00D168E7">
        <w:t>(</w:t>
      </w:r>
      <w:r w:rsidRPr="00A352B9" w:rsidR="00D168E7">
        <w:t>Ref</w:t>
      </w:r>
      <w:r w:rsidRPr="00A352B9" w:rsidR="00603CF5">
        <w:t>.</w:t>
      </w:r>
      <w:r w:rsidRPr="00A352B9" w:rsidR="00D168E7">
        <w:t xml:space="preserve"> 7</w:t>
      </w:r>
      <w:r w:rsidR="00D168E7">
        <w:t>)</w:t>
      </w:r>
      <w:r w:rsidR="00603CF5">
        <w:t>,</w:t>
      </w:r>
      <w:r w:rsidR="00D168E7">
        <w:t xml:space="preserve"> </w:t>
      </w:r>
      <w:r w:rsidRPr="00D66301">
        <w:t>requires that agencies consider the impact of their rulemakings on small entities and, consistent with applicable statutes, consider alternatives to minimize these impacts on the businesses, organizations, and government jurisdictions to which they apply.</w:t>
      </w:r>
    </w:p>
    <w:p w:rsidR="00617D9D" w:rsidRPr="00B9144B" w:rsidP="00617D9D" w14:paraId="7F493C11" w14:textId="77777777">
      <w:pPr>
        <w:pStyle w:val="NormalWeb"/>
        <w:shd w:val="clear" w:color="auto" w:fill="FFFFFF"/>
        <w:spacing w:before="0" w:beforeAutospacing="0" w:after="0" w:afterAutospacing="0"/>
        <w:rPr>
          <w:rFonts w:ascii="Arial" w:hAnsi="Arial" w:cs="Arial"/>
          <w:sz w:val="22"/>
          <w:szCs w:val="22"/>
        </w:rPr>
      </w:pPr>
    </w:p>
    <w:p w:rsidR="00BA431F" w:rsidRPr="00AC515D" w:rsidP="00B9144B" w14:paraId="7F493C12" w14:textId="77777777">
      <w:pPr>
        <w:pStyle w:val="NormalWeb"/>
        <w:shd w:val="clear" w:color="auto" w:fill="FFFFFF"/>
        <w:spacing w:before="0" w:beforeAutospacing="0" w:after="0" w:afterAutospacing="0"/>
        <w:rPr>
          <w:rFonts w:ascii="Arial" w:hAnsi="Arial" w:cs="Arial"/>
          <w:sz w:val="22"/>
          <w:szCs w:val="22"/>
        </w:rPr>
      </w:pPr>
      <w:r w:rsidRPr="00B9144B">
        <w:rPr>
          <w:rFonts w:ascii="Arial" w:hAnsi="Arial" w:cs="Arial"/>
          <w:sz w:val="22"/>
          <w:szCs w:val="22"/>
        </w:rPr>
        <w:t>In accordance with Small Business Administration's (SBA) regulation 13 CFR 121.903(c</w:t>
      </w:r>
      <w:r w:rsidRPr="00A352B9">
        <w:rPr>
          <w:rFonts w:ascii="Arial" w:hAnsi="Arial" w:cs="Arial"/>
          <w:sz w:val="22"/>
          <w:szCs w:val="22"/>
        </w:rPr>
        <w:t>)</w:t>
      </w:r>
      <w:r w:rsidRPr="00A352B9" w:rsidR="00D168E7">
        <w:rPr>
          <w:rFonts w:ascii="Arial" w:hAnsi="Arial" w:cs="Arial"/>
          <w:sz w:val="22"/>
          <w:szCs w:val="22"/>
        </w:rPr>
        <w:t xml:space="preserve"> (Ref</w:t>
      </w:r>
      <w:r w:rsidRPr="00A352B9" w:rsidR="00A352B9">
        <w:rPr>
          <w:rFonts w:ascii="Arial" w:hAnsi="Arial" w:cs="Arial"/>
          <w:sz w:val="22"/>
          <w:szCs w:val="22"/>
        </w:rPr>
        <w:t>.</w:t>
      </w:r>
      <w:r w:rsidR="00B4757F">
        <w:rPr>
          <w:rFonts w:ascii="Arial" w:hAnsi="Arial" w:cs="Arial"/>
          <w:sz w:val="22"/>
          <w:szCs w:val="22"/>
        </w:rPr>
        <w:t> </w:t>
      </w:r>
      <w:r w:rsidR="00AA56A2">
        <w:rPr>
          <w:rFonts w:ascii="Arial" w:hAnsi="Arial" w:cs="Arial"/>
          <w:sz w:val="22"/>
          <w:szCs w:val="22"/>
        </w:rPr>
        <w:t>36</w:t>
      </w:r>
      <w:r w:rsidRPr="00B9144B">
        <w:rPr>
          <w:rFonts w:ascii="Arial" w:hAnsi="Arial" w:cs="Arial"/>
          <w:sz w:val="22"/>
          <w:szCs w:val="22"/>
        </w:rPr>
        <w:t xml:space="preserve">), the NRC has developed its own size standards for performing a Regulatory Flexibility Analysis pursuant to the RFA, and has verified with the SBA Office of Advocacy that its size standards are appropriate for NRC analyses. </w:t>
      </w:r>
      <w:r w:rsidRPr="00AC515D" w:rsidR="00A93817">
        <w:rPr>
          <w:rFonts w:ascii="Arial" w:hAnsi="Arial" w:cs="Arial"/>
          <w:sz w:val="22"/>
          <w:szCs w:val="22"/>
        </w:rPr>
        <w:t xml:space="preserve"> </w:t>
      </w:r>
      <w:r w:rsidRPr="00B9144B">
        <w:rPr>
          <w:rFonts w:ascii="Arial" w:hAnsi="Arial" w:cs="Arial"/>
          <w:sz w:val="22"/>
          <w:szCs w:val="22"/>
        </w:rPr>
        <w:t xml:space="preserve">The NRC size standards at 10 CFR 2.810 are used to determine whether a licensee qualifies as a small entity in the NRC's regulatory programs. </w:t>
      </w:r>
      <w:r w:rsidRPr="00AC515D" w:rsidR="00A93817">
        <w:rPr>
          <w:rFonts w:ascii="Arial" w:hAnsi="Arial" w:cs="Arial"/>
          <w:sz w:val="22"/>
          <w:szCs w:val="22"/>
        </w:rPr>
        <w:t xml:space="preserve"> </w:t>
      </w:r>
      <w:r w:rsidRPr="00B9144B">
        <w:rPr>
          <w:rFonts w:ascii="Arial" w:hAnsi="Arial" w:cs="Arial"/>
          <w:sz w:val="22"/>
          <w:szCs w:val="22"/>
        </w:rPr>
        <w:t>Section 2.810 defines the following types of small entities:</w:t>
      </w:r>
    </w:p>
    <w:p w:rsidR="00BA431F" w:rsidRPr="00B9144B" w:rsidP="00B9144B" w14:paraId="7F493C13" w14:textId="77777777">
      <w:pPr>
        <w:pStyle w:val="NormalWeb"/>
        <w:shd w:val="clear" w:color="auto" w:fill="FFFFFF"/>
        <w:spacing w:before="0" w:beforeAutospacing="0" w:after="0" w:afterAutospacing="0"/>
        <w:rPr>
          <w:rFonts w:ascii="Arial" w:hAnsi="Arial" w:cs="Arial"/>
          <w:sz w:val="22"/>
          <w:szCs w:val="22"/>
        </w:rPr>
      </w:pPr>
    </w:p>
    <w:p w:rsidR="00BA431F" w:rsidP="00B9144B" w14:paraId="7F493C14" w14:textId="77777777">
      <w:pPr>
        <w:pStyle w:val="NormalWeb"/>
        <w:spacing w:before="0" w:beforeAutospacing="0" w:after="0" w:afterAutospacing="0"/>
        <w:ind w:left="720"/>
        <w:rPr>
          <w:rFonts w:ascii="Arial" w:hAnsi="Arial" w:cs="Arial"/>
          <w:sz w:val="22"/>
          <w:szCs w:val="22"/>
        </w:rPr>
      </w:pPr>
      <w:r w:rsidRPr="00B9144B">
        <w:rPr>
          <w:rFonts w:ascii="Arial" w:hAnsi="Arial" w:cs="Arial"/>
          <w:b/>
          <w:sz w:val="22"/>
          <w:szCs w:val="22"/>
        </w:rPr>
        <w:t>small business:</w:t>
      </w:r>
      <w:r w:rsidR="0008631B">
        <w:rPr>
          <w:rFonts w:ascii="Arial" w:hAnsi="Arial" w:cs="Arial"/>
          <w:b/>
          <w:sz w:val="22"/>
          <w:szCs w:val="22"/>
        </w:rPr>
        <w:t xml:space="preserve"> </w:t>
      </w:r>
      <w:r w:rsidRPr="00B9144B">
        <w:rPr>
          <w:rFonts w:ascii="Arial" w:hAnsi="Arial" w:cs="Arial"/>
          <w:sz w:val="22"/>
          <w:szCs w:val="22"/>
        </w:rPr>
        <w:t> a for-profit concern and is a— (1) Concern that provides a service or a concern not engaged in manufacturing with average gross receipts of $7.0 million or less over its last 3 completed fiscal years; or (2) Manufacturing concern with an average number of 500 or fewer employees based upon employment during each pay period for the preceding 12 calendar months.</w:t>
      </w:r>
    </w:p>
    <w:p w:rsidR="00BA431F" w:rsidRPr="00B9144B" w:rsidP="00B9144B" w14:paraId="7F493C15" w14:textId="77777777">
      <w:pPr>
        <w:pStyle w:val="NormalWeb"/>
        <w:spacing w:before="0" w:beforeAutospacing="0" w:after="0" w:afterAutospacing="0"/>
        <w:ind w:left="720"/>
        <w:rPr>
          <w:rFonts w:ascii="Arial" w:hAnsi="Arial" w:cs="Arial"/>
          <w:sz w:val="22"/>
          <w:szCs w:val="22"/>
        </w:rPr>
      </w:pPr>
    </w:p>
    <w:p w:rsidR="00BA431F" w:rsidP="00B9144B" w14:paraId="7F493C16" w14:textId="77777777">
      <w:pPr>
        <w:pStyle w:val="NormalWeb"/>
        <w:spacing w:before="0" w:beforeAutospacing="0" w:after="0" w:afterAutospacing="0"/>
        <w:ind w:left="720"/>
        <w:rPr>
          <w:rFonts w:ascii="Arial" w:hAnsi="Arial" w:cs="Arial"/>
          <w:sz w:val="22"/>
          <w:szCs w:val="22"/>
        </w:rPr>
      </w:pPr>
      <w:r w:rsidRPr="00B9144B">
        <w:rPr>
          <w:rFonts w:ascii="Arial" w:hAnsi="Arial" w:cs="Arial"/>
          <w:b/>
          <w:sz w:val="22"/>
          <w:szCs w:val="22"/>
        </w:rPr>
        <w:t>small organization:</w:t>
      </w:r>
      <w:r w:rsidRPr="00B9144B">
        <w:rPr>
          <w:rFonts w:ascii="Arial" w:hAnsi="Arial" w:cs="Arial"/>
          <w:sz w:val="22"/>
          <w:szCs w:val="22"/>
        </w:rPr>
        <w:t> </w:t>
      </w:r>
      <w:r w:rsidR="0008631B">
        <w:rPr>
          <w:rFonts w:ascii="Arial" w:hAnsi="Arial" w:cs="Arial"/>
          <w:sz w:val="22"/>
          <w:szCs w:val="22"/>
        </w:rPr>
        <w:t xml:space="preserve"> </w:t>
      </w:r>
      <w:r w:rsidRPr="00B9144B">
        <w:rPr>
          <w:rFonts w:ascii="Arial" w:hAnsi="Arial" w:cs="Arial"/>
          <w:sz w:val="22"/>
          <w:szCs w:val="22"/>
        </w:rPr>
        <w:t>a not-for-profit organization which is independently owned and operated and has annual gross receipts of $7.0 million or less.</w:t>
      </w:r>
    </w:p>
    <w:p w:rsidR="00BA431F" w:rsidRPr="00B9144B" w:rsidP="00B9144B" w14:paraId="7F493C17" w14:textId="77777777">
      <w:pPr>
        <w:pStyle w:val="NormalWeb"/>
        <w:spacing w:before="0" w:beforeAutospacing="0" w:after="0" w:afterAutospacing="0"/>
        <w:ind w:left="720"/>
        <w:rPr>
          <w:rFonts w:ascii="Arial" w:hAnsi="Arial" w:cs="Arial"/>
          <w:sz w:val="22"/>
          <w:szCs w:val="22"/>
        </w:rPr>
      </w:pPr>
    </w:p>
    <w:p w:rsidR="00BA431F" w:rsidP="00B9144B" w14:paraId="7F493C18" w14:textId="77777777">
      <w:pPr>
        <w:pStyle w:val="NormalWeb"/>
        <w:spacing w:before="0" w:beforeAutospacing="0" w:after="0" w:afterAutospacing="0"/>
        <w:ind w:left="720"/>
        <w:rPr>
          <w:rFonts w:ascii="Arial" w:hAnsi="Arial" w:cs="Arial"/>
          <w:sz w:val="22"/>
          <w:szCs w:val="22"/>
        </w:rPr>
      </w:pPr>
      <w:r w:rsidRPr="00B9144B">
        <w:rPr>
          <w:rFonts w:ascii="Arial" w:hAnsi="Arial" w:cs="Arial"/>
          <w:b/>
          <w:sz w:val="22"/>
          <w:szCs w:val="22"/>
        </w:rPr>
        <w:t>small governmental jurisdiction:</w:t>
      </w:r>
      <w:r w:rsidR="0008631B">
        <w:rPr>
          <w:rFonts w:ascii="Arial" w:hAnsi="Arial" w:cs="Arial"/>
          <w:b/>
          <w:sz w:val="22"/>
          <w:szCs w:val="22"/>
        </w:rPr>
        <w:t xml:space="preserve"> </w:t>
      </w:r>
      <w:r w:rsidRPr="00B9144B">
        <w:rPr>
          <w:rFonts w:ascii="Arial" w:hAnsi="Arial" w:cs="Arial"/>
          <w:sz w:val="22"/>
          <w:szCs w:val="22"/>
        </w:rPr>
        <w:t> a small governmental jurisdiction is a government of a city, county, town, township, village, school district, or special district with a population of less than 50,000.</w:t>
      </w:r>
    </w:p>
    <w:p w:rsidR="00BA431F" w:rsidRPr="00B9144B" w:rsidP="00B9144B" w14:paraId="7F493C19" w14:textId="77777777">
      <w:pPr>
        <w:pStyle w:val="NormalWeb"/>
        <w:spacing w:before="0" w:beforeAutospacing="0" w:after="0" w:afterAutospacing="0"/>
        <w:ind w:left="720"/>
        <w:rPr>
          <w:rFonts w:ascii="Arial" w:hAnsi="Arial" w:cs="Arial"/>
          <w:sz w:val="22"/>
          <w:szCs w:val="22"/>
        </w:rPr>
      </w:pPr>
    </w:p>
    <w:p w:rsidR="00BA431F" w:rsidRPr="00B9144B" w:rsidP="00B9144B" w14:paraId="7F493C1A" w14:textId="77777777">
      <w:pPr>
        <w:pStyle w:val="NormalWeb"/>
        <w:spacing w:before="0" w:beforeAutospacing="0" w:after="0" w:afterAutospacing="0"/>
        <w:ind w:left="720"/>
        <w:rPr>
          <w:rFonts w:ascii="Arial" w:hAnsi="Arial" w:cs="Arial"/>
          <w:sz w:val="22"/>
          <w:szCs w:val="22"/>
        </w:rPr>
      </w:pPr>
      <w:r w:rsidRPr="00B9144B">
        <w:rPr>
          <w:rFonts w:ascii="Arial" w:hAnsi="Arial" w:cs="Arial"/>
          <w:b/>
          <w:sz w:val="22"/>
          <w:szCs w:val="22"/>
        </w:rPr>
        <w:t>small educational institution:</w:t>
      </w:r>
      <w:r w:rsidRPr="00B9144B">
        <w:rPr>
          <w:rFonts w:ascii="Arial" w:hAnsi="Arial" w:cs="Arial"/>
          <w:sz w:val="22"/>
          <w:szCs w:val="22"/>
        </w:rPr>
        <w:t> </w:t>
      </w:r>
      <w:r w:rsidR="0008631B">
        <w:rPr>
          <w:rFonts w:ascii="Arial" w:hAnsi="Arial" w:cs="Arial"/>
          <w:sz w:val="22"/>
          <w:szCs w:val="22"/>
        </w:rPr>
        <w:t xml:space="preserve"> </w:t>
      </w:r>
      <w:r w:rsidRPr="00B9144B">
        <w:rPr>
          <w:rFonts w:ascii="Arial" w:hAnsi="Arial" w:cs="Arial"/>
          <w:sz w:val="22"/>
          <w:szCs w:val="22"/>
        </w:rPr>
        <w:t>one that is— (1) Supported by a qualifying small governmental jurisdiction; or (2) Not state or publicly supported and has 500 or fewer employees.</w:t>
      </w:r>
    </w:p>
    <w:p w:rsidR="00617D9D" w:rsidRPr="00143BBF" w14:paraId="7F493C1B" w14:textId="77777777">
      <w:pPr>
        <w:pStyle w:val="BodyText"/>
        <w:rPr>
          <w:szCs w:val="20"/>
        </w:rPr>
      </w:pPr>
    </w:p>
    <w:p w:rsidR="003B1DAB" w:rsidRPr="00D96410" w14:paraId="7F493C1C" w14:textId="77777777">
      <w:pPr>
        <w:pStyle w:val="BodyText"/>
        <w:rPr>
          <w:i/>
        </w:rPr>
      </w:pPr>
      <w:r w:rsidRPr="00D96410">
        <w:rPr>
          <w:i/>
        </w:rPr>
        <w:t>Number of Small Entities Affected</w:t>
      </w:r>
    </w:p>
    <w:p w:rsidR="003B1DAB" w:rsidP="00BC67E1" w14:paraId="7F493C1D" w14:textId="77777777">
      <w:pPr>
        <w:pStyle w:val="BodyText"/>
      </w:pPr>
    </w:p>
    <w:p w:rsidR="003B29A0" w14:paraId="7F493C1E" w14:textId="77777777">
      <w:pPr>
        <w:pStyle w:val="BodyText"/>
      </w:pPr>
      <w:r w:rsidRPr="0024350E">
        <w:t>The NRC has de</w:t>
      </w:r>
      <w:r w:rsidR="00A93817">
        <w:t>termined that one of the 31</w:t>
      </w:r>
      <w:r w:rsidRPr="0024350E">
        <w:t xml:space="preserve"> NPUFs </w:t>
      </w:r>
      <w:r w:rsidRPr="0024350E" w:rsidR="00AB17D3">
        <w:t>current</w:t>
      </w:r>
      <w:r w:rsidR="00AB17D3">
        <w:t>ly licensed to operate</w:t>
      </w:r>
      <w:r w:rsidRPr="0024350E" w:rsidR="00AB17D3">
        <w:t xml:space="preserve"> </w:t>
      </w:r>
      <w:r w:rsidR="00897AC1">
        <w:t>may be considered</w:t>
      </w:r>
      <w:r w:rsidRPr="0024350E">
        <w:t xml:space="preserve"> </w:t>
      </w:r>
      <w:r w:rsidR="00A93817">
        <w:t>a small entity</w:t>
      </w:r>
      <w:r>
        <w:t xml:space="preserve"> </w:t>
      </w:r>
      <w:r w:rsidRPr="0024350E">
        <w:t xml:space="preserve">impacted by this </w:t>
      </w:r>
      <w:r w:rsidR="00AB17D3">
        <w:t xml:space="preserve">final </w:t>
      </w:r>
      <w:r w:rsidR="00A93817">
        <w:t xml:space="preserve">rule.  </w:t>
      </w:r>
      <w:r w:rsidR="00BC67E1">
        <w:t>Aerotest Radiography and Research</w:t>
      </w:r>
      <w:r w:rsidR="003B1DAB">
        <w:t xml:space="preserve"> </w:t>
      </w:r>
      <w:r w:rsidR="00BC67E1">
        <w:t>Reactor</w:t>
      </w:r>
      <w:r w:rsidR="00BC67E1">
        <w:t xml:space="preserve"> </w:t>
      </w:r>
      <w:r w:rsidR="004E601C">
        <w:t xml:space="preserve">(license R-98) </w:t>
      </w:r>
      <w:r w:rsidR="003B1DAB">
        <w:t>was granted small entity status under the regulations at 10</w:t>
      </w:r>
      <w:r w:rsidR="00897AC1">
        <w:t> </w:t>
      </w:r>
      <w:r w:rsidR="003B1DAB">
        <w:t>CFR</w:t>
      </w:r>
      <w:r w:rsidR="00897AC1">
        <w:t> </w:t>
      </w:r>
      <w:r w:rsidR="003B1DAB">
        <w:t>171.16(c).  These regulations state that certain NRC licensees may pay reduced annual fees if they qualify as small entities—although it does not include licensees authorized to conduct activities under 10</w:t>
      </w:r>
      <w:r w:rsidR="004113F3">
        <w:t> </w:t>
      </w:r>
      <w:r w:rsidR="003B1DAB">
        <w:t xml:space="preserve">CFR </w:t>
      </w:r>
      <w:r w:rsidR="00483B10">
        <w:t xml:space="preserve">Part </w:t>
      </w:r>
      <w:r w:rsidR="003B1DAB">
        <w:t>50</w:t>
      </w:r>
      <w:r w:rsidR="00AC5314">
        <w:t xml:space="preserve"> </w:t>
      </w:r>
      <w:r w:rsidR="004113F3">
        <w:t xml:space="preserve">such as </w:t>
      </w:r>
      <w:r w:rsidR="00AC5314">
        <w:t>Aerotest</w:t>
      </w:r>
      <w:r w:rsidR="003B1DAB">
        <w:t xml:space="preserve">.  Although </w:t>
      </w:r>
      <w:r w:rsidR="00AC5314">
        <w:t>this</w:t>
      </w:r>
      <w:r w:rsidR="003B1DAB">
        <w:t xml:space="preserve"> small entity regulation does not apply to 10</w:t>
      </w:r>
      <w:r w:rsidR="004113F3">
        <w:t> </w:t>
      </w:r>
      <w:r w:rsidR="003B1DAB">
        <w:t xml:space="preserve">CFR Part 50 licensees, the NRC granted Aerotest’s request for a one-time fee exemption.  In subsequent years, the NRC requested Aerotest to submit a new request for a fee exemption for each fiscal year for which it desires an exemption </w:t>
      </w:r>
      <w:r w:rsidRPr="00F22990" w:rsidR="00D168E7">
        <w:t>(Ref</w:t>
      </w:r>
      <w:r w:rsidRPr="00F22990" w:rsidR="00A352B9">
        <w:t>.</w:t>
      </w:r>
      <w:r w:rsidRPr="00F22990" w:rsidR="00D168E7">
        <w:t xml:space="preserve"> </w:t>
      </w:r>
      <w:r w:rsidR="00AA56A2">
        <w:t>37</w:t>
      </w:r>
      <w:r w:rsidRPr="00F22990" w:rsidR="00D168E7">
        <w:t>)</w:t>
      </w:r>
      <w:r w:rsidRPr="00F22990" w:rsidR="003B1DAB">
        <w:t>.</w:t>
      </w:r>
      <w:r w:rsidR="00897AC1">
        <w:t xml:space="preserve">  Therefore, Aerotest’s status as a small entity </w:t>
      </w:r>
      <w:r w:rsidR="00494D28">
        <w:t>will need to be reviewed year-</w:t>
      </w:r>
      <w:r w:rsidR="0019196A">
        <w:t>to</w:t>
      </w:r>
      <w:r w:rsidR="00494D28">
        <w:t>-year.</w:t>
      </w:r>
      <w:r w:rsidR="00AC5314">
        <w:t xml:space="preserve"> </w:t>
      </w:r>
      <w:r w:rsidR="00494D28">
        <w:t xml:space="preserve"> </w:t>
      </w:r>
    </w:p>
    <w:p w:rsidR="00494D28" w:rsidP="003B1DAB" w14:paraId="7F493C1F" w14:textId="77777777">
      <w:pPr>
        <w:pStyle w:val="BodyText"/>
      </w:pPr>
    </w:p>
    <w:p w:rsidR="0019196A" w:rsidP="0019196A" w14:paraId="7F493C20" w14:textId="77777777">
      <w:pPr>
        <w:pStyle w:val="BodyText"/>
      </w:pPr>
      <w:r w:rsidRPr="00B9144B">
        <w:t xml:space="preserve">Aerotest is a unique licensee.  </w:t>
      </w:r>
      <w:r>
        <w:t>Beginning in October 2010, Aerotest ceased day-to-day operations (reactor operation continued for surveillances) as the result of NRC investigations regarding foreign ownership and control concerns.  In July 2013, the NRC issued Order EA</w:t>
      </w:r>
      <w:r w:rsidR="004113F3">
        <w:noBreakHyphen/>
      </w:r>
      <w:r>
        <w:t>13</w:t>
      </w:r>
      <w:r w:rsidR="004113F3">
        <w:noBreakHyphen/>
      </w:r>
      <w:r>
        <w:t>097</w:t>
      </w:r>
      <w:r w:rsidRPr="00F22990" w:rsidR="00D168E7">
        <w:t xml:space="preserve"> (Ref</w:t>
      </w:r>
      <w:r w:rsidRPr="00F22990" w:rsidR="00F22990">
        <w:t>.</w:t>
      </w:r>
      <w:r w:rsidRPr="00F22990" w:rsidR="00D168E7">
        <w:t xml:space="preserve"> </w:t>
      </w:r>
      <w:r w:rsidR="00AA56A2">
        <w:t>38</w:t>
      </w:r>
      <w:r w:rsidRPr="00F22990" w:rsidR="00D168E7">
        <w:t>)</w:t>
      </w:r>
      <w:r w:rsidRPr="00F22990">
        <w:t>,</w:t>
      </w:r>
      <w:r>
        <w:t xml:space="preserve"> requiring the license to maintain the facility in shutdown condition.  In July 2017, t</w:t>
      </w:r>
      <w:r w:rsidRPr="00B9144B">
        <w:t>he reactor license was transferred to Nuclear Labyrinth</w:t>
      </w:r>
      <w:r>
        <w:t>, LLC,</w:t>
      </w:r>
      <w:r w:rsidRPr="00B9144B">
        <w:t xml:space="preserve"> </w:t>
      </w:r>
      <w:r>
        <w:t>resolving the</w:t>
      </w:r>
      <w:r w:rsidRPr="00B9144B">
        <w:t xml:space="preserve"> </w:t>
      </w:r>
      <w:r>
        <w:t xml:space="preserve">NRC’s </w:t>
      </w:r>
      <w:r w:rsidRPr="00B9144B">
        <w:t xml:space="preserve">foreign ownership </w:t>
      </w:r>
      <w:r>
        <w:t>and control concerns</w:t>
      </w:r>
      <w:r w:rsidRPr="00B9144B">
        <w:t>.  Nuclear Labyrinth is owned and operated by its chief executive officer, and current</w:t>
      </w:r>
      <w:r>
        <w:t>ly</w:t>
      </w:r>
      <w:r w:rsidRPr="00B9144B">
        <w:t xml:space="preserve"> has a single employee. </w:t>
      </w:r>
      <w:r>
        <w:t xml:space="preserve"> In August 2017, the NRC withdrew Order EA-13-097, and Aerotest </w:t>
      </w:r>
      <w:r w:rsidR="000A7D94">
        <w:t>was</w:t>
      </w:r>
      <w:r>
        <w:t xml:space="preserve"> allowed to operate.  However, the facility remains shut</w:t>
      </w:r>
      <w:r w:rsidR="004113F3">
        <w:t xml:space="preserve"> </w:t>
      </w:r>
      <w:r>
        <w:t xml:space="preserve">down </w:t>
      </w:r>
      <w:r w:rsidR="00483B10">
        <w:t xml:space="preserve">as of the date this analysis was performed. </w:t>
      </w:r>
    </w:p>
    <w:p w:rsidR="0019196A" w:rsidP="0019196A" w14:paraId="7F493C21" w14:textId="77777777">
      <w:pPr>
        <w:pStyle w:val="BodyText"/>
      </w:pPr>
    </w:p>
    <w:p w:rsidR="00494D28" w:rsidP="003B1DAB" w14:paraId="7F493C22" w14:textId="77777777">
      <w:pPr>
        <w:pStyle w:val="BodyText"/>
      </w:pPr>
      <w:r>
        <w:t>Because only one NPUF may be considered a small entity out of the current fleet of 31 operating NPUFs, the NRC has determined the final rule doe</w:t>
      </w:r>
      <w:r w:rsidR="0019196A">
        <w:t xml:space="preserve">s not affect </w:t>
      </w:r>
      <w:r>
        <w:t>a substantial number</w:t>
      </w:r>
      <w:r w:rsidR="0019196A">
        <w:t xml:space="preserve"> of small entities</w:t>
      </w:r>
      <w:r>
        <w:t xml:space="preserve">.  </w:t>
      </w:r>
    </w:p>
    <w:p w:rsidR="00C00F2A" w14:paraId="7F493C23" w14:textId="77777777">
      <w:pPr>
        <w:pStyle w:val="BodyText"/>
      </w:pPr>
    </w:p>
    <w:p w:rsidR="00494D28" w:rsidRPr="00483B10" w:rsidP="001665C1" w14:paraId="7F493C24" w14:textId="77777777">
      <w:pPr>
        <w:pStyle w:val="BodyText"/>
        <w:rPr>
          <w:i/>
        </w:rPr>
      </w:pPr>
      <w:r w:rsidRPr="00483B10">
        <w:rPr>
          <w:i/>
        </w:rPr>
        <w:t>Economic Impact</w:t>
      </w:r>
      <w:r w:rsidR="002955DF">
        <w:rPr>
          <w:i/>
        </w:rPr>
        <w:t xml:space="preserve"> on Small Entities</w:t>
      </w:r>
    </w:p>
    <w:p w:rsidR="0019196A" w:rsidP="001665C1" w14:paraId="7F493C25" w14:textId="77777777">
      <w:pPr>
        <w:pStyle w:val="BodyText"/>
      </w:pPr>
    </w:p>
    <w:p w:rsidR="00B70C3A" w:rsidP="00B9144B" w14:paraId="7F493C26" w14:textId="77777777">
      <w:pPr>
        <w:pStyle w:val="BodyText"/>
      </w:pPr>
      <w:r>
        <w:t xml:space="preserve">For the purposes of this </w:t>
      </w:r>
      <w:r w:rsidR="00672B8A">
        <w:t>regulatory analysis</w:t>
      </w:r>
      <w:r>
        <w:t xml:space="preserve">, the NRC assumes that Aerotest </w:t>
      </w:r>
      <w:r w:rsidR="00E23310">
        <w:t xml:space="preserve">will recommence operations in 2020 </w:t>
      </w:r>
      <w:r>
        <w:t xml:space="preserve">and will be granted a renewed, non-expiring </w:t>
      </w:r>
      <w:r w:rsidR="00E23310">
        <w:t xml:space="preserve">license.  </w:t>
      </w:r>
      <w:r>
        <w:t>The total 20-year undiscounted cost of the final rule to Aerotest is estimated to be $57,000.</w:t>
      </w:r>
      <w:r w:rsidR="002955DF">
        <w:t xml:space="preserve">  Should there be additional delays in Aerotest’s operating status, then the estimated incremental cost could be less than $57,000.</w:t>
      </w:r>
    </w:p>
    <w:p w:rsidR="00B70C3A" w:rsidP="00B9144B" w14:paraId="7F493C27" w14:textId="77777777">
      <w:pPr>
        <w:pStyle w:val="BodyText"/>
      </w:pPr>
    </w:p>
    <w:p w:rsidR="002602F9" w:rsidP="00B9144B" w14:paraId="7F493C28" w14:textId="77777777">
      <w:pPr>
        <w:pStyle w:val="BodyText"/>
      </w:pPr>
      <w:r>
        <w:t>The NRC is unable to assess the economic impact of these incremental costs on Aerotest because the reactor has not been operational since 2010.  As a result</w:t>
      </w:r>
      <w:r w:rsidR="00E23310">
        <w:t xml:space="preserve">, </w:t>
      </w:r>
      <w:r>
        <w:t xml:space="preserve">current or recent revenue and gross receipts </w:t>
      </w:r>
      <w:r w:rsidR="00E23310">
        <w:t xml:space="preserve">data </w:t>
      </w:r>
      <w:r>
        <w:t xml:space="preserve">are not </w:t>
      </w:r>
      <w:r w:rsidR="00E23310">
        <w:t>available</w:t>
      </w:r>
      <w:r>
        <w:t>.</w:t>
      </w:r>
      <w:r>
        <w:t xml:space="preserve">   </w:t>
      </w:r>
    </w:p>
    <w:p w:rsidR="002955DF" w:rsidP="00B9144B" w14:paraId="7F493C29" w14:textId="77777777">
      <w:pPr>
        <w:pStyle w:val="BodyText"/>
      </w:pPr>
    </w:p>
    <w:p w:rsidR="002955DF" w:rsidP="002955DF" w14:paraId="7F493C2A" w14:textId="77777777">
      <w:pPr>
        <w:pStyle w:val="BodyText"/>
      </w:pPr>
      <w:r>
        <w:t>Because the final rule does not affect a substantial number of small entities, this analysis concludes that the final rule will not result in significant economic impacts on a substantial number of small entities.</w:t>
      </w:r>
    </w:p>
    <w:p w:rsidR="002602F9" w:rsidP="00B9144B" w14:paraId="7F493C2B" w14:textId="77777777">
      <w:pPr>
        <w:pStyle w:val="BodyText"/>
      </w:pPr>
    </w:p>
    <w:p w:rsidR="005B2B2D" w:rsidRPr="00346B95" w:rsidP="00346B95" w14:paraId="7F493C2C" w14:textId="77777777">
      <w:pPr>
        <w:pStyle w:val="Heading1"/>
      </w:pPr>
      <w:bookmarkStart w:id="481" w:name="_Toc534037118"/>
      <w:bookmarkStart w:id="482" w:name="_Toc534699739"/>
      <w:bookmarkStart w:id="483" w:name="_Toc536603307"/>
      <w:r w:rsidRPr="00D96410">
        <w:t>5</w:t>
      </w:r>
      <w:r w:rsidRPr="00D96410" w:rsidR="002602F9">
        <w:t>.</w:t>
      </w:r>
      <w:bookmarkStart w:id="484" w:name="_Toc443852809"/>
      <w:bookmarkStart w:id="485" w:name="_Toc530073298"/>
      <w:r w:rsidRPr="00346B95">
        <w:tab/>
        <w:t xml:space="preserve">Decision Rationale for Selection of </w:t>
      </w:r>
      <w:r w:rsidRPr="00346B95" w:rsidR="00BC5E9F">
        <w:t>Final</w:t>
      </w:r>
      <w:r w:rsidRPr="00346B95">
        <w:t xml:space="preserve"> Action</w:t>
      </w:r>
      <w:bookmarkEnd w:id="481"/>
      <w:bookmarkEnd w:id="482"/>
      <w:bookmarkEnd w:id="483"/>
      <w:bookmarkEnd w:id="484"/>
      <w:bookmarkEnd w:id="485"/>
      <w:r w:rsidRPr="00346B95">
        <w:t xml:space="preserve"> </w:t>
      </w:r>
    </w:p>
    <w:p w:rsidR="005B2B2D" w:rsidRPr="00D839EE" w:rsidP="00346B95" w14:paraId="7F493C2D" w14:textId="77777777">
      <w:pPr>
        <w:pStyle w:val="Heading2"/>
        <w:spacing w:after="220"/>
        <w:rPr>
          <w:b w:val="0"/>
          <w:i w:val="0"/>
        </w:rPr>
      </w:pPr>
      <w:bookmarkStart w:id="486" w:name="_Toc443852810"/>
      <w:bookmarkStart w:id="487" w:name="_Toc530073299"/>
      <w:bookmarkStart w:id="488" w:name="_Toc534037119"/>
      <w:bookmarkStart w:id="489" w:name="_Toc534699740"/>
      <w:bookmarkStart w:id="490" w:name="_Toc536603308"/>
      <w:r>
        <w:t>5</w:t>
      </w:r>
      <w:r w:rsidRPr="00D839EE">
        <w:t>.1</w:t>
      </w:r>
      <w:r w:rsidRPr="00D839EE">
        <w:tab/>
        <w:t>Safety Goal Evaluation</w:t>
      </w:r>
      <w:bookmarkEnd w:id="486"/>
      <w:bookmarkEnd w:id="487"/>
      <w:bookmarkEnd w:id="488"/>
      <w:bookmarkEnd w:id="489"/>
      <w:bookmarkEnd w:id="490"/>
    </w:p>
    <w:p w:rsidR="005B2B2D" w:rsidRPr="00D839EE" w:rsidP="000B2563" w14:paraId="7F493C2E" w14:textId="77777777">
      <w:pPr>
        <w:rPr>
          <w:rFonts w:cs="Arial"/>
          <w:sz w:val="22"/>
        </w:rPr>
      </w:pPr>
      <w:r w:rsidRPr="00D839EE">
        <w:rPr>
          <w:rFonts w:cs="Arial"/>
          <w:sz w:val="22"/>
        </w:rPr>
        <w:t xml:space="preserve">Safety goal evaluations are applicable only to regulatory initiatives </w:t>
      </w:r>
      <w:r w:rsidR="00252916">
        <w:rPr>
          <w:rFonts w:cs="Arial"/>
          <w:sz w:val="22"/>
        </w:rPr>
        <w:t>that are evaluated as cost-justified substantial safety enhancements under</w:t>
      </w:r>
      <w:r w:rsidRPr="00D839EE">
        <w:rPr>
          <w:rFonts w:cs="Arial"/>
          <w:sz w:val="22"/>
        </w:rPr>
        <w:t xml:space="preserve"> </w:t>
      </w:r>
      <w:r w:rsidRPr="00D839EE" w:rsidR="001828BA">
        <w:rPr>
          <w:rFonts w:cs="Arial"/>
          <w:sz w:val="22"/>
        </w:rPr>
        <w:t>10</w:t>
      </w:r>
      <w:r w:rsidR="00A002D2">
        <w:rPr>
          <w:rFonts w:cs="Arial"/>
          <w:sz w:val="22"/>
        </w:rPr>
        <w:t> </w:t>
      </w:r>
      <w:r w:rsidRPr="00D839EE" w:rsidR="001828BA">
        <w:rPr>
          <w:rFonts w:cs="Arial"/>
          <w:sz w:val="22"/>
        </w:rPr>
        <w:t>CFR </w:t>
      </w:r>
      <w:r w:rsidRPr="00D839EE">
        <w:rPr>
          <w:rFonts w:cs="Arial"/>
          <w:sz w:val="22"/>
        </w:rPr>
        <w:t xml:space="preserve">50.109(a)(3).  The NRC has determined that the backfit provision in </w:t>
      </w:r>
      <w:r w:rsidR="008C66CC">
        <w:rPr>
          <w:rFonts w:cs="Arial"/>
          <w:sz w:val="22"/>
        </w:rPr>
        <w:t>10 CFR </w:t>
      </w:r>
      <w:r w:rsidRPr="00D839EE">
        <w:rPr>
          <w:rFonts w:cs="Arial"/>
          <w:sz w:val="22"/>
        </w:rPr>
        <w:t>50.109</w:t>
      </w:r>
      <w:r w:rsidR="008C66CC">
        <w:rPr>
          <w:rFonts w:cs="Arial"/>
          <w:sz w:val="22"/>
        </w:rPr>
        <w:t>, “Backfitting,”</w:t>
      </w:r>
      <w:r w:rsidRPr="00D839EE">
        <w:rPr>
          <w:rFonts w:cs="Arial"/>
          <w:sz w:val="22"/>
        </w:rPr>
        <w:t xml:space="preserve"> does not apply to NPUFs.</w:t>
      </w:r>
      <w:r>
        <w:rPr>
          <w:rStyle w:val="FootnoteReference"/>
          <w:rFonts w:cs="Arial"/>
          <w:sz w:val="22"/>
        </w:rPr>
        <w:footnoteReference w:id="18"/>
      </w:r>
      <w:r w:rsidRPr="00D839EE">
        <w:rPr>
          <w:rFonts w:cs="Arial"/>
          <w:sz w:val="22"/>
        </w:rPr>
        <w:t xml:space="preserve">  Because </w:t>
      </w:r>
      <w:r w:rsidR="008C66CC">
        <w:rPr>
          <w:rFonts w:cs="Arial"/>
          <w:sz w:val="22"/>
        </w:rPr>
        <w:t>10 CFR </w:t>
      </w:r>
      <w:r w:rsidRPr="00D839EE">
        <w:rPr>
          <w:rFonts w:cs="Arial"/>
          <w:sz w:val="22"/>
        </w:rPr>
        <w:t>50.109 does not apply to NPUFs, a safety goal evaluation is not needed.</w:t>
      </w:r>
    </w:p>
    <w:p w:rsidR="00F14C8E" w:rsidRPr="00D839EE" w:rsidP="00346B95" w14:paraId="7F493C2F" w14:textId="77777777">
      <w:pPr>
        <w:pStyle w:val="Heading2"/>
        <w:spacing w:after="220"/>
        <w:rPr>
          <w:b w:val="0"/>
          <w:i w:val="0"/>
        </w:rPr>
      </w:pPr>
      <w:bookmarkStart w:id="491" w:name="_Toc443852811"/>
      <w:bookmarkStart w:id="492" w:name="_Toc530073300"/>
      <w:bookmarkStart w:id="493" w:name="_Toc534037120"/>
      <w:bookmarkStart w:id="494" w:name="_Toc534699741"/>
      <w:bookmarkStart w:id="495" w:name="_Toc536603309"/>
      <w:r>
        <w:t>5</w:t>
      </w:r>
      <w:r w:rsidRPr="00D839EE" w:rsidR="005B2B2D">
        <w:t>.2</w:t>
      </w:r>
      <w:r w:rsidRPr="00D839EE" w:rsidR="005B2B2D">
        <w:tab/>
        <w:t xml:space="preserve">Committee </w:t>
      </w:r>
      <w:r w:rsidR="008C66CC">
        <w:t>T</w:t>
      </w:r>
      <w:r w:rsidRPr="00D839EE" w:rsidR="005B2B2D">
        <w:t>o Review Generic Requirements</w:t>
      </w:r>
      <w:bookmarkEnd w:id="491"/>
      <w:bookmarkEnd w:id="492"/>
      <w:bookmarkEnd w:id="493"/>
      <w:bookmarkEnd w:id="494"/>
      <w:bookmarkEnd w:id="495"/>
    </w:p>
    <w:p w:rsidR="00057301" w:rsidP="00346B95" w14:paraId="7F493C30" w14:textId="77777777">
      <w:pPr>
        <w:autoSpaceDE/>
        <w:autoSpaceDN/>
        <w:adjustRightInd/>
        <w:rPr>
          <w:rFonts w:cs="Arial"/>
          <w:sz w:val="22"/>
        </w:rPr>
      </w:pPr>
      <w:r w:rsidRPr="00D839EE">
        <w:rPr>
          <w:rFonts w:cs="Arial"/>
          <w:sz w:val="22"/>
          <w:szCs w:val="22"/>
        </w:rPr>
        <w:t>Review by the</w:t>
      </w:r>
      <w:r w:rsidRPr="00D839EE" w:rsidR="00A6146A">
        <w:rPr>
          <w:rFonts w:cs="Arial"/>
          <w:sz w:val="22"/>
          <w:szCs w:val="22"/>
        </w:rPr>
        <w:t xml:space="preserve"> C</w:t>
      </w:r>
      <w:r w:rsidR="008C66CC">
        <w:rPr>
          <w:rFonts w:cs="Arial"/>
          <w:sz w:val="22"/>
          <w:szCs w:val="22"/>
        </w:rPr>
        <w:t xml:space="preserve">ommittee </w:t>
      </w:r>
      <w:r w:rsidR="00252916">
        <w:rPr>
          <w:rFonts w:cs="Arial"/>
          <w:sz w:val="22"/>
          <w:szCs w:val="22"/>
        </w:rPr>
        <w:t>t</w:t>
      </w:r>
      <w:r w:rsidR="008C66CC">
        <w:rPr>
          <w:rFonts w:cs="Arial"/>
          <w:sz w:val="22"/>
          <w:szCs w:val="22"/>
        </w:rPr>
        <w:t xml:space="preserve">o </w:t>
      </w:r>
      <w:r w:rsidRPr="00D839EE" w:rsidR="00A6146A">
        <w:rPr>
          <w:rFonts w:cs="Arial"/>
          <w:sz w:val="22"/>
          <w:szCs w:val="22"/>
        </w:rPr>
        <w:t>R</w:t>
      </w:r>
      <w:r w:rsidR="008C66CC">
        <w:rPr>
          <w:rFonts w:cs="Arial"/>
          <w:sz w:val="22"/>
          <w:szCs w:val="22"/>
        </w:rPr>
        <w:t xml:space="preserve">eview </w:t>
      </w:r>
      <w:r w:rsidRPr="00D839EE" w:rsidR="00A6146A">
        <w:rPr>
          <w:rFonts w:cs="Arial"/>
          <w:sz w:val="22"/>
          <w:szCs w:val="22"/>
        </w:rPr>
        <w:t>G</w:t>
      </w:r>
      <w:r w:rsidR="008C66CC">
        <w:rPr>
          <w:rFonts w:cs="Arial"/>
          <w:sz w:val="22"/>
          <w:szCs w:val="22"/>
        </w:rPr>
        <w:t xml:space="preserve">eneric </w:t>
      </w:r>
      <w:r w:rsidRPr="00D839EE" w:rsidR="00A6146A">
        <w:rPr>
          <w:rFonts w:cs="Arial"/>
          <w:sz w:val="22"/>
          <w:szCs w:val="22"/>
        </w:rPr>
        <w:t>R</w:t>
      </w:r>
      <w:r w:rsidR="008C66CC">
        <w:rPr>
          <w:rFonts w:cs="Arial"/>
          <w:sz w:val="22"/>
          <w:szCs w:val="22"/>
        </w:rPr>
        <w:t>equirements</w:t>
      </w:r>
      <w:r w:rsidRPr="00D839EE" w:rsidR="00A6146A">
        <w:rPr>
          <w:rFonts w:cs="Arial"/>
          <w:sz w:val="22"/>
          <w:szCs w:val="22"/>
        </w:rPr>
        <w:t xml:space="preserve"> is not needed</w:t>
      </w:r>
      <w:r w:rsidRPr="00D839EE">
        <w:rPr>
          <w:rFonts w:cs="Arial"/>
          <w:sz w:val="22"/>
          <w:szCs w:val="22"/>
        </w:rPr>
        <w:t xml:space="preserve"> because the </w:t>
      </w:r>
      <w:r w:rsidRPr="00D839EE" w:rsidR="00BC5E9F">
        <w:rPr>
          <w:rFonts w:cs="Arial"/>
          <w:sz w:val="22"/>
          <w:szCs w:val="22"/>
        </w:rPr>
        <w:t>final</w:t>
      </w:r>
      <w:r w:rsidRPr="00D839EE">
        <w:rPr>
          <w:rFonts w:cs="Arial"/>
          <w:sz w:val="22"/>
          <w:szCs w:val="22"/>
        </w:rPr>
        <w:t xml:space="preserve"> </w:t>
      </w:r>
      <w:r w:rsidRPr="00D839EE" w:rsidR="00A6146A">
        <w:rPr>
          <w:rFonts w:cs="Arial"/>
          <w:sz w:val="22"/>
          <w:szCs w:val="22"/>
        </w:rPr>
        <w:t xml:space="preserve">requirements </w:t>
      </w:r>
      <w:r w:rsidRPr="00D839EE">
        <w:rPr>
          <w:rFonts w:cs="Arial"/>
          <w:sz w:val="22"/>
        </w:rPr>
        <w:t xml:space="preserve">do not </w:t>
      </w:r>
      <w:r w:rsidR="00252916">
        <w:rPr>
          <w:rFonts w:cs="Arial"/>
          <w:sz w:val="22"/>
        </w:rPr>
        <w:t>constitute backfitting</w:t>
      </w:r>
      <w:r w:rsidRPr="00D839EE" w:rsidR="00A6146A">
        <w:rPr>
          <w:rFonts w:cs="Arial"/>
          <w:sz w:val="22"/>
        </w:rPr>
        <w:t xml:space="preserve">.  </w:t>
      </w:r>
    </w:p>
    <w:p w:rsidR="002955DF" w:rsidP="00346B95" w14:paraId="7F493C31" w14:textId="77777777">
      <w:pPr>
        <w:autoSpaceDE/>
        <w:autoSpaceDN/>
        <w:adjustRightInd/>
        <w:rPr>
          <w:rFonts w:cs="Arial"/>
          <w:sz w:val="22"/>
        </w:rPr>
      </w:pPr>
      <w:r>
        <w:rPr>
          <w:rFonts w:cs="Arial"/>
          <w:sz w:val="22"/>
        </w:rPr>
        <w:br w:type="page"/>
      </w:r>
    </w:p>
    <w:p w:rsidR="002955DF" w:rsidRPr="002955DF" w:rsidP="002955DF" w14:paraId="7F493C32" w14:textId="77777777">
      <w:pPr>
        <w:pStyle w:val="Heading1"/>
        <w:spacing w:after="220"/>
      </w:pPr>
      <w:bookmarkStart w:id="496" w:name="_Toc443852812"/>
      <w:bookmarkStart w:id="497" w:name="_Toc536603310"/>
      <w:r>
        <w:t>6</w:t>
      </w:r>
      <w:r w:rsidR="00A81A0C">
        <w:t>.</w:t>
      </w:r>
      <w:r w:rsidR="00A81A0C">
        <w:tab/>
      </w:r>
      <w:bookmarkStart w:id="498" w:name="_Toc530073301"/>
      <w:bookmarkStart w:id="499" w:name="_Toc534037121"/>
      <w:bookmarkStart w:id="500" w:name="_Toc534699742"/>
      <w:r w:rsidRPr="00346B95" w:rsidR="00931563">
        <w:t>References</w:t>
      </w:r>
      <w:bookmarkEnd w:id="496"/>
      <w:bookmarkEnd w:id="497"/>
      <w:bookmarkEnd w:id="498"/>
      <w:bookmarkEnd w:id="499"/>
      <w:bookmarkEnd w:id="500"/>
    </w:p>
    <w:p w:rsidR="003F2128" w:rsidP="003F2128" w14:paraId="7F493C33" w14:textId="77777777">
      <w:pPr>
        <w:tabs>
          <w:tab w:val="left" w:pos="-1440"/>
        </w:tabs>
        <w:autoSpaceDE/>
        <w:autoSpaceDN/>
        <w:adjustRightInd/>
        <w:rPr>
          <w:sz w:val="22"/>
          <w:szCs w:val="22"/>
        </w:rPr>
      </w:pPr>
      <w:r w:rsidRPr="00346B95">
        <w:rPr>
          <w:sz w:val="22"/>
        </w:rPr>
        <w:t>1.</w:t>
      </w:r>
      <w:r w:rsidRPr="00C520D9">
        <w:rPr>
          <w:i/>
          <w:sz w:val="22"/>
        </w:rPr>
        <w:t xml:space="preserve"> </w:t>
      </w:r>
      <w:r w:rsidRPr="00EF2C73">
        <w:rPr>
          <w:i/>
          <w:sz w:val="22"/>
          <w:szCs w:val="22"/>
        </w:rPr>
        <w:t xml:space="preserve">U.S. Code of Federal Regulations </w:t>
      </w:r>
      <w:r w:rsidRPr="00EF2C73">
        <w:rPr>
          <w:sz w:val="22"/>
          <w:szCs w:val="22"/>
        </w:rPr>
        <w:t>(CFR)</w:t>
      </w:r>
      <w:r w:rsidRPr="00EF2C73">
        <w:rPr>
          <w:i/>
          <w:sz w:val="22"/>
          <w:szCs w:val="22"/>
        </w:rPr>
        <w:t>,</w:t>
      </w:r>
      <w:r w:rsidRPr="00EF2C73">
        <w:rPr>
          <w:sz w:val="22"/>
          <w:szCs w:val="22"/>
        </w:rPr>
        <w:t xml:space="preserve"> “Domestic Licensing of Production and Utilization Facilities,” Part 50, Chapter I, Title 10, “Energy.” </w:t>
      </w:r>
    </w:p>
    <w:p w:rsidR="003F2128" w:rsidP="003F2128" w14:paraId="7F493C34" w14:textId="77777777">
      <w:pPr>
        <w:tabs>
          <w:tab w:val="left" w:pos="-1440"/>
        </w:tabs>
        <w:autoSpaceDE/>
        <w:autoSpaceDN/>
        <w:adjustRightInd/>
        <w:rPr>
          <w:sz w:val="22"/>
          <w:szCs w:val="22"/>
        </w:rPr>
      </w:pPr>
    </w:p>
    <w:p w:rsidR="003F2128" w:rsidP="003F2128" w14:paraId="7F493C35" w14:textId="77777777">
      <w:pPr>
        <w:tabs>
          <w:tab w:val="left" w:pos="-1440"/>
        </w:tabs>
        <w:autoSpaceDE/>
        <w:autoSpaceDN/>
        <w:adjustRightInd/>
        <w:rPr>
          <w:sz w:val="22"/>
          <w:szCs w:val="22"/>
        </w:rPr>
      </w:pPr>
      <w:r>
        <w:rPr>
          <w:sz w:val="22"/>
          <w:szCs w:val="22"/>
        </w:rPr>
        <w:t>2. CFR, “Agency Rules of Practice and Procedure,” Part 2, Chapter I, Title 10, “Energy.”</w:t>
      </w:r>
    </w:p>
    <w:p w:rsidR="003F2128" w:rsidP="003F2128" w14:paraId="7F493C36" w14:textId="77777777">
      <w:pPr>
        <w:tabs>
          <w:tab w:val="left" w:pos="-1440"/>
        </w:tabs>
        <w:autoSpaceDE/>
        <w:autoSpaceDN/>
        <w:adjustRightInd/>
        <w:rPr>
          <w:sz w:val="22"/>
          <w:szCs w:val="22"/>
        </w:rPr>
      </w:pPr>
    </w:p>
    <w:p w:rsidR="003F2128" w:rsidP="003F2128" w14:paraId="7F493C37" w14:textId="77777777">
      <w:pPr>
        <w:tabs>
          <w:tab w:val="left" w:pos="-1440"/>
        </w:tabs>
        <w:autoSpaceDE/>
        <w:autoSpaceDN/>
        <w:adjustRightInd/>
        <w:rPr>
          <w:sz w:val="22"/>
          <w:szCs w:val="22"/>
        </w:rPr>
      </w:pPr>
      <w:r>
        <w:rPr>
          <w:sz w:val="22"/>
          <w:szCs w:val="22"/>
        </w:rPr>
        <w:t>3. CFR, “</w:t>
      </w:r>
      <w:r w:rsidRPr="00307344">
        <w:rPr>
          <w:sz w:val="22"/>
          <w:szCs w:val="22"/>
        </w:rPr>
        <w:t>Environmental Protection Regulations for Domestic Licensing and Related Regulatory Functions</w:t>
      </w:r>
      <w:r>
        <w:rPr>
          <w:sz w:val="22"/>
          <w:szCs w:val="22"/>
        </w:rPr>
        <w:t>,” Part 51, Chapter I, Title 10, “Energy.”</w:t>
      </w:r>
    </w:p>
    <w:p w:rsidR="003F2128" w:rsidP="003F2128" w14:paraId="7F493C38" w14:textId="77777777">
      <w:pPr>
        <w:tabs>
          <w:tab w:val="left" w:pos="-1440"/>
        </w:tabs>
        <w:autoSpaceDE/>
        <w:autoSpaceDN/>
        <w:adjustRightInd/>
        <w:rPr>
          <w:sz w:val="22"/>
          <w:szCs w:val="22"/>
        </w:rPr>
      </w:pPr>
    </w:p>
    <w:p w:rsidR="003F2128" w:rsidP="003F2128" w14:paraId="7F493C39" w14:textId="77777777">
      <w:pPr>
        <w:rPr>
          <w:sz w:val="22"/>
        </w:rPr>
      </w:pPr>
      <w:r>
        <w:rPr>
          <w:sz w:val="22"/>
        </w:rPr>
        <w:t>4</w:t>
      </w:r>
      <w:r w:rsidRPr="00346B95">
        <w:rPr>
          <w:sz w:val="22"/>
        </w:rPr>
        <w:t xml:space="preserve">. </w:t>
      </w:r>
      <w:r w:rsidR="006A1B84">
        <w:rPr>
          <w:sz w:val="22"/>
        </w:rPr>
        <w:t>Nuclear Regulatory Commission (</w:t>
      </w:r>
      <w:r w:rsidRPr="00346B95">
        <w:rPr>
          <w:sz w:val="22"/>
        </w:rPr>
        <w:t>NRC</w:t>
      </w:r>
      <w:r w:rsidR="006A1B84">
        <w:rPr>
          <w:sz w:val="22"/>
        </w:rPr>
        <w:t>)</w:t>
      </w:r>
      <w:r w:rsidRPr="00346B95">
        <w:rPr>
          <w:sz w:val="22"/>
        </w:rPr>
        <w:t>, NUREG-1537</w:t>
      </w:r>
      <w:r w:rsidRPr="00D839EE">
        <w:t xml:space="preserve">, </w:t>
      </w:r>
      <w:r w:rsidRPr="00C520D9">
        <w:rPr>
          <w:sz w:val="22"/>
          <w:szCs w:val="22"/>
        </w:rPr>
        <w:t>Parts 1 and 2</w:t>
      </w:r>
      <w:r w:rsidRPr="00346B95">
        <w:rPr>
          <w:sz w:val="22"/>
        </w:rPr>
        <w:t>, “Guidelines for Preparing and Reviewing Applications for the Licensing of Non-Power Reactors,”</w:t>
      </w:r>
      <w:r>
        <w:rPr>
          <w:sz w:val="22"/>
        </w:rPr>
        <w:t xml:space="preserve"> Washington, DC, February 1996.</w:t>
      </w:r>
    </w:p>
    <w:p w:rsidR="003F2128" w:rsidP="003F2128" w14:paraId="7F493C3A" w14:textId="77777777">
      <w:pPr>
        <w:rPr>
          <w:sz w:val="22"/>
        </w:rPr>
      </w:pPr>
    </w:p>
    <w:p w:rsidR="003F2128" w:rsidRPr="004A7872" w:rsidP="003F2128" w14:paraId="7F493C3B" w14:textId="77777777">
      <w:pPr>
        <w:rPr>
          <w:sz w:val="22"/>
        </w:rPr>
      </w:pPr>
      <w:r>
        <w:rPr>
          <w:sz w:val="22"/>
        </w:rPr>
        <w:t>5. Atomic Energy Action (AEA) of 1954, as amended in NUREG-0980, August 30, 1954.</w:t>
      </w:r>
    </w:p>
    <w:p w:rsidR="003F2128" w:rsidP="003F2128" w14:paraId="7F493C3C" w14:textId="77777777">
      <w:pPr>
        <w:rPr>
          <w:sz w:val="22"/>
        </w:rPr>
      </w:pPr>
    </w:p>
    <w:p w:rsidR="003F2128" w:rsidP="003F2128" w14:paraId="7F493C3D" w14:textId="77777777">
      <w:pPr>
        <w:rPr>
          <w:sz w:val="22"/>
        </w:rPr>
      </w:pPr>
      <w:r>
        <w:rPr>
          <w:sz w:val="22"/>
        </w:rPr>
        <w:t xml:space="preserve">6. Executive Order (EO) 12866, Regulatory Planning and Overview, </w:t>
      </w:r>
      <w:r w:rsidRPr="00432787">
        <w:rPr>
          <w:sz w:val="22"/>
        </w:rPr>
        <w:t>September 30, 1993</w:t>
      </w:r>
      <w:r>
        <w:rPr>
          <w:sz w:val="22"/>
        </w:rPr>
        <w:t>.</w:t>
      </w:r>
    </w:p>
    <w:p w:rsidR="003F2128" w:rsidP="003F2128" w14:paraId="7F493C3E" w14:textId="77777777">
      <w:pPr>
        <w:rPr>
          <w:sz w:val="22"/>
        </w:rPr>
      </w:pPr>
    </w:p>
    <w:p w:rsidR="003F2128" w:rsidP="003F2128" w14:paraId="7F493C3F" w14:textId="77777777">
      <w:pPr>
        <w:rPr>
          <w:rFonts w:cs="Arial"/>
          <w:sz w:val="22"/>
        </w:rPr>
      </w:pPr>
      <w:r>
        <w:rPr>
          <w:sz w:val="22"/>
        </w:rPr>
        <w:t>7. The Regulatory Flexibility Act (RFA) of 1</w:t>
      </w:r>
      <w:r w:rsidR="00271B20">
        <w:rPr>
          <w:sz w:val="22"/>
        </w:rPr>
        <w:t>98</w:t>
      </w:r>
      <w:r>
        <w:rPr>
          <w:sz w:val="22"/>
        </w:rPr>
        <w:t>0, as amended (</w:t>
      </w:r>
      <w:r w:rsidRPr="00432787">
        <w:rPr>
          <w:rFonts w:cs="Arial"/>
          <w:sz w:val="22"/>
        </w:rPr>
        <w:t>5 U.S.C 601 et seq.),</w:t>
      </w:r>
      <w:r>
        <w:rPr>
          <w:rFonts w:cs="Arial"/>
          <w:sz w:val="22"/>
        </w:rPr>
        <w:t xml:space="preserve"> September 19, 1980.</w:t>
      </w:r>
    </w:p>
    <w:p w:rsidR="003F2128" w:rsidP="003F2128" w14:paraId="7F493C40" w14:textId="77777777">
      <w:pPr>
        <w:rPr>
          <w:rFonts w:cs="Arial"/>
          <w:sz w:val="22"/>
        </w:rPr>
      </w:pPr>
    </w:p>
    <w:p w:rsidR="003F2128" w:rsidP="003F2128" w14:paraId="7F493C41" w14:textId="77777777">
      <w:pPr>
        <w:rPr>
          <w:sz w:val="22"/>
        </w:rPr>
      </w:pPr>
      <w:r>
        <w:rPr>
          <w:rFonts w:cs="Arial"/>
          <w:sz w:val="22"/>
        </w:rPr>
        <w:t>8. CFR, “Requirements for Renewal of Operating Licenses for Nuclear Power Plants,” Part 54, Chapter I, Title 10, “Energy.”</w:t>
      </w:r>
    </w:p>
    <w:p w:rsidR="003F2128" w:rsidP="003F2128" w14:paraId="7F493C42" w14:textId="77777777">
      <w:pPr>
        <w:rPr>
          <w:sz w:val="22"/>
        </w:rPr>
      </w:pPr>
    </w:p>
    <w:p w:rsidR="003F2128" w:rsidRPr="00346B95" w:rsidP="003F2128" w14:paraId="7F493C43" w14:textId="77777777">
      <w:pPr>
        <w:rPr>
          <w:sz w:val="22"/>
        </w:rPr>
      </w:pPr>
      <w:r>
        <w:rPr>
          <w:sz w:val="22"/>
        </w:rPr>
        <w:t xml:space="preserve">9. </w:t>
      </w:r>
      <w:r w:rsidRPr="00346B95">
        <w:rPr>
          <w:sz w:val="22"/>
        </w:rPr>
        <w:t>NRC, SRM-SECY-91-061, “</w:t>
      </w:r>
      <w:r>
        <w:rPr>
          <w:sz w:val="22"/>
          <w:szCs w:val="22"/>
        </w:rPr>
        <w:t>SEC-91-061—</w:t>
      </w:r>
      <w:r w:rsidRPr="00346B95">
        <w:rPr>
          <w:sz w:val="22"/>
        </w:rPr>
        <w:t xml:space="preserve">Separation of Non-Reactor and Non-Power Reactor Licensing Activities from Power Reactor Licensing Activities in 10 CFR Part 50,” Washington, DC, April </w:t>
      </w:r>
      <w:r>
        <w:rPr>
          <w:sz w:val="22"/>
          <w:szCs w:val="22"/>
        </w:rPr>
        <w:t>11</w:t>
      </w:r>
      <w:r w:rsidRPr="00346B95">
        <w:rPr>
          <w:sz w:val="22"/>
        </w:rPr>
        <w:t>, 1991.  (ADAMS Accession No.</w:t>
      </w:r>
      <w:r>
        <w:rPr>
          <w:sz w:val="22"/>
          <w:szCs w:val="22"/>
        </w:rPr>
        <w:t> </w:t>
      </w:r>
      <w:r w:rsidRPr="00346B95">
        <w:rPr>
          <w:sz w:val="22"/>
        </w:rPr>
        <w:t xml:space="preserve">ML010050021) </w:t>
      </w:r>
    </w:p>
    <w:p w:rsidR="003F2128" w:rsidRPr="00346B95" w:rsidP="003F2128" w14:paraId="7F493C44" w14:textId="77777777">
      <w:pPr>
        <w:rPr>
          <w:sz w:val="22"/>
        </w:rPr>
      </w:pPr>
    </w:p>
    <w:p w:rsidR="003F2128" w:rsidRPr="00346B95" w:rsidP="003F2128" w14:paraId="7F493C45" w14:textId="77777777">
      <w:pPr>
        <w:rPr>
          <w:sz w:val="22"/>
        </w:rPr>
      </w:pPr>
      <w:r>
        <w:rPr>
          <w:sz w:val="22"/>
        </w:rPr>
        <w:t>10</w:t>
      </w:r>
      <w:r w:rsidRPr="00346B95">
        <w:rPr>
          <w:sz w:val="22"/>
        </w:rPr>
        <w:t>. NRC, SRM-M080317B, “Staff Requirements—Briefing on the State of NRC Technical Programs,” Washington, DC, April 3, 2008.  (ADAMS Accession No. ML080940439)</w:t>
      </w:r>
    </w:p>
    <w:p w:rsidR="003F2128" w:rsidRPr="00346B95" w:rsidP="003F2128" w14:paraId="7F493C46" w14:textId="77777777">
      <w:pPr>
        <w:rPr>
          <w:sz w:val="22"/>
        </w:rPr>
      </w:pPr>
    </w:p>
    <w:p w:rsidR="003F2128" w:rsidRPr="00346B95" w:rsidP="003F2128" w14:paraId="7F493C47" w14:textId="77777777">
      <w:pPr>
        <w:rPr>
          <w:sz w:val="22"/>
        </w:rPr>
      </w:pPr>
      <w:r>
        <w:rPr>
          <w:sz w:val="22"/>
        </w:rPr>
        <w:t>11</w:t>
      </w:r>
      <w:r w:rsidRPr="00346B95">
        <w:rPr>
          <w:sz w:val="22"/>
        </w:rPr>
        <w:t>. NRC, SECY-08-0161, “Review of Research and Test Reactor License Renewal Applications,” Washington, DC, October 24, 2008.  (ADAMS Accession No. ML082550140)</w:t>
      </w:r>
    </w:p>
    <w:p w:rsidR="003F2128" w:rsidRPr="00346B95" w:rsidP="003F2128" w14:paraId="7F493C48" w14:textId="77777777">
      <w:pPr>
        <w:rPr>
          <w:sz w:val="22"/>
        </w:rPr>
      </w:pPr>
    </w:p>
    <w:p w:rsidR="003F2128" w:rsidRPr="00346B95" w:rsidP="003F2128" w14:paraId="7F493C49" w14:textId="77777777">
      <w:pPr>
        <w:rPr>
          <w:sz w:val="22"/>
        </w:rPr>
      </w:pPr>
      <w:r>
        <w:rPr>
          <w:sz w:val="22"/>
        </w:rPr>
        <w:t>12</w:t>
      </w:r>
      <w:r w:rsidRPr="00346B95">
        <w:rPr>
          <w:sz w:val="22"/>
        </w:rPr>
        <w:t>. NRC, SRM-SECY-08-0161, “Staff Requirements</w:t>
      </w:r>
      <w:r w:rsidRPr="00EB453C">
        <w:rPr>
          <w:sz w:val="22"/>
          <w:szCs w:val="22"/>
        </w:rPr>
        <w:t>—</w:t>
      </w:r>
      <w:r w:rsidRPr="00346B95">
        <w:rPr>
          <w:sz w:val="22"/>
        </w:rPr>
        <w:t>SECY-08-0161</w:t>
      </w:r>
      <w:r w:rsidRPr="00EB453C">
        <w:rPr>
          <w:sz w:val="22"/>
          <w:szCs w:val="22"/>
        </w:rPr>
        <w:t>—</w:t>
      </w:r>
      <w:r w:rsidRPr="00346B95">
        <w:rPr>
          <w:sz w:val="22"/>
        </w:rPr>
        <w:t>Review of Research and Test Reactor License Renewal Applications,” Washington, DC, March 26, 2009.  (ADAMS Accession No</w:t>
      </w:r>
      <w:r w:rsidRPr="00D839EE">
        <w:t>.</w:t>
      </w:r>
      <w:r>
        <w:t> </w:t>
      </w:r>
      <w:r w:rsidRPr="00346B95">
        <w:rPr>
          <w:sz w:val="22"/>
        </w:rPr>
        <w:t>ML090850159)</w:t>
      </w:r>
    </w:p>
    <w:p w:rsidR="003F2128" w:rsidRPr="00346B95" w:rsidP="003F2128" w14:paraId="7F493C4A" w14:textId="77777777">
      <w:pPr>
        <w:rPr>
          <w:sz w:val="22"/>
        </w:rPr>
      </w:pPr>
    </w:p>
    <w:p w:rsidR="003F2128" w:rsidRPr="00346B95" w:rsidP="003F2128" w14:paraId="7F493C4B" w14:textId="77777777">
      <w:pPr>
        <w:rPr>
          <w:sz w:val="22"/>
        </w:rPr>
      </w:pPr>
      <w:r>
        <w:rPr>
          <w:sz w:val="22"/>
        </w:rPr>
        <w:t>13.</w:t>
      </w:r>
      <w:r w:rsidRPr="00346B95">
        <w:rPr>
          <w:sz w:val="22"/>
        </w:rPr>
        <w:t xml:space="preserve"> NRC</w:t>
      </w:r>
      <w:r w:rsidRPr="00FD2E55">
        <w:rPr>
          <w:sz w:val="22"/>
          <w:szCs w:val="22"/>
        </w:rPr>
        <w:t xml:space="preserve">, </w:t>
      </w:r>
      <w:r>
        <w:rPr>
          <w:sz w:val="22"/>
          <w:szCs w:val="22"/>
        </w:rPr>
        <w:t>SECY-09-0095</w:t>
      </w:r>
      <w:r w:rsidRPr="00346B95">
        <w:rPr>
          <w:sz w:val="22"/>
        </w:rPr>
        <w:t>, “Long-Term Plan for Enhancing the Research and Test Reactor License Renewal Process and Status of the Development and Use of the Interim Staff Guidance,” Washington, DC, June 24, 2009.  (ADAMS Accession No.</w:t>
      </w:r>
      <w:r>
        <w:rPr>
          <w:sz w:val="22"/>
          <w:szCs w:val="22"/>
        </w:rPr>
        <w:t> </w:t>
      </w:r>
      <w:r w:rsidRPr="00346B95">
        <w:rPr>
          <w:sz w:val="22"/>
        </w:rPr>
        <w:t>ML09</w:t>
      </w:r>
      <w:r>
        <w:rPr>
          <w:sz w:val="22"/>
        </w:rPr>
        <w:t>2150717</w:t>
      </w:r>
      <w:r w:rsidRPr="00346B95">
        <w:rPr>
          <w:sz w:val="22"/>
        </w:rPr>
        <w:t>)</w:t>
      </w:r>
    </w:p>
    <w:p w:rsidR="003F2128" w:rsidRPr="00346B95" w:rsidP="003F2128" w14:paraId="7F493C4C" w14:textId="77777777">
      <w:pPr>
        <w:rPr>
          <w:sz w:val="22"/>
        </w:rPr>
      </w:pPr>
    </w:p>
    <w:p w:rsidR="003F2128" w:rsidRPr="00346B95" w:rsidP="003F2128" w14:paraId="7F493C4D" w14:textId="77777777">
      <w:pPr>
        <w:rPr>
          <w:sz w:val="22"/>
        </w:rPr>
      </w:pPr>
      <w:r>
        <w:rPr>
          <w:sz w:val="22"/>
        </w:rPr>
        <w:t>14</w:t>
      </w:r>
      <w:r w:rsidRPr="00346B95">
        <w:rPr>
          <w:sz w:val="22"/>
        </w:rPr>
        <w:t>. NRC, SRM-M090811, “Staff Requirements Memorandum</w:t>
      </w:r>
      <w:r w:rsidRPr="00EB453C">
        <w:rPr>
          <w:sz w:val="22"/>
          <w:szCs w:val="22"/>
        </w:rPr>
        <w:t>—</w:t>
      </w:r>
      <w:r w:rsidRPr="00346B95">
        <w:rPr>
          <w:sz w:val="22"/>
        </w:rPr>
        <w:t>Briefing on Research and Test Reactor (RTR) Challenges,” Washington, DC, August 26, 2009.  (ADAMS Accession No.</w:t>
      </w:r>
      <w:r>
        <w:rPr>
          <w:sz w:val="22"/>
          <w:szCs w:val="22"/>
        </w:rPr>
        <w:t> </w:t>
      </w:r>
      <w:r w:rsidRPr="00346B95">
        <w:rPr>
          <w:sz w:val="22"/>
        </w:rPr>
        <w:t xml:space="preserve">ML092380046) </w:t>
      </w:r>
    </w:p>
    <w:p w:rsidR="003F2128" w:rsidRPr="00346B95" w:rsidP="003F2128" w14:paraId="7F493C4E" w14:textId="77777777">
      <w:pPr>
        <w:rPr>
          <w:sz w:val="22"/>
        </w:rPr>
      </w:pPr>
    </w:p>
    <w:p w:rsidR="003F2128" w:rsidRPr="00346B95" w:rsidP="003F2128" w14:paraId="7F493C4F" w14:textId="77777777">
      <w:pPr>
        <w:rPr>
          <w:sz w:val="22"/>
        </w:rPr>
      </w:pPr>
      <w:r>
        <w:rPr>
          <w:sz w:val="22"/>
        </w:rPr>
        <w:t>15.</w:t>
      </w:r>
      <w:r w:rsidRPr="00346B95">
        <w:rPr>
          <w:sz w:val="22"/>
        </w:rPr>
        <w:t xml:space="preserve"> NRC, “Non-Power Reactor (NPR) License Renewal Rulemaking</w:t>
      </w:r>
      <w:r>
        <w:rPr>
          <w:sz w:val="22"/>
          <w:szCs w:val="22"/>
        </w:rPr>
        <w:t>—</w:t>
      </w:r>
      <w:r w:rsidRPr="00346B95">
        <w:rPr>
          <w:sz w:val="22"/>
        </w:rPr>
        <w:t xml:space="preserve">Regulatory Basis Document,” Washington, DC, August 27, 2012.  (ADAMS Accession No. ML12240A677) </w:t>
      </w:r>
    </w:p>
    <w:p w:rsidR="003F2128" w:rsidRPr="00346B95" w:rsidP="003F2128" w14:paraId="7F493C50" w14:textId="77777777">
      <w:pPr>
        <w:rPr>
          <w:sz w:val="22"/>
        </w:rPr>
      </w:pPr>
    </w:p>
    <w:p w:rsidR="003F2128" w:rsidP="003F2128" w14:paraId="7F493C51" w14:textId="77777777">
      <w:pPr>
        <w:rPr>
          <w:sz w:val="22"/>
        </w:rPr>
      </w:pPr>
      <w:r>
        <w:rPr>
          <w:sz w:val="22"/>
        </w:rPr>
        <w:t>16</w:t>
      </w:r>
      <w:r w:rsidRPr="00346B95">
        <w:rPr>
          <w:sz w:val="22"/>
        </w:rPr>
        <w:t xml:space="preserve">. NRC, “Non-Power Production or Utilization Facility License Renewal,” Washington, DC, March 30, 2017 </w:t>
      </w:r>
      <w:r>
        <w:rPr>
          <w:sz w:val="22"/>
          <w:szCs w:val="22"/>
        </w:rPr>
        <w:t>(82 FR 15643)</w:t>
      </w:r>
      <w:r w:rsidRPr="00FD2E55">
        <w:rPr>
          <w:sz w:val="22"/>
          <w:szCs w:val="22"/>
        </w:rPr>
        <w:t>.</w:t>
      </w:r>
      <w:r w:rsidRPr="001176AF">
        <w:rPr>
          <w:sz w:val="22"/>
        </w:rPr>
        <w:t xml:space="preserve"> </w:t>
      </w:r>
      <w:r w:rsidRPr="00346B95">
        <w:rPr>
          <w:sz w:val="22"/>
        </w:rPr>
        <w:t xml:space="preserve"> (A</w:t>
      </w:r>
      <w:r>
        <w:rPr>
          <w:sz w:val="22"/>
        </w:rPr>
        <w:t>DAMS Accession No. ML17068A077)</w:t>
      </w:r>
    </w:p>
    <w:p w:rsidR="003F2128" w:rsidP="003F2128" w14:paraId="7F493C52" w14:textId="77777777">
      <w:pPr>
        <w:rPr>
          <w:sz w:val="22"/>
        </w:rPr>
      </w:pPr>
    </w:p>
    <w:p w:rsidR="003F2128" w:rsidP="003F2128" w14:paraId="7F493C53" w14:textId="77777777">
      <w:pPr>
        <w:rPr>
          <w:sz w:val="22"/>
          <w:szCs w:val="22"/>
        </w:rPr>
      </w:pPr>
      <w:r w:rsidRPr="00D42F9B">
        <w:rPr>
          <w:bCs/>
          <w:sz w:val="22"/>
        </w:rPr>
        <w:t>17. CFR, “Fees for Facilities, Materials, Import and Export Licenses, and other Regulatory Services under the Atomic Energy Act of 1954, as Amended,”</w:t>
      </w:r>
      <w:r>
        <w:rPr>
          <w:bCs/>
          <w:sz w:val="22"/>
        </w:rPr>
        <w:t xml:space="preserve"> Part 170, </w:t>
      </w:r>
      <w:r>
        <w:rPr>
          <w:sz w:val="22"/>
          <w:szCs w:val="22"/>
        </w:rPr>
        <w:t>Chapter I, Title 10, “Energy.”</w:t>
      </w:r>
    </w:p>
    <w:p w:rsidR="003F2128" w:rsidP="003F2128" w14:paraId="7F493C54" w14:textId="77777777">
      <w:pPr>
        <w:rPr>
          <w:sz w:val="22"/>
          <w:szCs w:val="22"/>
        </w:rPr>
      </w:pPr>
    </w:p>
    <w:p w:rsidR="000662E2" w:rsidP="000662E2" w14:paraId="7F493C55" w14:textId="77777777">
      <w:pPr>
        <w:rPr>
          <w:color w:val="000000" w:themeColor="text1"/>
          <w:sz w:val="22"/>
          <w:szCs w:val="22"/>
        </w:rPr>
      </w:pPr>
      <w:r>
        <w:rPr>
          <w:color w:val="000000" w:themeColor="text1"/>
          <w:sz w:val="22"/>
          <w:szCs w:val="22"/>
        </w:rPr>
        <w:t>18. CFR, “Reactor Site Criteria,” Part 100, Chapter I, Title 10, “Energy.”</w:t>
      </w:r>
    </w:p>
    <w:p w:rsidR="000662E2" w:rsidP="000662E2" w14:paraId="7F493C56" w14:textId="77777777">
      <w:pPr>
        <w:rPr>
          <w:color w:val="000000" w:themeColor="text1"/>
          <w:sz w:val="22"/>
          <w:szCs w:val="22"/>
        </w:rPr>
      </w:pPr>
    </w:p>
    <w:p w:rsidR="003F2128" w:rsidP="003F2128" w14:paraId="7F493C57" w14:textId="77777777">
      <w:pPr>
        <w:rPr>
          <w:color w:val="000000" w:themeColor="text1"/>
          <w:sz w:val="22"/>
          <w:szCs w:val="22"/>
        </w:rPr>
      </w:pPr>
      <w:r>
        <w:rPr>
          <w:sz w:val="22"/>
          <w:szCs w:val="22"/>
        </w:rPr>
        <w:t>19</w:t>
      </w:r>
      <w:r>
        <w:rPr>
          <w:sz w:val="22"/>
          <w:szCs w:val="22"/>
        </w:rPr>
        <w:t xml:space="preserve">. CFR, </w:t>
      </w:r>
      <w:r>
        <w:rPr>
          <w:color w:val="000000" w:themeColor="text1"/>
          <w:sz w:val="22"/>
          <w:szCs w:val="22"/>
        </w:rPr>
        <w:t>“Standards for Protection against Radiation,” Part 20, Chapter I, Title 10, “Energy.”</w:t>
      </w:r>
    </w:p>
    <w:p w:rsidR="003F2128" w:rsidP="003F2128" w14:paraId="7F493C58" w14:textId="77777777">
      <w:pPr>
        <w:rPr>
          <w:color w:val="000000" w:themeColor="text1"/>
          <w:sz w:val="22"/>
          <w:szCs w:val="22"/>
        </w:rPr>
      </w:pPr>
    </w:p>
    <w:p w:rsidR="003F2128" w:rsidP="003F2128" w14:paraId="7F493C59" w14:textId="77777777">
      <w:pPr>
        <w:rPr>
          <w:sz w:val="22"/>
          <w:szCs w:val="22"/>
        </w:rPr>
      </w:pPr>
      <w:r>
        <w:rPr>
          <w:color w:val="000000" w:themeColor="text1"/>
          <w:sz w:val="22"/>
          <w:szCs w:val="22"/>
        </w:rPr>
        <w:t>20. National Environmental Policy Act (NEPA) of 1969, January 1, 1970.</w:t>
      </w:r>
    </w:p>
    <w:p w:rsidR="003F2128" w:rsidRPr="00D42F9B" w:rsidP="003F2128" w14:paraId="7F493C5A" w14:textId="77777777">
      <w:pPr>
        <w:rPr>
          <w:sz w:val="22"/>
        </w:rPr>
      </w:pPr>
    </w:p>
    <w:p w:rsidR="003F2128" w:rsidRPr="00D96410" w:rsidP="003F2128" w14:paraId="7F493C5B" w14:textId="77777777">
      <w:pPr>
        <w:rPr>
          <w:sz w:val="22"/>
          <w:szCs w:val="22"/>
        </w:rPr>
      </w:pPr>
      <w:r>
        <w:rPr>
          <w:sz w:val="22"/>
          <w:szCs w:val="22"/>
        </w:rPr>
        <w:t>21</w:t>
      </w:r>
      <w:r w:rsidRPr="00D96410">
        <w:rPr>
          <w:sz w:val="22"/>
          <w:szCs w:val="22"/>
        </w:rPr>
        <w:t>. Trustees of Columbia University in the City of New York, ALAB-50, 4 AEC 849, 854-855 (May 18, 1972). </w:t>
      </w:r>
    </w:p>
    <w:p w:rsidR="003F2128" w:rsidRPr="00D96410" w:rsidP="003F2128" w14:paraId="7F493C5C" w14:textId="77777777">
      <w:pPr>
        <w:rPr>
          <w:sz w:val="22"/>
          <w:szCs w:val="22"/>
        </w:rPr>
      </w:pPr>
    </w:p>
    <w:p w:rsidR="00AA56A2" w:rsidP="003F2128" w14:paraId="7F493C5D" w14:textId="77777777">
      <w:pPr>
        <w:rPr>
          <w:sz w:val="22"/>
        </w:rPr>
      </w:pPr>
      <w:r>
        <w:rPr>
          <w:sz w:val="22"/>
          <w:szCs w:val="22"/>
        </w:rPr>
        <w:t>22</w:t>
      </w:r>
      <w:r w:rsidRPr="00D96410">
        <w:rPr>
          <w:sz w:val="22"/>
          <w:szCs w:val="22"/>
        </w:rPr>
        <w:t>.</w:t>
      </w:r>
      <w:r w:rsidRPr="00346B95">
        <w:rPr>
          <w:sz w:val="22"/>
        </w:rPr>
        <w:t xml:space="preserve"> </w:t>
      </w:r>
      <w:r>
        <w:rPr>
          <w:sz w:val="22"/>
        </w:rPr>
        <w:t>NRC, “</w:t>
      </w:r>
      <w:r w:rsidRPr="00AA56A2">
        <w:rPr>
          <w:sz w:val="22"/>
        </w:rPr>
        <w:t>Financial Information Requirements for Applications to Renew or Extend the Term of an Operating License for a Power Reactor</w:t>
      </w:r>
      <w:r>
        <w:rPr>
          <w:sz w:val="22"/>
        </w:rPr>
        <w:t>,</w:t>
      </w:r>
      <w:r w:rsidRPr="00AA56A2">
        <w:rPr>
          <w:sz w:val="22"/>
        </w:rPr>
        <w:t>”</w:t>
      </w:r>
      <w:r>
        <w:rPr>
          <w:sz w:val="22"/>
        </w:rPr>
        <w:t xml:space="preserve"> Washington, DC, </w:t>
      </w:r>
      <w:r w:rsidRPr="00AA56A2">
        <w:rPr>
          <w:sz w:val="22"/>
        </w:rPr>
        <w:t>January 30, 2004 (69 FR 4439)</w:t>
      </w:r>
      <w:r>
        <w:rPr>
          <w:sz w:val="22"/>
        </w:rPr>
        <w:t>.</w:t>
      </w:r>
    </w:p>
    <w:p w:rsidR="00AA56A2" w:rsidP="003F2128" w14:paraId="7F493C5E" w14:textId="77777777">
      <w:pPr>
        <w:rPr>
          <w:sz w:val="22"/>
        </w:rPr>
      </w:pPr>
    </w:p>
    <w:p w:rsidR="003F2128" w:rsidRPr="00346B95" w:rsidP="003F2128" w14:paraId="7F493C5F" w14:textId="77777777">
      <w:pPr>
        <w:rPr>
          <w:sz w:val="22"/>
        </w:rPr>
      </w:pPr>
      <w:r>
        <w:rPr>
          <w:sz w:val="22"/>
        </w:rPr>
        <w:t xml:space="preserve">23. </w:t>
      </w:r>
      <w:r w:rsidRPr="00346B95">
        <w:rPr>
          <w:sz w:val="22"/>
        </w:rPr>
        <w:t xml:space="preserve">NRC, “Interim Staff Guidance on the Streamlined Review Process for License Renewal for Research Reactors,” Washington, DC, October 2009.  (ADAMS Accession No. ML092240244) </w:t>
      </w:r>
    </w:p>
    <w:p w:rsidR="003F2128" w:rsidRPr="00346B95" w:rsidP="003F2128" w14:paraId="7F493C60" w14:textId="77777777">
      <w:pPr>
        <w:rPr>
          <w:sz w:val="22"/>
        </w:rPr>
      </w:pPr>
    </w:p>
    <w:p w:rsidR="003F2128" w:rsidP="003F2128" w14:paraId="7F493C61" w14:textId="77777777">
      <w:pPr>
        <w:rPr>
          <w:sz w:val="22"/>
        </w:rPr>
      </w:pPr>
      <w:r>
        <w:rPr>
          <w:rFonts w:cs="Arial"/>
          <w:sz w:val="22"/>
          <w:szCs w:val="22"/>
        </w:rPr>
        <w:t>24</w:t>
      </w:r>
      <w:r w:rsidRPr="00346B95">
        <w:rPr>
          <w:sz w:val="22"/>
        </w:rPr>
        <w:t xml:space="preserve">. NRC, NUREG/BR-0058, </w:t>
      </w:r>
      <w:r w:rsidRPr="00D96410">
        <w:rPr>
          <w:rFonts w:cs="Arial"/>
          <w:sz w:val="22"/>
          <w:szCs w:val="22"/>
        </w:rPr>
        <w:t xml:space="preserve">draft </w:t>
      </w:r>
      <w:r w:rsidRPr="00346B95">
        <w:rPr>
          <w:sz w:val="22"/>
        </w:rPr>
        <w:t xml:space="preserve">Rev. </w:t>
      </w:r>
      <w:r w:rsidRPr="00D96410">
        <w:rPr>
          <w:rFonts w:cs="Arial"/>
          <w:sz w:val="22"/>
          <w:szCs w:val="22"/>
        </w:rPr>
        <w:t>5</w:t>
      </w:r>
      <w:r w:rsidRPr="00346B95">
        <w:rPr>
          <w:sz w:val="22"/>
        </w:rPr>
        <w:t xml:space="preserve">, “Regulatory Analysis Guidelines of the U.S. Nuclear Regulatory Commission,” Washington, DC, </w:t>
      </w:r>
      <w:r w:rsidRPr="00D96410">
        <w:rPr>
          <w:rFonts w:cs="Arial"/>
          <w:sz w:val="22"/>
          <w:szCs w:val="22"/>
        </w:rPr>
        <w:t>April 2017</w:t>
      </w:r>
      <w:r w:rsidRPr="00346B95">
        <w:rPr>
          <w:sz w:val="22"/>
        </w:rPr>
        <w:t>.  (ADAMS Accession No.</w:t>
      </w:r>
      <w:r w:rsidRPr="00D96410">
        <w:rPr>
          <w:rFonts w:cs="Arial"/>
          <w:sz w:val="22"/>
          <w:szCs w:val="22"/>
        </w:rPr>
        <w:t>ML17100A480</w:t>
      </w:r>
      <w:r w:rsidRPr="00346B95">
        <w:rPr>
          <w:sz w:val="22"/>
        </w:rPr>
        <w:t xml:space="preserve">) </w:t>
      </w:r>
    </w:p>
    <w:p w:rsidR="003F2128" w:rsidP="003F2128" w14:paraId="7F493C62" w14:textId="77777777">
      <w:pPr>
        <w:rPr>
          <w:sz w:val="22"/>
        </w:rPr>
      </w:pPr>
    </w:p>
    <w:p w:rsidR="00B1547E" w:rsidP="00B1547E" w14:paraId="7F493C63" w14:textId="77777777">
      <w:pPr>
        <w:rPr>
          <w:sz w:val="22"/>
          <w:szCs w:val="22"/>
        </w:rPr>
      </w:pPr>
      <w:r w:rsidRPr="00DC6CE9">
        <w:rPr>
          <w:sz w:val="22"/>
          <w:szCs w:val="22"/>
        </w:rPr>
        <w:t>25. NRC, NUREG-1350, “</w:t>
      </w:r>
      <w:r w:rsidRPr="00DC6CE9">
        <w:rPr>
          <w:rFonts w:cs="Arial"/>
          <w:sz w:val="22"/>
          <w:szCs w:val="22"/>
        </w:rPr>
        <w:t>NRC Information Digest, 2018–2019”</w:t>
      </w:r>
      <w:r>
        <w:rPr>
          <w:sz w:val="22"/>
          <w:szCs w:val="22"/>
        </w:rPr>
        <w:t xml:space="preserve"> Volume 30</w:t>
      </w:r>
      <w:r w:rsidRPr="00DC6CE9">
        <w:rPr>
          <w:sz w:val="22"/>
          <w:szCs w:val="22"/>
        </w:rPr>
        <w:t>, Washington, DC, August 2018.</w:t>
      </w:r>
      <w:r>
        <w:rPr>
          <w:sz w:val="22"/>
          <w:szCs w:val="22"/>
        </w:rPr>
        <w:t xml:space="preserve"> (ADAMS Accession No. ML18226A114)</w:t>
      </w:r>
    </w:p>
    <w:p w:rsidR="00B1547E" w:rsidP="00B1547E" w14:paraId="7F493C64" w14:textId="77777777">
      <w:pPr>
        <w:rPr>
          <w:sz w:val="22"/>
          <w:szCs w:val="22"/>
        </w:rPr>
      </w:pPr>
    </w:p>
    <w:p w:rsidR="00B1547E" w:rsidRPr="00DC6CE9" w:rsidP="00B1547E" w14:paraId="7F493C65" w14:textId="6E8A29CB">
      <w:pPr>
        <w:rPr>
          <w:sz w:val="22"/>
          <w:szCs w:val="22"/>
        </w:rPr>
      </w:pPr>
      <w:r>
        <w:rPr>
          <w:sz w:val="22"/>
        </w:rPr>
        <w:t xml:space="preserve">26. NRC, “Non-Power Production or Utilization Facility License Renewal,” Washington, DC, </w:t>
      </w:r>
      <w:r w:rsidR="00BB4F14">
        <w:rPr>
          <w:sz w:val="22"/>
        </w:rPr>
        <w:t>June 17, 2019</w:t>
      </w:r>
      <w:r>
        <w:rPr>
          <w:sz w:val="22"/>
        </w:rPr>
        <w:t xml:space="preserve">. </w:t>
      </w:r>
      <w:r w:rsidR="0059151F">
        <w:rPr>
          <w:sz w:val="22"/>
        </w:rPr>
        <w:t xml:space="preserve"> </w:t>
      </w:r>
      <w:r>
        <w:rPr>
          <w:sz w:val="22"/>
        </w:rPr>
        <w:t>(</w:t>
      </w:r>
      <w:r>
        <w:rPr>
          <w:rFonts w:cs="Arial"/>
          <w:sz w:val="22"/>
          <w:szCs w:val="22"/>
        </w:rPr>
        <w:t>ADAMS Accession No. </w:t>
      </w:r>
      <w:r w:rsidRPr="002A0714">
        <w:rPr>
          <w:rFonts w:cs="Arial"/>
          <w:sz w:val="22"/>
          <w:szCs w:val="22"/>
        </w:rPr>
        <w:t>ML18031A002</w:t>
      </w:r>
      <w:r>
        <w:rPr>
          <w:rFonts w:cs="Arial"/>
          <w:sz w:val="22"/>
          <w:szCs w:val="22"/>
        </w:rPr>
        <w:t>)</w:t>
      </w:r>
    </w:p>
    <w:p w:rsidR="00B1547E" w:rsidRPr="00346B95" w:rsidP="00B1547E" w14:paraId="7F493C66" w14:textId="77777777">
      <w:pPr>
        <w:rPr>
          <w:sz w:val="22"/>
        </w:rPr>
      </w:pPr>
    </w:p>
    <w:p w:rsidR="003F2128" w:rsidP="003F2128" w14:paraId="7F493C67" w14:textId="77777777">
      <w:pPr>
        <w:rPr>
          <w:sz w:val="22"/>
        </w:rPr>
      </w:pPr>
      <w:r>
        <w:rPr>
          <w:sz w:val="22"/>
        </w:rPr>
        <w:t>27</w:t>
      </w:r>
      <w:r>
        <w:rPr>
          <w:sz w:val="22"/>
        </w:rPr>
        <w:t xml:space="preserve">. Department of Labor (DOL), </w:t>
      </w:r>
      <w:r w:rsidRPr="003E21C5">
        <w:rPr>
          <w:sz w:val="22"/>
        </w:rPr>
        <w:t>Bureau of Labor Statistics (BLS) Consumer Price Index data</w:t>
      </w:r>
      <w:r>
        <w:rPr>
          <w:sz w:val="22"/>
        </w:rPr>
        <w:t xml:space="preserve">, </w:t>
      </w:r>
      <w:hyperlink r:id="rId26" w:history="1">
        <w:r w:rsidRPr="000A1C23">
          <w:rPr>
            <w:rStyle w:val="Hyperlink"/>
            <w:sz w:val="22"/>
          </w:rPr>
          <w:t>https://www.bls.gov/cpi/</w:t>
        </w:r>
      </w:hyperlink>
      <w:r>
        <w:rPr>
          <w:sz w:val="22"/>
        </w:rPr>
        <w:t>.</w:t>
      </w:r>
    </w:p>
    <w:p w:rsidR="003F2128" w:rsidP="003F2128" w14:paraId="7F493C68" w14:textId="77777777">
      <w:pPr>
        <w:rPr>
          <w:sz w:val="22"/>
        </w:rPr>
      </w:pPr>
    </w:p>
    <w:p w:rsidR="003F2128" w:rsidRPr="00346B95" w:rsidP="003F2128" w14:paraId="7F493C69" w14:textId="77777777">
      <w:pPr>
        <w:rPr>
          <w:sz w:val="22"/>
        </w:rPr>
      </w:pPr>
      <w:r>
        <w:rPr>
          <w:sz w:val="22"/>
        </w:rPr>
        <w:t>28</w:t>
      </w:r>
      <w:r w:rsidRPr="00346B95">
        <w:rPr>
          <w:sz w:val="22"/>
        </w:rPr>
        <w:t xml:space="preserve">. NRC, NUREG/CR-4627, Rev. 2, “Generic Cost Estimates,” Washington, DC, </w:t>
      </w:r>
      <w:r>
        <w:rPr>
          <w:sz w:val="22"/>
          <w:szCs w:val="22"/>
        </w:rPr>
        <w:t>February</w:t>
      </w:r>
      <w:r>
        <w:rPr>
          <w:rFonts w:cs="Arial"/>
          <w:sz w:val="22"/>
          <w:szCs w:val="22"/>
        </w:rPr>
        <w:t> </w:t>
      </w:r>
      <w:r w:rsidRPr="00346B95">
        <w:rPr>
          <w:sz w:val="22"/>
        </w:rPr>
        <w:t>1992.  (ADAMS Accession No. ML13137A259)</w:t>
      </w:r>
    </w:p>
    <w:p w:rsidR="003F2128" w:rsidRPr="00346B95" w:rsidP="003F2128" w14:paraId="7F493C6A" w14:textId="77777777">
      <w:pPr>
        <w:rPr>
          <w:sz w:val="22"/>
        </w:rPr>
      </w:pPr>
    </w:p>
    <w:p w:rsidR="003F2128" w:rsidRPr="00346B95" w:rsidP="003F2128" w14:paraId="7F493C6B" w14:textId="77777777">
      <w:pPr>
        <w:rPr>
          <w:sz w:val="22"/>
        </w:rPr>
      </w:pPr>
      <w:r>
        <w:rPr>
          <w:rFonts w:cs="Arial"/>
          <w:bCs/>
          <w:iCs/>
          <w:sz w:val="22"/>
          <w:szCs w:val="22"/>
        </w:rPr>
        <w:t>29</w:t>
      </w:r>
      <w:r w:rsidRPr="00346B95">
        <w:rPr>
          <w:sz w:val="22"/>
        </w:rPr>
        <w:t>. Office of Management and Budget</w:t>
      </w:r>
      <w:r w:rsidR="006A1B84">
        <w:rPr>
          <w:sz w:val="22"/>
        </w:rPr>
        <w:t xml:space="preserve"> (OMB)</w:t>
      </w:r>
      <w:r w:rsidRPr="00346B95">
        <w:rPr>
          <w:sz w:val="22"/>
        </w:rPr>
        <w:t>, Circular A-4, “Regulatory Analysis,” Washington, DC, September</w:t>
      </w:r>
      <w:r>
        <w:rPr>
          <w:rFonts w:cs="Arial"/>
          <w:sz w:val="22"/>
          <w:szCs w:val="22"/>
        </w:rPr>
        <w:t> </w:t>
      </w:r>
      <w:r w:rsidRPr="00346B95">
        <w:rPr>
          <w:sz w:val="22"/>
        </w:rPr>
        <w:t>17,</w:t>
      </w:r>
      <w:r>
        <w:rPr>
          <w:rFonts w:cs="Arial"/>
          <w:sz w:val="22"/>
          <w:szCs w:val="22"/>
        </w:rPr>
        <w:t> </w:t>
      </w:r>
      <w:r w:rsidRPr="00346B95">
        <w:rPr>
          <w:sz w:val="22"/>
        </w:rPr>
        <w:t xml:space="preserve">2003. </w:t>
      </w:r>
    </w:p>
    <w:p w:rsidR="003F2128" w:rsidRPr="00D96410" w:rsidP="003F2128" w14:paraId="7F493C6C" w14:textId="77777777">
      <w:pPr>
        <w:rPr>
          <w:rFonts w:cs="Arial"/>
          <w:sz w:val="22"/>
          <w:szCs w:val="22"/>
        </w:rPr>
      </w:pPr>
    </w:p>
    <w:p w:rsidR="003F2128" w:rsidRPr="00D96410" w:rsidP="003F2128" w14:paraId="7F493C6D" w14:textId="77777777">
      <w:pPr>
        <w:rPr>
          <w:rFonts w:cs="Arial"/>
          <w:sz w:val="22"/>
          <w:szCs w:val="22"/>
        </w:rPr>
      </w:pPr>
      <w:r>
        <w:rPr>
          <w:rFonts w:cs="Arial"/>
          <w:sz w:val="22"/>
          <w:szCs w:val="22"/>
        </w:rPr>
        <w:t>30</w:t>
      </w:r>
      <w:r w:rsidRPr="00D96410">
        <w:rPr>
          <w:rFonts w:cs="Arial"/>
          <w:sz w:val="22"/>
          <w:szCs w:val="22"/>
        </w:rPr>
        <w:t xml:space="preserve">. NRC, “SHINE Medical Technologies, Inc. – Construction Permit for Medical Isotope Facility,” Washington, DC, February 2016.  (ADAMS Accession No. ML16041A471) </w:t>
      </w:r>
    </w:p>
    <w:p w:rsidR="003F2128" w:rsidRPr="00D96410" w:rsidP="003F2128" w14:paraId="7F493C6E" w14:textId="77777777">
      <w:pPr>
        <w:rPr>
          <w:rFonts w:cs="Arial"/>
          <w:sz w:val="22"/>
          <w:szCs w:val="22"/>
        </w:rPr>
      </w:pPr>
    </w:p>
    <w:p w:rsidR="003F2128" w:rsidRPr="00D96410" w:rsidP="003F2128" w14:paraId="7F493C6F" w14:textId="77777777">
      <w:pPr>
        <w:rPr>
          <w:rFonts w:cs="Arial"/>
          <w:sz w:val="22"/>
          <w:szCs w:val="22"/>
        </w:rPr>
      </w:pPr>
      <w:r>
        <w:rPr>
          <w:rFonts w:cs="Arial"/>
          <w:sz w:val="22"/>
          <w:szCs w:val="22"/>
        </w:rPr>
        <w:t>31</w:t>
      </w:r>
      <w:r w:rsidRPr="00D96410">
        <w:rPr>
          <w:rFonts w:cs="Arial"/>
          <w:sz w:val="22"/>
          <w:szCs w:val="22"/>
        </w:rPr>
        <w:t>. NRC, “Northwest Medical Isotopes, LLC, Construction Permit for a Production Facility,” Washington, DC, May 2018.  (ADAMS Accession No. ML18037A468)</w:t>
      </w:r>
    </w:p>
    <w:p w:rsidR="003F2128" w:rsidRPr="00D96410" w:rsidP="003F2128" w14:paraId="7F493C70" w14:textId="77777777">
      <w:pPr>
        <w:rPr>
          <w:rFonts w:cs="Arial"/>
          <w:sz w:val="22"/>
          <w:szCs w:val="22"/>
        </w:rPr>
      </w:pPr>
    </w:p>
    <w:p w:rsidR="003F2128" w:rsidRPr="00D96410" w:rsidP="003F2128" w14:paraId="7F493C71" w14:textId="77777777">
      <w:pPr>
        <w:pStyle w:val="BodyText"/>
      </w:pPr>
      <w:r>
        <w:t>32</w:t>
      </w:r>
      <w:r w:rsidRPr="00D96410">
        <w:t>. U.S. Government Accountability Office (GAO), “Nuclear Regulatory Commission—NRC Needs to Improve Its Cost Estimates by Incorporating More Best Practices,” Report to Congressional Requesters, GAO</w:t>
      </w:r>
      <w:r w:rsidRPr="00D96410">
        <w:noBreakHyphen/>
        <w:t>15</w:t>
      </w:r>
      <w:r w:rsidRPr="00D96410">
        <w:noBreakHyphen/>
        <w:t xml:space="preserve">98, December 12, 2014.  Available at </w:t>
      </w:r>
      <w:hyperlink r:id="rId27" w:history="1">
        <w:r w:rsidRPr="00D96410">
          <w:rPr>
            <w:rStyle w:val="Hyperlink"/>
            <w:rFonts w:eastAsiaTheme="minorHAnsi"/>
          </w:rPr>
          <w:t>http://www.gao.gov/assets/670/667501.pdf</w:t>
        </w:r>
      </w:hyperlink>
      <w:r w:rsidRPr="00D96410">
        <w:t>.</w:t>
      </w:r>
    </w:p>
    <w:p w:rsidR="003F2128" w:rsidRPr="00D96410" w:rsidP="003F2128" w14:paraId="7F493C72" w14:textId="77777777">
      <w:pPr>
        <w:rPr>
          <w:rFonts w:eastAsiaTheme="minorHAnsi"/>
          <w:sz w:val="22"/>
          <w:szCs w:val="22"/>
        </w:rPr>
      </w:pPr>
    </w:p>
    <w:p w:rsidR="003F2128" w:rsidP="003F2128" w14:paraId="7F493C73" w14:textId="77777777">
      <w:pPr>
        <w:rPr>
          <w:rFonts w:eastAsiaTheme="minorHAnsi"/>
          <w:color w:val="0000FF"/>
          <w:sz w:val="22"/>
          <w:szCs w:val="22"/>
        </w:rPr>
      </w:pPr>
      <w:r>
        <w:rPr>
          <w:rFonts w:eastAsiaTheme="minorHAnsi"/>
          <w:sz w:val="22"/>
          <w:szCs w:val="22"/>
        </w:rPr>
        <w:t>33</w:t>
      </w:r>
      <w:r w:rsidRPr="00D96410">
        <w:rPr>
          <w:rFonts w:eastAsiaTheme="minorHAnsi"/>
          <w:sz w:val="22"/>
          <w:szCs w:val="22"/>
        </w:rPr>
        <w:t xml:space="preserve">. </w:t>
      </w:r>
      <w:r w:rsidRPr="00D96410">
        <w:rPr>
          <w:sz w:val="22"/>
          <w:szCs w:val="22"/>
        </w:rPr>
        <w:t xml:space="preserve">GAO, “GAO Cost Estimating </w:t>
      </w:r>
      <w:r w:rsidRPr="00D96410">
        <w:rPr>
          <w:rFonts w:eastAsiaTheme="minorHAnsi"/>
          <w:sz w:val="22"/>
          <w:szCs w:val="22"/>
        </w:rPr>
        <w:t xml:space="preserve">and Assessment Guide: Best Practices for Developing </w:t>
      </w:r>
      <w:r w:rsidRPr="00D96410">
        <w:rPr>
          <w:sz w:val="22"/>
          <w:szCs w:val="22"/>
        </w:rPr>
        <w:t>and Managing Capital Program Costs,” GAO</w:t>
      </w:r>
      <w:r w:rsidRPr="00D96410">
        <w:rPr>
          <w:sz w:val="22"/>
          <w:szCs w:val="22"/>
        </w:rPr>
        <w:noBreakHyphen/>
        <w:t>09</w:t>
      </w:r>
      <w:r w:rsidRPr="00D96410">
        <w:rPr>
          <w:sz w:val="22"/>
          <w:szCs w:val="22"/>
        </w:rPr>
        <w:noBreakHyphen/>
        <w:t xml:space="preserve">3SP, March 2009.  </w:t>
      </w:r>
      <w:r w:rsidRPr="00D96410">
        <w:rPr>
          <w:rFonts w:eastAsiaTheme="minorHAnsi"/>
          <w:color w:val="000000"/>
          <w:sz w:val="22"/>
          <w:szCs w:val="22"/>
        </w:rPr>
        <w:t xml:space="preserve">Available at </w:t>
      </w:r>
      <w:hyperlink r:id="rId28" w:history="1">
        <w:r w:rsidRPr="00D96410">
          <w:rPr>
            <w:rStyle w:val="Hyperlink"/>
            <w:rFonts w:eastAsiaTheme="minorHAnsi"/>
            <w:sz w:val="22"/>
            <w:szCs w:val="22"/>
          </w:rPr>
          <w:t>http://www.gao.gov/assets/80/77175.pdf</w:t>
        </w:r>
      </w:hyperlink>
      <w:r>
        <w:rPr>
          <w:rFonts w:eastAsiaTheme="minorHAnsi"/>
          <w:color w:val="0000FF"/>
          <w:sz w:val="22"/>
          <w:szCs w:val="22"/>
        </w:rPr>
        <w:t>.</w:t>
      </w:r>
    </w:p>
    <w:p w:rsidR="003F2128" w:rsidP="003F2128" w14:paraId="7F493C74" w14:textId="77777777">
      <w:pPr>
        <w:rPr>
          <w:rFonts w:eastAsiaTheme="minorHAnsi"/>
          <w:color w:val="0000FF"/>
          <w:sz w:val="22"/>
          <w:szCs w:val="22"/>
        </w:rPr>
      </w:pPr>
    </w:p>
    <w:p w:rsidR="003F2128" w:rsidP="003F2128" w14:paraId="7F493C75" w14:textId="77777777">
      <w:r>
        <w:rPr>
          <w:rFonts w:eastAsiaTheme="minorHAnsi"/>
          <w:bCs/>
          <w:sz w:val="22"/>
          <w:szCs w:val="22"/>
        </w:rPr>
        <w:t>34</w:t>
      </w:r>
      <w:r w:rsidRPr="002970AD">
        <w:rPr>
          <w:rFonts w:eastAsiaTheme="minorHAnsi"/>
          <w:bCs/>
          <w:sz w:val="22"/>
          <w:szCs w:val="22"/>
        </w:rPr>
        <w:t>. NRC, NUREG/BR-0184, Regulatory Analysis</w:t>
      </w:r>
      <w:r>
        <w:rPr>
          <w:rFonts w:eastAsiaTheme="minorHAnsi"/>
          <w:bCs/>
          <w:sz w:val="22"/>
          <w:szCs w:val="22"/>
        </w:rPr>
        <w:t xml:space="preserve"> Technical Evaluation Handbook,” Washington, DC, October 22, 2010.</w:t>
      </w:r>
      <w:r w:rsidR="00844084">
        <w:rPr>
          <w:rFonts w:eastAsiaTheme="minorHAnsi"/>
          <w:bCs/>
          <w:sz w:val="22"/>
          <w:szCs w:val="22"/>
        </w:rPr>
        <w:t xml:space="preserve"> (ADAMS Accession No. ML050190193)</w:t>
      </w:r>
    </w:p>
    <w:p w:rsidR="005E735A" w:rsidP="003F2128" w14:paraId="7F493C76" w14:textId="77777777">
      <w:pPr>
        <w:rPr>
          <w:sz w:val="22"/>
          <w:szCs w:val="22"/>
        </w:rPr>
      </w:pPr>
    </w:p>
    <w:p w:rsidR="003F2128" w:rsidP="003F2128" w14:paraId="7F493C77" w14:textId="77777777">
      <w:pPr>
        <w:rPr>
          <w:rFonts w:cs="Arial"/>
          <w:sz w:val="22"/>
          <w:szCs w:val="22"/>
        </w:rPr>
      </w:pPr>
      <w:r>
        <w:rPr>
          <w:sz w:val="22"/>
          <w:szCs w:val="22"/>
        </w:rPr>
        <w:t>35</w:t>
      </w:r>
      <w:r w:rsidRPr="007D217C">
        <w:rPr>
          <w:sz w:val="22"/>
          <w:szCs w:val="22"/>
        </w:rPr>
        <w:t xml:space="preserve">. Palisade Corporation, @Risk software, </w:t>
      </w:r>
      <w:hyperlink r:id="rId29" w:history="1">
        <w:r w:rsidRPr="007D217C">
          <w:rPr>
            <w:rStyle w:val="Hyperlink"/>
            <w:sz w:val="22"/>
            <w:szCs w:val="22"/>
          </w:rPr>
          <w:t>http://www.palisade.com</w:t>
        </w:r>
      </w:hyperlink>
      <w:r>
        <w:rPr>
          <w:rFonts w:cs="Arial"/>
          <w:sz w:val="22"/>
          <w:szCs w:val="22"/>
        </w:rPr>
        <w:t>.</w:t>
      </w:r>
    </w:p>
    <w:p w:rsidR="003F2128" w:rsidP="003F2128" w14:paraId="7F493C78" w14:textId="77777777">
      <w:pPr>
        <w:rPr>
          <w:rFonts w:cs="Arial"/>
          <w:sz w:val="22"/>
          <w:szCs w:val="22"/>
        </w:rPr>
      </w:pPr>
    </w:p>
    <w:p w:rsidR="003F2128" w:rsidP="003F2128" w14:paraId="7F493C79" w14:textId="77777777">
      <w:pPr>
        <w:rPr>
          <w:rFonts w:cs="Arial"/>
          <w:sz w:val="22"/>
          <w:szCs w:val="22"/>
        </w:rPr>
      </w:pPr>
      <w:r>
        <w:rPr>
          <w:rFonts w:cs="Arial"/>
          <w:sz w:val="22"/>
          <w:szCs w:val="22"/>
        </w:rPr>
        <w:t>36</w:t>
      </w:r>
      <w:r>
        <w:rPr>
          <w:rFonts w:cs="Arial"/>
          <w:sz w:val="22"/>
          <w:szCs w:val="22"/>
        </w:rPr>
        <w:t>. CFR, “Size Eligibility Provisions and Standards,” Part 121, Subpart A, Chapter I, Title 13, “Business Credit and Assistance.”</w:t>
      </w:r>
    </w:p>
    <w:p w:rsidR="003F2128" w:rsidRPr="00764E75" w:rsidP="003F2128" w14:paraId="7F493C7A" w14:textId="77777777">
      <w:pPr>
        <w:rPr>
          <w:rFonts w:cs="Arial"/>
          <w:sz w:val="22"/>
          <w:szCs w:val="22"/>
        </w:rPr>
      </w:pPr>
    </w:p>
    <w:p w:rsidR="003F2128" w:rsidP="003F2128" w14:paraId="7F493C7B" w14:textId="77777777">
      <w:pPr>
        <w:rPr>
          <w:sz w:val="22"/>
          <w:szCs w:val="22"/>
        </w:rPr>
      </w:pPr>
      <w:r>
        <w:rPr>
          <w:rFonts w:cs="Arial"/>
          <w:sz w:val="22"/>
          <w:szCs w:val="22"/>
        </w:rPr>
        <w:t>37</w:t>
      </w:r>
      <w:r w:rsidRPr="00764E75">
        <w:rPr>
          <w:rFonts w:cs="Arial"/>
          <w:sz w:val="22"/>
          <w:szCs w:val="22"/>
        </w:rPr>
        <w:t>. NRC, Letter to David M. Slaughter, Aerotest Fee Waiver Response To Request Dated July 16, 2018; Response Letter, Washington, D.C., November 07, 2018. (</w:t>
      </w:r>
      <w:r w:rsidRPr="00764E75">
        <w:rPr>
          <w:sz w:val="22"/>
          <w:szCs w:val="22"/>
        </w:rPr>
        <w:t>ADAMS Accession No. ML18268A345)</w:t>
      </w:r>
    </w:p>
    <w:p w:rsidR="003F2128" w:rsidP="003F2128" w14:paraId="7F493C7C" w14:textId="77777777">
      <w:pPr>
        <w:rPr>
          <w:sz w:val="22"/>
          <w:szCs w:val="22"/>
        </w:rPr>
      </w:pPr>
    </w:p>
    <w:p w:rsidR="009B03D0" w:rsidRPr="006F3CA2" w:rsidP="001447E7" w14:paraId="7F493C7D" w14:textId="77777777">
      <w:pPr>
        <w:rPr>
          <w:rFonts w:cs="Arial"/>
        </w:rPr>
      </w:pPr>
      <w:r>
        <w:rPr>
          <w:sz w:val="22"/>
        </w:rPr>
        <w:t>38</w:t>
      </w:r>
      <w:r w:rsidR="003F2128">
        <w:rPr>
          <w:sz w:val="22"/>
        </w:rPr>
        <w:t>. EA-13-097, Order Prohibiting Operating of Aerotest Radiology and Research Reactor, July 14, 2013. (ADAMS Accession No. ML13158A164)</w:t>
      </w:r>
    </w:p>
    <w:p w:rsidR="00641810" w:rsidRPr="001176AF" w14:paraId="7F493C7E" w14:textId="77777777">
      <w:pPr>
        <w:autoSpaceDE/>
        <w:autoSpaceDN/>
        <w:adjustRightInd/>
        <w:spacing w:after="160" w:line="259" w:lineRule="auto"/>
        <w:rPr>
          <w:sz w:val="22"/>
        </w:rPr>
      </w:pPr>
    </w:p>
    <w:p w:rsidR="0088483D" w:rsidRPr="00D839EE" w:rsidP="0088483D" w14:paraId="7F493C7F" w14:textId="77777777">
      <w:pPr>
        <w:autoSpaceDE/>
        <w:autoSpaceDN/>
        <w:adjustRightInd/>
        <w:spacing w:after="160" w:line="259" w:lineRule="auto"/>
        <w:sectPr w:rsidSect="0016129F">
          <w:headerReference w:type="default" r:id="rId30"/>
          <w:pgSz w:w="12240" w:h="15840"/>
          <w:pgMar w:top="1440" w:right="1440" w:bottom="1440" w:left="1440" w:header="720" w:footer="720" w:gutter="0"/>
          <w:pgNumType w:start="1"/>
          <w:cols w:space="720"/>
          <w:docGrid w:linePitch="360"/>
        </w:sectPr>
      </w:pPr>
      <w:r w:rsidRPr="00D839EE">
        <w:br w:type="page"/>
      </w:r>
    </w:p>
    <w:p w:rsidR="00FC263C" w:rsidRPr="00D839EE" w:rsidP="00346B95" w14:paraId="7F493C80" w14:textId="77777777">
      <w:pPr>
        <w:keepNext/>
        <w:spacing w:before="240" w:after="220"/>
        <w:ind w:left="806" w:hanging="806"/>
        <w:jc w:val="center"/>
        <w:outlineLvl w:val="0"/>
        <w:rPr>
          <w:rFonts w:cs="Arial"/>
          <w:b/>
          <w:bCs/>
          <w:i/>
          <w:kern w:val="32"/>
          <w:sz w:val="32"/>
          <w:szCs w:val="32"/>
        </w:rPr>
      </w:pPr>
      <w:bookmarkStart w:id="501" w:name="_Toc443852813"/>
      <w:bookmarkStart w:id="502" w:name="_Toc530073302"/>
      <w:bookmarkStart w:id="503" w:name="_Toc534037122"/>
      <w:bookmarkStart w:id="504" w:name="_Toc534699743"/>
      <w:bookmarkStart w:id="505" w:name="_Toc536603311"/>
      <w:r w:rsidRPr="005E269C">
        <w:rPr>
          <w:b/>
          <w:i/>
          <w:kern w:val="32"/>
          <w:sz w:val="32"/>
        </w:rPr>
        <w:t xml:space="preserve">Appendix </w:t>
      </w:r>
      <w:r w:rsidRPr="005E269C" w:rsidR="00A002D2">
        <w:rPr>
          <w:b/>
          <w:i/>
          <w:kern w:val="32"/>
          <w:sz w:val="32"/>
        </w:rPr>
        <w:t>A</w:t>
      </w:r>
      <w:bookmarkStart w:id="506" w:name="_Toc443852814"/>
      <w:bookmarkEnd w:id="501"/>
      <w:r w:rsidRPr="005E269C">
        <w:rPr>
          <w:rFonts w:cs="Arial"/>
          <w:b/>
          <w:bCs/>
          <w:i/>
          <w:kern w:val="32"/>
          <w:sz w:val="32"/>
          <w:szCs w:val="32"/>
        </w:rPr>
        <w:t>:</w:t>
      </w:r>
      <w:r w:rsidRPr="00D839EE">
        <w:rPr>
          <w:rFonts w:cs="Arial"/>
          <w:b/>
          <w:bCs/>
          <w:i/>
          <w:kern w:val="32"/>
          <w:sz w:val="32"/>
          <w:szCs w:val="32"/>
        </w:rPr>
        <w:t xml:space="preserve">  Detailed Cost and Cost Savings Buildup</w:t>
      </w:r>
      <w:bookmarkEnd w:id="502"/>
      <w:bookmarkEnd w:id="503"/>
      <w:bookmarkEnd w:id="504"/>
      <w:bookmarkEnd w:id="505"/>
      <w:bookmarkEnd w:id="506"/>
    </w:p>
    <w:p w:rsidR="00FC263C" w:rsidRPr="00346B95" w:rsidP="00FC263C" w14:paraId="7F493C81" w14:textId="5DAE73C5">
      <w:pPr>
        <w:rPr>
          <w:sz w:val="22"/>
        </w:rPr>
      </w:pPr>
      <w:r w:rsidRPr="00346B95">
        <w:rPr>
          <w:sz w:val="22"/>
        </w:rPr>
        <w:t xml:space="preserve">This </w:t>
      </w:r>
      <w:r w:rsidRPr="00FD2E55" w:rsidR="00970A4A">
        <w:rPr>
          <w:rFonts w:cs="Arial"/>
          <w:sz w:val="22"/>
          <w:szCs w:val="22"/>
        </w:rPr>
        <w:t>appendix</w:t>
      </w:r>
      <w:r w:rsidRPr="00346B95">
        <w:rPr>
          <w:sz w:val="22"/>
        </w:rPr>
        <w:t xml:space="preserve"> presents the inputs used in the estimation process.  The </w:t>
      </w:r>
      <w:r w:rsidRPr="00FD2E55" w:rsidR="00970A4A">
        <w:rPr>
          <w:rFonts w:cs="Arial"/>
          <w:sz w:val="22"/>
          <w:szCs w:val="22"/>
        </w:rPr>
        <w:t>list below explains</w:t>
      </w:r>
      <w:r w:rsidRPr="00346B95">
        <w:rPr>
          <w:sz w:val="22"/>
        </w:rPr>
        <w:t xml:space="preserve"> the assumptions used in the estimation process.  The exhibits detail the implementation and operation costs and </w:t>
      </w:r>
      <w:r w:rsidRPr="00D96410" w:rsidR="005E25E5">
        <w:rPr>
          <w:rFonts w:cs="Arial"/>
          <w:sz w:val="22"/>
          <w:szCs w:val="22"/>
        </w:rPr>
        <w:t xml:space="preserve">averted costs </w:t>
      </w:r>
      <w:r w:rsidRPr="00346B95">
        <w:rPr>
          <w:sz w:val="22"/>
        </w:rPr>
        <w:t xml:space="preserve">of the </w:t>
      </w:r>
      <w:r w:rsidRPr="00346B95" w:rsidR="00BC5E9F">
        <w:rPr>
          <w:sz w:val="22"/>
        </w:rPr>
        <w:t>final</w:t>
      </w:r>
      <w:r w:rsidRPr="00346B95">
        <w:rPr>
          <w:sz w:val="22"/>
        </w:rPr>
        <w:t xml:space="preserve"> rule.  It is important to note that the hours and workload percentages in the exhibits below are the expected values of the </w:t>
      </w:r>
      <w:r w:rsidRPr="00346B95" w:rsidR="00B01D34">
        <w:rPr>
          <w:sz w:val="22"/>
        </w:rPr>
        <w:t xml:space="preserve">assigned </w:t>
      </w:r>
      <w:r w:rsidRPr="00346B95">
        <w:rPr>
          <w:sz w:val="22"/>
        </w:rPr>
        <w:t>distributions.  For this reason</w:t>
      </w:r>
      <w:r w:rsidRPr="00346B95" w:rsidR="00B01D34">
        <w:rPr>
          <w:sz w:val="22"/>
        </w:rPr>
        <w:t>,</w:t>
      </w:r>
      <w:r w:rsidRPr="00346B95">
        <w:rPr>
          <w:sz w:val="22"/>
        </w:rPr>
        <w:t xml:space="preserve"> the estimates in the exhibits are rounded to the nearest digit</w:t>
      </w:r>
      <w:r w:rsidRPr="00346B95" w:rsidR="00F95527">
        <w:rPr>
          <w:sz w:val="22"/>
        </w:rPr>
        <w:t>.  This makes the</w:t>
      </w:r>
      <w:r w:rsidRPr="00346B95">
        <w:rPr>
          <w:sz w:val="22"/>
        </w:rPr>
        <w:t xml:space="preserve"> </w:t>
      </w:r>
      <w:r w:rsidRPr="00346B95" w:rsidR="00B01D34">
        <w:rPr>
          <w:sz w:val="22"/>
        </w:rPr>
        <w:t>input estimates</w:t>
      </w:r>
      <w:r w:rsidRPr="00346B95">
        <w:rPr>
          <w:sz w:val="22"/>
        </w:rPr>
        <w:t xml:space="preserve"> </w:t>
      </w:r>
      <w:r w:rsidRPr="00346B95" w:rsidR="00F95527">
        <w:rPr>
          <w:sz w:val="22"/>
        </w:rPr>
        <w:t xml:space="preserve">appear </w:t>
      </w:r>
      <w:r w:rsidRPr="00346B95">
        <w:rPr>
          <w:sz w:val="22"/>
        </w:rPr>
        <w:t xml:space="preserve">highly </w:t>
      </w:r>
      <w:r w:rsidRPr="00346B95" w:rsidR="00F95527">
        <w:rPr>
          <w:sz w:val="22"/>
        </w:rPr>
        <w:t>precise</w:t>
      </w:r>
      <w:r w:rsidRPr="00346B95">
        <w:rPr>
          <w:sz w:val="22"/>
        </w:rPr>
        <w:t xml:space="preserve"> (e.</w:t>
      </w:r>
      <w:r w:rsidRPr="00346B95" w:rsidR="00F95527">
        <w:rPr>
          <w:sz w:val="22"/>
        </w:rPr>
        <w:t>g.</w:t>
      </w:r>
      <w:r w:rsidRPr="00346B95">
        <w:rPr>
          <w:sz w:val="22"/>
        </w:rPr>
        <w:t xml:space="preserve">, the </w:t>
      </w:r>
      <w:r w:rsidRPr="00FD2E55" w:rsidR="00311F0E">
        <w:rPr>
          <w:rFonts w:cs="Arial"/>
          <w:sz w:val="22"/>
          <w:szCs w:val="22"/>
        </w:rPr>
        <w:t>U.S. Nuclear Regulatory Commission (</w:t>
      </w:r>
      <w:r w:rsidRPr="00FD2E55">
        <w:rPr>
          <w:rFonts w:cs="Arial"/>
          <w:sz w:val="22"/>
          <w:szCs w:val="22"/>
        </w:rPr>
        <w:t>NRC</w:t>
      </w:r>
      <w:r w:rsidRPr="00FD2E55" w:rsidR="00311F0E">
        <w:rPr>
          <w:rFonts w:cs="Arial"/>
          <w:sz w:val="22"/>
          <w:szCs w:val="22"/>
        </w:rPr>
        <w:t>)</w:t>
      </w:r>
      <w:r w:rsidRPr="00346B95">
        <w:rPr>
          <w:sz w:val="22"/>
        </w:rPr>
        <w:t xml:space="preserve"> estimates that process step 1 took 33 hours for a Low category </w:t>
      </w:r>
      <w:r w:rsidRPr="00346B95" w:rsidR="008F102F">
        <w:rPr>
          <w:sz w:val="22"/>
        </w:rPr>
        <w:t>licensee</w:t>
      </w:r>
      <w:r w:rsidRPr="00346B95">
        <w:rPr>
          <w:sz w:val="22"/>
        </w:rPr>
        <w:t xml:space="preserve">).  </w:t>
      </w:r>
      <w:r w:rsidRPr="00346B95" w:rsidR="008442EE">
        <w:rPr>
          <w:sz w:val="22"/>
        </w:rPr>
        <w:t>I</w:t>
      </w:r>
      <w:r w:rsidRPr="00346B95">
        <w:rPr>
          <w:sz w:val="22"/>
        </w:rPr>
        <w:t>nstead</w:t>
      </w:r>
      <w:r w:rsidRPr="00346B95" w:rsidR="008442EE">
        <w:rPr>
          <w:sz w:val="22"/>
        </w:rPr>
        <w:t>,</w:t>
      </w:r>
      <w:r w:rsidRPr="00346B95">
        <w:rPr>
          <w:sz w:val="22"/>
        </w:rPr>
        <w:t xml:space="preserve"> the values should be read as the mean</w:t>
      </w:r>
      <w:r w:rsidRPr="00346B95" w:rsidR="00F95527">
        <w:rPr>
          <w:sz w:val="22"/>
        </w:rPr>
        <w:t xml:space="preserve"> value</w:t>
      </w:r>
      <w:r w:rsidRPr="00346B95">
        <w:rPr>
          <w:sz w:val="22"/>
        </w:rPr>
        <w:t xml:space="preserve"> of the distributions applied to the process steps.</w:t>
      </w:r>
      <w:r w:rsidR="000D0845">
        <w:rPr>
          <w:sz w:val="22"/>
        </w:rPr>
        <w:t xml:space="preserve"> </w:t>
      </w:r>
      <w:r w:rsidRPr="000D0845" w:rsidR="000D0845">
        <w:rPr>
          <w:sz w:val="22"/>
        </w:rPr>
        <w:t xml:space="preserve">This regulatory analysis was conducted in 2019 and 2020, when the NRC regulated 36 NPUFs and 31 research or testing facilities </w:t>
      </w:r>
      <w:r w:rsidR="00917973">
        <w:rPr>
          <w:sz w:val="22"/>
        </w:rPr>
        <w:t xml:space="preserve">were </w:t>
      </w:r>
      <w:r w:rsidRPr="000D0845" w:rsidR="000D0845">
        <w:rPr>
          <w:sz w:val="22"/>
        </w:rPr>
        <w:t>licensed to operate.  An explanation of why the analysis was left</w:t>
      </w:r>
      <w:r w:rsidR="00212F03">
        <w:rPr>
          <w:sz w:val="22"/>
        </w:rPr>
        <w:t xml:space="preserve"> mostly </w:t>
      </w:r>
      <w:r w:rsidRPr="000D0845" w:rsidR="000D0845">
        <w:rPr>
          <w:sz w:val="22"/>
        </w:rPr>
        <w:t>unchanged is documented in Section 3.1.1, “Affected Universe.</w:t>
      </w:r>
      <w:r w:rsidR="00717728">
        <w:rPr>
          <w:sz w:val="22"/>
        </w:rPr>
        <w:t>”</w:t>
      </w:r>
    </w:p>
    <w:p w:rsidR="00FC263C" w:rsidRPr="00346B95" w:rsidP="00FC263C" w14:paraId="7F493C82" w14:textId="77777777">
      <w:pPr>
        <w:rPr>
          <w:sz w:val="22"/>
        </w:rPr>
      </w:pPr>
    </w:p>
    <w:p w:rsidR="00FC263C" w:rsidRPr="00346B95" w:rsidP="00346B95" w14:paraId="7F493C83" w14:textId="77777777">
      <w:pPr>
        <w:spacing w:after="220"/>
        <w:rPr>
          <w:b/>
          <w:sz w:val="22"/>
        </w:rPr>
      </w:pPr>
      <w:r w:rsidRPr="00346B95">
        <w:rPr>
          <w:b/>
          <w:sz w:val="22"/>
        </w:rPr>
        <w:t>Assumptions:</w:t>
      </w:r>
    </w:p>
    <w:p w:rsidR="00804CC5" w:rsidRPr="00346B95" w:rsidP="00346B95" w14:paraId="7F493C84" w14:textId="77777777">
      <w:pPr>
        <w:numPr>
          <w:ilvl w:val="0"/>
          <w:numId w:val="11"/>
        </w:numPr>
        <w:spacing w:after="220"/>
        <w:ind w:left="720" w:hanging="720"/>
        <w:rPr>
          <w:sz w:val="22"/>
        </w:rPr>
      </w:pPr>
      <w:r w:rsidRPr="00346B95">
        <w:rPr>
          <w:sz w:val="22"/>
        </w:rPr>
        <w:t xml:space="preserve">Of the </w:t>
      </w:r>
      <w:r w:rsidRPr="00346B95" w:rsidR="00612FAC">
        <w:rPr>
          <w:sz w:val="22"/>
        </w:rPr>
        <w:t>3</w:t>
      </w:r>
      <w:r w:rsidRPr="00346B95" w:rsidR="00F95527">
        <w:rPr>
          <w:sz w:val="22"/>
        </w:rPr>
        <w:t>3</w:t>
      </w:r>
      <w:r w:rsidRPr="00346B95">
        <w:rPr>
          <w:sz w:val="22"/>
        </w:rPr>
        <w:t xml:space="preserve"> </w:t>
      </w:r>
      <w:r w:rsidRPr="00346B95" w:rsidR="00F95527">
        <w:rPr>
          <w:sz w:val="22"/>
        </w:rPr>
        <w:t>affected</w:t>
      </w:r>
      <w:r w:rsidRPr="00346B95">
        <w:rPr>
          <w:sz w:val="22"/>
        </w:rPr>
        <w:t xml:space="preserve"> </w:t>
      </w:r>
      <w:r w:rsidRPr="00FD2E55" w:rsidR="00970A4A">
        <w:rPr>
          <w:rFonts w:cs="Arial"/>
          <w:sz w:val="22"/>
          <w:szCs w:val="22"/>
        </w:rPr>
        <w:t>non-power production or utilization facilities (</w:t>
      </w:r>
      <w:r w:rsidRPr="00346B95">
        <w:rPr>
          <w:sz w:val="22"/>
        </w:rPr>
        <w:t>NPUFs</w:t>
      </w:r>
      <w:r w:rsidRPr="00FD2E55" w:rsidR="00970A4A">
        <w:rPr>
          <w:rFonts w:cs="Arial"/>
          <w:sz w:val="22"/>
          <w:szCs w:val="22"/>
        </w:rPr>
        <w:t>)</w:t>
      </w:r>
      <w:r w:rsidRPr="00FD2E55">
        <w:rPr>
          <w:rFonts w:cs="Arial"/>
          <w:sz w:val="22"/>
          <w:szCs w:val="22"/>
        </w:rPr>
        <w:t>,</w:t>
      </w:r>
      <w:r w:rsidRPr="00346B95">
        <w:rPr>
          <w:sz w:val="22"/>
        </w:rPr>
        <w:t xml:space="preserve"> 30 </w:t>
      </w:r>
      <w:r w:rsidRPr="00346B95" w:rsidR="00BC5E9F">
        <w:rPr>
          <w:sz w:val="22"/>
        </w:rPr>
        <w:t>will</w:t>
      </w:r>
      <w:r w:rsidRPr="00346B95" w:rsidR="00F95527">
        <w:rPr>
          <w:sz w:val="22"/>
        </w:rPr>
        <w:t xml:space="preserve"> </w:t>
      </w:r>
      <w:r w:rsidRPr="00FD2E55" w:rsidR="00970A4A">
        <w:rPr>
          <w:rFonts w:cs="Arial"/>
          <w:sz w:val="22"/>
          <w:szCs w:val="22"/>
        </w:rPr>
        <w:t>receive</w:t>
      </w:r>
      <w:r w:rsidRPr="00346B95" w:rsidR="00F95527">
        <w:rPr>
          <w:sz w:val="22"/>
        </w:rPr>
        <w:t xml:space="preserve"> </w:t>
      </w:r>
      <w:r w:rsidRPr="00346B95">
        <w:rPr>
          <w:sz w:val="22"/>
        </w:rPr>
        <w:t>non</w:t>
      </w:r>
      <w:r w:rsidR="00FB6E19">
        <w:rPr>
          <w:sz w:val="22"/>
        </w:rPr>
        <w:t>-</w:t>
      </w:r>
      <w:r w:rsidRPr="00346B95">
        <w:rPr>
          <w:sz w:val="22"/>
        </w:rPr>
        <w:t xml:space="preserve">expiring licenses.  </w:t>
      </w:r>
      <w:r w:rsidRPr="00346B95" w:rsidR="00612FAC">
        <w:rPr>
          <w:sz w:val="22"/>
        </w:rPr>
        <w:t>Three</w:t>
      </w:r>
      <w:r w:rsidRPr="00346B95">
        <w:rPr>
          <w:sz w:val="22"/>
        </w:rPr>
        <w:t xml:space="preserve"> NPUF</w:t>
      </w:r>
      <w:r w:rsidRPr="00346B95" w:rsidR="00F95527">
        <w:rPr>
          <w:sz w:val="22"/>
        </w:rPr>
        <w:t>s</w:t>
      </w:r>
      <w:r w:rsidRPr="00346B95">
        <w:rPr>
          <w:sz w:val="22"/>
        </w:rPr>
        <w:t xml:space="preserve"> </w:t>
      </w:r>
      <w:r w:rsidRPr="00346B95" w:rsidR="00BC5E9F">
        <w:rPr>
          <w:sz w:val="22"/>
        </w:rPr>
        <w:t>will</w:t>
      </w:r>
      <w:r w:rsidRPr="00346B95">
        <w:rPr>
          <w:sz w:val="22"/>
        </w:rPr>
        <w:t xml:space="preserve"> continue to undergo license renewal but </w:t>
      </w:r>
      <w:r w:rsidRPr="00346B95" w:rsidR="00BC5E9F">
        <w:rPr>
          <w:sz w:val="22"/>
        </w:rPr>
        <w:t>will</w:t>
      </w:r>
      <w:r w:rsidRPr="00346B95">
        <w:rPr>
          <w:sz w:val="22"/>
        </w:rPr>
        <w:t xml:space="preserve"> incur costs for </w:t>
      </w:r>
      <w:r w:rsidRPr="00346B95" w:rsidR="00F95527">
        <w:rPr>
          <w:sz w:val="22"/>
        </w:rPr>
        <w:t xml:space="preserve">submitting </w:t>
      </w:r>
      <w:r w:rsidRPr="00FD2E55" w:rsidR="00970A4A">
        <w:rPr>
          <w:rFonts w:cs="Arial"/>
          <w:sz w:val="22"/>
          <w:szCs w:val="22"/>
        </w:rPr>
        <w:t xml:space="preserve">to the NRC </w:t>
      </w:r>
      <w:r w:rsidRPr="00346B95" w:rsidR="00F95527">
        <w:rPr>
          <w:sz w:val="22"/>
        </w:rPr>
        <w:t xml:space="preserve">updated </w:t>
      </w:r>
      <w:r w:rsidRPr="00FD2E55" w:rsidR="00970A4A">
        <w:rPr>
          <w:rFonts w:cs="Arial"/>
          <w:sz w:val="22"/>
          <w:szCs w:val="22"/>
        </w:rPr>
        <w:t>final safety analysis reports (</w:t>
      </w:r>
      <w:r w:rsidRPr="00346B95" w:rsidR="00F95527">
        <w:rPr>
          <w:sz w:val="22"/>
        </w:rPr>
        <w:t>FSARs</w:t>
      </w:r>
      <w:r w:rsidRPr="00FD2E55" w:rsidR="00970A4A">
        <w:rPr>
          <w:rFonts w:cs="Arial"/>
          <w:sz w:val="22"/>
          <w:szCs w:val="22"/>
        </w:rPr>
        <w:t>)</w:t>
      </w:r>
      <w:r w:rsidRPr="00346B95" w:rsidR="00F95527">
        <w:rPr>
          <w:sz w:val="22"/>
        </w:rPr>
        <w:t xml:space="preserve"> and subsequent FSAR updates at intervals not to exceed 5 years</w:t>
      </w:r>
      <w:r w:rsidRPr="00346B95">
        <w:rPr>
          <w:sz w:val="22"/>
        </w:rPr>
        <w:t xml:space="preserve"> (see Assumption 12).</w:t>
      </w:r>
    </w:p>
    <w:p w:rsidR="00FC263C" w:rsidRPr="00D96410" w:rsidP="00D96410" w14:paraId="7F493C85" w14:textId="77777777">
      <w:pPr>
        <w:numPr>
          <w:ilvl w:val="0"/>
          <w:numId w:val="11"/>
        </w:numPr>
        <w:spacing w:after="220"/>
        <w:ind w:left="720" w:hanging="720"/>
        <w:rPr>
          <w:sz w:val="22"/>
          <w:szCs w:val="22"/>
        </w:rPr>
      </w:pPr>
      <w:r>
        <w:rPr>
          <w:rFonts w:cs="Arial"/>
          <w:sz w:val="22"/>
          <w:szCs w:val="22"/>
        </w:rPr>
        <w:t xml:space="preserve">Currently operating </w:t>
      </w:r>
      <w:r w:rsidRPr="00D96410" w:rsidR="00DE2D60">
        <w:rPr>
          <w:rFonts w:cs="Arial"/>
          <w:sz w:val="22"/>
          <w:szCs w:val="22"/>
        </w:rPr>
        <w:t>NPUFs are assumed to continue operating</w:t>
      </w:r>
      <w:r>
        <w:rPr>
          <w:rFonts w:cs="Arial"/>
          <w:sz w:val="22"/>
          <w:szCs w:val="22"/>
        </w:rPr>
        <w:t xml:space="preserve"> during the analysis period (i.e., none decide to transition to decommissioning).  </w:t>
      </w:r>
    </w:p>
    <w:p w:rsidR="00FC263C" w:rsidRPr="00346B95" w:rsidP="00346B95" w14:paraId="7F493C86" w14:textId="77777777">
      <w:pPr>
        <w:numPr>
          <w:ilvl w:val="0"/>
          <w:numId w:val="11"/>
        </w:numPr>
        <w:spacing w:after="220"/>
        <w:ind w:left="720" w:hanging="720"/>
        <w:rPr>
          <w:sz w:val="22"/>
        </w:rPr>
      </w:pPr>
      <w:r w:rsidRPr="00346B95">
        <w:rPr>
          <w:sz w:val="22"/>
        </w:rPr>
        <w:t>The</w:t>
      </w:r>
      <w:r w:rsidRPr="00346B95" w:rsidR="00F95527">
        <w:rPr>
          <w:sz w:val="22"/>
        </w:rPr>
        <w:t xml:space="preserve"> affected</w:t>
      </w:r>
      <w:r w:rsidRPr="00346B95">
        <w:rPr>
          <w:sz w:val="22"/>
        </w:rPr>
        <w:t xml:space="preserve"> facilities fall into different categories (Low, Medium, High</w:t>
      </w:r>
      <w:r w:rsidRPr="00346B95" w:rsidR="00612FAC">
        <w:rPr>
          <w:sz w:val="22"/>
        </w:rPr>
        <w:t>, and Other NPUFs</w:t>
      </w:r>
      <w:r w:rsidRPr="00346B95">
        <w:rPr>
          <w:sz w:val="22"/>
        </w:rPr>
        <w:t>) based on power level</w:t>
      </w:r>
      <w:r w:rsidRPr="00346B95" w:rsidR="00F95527">
        <w:rPr>
          <w:sz w:val="22"/>
        </w:rPr>
        <w:t xml:space="preserve"> or </w:t>
      </w:r>
      <w:r w:rsidRPr="00346B95" w:rsidR="00DA5CEE">
        <w:rPr>
          <w:sz w:val="22"/>
        </w:rPr>
        <w:t>facility</w:t>
      </w:r>
      <w:r w:rsidRPr="00346B95" w:rsidR="00F95527">
        <w:rPr>
          <w:sz w:val="22"/>
        </w:rPr>
        <w:t xml:space="preserve"> type</w:t>
      </w:r>
      <w:r w:rsidRPr="00346B95" w:rsidR="00970A4A">
        <w:rPr>
          <w:sz w:val="22"/>
        </w:rPr>
        <w:t xml:space="preserve"> </w:t>
      </w:r>
      <w:r w:rsidRPr="00FD2E55" w:rsidR="00970A4A">
        <w:rPr>
          <w:rFonts w:cs="Arial"/>
          <w:sz w:val="22"/>
          <w:szCs w:val="22"/>
        </w:rPr>
        <w:t>(s</w:t>
      </w:r>
      <w:r w:rsidRPr="00FD2E55">
        <w:rPr>
          <w:rFonts w:cs="Arial"/>
          <w:sz w:val="22"/>
          <w:szCs w:val="22"/>
        </w:rPr>
        <w:t>ee</w:t>
      </w:r>
      <w:r w:rsidRPr="001176AF">
        <w:rPr>
          <w:sz w:val="22"/>
        </w:rPr>
        <w:t xml:space="preserve"> </w:t>
      </w:r>
      <w:r w:rsidRPr="00346B95">
        <w:rPr>
          <w:sz w:val="22"/>
        </w:rPr>
        <w:t>Exhibit</w:t>
      </w:r>
      <w:r w:rsidRPr="00FD2E55" w:rsidR="00970A4A">
        <w:rPr>
          <w:rFonts w:cs="Arial"/>
          <w:sz w:val="22"/>
          <w:szCs w:val="22"/>
        </w:rPr>
        <w:t> </w:t>
      </w:r>
      <w:r w:rsidRPr="00346B95">
        <w:rPr>
          <w:sz w:val="22"/>
        </w:rPr>
        <w:t>3</w:t>
      </w:r>
      <w:r w:rsidRPr="00346B95" w:rsidR="00CB5A4B">
        <w:rPr>
          <w:sz w:val="22"/>
        </w:rPr>
        <w:noBreakHyphen/>
      </w:r>
      <w:r w:rsidRPr="00346B95">
        <w:rPr>
          <w:sz w:val="22"/>
        </w:rPr>
        <w:t>1</w:t>
      </w:r>
      <w:r w:rsidRPr="00FD2E55" w:rsidR="00970A4A">
        <w:rPr>
          <w:rFonts w:cs="Arial"/>
          <w:sz w:val="22"/>
          <w:szCs w:val="22"/>
        </w:rPr>
        <w:t xml:space="preserve"> in the main report)</w:t>
      </w:r>
      <w:r w:rsidRPr="00FD2E55">
        <w:rPr>
          <w:rFonts w:cs="Arial"/>
          <w:sz w:val="22"/>
          <w:szCs w:val="22"/>
        </w:rPr>
        <w:t>.</w:t>
      </w:r>
    </w:p>
    <w:p w:rsidR="00FC263C" w:rsidRPr="00346B95" w:rsidP="00346B95" w14:paraId="7F493C87" w14:textId="77777777">
      <w:pPr>
        <w:numPr>
          <w:ilvl w:val="0"/>
          <w:numId w:val="11"/>
        </w:numPr>
        <w:spacing w:after="220"/>
        <w:ind w:left="720" w:hanging="720"/>
        <w:rPr>
          <w:sz w:val="22"/>
        </w:rPr>
      </w:pPr>
      <w:r w:rsidRPr="00346B95">
        <w:rPr>
          <w:sz w:val="22"/>
        </w:rPr>
        <w:t xml:space="preserve">The timing of costs and cost savings </w:t>
      </w:r>
      <w:r w:rsidRPr="00FD2E55" w:rsidR="00970A4A">
        <w:rPr>
          <w:rFonts w:cs="Arial"/>
          <w:sz w:val="22"/>
          <w:szCs w:val="22"/>
        </w:rPr>
        <w:t>is</w:t>
      </w:r>
      <w:r w:rsidRPr="00346B95">
        <w:rPr>
          <w:sz w:val="22"/>
        </w:rPr>
        <w:t xml:space="preserve"> phased in based on implementation groupings.  </w:t>
      </w:r>
      <w:r w:rsidR="00C43365">
        <w:rPr>
          <w:rFonts w:cs="Arial"/>
          <w:sz w:val="22"/>
          <w:szCs w:val="22"/>
        </w:rPr>
        <w:t>That is, 5</w:t>
      </w:r>
      <w:r w:rsidRPr="00346B95" w:rsidR="00612FAC">
        <w:rPr>
          <w:sz w:val="22"/>
        </w:rPr>
        <w:t xml:space="preserve"> </w:t>
      </w:r>
      <w:r w:rsidRPr="00346B95">
        <w:rPr>
          <w:sz w:val="22"/>
        </w:rPr>
        <w:t xml:space="preserve">facilities fall into Group 1, </w:t>
      </w:r>
      <w:r w:rsidRPr="00346B95" w:rsidR="00612FAC">
        <w:rPr>
          <w:sz w:val="22"/>
        </w:rPr>
        <w:t>21</w:t>
      </w:r>
      <w:r w:rsidRPr="00346B95">
        <w:rPr>
          <w:sz w:val="22"/>
        </w:rPr>
        <w:t xml:space="preserve"> facilities fall into Group 2, </w:t>
      </w:r>
      <w:r w:rsidR="00C43365">
        <w:rPr>
          <w:rFonts w:cs="Arial"/>
          <w:sz w:val="22"/>
          <w:szCs w:val="22"/>
        </w:rPr>
        <w:t>4</w:t>
      </w:r>
      <w:r w:rsidRPr="00346B95">
        <w:rPr>
          <w:sz w:val="22"/>
        </w:rPr>
        <w:t xml:space="preserve"> facilities fall into Group 3</w:t>
      </w:r>
      <w:r w:rsidRPr="00346B95" w:rsidR="00CB5A4B">
        <w:rPr>
          <w:sz w:val="22"/>
        </w:rPr>
        <w:t xml:space="preserve">, and </w:t>
      </w:r>
      <w:r w:rsidR="00C43365">
        <w:rPr>
          <w:rFonts w:cs="Arial"/>
          <w:sz w:val="22"/>
          <w:szCs w:val="22"/>
        </w:rPr>
        <w:t>3</w:t>
      </w:r>
      <w:r w:rsidRPr="00346B95" w:rsidR="00612FAC">
        <w:rPr>
          <w:sz w:val="22"/>
        </w:rPr>
        <w:t xml:space="preserve"> facilities fall into Group 4</w:t>
      </w:r>
      <w:r w:rsidRPr="00FD2E55" w:rsidR="00970A4A">
        <w:rPr>
          <w:rFonts w:cs="Arial"/>
          <w:sz w:val="22"/>
          <w:szCs w:val="22"/>
        </w:rPr>
        <w:t xml:space="preserve"> (s</w:t>
      </w:r>
      <w:r w:rsidRPr="00346B95">
        <w:rPr>
          <w:sz w:val="22"/>
        </w:rPr>
        <w:t>ee Exhibit 3-2</w:t>
      </w:r>
      <w:r w:rsidRPr="00FD2E55" w:rsidR="00970A4A">
        <w:rPr>
          <w:rFonts w:cs="Arial"/>
          <w:sz w:val="22"/>
          <w:szCs w:val="22"/>
        </w:rPr>
        <w:t xml:space="preserve"> in the main report)</w:t>
      </w:r>
      <w:r w:rsidRPr="00FD2E55">
        <w:rPr>
          <w:rFonts w:cs="Arial"/>
          <w:sz w:val="22"/>
          <w:szCs w:val="22"/>
        </w:rPr>
        <w:t>.</w:t>
      </w:r>
    </w:p>
    <w:p w:rsidR="00FC263C" w:rsidRPr="00346B95" w:rsidP="00346B95" w14:paraId="7F493C88" w14:textId="77777777">
      <w:pPr>
        <w:numPr>
          <w:ilvl w:val="0"/>
          <w:numId w:val="11"/>
        </w:numPr>
        <w:spacing w:after="220"/>
        <w:ind w:left="720" w:hanging="720"/>
        <w:rPr>
          <w:sz w:val="22"/>
        </w:rPr>
      </w:pPr>
      <w:r w:rsidRPr="00346B95">
        <w:rPr>
          <w:sz w:val="22"/>
        </w:rPr>
        <w:t>Group 1 facilities are assumed to begin incurring operation costs in 202</w:t>
      </w:r>
      <w:r w:rsidRPr="00346B95" w:rsidR="00612FAC">
        <w:rPr>
          <w:sz w:val="22"/>
        </w:rPr>
        <w:t>1</w:t>
      </w:r>
      <w:r w:rsidRPr="00346B95">
        <w:rPr>
          <w:sz w:val="22"/>
        </w:rPr>
        <w:t>, Group 2 in 202</w:t>
      </w:r>
      <w:r w:rsidRPr="00346B95" w:rsidR="00612FAC">
        <w:rPr>
          <w:sz w:val="22"/>
        </w:rPr>
        <w:t>2</w:t>
      </w:r>
      <w:r w:rsidRPr="00346B95">
        <w:rPr>
          <w:sz w:val="22"/>
        </w:rPr>
        <w:t>, Group 3 in 202</w:t>
      </w:r>
      <w:r w:rsidRPr="00346B95" w:rsidR="0031582E">
        <w:rPr>
          <w:sz w:val="22"/>
        </w:rPr>
        <w:t>5</w:t>
      </w:r>
      <w:r w:rsidRPr="00346B95" w:rsidR="00333CD5">
        <w:rPr>
          <w:sz w:val="22"/>
        </w:rPr>
        <w:t>, and Group 4 in 2023</w:t>
      </w:r>
      <w:r w:rsidRPr="00346B95">
        <w:rPr>
          <w:sz w:val="22"/>
        </w:rPr>
        <w:t>.</w:t>
      </w:r>
    </w:p>
    <w:p w:rsidR="00FC263C" w:rsidRPr="00346B95" w:rsidP="00346B95" w14:paraId="7F493C89" w14:textId="77777777">
      <w:pPr>
        <w:numPr>
          <w:ilvl w:val="0"/>
          <w:numId w:val="11"/>
        </w:numPr>
        <w:spacing w:after="220"/>
        <w:ind w:left="720" w:hanging="720"/>
        <w:rPr>
          <w:sz w:val="22"/>
        </w:rPr>
      </w:pPr>
      <w:r w:rsidRPr="00346B95">
        <w:rPr>
          <w:sz w:val="22"/>
        </w:rPr>
        <w:t xml:space="preserve">Each </w:t>
      </w:r>
      <w:r w:rsidRPr="00346B95" w:rsidR="00403440">
        <w:rPr>
          <w:sz w:val="22"/>
        </w:rPr>
        <w:t>licensee</w:t>
      </w:r>
      <w:r w:rsidRPr="00346B95">
        <w:rPr>
          <w:sz w:val="22"/>
        </w:rPr>
        <w:t xml:space="preserve"> </w:t>
      </w:r>
      <w:r w:rsidRPr="00346B95" w:rsidR="00BC5E9F">
        <w:rPr>
          <w:sz w:val="22"/>
        </w:rPr>
        <w:t>will</w:t>
      </w:r>
      <w:r w:rsidRPr="00346B95">
        <w:rPr>
          <w:sz w:val="22"/>
        </w:rPr>
        <w:t xml:space="preserve"> incur a one-time implementation cost (which var</w:t>
      </w:r>
      <w:r w:rsidRPr="00346B95" w:rsidR="00E27908">
        <w:rPr>
          <w:sz w:val="22"/>
        </w:rPr>
        <w:t>ies</w:t>
      </w:r>
      <w:r w:rsidRPr="00346B95">
        <w:rPr>
          <w:sz w:val="22"/>
        </w:rPr>
        <w:t xml:space="preserve"> based on category) to </w:t>
      </w:r>
      <w:r w:rsidRPr="00346B95" w:rsidR="00F95527">
        <w:rPr>
          <w:sz w:val="22"/>
        </w:rPr>
        <w:t>perform certain activities</w:t>
      </w:r>
      <w:r w:rsidRPr="00346B95">
        <w:rPr>
          <w:sz w:val="22"/>
        </w:rPr>
        <w:t xml:space="preserve"> </w:t>
      </w:r>
      <w:r w:rsidRPr="00346B95" w:rsidR="00F95527">
        <w:rPr>
          <w:sz w:val="22"/>
        </w:rPr>
        <w:t>as a result of</w:t>
      </w:r>
      <w:r w:rsidRPr="00346B95">
        <w:rPr>
          <w:sz w:val="22"/>
        </w:rPr>
        <w:t xml:space="preserve"> the </w:t>
      </w:r>
      <w:r w:rsidRPr="00346B95" w:rsidR="00BC5E9F">
        <w:rPr>
          <w:sz w:val="22"/>
        </w:rPr>
        <w:t>final</w:t>
      </w:r>
      <w:r w:rsidRPr="00346B95">
        <w:rPr>
          <w:sz w:val="22"/>
        </w:rPr>
        <w:t xml:space="preserve"> rule. </w:t>
      </w:r>
    </w:p>
    <w:p w:rsidR="00FC263C" w:rsidRPr="00346B95" w:rsidP="00346B95" w14:paraId="7F493C8A" w14:textId="77777777">
      <w:pPr>
        <w:numPr>
          <w:ilvl w:val="0"/>
          <w:numId w:val="11"/>
        </w:numPr>
        <w:spacing w:after="220"/>
        <w:ind w:left="720" w:hanging="720"/>
        <w:rPr>
          <w:sz w:val="22"/>
        </w:rPr>
      </w:pPr>
      <w:r w:rsidRPr="00346B95">
        <w:rPr>
          <w:sz w:val="22"/>
        </w:rPr>
        <w:t xml:space="preserve">The NRC </w:t>
      </w:r>
      <w:r w:rsidRPr="00346B95" w:rsidR="00BC5E9F">
        <w:rPr>
          <w:sz w:val="22"/>
        </w:rPr>
        <w:t>will</w:t>
      </w:r>
      <w:r w:rsidRPr="00346B95">
        <w:rPr>
          <w:sz w:val="22"/>
        </w:rPr>
        <w:t xml:space="preserve"> incur a one-time implementation cost to </w:t>
      </w:r>
      <w:r w:rsidRPr="00346B95" w:rsidR="00F95527">
        <w:rPr>
          <w:sz w:val="22"/>
        </w:rPr>
        <w:t>revise guidance</w:t>
      </w:r>
      <w:r w:rsidRPr="00346B95">
        <w:rPr>
          <w:sz w:val="22"/>
        </w:rPr>
        <w:t xml:space="preserve"> and train staff.</w:t>
      </w:r>
    </w:p>
    <w:p w:rsidR="00FC263C" w:rsidRPr="00346B95" w:rsidP="00346B95" w14:paraId="7F493C8B" w14:textId="77777777">
      <w:pPr>
        <w:numPr>
          <w:ilvl w:val="0"/>
          <w:numId w:val="11"/>
        </w:numPr>
        <w:spacing w:after="220"/>
        <w:ind w:left="720" w:hanging="720"/>
        <w:rPr>
          <w:sz w:val="22"/>
        </w:rPr>
      </w:pPr>
      <w:r w:rsidRPr="00346B95">
        <w:rPr>
          <w:sz w:val="22"/>
        </w:rPr>
        <w:t xml:space="preserve">Each </w:t>
      </w:r>
      <w:r w:rsidRPr="00346B95" w:rsidR="00403440">
        <w:rPr>
          <w:sz w:val="22"/>
        </w:rPr>
        <w:t>licensee</w:t>
      </w:r>
      <w:r w:rsidRPr="00346B95">
        <w:rPr>
          <w:sz w:val="22"/>
        </w:rPr>
        <w:t xml:space="preserve"> </w:t>
      </w:r>
      <w:r w:rsidRPr="00346B95" w:rsidR="00BC5E9F">
        <w:rPr>
          <w:sz w:val="22"/>
        </w:rPr>
        <w:t>will</w:t>
      </w:r>
      <w:r w:rsidRPr="00346B95">
        <w:rPr>
          <w:sz w:val="22"/>
        </w:rPr>
        <w:t xml:space="preserve"> incur </w:t>
      </w:r>
      <w:r w:rsidRPr="00346B95" w:rsidR="00612FAC">
        <w:rPr>
          <w:sz w:val="22"/>
        </w:rPr>
        <w:t xml:space="preserve">both initial and </w:t>
      </w:r>
      <w:r w:rsidRPr="00346B95">
        <w:rPr>
          <w:sz w:val="22"/>
        </w:rPr>
        <w:t xml:space="preserve">ongoing operation costs derived from the </w:t>
      </w:r>
      <w:r w:rsidRPr="00346B95" w:rsidR="00BC5E9F">
        <w:rPr>
          <w:sz w:val="22"/>
        </w:rPr>
        <w:t>final</w:t>
      </w:r>
      <w:r w:rsidRPr="00346B95">
        <w:rPr>
          <w:sz w:val="22"/>
        </w:rPr>
        <w:t xml:space="preserve"> rule requirement to </w:t>
      </w:r>
      <w:r w:rsidRPr="00346B95" w:rsidR="00F95527">
        <w:rPr>
          <w:sz w:val="22"/>
        </w:rPr>
        <w:t xml:space="preserve">submit </w:t>
      </w:r>
      <w:r w:rsidRPr="00FD2E55" w:rsidR="00970A4A">
        <w:rPr>
          <w:rFonts w:cs="Arial"/>
          <w:sz w:val="22"/>
          <w:szCs w:val="22"/>
        </w:rPr>
        <w:t xml:space="preserve">to the NRC </w:t>
      </w:r>
      <w:r w:rsidRPr="00346B95" w:rsidR="00F95527">
        <w:rPr>
          <w:sz w:val="22"/>
        </w:rPr>
        <w:t>updated FSARs and subsequent FSAR updates at intervals not to exceed 5 years</w:t>
      </w:r>
      <w:r w:rsidRPr="00346B95">
        <w:rPr>
          <w:sz w:val="22"/>
        </w:rPr>
        <w:t xml:space="preserve">.  The cost of the FSAR updates varies by category. </w:t>
      </w:r>
      <w:r w:rsidRPr="00346B95" w:rsidR="00612FAC">
        <w:rPr>
          <w:sz w:val="22"/>
        </w:rPr>
        <w:t xml:space="preserve"> The initial </w:t>
      </w:r>
      <w:r w:rsidRPr="00346B95" w:rsidR="00F95527">
        <w:rPr>
          <w:sz w:val="22"/>
        </w:rPr>
        <w:t xml:space="preserve">updated </w:t>
      </w:r>
      <w:r w:rsidRPr="00346B95" w:rsidR="00612FAC">
        <w:rPr>
          <w:sz w:val="22"/>
        </w:rPr>
        <w:t xml:space="preserve">FSAR </w:t>
      </w:r>
      <w:r w:rsidRPr="00346B95" w:rsidR="00F95527">
        <w:rPr>
          <w:sz w:val="22"/>
        </w:rPr>
        <w:t xml:space="preserve">requires a </w:t>
      </w:r>
      <w:r w:rsidRPr="00346B95" w:rsidR="00612FAC">
        <w:rPr>
          <w:sz w:val="22"/>
        </w:rPr>
        <w:t xml:space="preserve">full update, while subsequent </w:t>
      </w:r>
      <w:r w:rsidRPr="00346B95" w:rsidR="00F95527">
        <w:rPr>
          <w:sz w:val="22"/>
        </w:rPr>
        <w:t xml:space="preserve">FSAR </w:t>
      </w:r>
      <w:r w:rsidRPr="00346B95" w:rsidR="00612FAC">
        <w:rPr>
          <w:sz w:val="22"/>
        </w:rPr>
        <w:t xml:space="preserve">updates </w:t>
      </w:r>
      <w:r w:rsidR="00BF02C0">
        <w:rPr>
          <w:sz w:val="22"/>
        </w:rPr>
        <w:t xml:space="preserve">will require fewer changes and will be </w:t>
      </w:r>
      <w:r w:rsidRPr="00D96410" w:rsidR="004B2AAF">
        <w:rPr>
          <w:rFonts w:cs="Arial"/>
          <w:sz w:val="22"/>
          <w:szCs w:val="22"/>
        </w:rPr>
        <w:t>completed at a lower cost</w:t>
      </w:r>
      <w:r w:rsidRPr="00D96410" w:rsidR="00612FAC">
        <w:rPr>
          <w:rFonts w:cs="Arial"/>
          <w:sz w:val="22"/>
          <w:szCs w:val="22"/>
        </w:rPr>
        <w:t>.</w:t>
      </w:r>
    </w:p>
    <w:p w:rsidR="00FC263C" w:rsidRPr="00346B95" w:rsidP="00346B95" w14:paraId="7F493C8C" w14:textId="77777777">
      <w:pPr>
        <w:numPr>
          <w:ilvl w:val="0"/>
          <w:numId w:val="11"/>
        </w:numPr>
        <w:spacing w:after="220"/>
        <w:ind w:left="720" w:hanging="720"/>
        <w:rPr>
          <w:sz w:val="22"/>
        </w:rPr>
      </w:pPr>
      <w:r w:rsidRPr="00FD2E55">
        <w:rPr>
          <w:rFonts w:cs="Arial"/>
          <w:sz w:val="22"/>
          <w:szCs w:val="22"/>
        </w:rPr>
        <w:t>Licensee</w:t>
      </w:r>
      <w:r w:rsidRPr="00FD2E55" w:rsidR="00970A4A">
        <w:rPr>
          <w:rFonts w:cs="Arial"/>
          <w:sz w:val="22"/>
          <w:szCs w:val="22"/>
        </w:rPr>
        <w:t>s will incur</w:t>
      </w:r>
      <w:r w:rsidRPr="00346B95">
        <w:rPr>
          <w:sz w:val="22"/>
        </w:rPr>
        <w:t xml:space="preserve"> operatio</w:t>
      </w:r>
      <w:r w:rsidRPr="00346B95" w:rsidR="003752A7">
        <w:rPr>
          <w:sz w:val="22"/>
        </w:rPr>
        <w:t>n</w:t>
      </w:r>
      <w:r w:rsidRPr="00346B95">
        <w:rPr>
          <w:sz w:val="22"/>
        </w:rPr>
        <w:t xml:space="preserve"> costs (FSAR updates) every </w:t>
      </w:r>
      <w:r w:rsidRPr="00FD2E55" w:rsidR="00970A4A">
        <w:rPr>
          <w:rFonts w:cs="Arial"/>
          <w:sz w:val="22"/>
          <w:szCs w:val="22"/>
        </w:rPr>
        <w:t>5</w:t>
      </w:r>
      <w:r w:rsidRPr="00346B95">
        <w:rPr>
          <w:sz w:val="22"/>
        </w:rPr>
        <w:t xml:space="preserve"> years</w:t>
      </w:r>
      <w:r w:rsidRPr="00D96410" w:rsidR="00DE2D60">
        <w:rPr>
          <w:rFonts w:cs="Arial"/>
          <w:sz w:val="22"/>
          <w:szCs w:val="22"/>
        </w:rPr>
        <w:t xml:space="preserve"> (NPUFs are assumed to minimize costs and only provide updates every 5 years, rather than more frequently)</w:t>
      </w:r>
      <w:r w:rsidRPr="00D96410">
        <w:rPr>
          <w:rFonts w:cs="Arial"/>
          <w:sz w:val="22"/>
          <w:szCs w:val="22"/>
        </w:rPr>
        <w:t>.</w:t>
      </w:r>
      <w:r w:rsidRPr="00346B95">
        <w:rPr>
          <w:sz w:val="22"/>
        </w:rPr>
        <w:t xml:space="preserve">  The timing of FSAR submittals depends on the group to which the </w:t>
      </w:r>
      <w:r w:rsidRPr="00346B95">
        <w:rPr>
          <w:sz w:val="22"/>
        </w:rPr>
        <w:t>licensee</w:t>
      </w:r>
      <w:r w:rsidRPr="00346B95">
        <w:rPr>
          <w:sz w:val="22"/>
        </w:rPr>
        <w:t xml:space="preserve"> belongs (</w:t>
      </w:r>
      <w:r w:rsidRPr="00346B95" w:rsidR="00443DBE">
        <w:rPr>
          <w:sz w:val="22"/>
        </w:rPr>
        <w:t>s</w:t>
      </w:r>
      <w:r w:rsidRPr="00346B95">
        <w:rPr>
          <w:sz w:val="22"/>
        </w:rPr>
        <w:t xml:space="preserve">ee Assumption </w:t>
      </w:r>
      <w:r w:rsidRPr="00346B95" w:rsidR="00333CD5">
        <w:rPr>
          <w:sz w:val="22"/>
        </w:rPr>
        <w:t>3</w:t>
      </w:r>
      <w:r w:rsidRPr="00346B95">
        <w:rPr>
          <w:sz w:val="22"/>
        </w:rPr>
        <w:t>).</w:t>
      </w:r>
    </w:p>
    <w:p w:rsidR="00FC263C" w:rsidRPr="00346B95" w:rsidP="00346B95" w14:paraId="7F493C8D" w14:textId="77777777">
      <w:pPr>
        <w:numPr>
          <w:ilvl w:val="0"/>
          <w:numId w:val="11"/>
        </w:numPr>
        <w:spacing w:after="220"/>
        <w:ind w:left="720" w:hanging="720"/>
        <w:rPr>
          <w:sz w:val="22"/>
        </w:rPr>
      </w:pPr>
      <w:r w:rsidRPr="00346B95">
        <w:rPr>
          <w:sz w:val="22"/>
        </w:rPr>
        <w:t xml:space="preserve">The NRC </w:t>
      </w:r>
      <w:r w:rsidRPr="00346B95" w:rsidR="00BC5E9F">
        <w:rPr>
          <w:sz w:val="22"/>
        </w:rPr>
        <w:t>will</w:t>
      </w:r>
      <w:r w:rsidRPr="00346B95">
        <w:rPr>
          <w:sz w:val="22"/>
        </w:rPr>
        <w:t xml:space="preserve"> incur operation costs to review </w:t>
      </w:r>
      <w:r w:rsidRPr="00346B95" w:rsidR="00BA2AA1">
        <w:rPr>
          <w:sz w:val="22"/>
        </w:rPr>
        <w:t>licensee-</w:t>
      </w:r>
      <w:r w:rsidRPr="00346B95">
        <w:rPr>
          <w:sz w:val="22"/>
        </w:rPr>
        <w:t xml:space="preserve">submitted </w:t>
      </w:r>
      <w:r w:rsidRPr="00346B95" w:rsidR="00F95527">
        <w:rPr>
          <w:sz w:val="22"/>
        </w:rPr>
        <w:t xml:space="preserve">updated </w:t>
      </w:r>
      <w:r w:rsidRPr="00346B95">
        <w:rPr>
          <w:sz w:val="22"/>
        </w:rPr>
        <w:t>FSAR</w:t>
      </w:r>
      <w:r w:rsidRPr="00346B95" w:rsidR="00F95527">
        <w:rPr>
          <w:sz w:val="22"/>
        </w:rPr>
        <w:t>s and subsequent FSAR updates</w:t>
      </w:r>
      <w:r w:rsidRPr="00346B95">
        <w:rPr>
          <w:sz w:val="22"/>
        </w:rPr>
        <w:t xml:space="preserve"> in the year of submission.  The NRC operation</w:t>
      </w:r>
      <w:r w:rsidRPr="00346B95" w:rsidR="009F6D93">
        <w:rPr>
          <w:sz w:val="22"/>
        </w:rPr>
        <w:t xml:space="preserve"> </w:t>
      </w:r>
      <w:r w:rsidRPr="00346B95">
        <w:rPr>
          <w:sz w:val="22"/>
        </w:rPr>
        <w:t>costs begin in 202</w:t>
      </w:r>
      <w:r w:rsidRPr="00346B95" w:rsidR="00612FAC">
        <w:rPr>
          <w:sz w:val="22"/>
        </w:rPr>
        <w:t>1</w:t>
      </w:r>
      <w:r w:rsidRPr="00346B95">
        <w:rPr>
          <w:sz w:val="22"/>
        </w:rPr>
        <w:t xml:space="preserve"> and mirror </w:t>
      </w:r>
      <w:r w:rsidRPr="00346B95" w:rsidR="00403440">
        <w:rPr>
          <w:sz w:val="22"/>
        </w:rPr>
        <w:t>licensee</w:t>
      </w:r>
      <w:r w:rsidRPr="00346B95">
        <w:rPr>
          <w:sz w:val="22"/>
        </w:rPr>
        <w:t xml:space="preserve"> operation costs (every </w:t>
      </w:r>
      <w:r w:rsidRPr="00FD2E55" w:rsidR="002E5CFB">
        <w:rPr>
          <w:rFonts w:cs="Arial"/>
          <w:sz w:val="22"/>
          <w:szCs w:val="22"/>
        </w:rPr>
        <w:t>5</w:t>
      </w:r>
      <w:r w:rsidRPr="00346B95">
        <w:rPr>
          <w:sz w:val="22"/>
        </w:rPr>
        <w:t xml:space="preserve"> years and staggered by </w:t>
      </w:r>
      <w:r w:rsidRPr="00FD2E55" w:rsidR="002E5CFB">
        <w:rPr>
          <w:rFonts w:cs="Arial"/>
          <w:sz w:val="22"/>
          <w:szCs w:val="22"/>
        </w:rPr>
        <w:t>g</w:t>
      </w:r>
      <w:r w:rsidRPr="00346B95" w:rsidR="0067543C">
        <w:rPr>
          <w:sz w:val="22"/>
        </w:rPr>
        <w:t>roup</w:t>
      </w:r>
      <w:r w:rsidRPr="00346B95">
        <w:rPr>
          <w:sz w:val="22"/>
        </w:rPr>
        <w:t>).</w:t>
      </w:r>
    </w:p>
    <w:p w:rsidR="00FC263C" w:rsidRPr="00346B95" w:rsidP="00346B95" w14:paraId="7F493C8E" w14:textId="77777777">
      <w:pPr>
        <w:numPr>
          <w:ilvl w:val="0"/>
          <w:numId w:val="11"/>
        </w:numPr>
        <w:spacing w:after="220"/>
        <w:ind w:left="720" w:hanging="720"/>
        <w:rPr>
          <w:sz w:val="22"/>
        </w:rPr>
      </w:pPr>
      <w:r w:rsidRPr="00346B95">
        <w:rPr>
          <w:sz w:val="22"/>
        </w:rPr>
        <w:t xml:space="preserve">Estimates of </w:t>
      </w:r>
      <w:r w:rsidRPr="00FD2E55" w:rsidR="00502957">
        <w:rPr>
          <w:rFonts w:cs="Arial"/>
          <w:sz w:val="22"/>
          <w:szCs w:val="22"/>
        </w:rPr>
        <w:t>level of effort</w:t>
      </w:r>
      <w:r w:rsidRPr="00346B95">
        <w:rPr>
          <w:sz w:val="22"/>
        </w:rPr>
        <w:t xml:space="preserve"> are based on the </w:t>
      </w:r>
      <w:r w:rsidRPr="00FD2E55">
        <w:rPr>
          <w:rFonts w:cs="Arial"/>
          <w:sz w:val="22"/>
          <w:szCs w:val="22"/>
        </w:rPr>
        <w:t>NRC</w:t>
      </w:r>
      <w:r w:rsidRPr="00FD2E55" w:rsidR="00CB5A4B">
        <w:rPr>
          <w:rFonts w:cs="Arial"/>
          <w:sz w:val="22"/>
          <w:szCs w:val="22"/>
        </w:rPr>
        <w:t>’</w:t>
      </w:r>
      <w:r w:rsidRPr="00FD2E55">
        <w:rPr>
          <w:rFonts w:cs="Arial"/>
          <w:sz w:val="22"/>
          <w:szCs w:val="22"/>
        </w:rPr>
        <w:t>s</w:t>
      </w:r>
      <w:r w:rsidRPr="00346B95">
        <w:rPr>
          <w:sz w:val="22"/>
        </w:rPr>
        <w:t xml:space="preserve"> professional judgment and licensee input.</w:t>
      </w:r>
    </w:p>
    <w:p w:rsidR="00FC263C" w:rsidRPr="00346B95" w:rsidP="00346B95" w14:paraId="7F493C8F" w14:textId="789637BA">
      <w:pPr>
        <w:numPr>
          <w:ilvl w:val="0"/>
          <w:numId w:val="11"/>
        </w:numPr>
        <w:spacing w:after="220"/>
        <w:ind w:left="720" w:hanging="720"/>
        <w:rPr>
          <w:sz w:val="22"/>
        </w:rPr>
      </w:pPr>
      <w:r w:rsidRPr="00346B95">
        <w:rPr>
          <w:sz w:val="22"/>
        </w:rPr>
        <w:t xml:space="preserve">The </w:t>
      </w:r>
      <w:r w:rsidRPr="00346B95" w:rsidR="00F90368">
        <w:rPr>
          <w:sz w:val="22"/>
        </w:rPr>
        <w:t>SHINE</w:t>
      </w:r>
      <w:r w:rsidRPr="00FD2E55" w:rsidR="00F90368">
        <w:rPr>
          <w:rFonts w:cs="Arial"/>
          <w:sz w:val="22"/>
          <w:szCs w:val="22"/>
        </w:rPr>
        <w:t xml:space="preserve"> Medical Technologies, Inc. (</w:t>
      </w:r>
      <w:r w:rsidRPr="00FD2E55" w:rsidR="002D752E">
        <w:rPr>
          <w:rFonts w:cs="Arial"/>
          <w:sz w:val="22"/>
          <w:szCs w:val="22"/>
        </w:rPr>
        <w:t>SHINE</w:t>
      </w:r>
      <w:r w:rsidRPr="00FD2E55" w:rsidR="00F90368">
        <w:rPr>
          <w:rFonts w:cs="Arial"/>
          <w:sz w:val="22"/>
          <w:szCs w:val="22"/>
        </w:rPr>
        <w:t>)</w:t>
      </w:r>
      <w:r w:rsidRPr="00FD2E55" w:rsidR="00612FAC">
        <w:rPr>
          <w:rFonts w:cs="Arial"/>
          <w:sz w:val="22"/>
          <w:szCs w:val="22"/>
        </w:rPr>
        <w:t xml:space="preserve">, </w:t>
      </w:r>
      <w:r w:rsidRPr="00FD2E55" w:rsidR="00F90368">
        <w:rPr>
          <w:rFonts w:cs="Arial"/>
          <w:sz w:val="22"/>
          <w:szCs w:val="22"/>
        </w:rPr>
        <w:t>Northwest Medical Isotopes (</w:t>
      </w:r>
      <w:r w:rsidRPr="00346B95" w:rsidR="002D752E">
        <w:rPr>
          <w:sz w:val="22"/>
        </w:rPr>
        <w:t>NWMI</w:t>
      </w:r>
      <w:r w:rsidRPr="00FD2E55" w:rsidR="00F90368">
        <w:rPr>
          <w:rFonts w:cs="Arial"/>
          <w:sz w:val="22"/>
          <w:szCs w:val="22"/>
        </w:rPr>
        <w:t>)</w:t>
      </w:r>
      <w:r w:rsidRPr="00FD2E55" w:rsidR="00CB5A4B">
        <w:rPr>
          <w:rFonts w:cs="Arial"/>
          <w:sz w:val="22"/>
          <w:szCs w:val="22"/>
        </w:rPr>
        <w:t>,</w:t>
      </w:r>
      <w:r w:rsidRPr="00346B95" w:rsidR="00CB5A4B">
        <w:rPr>
          <w:sz w:val="22"/>
        </w:rPr>
        <w:t xml:space="preserve"> and </w:t>
      </w:r>
      <w:r w:rsidRPr="00FD2E55" w:rsidR="00F90368">
        <w:rPr>
          <w:rFonts w:cs="Arial"/>
          <w:sz w:val="22"/>
          <w:szCs w:val="22"/>
        </w:rPr>
        <w:t>National Institute of Standards and Technology (</w:t>
      </w:r>
      <w:r w:rsidRPr="00346B95" w:rsidR="00CB5A4B">
        <w:rPr>
          <w:sz w:val="22"/>
        </w:rPr>
        <w:t>NIST</w:t>
      </w:r>
      <w:r w:rsidRPr="00FD2E55" w:rsidR="00F90368">
        <w:rPr>
          <w:rFonts w:cs="Arial"/>
          <w:sz w:val="22"/>
          <w:szCs w:val="22"/>
        </w:rPr>
        <w:t>)</w:t>
      </w:r>
      <w:r w:rsidRPr="00346B95" w:rsidR="0015568B">
        <w:rPr>
          <w:sz w:val="22"/>
        </w:rPr>
        <w:t xml:space="preserve"> </w:t>
      </w:r>
      <w:r w:rsidRPr="00346B95" w:rsidR="00135933">
        <w:rPr>
          <w:sz w:val="22"/>
        </w:rPr>
        <w:t>facilit</w:t>
      </w:r>
      <w:r w:rsidRPr="00346B95" w:rsidR="00612FAC">
        <w:rPr>
          <w:sz w:val="22"/>
        </w:rPr>
        <w:t>ies</w:t>
      </w:r>
      <w:r w:rsidRPr="00346B95" w:rsidR="00135933">
        <w:rPr>
          <w:sz w:val="22"/>
        </w:rPr>
        <w:t xml:space="preserve"> </w:t>
      </w:r>
      <w:r w:rsidRPr="00346B95" w:rsidR="00BC5E9F">
        <w:rPr>
          <w:sz w:val="22"/>
        </w:rPr>
        <w:t>will</w:t>
      </w:r>
      <w:r w:rsidRPr="00346B95">
        <w:rPr>
          <w:sz w:val="22"/>
        </w:rPr>
        <w:t xml:space="preserve"> continue to go through the existing license renewal process</w:t>
      </w:r>
      <w:r w:rsidR="007B48C4">
        <w:rPr>
          <w:rFonts w:cs="Arial"/>
          <w:sz w:val="22"/>
          <w:szCs w:val="22"/>
        </w:rPr>
        <w:t>,</w:t>
      </w:r>
      <w:r w:rsidRPr="00FD2E55">
        <w:rPr>
          <w:rFonts w:cs="Arial"/>
          <w:sz w:val="22"/>
          <w:szCs w:val="22"/>
        </w:rPr>
        <w:t xml:space="preserve"> </w:t>
      </w:r>
      <w:r w:rsidRPr="00FD2E55" w:rsidR="00EF2EDC">
        <w:rPr>
          <w:rFonts w:cs="Arial"/>
          <w:sz w:val="22"/>
          <w:szCs w:val="22"/>
        </w:rPr>
        <w:t xml:space="preserve">and </w:t>
      </w:r>
      <w:r w:rsidR="007B48C4">
        <w:rPr>
          <w:rFonts w:cs="Arial"/>
          <w:sz w:val="22"/>
          <w:szCs w:val="22"/>
        </w:rPr>
        <w:t xml:space="preserve">their licensees </w:t>
      </w:r>
      <w:r w:rsidRPr="00FD2E55" w:rsidR="00EF2EDC">
        <w:rPr>
          <w:rFonts w:cs="Arial"/>
          <w:sz w:val="22"/>
          <w:szCs w:val="22"/>
        </w:rPr>
        <w:t>will</w:t>
      </w:r>
      <w:r w:rsidRPr="00346B95">
        <w:rPr>
          <w:sz w:val="22"/>
        </w:rPr>
        <w:t xml:space="preserve"> be </w:t>
      </w:r>
      <w:r w:rsidR="00252916">
        <w:rPr>
          <w:sz w:val="22"/>
        </w:rPr>
        <w:t>required to</w:t>
      </w:r>
      <w:r w:rsidRPr="00346B95">
        <w:rPr>
          <w:sz w:val="22"/>
        </w:rPr>
        <w:t xml:space="preserve"> submit updated FSAR</w:t>
      </w:r>
      <w:r w:rsidRPr="00346B95" w:rsidR="0015568B">
        <w:rPr>
          <w:sz w:val="22"/>
        </w:rPr>
        <w:t>s</w:t>
      </w:r>
      <w:r w:rsidRPr="00346B95" w:rsidR="00F95527">
        <w:rPr>
          <w:sz w:val="22"/>
        </w:rPr>
        <w:t xml:space="preserve"> and subsequent FSAR updates</w:t>
      </w:r>
      <w:r w:rsidRPr="00346B95">
        <w:rPr>
          <w:sz w:val="22"/>
        </w:rPr>
        <w:t>.  This assumption results in no averted costs for th</w:t>
      </w:r>
      <w:r w:rsidRPr="00346B95" w:rsidR="00612FAC">
        <w:rPr>
          <w:sz w:val="22"/>
        </w:rPr>
        <w:t>ese</w:t>
      </w:r>
      <w:r w:rsidRPr="00346B95">
        <w:rPr>
          <w:sz w:val="22"/>
        </w:rPr>
        <w:t xml:space="preserve"> facilit</w:t>
      </w:r>
      <w:r w:rsidRPr="00346B95" w:rsidR="00612FAC">
        <w:rPr>
          <w:sz w:val="22"/>
        </w:rPr>
        <w:t>ies</w:t>
      </w:r>
      <w:r w:rsidRPr="00346B95">
        <w:rPr>
          <w:sz w:val="22"/>
        </w:rPr>
        <w:t>.</w:t>
      </w:r>
    </w:p>
    <w:p w:rsidR="00FC263C" w:rsidRPr="00346B95" w:rsidP="00346B95" w14:paraId="7F493C90" w14:textId="77777777">
      <w:pPr>
        <w:numPr>
          <w:ilvl w:val="0"/>
          <w:numId w:val="11"/>
        </w:numPr>
        <w:ind w:left="720" w:hanging="720"/>
        <w:contextualSpacing/>
        <w:rPr>
          <w:sz w:val="22"/>
        </w:rPr>
      </w:pPr>
      <w:r w:rsidRPr="00FD2E55">
        <w:rPr>
          <w:rFonts w:cs="Arial"/>
          <w:sz w:val="22"/>
          <w:szCs w:val="22"/>
        </w:rPr>
        <w:t xml:space="preserve">Texas A&amp;M University </w:t>
      </w:r>
      <w:r w:rsidRPr="00252916" w:rsidR="00252916">
        <w:rPr>
          <w:rFonts w:cs="Arial"/>
          <w:sz w:val="22"/>
          <w:szCs w:val="22"/>
        </w:rPr>
        <w:t xml:space="preserve">Aerojet-General Nucleonics </w:t>
      </w:r>
      <w:r w:rsidRPr="00FD2E55">
        <w:rPr>
          <w:rFonts w:cs="Arial"/>
          <w:sz w:val="22"/>
          <w:szCs w:val="22"/>
        </w:rPr>
        <w:t>(</w:t>
      </w:r>
      <w:r w:rsidRPr="00346B95" w:rsidR="002D752E">
        <w:rPr>
          <w:sz w:val="22"/>
        </w:rPr>
        <w:t>TAMU</w:t>
      </w:r>
      <w:r w:rsidRPr="00346B95" w:rsidR="00612FAC">
        <w:rPr>
          <w:sz w:val="22"/>
        </w:rPr>
        <w:t xml:space="preserve"> (</w:t>
      </w:r>
      <w:r w:rsidRPr="00D96410" w:rsidR="00612FAC">
        <w:rPr>
          <w:rFonts w:cs="Arial"/>
          <w:sz w:val="22"/>
          <w:szCs w:val="22"/>
        </w:rPr>
        <w:t>A)</w:t>
      </w:r>
      <w:r w:rsidRPr="00FD2E55">
        <w:rPr>
          <w:rFonts w:cs="Arial"/>
          <w:sz w:val="22"/>
          <w:szCs w:val="22"/>
        </w:rPr>
        <w:t>)</w:t>
      </w:r>
      <w:r w:rsidRPr="00346B95">
        <w:rPr>
          <w:sz w:val="22"/>
        </w:rPr>
        <w:t xml:space="preserve"> is currently not operationa</w:t>
      </w:r>
      <w:r w:rsidRPr="00346B95" w:rsidR="009F6D93">
        <w:rPr>
          <w:sz w:val="22"/>
        </w:rPr>
        <w:t>l</w:t>
      </w:r>
      <w:r w:rsidRPr="00346B95" w:rsidR="0067543C">
        <w:rPr>
          <w:sz w:val="22"/>
        </w:rPr>
        <w:t>.</w:t>
      </w:r>
      <w:r w:rsidRPr="00346B95" w:rsidR="00A267FD">
        <w:rPr>
          <w:sz w:val="22"/>
        </w:rPr>
        <w:t xml:space="preserve">  The regulatory analysis assumes that TAMU (</w:t>
      </w:r>
      <w:r w:rsidRPr="00D96410" w:rsidR="00A267FD">
        <w:rPr>
          <w:rFonts w:cs="Arial"/>
          <w:sz w:val="22"/>
          <w:szCs w:val="22"/>
        </w:rPr>
        <w:t>A</w:t>
      </w:r>
      <w:r w:rsidRPr="00346B95" w:rsidR="00A267FD">
        <w:rPr>
          <w:sz w:val="22"/>
        </w:rPr>
        <w:t xml:space="preserve">) will undergo license renewal </w:t>
      </w:r>
      <w:r w:rsidRPr="00346B95" w:rsidR="0067543C">
        <w:rPr>
          <w:sz w:val="22"/>
        </w:rPr>
        <w:t>in 2021</w:t>
      </w:r>
      <w:r w:rsidRPr="00346B95" w:rsidR="00A267FD">
        <w:rPr>
          <w:sz w:val="22"/>
        </w:rPr>
        <w:t xml:space="preserve">, </w:t>
      </w:r>
      <w:r w:rsidRPr="00FD2E55" w:rsidR="00311F0E">
        <w:rPr>
          <w:rFonts w:cs="Arial"/>
          <w:sz w:val="22"/>
          <w:szCs w:val="22"/>
        </w:rPr>
        <w:t>then</w:t>
      </w:r>
      <w:r w:rsidRPr="00346B95" w:rsidR="00A267FD">
        <w:rPr>
          <w:sz w:val="22"/>
        </w:rPr>
        <w:t xml:space="preserve"> </w:t>
      </w:r>
      <w:r w:rsidRPr="00346B95" w:rsidR="0067543C">
        <w:rPr>
          <w:sz w:val="22"/>
        </w:rPr>
        <w:t xml:space="preserve">submit an </w:t>
      </w:r>
      <w:r w:rsidRPr="00346B95" w:rsidR="00A267FD">
        <w:rPr>
          <w:sz w:val="22"/>
        </w:rPr>
        <w:t>updated FSAR 5 years after license renewal and subsequent FSAR updates thereafter</w:t>
      </w:r>
      <w:r w:rsidRPr="00346B95">
        <w:rPr>
          <w:sz w:val="22"/>
        </w:rPr>
        <w:t>.</w:t>
      </w:r>
    </w:p>
    <w:p w:rsidR="00FC263C" w:rsidRPr="00D839EE" w:rsidP="00FC263C" w14:paraId="7F493C91" w14:textId="77777777">
      <w:pPr>
        <w:ind w:left="360"/>
        <w:contextualSpacing/>
        <w:rPr>
          <w:rFonts w:cs="Arial"/>
        </w:rPr>
      </w:pPr>
    </w:p>
    <w:p w:rsidR="00AD411B" w:rsidRPr="00D96410" w:rsidP="00D341C4" w14:paraId="7F493C92" w14:textId="46B58509">
      <w:pPr>
        <w:pStyle w:val="Caption"/>
        <w:keepNext/>
        <w:spacing w:after="0"/>
        <w:jc w:val="center"/>
        <w:rPr>
          <w:b/>
          <w:color w:val="auto"/>
          <w:sz w:val="20"/>
        </w:rPr>
      </w:pPr>
      <w:bookmarkStart w:id="507" w:name="_Toc534037081"/>
      <w:bookmarkStart w:id="508" w:name="_Toc534710025"/>
      <w:bookmarkStart w:id="509" w:name="_Toc534711710"/>
      <w:bookmarkStart w:id="510" w:name="_Toc534712143"/>
      <w:bookmarkStart w:id="511" w:name="_Toc534712720"/>
      <w:bookmarkStart w:id="512" w:name="_Toc534713229"/>
      <w:bookmarkStart w:id="513" w:name="_Toc9526489"/>
      <w:bookmarkStart w:id="514" w:name="_Toc536603438"/>
      <w:r w:rsidRPr="00D96410">
        <w:rPr>
          <w:b/>
          <w:i w:val="0"/>
          <w:color w:val="auto"/>
          <w:sz w:val="22"/>
        </w:rPr>
        <w:t xml:space="preserve">Exhibit </w:t>
      </w:r>
      <w:r w:rsidRPr="00D96410" w:rsidR="005111B6">
        <w:rPr>
          <w:b/>
          <w:i w:val="0"/>
          <w:color w:val="auto"/>
          <w:sz w:val="22"/>
        </w:rPr>
        <w:t>A</w:t>
      </w:r>
      <w:r w:rsidRPr="00D96410" w:rsidR="00180D68">
        <w:rPr>
          <w:b/>
          <w:i w:val="0"/>
          <w:color w:val="auto"/>
          <w:sz w:val="22"/>
        </w:rPr>
        <w:noBreakHyphen/>
      </w:r>
      <w:r w:rsidRPr="00D96410" w:rsidR="00705F5D">
        <w:rPr>
          <w:b/>
          <w:i w:val="0"/>
          <w:color w:val="auto"/>
          <w:sz w:val="22"/>
        </w:rPr>
        <w:fldChar w:fldCharType="begin"/>
      </w:r>
      <w:r w:rsidRPr="00D96410" w:rsidR="00705F5D">
        <w:rPr>
          <w:b/>
          <w:i w:val="0"/>
          <w:color w:val="auto"/>
          <w:sz w:val="22"/>
        </w:rPr>
        <w:instrText xml:space="preserve"> SEQ Exhibit \* ARABIC \r 1 </w:instrText>
      </w:r>
      <w:r w:rsidRPr="00D96410" w:rsidR="00705F5D">
        <w:rPr>
          <w:b/>
          <w:i w:val="0"/>
          <w:color w:val="auto"/>
          <w:sz w:val="22"/>
        </w:rPr>
        <w:fldChar w:fldCharType="separate"/>
      </w:r>
      <w:r w:rsidR="00977795">
        <w:rPr>
          <w:b/>
          <w:i w:val="0"/>
          <w:noProof/>
          <w:color w:val="auto"/>
          <w:sz w:val="22"/>
        </w:rPr>
        <w:t>1</w:t>
      </w:r>
      <w:r w:rsidRPr="00D96410" w:rsidR="00705F5D">
        <w:rPr>
          <w:b/>
          <w:i w:val="0"/>
          <w:color w:val="auto"/>
          <w:sz w:val="22"/>
        </w:rPr>
        <w:fldChar w:fldCharType="end"/>
      </w:r>
      <w:r w:rsidRPr="00D96410">
        <w:rPr>
          <w:b/>
          <w:i w:val="0"/>
          <w:color w:val="auto"/>
          <w:sz w:val="22"/>
        </w:rPr>
        <w:t>. Description of Existing NPUF License Renewal Process Sub-Steps</w:t>
      </w:r>
      <w:bookmarkEnd w:id="507"/>
      <w:bookmarkEnd w:id="508"/>
      <w:bookmarkEnd w:id="509"/>
      <w:bookmarkEnd w:id="510"/>
      <w:bookmarkEnd w:id="511"/>
      <w:bookmarkEnd w:id="512"/>
      <w:bookmarkEnd w:id="513"/>
      <w:bookmarkEnd w:id="514"/>
    </w:p>
    <w:tbl>
      <w:tblPr>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183"/>
        <w:gridCol w:w="7745"/>
      </w:tblGrid>
      <w:tr w14:paraId="7F493C96" w14:textId="77777777" w:rsidTr="00346B95">
        <w:tblPrEx>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8"/>
          <w:jc w:val="center"/>
        </w:trPr>
        <w:tc>
          <w:tcPr>
            <w:tcW w:w="1965" w:type="dxa"/>
            <w:vMerge w:val="restart"/>
            <w:shd w:val="clear" w:color="auto" w:fill="auto"/>
            <w:vAlign w:val="center"/>
            <w:hideMark/>
          </w:tcPr>
          <w:p w:rsidR="007D7B38" w:rsidRPr="00D839EE" w:rsidP="00EA25C6" w14:paraId="7F493C93" w14:textId="77777777">
            <w:pPr>
              <w:keepNext/>
              <w:autoSpaceDE/>
              <w:autoSpaceDN/>
              <w:adjustRightInd/>
              <w:jc w:val="center"/>
              <w:rPr>
                <w:rFonts w:cs="Arial"/>
                <w:b/>
                <w:bCs/>
              </w:rPr>
            </w:pPr>
            <w:r w:rsidRPr="00D839EE">
              <w:rPr>
                <w:rFonts w:cs="Arial"/>
                <w:b/>
                <w:bCs/>
              </w:rPr>
              <w:t>Existing Process Steps</w:t>
            </w:r>
          </w:p>
        </w:tc>
        <w:tc>
          <w:tcPr>
            <w:tcW w:w="1183" w:type="dxa"/>
            <w:vMerge w:val="restart"/>
            <w:shd w:val="clear" w:color="auto" w:fill="auto"/>
            <w:noWrap/>
            <w:vAlign w:val="center"/>
            <w:hideMark/>
          </w:tcPr>
          <w:p w:rsidR="007D7B38" w:rsidRPr="00D839EE" w:rsidP="00EA25C6" w14:paraId="7F493C94" w14:textId="77777777">
            <w:pPr>
              <w:keepNext/>
              <w:autoSpaceDE/>
              <w:autoSpaceDN/>
              <w:adjustRightInd/>
              <w:jc w:val="center"/>
              <w:rPr>
                <w:rFonts w:cs="Arial"/>
                <w:b/>
                <w:bCs/>
                <w:color w:val="000000"/>
              </w:rPr>
            </w:pPr>
            <w:r w:rsidRPr="00D839EE">
              <w:rPr>
                <w:rFonts w:cs="Arial"/>
                <w:b/>
                <w:bCs/>
                <w:color w:val="000000"/>
              </w:rPr>
              <w:t>Substep</w:t>
            </w:r>
          </w:p>
        </w:tc>
        <w:tc>
          <w:tcPr>
            <w:tcW w:w="7745" w:type="dxa"/>
            <w:vMerge w:val="restart"/>
            <w:shd w:val="clear" w:color="000000" w:fill="FFFFFF"/>
            <w:vAlign w:val="center"/>
            <w:hideMark/>
          </w:tcPr>
          <w:p w:rsidR="007D7B38" w:rsidRPr="00D839EE" w:rsidP="00EA25C6" w14:paraId="7F493C95" w14:textId="77777777">
            <w:pPr>
              <w:keepNext/>
              <w:autoSpaceDE/>
              <w:autoSpaceDN/>
              <w:adjustRightInd/>
              <w:jc w:val="center"/>
              <w:rPr>
                <w:rFonts w:cs="Arial"/>
                <w:b/>
                <w:bCs/>
                <w:color w:val="000000"/>
              </w:rPr>
            </w:pPr>
            <w:r w:rsidRPr="00D839EE">
              <w:rPr>
                <w:rFonts w:cs="Arial"/>
                <w:b/>
                <w:bCs/>
                <w:color w:val="000000"/>
              </w:rPr>
              <w:t>Description of Substep</w:t>
            </w:r>
          </w:p>
        </w:tc>
      </w:tr>
      <w:tr w14:paraId="7F493C9A" w14:textId="77777777" w:rsidTr="005E269C">
        <w:tblPrEx>
          <w:tblW w:w="10893" w:type="dxa"/>
          <w:jc w:val="center"/>
          <w:tblLook w:val="04A0"/>
        </w:tblPrEx>
        <w:trPr>
          <w:trHeight w:val="408"/>
          <w:jc w:val="center"/>
        </w:trPr>
        <w:tc>
          <w:tcPr>
            <w:tcW w:w="1965" w:type="dxa"/>
            <w:vMerge/>
            <w:vAlign w:val="center"/>
            <w:hideMark/>
          </w:tcPr>
          <w:p w:rsidR="007D7B38" w:rsidRPr="00D839EE" w:rsidP="00EA25C6" w14:paraId="7F493C97" w14:textId="77777777">
            <w:pPr>
              <w:keepNext/>
              <w:autoSpaceDE/>
              <w:autoSpaceDN/>
              <w:adjustRightInd/>
              <w:rPr>
                <w:rFonts w:cs="Arial"/>
                <w:b/>
                <w:bCs/>
              </w:rPr>
            </w:pPr>
          </w:p>
        </w:tc>
        <w:tc>
          <w:tcPr>
            <w:tcW w:w="1183" w:type="dxa"/>
            <w:vMerge/>
            <w:vAlign w:val="center"/>
            <w:hideMark/>
          </w:tcPr>
          <w:p w:rsidR="007D7B38" w:rsidRPr="00D839EE" w:rsidP="00EA25C6" w14:paraId="7F493C98" w14:textId="77777777">
            <w:pPr>
              <w:keepNext/>
              <w:autoSpaceDE/>
              <w:autoSpaceDN/>
              <w:adjustRightInd/>
              <w:rPr>
                <w:rFonts w:cs="Arial"/>
                <w:b/>
                <w:bCs/>
                <w:color w:val="000000"/>
              </w:rPr>
            </w:pPr>
          </w:p>
        </w:tc>
        <w:tc>
          <w:tcPr>
            <w:tcW w:w="7745" w:type="dxa"/>
            <w:vMerge/>
            <w:vAlign w:val="center"/>
            <w:hideMark/>
          </w:tcPr>
          <w:p w:rsidR="007D7B38" w:rsidRPr="00D839EE" w:rsidP="00EA25C6" w14:paraId="7F493C99" w14:textId="77777777">
            <w:pPr>
              <w:keepNext/>
              <w:autoSpaceDE/>
              <w:autoSpaceDN/>
              <w:adjustRightInd/>
              <w:rPr>
                <w:rFonts w:cs="Arial"/>
                <w:b/>
                <w:bCs/>
                <w:color w:val="000000"/>
              </w:rPr>
            </w:pPr>
          </w:p>
        </w:tc>
      </w:tr>
      <w:tr w14:paraId="7F493C9E" w14:textId="77777777" w:rsidTr="005E269C">
        <w:tblPrEx>
          <w:tblW w:w="10893" w:type="dxa"/>
          <w:jc w:val="center"/>
          <w:tblLook w:val="04A0"/>
        </w:tblPrEx>
        <w:trPr>
          <w:trHeight w:val="408"/>
          <w:jc w:val="center"/>
        </w:trPr>
        <w:tc>
          <w:tcPr>
            <w:tcW w:w="1965" w:type="dxa"/>
            <w:vMerge/>
            <w:vAlign w:val="center"/>
            <w:hideMark/>
          </w:tcPr>
          <w:p w:rsidR="007D7B38" w:rsidRPr="00D839EE" w:rsidP="00EA25C6" w14:paraId="7F493C9B" w14:textId="77777777">
            <w:pPr>
              <w:keepNext/>
              <w:autoSpaceDE/>
              <w:autoSpaceDN/>
              <w:adjustRightInd/>
              <w:rPr>
                <w:rFonts w:cs="Arial"/>
                <w:b/>
                <w:bCs/>
              </w:rPr>
            </w:pPr>
          </w:p>
        </w:tc>
        <w:tc>
          <w:tcPr>
            <w:tcW w:w="1183" w:type="dxa"/>
            <w:vMerge/>
            <w:vAlign w:val="center"/>
            <w:hideMark/>
          </w:tcPr>
          <w:p w:rsidR="007D7B38" w:rsidRPr="00D839EE" w:rsidP="00EA25C6" w14:paraId="7F493C9C" w14:textId="77777777">
            <w:pPr>
              <w:keepNext/>
              <w:autoSpaceDE/>
              <w:autoSpaceDN/>
              <w:adjustRightInd/>
              <w:rPr>
                <w:rFonts w:cs="Arial"/>
                <w:b/>
                <w:bCs/>
                <w:color w:val="000000"/>
              </w:rPr>
            </w:pPr>
          </w:p>
        </w:tc>
        <w:tc>
          <w:tcPr>
            <w:tcW w:w="7745" w:type="dxa"/>
            <w:vMerge/>
            <w:vAlign w:val="center"/>
            <w:hideMark/>
          </w:tcPr>
          <w:p w:rsidR="007D7B38" w:rsidRPr="00D839EE" w:rsidP="00EA25C6" w14:paraId="7F493C9D" w14:textId="77777777">
            <w:pPr>
              <w:keepNext/>
              <w:autoSpaceDE/>
              <w:autoSpaceDN/>
              <w:adjustRightInd/>
              <w:rPr>
                <w:rFonts w:cs="Arial"/>
                <w:b/>
                <w:bCs/>
                <w:color w:val="000000"/>
              </w:rPr>
            </w:pPr>
          </w:p>
        </w:tc>
      </w:tr>
      <w:tr w14:paraId="7F493CA2" w14:textId="77777777" w:rsidTr="005E269C">
        <w:tblPrEx>
          <w:tblW w:w="10893" w:type="dxa"/>
          <w:jc w:val="center"/>
          <w:tblLook w:val="04A0"/>
        </w:tblPrEx>
        <w:trPr>
          <w:trHeight w:val="300"/>
          <w:jc w:val="center"/>
        </w:trPr>
        <w:tc>
          <w:tcPr>
            <w:tcW w:w="1965" w:type="dxa"/>
            <w:vMerge w:val="restart"/>
            <w:shd w:val="clear" w:color="auto" w:fill="auto"/>
            <w:vAlign w:val="center"/>
            <w:hideMark/>
          </w:tcPr>
          <w:p w:rsidR="007D7B38" w:rsidRPr="00D839EE" w:rsidP="00EA25C6" w14:paraId="7F493C9F" w14:textId="77777777">
            <w:pPr>
              <w:keepNext/>
              <w:autoSpaceDE/>
              <w:autoSpaceDN/>
              <w:adjustRightInd/>
              <w:jc w:val="center"/>
              <w:rPr>
                <w:rFonts w:cs="Arial"/>
                <w:b/>
                <w:bCs/>
                <w:color w:val="000000"/>
              </w:rPr>
            </w:pPr>
            <w:r w:rsidRPr="00D839EE">
              <w:rPr>
                <w:rFonts w:cs="Arial"/>
                <w:b/>
                <w:bCs/>
                <w:color w:val="000000"/>
              </w:rPr>
              <w:t xml:space="preserve">Preparing </w:t>
            </w:r>
            <w:r w:rsidRPr="00D839EE" w:rsidR="00AD1363">
              <w:rPr>
                <w:rFonts w:cs="Arial"/>
                <w:b/>
                <w:bCs/>
                <w:color w:val="000000"/>
              </w:rPr>
              <w:t>L</w:t>
            </w:r>
            <w:r w:rsidRPr="00D839EE">
              <w:rPr>
                <w:rFonts w:cs="Arial"/>
                <w:b/>
                <w:bCs/>
                <w:color w:val="000000"/>
              </w:rPr>
              <w:t xml:space="preserve">icense </w:t>
            </w:r>
            <w:r w:rsidRPr="00D839EE" w:rsidR="00AD1363">
              <w:rPr>
                <w:rFonts w:cs="Arial"/>
                <w:b/>
                <w:bCs/>
                <w:color w:val="000000"/>
              </w:rPr>
              <w:t>R</w:t>
            </w:r>
            <w:r w:rsidRPr="00D839EE">
              <w:rPr>
                <w:rFonts w:cs="Arial"/>
                <w:b/>
                <w:bCs/>
                <w:color w:val="000000"/>
              </w:rPr>
              <w:t xml:space="preserve">enewal </w:t>
            </w:r>
            <w:r w:rsidRPr="00D839EE" w:rsidR="00AD1363">
              <w:rPr>
                <w:rFonts w:cs="Arial"/>
                <w:b/>
                <w:bCs/>
                <w:color w:val="000000"/>
              </w:rPr>
              <w:t>A</w:t>
            </w:r>
            <w:r w:rsidRPr="00D839EE">
              <w:rPr>
                <w:rFonts w:cs="Arial"/>
                <w:b/>
                <w:bCs/>
                <w:color w:val="000000"/>
              </w:rPr>
              <w:t>pplication</w:t>
            </w:r>
          </w:p>
        </w:tc>
        <w:tc>
          <w:tcPr>
            <w:tcW w:w="1183" w:type="dxa"/>
            <w:shd w:val="clear" w:color="auto" w:fill="auto"/>
            <w:noWrap/>
            <w:vAlign w:val="center"/>
            <w:hideMark/>
          </w:tcPr>
          <w:p w:rsidR="007D7B38" w:rsidRPr="00D839EE" w:rsidP="00EA25C6" w14:paraId="7F493CA0" w14:textId="77777777">
            <w:pPr>
              <w:keepNext/>
              <w:autoSpaceDE/>
              <w:autoSpaceDN/>
              <w:adjustRightInd/>
              <w:jc w:val="center"/>
              <w:rPr>
                <w:rFonts w:cs="Arial"/>
                <w:b/>
                <w:bCs/>
                <w:color w:val="000000"/>
              </w:rPr>
            </w:pPr>
            <w:r w:rsidRPr="00D839EE">
              <w:rPr>
                <w:rFonts w:cs="Arial"/>
                <w:b/>
                <w:bCs/>
                <w:color w:val="000000"/>
              </w:rPr>
              <w:t>1</w:t>
            </w:r>
          </w:p>
        </w:tc>
        <w:tc>
          <w:tcPr>
            <w:tcW w:w="7745" w:type="dxa"/>
            <w:shd w:val="clear" w:color="auto" w:fill="auto"/>
            <w:vAlign w:val="center"/>
            <w:hideMark/>
          </w:tcPr>
          <w:p w:rsidR="007D7B38" w:rsidRPr="00D839EE" w:rsidP="00EA25C6" w14:paraId="7F493CA1" w14:textId="77777777">
            <w:pPr>
              <w:keepNext/>
              <w:autoSpaceDE/>
              <w:autoSpaceDN/>
              <w:adjustRightInd/>
              <w:rPr>
                <w:rFonts w:cs="Arial"/>
              </w:rPr>
            </w:pPr>
            <w:r w:rsidRPr="00D839EE">
              <w:rPr>
                <w:rFonts w:cs="Arial"/>
              </w:rPr>
              <w:t>Collect information for narrative components of license renewal application</w:t>
            </w:r>
          </w:p>
        </w:tc>
      </w:tr>
      <w:tr w14:paraId="7F493CA6"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A3"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A4" w14:textId="77777777">
            <w:pPr>
              <w:keepNext/>
              <w:autoSpaceDE/>
              <w:autoSpaceDN/>
              <w:adjustRightInd/>
              <w:jc w:val="center"/>
              <w:rPr>
                <w:rFonts w:cs="Arial"/>
                <w:b/>
                <w:bCs/>
                <w:color w:val="000000"/>
              </w:rPr>
            </w:pPr>
            <w:r w:rsidRPr="00D839EE">
              <w:rPr>
                <w:rFonts w:cs="Arial"/>
                <w:b/>
                <w:bCs/>
                <w:color w:val="000000"/>
              </w:rPr>
              <w:t>2</w:t>
            </w:r>
          </w:p>
        </w:tc>
        <w:tc>
          <w:tcPr>
            <w:tcW w:w="7745" w:type="dxa"/>
            <w:shd w:val="clear" w:color="auto" w:fill="auto"/>
            <w:vAlign w:val="center"/>
            <w:hideMark/>
          </w:tcPr>
          <w:p w:rsidR="007D7B38" w:rsidRPr="00D839EE" w:rsidP="00EA25C6" w14:paraId="7F493CA5" w14:textId="77777777">
            <w:pPr>
              <w:keepNext/>
              <w:autoSpaceDE/>
              <w:autoSpaceDN/>
              <w:adjustRightInd/>
              <w:rPr>
                <w:rFonts w:cs="Arial"/>
              </w:rPr>
            </w:pPr>
            <w:r w:rsidRPr="00D839EE">
              <w:rPr>
                <w:rFonts w:cs="Arial"/>
              </w:rPr>
              <w:t>Draft narrative chapters of license renewal application</w:t>
            </w:r>
          </w:p>
        </w:tc>
      </w:tr>
      <w:tr w14:paraId="7F493CAA"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A7"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A8" w14:textId="77777777">
            <w:pPr>
              <w:keepNext/>
              <w:autoSpaceDE/>
              <w:autoSpaceDN/>
              <w:adjustRightInd/>
              <w:jc w:val="center"/>
              <w:rPr>
                <w:rFonts w:cs="Arial"/>
                <w:b/>
                <w:bCs/>
                <w:color w:val="000000"/>
              </w:rPr>
            </w:pPr>
            <w:r w:rsidRPr="00D839EE">
              <w:rPr>
                <w:rFonts w:cs="Arial"/>
                <w:b/>
                <w:bCs/>
                <w:color w:val="000000"/>
              </w:rPr>
              <w:t>3</w:t>
            </w:r>
          </w:p>
        </w:tc>
        <w:tc>
          <w:tcPr>
            <w:tcW w:w="7745" w:type="dxa"/>
            <w:shd w:val="clear" w:color="auto" w:fill="auto"/>
            <w:vAlign w:val="center"/>
            <w:hideMark/>
          </w:tcPr>
          <w:p w:rsidR="007D7B38" w:rsidRPr="00D839EE" w:rsidP="00EA25C6" w14:paraId="7F493CA9" w14:textId="77777777">
            <w:pPr>
              <w:keepNext/>
              <w:autoSpaceDE/>
              <w:autoSpaceDN/>
              <w:adjustRightInd/>
              <w:rPr>
                <w:rFonts w:cs="Arial"/>
              </w:rPr>
            </w:pPr>
            <w:r w:rsidRPr="00D839EE">
              <w:rPr>
                <w:rFonts w:cs="Arial"/>
              </w:rPr>
              <w:t>Collect information for technical components of license renewal application</w:t>
            </w:r>
          </w:p>
        </w:tc>
      </w:tr>
      <w:tr w14:paraId="7F493CAE"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AB"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AC" w14:textId="77777777">
            <w:pPr>
              <w:keepNext/>
              <w:autoSpaceDE/>
              <w:autoSpaceDN/>
              <w:adjustRightInd/>
              <w:jc w:val="center"/>
              <w:rPr>
                <w:rFonts w:cs="Arial"/>
                <w:b/>
                <w:bCs/>
                <w:color w:val="000000"/>
              </w:rPr>
            </w:pPr>
            <w:r w:rsidRPr="00D839EE">
              <w:rPr>
                <w:rFonts w:cs="Arial"/>
                <w:b/>
                <w:bCs/>
                <w:color w:val="000000"/>
              </w:rPr>
              <w:t>4</w:t>
            </w:r>
          </w:p>
        </w:tc>
        <w:tc>
          <w:tcPr>
            <w:tcW w:w="7745" w:type="dxa"/>
            <w:shd w:val="clear" w:color="auto" w:fill="auto"/>
            <w:vAlign w:val="center"/>
            <w:hideMark/>
          </w:tcPr>
          <w:p w:rsidR="007D7B38" w:rsidRPr="00D839EE" w:rsidP="00EA25C6" w14:paraId="7F493CAD" w14:textId="77777777">
            <w:pPr>
              <w:keepNext/>
              <w:autoSpaceDE/>
              <w:autoSpaceDN/>
              <w:adjustRightInd/>
              <w:rPr>
                <w:rFonts w:cs="Arial"/>
              </w:rPr>
            </w:pPr>
            <w:r w:rsidRPr="00D839EE">
              <w:rPr>
                <w:rFonts w:cs="Arial"/>
              </w:rPr>
              <w:t xml:space="preserve">Draft technical chapters of license renewal application </w:t>
            </w:r>
          </w:p>
        </w:tc>
      </w:tr>
      <w:tr w14:paraId="7F493CB2"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AF"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B0" w14:textId="77777777">
            <w:pPr>
              <w:keepNext/>
              <w:autoSpaceDE/>
              <w:autoSpaceDN/>
              <w:adjustRightInd/>
              <w:jc w:val="center"/>
              <w:rPr>
                <w:rFonts w:cs="Arial"/>
                <w:b/>
                <w:bCs/>
                <w:color w:val="000000"/>
              </w:rPr>
            </w:pPr>
            <w:r w:rsidRPr="00D839EE">
              <w:rPr>
                <w:rFonts w:cs="Arial"/>
                <w:b/>
                <w:bCs/>
                <w:color w:val="000000"/>
              </w:rPr>
              <w:t>5</w:t>
            </w:r>
          </w:p>
        </w:tc>
        <w:tc>
          <w:tcPr>
            <w:tcW w:w="7745" w:type="dxa"/>
            <w:shd w:val="clear" w:color="auto" w:fill="auto"/>
            <w:vAlign w:val="center"/>
            <w:hideMark/>
          </w:tcPr>
          <w:p w:rsidR="007D7B38" w:rsidRPr="00D839EE" w:rsidP="00EA25C6" w14:paraId="7F493CB1" w14:textId="77777777">
            <w:pPr>
              <w:keepNext/>
              <w:autoSpaceDE/>
              <w:autoSpaceDN/>
              <w:adjustRightInd/>
              <w:rPr>
                <w:rFonts w:cs="Arial"/>
              </w:rPr>
            </w:pPr>
            <w:r w:rsidRPr="00D839EE">
              <w:rPr>
                <w:rFonts w:cs="Arial"/>
              </w:rPr>
              <w:t>Review by management</w:t>
            </w:r>
          </w:p>
        </w:tc>
      </w:tr>
      <w:tr w14:paraId="7F493CB6" w14:textId="77777777" w:rsidTr="005E269C">
        <w:tblPrEx>
          <w:tblW w:w="10893" w:type="dxa"/>
          <w:jc w:val="center"/>
          <w:tblLook w:val="04A0"/>
        </w:tblPrEx>
        <w:trPr>
          <w:trHeight w:val="300"/>
          <w:jc w:val="center"/>
        </w:trPr>
        <w:tc>
          <w:tcPr>
            <w:tcW w:w="1965" w:type="dxa"/>
            <w:vMerge w:val="restart"/>
            <w:shd w:val="clear" w:color="auto" w:fill="auto"/>
            <w:vAlign w:val="center"/>
            <w:hideMark/>
          </w:tcPr>
          <w:p w:rsidR="007D7B38" w:rsidRPr="00D839EE" w:rsidP="00EA25C6" w14:paraId="7F493CB3" w14:textId="77777777">
            <w:pPr>
              <w:keepNext/>
              <w:autoSpaceDE/>
              <w:autoSpaceDN/>
              <w:adjustRightInd/>
              <w:jc w:val="center"/>
              <w:rPr>
                <w:rFonts w:cs="Arial"/>
                <w:b/>
                <w:bCs/>
                <w:color w:val="000000"/>
              </w:rPr>
            </w:pPr>
            <w:r w:rsidRPr="00D839EE">
              <w:rPr>
                <w:rFonts w:cs="Arial"/>
                <w:b/>
                <w:bCs/>
                <w:color w:val="000000"/>
              </w:rPr>
              <w:t xml:space="preserve">Responding to </w:t>
            </w:r>
            <w:r w:rsidR="00311F0E">
              <w:rPr>
                <w:rFonts w:cs="Arial"/>
                <w:b/>
                <w:bCs/>
                <w:color w:val="000000"/>
              </w:rPr>
              <w:t>A</w:t>
            </w:r>
            <w:r w:rsidR="00C26B8C">
              <w:rPr>
                <w:rFonts w:cs="Arial"/>
                <w:b/>
                <w:bCs/>
                <w:color w:val="000000"/>
              </w:rPr>
              <w:t xml:space="preserve">ll </w:t>
            </w:r>
            <w:r w:rsidR="00311F0E">
              <w:rPr>
                <w:rFonts w:cs="Arial"/>
                <w:b/>
                <w:bCs/>
                <w:color w:val="000000"/>
              </w:rPr>
              <w:t>Requests for Additional Information (</w:t>
            </w:r>
            <w:r w:rsidR="00C26B8C">
              <w:rPr>
                <w:rFonts w:cs="Arial"/>
                <w:b/>
                <w:bCs/>
                <w:color w:val="000000"/>
              </w:rPr>
              <w:t>RAIs</w:t>
            </w:r>
            <w:r w:rsidR="00311F0E">
              <w:rPr>
                <w:rFonts w:cs="Arial"/>
                <w:b/>
                <w:bCs/>
                <w:color w:val="000000"/>
              </w:rPr>
              <w:t>)</w:t>
            </w:r>
          </w:p>
        </w:tc>
        <w:tc>
          <w:tcPr>
            <w:tcW w:w="1183" w:type="dxa"/>
            <w:shd w:val="clear" w:color="auto" w:fill="auto"/>
            <w:noWrap/>
            <w:vAlign w:val="center"/>
            <w:hideMark/>
          </w:tcPr>
          <w:p w:rsidR="007D7B38" w:rsidRPr="00D839EE" w:rsidP="00EA25C6" w14:paraId="7F493CB4" w14:textId="77777777">
            <w:pPr>
              <w:keepNext/>
              <w:autoSpaceDE/>
              <w:autoSpaceDN/>
              <w:adjustRightInd/>
              <w:jc w:val="center"/>
              <w:rPr>
                <w:rFonts w:cs="Arial"/>
                <w:b/>
                <w:bCs/>
                <w:color w:val="000000"/>
              </w:rPr>
            </w:pPr>
            <w:r w:rsidRPr="00D839EE">
              <w:rPr>
                <w:rFonts w:cs="Arial"/>
                <w:b/>
                <w:bCs/>
                <w:color w:val="000000"/>
              </w:rPr>
              <w:t>1</w:t>
            </w:r>
          </w:p>
        </w:tc>
        <w:tc>
          <w:tcPr>
            <w:tcW w:w="7745" w:type="dxa"/>
            <w:shd w:val="clear" w:color="auto" w:fill="auto"/>
            <w:vAlign w:val="center"/>
            <w:hideMark/>
          </w:tcPr>
          <w:p w:rsidR="007D7B38" w:rsidRPr="00D839EE" w:rsidP="00EA25C6" w14:paraId="7F493CB5" w14:textId="77777777">
            <w:pPr>
              <w:keepNext/>
              <w:autoSpaceDE/>
              <w:autoSpaceDN/>
              <w:adjustRightInd/>
              <w:rPr>
                <w:rFonts w:cs="Arial"/>
              </w:rPr>
            </w:pPr>
            <w:r w:rsidRPr="00D839EE">
              <w:rPr>
                <w:rFonts w:cs="Arial"/>
              </w:rPr>
              <w:t>Review RAIs</w:t>
            </w:r>
          </w:p>
        </w:tc>
      </w:tr>
      <w:tr w14:paraId="7F493CBA"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B7"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B8" w14:textId="77777777">
            <w:pPr>
              <w:keepNext/>
              <w:autoSpaceDE/>
              <w:autoSpaceDN/>
              <w:adjustRightInd/>
              <w:jc w:val="center"/>
              <w:rPr>
                <w:rFonts w:cs="Arial"/>
                <w:b/>
                <w:bCs/>
                <w:color w:val="000000"/>
              </w:rPr>
            </w:pPr>
            <w:r w:rsidRPr="00D839EE">
              <w:rPr>
                <w:rFonts w:cs="Arial"/>
                <w:b/>
                <w:bCs/>
                <w:color w:val="000000"/>
              </w:rPr>
              <w:t>2</w:t>
            </w:r>
          </w:p>
        </w:tc>
        <w:tc>
          <w:tcPr>
            <w:tcW w:w="7745" w:type="dxa"/>
            <w:shd w:val="clear" w:color="auto" w:fill="auto"/>
            <w:vAlign w:val="center"/>
            <w:hideMark/>
          </w:tcPr>
          <w:p w:rsidR="007D7B38" w:rsidRPr="00D839EE" w:rsidP="00EA25C6" w14:paraId="7F493CB9" w14:textId="77777777">
            <w:pPr>
              <w:keepNext/>
              <w:autoSpaceDE/>
              <w:autoSpaceDN/>
              <w:adjustRightInd/>
              <w:rPr>
                <w:rFonts w:cs="Arial"/>
              </w:rPr>
            </w:pPr>
            <w:r w:rsidRPr="00D839EE">
              <w:rPr>
                <w:rFonts w:cs="Arial"/>
              </w:rPr>
              <w:t>Collect information</w:t>
            </w:r>
          </w:p>
        </w:tc>
      </w:tr>
      <w:tr w14:paraId="7F493CBE"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BB"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BC" w14:textId="77777777">
            <w:pPr>
              <w:keepNext/>
              <w:autoSpaceDE/>
              <w:autoSpaceDN/>
              <w:adjustRightInd/>
              <w:jc w:val="center"/>
              <w:rPr>
                <w:rFonts w:cs="Arial"/>
                <w:b/>
                <w:bCs/>
                <w:color w:val="000000"/>
              </w:rPr>
            </w:pPr>
            <w:r w:rsidRPr="00D839EE">
              <w:rPr>
                <w:rFonts w:cs="Arial"/>
                <w:b/>
                <w:bCs/>
                <w:color w:val="000000"/>
              </w:rPr>
              <w:t>3</w:t>
            </w:r>
          </w:p>
        </w:tc>
        <w:tc>
          <w:tcPr>
            <w:tcW w:w="7745" w:type="dxa"/>
            <w:shd w:val="clear" w:color="auto" w:fill="auto"/>
            <w:vAlign w:val="center"/>
            <w:hideMark/>
          </w:tcPr>
          <w:p w:rsidR="007D7B38" w:rsidRPr="00D839EE" w:rsidP="00EA25C6" w14:paraId="7F493CBD" w14:textId="77777777">
            <w:pPr>
              <w:keepNext/>
              <w:autoSpaceDE/>
              <w:autoSpaceDN/>
              <w:adjustRightInd/>
              <w:rPr>
                <w:rFonts w:cs="Arial"/>
              </w:rPr>
            </w:pPr>
            <w:r w:rsidRPr="00D839EE">
              <w:rPr>
                <w:rFonts w:cs="Arial"/>
              </w:rPr>
              <w:t>Draft RAI responses</w:t>
            </w:r>
          </w:p>
        </w:tc>
      </w:tr>
      <w:tr w14:paraId="7F493CC2"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BF"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C0" w14:textId="77777777">
            <w:pPr>
              <w:keepNext/>
              <w:autoSpaceDE/>
              <w:autoSpaceDN/>
              <w:adjustRightInd/>
              <w:jc w:val="center"/>
              <w:rPr>
                <w:rFonts w:cs="Arial"/>
                <w:b/>
                <w:bCs/>
                <w:color w:val="000000"/>
              </w:rPr>
            </w:pPr>
            <w:r w:rsidRPr="00D839EE">
              <w:rPr>
                <w:rFonts w:cs="Arial"/>
                <w:b/>
                <w:bCs/>
                <w:color w:val="000000"/>
              </w:rPr>
              <w:t>4</w:t>
            </w:r>
          </w:p>
        </w:tc>
        <w:tc>
          <w:tcPr>
            <w:tcW w:w="7745" w:type="dxa"/>
            <w:shd w:val="clear" w:color="auto" w:fill="auto"/>
            <w:vAlign w:val="center"/>
            <w:hideMark/>
          </w:tcPr>
          <w:p w:rsidR="007D7B38" w:rsidRPr="00D839EE" w:rsidP="00EA25C6" w14:paraId="7F493CC1" w14:textId="77777777">
            <w:pPr>
              <w:keepNext/>
              <w:autoSpaceDE/>
              <w:autoSpaceDN/>
              <w:adjustRightInd/>
              <w:rPr>
                <w:rFonts w:cs="Arial"/>
              </w:rPr>
            </w:pPr>
            <w:r w:rsidRPr="00D839EE">
              <w:rPr>
                <w:rFonts w:cs="Arial"/>
              </w:rPr>
              <w:t>Review by management</w:t>
            </w:r>
          </w:p>
        </w:tc>
      </w:tr>
      <w:tr w14:paraId="7F493CC6" w14:textId="77777777" w:rsidTr="005E269C">
        <w:tblPrEx>
          <w:tblW w:w="10893" w:type="dxa"/>
          <w:jc w:val="center"/>
          <w:tblLook w:val="04A0"/>
        </w:tblPrEx>
        <w:trPr>
          <w:trHeight w:val="300"/>
          <w:jc w:val="center"/>
        </w:trPr>
        <w:tc>
          <w:tcPr>
            <w:tcW w:w="1965" w:type="dxa"/>
            <w:vMerge w:val="restart"/>
            <w:shd w:val="clear" w:color="auto" w:fill="auto"/>
            <w:vAlign w:val="center"/>
            <w:hideMark/>
          </w:tcPr>
          <w:p w:rsidR="007D7B38" w:rsidRPr="00D839EE" w:rsidP="00EA25C6" w14:paraId="7F493CC3" w14:textId="77777777">
            <w:pPr>
              <w:keepNext/>
              <w:autoSpaceDE/>
              <w:autoSpaceDN/>
              <w:adjustRightInd/>
              <w:jc w:val="center"/>
              <w:rPr>
                <w:rFonts w:cs="Arial"/>
                <w:b/>
                <w:bCs/>
                <w:color w:val="000000"/>
              </w:rPr>
            </w:pPr>
            <w:r w:rsidRPr="00D839EE">
              <w:rPr>
                <w:rFonts w:cs="Arial"/>
                <w:b/>
                <w:bCs/>
                <w:color w:val="000000"/>
              </w:rPr>
              <w:t xml:space="preserve">Revising License Renewal Application </w:t>
            </w:r>
          </w:p>
        </w:tc>
        <w:tc>
          <w:tcPr>
            <w:tcW w:w="1183" w:type="dxa"/>
            <w:shd w:val="clear" w:color="auto" w:fill="auto"/>
            <w:noWrap/>
            <w:vAlign w:val="center"/>
            <w:hideMark/>
          </w:tcPr>
          <w:p w:rsidR="007D7B38" w:rsidRPr="00D839EE" w:rsidP="00EA25C6" w14:paraId="7F493CC4" w14:textId="77777777">
            <w:pPr>
              <w:keepNext/>
              <w:autoSpaceDE/>
              <w:autoSpaceDN/>
              <w:adjustRightInd/>
              <w:jc w:val="center"/>
              <w:rPr>
                <w:rFonts w:cs="Arial"/>
                <w:b/>
                <w:bCs/>
                <w:color w:val="000000"/>
              </w:rPr>
            </w:pPr>
            <w:r w:rsidRPr="00D839EE">
              <w:rPr>
                <w:rFonts w:cs="Arial"/>
                <w:b/>
                <w:bCs/>
                <w:color w:val="000000"/>
              </w:rPr>
              <w:t>1</w:t>
            </w:r>
          </w:p>
        </w:tc>
        <w:tc>
          <w:tcPr>
            <w:tcW w:w="7745" w:type="dxa"/>
            <w:shd w:val="clear" w:color="auto" w:fill="auto"/>
            <w:vAlign w:val="center"/>
            <w:hideMark/>
          </w:tcPr>
          <w:p w:rsidR="007D7B38" w:rsidRPr="00D839EE" w:rsidP="00EA25C6" w14:paraId="7F493CC5" w14:textId="77777777">
            <w:pPr>
              <w:keepNext/>
              <w:autoSpaceDE/>
              <w:autoSpaceDN/>
              <w:adjustRightInd/>
              <w:rPr>
                <w:rFonts w:cs="Arial"/>
              </w:rPr>
            </w:pPr>
            <w:r w:rsidRPr="00D839EE">
              <w:rPr>
                <w:rFonts w:cs="Arial"/>
              </w:rPr>
              <w:t>Review, collect information, and conduct additional analyses</w:t>
            </w:r>
          </w:p>
        </w:tc>
      </w:tr>
      <w:tr w14:paraId="7F493CCA"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C7"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C8" w14:textId="77777777">
            <w:pPr>
              <w:keepNext/>
              <w:autoSpaceDE/>
              <w:autoSpaceDN/>
              <w:adjustRightInd/>
              <w:jc w:val="center"/>
              <w:rPr>
                <w:rFonts w:cs="Arial"/>
                <w:b/>
                <w:bCs/>
                <w:color w:val="000000"/>
              </w:rPr>
            </w:pPr>
            <w:r w:rsidRPr="00D839EE">
              <w:rPr>
                <w:rFonts w:cs="Arial"/>
                <w:b/>
                <w:bCs/>
                <w:color w:val="000000"/>
              </w:rPr>
              <w:t>2</w:t>
            </w:r>
          </w:p>
        </w:tc>
        <w:tc>
          <w:tcPr>
            <w:tcW w:w="7745" w:type="dxa"/>
            <w:shd w:val="clear" w:color="auto" w:fill="auto"/>
            <w:vAlign w:val="center"/>
            <w:hideMark/>
          </w:tcPr>
          <w:p w:rsidR="007D7B38" w:rsidRPr="00D839EE" w:rsidP="00EA25C6" w14:paraId="7F493CC9" w14:textId="77777777">
            <w:pPr>
              <w:keepNext/>
              <w:autoSpaceDE/>
              <w:autoSpaceDN/>
              <w:adjustRightInd/>
              <w:rPr>
                <w:rFonts w:cs="Arial"/>
              </w:rPr>
            </w:pPr>
            <w:r w:rsidRPr="00D839EE">
              <w:rPr>
                <w:rFonts w:cs="Arial"/>
              </w:rPr>
              <w:t xml:space="preserve">Revise license renewal application  </w:t>
            </w:r>
          </w:p>
        </w:tc>
      </w:tr>
      <w:tr w14:paraId="7F493CCE" w14:textId="77777777" w:rsidTr="005E269C">
        <w:tblPrEx>
          <w:tblW w:w="10893" w:type="dxa"/>
          <w:jc w:val="center"/>
          <w:tblLook w:val="04A0"/>
        </w:tblPrEx>
        <w:trPr>
          <w:trHeight w:val="300"/>
          <w:jc w:val="center"/>
        </w:trPr>
        <w:tc>
          <w:tcPr>
            <w:tcW w:w="1965" w:type="dxa"/>
            <w:vMerge/>
            <w:vAlign w:val="center"/>
            <w:hideMark/>
          </w:tcPr>
          <w:p w:rsidR="007D7B38" w:rsidRPr="00D839EE" w:rsidP="00EA25C6" w14:paraId="7F493CCB" w14:textId="77777777">
            <w:pPr>
              <w:keepNext/>
              <w:autoSpaceDE/>
              <w:autoSpaceDN/>
              <w:adjustRightInd/>
              <w:rPr>
                <w:rFonts w:cs="Arial"/>
                <w:b/>
                <w:bCs/>
                <w:color w:val="000000"/>
              </w:rPr>
            </w:pPr>
          </w:p>
        </w:tc>
        <w:tc>
          <w:tcPr>
            <w:tcW w:w="1183" w:type="dxa"/>
            <w:shd w:val="clear" w:color="auto" w:fill="auto"/>
            <w:noWrap/>
            <w:vAlign w:val="center"/>
            <w:hideMark/>
          </w:tcPr>
          <w:p w:rsidR="007D7B38" w:rsidRPr="00D839EE" w:rsidP="00EA25C6" w14:paraId="7F493CCC" w14:textId="77777777">
            <w:pPr>
              <w:keepNext/>
              <w:autoSpaceDE/>
              <w:autoSpaceDN/>
              <w:adjustRightInd/>
              <w:jc w:val="center"/>
              <w:rPr>
                <w:rFonts w:cs="Arial"/>
                <w:b/>
                <w:bCs/>
                <w:color w:val="000000"/>
              </w:rPr>
            </w:pPr>
            <w:r w:rsidRPr="00D839EE">
              <w:rPr>
                <w:rFonts w:cs="Arial"/>
                <w:b/>
                <w:bCs/>
                <w:color w:val="000000"/>
              </w:rPr>
              <w:t>3</w:t>
            </w:r>
          </w:p>
        </w:tc>
        <w:tc>
          <w:tcPr>
            <w:tcW w:w="7745" w:type="dxa"/>
            <w:shd w:val="clear" w:color="auto" w:fill="auto"/>
            <w:vAlign w:val="center"/>
            <w:hideMark/>
          </w:tcPr>
          <w:p w:rsidR="007D7B38" w:rsidRPr="00D839EE" w:rsidP="00EA25C6" w14:paraId="7F493CCD" w14:textId="77777777">
            <w:pPr>
              <w:keepNext/>
              <w:autoSpaceDE/>
              <w:autoSpaceDN/>
              <w:adjustRightInd/>
              <w:rPr>
                <w:rFonts w:cs="Arial"/>
              </w:rPr>
            </w:pPr>
            <w:r w:rsidRPr="00D839EE">
              <w:rPr>
                <w:rFonts w:cs="Arial"/>
              </w:rPr>
              <w:t>Review by management</w:t>
            </w:r>
          </w:p>
        </w:tc>
      </w:tr>
    </w:tbl>
    <w:p w:rsidR="0039486F" w:rsidRPr="00D839EE" w:rsidP="00FC263C" w14:paraId="7F493CCF" w14:textId="77777777">
      <w:pPr>
        <w:keepNext/>
        <w:jc w:val="center"/>
        <w:rPr>
          <w:rFonts w:cs="Arial"/>
          <w:b/>
        </w:rPr>
      </w:pPr>
    </w:p>
    <w:p w:rsidR="0039486F" w:rsidRPr="00D839EE" w:rsidP="00FC263C" w14:paraId="7F493CD0" w14:textId="77777777">
      <w:pPr>
        <w:keepNext/>
        <w:jc w:val="center"/>
        <w:rPr>
          <w:rFonts w:cs="Arial"/>
          <w:b/>
        </w:rPr>
      </w:pPr>
    </w:p>
    <w:p w:rsidR="00CC0258" w:rsidRPr="00D839EE" w14:paraId="7F493CD1" w14:textId="77777777">
      <w:pPr>
        <w:autoSpaceDE/>
        <w:autoSpaceDN/>
        <w:adjustRightInd/>
        <w:spacing w:after="160" w:line="259" w:lineRule="auto"/>
        <w:rPr>
          <w:rFonts w:cs="Arial"/>
          <w:b/>
        </w:rPr>
      </w:pPr>
      <w:r w:rsidRPr="00D839EE">
        <w:rPr>
          <w:rFonts w:cs="Arial"/>
          <w:b/>
        </w:rPr>
        <w:br w:type="page"/>
      </w:r>
    </w:p>
    <w:p w:rsidR="002C5DA2" w:rsidRPr="00D96410" w:rsidP="00D341C4" w14:paraId="7F493CD2" w14:textId="768162A2">
      <w:pPr>
        <w:pStyle w:val="Caption"/>
        <w:keepNext/>
        <w:spacing w:after="0"/>
        <w:jc w:val="center"/>
        <w:rPr>
          <w:b/>
          <w:color w:val="auto"/>
          <w:sz w:val="20"/>
        </w:rPr>
      </w:pPr>
      <w:bookmarkStart w:id="515" w:name="_Toc534037082"/>
      <w:bookmarkStart w:id="516" w:name="_Toc534710026"/>
      <w:bookmarkStart w:id="517" w:name="_Toc534711711"/>
      <w:bookmarkStart w:id="518" w:name="_Toc534712144"/>
      <w:bookmarkStart w:id="519" w:name="_Toc534712721"/>
      <w:bookmarkStart w:id="520" w:name="_Toc534713230"/>
      <w:bookmarkStart w:id="521" w:name="_Toc9526490"/>
      <w:bookmarkStart w:id="522" w:name="_Toc536603439"/>
      <w:r w:rsidRPr="00D96410">
        <w:rPr>
          <w:b/>
          <w:i w:val="0"/>
          <w:color w:val="auto"/>
          <w:sz w:val="22"/>
        </w:rPr>
        <w:t xml:space="preserve">Exhibit </w:t>
      </w:r>
      <w:r w:rsidRPr="00D96410" w:rsidR="005111B6">
        <w:rPr>
          <w:b/>
          <w:i w:val="0"/>
          <w:color w:val="auto"/>
          <w:sz w:val="22"/>
        </w:rPr>
        <w:t>A</w:t>
      </w:r>
      <w:r w:rsidRPr="00D96410" w:rsidR="00180D68">
        <w:rPr>
          <w:b/>
          <w:i w:val="0"/>
          <w:color w:val="auto"/>
          <w:sz w:val="22"/>
        </w:rPr>
        <w:noBreakHyphen/>
      </w:r>
      <w:r w:rsidRPr="00D96410" w:rsidR="00C276FC">
        <w:rPr>
          <w:b/>
          <w:i w:val="0"/>
          <w:color w:val="auto"/>
          <w:sz w:val="22"/>
        </w:rPr>
        <w:fldChar w:fldCharType="begin"/>
      </w:r>
      <w:r w:rsidRPr="00D96410" w:rsidR="00C276FC">
        <w:rPr>
          <w:b/>
          <w:i w:val="0"/>
          <w:color w:val="auto"/>
          <w:sz w:val="22"/>
        </w:rPr>
        <w:instrText xml:space="preserve"> SEQ Exhibit \* ARABIC </w:instrText>
      </w:r>
      <w:r w:rsidRPr="00D96410" w:rsidR="00C276FC">
        <w:rPr>
          <w:b/>
          <w:i w:val="0"/>
          <w:color w:val="auto"/>
          <w:sz w:val="22"/>
        </w:rPr>
        <w:fldChar w:fldCharType="separate"/>
      </w:r>
      <w:r w:rsidR="00977795">
        <w:rPr>
          <w:b/>
          <w:i w:val="0"/>
          <w:noProof/>
          <w:color w:val="auto"/>
          <w:sz w:val="22"/>
        </w:rPr>
        <w:t>2</w:t>
      </w:r>
      <w:r w:rsidRPr="00D96410" w:rsidR="00C276FC">
        <w:rPr>
          <w:b/>
          <w:i w:val="0"/>
          <w:color w:val="auto"/>
          <w:sz w:val="22"/>
        </w:rPr>
        <w:fldChar w:fldCharType="end"/>
      </w:r>
      <w:r w:rsidRPr="00D96410">
        <w:rPr>
          <w:b/>
          <w:i w:val="0"/>
          <w:color w:val="auto"/>
          <w:sz w:val="22"/>
        </w:rPr>
        <w:t>. Description of Post-Rule FSAR Process Sub-steps</w:t>
      </w:r>
      <w:bookmarkEnd w:id="515"/>
      <w:bookmarkEnd w:id="516"/>
      <w:bookmarkEnd w:id="517"/>
      <w:bookmarkEnd w:id="518"/>
      <w:bookmarkEnd w:id="519"/>
      <w:bookmarkEnd w:id="520"/>
      <w:bookmarkEnd w:id="521"/>
      <w:bookmarkEnd w:id="522"/>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170"/>
        <w:gridCol w:w="7650"/>
      </w:tblGrid>
      <w:tr w14:paraId="7F493CD6" w14:textId="77777777" w:rsidTr="00EA25C6">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8"/>
          <w:tblHeader/>
          <w:jc w:val="center"/>
        </w:trPr>
        <w:tc>
          <w:tcPr>
            <w:tcW w:w="1795" w:type="dxa"/>
            <w:vMerge w:val="restart"/>
            <w:shd w:val="clear" w:color="000000" w:fill="FFFFFF"/>
            <w:vAlign w:val="center"/>
            <w:hideMark/>
          </w:tcPr>
          <w:p w:rsidR="0032048B" w:rsidRPr="00D839EE" w:rsidP="0032048B" w14:paraId="7F493CD3" w14:textId="77777777">
            <w:pPr>
              <w:autoSpaceDE/>
              <w:autoSpaceDN/>
              <w:adjustRightInd/>
              <w:jc w:val="center"/>
              <w:rPr>
                <w:rFonts w:cs="Arial"/>
                <w:b/>
                <w:bCs/>
              </w:rPr>
            </w:pPr>
            <w:r w:rsidRPr="00D839EE">
              <w:rPr>
                <w:rFonts w:cs="Arial"/>
                <w:b/>
                <w:bCs/>
              </w:rPr>
              <w:t>Post-Rule Process Steps</w:t>
            </w:r>
          </w:p>
        </w:tc>
        <w:tc>
          <w:tcPr>
            <w:tcW w:w="1170" w:type="dxa"/>
            <w:vMerge w:val="restart"/>
            <w:shd w:val="clear" w:color="000000" w:fill="FFFFFF"/>
            <w:noWrap/>
            <w:vAlign w:val="center"/>
            <w:hideMark/>
          </w:tcPr>
          <w:p w:rsidR="0032048B" w:rsidRPr="00D839EE" w:rsidP="0032048B" w14:paraId="7F493CD4" w14:textId="77777777">
            <w:pPr>
              <w:autoSpaceDE/>
              <w:autoSpaceDN/>
              <w:adjustRightInd/>
              <w:jc w:val="center"/>
              <w:rPr>
                <w:rFonts w:cs="Arial"/>
                <w:b/>
                <w:bCs/>
                <w:color w:val="000000"/>
              </w:rPr>
            </w:pPr>
            <w:r w:rsidRPr="00D839EE">
              <w:rPr>
                <w:rFonts w:cs="Arial"/>
                <w:b/>
                <w:bCs/>
                <w:color w:val="000000"/>
              </w:rPr>
              <w:t>Substep</w:t>
            </w:r>
          </w:p>
        </w:tc>
        <w:tc>
          <w:tcPr>
            <w:tcW w:w="7650" w:type="dxa"/>
            <w:vMerge w:val="restart"/>
            <w:shd w:val="clear" w:color="000000" w:fill="FFFFFF"/>
            <w:vAlign w:val="center"/>
            <w:hideMark/>
          </w:tcPr>
          <w:p w:rsidR="0032048B" w:rsidRPr="00D839EE" w:rsidP="0032048B" w14:paraId="7F493CD5" w14:textId="77777777">
            <w:pPr>
              <w:autoSpaceDE/>
              <w:autoSpaceDN/>
              <w:adjustRightInd/>
              <w:jc w:val="center"/>
              <w:rPr>
                <w:rFonts w:cs="Arial"/>
                <w:b/>
                <w:bCs/>
                <w:color w:val="000000"/>
              </w:rPr>
            </w:pPr>
            <w:r w:rsidRPr="00D839EE">
              <w:rPr>
                <w:rFonts w:cs="Arial"/>
                <w:b/>
                <w:bCs/>
                <w:color w:val="000000"/>
              </w:rPr>
              <w:t>Description of Substep</w:t>
            </w:r>
          </w:p>
        </w:tc>
      </w:tr>
      <w:tr w14:paraId="7F493CDA" w14:textId="77777777" w:rsidTr="00EA25C6">
        <w:tblPrEx>
          <w:tblW w:w="10615" w:type="dxa"/>
          <w:jc w:val="center"/>
          <w:tblLook w:val="04A0"/>
        </w:tblPrEx>
        <w:trPr>
          <w:trHeight w:val="408"/>
          <w:jc w:val="center"/>
        </w:trPr>
        <w:tc>
          <w:tcPr>
            <w:tcW w:w="1795" w:type="dxa"/>
            <w:vMerge/>
            <w:vAlign w:val="center"/>
            <w:hideMark/>
          </w:tcPr>
          <w:p w:rsidR="0032048B" w:rsidRPr="00D839EE" w:rsidP="0032048B" w14:paraId="7F493CD7" w14:textId="77777777">
            <w:pPr>
              <w:autoSpaceDE/>
              <w:autoSpaceDN/>
              <w:adjustRightInd/>
              <w:rPr>
                <w:rFonts w:cs="Arial"/>
                <w:b/>
                <w:bCs/>
              </w:rPr>
            </w:pPr>
          </w:p>
        </w:tc>
        <w:tc>
          <w:tcPr>
            <w:tcW w:w="1170" w:type="dxa"/>
            <w:vMerge/>
            <w:vAlign w:val="center"/>
            <w:hideMark/>
          </w:tcPr>
          <w:p w:rsidR="0032048B" w:rsidRPr="00D839EE" w:rsidP="0032048B" w14:paraId="7F493CD8" w14:textId="77777777">
            <w:pPr>
              <w:autoSpaceDE/>
              <w:autoSpaceDN/>
              <w:adjustRightInd/>
              <w:rPr>
                <w:rFonts w:cs="Arial"/>
                <w:b/>
                <w:bCs/>
                <w:color w:val="000000"/>
              </w:rPr>
            </w:pPr>
          </w:p>
        </w:tc>
        <w:tc>
          <w:tcPr>
            <w:tcW w:w="7650" w:type="dxa"/>
            <w:vMerge/>
            <w:vAlign w:val="center"/>
            <w:hideMark/>
          </w:tcPr>
          <w:p w:rsidR="0032048B" w:rsidRPr="00D839EE" w:rsidP="0032048B" w14:paraId="7F493CD9" w14:textId="77777777">
            <w:pPr>
              <w:autoSpaceDE/>
              <w:autoSpaceDN/>
              <w:adjustRightInd/>
              <w:rPr>
                <w:rFonts w:cs="Arial"/>
                <w:b/>
                <w:bCs/>
                <w:color w:val="000000"/>
              </w:rPr>
            </w:pPr>
          </w:p>
        </w:tc>
      </w:tr>
      <w:tr w14:paraId="7F493CDE" w14:textId="77777777" w:rsidTr="00EA25C6">
        <w:tblPrEx>
          <w:tblW w:w="10615" w:type="dxa"/>
          <w:jc w:val="center"/>
          <w:tblLook w:val="04A0"/>
        </w:tblPrEx>
        <w:trPr>
          <w:trHeight w:val="408"/>
          <w:jc w:val="center"/>
        </w:trPr>
        <w:tc>
          <w:tcPr>
            <w:tcW w:w="1795" w:type="dxa"/>
            <w:vMerge/>
            <w:vAlign w:val="center"/>
            <w:hideMark/>
          </w:tcPr>
          <w:p w:rsidR="0032048B" w:rsidRPr="00D839EE" w:rsidP="0032048B" w14:paraId="7F493CDB" w14:textId="77777777">
            <w:pPr>
              <w:autoSpaceDE/>
              <w:autoSpaceDN/>
              <w:adjustRightInd/>
              <w:rPr>
                <w:rFonts w:cs="Arial"/>
                <w:b/>
                <w:bCs/>
              </w:rPr>
            </w:pPr>
          </w:p>
        </w:tc>
        <w:tc>
          <w:tcPr>
            <w:tcW w:w="1170" w:type="dxa"/>
            <w:vMerge/>
            <w:vAlign w:val="center"/>
            <w:hideMark/>
          </w:tcPr>
          <w:p w:rsidR="0032048B" w:rsidRPr="00D839EE" w:rsidP="0032048B" w14:paraId="7F493CDC" w14:textId="77777777">
            <w:pPr>
              <w:autoSpaceDE/>
              <w:autoSpaceDN/>
              <w:adjustRightInd/>
              <w:rPr>
                <w:rFonts w:cs="Arial"/>
                <w:b/>
                <w:bCs/>
                <w:color w:val="000000"/>
              </w:rPr>
            </w:pPr>
          </w:p>
        </w:tc>
        <w:tc>
          <w:tcPr>
            <w:tcW w:w="7650" w:type="dxa"/>
            <w:vMerge/>
            <w:vAlign w:val="center"/>
            <w:hideMark/>
          </w:tcPr>
          <w:p w:rsidR="0032048B" w:rsidRPr="00D839EE" w:rsidP="0032048B" w14:paraId="7F493CDD" w14:textId="77777777">
            <w:pPr>
              <w:autoSpaceDE/>
              <w:autoSpaceDN/>
              <w:adjustRightInd/>
              <w:rPr>
                <w:rFonts w:cs="Arial"/>
                <w:b/>
                <w:bCs/>
                <w:color w:val="000000"/>
              </w:rPr>
            </w:pPr>
          </w:p>
        </w:tc>
      </w:tr>
      <w:tr w14:paraId="7F493CE0" w14:textId="77777777" w:rsidTr="00EA25C6">
        <w:tblPrEx>
          <w:tblW w:w="10615" w:type="dxa"/>
          <w:jc w:val="center"/>
          <w:tblLook w:val="04A0"/>
        </w:tblPrEx>
        <w:trPr>
          <w:trHeight w:val="300"/>
          <w:jc w:val="center"/>
        </w:trPr>
        <w:tc>
          <w:tcPr>
            <w:tcW w:w="10615" w:type="dxa"/>
            <w:gridSpan w:val="3"/>
            <w:shd w:val="clear" w:color="000000" w:fill="D9D9D9"/>
            <w:vAlign w:val="center"/>
            <w:hideMark/>
          </w:tcPr>
          <w:p w:rsidR="0032048B" w:rsidRPr="00D839EE" w:rsidP="0032048B" w14:paraId="7F493CDF" w14:textId="77777777">
            <w:pPr>
              <w:autoSpaceDE/>
              <w:autoSpaceDN/>
              <w:adjustRightInd/>
              <w:jc w:val="center"/>
              <w:rPr>
                <w:rFonts w:cs="Arial"/>
                <w:b/>
                <w:bCs/>
              </w:rPr>
            </w:pPr>
            <w:r>
              <w:rPr>
                <w:rFonts w:cs="Arial"/>
                <w:b/>
                <w:bCs/>
              </w:rPr>
              <w:t>Licensee</w:t>
            </w:r>
            <w:r w:rsidRPr="00D839EE">
              <w:rPr>
                <w:rFonts w:cs="Arial"/>
                <w:b/>
                <w:bCs/>
              </w:rPr>
              <w:t>s</w:t>
            </w:r>
          </w:p>
        </w:tc>
      </w:tr>
      <w:tr w14:paraId="7F493CE4" w14:textId="77777777" w:rsidTr="00EA25C6">
        <w:tblPrEx>
          <w:tblW w:w="10615" w:type="dxa"/>
          <w:jc w:val="center"/>
          <w:tblLook w:val="04A0"/>
        </w:tblPrEx>
        <w:trPr>
          <w:trHeight w:val="315"/>
          <w:jc w:val="center"/>
        </w:trPr>
        <w:tc>
          <w:tcPr>
            <w:tcW w:w="1795" w:type="dxa"/>
            <w:vMerge w:val="restart"/>
            <w:shd w:val="clear" w:color="auto" w:fill="auto"/>
            <w:noWrap/>
            <w:vAlign w:val="center"/>
            <w:hideMark/>
          </w:tcPr>
          <w:p w:rsidR="0032048B" w:rsidRPr="00D839EE" w:rsidP="0032048B" w14:paraId="7F493CE1" w14:textId="77777777">
            <w:pPr>
              <w:autoSpaceDE/>
              <w:autoSpaceDN/>
              <w:adjustRightInd/>
              <w:jc w:val="center"/>
              <w:rPr>
                <w:rFonts w:cs="Arial"/>
                <w:b/>
                <w:bCs/>
              </w:rPr>
            </w:pPr>
            <w:r w:rsidRPr="00D839EE">
              <w:rPr>
                <w:rFonts w:cs="Arial"/>
                <w:b/>
                <w:bCs/>
              </w:rPr>
              <w:t>Preparing Updated FSAR</w:t>
            </w:r>
          </w:p>
        </w:tc>
        <w:tc>
          <w:tcPr>
            <w:tcW w:w="1170" w:type="dxa"/>
            <w:shd w:val="clear" w:color="000000" w:fill="FFFFFF"/>
            <w:noWrap/>
            <w:vAlign w:val="center"/>
            <w:hideMark/>
          </w:tcPr>
          <w:p w:rsidR="0032048B" w:rsidRPr="00D839EE" w14:paraId="7F493CE2" w14:textId="77777777">
            <w:pPr>
              <w:autoSpaceDE/>
              <w:autoSpaceDN/>
              <w:adjustRightInd/>
              <w:jc w:val="center"/>
              <w:rPr>
                <w:rFonts w:cs="Arial"/>
                <w:b/>
                <w:bCs/>
                <w:color w:val="000000"/>
              </w:rPr>
            </w:pPr>
            <w:r w:rsidRPr="00D839EE">
              <w:rPr>
                <w:rFonts w:cs="Arial"/>
                <w:b/>
                <w:bCs/>
                <w:color w:val="000000"/>
              </w:rPr>
              <w:t>1</w:t>
            </w:r>
          </w:p>
        </w:tc>
        <w:tc>
          <w:tcPr>
            <w:tcW w:w="7650" w:type="dxa"/>
            <w:shd w:val="clear" w:color="auto" w:fill="auto"/>
            <w:noWrap/>
            <w:vAlign w:val="center"/>
            <w:hideMark/>
          </w:tcPr>
          <w:p w:rsidR="0032048B" w:rsidRPr="00D839EE" w:rsidP="0032048B" w14:paraId="7F493CE3" w14:textId="77777777">
            <w:pPr>
              <w:autoSpaceDE/>
              <w:autoSpaceDN/>
              <w:adjustRightInd/>
              <w:rPr>
                <w:rFonts w:cs="Arial"/>
              </w:rPr>
            </w:pPr>
            <w:r w:rsidRPr="00D839EE">
              <w:rPr>
                <w:rFonts w:cs="Arial"/>
              </w:rPr>
              <w:t xml:space="preserve">Collect </w:t>
            </w:r>
            <w:r w:rsidRPr="00D839EE" w:rsidR="001D677F">
              <w:rPr>
                <w:rFonts w:cs="Arial"/>
              </w:rPr>
              <w:t>and</w:t>
            </w:r>
            <w:r w:rsidRPr="00D839EE">
              <w:rPr>
                <w:rFonts w:cs="Arial"/>
              </w:rPr>
              <w:t xml:space="preserve"> review recent annual reports </w:t>
            </w:r>
          </w:p>
        </w:tc>
      </w:tr>
      <w:tr w14:paraId="7F493CE8"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CE5" w14:textId="77777777">
            <w:pPr>
              <w:autoSpaceDE/>
              <w:autoSpaceDN/>
              <w:adjustRightInd/>
              <w:rPr>
                <w:rFonts w:cs="Arial"/>
                <w:b/>
                <w:bCs/>
              </w:rPr>
            </w:pPr>
          </w:p>
        </w:tc>
        <w:tc>
          <w:tcPr>
            <w:tcW w:w="1170" w:type="dxa"/>
            <w:shd w:val="clear" w:color="000000" w:fill="FFFFFF"/>
            <w:noWrap/>
            <w:vAlign w:val="center"/>
            <w:hideMark/>
          </w:tcPr>
          <w:p w:rsidR="0032048B" w:rsidRPr="00D839EE" w14:paraId="7F493CE6" w14:textId="77777777">
            <w:pPr>
              <w:autoSpaceDE/>
              <w:autoSpaceDN/>
              <w:adjustRightInd/>
              <w:jc w:val="center"/>
              <w:rPr>
                <w:rFonts w:cs="Arial"/>
                <w:b/>
                <w:bCs/>
                <w:color w:val="000000"/>
              </w:rPr>
            </w:pPr>
            <w:r w:rsidRPr="00D839EE">
              <w:rPr>
                <w:rFonts w:cs="Arial"/>
                <w:b/>
                <w:bCs/>
                <w:color w:val="000000"/>
              </w:rPr>
              <w:t>2</w:t>
            </w:r>
          </w:p>
        </w:tc>
        <w:tc>
          <w:tcPr>
            <w:tcW w:w="7650" w:type="dxa"/>
            <w:shd w:val="clear" w:color="auto" w:fill="auto"/>
            <w:noWrap/>
            <w:vAlign w:val="center"/>
            <w:hideMark/>
          </w:tcPr>
          <w:p w:rsidR="0032048B" w:rsidRPr="00D839EE" w:rsidP="001D677F" w14:paraId="7F493CE7" w14:textId="77777777">
            <w:pPr>
              <w:autoSpaceDE/>
              <w:autoSpaceDN/>
              <w:adjustRightInd/>
              <w:rPr>
                <w:rFonts w:cs="Arial"/>
              </w:rPr>
            </w:pPr>
            <w:r w:rsidRPr="00D839EE">
              <w:rPr>
                <w:rFonts w:cs="Arial"/>
              </w:rPr>
              <w:t xml:space="preserve">Collect </w:t>
            </w:r>
            <w:r w:rsidRPr="00D839EE" w:rsidR="001D677F">
              <w:rPr>
                <w:rFonts w:cs="Arial"/>
              </w:rPr>
              <w:t>and</w:t>
            </w:r>
            <w:r w:rsidRPr="00D839EE">
              <w:rPr>
                <w:rFonts w:cs="Arial"/>
              </w:rPr>
              <w:t xml:space="preserve"> review other information </w:t>
            </w:r>
            <w:r w:rsidR="005F51FA">
              <w:rPr>
                <w:rFonts w:cs="Arial"/>
              </w:rPr>
              <w:t>on</w:t>
            </w:r>
            <w:r w:rsidRPr="00D839EE">
              <w:rPr>
                <w:rFonts w:cs="Arial"/>
              </w:rPr>
              <w:t xml:space="preserve"> updates to facility (e.g., license amendments, </w:t>
            </w:r>
            <w:r w:rsidR="00394A43">
              <w:rPr>
                <w:rFonts w:cs="Arial"/>
              </w:rPr>
              <w:t xml:space="preserve">analyses under Title 10 of the </w:t>
            </w:r>
            <w:r w:rsidRPr="00FD2E55" w:rsidR="00394A43">
              <w:rPr>
                <w:rFonts w:cs="Arial"/>
                <w:i/>
              </w:rPr>
              <w:t>Code of Federal Regulations</w:t>
            </w:r>
            <w:r w:rsidR="00394A43">
              <w:rPr>
                <w:rFonts w:cs="Arial"/>
              </w:rPr>
              <w:t xml:space="preserve"> (</w:t>
            </w:r>
            <w:r w:rsidR="00311F0E">
              <w:rPr>
                <w:rFonts w:cs="Arial"/>
              </w:rPr>
              <w:t>10 CFR</w:t>
            </w:r>
            <w:r w:rsidR="00394A43">
              <w:rPr>
                <w:rFonts w:cs="Arial"/>
              </w:rPr>
              <w:t>)</w:t>
            </w:r>
            <w:r w:rsidR="00311F0E">
              <w:rPr>
                <w:rFonts w:cs="Arial"/>
              </w:rPr>
              <w:t> </w:t>
            </w:r>
            <w:r w:rsidRPr="00D839EE">
              <w:rPr>
                <w:rFonts w:cs="Arial"/>
              </w:rPr>
              <w:t>50.59</w:t>
            </w:r>
            <w:r w:rsidR="00394A43">
              <w:rPr>
                <w:rFonts w:cs="Arial"/>
              </w:rPr>
              <w:t>, “</w:t>
            </w:r>
            <w:r w:rsidR="004967D4">
              <w:rPr>
                <w:rFonts w:cs="Arial"/>
              </w:rPr>
              <w:t xml:space="preserve">Changes, </w:t>
            </w:r>
            <w:r w:rsidR="00981226">
              <w:rPr>
                <w:rFonts w:cs="Arial"/>
              </w:rPr>
              <w:t>t</w:t>
            </w:r>
            <w:r w:rsidR="004967D4">
              <w:rPr>
                <w:rFonts w:cs="Arial"/>
              </w:rPr>
              <w:t xml:space="preserve">ests and </w:t>
            </w:r>
            <w:r w:rsidR="00981226">
              <w:rPr>
                <w:rFonts w:cs="Arial"/>
              </w:rPr>
              <w:t>e</w:t>
            </w:r>
            <w:r w:rsidR="004967D4">
              <w:rPr>
                <w:rFonts w:cs="Arial"/>
              </w:rPr>
              <w:t>xperiments”</w:t>
            </w:r>
            <w:r w:rsidRPr="00D839EE">
              <w:rPr>
                <w:rFonts w:cs="Arial"/>
              </w:rPr>
              <w:t>)</w:t>
            </w:r>
          </w:p>
        </w:tc>
      </w:tr>
      <w:tr w14:paraId="7F493CEC"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CE9" w14:textId="77777777">
            <w:pPr>
              <w:autoSpaceDE/>
              <w:autoSpaceDN/>
              <w:adjustRightInd/>
              <w:rPr>
                <w:rFonts w:cs="Arial"/>
                <w:b/>
                <w:bCs/>
              </w:rPr>
            </w:pPr>
          </w:p>
        </w:tc>
        <w:tc>
          <w:tcPr>
            <w:tcW w:w="1170" w:type="dxa"/>
            <w:shd w:val="clear" w:color="000000" w:fill="FFFFFF"/>
            <w:noWrap/>
            <w:vAlign w:val="center"/>
            <w:hideMark/>
          </w:tcPr>
          <w:p w:rsidR="0032048B" w:rsidRPr="00D839EE" w14:paraId="7F493CEA" w14:textId="77777777">
            <w:pPr>
              <w:autoSpaceDE/>
              <w:autoSpaceDN/>
              <w:adjustRightInd/>
              <w:jc w:val="center"/>
              <w:rPr>
                <w:rFonts w:cs="Arial"/>
                <w:b/>
                <w:bCs/>
                <w:color w:val="000000"/>
              </w:rPr>
            </w:pPr>
            <w:r w:rsidRPr="00D839EE">
              <w:rPr>
                <w:rFonts w:cs="Arial"/>
                <w:b/>
                <w:bCs/>
                <w:color w:val="000000"/>
              </w:rPr>
              <w:t>3</w:t>
            </w:r>
          </w:p>
        </w:tc>
        <w:tc>
          <w:tcPr>
            <w:tcW w:w="7650" w:type="dxa"/>
            <w:shd w:val="clear" w:color="auto" w:fill="auto"/>
            <w:noWrap/>
            <w:vAlign w:val="center"/>
            <w:hideMark/>
          </w:tcPr>
          <w:p w:rsidR="0032048B" w:rsidRPr="00D839EE" w:rsidP="0032048B" w14:paraId="7F493CEB" w14:textId="77777777">
            <w:pPr>
              <w:autoSpaceDE/>
              <w:autoSpaceDN/>
              <w:adjustRightInd/>
              <w:rPr>
                <w:rFonts w:cs="Arial"/>
              </w:rPr>
            </w:pPr>
            <w:r w:rsidRPr="00D839EE">
              <w:rPr>
                <w:rFonts w:cs="Arial"/>
              </w:rPr>
              <w:t>Draft updates to narrative chapters</w:t>
            </w:r>
          </w:p>
        </w:tc>
      </w:tr>
      <w:tr w14:paraId="7F493CF0"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CED" w14:textId="77777777">
            <w:pPr>
              <w:autoSpaceDE/>
              <w:autoSpaceDN/>
              <w:adjustRightInd/>
              <w:rPr>
                <w:rFonts w:cs="Arial"/>
                <w:b/>
                <w:bCs/>
              </w:rPr>
            </w:pPr>
          </w:p>
        </w:tc>
        <w:tc>
          <w:tcPr>
            <w:tcW w:w="1170" w:type="dxa"/>
            <w:shd w:val="clear" w:color="000000" w:fill="FFFFFF"/>
            <w:noWrap/>
            <w:vAlign w:val="center"/>
            <w:hideMark/>
          </w:tcPr>
          <w:p w:rsidR="0032048B" w:rsidRPr="00D839EE" w14:paraId="7F493CEE" w14:textId="77777777">
            <w:pPr>
              <w:autoSpaceDE/>
              <w:autoSpaceDN/>
              <w:adjustRightInd/>
              <w:jc w:val="center"/>
              <w:rPr>
                <w:rFonts w:cs="Arial"/>
                <w:b/>
                <w:bCs/>
                <w:color w:val="000000"/>
              </w:rPr>
            </w:pPr>
            <w:r w:rsidRPr="00D839EE">
              <w:rPr>
                <w:rFonts w:cs="Arial"/>
                <w:b/>
                <w:bCs/>
                <w:color w:val="000000"/>
              </w:rPr>
              <w:t>4</w:t>
            </w:r>
          </w:p>
        </w:tc>
        <w:tc>
          <w:tcPr>
            <w:tcW w:w="7650" w:type="dxa"/>
            <w:shd w:val="clear" w:color="auto" w:fill="auto"/>
            <w:noWrap/>
            <w:vAlign w:val="center"/>
            <w:hideMark/>
          </w:tcPr>
          <w:p w:rsidR="0032048B" w:rsidRPr="00D839EE" w:rsidP="0032048B" w14:paraId="7F493CEF" w14:textId="77777777">
            <w:pPr>
              <w:autoSpaceDE/>
              <w:autoSpaceDN/>
              <w:adjustRightInd/>
              <w:rPr>
                <w:rFonts w:cs="Arial"/>
              </w:rPr>
            </w:pPr>
            <w:r w:rsidRPr="00D839EE">
              <w:rPr>
                <w:rFonts w:cs="Arial"/>
              </w:rPr>
              <w:t>Draft updates to technical chapters</w:t>
            </w:r>
          </w:p>
        </w:tc>
      </w:tr>
      <w:tr w14:paraId="7F493CF4"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CF1" w14:textId="77777777">
            <w:pPr>
              <w:autoSpaceDE/>
              <w:autoSpaceDN/>
              <w:adjustRightInd/>
              <w:rPr>
                <w:rFonts w:cs="Arial"/>
                <w:b/>
                <w:bCs/>
              </w:rPr>
            </w:pPr>
          </w:p>
        </w:tc>
        <w:tc>
          <w:tcPr>
            <w:tcW w:w="1170" w:type="dxa"/>
            <w:shd w:val="clear" w:color="000000" w:fill="FFFFFF"/>
            <w:noWrap/>
            <w:vAlign w:val="center"/>
            <w:hideMark/>
          </w:tcPr>
          <w:p w:rsidR="0032048B" w:rsidRPr="00D839EE" w14:paraId="7F493CF2" w14:textId="77777777">
            <w:pPr>
              <w:autoSpaceDE/>
              <w:autoSpaceDN/>
              <w:adjustRightInd/>
              <w:jc w:val="center"/>
              <w:rPr>
                <w:rFonts w:cs="Arial"/>
                <w:b/>
                <w:bCs/>
                <w:color w:val="000000"/>
              </w:rPr>
            </w:pPr>
            <w:r w:rsidRPr="00D839EE">
              <w:rPr>
                <w:rFonts w:cs="Arial"/>
                <w:b/>
                <w:bCs/>
                <w:color w:val="000000"/>
              </w:rPr>
              <w:t>5</w:t>
            </w:r>
          </w:p>
        </w:tc>
        <w:tc>
          <w:tcPr>
            <w:tcW w:w="7650" w:type="dxa"/>
            <w:shd w:val="clear" w:color="auto" w:fill="auto"/>
            <w:noWrap/>
            <w:vAlign w:val="center"/>
            <w:hideMark/>
          </w:tcPr>
          <w:p w:rsidR="0032048B" w:rsidRPr="00D839EE" w:rsidP="001D677F" w14:paraId="7F493CF3" w14:textId="77777777">
            <w:pPr>
              <w:autoSpaceDE/>
              <w:autoSpaceDN/>
              <w:adjustRightInd/>
              <w:rPr>
                <w:rFonts w:cs="Arial"/>
              </w:rPr>
            </w:pPr>
            <w:r w:rsidRPr="00D839EE">
              <w:rPr>
                <w:rFonts w:cs="Arial"/>
              </w:rPr>
              <w:t xml:space="preserve">Review by management </w:t>
            </w:r>
            <w:r w:rsidRPr="00D839EE" w:rsidR="001D677F">
              <w:rPr>
                <w:rFonts w:cs="Arial"/>
              </w:rPr>
              <w:t>and</w:t>
            </w:r>
            <w:r w:rsidRPr="00D839EE">
              <w:rPr>
                <w:rFonts w:cs="Arial"/>
              </w:rPr>
              <w:t xml:space="preserve"> submit</w:t>
            </w:r>
            <w:r w:rsidRPr="00D839EE" w:rsidR="001D677F">
              <w:rPr>
                <w:rFonts w:cs="Arial"/>
              </w:rPr>
              <w:t>tal</w:t>
            </w:r>
            <w:r w:rsidRPr="00D839EE">
              <w:rPr>
                <w:rFonts w:cs="Arial"/>
              </w:rPr>
              <w:t xml:space="preserve"> </w:t>
            </w:r>
          </w:p>
        </w:tc>
      </w:tr>
      <w:tr w14:paraId="7F493CF8" w14:textId="77777777" w:rsidTr="00EA25C6">
        <w:tblPrEx>
          <w:tblW w:w="10615" w:type="dxa"/>
          <w:jc w:val="center"/>
          <w:tblLook w:val="04A0"/>
        </w:tblPrEx>
        <w:trPr>
          <w:trHeight w:val="315"/>
          <w:jc w:val="center"/>
        </w:trPr>
        <w:tc>
          <w:tcPr>
            <w:tcW w:w="1795" w:type="dxa"/>
            <w:vMerge w:val="restart"/>
            <w:shd w:val="clear" w:color="auto" w:fill="auto"/>
            <w:noWrap/>
            <w:vAlign w:val="center"/>
            <w:hideMark/>
          </w:tcPr>
          <w:p w:rsidR="0032048B" w:rsidRPr="00D839EE" w:rsidP="00B152B6" w14:paraId="7F493CF5" w14:textId="77777777">
            <w:pPr>
              <w:autoSpaceDE/>
              <w:autoSpaceDN/>
              <w:adjustRightInd/>
              <w:jc w:val="center"/>
              <w:rPr>
                <w:rFonts w:cs="Arial"/>
                <w:b/>
                <w:bCs/>
              </w:rPr>
            </w:pPr>
            <w:r w:rsidRPr="00D839EE">
              <w:rPr>
                <w:rFonts w:cs="Arial"/>
                <w:b/>
                <w:bCs/>
              </w:rPr>
              <w:t xml:space="preserve">Preparing </w:t>
            </w:r>
            <w:r w:rsidR="00B152B6">
              <w:rPr>
                <w:rFonts w:cs="Arial"/>
                <w:b/>
                <w:bCs/>
              </w:rPr>
              <w:t xml:space="preserve">Subsequent </w:t>
            </w:r>
            <w:r w:rsidRPr="00D839EE">
              <w:rPr>
                <w:rFonts w:cs="Arial"/>
                <w:b/>
                <w:bCs/>
              </w:rPr>
              <w:t>FSAR</w:t>
            </w:r>
            <w:r w:rsidR="00B152B6">
              <w:rPr>
                <w:rFonts w:cs="Arial"/>
                <w:b/>
                <w:bCs/>
              </w:rPr>
              <w:t xml:space="preserve"> Update</w:t>
            </w:r>
          </w:p>
        </w:tc>
        <w:tc>
          <w:tcPr>
            <w:tcW w:w="1170" w:type="dxa"/>
            <w:shd w:val="clear" w:color="000000" w:fill="FFFFFF"/>
            <w:noWrap/>
            <w:vAlign w:val="center"/>
            <w:hideMark/>
          </w:tcPr>
          <w:p w:rsidR="0032048B" w:rsidRPr="00D839EE" w14:paraId="7F493CF6" w14:textId="77777777">
            <w:pPr>
              <w:autoSpaceDE/>
              <w:autoSpaceDN/>
              <w:adjustRightInd/>
              <w:jc w:val="center"/>
              <w:rPr>
                <w:rFonts w:cs="Arial"/>
                <w:b/>
                <w:bCs/>
                <w:color w:val="000000"/>
              </w:rPr>
            </w:pPr>
            <w:r w:rsidRPr="00D839EE">
              <w:rPr>
                <w:rFonts w:cs="Arial"/>
                <w:b/>
                <w:bCs/>
                <w:color w:val="000000"/>
              </w:rPr>
              <w:t>1</w:t>
            </w:r>
          </w:p>
        </w:tc>
        <w:tc>
          <w:tcPr>
            <w:tcW w:w="7650" w:type="dxa"/>
            <w:shd w:val="clear" w:color="auto" w:fill="auto"/>
            <w:noWrap/>
            <w:vAlign w:val="center"/>
            <w:hideMark/>
          </w:tcPr>
          <w:p w:rsidR="0032048B" w:rsidRPr="00D839EE" w:rsidP="001D677F" w14:paraId="7F493CF7" w14:textId="77777777">
            <w:pPr>
              <w:autoSpaceDE/>
              <w:autoSpaceDN/>
              <w:adjustRightInd/>
              <w:rPr>
                <w:rFonts w:cs="Arial"/>
              </w:rPr>
            </w:pPr>
            <w:r w:rsidRPr="00D839EE">
              <w:rPr>
                <w:rFonts w:cs="Arial"/>
              </w:rPr>
              <w:t xml:space="preserve">Collect </w:t>
            </w:r>
            <w:r w:rsidRPr="00D839EE" w:rsidR="001D677F">
              <w:rPr>
                <w:rFonts w:cs="Arial"/>
              </w:rPr>
              <w:t>and</w:t>
            </w:r>
            <w:r w:rsidRPr="00D839EE">
              <w:rPr>
                <w:rFonts w:cs="Arial"/>
              </w:rPr>
              <w:t xml:space="preserve"> review recent annual reports </w:t>
            </w:r>
          </w:p>
        </w:tc>
      </w:tr>
      <w:tr w14:paraId="7F493CFC"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CF9" w14:textId="77777777">
            <w:pPr>
              <w:autoSpaceDE/>
              <w:autoSpaceDN/>
              <w:adjustRightInd/>
              <w:rPr>
                <w:rFonts w:cs="Arial"/>
                <w:b/>
                <w:bCs/>
              </w:rPr>
            </w:pPr>
          </w:p>
        </w:tc>
        <w:tc>
          <w:tcPr>
            <w:tcW w:w="1170" w:type="dxa"/>
            <w:shd w:val="clear" w:color="000000" w:fill="FFFFFF"/>
            <w:noWrap/>
            <w:vAlign w:val="center"/>
            <w:hideMark/>
          </w:tcPr>
          <w:p w:rsidR="0032048B" w:rsidRPr="00D839EE" w14:paraId="7F493CFA" w14:textId="77777777">
            <w:pPr>
              <w:autoSpaceDE/>
              <w:autoSpaceDN/>
              <w:adjustRightInd/>
              <w:jc w:val="center"/>
              <w:rPr>
                <w:rFonts w:cs="Arial"/>
                <w:b/>
                <w:bCs/>
                <w:color w:val="000000"/>
              </w:rPr>
            </w:pPr>
            <w:r w:rsidRPr="00D839EE">
              <w:rPr>
                <w:rFonts w:cs="Arial"/>
                <w:b/>
                <w:bCs/>
                <w:color w:val="000000"/>
              </w:rPr>
              <w:t>2</w:t>
            </w:r>
          </w:p>
        </w:tc>
        <w:tc>
          <w:tcPr>
            <w:tcW w:w="7650" w:type="dxa"/>
            <w:shd w:val="clear" w:color="auto" w:fill="auto"/>
            <w:noWrap/>
            <w:vAlign w:val="center"/>
            <w:hideMark/>
          </w:tcPr>
          <w:p w:rsidR="0032048B" w:rsidRPr="00D839EE" w:rsidP="001D677F" w14:paraId="7F493CFB" w14:textId="77777777">
            <w:pPr>
              <w:autoSpaceDE/>
              <w:autoSpaceDN/>
              <w:adjustRightInd/>
              <w:rPr>
                <w:rFonts w:cs="Arial"/>
              </w:rPr>
            </w:pPr>
            <w:r w:rsidRPr="00D839EE">
              <w:rPr>
                <w:rFonts w:cs="Arial"/>
              </w:rPr>
              <w:t xml:space="preserve">Collect </w:t>
            </w:r>
            <w:r w:rsidRPr="00D839EE" w:rsidR="001D677F">
              <w:rPr>
                <w:rFonts w:cs="Arial"/>
              </w:rPr>
              <w:t>and</w:t>
            </w:r>
            <w:r w:rsidRPr="00D839EE">
              <w:rPr>
                <w:rFonts w:cs="Arial"/>
              </w:rPr>
              <w:t xml:space="preserve"> review other information </w:t>
            </w:r>
            <w:r w:rsidR="004967D4">
              <w:rPr>
                <w:rFonts w:cs="Arial"/>
              </w:rPr>
              <w:t>on</w:t>
            </w:r>
            <w:r w:rsidRPr="00D839EE">
              <w:rPr>
                <w:rFonts w:cs="Arial"/>
              </w:rPr>
              <w:t xml:space="preserve"> updates to facility (e.g., license amendments, </w:t>
            </w:r>
            <w:r w:rsidR="004967D4">
              <w:rPr>
                <w:rFonts w:cs="Arial"/>
              </w:rPr>
              <w:t>10 CFR </w:t>
            </w:r>
            <w:r w:rsidRPr="00D839EE">
              <w:rPr>
                <w:rFonts w:cs="Arial"/>
              </w:rPr>
              <w:t>50.59 analyses)</w:t>
            </w:r>
          </w:p>
        </w:tc>
      </w:tr>
      <w:tr w14:paraId="7F493D00"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CFD" w14:textId="77777777">
            <w:pPr>
              <w:autoSpaceDE/>
              <w:autoSpaceDN/>
              <w:adjustRightInd/>
              <w:rPr>
                <w:rFonts w:cs="Arial"/>
                <w:b/>
                <w:bCs/>
              </w:rPr>
            </w:pPr>
          </w:p>
        </w:tc>
        <w:tc>
          <w:tcPr>
            <w:tcW w:w="1170" w:type="dxa"/>
            <w:shd w:val="clear" w:color="000000" w:fill="FFFFFF"/>
            <w:noWrap/>
            <w:vAlign w:val="center"/>
            <w:hideMark/>
          </w:tcPr>
          <w:p w:rsidR="0032048B" w:rsidRPr="00D839EE" w14:paraId="7F493CFE" w14:textId="77777777">
            <w:pPr>
              <w:autoSpaceDE/>
              <w:autoSpaceDN/>
              <w:adjustRightInd/>
              <w:jc w:val="center"/>
              <w:rPr>
                <w:rFonts w:cs="Arial"/>
                <w:b/>
                <w:bCs/>
                <w:color w:val="000000"/>
              </w:rPr>
            </w:pPr>
            <w:r w:rsidRPr="00D839EE">
              <w:rPr>
                <w:rFonts w:cs="Arial"/>
                <w:b/>
                <w:bCs/>
                <w:color w:val="000000"/>
              </w:rPr>
              <w:t>3</w:t>
            </w:r>
          </w:p>
        </w:tc>
        <w:tc>
          <w:tcPr>
            <w:tcW w:w="7650" w:type="dxa"/>
            <w:shd w:val="clear" w:color="auto" w:fill="auto"/>
            <w:noWrap/>
            <w:vAlign w:val="center"/>
            <w:hideMark/>
          </w:tcPr>
          <w:p w:rsidR="0032048B" w:rsidRPr="00D839EE" w:rsidP="0032048B" w14:paraId="7F493CFF" w14:textId="77777777">
            <w:pPr>
              <w:autoSpaceDE/>
              <w:autoSpaceDN/>
              <w:adjustRightInd/>
              <w:rPr>
                <w:rFonts w:cs="Arial"/>
              </w:rPr>
            </w:pPr>
            <w:r w:rsidRPr="00D839EE">
              <w:rPr>
                <w:rFonts w:cs="Arial"/>
              </w:rPr>
              <w:t>Draft updates to narrative chapters</w:t>
            </w:r>
          </w:p>
        </w:tc>
      </w:tr>
      <w:tr w14:paraId="7F493D04"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01" w14:textId="77777777">
            <w:pPr>
              <w:autoSpaceDE/>
              <w:autoSpaceDN/>
              <w:adjustRightInd/>
              <w:rPr>
                <w:rFonts w:cs="Arial"/>
                <w:b/>
                <w:bCs/>
              </w:rPr>
            </w:pPr>
          </w:p>
        </w:tc>
        <w:tc>
          <w:tcPr>
            <w:tcW w:w="1170" w:type="dxa"/>
            <w:shd w:val="clear" w:color="000000" w:fill="FFFFFF"/>
            <w:noWrap/>
            <w:vAlign w:val="center"/>
            <w:hideMark/>
          </w:tcPr>
          <w:p w:rsidR="0032048B" w:rsidRPr="00D839EE" w14:paraId="7F493D02" w14:textId="77777777">
            <w:pPr>
              <w:autoSpaceDE/>
              <w:autoSpaceDN/>
              <w:adjustRightInd/>
              <w:jc w:val="center"/>
              <w:rPr>
                <w:rFonts w:cs="Arial"/>
                <w:b/>
                <w:bCs/>
                <w:color w:val="000000"/>
              </w:rPr>
            </w:pPr>
            <w:r w:rsidRPr="00D839EE">
              <w:rPr>
                <w:rFonts w:cs="Arial"/>
                <w:b/>
                <w:bCs/>
                <w:color w:val="000000"/>
              </w:rPr>
              <w:t>4</w:t>
            </w:r>
          </w:p>
        </w:tc>
        <w:tc>
          <w:tcPr>
            <w:tcW w:w="7650" w:type="dxa"/>
            <w:shd w:val="clear" w:color="auto" w:fill="auto"/>
            <w:noWrap/>
            <w:vAlign w:val="center"/>
            <w:hideMark/>
          </w:tcPr>
          <w:p w:rsidR="0032048B" w:rsidRPr="00D839EE" w:rsidP="0032048B" w14:paraId="7F493D03" w14:textId="77777777">
            <w:pPr>
              <w:autoSpaceDE/>
              <w:autoSpaceDN/>
              <w:adjustRightInd/>
              <w:rPr>
                <w:rFonts w:cs="Arial"/>
              </w:rPr>
            </w:pPr>
            <w:r w:rsidRPr="00D839EE">
              <w:rPr>
                <w:rFonts w:cs="Arial"/>
              </w:rPr>
              <w:t>Draft updates to technical chapters</w:t>
            </w:r>
          </w:p>
        </w:tc>
      </w:tr>
      <w:tr w14:paraId="7F493D08"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05" w14:textId="77777777">
            <w:pPr>
              <w:autoSpaceDE/>
              <w:autoSpaceDN/>
              <w:adjustRightInd/>
              <w:rPr>
                <w:rFonts w:cs="Arial"/>
                <w:b/>
                <w:bCs/>
              </w:rPr>
            </w:pPr>
          </w:p>
        </w:tc>
        <w:tc>
          <w:tcPr>
            <w:tcW w:w="1170" w:type="dxa"/>
            <w:shd w:val="clear" w:color="000000" w:fill="FFFFFF"/>
            <w:noWrap/>
            <w:vAlign w:val="center"/>
            <w:hideMark/>
          </w:tcPr>
          <w:p w:rsidR="0032048B" w:rsidRPr="00D839EE" w14:paraId="7F493D06" w14:textId="77777777">
            <w:pPr>
              <w:autoSpaceDE/>
              <w:autoSpaceDN/>
              <w:adjustRightInd/>
              <w:jc w:val="center"/>
              <w:rPr>
                <w:rFonts w:cs="Arial"/>
                <w:b/>
                <w:bCs/>
                <w:color w:val="000000"/>
              </w:rPr>
            </w:pPr>
            <w:r w:rsidRPr="00D839EE">
              <w:rPr>
                <w:rFonts w:cs="Arial"/>
                <w:b/>
                <w:bCs/>
                <w:color w:val="000000"/>
              </w:rPr>
              <w:t>5</w:t>
            </w:r>
          </w:p>
        </w:tc>
        <w:tc>
          <w:tcPr>
            <w:tcW w:w="7650" w:type="dxa"/>
            <w:shd w:val="clear" w:color="auto" w:fill="auto"/>
            <w:noWrap/>
            <w:vAlign w:val="center"/>
            <w:hideMark/>
          </w:tcPr>
          <w:p w:rsidR="0032048B" w:rsidRPr="00D839EE" w:rsidP="001D677F" w14:paraId="7F493D07" w14:textId="77777777">
            <w:pPr>
              <w:autoSpaceDE/>
              <w:autoSpaceDN/>
              <w:adjustRightInd/>
              <w:rPr>
                <w:rFonts w:cs="Arial"/>
              </w:rPr>
            </w:pPr>
            <w:r w:rsidRPr="00D839EE">
              <w:rPr>
                <w:rFonts w:cs="Arial"/>
              </w:rPr>
              <w:t xml:space="preserve">Review by management </w:t>
            </w:r>
            <w:r w:rsidRPr="00D839EE" w:rsidR="001D677F">
              <w:rPr>
                <w:rFonts w:cs="Arial"/>
              </w:rPr>
              <w:t>and</w:t>
            </w:r>
            <w:r w:rsidRPr="00D839EE">
              <w:rPr>
                <w:rFonts w:cs="Arial"/>
              </w:rPr>
              <w:t xml:space="preserve"> submit</w:t>
            </w:r>
            <w:r w:rsidRPr="00D839EE" w:rsidR="001D677F">
              <w:rPr>
                <w:rFonts w:cs="Arial"/>
              </w:rPr>
              <w:t>tal</w:t>
            </w:r>
            <w:r w:rsidRPr="00D839EE">
              <w:rPr>
                <w:rFonts w:cs="Arial"/>
              </w:rPr>
              <w:t xml:space="preserve"> </w:t>
            </w:r>
          </w:p>
        </w:tc>
      </w:tr>
      <w:tr w14:paraId="7F493D0A" w14:textId="77777777" w:rsidTr="00EA25C6">
        <w:tblPrEx>
          <w:tblW w:w="10615" w:type="dxa"/>
          <w:jc w:val="center"/>
          <w:tblLook w:val="04A0"/>
        </w:tblPrEx>
        <w:trPr>
          <w:trHeight w:val="390"/>
          <w:jc w:val="center"/>
        </w:trPr>
        <w:tc>
          <w:tcPr>
            <w:tcW w:w="10615" w:type="dxa"/>
            <w:gridSpan w:val="3"/>
            <w:shd w:val="clear" w:color="000000" w:fill="D9D9D9"/>
            <w:vAlign w:val="center"/>
            <w:hideMark/>
          </w:tcPr>
          <w:p w:rsidR="0032048B" w:rsidRPr="00D839EE" w14:paraId="7F493D09" w14:textId="77777777">
            <w:pPr>
              <w:autoSpaceDE/>
              <w:autoSpaceDN/>
              <w:adjustRightInd/>
              <w:jc w:val="center"/>
              <w:rPr>
                <w:rFonts w:cs="Arial"/>
                <w:b/>
                <w:bCs/>
              </w:rPr>
            </w:pPr>
            <w:r w:rsidRPr="00D839EE">
              <w:rPr>
                <w:rFonts w:cs="Arial"/>
                <w:b/>
                <w:bCs/>
              </w:rPr>
              <w:t>NRC</w:t>
            </w:r>
          </w:p>
        </w:tc>
      </w:tr>
      <w:tr w14:paraId="7F493D0E" w14:textId="77777777" w:rsidTr="00EA25C6">
        <w:tblPrEx>
          <w:tblW w:w="10615" w:type="dxa"/>
          <w:jc w:val="center"/>
          <w:tblLook w:val="04A0"/>
        </w:tblPrEx>
        <w:trPr>
          <w:trHeight w:val="315"/>
          <w:jc w:val="center"/>
        </w:trPr>
        <w:tc>
          <w:tcPr>
            <w:tcW w:w="1795" w:type="dxa"/>
            <w:vMerge w:val="restart"/>
            <w:shd w:val="clear" w:color="auto" w:fill="auto"/>
            <w:noWrap/>
            <w:vAlign w:val="center"/>
            <w:hideMark/>
          </w:tcPr>
          <w:p w:rsidR="0032048B" w:rsidRPr="00D839EE" w:rsidP="0032048B" w14:paraId="7F493D0B" w14:textId="77777777">
            <w:pPr>
              <w:autoSpaceDE/>
              <w:autoSpaceDN/>
              <w:adjustRightInd/>
              <w:jc w:val="center"/>
              <w:rPr>
                <w:rFonts w:cs="Arial"/>
                <w:b/>
                <w:bCs/>
              </w:rPr>
            </w:pPr>
            <w:r w:rsidRPr="00D839EE">
              <w:rPr>
                <w:rFonts w:cs="Arial"/>
                <w:b/>
                <w:bCs/>
              </w:rPr>
              <w:t>Reviewing Updated FSAR</w:t>
            </w:r>
          </w:p>
        </w:tc>
        <w:tc>
          <w:tcPr>
            <w:tcW w:w="1170" w:type="dxa"/>
            <w:shd w:val="clear" w:color="000000" w:fill="FFFFFF"/>
            <w:noWrap/>
            <w:vAlign w:val="center"/>
            <w:hideMark/>
          </w:tcPr>
          <w:p w:rsidR="0032048B" w:rsidRPr="00D839EE" w14:paraId="7F493D0C" w14:textId="77777777">
            <w:pPr>
              <w:autoSpaceDE/>
              <w:autoSpaceDN/>
              <w:adjustRightInd/>
              <w:jc w:val="center"/>
              <w:rPr>
                <w:rFonts w:cs="Arial"/>
                <w:b/>
                <w:bCs/>
                <w:color w:val="000000"/>
              </w:rPr>
            </w:pPr>
            <w:r w:rsidRPr="00D839EE">
              <w:rPr>
                <w:rFonts w:cs="Arial"/>
                <w:b/>
                <w:bCs/>
                <w:color w:val="000000"/>
              </w:rPr>
              <w:t>1</w:t>
            </w:r>
          </w:p>
        </w:tc>
        <w:tc>
          <w:tcPr>
            <w:tcW w:w="7650" w:type="dxa"/>
            <w:shd w:val="clear" w:color="auto" w:fill="auto"/>
            <w:noWrap/>
            <w:vAlign w:val="center"/>
            <w:hideMark/>
          </w:tcPr>
          <w:p w:rsidR="0032048B" w:rsidRPr="00D839EE" w14:paraId="7F493D0D" w14:textId="77777777">
            <w:pPr>
              <w:autoSpaceDE/>
              <w:autoSpaceDN/>
              <w:adjustRightInd/>
              <w:rPr>
                <w:rFonts w:cs="Arial"/>
              </w:rPr>
            </w:pPr>
            <w:r w:rsidRPr="00D839EE">
              <w:rPr>
                <w:rFonts w:cs="Arial"/>
              </w:rPr>
              <w:t>Conduct initial review</w:t>
            </w:r>
          </w:p>
        </w:tc>
      </w:tr>
      <w:tr w14:paraId="7F493D12"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0F" w14:textId="77777777">
            <w:pPr>
              <w:autoSpaceDE/>
              <w:autoSpaceDN/>
              <w:adjustRightInd/>
              <w:rPr>
                <w:rFonts w:cs="Arial"/>
                <w:b/>
                <w:bCs/>
              </w:rPr>
            </w:pPr>
          </w:p>
        </w:tc>
        <w:tc>
          <w:tcPr>
            <w:tcW w:w="1170" w:type="dxa"/>
            <w:shd w:val="clear" w:color="000000" w:fill="FFFFFF"/>
            <w:noWrap/>
            <w:vAlign w:val="center"/>
            <w:hideMark/>
          </w:tcPr>
          <w:p w:rsidR="0032048B" w:rsidRPr="00D839EE" w14:paraId="7F493D10" w14:textId="77777777">
            <w:pPr>
              <w:autoSpaceDE/>
              <w:autoSpaceDN/>
              <w:adjustRightInd/>
              <w:jc w:val="center"/>
              <w:rPr>
                <w:rFonts w:cs="Arial"/>
                <w:b/>
                <w:bCs/>
                <w:color w:val="000000"/>
              </w:rPr>
            </w:pPr>
            <w:r w:rsidRPr="00D839EE">
              <w:rPr>
                <w:rFonts w:cs="Arial"/>
                <w:b/>
                <w:bCs/>
                <w:color w:val="000000"/>
              </w:rPr>
              <w:t>2</w:t>
            </w:r>
          </w:p>
        </w:tc>
        <w:tc>
          <w:tcPr>
            <w:tcW w:w="7650" w:type="dxa"/>
            <w:shd w:val="clear" w:color="auto" w:fill="auto"/>
            <w:noWrap/>
            <w:vAlign w:val="center"/>
            <w:hideMark/>
          </w:tcPr>
          <w:p w:rsidR="0032048B" w:rsidRPr="00D839EE" w14:paraId="7F493D11" w14:textId="77777777">
            <w:pPr>
              <w:autoSpaceDE/>
              <w:autoSpaceDN/>
              <w:adjustRightInd/>
              <w:rPr>
                <w:rFonts w:cs="Arial"/>
              </w:rPr>
            </w:pPr>
            <w:r w:rsidRPr="00D839EE">
              <w:rPr>
                <w:rFonts w:cs="Arial"/>
              </w:rPr>
              <w:t>Review narrative sections</w:t>
            </w:r>
          </w:p>
        </w:tc>
      </w:tr>
      <w:tr w14:paraId="7F493D16"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13" w14:textId="77777777">
            <w:pPr>
              <w:autoSpaceDE/>
              <w:autoSpaceDN/>
              <w:adjustRightInd/>
              <w:rPr>
                <w:rFonts w:cs="Arial"/>
                <w:b/>
                <w:bCs/>
              </w:rPr>
            </w:pPr>
          </w:p>
        </w:tc>
        <w:tc>
          <w:tcPr>
            <w:tcW w:w="1170" w:type="dxa"/>
            <w:shd w:val="clear" w:color="000000" w:fill="FFFFFF"/>
            <w:noWrap/>
            <w:vAlign w:val="center"/>
            <w:hideMark/>
          </w:tcPr>
          <w:p w:rsidR="0032048B" w:rsidRPr="00D839EE" w14:paraId="7F493D14" w14:textId="77777777">
            <w:pPr>
              <w:autoSpaceDE/>
              <w:autoSpaceDN/>
              <w:adjustRightInd/>
              <w:jc w:val="center"/>
              <w:rPr>
                <w:rFonts w:cs="Arial"/>
                <w:b/>
                <w:bCs/>
                <w:color w:val="000000"/>
              </w:rPr>
            </w:pPr>
            <w:r w:rsidRPr="00D839EE">
              <w:rPr>
                <w:rFonts w:cs="Arial"/>
                <w:b/>
                <w:bCs/>
                <w:color w:val="000000"/>
              </w:rPr>
              <w:t>3</w:t>
            </w:r>
          </w:p>
        </w:tc>
        <w:tc>
          <w:tcPr>
            <w:tcW w:w="7650" w:type="dxa"/>
            <w:shd w:val="clear" w:color="auto" w:fill="auto"/>
            <w:noWrap/>
            <w:vAlign w:val="center"/>
            <w:hideMark/>
          </w:tcPr>
          <w:p w:rsidR="0032048B" w:rsidRPr="00D839EE" w14:paraId="7F493D15" w14:textId="77777777">
            <w:pPr>
              <w:autoSpaceDE/>
              <w:autoSpaceDN/>
              <w:adjustRightInd/>
              <w:rPr>
                <w:rFonts w:cs="Arial"/>
              </w:rPr>
            </w:pPr>
            <w:r w:rsidRPr="00D839EE">
              <w:rPr>
                <w:rFonts w:cs="Arial"/>
              </w:rPr>
              <w:t>Review technical sections</w:t>
            </w:r>
          </w:p>
        </w:tc>
      </w:tr>
      <w:tr w14:paraId="7F493D1A"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17" w14:textId="77777777">
            <w:pPr>
              <w:autoSpaceDE/>
              <w:autoSpaceDN/>
              <w:adjustRightInd/>
              <w:rPr>
                <w:rFonts w:cs="Arial"/>
                <w:b/>
                <w:bCs/>
              </w:rPr>
            </w:pPr>
          </w:p>
        </w:tc>
        <w:tc>
          <w:tcPr>
            <w:tcW w:w="1170" w:type="dxa"/>
            <w:shd w:val="clear" w:color="000000" w:fill="FFFFFF"/>
            <w:noWrap/>
            <w:vAlign w:val="center"/>
            <w:hideMark/>
          </w:tcPr>
          <w:p w:rsidR="0032048B" w:rsidRPr="00D839EE" w14:paraId="7F493D18" w14:textId="77777777">
            <w:pPr>
              <w:autoSpaceDE/>
              <w:autoSpaceDN/>
              <w:adjustRightInd/>
              <w:jc w:val="center"/>
              <w:rPr>
                <w:rFonts w:cs="Arial"/>
                <w:b/>
                <w:bCs/>
                <w:color w:val="000000"/>
              </w:rPr>
            </w:pPr>
            <w:r w:rsidRPr="00D839EE">
              <w:rPr>
                <w:rFonts w:cs="Arial"/>
                <w:b/>
                <w:bCs/>
                <w:color w:val="000000"/>
              </w:rPr>
              <w:t>4</w:t>
            </w:r>
          </w:p>
        </w:tc>
        <w:tc>
          <w:tcPr>
            <w:tcW w:w="7650" w:type="dxa"/>
            <w:shd w:val="clear" w:color="auto" w:fill="auto"/>
            <w:noWrap/>
            <w:vAlign w:val="center"/>
            <w:hideMark/>
          </w:tcPr>
          <w:p w:rsidR="0032048B" w:rsidRPr="00D839EE" w:rsidP="00EA25C6" w14:paraId="7F493D19" w14:textId="77777777">
            <w:pPr>
              <w:autoSpaceDE/>
              <w:autoSpaceDN/>
              <w:adjustRightInd/>
              <w:rPr>
                <w:rFonts w:cs="Arial"/>
              </w:rPr>
            </w:pPr>
            <w:r w:rsidRPr="00D839EE">
              <w:rPr>
                <w:rFonts w:cs="Arial"/>
              </w:rPr>
              <w:t>Review by management</w:t>
            </w:r>
          </w:p>
        </w:tc>
      </w:tr>
      <w:tr w14:paraId="7F493D1E" w14:textId="77777777" w:rsidTr="00EA25C6">
        <w:tblPrEx>
          <w:tblW w:w="10615" w:type="dxa"/>
          <w:jc w:val="center"/>
          <w:tblLook w:val="04A0"/>
        </w:tblPrEx>
        <w:trPr>
          <w:trHeight w:val="315"/>
          <w:jc w:val="center"/>
        </w:trPr>
        <w:tc>
          <w:tcPr>
            <w:tcW w:w="1795" w:type="dxa"/>
            <w:vMerge w:val="restart"/>
            <w:shd w:val="clear" w:color="auto" w:fill="auto"/>
            <w:noWrap/>
            <w:vAlign w:val="center"/>
            <w:hideMark/>
          </w:tcPr>
          <w:p w:rsidR="0032048B" w:rsidRPr="00D839EE" w:rsidP="00B152B6" w14:paraId="7F493D1B" w14:textId="77777777">
            <w:pPr>
              <w:autoSpaceDE/>
              <w:autoSpaceDN/>
              <w:adjustRightInd/>
              <w:jc w:val="center"/>
              <w:rPr>
                <w:rFonts w:cs="Arial"/>
                <w:b/>
                <w:bCs/>
              </w:rPr>
            </w:pPr>
            <w:r w:rsidRPr="00D839EE">
              <w:rPr>
                <w:rFonts w:cs="Arial"/>
                <w:b/>
                <w:bCs/>
              </w:rPr>
              <w:t xml:space="preserve">Reviewing </w:t>
            </w:r>
            <w:r w:rsidR="00B152B6">
              <w:rPr>
                <w:rFonts w:cs="Arial"/>
                <w:b/>
                <w:bCs/>
              </w:rPr>
              <w:t xml:space="preserve">Subsequent </w:t>
            </w:r>
            <w:r w:rsidRPr="00D839EE">
              <w:rPr>
                <w:rFonts w:cs="Arial"/>
                <w:b/>
                <w:bCs/>
              </w:rPr>
              <w:t>FSAR</w:t>
            </w:r>
            <w:r w:rsidR="00B152B6">
              <w:rPr>
                <w:rFonts w:cs="Arial"/>
                <w:b/>
                <w:bCs/>
              </w:rPr>
              <w:t xml:space="preserve"> Update</w:t>
            </w:r>
          </w:p>
        </w:tc>
        <w:tc>
          <w:tcPr>
            <w:tcW w:w="1170" w:type="dxa"/>
            <w:shd w:val="clear" w:color="000000" w:fill="FFFFFF"/>
            <w:noWrap/>
            <w:vAlign w:val="center"/>
            <w:hideMark/>
          </w:tcPr>
          <w:p w:rsidR="0032048B" w:rsidRPr="00D839EE" w14:paraId="7F493D1C" w14:textId="77777777">
            <w:pPr>
              <w:autoSpaceDE/>
              <w:autoSpaceDN/>
              <w:adjustRightInd/>
              <w:jc w:val="center"/>
              <w:rPr>
                <w:rFonts w:cs="Arial"/>
                <w:b/>
                <w:bCs/>
                <w:color w:val="000000"/>
              </w:rPr>
            </w:pPr>
            <w:r w:rsidRPr="00D839EE">
              <w:rPr>
                <w:rFonts w:cs="Arial"/>
                <w:b/>
                <w:bCs/>
                <w:color w:val="000000"/>
              </w:rPr>
              <w:t>1</w:t>
            </w:r>
          </w:p>
        </w:tc>
        <w:tc>
          <w:tcPr>
            <w:tcW w:w="7650" w:type="dxa"/>
            <w:shd w:val="clear" w:color="auto" w:fill="auto"/>
            <w:noWrap/>
            <w:vAlign w:val="center"/>
            <w:hideMark/>
          </w:tcPr>
          <w:p w:rsidR="0032048B" w:rsidRPr="00D839EE" w14:paraId="7F493D1D" w14:textId="77777777">
            <w:pPr>
              <w:autoSpaceDE/>
              <w:autoSpaceDN/>
              <w:adjustRightInd/>
              <w:rPr>
                <w:rFonts w:cs="Arial"/>
              </w:rPr>
            </w:pPr>
            <w:r w:rsidRPr="00D839EE">
              <w:rPr>
                <w:rFonts w:cs="Arial"/>
              </w:rPr>
              <w:t>Conduct initial review</w:t>
            </w:r>
          </w:p>
        </w:tc>
      </w:tr>
      <w:tr w14:paraId="7F493D22"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1F" w14:textId="77777777">
            <w:pPr>
              <w:autoSpaceDE/>
              <w:autoSpaceDN/>
              <w:adjustRightInd/>
              <w:rPr>
                <w:rFonts w:cs="Arial"/>
                <w:b/>
                <w:bCs/>
              </w:rPr>
            </w:pPr>
          </w:p>
        </w:tc>
        <w:tc>
          <w:tcPr>
            <w:tcW w:w="1170" w:type="dxa"/>
            <w:shd w:val="clear" w:color="000000" w:fill="FFFFFF"/>
            <w:noWrap/>
            <w:vAlign w:val="center"/>
            <w:hideMark/>
          </w:tcPr>
          <w:p w:rsidR="0032048B" w:rsidRPr="00D839EE" w14:paraId="7F493D20" w14:textId="77777777">
            <w:pPr>
              <w:autoSpaceDE/>
              <w:autoSpaceDN/>
              <w:adjustRightInd/>
              <w:jc w:val="center"/>
              <w:rPr>
                <w:rFonts w:cs="Arial"/>
                <w:b/>
                <w:bCs/>
                <w:color w:val="000000"/>
              </w:rPr>
            </w:pPr>
            <w:r w:rsidRPr="00D839EE">
              <w:rPr>
                <w:rFonts w:cs="Arial"/>
                <w:b/>
                <w:bCs/>
                <w:color w:val="000000"/>
              </w:rPr>
              <w:t>2</w:t>
            </w:r>
          </w:p>
        </w:tc>
        <w:tc>
          <w:tcPr>
            <w:tcW w:w="7650" w:type="dxa"/>
            <w:shd w:val="clear" w:color="auto" w:fill="auto"/>
            <w:noWrap/>
            <w:vAlign w:val="center"/>
            <w:hideMark/>
          </w:tcPr>
          <w:p w:rsidR="0032048B" w:rsidRPr="00D839EE" w14:paraId="7F493D21" w14:textId="77777777">
            <w:pPr>
              <w:autoSpaceDE/>
              <w:autoSpaceDN/>
              <w:adjustRightInd/>
              <w:rPr>
                <w:rFonts w:cs="Arial"/>
              </w:rPr>
            </w:pPr>
            <w:r w:rsidRPr="00D839EE">
              <w:rPr>
                <w:rFonts w:cs="Arial"/>
              </w:rPr>
              <w:t>Review narrative sections</w:t>
            </w:r>
          </w:p>
        </w:tc>
      </w:tr>
      <w:tr w14:paraId="7F493D26"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23" w14:textId="77777777">
            <w:pPr>
              <w:autoSpaceDE/>
              <w:autoSpaceDN/>
              <w:adjustRightInd/>
              <w:rPr>
                <w:rFonts w:cs="Arial"/>
                <w:b/>
                <w:bCs/>
              </w:rPr>
            </w:pPr>
          </w:p>
        </w:tc>
        <w:tc>
          <w:tcPr>
            <w:tcW w:w="1170" w:type="dxa"/>
            <w:shd w:val="clear" w:color="000000" w:fill="FFFFFF"/>
            <w:noWrap/>
            <w:vAlign w:val="center"/>
            <w:hideMark/>
          </w:tcPr>
          <w:p w:rsidR="0032048B" w:rsidRPr="00D839EE" w14:paraId="7F493D24" w14:textId="77777777">
            <w:pPr>
              <w:autoSpaceDE/>
              <w:autoSpaceDN/>
              <w:adjustRightInd/>
              <w:jc w:val="center"/>
              <w:rPr>
                <w:rFonts w:cs="Arial"/>
                <w:b/>
                <w:bCs/>
                <w:color w:val="000000"/>
              </w:rPr>
            </w:pPr>
            <w:r w:rsidRPr="00D839EE">
              <w:rPr>
                <w:rFonts w:cs="Arial"/>
                <w:b/>
                <w:bCs/>
                <w:color w:val="000000"/>
              </w:rPr>
              <w:t>3</w:t>
            </w:r>
          </w:p>
        </w:tc>
        <w:tc>
          <w:tcPr>
            <w:tcW w:w="7650" w:type="dxa"/>
            <w:shd w:val="clear" w:color="auto" w:fill="auto"/>
            <w:noWrap/>
            <w:vAlign w:val="center"/>
            <w:hideMark/>
          </w:tcPr>
          <w:p w:rsidR="0032048B" w:rsidRPr="00D839EE" w14:paraId="7F493D25" w14:textId="77777777">
            <w:pPr>
              <w:autoSpaceDE/>
              <w:autoSpaceDN/>
              <w:adjustRightInd/>
              <w:rPr>
                <w:rFonts w:cs="Arial"/>
              </w:rPr>
            </w:pPr>
            <w:r w:rsidRPr="00D839EE">
              <w:rPr>
                <w:rFonts w:cs="Arial"/>
              </w:rPr>
              <w:t>Review technical sections</w:t>
            </w:r>
          </w:p>
        </w:tc>
      </w:tr>
      <w:tr w14:paraId="7F493D2A" w14:textId="77777777" w:rsidTr="00EA25C6">
        <w:tblPrEx>
          <w:tblW w:w="10615" w:type="dxa"/>
          <w:jc w:val="center"/>
          <w:tblLook w:val="04A0"/>
        </w:tblPrEx>
        <w:trPr>
          <w:trHeight w:val="315"/>
          <w:jc w:val="center"/>
        </w:trPr>
        <w:tc>
          <w:tcPr>
            <w:tcW w:w="1795" w:type="dxa"/>
            <w:vMerge/>
            <w:vAlign w:val="center"/>
            <w:hideMark/>
          </w:tcPr>
          <w:p w:rsidR="0032048B" w:rsidRPr="00D839EE" w:rsidP="0032048B" w14:paraId="7F493D27" w14:textId="77777777">
            <w:pPr>
              <w:autoSpaceDE/>
              <w:autoSpaceDN/>
              <w:adjustRightInd/>
              <w:rPr>
                <w:rFonts w:cs="Arial"/>
                <w:b/>
                <w:bCs/>
              </w:rPr>
            </w:pPr>
          </w:p>
        </w:tc>
        <w:tc>
          <w:tcPr>
            <w:tcW w:w="1170" w:type="dxa"/>
            <w:shd w:val="clear" w:color="000000" w:fill="FFFFFF"/>
            <w:noWrap/>
            <w:vAlign w:val="center"/>
            <w:hideMark/>
          </w:tcPr>
          <w:p w:rsidR="0032048B" w:rsidRPr="00D839EE" w14:paraId="7F493D28" w14:textId="77777777">
            <w:pPr>
              <w:autoSpaceDE/>
              <w:autoSpaceDN/>
              <w:adjustRightInd/>
              <w:jc w:val="center"/>
              <w:rPr>
                <w:rFonts w:cs="Arial"/>
                <w:b/>
                <w:bCs/>
                <w:color w:val="000000"/>
              </w:rPr>
            </w:pPr>
            <w:r w:rsidRPr="00D839EE">
              <w:rPr>
                <w:rFonts w:cs="Arial"/>
                <w:b/>
                <w:bCs/>
                <w:color w:val="000000"/>
              </w:rPr>
              <w:t>4</w:t>
            </w:r>
          </w:p>
        </w:tc>
        <w:tc>
          <w:tcPr>
            <w:tcW w:w="7650" w:type="dxa"/>
            <w:shd w:val="clear" w:color="auto" w:fill="auto"/>
            <w:noWrap/>
            <w:vAlign w:val="center"/>
            <w:hideMark/>
          </w:tcPr>
          <w:p w:rsidR="0032048B" w:rsidRPr="00D839EE" w:rsidP="00EA25C6" w14:paraId="7F493D29" w14:textId="77777777">
            <w:pPr>
              <w:autoSpaceDE/>
              <w:autoSpaceDN/>
              <w:adjustRightInd/>
              <w:rPr>
                <w:rFonts w:cs="Arial"/>
              </w:rPr>
            </w:pPr>
            <w:r w:rsidRPr="00D839EE">
              <w:rPr>
                <w:rFonts w:cs="Arial"/>
              </w:rPr>
              <w:t>Review by management</w:t>
            </w:r>
          </w:p>
        </w:tc>
      </w:tr>
    </w:tbl>
    <w:p w:rsidR="002C5DA2" w:rsidRPr="00D96410" w:rsidP="00D341C4" w14:paraId="7F493D2B" w14:textId="5C379ED7">
      <w:pPr>
        <w:pStyle w:val="Caption"/>
        <w:keepNext/>
        <w:spacing w:after="0"/>
        <w:jc w:val="center"/>
        <w:rPr>
          <w:b/>
          <w:color w:val="auto"/>
          <w:sz w:val="20"/>
        </w:rPr>
      </w:pPr>
      <w:bookmarkStart w:id="523" w:name="_Toc534037083"/>
      <w:bookmarkStart w:id="524" w:name="_Toc534710027"/>
      <w:bookmarkStart w:id="525" w:name="_Toc534711712"/>
      <w:bookmarkStart w:id="526" w:name="_Toc534712145"/>
      <w:bookmarkStart w:id="527" w:name="_Toc534712722"/>
      <w:bookmarkStart w:id="528" w:name="_Toc534713231"/>
      <w:bookmarkStart w:id="529" w:name="_Toc9526491"/>
      <w:bookmarkStart w:id="530" w:name="_Toc536603440"/>
      <w:r w:rsidRPr="00D96410">
        <w:rPr>
          <w:b/>
          <w:i w:val="0"/>
          <w:color w:val="auto"/>
          <w:sz w:val="22"/>
        </w:rPr>
        <w:t xml:space="preserve">Exhibit </w:t>
      </w:r>
      <w:r w:rsidRPr="00D96410" w:rsidR="005111B6">
        <w:rPr>
          <w:b/>
          <w:i w:val="0"/>
          <w:color w:val="auto"/>
          <w:sz w:val="22"/>
        </w:rPr>
        <w:t>A</w:t>
      </w:r>
      <w:r w:rsidRPr="00D96410" w:rsidR="00180D68">
        <w:rPr>
          <w:b/>
          <w:i w:val="0"/>
          <w:color w:val="auto"/>
          <w:sz w:val="22"/>
        </w:rPr>
        <w:noBreakHyphen/>
      </w:r>
      <w:r w:rsidRPr="00D96410" w:rsidR="00C276FC">
        <w:rPr>
          <w:b/>
          <w:i w:val="0"/>
          <w:color w:val="auto"/>
          <w:sz w:val="22"/>
        </w:rPr>
        <w:fldChar w:fldCharType="begin"/>
      </w:r>
      <w:r w:rsidRPr="00D96410" w:rsidR="00C276FC">
        <w:rPr>
          <w:b/>
          <w:i w:val="0"/>
          <w:color w:val="auto"/>
          <w:sz w:val="22"/>
        </w:rPr>
        <w:instrText xml:space="preserve"> SEQ Exhibit \* ARABIC </w:instrText>
      </w:r>
      <w:r w:rsidRPr="00D96410" w:rsidR="00C276FC">
        <w:rPr>
          <w:b/>
          <w:i w:val="0"/>
          <w:color w:val="auto"/>
          <w:sz w:val="22"/>
        </w:rPr>
        <w:fldChar w:fldCharType="separate"/>
      </w:r>
      <w:r w:rsidR="00977795">
        <w:rPr>
          <w:b/>
          <w:i w:val="0"/>
          <w:noProof/>
          <w:color w:val="auto"/>
          <w:sz w:val="22"/>
        </w:rPr>
        <w:t>3</w:t>
      </w:r>
      <w:r w:rsidRPr="00D96410" w:rsidR="00C276FC">
        <w:rPr>
          <w:b/>
          <w:i w:val="0"/>
          <w:color w:val="auto"/>
          <w:sz w:val="22"/>
        </w:rPr>
        <w:fldChar w:fldCharType="end"/>
      </w:r>
      <w:r w:rsidRPr="00D96410">
        <w:rPr>
          <w:b/>
          <w:i w:val="0"/>
          <w:color w:val="auto"/>
          <w:sz w:val="22"/>
        </w:rPr>
        <w:t>a. Licensee Averted Costs of the Final Rule</w:t>
      </w:r>
      <w:bookmarkEnd w:id="523"/>
      <w:bookmarkEnd w:id="524"/>
      <w:bookmarkEnd w:id="525"/>
      <w:bookmarkEnd w:id="526"/>
      <w:bookmarkEnd w:id="527"/>
      <w:bookmarkEnd w:id="528"/>
      <w:bookmarkEnd w:id="529"/>
      <w:bookmarkEnd w:id="530"/>
    </w:p>
    <w:tbl>
      <w:tblPr>
        <w:tblW w:w="13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5"/>
        <w:gridCol w:w="720"/>
        <w:gridCol w:w="1890"/>
        <w:gridCol w:w="630"/>
        <w:gridCol w:w="990"/>
        <w:gridCol w:w="720"/>
        <w:gridCol w:w="900"/>
        <w:gridCol w:w="630"/>
        <w:gridCol w:w="990"/>
        <w:gridCol w:w="772"/>
        <w:gridCol w:w="1118"/>
        <w:gridCol w:w="1260"/>
        <w:gridCol w:w="1250"/>
      </w:tblGrid>
      <w:tr w14:paraId="7F493D31" w14:textId="77777777" w:rsidTr="00D96410">
        <w:tblPrEx>
          <w:tblW w:w="13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blHeader/>
          <w:jc w:val="center"/>
        </w:trPr>
        <w:tc>
          <w:tcPr>
            <w:tcW w:w="1445" w:type="dxa"/>
            <w:vMerge w:val="restart"/>
            <w:shd w:val="clear" w:color="auto" w:fill="auto"/>
            <w:vAlign w:val="center"/>
            <w:hideMark/>
          </w:tcPr>
          <w:p w:rsidR="00A0318C" w:rsidRPr="00B01EA1" w:rsidP="00A0318C" w14:paraId="7F493D2C" w14:textId="77777777">
            <w:pPr>
              <w:autoSpaceDE/>
              <w:autoSpaceDN/>
              <w:adjustRightInd/>
              <w:jc w:val="center"/>
              <w:rPr>
                <w:rFonts w:cs="Arial"/>
                <w:b/>
                <w:bCs/>
              </w:rPr>
            </w:pPr>
            <w:r w:rsidRPr="00B01EA1">
              <w:rPr>
                <w:rFonts w:cs="Arial"/>
                <w:b/>
                <w:bCs/>
              </w:rPr>
              <w:t>Existing Process Steps</w:t>
            </w:r>
          </w:p>
        </w:tc>
        <w:tc>
          <w:tcPr>
            <w:tcW w:w="720" w:type="dxa"/>
            <w:vMerge w:val="restart"/>
            <w:shd w:val="clear" w:color="auto" w:fill="auto"/>
            <w:noWrap/>
            <w:vAlign w:val="center"/>
            <w:hideMark/>
          </w:tcPr>
          <w:p w:rsidR="004967D4" w:rsidP="00A0318C" w14:paraId="7F493D2D" w14:textId="77777777">
            <w:pPr>
              <w:autoSpaceDE/>
              <w:autoSpaceDN/>
              <w:adjustRightInd/>
              <w:jc w:val="center"/>
              <w:rPr>
                <w:rFonts w:cs="Arial"/>
                <w:b/>
                <w:bCs/>
                <w:color w:val="000000"/>
              </w:rPr>
            </w:pPr>
            <w:r>
              <w:rPr>
                <w:rFonts w:cs="Arial"/>
                <w:b/>
                <w:bCs/>
                <w:color w:val="000000"/>
              </w:rPr>
              <w:t>Sub</w:t>
            </w:r>
          </w:p>
          <w:p w:rsidR="00A0318C" w:rsidRPr="00B01EA1" w:rsidP="00A0318C" w14:paraId="7F493D2E" w14:textId="77777777">
            <w:pPr>
              <w:autoSpaceDE/>
              <w:autoSpaceDN/>
              <w:adjustRightInd/>
              <w:jc w:val="center"/>
              <w:rPr>
                <w:rFonts w:cs="Arial"/>
                <w:b/>
                <w:bCs/>
                <w:color w:val="000000"/>
              </w:rPr>
            </w:pPr>
            <w:r>
              <w:rPr>
                <w:rFonts w:cs="Arial"/>
                <w:b/>
                <w:bCs/>
                <w:color w:val="000000"/>
              </w:rPr>
              <w:t>s</w:t>
            </w:r>
            <w:r w:rsidRPr="00B01EA1">
              <w:rPr>
                <w:rFonts w:cs="Arial"/>
                <w:b/>
                <w:bCs/>
                <w:color w:val="000000"/>
              </w:rPr>
              <w:t>tep</w:t>
            </w:r>
          </w:p>
        </w:tc>
        <w:tc>
          <w:tcPr>
            <w:tcW w:w="7522" w:type="dxa"/>
            <w:gridSpan w:val="8"/>
            <w:shd w:val="clear" w:color="auto" w:fill="auto"/>
            <w:noWrap/>
            <w:vAlign w:val="center"/>
            <w:hideMark/>
          </w:tcPr>
          <w:p w:rsidR="00A0318C" w:rsidRPr="00B01EA1" w:rsidP="00A0318C" w14:paraId="7F493D2F" w14:textId="77777777">
            <w:pPr>
              <w:autoSpaceDE/>
              <w:autoSpaceDN/>
              <w:adjustRightInd/>
              <w:jc w:val="center"/>
              <w:rPr>
                <w:rFonts w:cs="Arial"/>
                <w:b/>
                <w:bCs/>
                <w:color w:val="000000"/>
              </w:rPr>
            </w:pPr>
            <w:r w:rsidRPr="00B01EA1">
              <w:rPr>
                <w:rFonts w:cs="Arial"/>
                <w:b/>
                <w:bCs/>
                <w:color w:val="000000"/>
              </w:rPr>
              <w:t>Cost Inputs</w:t>
            </w:r>
          </w:p>
        </w:tc>
        <w:tc>
          <w:tcPr>
            <w:tcW w:w="3628" w:type="dxa"/>
            <w:gridSpan w:val="3"/>
            <w:shd w:val="clear" w:color="auto" w:fill="auto"/>
            <w:noWrap/>
            <w:vAlign w:val="center"/>
            <w:hideMark/>
          </w:tcPr>
          <w:p w:rsidR="00A0318C" w:rsidRPr="00B01EA1" w:rsidP="00A0318C" w14:paraId="7F493D30" w14:textId="77777777">
            <w:pPr>
              <w:autoSpaceDE/>
              <w:autoSpaceDN/>
              <w:adjustRightInd/>
              <w:jc w:val="center"/>
              <w:rPr>
                <w:rFonts w:cs="Arial"/>
                <w:b/>
                <w:bCs/>
                <w:color w:val="000000"/>
              </w:rPr>
            </w:pPr>
            <w:r w:rsidRPr="00B01EA1">
              <w:rPr>
                <w:rFonts w:cs="Arial"/>
                <w:b/>
                <w:bCs/>
                <w:color w:val="000000"/>
              </w:rPr>
              <w:t>Cost per Category</w:t>
            </w:r>
          </w:p>
        </w:tc>
      </w:tr>
      <w:tr w14:paraId="7F493D3B" w14:textId="77777777" w:rsidTr="00D96410">
        <w:tblPrEx>
          <w:tblW w:w="13315" w:type="dxa"/>
          <w:jc w:val="center"/>
          <w:tblLayout w:type="fixed"/>
          <w:tblLook w:val="04A0"/>
        </w:tblPrEx>
        <w:trPr>
          <w:trHeight w:val="390"/>
          <w:tblHeader/>
          <w:jc w:val="center"/>
        </w:trPr>
        <w:tc>
          <w:tcPr>
            <w:tcW w:w="1445" w:type="dxa"/>
            <w:vMerge/>
            <w:vAlign w:val="center"/>
            <w:hideMark/>
          </w:tcPr>
          <w:p w:rsidR="00A0318C" w:rsidRPr="00B01EA1" w:rsidP="00A0318C" w14:paraId="7F493D32" w14:textId="77777777">
            <w:pPr>
              <w:autoSpaceDE/>
              <w:autoSpaceDN/>
              <w:adjustRightInd/>
              <w:rPr>
                <w:rFonts w:cs="Arial"/>
                <w:b/>
                <w:bCs/>
              </w:rPr>
            </w:pPr>
          </w:p>
        </w:tc>
        <w:tc>
          <w:tcPr>
            <w:tcW w:w="720" w:type="dxa"/>
            <w:vMerge/>
            <w:vAlign w:val="center"/>
            <w:hideMark/>
          </w:tcPr>
          <w:p w:rsidR="00A0318C" w:rsidRPr="00B01EA1" w:rsidP="00A0318C" w14:paraId="7F493D33" w14:textId="77777777">
            <w:pPr>
              <w:autoSpaceDE/>
              <w:autoSpaceDN/>
              <w:adjustRightInd/>
              <w:rPr>
                <w:rFonts w:cs="Arial"/>
                <w:b/>
                <w:bCs/>
                <w:color w:val="000000"/>
              </w:rPr>
            </w:pPr>
          </w:p>
        </w:tc>
        <w:tc>
          <w:tcPr>
            <w:tcW w:w="1890" w:type="dxa"/>
            <w:vMerge w:val="restart"/>
            <w:shd w:val="clear" w:color="auto" w:fill="auto"/>
            <w:vAlign w:val="center"/>
            <w:hideMark/>
          </w:tcPr>
          <w:p w:rsidR="00A0318C" w:rsidRPr="00B01EA1" w:rsidP="00A0318C" w14:paraId="7F493D34" w14:textId="77777777">
            <w:pPr>
              <w:autoSpaceDE/>
              <w:autoSpaceDN/>
              <w:adjustRightInd/>
              <w:jc w:val="center"/>
              <w:rPr>
                <w:rFonts w:cs="Arial"/>
                <w:b/>
                <w:bCs/>
              </w:rPr>
            </w:pPr>
            <w:r w:rsidRPr="00B01EA1">
              <w:rPr>
                <w:rFonts w:cs="Arial"/>
                <w:b/>
                <w:bCs/>
              </w:rPr>
              <w:t>Labor Category or Input</w:t>
            </w:r>
          </w:p>
        </w:tc>
        <w:tc>
          <w:tcPr>
            <w:tcW w:w="2340" w:type="dxa"/>
            <w:gridSpan w:val="3"/>
            <w:shd w:val="clear" w:color="auto" w:fill="auto"/>
            <w:noWrap/>
            <w:vAlign w:val="center"/>
            <w:hideMark/>
          </w:tcPr>
          <w:p w:rsidR="00A0318C" w:rsidRPr="00B01EA1" w:rsidP="00A0318C" w14:paraId="7F493D35" w14:textId="77777777">
            <w:pPr>
              <w:autoSpaceDE/>
              <w:autoSpaceDN/>
              <w:adjustRightInd/>
              <w:jc w:val="center"/>
              <w:rPr>
                <w:rFonts w:cs="Arial"/>
                <w:b/>
                <w:bCs/>
              </w:rPr>
            </w:pPr>
            <w:r w:rsidRPr="00B01EA1">
              <w:rPr>
                <w:rFonts w:cs="Arial"/>
                <w:b/>
                <w:bCs/>
              </w:rPr>
              <w:t>Hours per Category</w:t>
            </w:r>
          </w:p>
        </w:tc>
        <w:tc>
          <w:tcPr>
            <w:tcW w:w="900" w:type="dxa"/>
            <w:vMerge w:val="restart"/>
            <w:shd w:val="clear" w:color="auto" w:fill="auto"/>
            <w:vAlign w:val="center"/>
            <w:hideMark/>
          </w:tcPr>
          <w:p w:rsidR="00A0318C" w:rsidRPr="00B01EA1" w:rsidP="00A0318C" w14:paraId="7F493D36" w14:textId="77777777">
            <w:pPr>
              <w:autoSpaceDE/>
              <w:autoSpaceDN/>
              <w:adjustRightInd/>
              <w:jc w:val="center"/>
              <w:rPr>
                <w:rFonts w:cs="Arial"/>
                <w:b/>
                <w:bCs/>
              </w:rPr>
            </w:pPr>
            <w:r w:rsidRPr="00B01EA1">
              <w:rPr>
                <w:rFonts w:cs="Arial"/>
                <w:b/>
                <w:bCs/>
              </w:rPr>
              <w:t>Rate</w:t>
            </w:r>
          </w:p>
        </w:tc>
        <w:tc>
          <w:tcPr>
            <w:tcW w:w="2392" w:type="dxa"/>
            <w:gridSpan w:val="3"/>
            <w:shd w:val="clear" w:color="auto" w:fill="auto"/>
            <w:noWrap/>
            <w:vAlign w:val="center"/>
            <w:hideMark/>
          </w:tcPr>
          <w:p w:rsidR="00A0318C" w:rsidRPr="00B01EA1" w:rsidP="00A0318C" w14:paraId="7F493D37" w14:textId="77777777">
            <w:pPr>
              <w:autoSpaceDE/>
              <w:autoSpaceDN/>
              <w:adjustRightInd/>
              <w:jc w:val="center"/>
              <w:rPr>
                <w:rFonts w:cs="Arial"/>
                <w:b/>
                <w:bCs/>
              </w:rPr>
            </w:pPr>
            <w:r w:rsidRPr="00B01EA1">
              <w:rPr>
                <w:rFonts w:cs="Arial"/>
                <w:b/>
                <w:bCs/>
              </w:rPr>
              <w:t>Workload</w:t>
            </w:r>
          </w:p>
        </w:tc>
        <w:tc>
          <w:tcPr>
            <w:tcW w:w="1118" w:type="dxa"/>
            <w:vMerge w:val="restart"/>
            <w:shd w:val="clear" w:color="auto" w:fill="auto"/>
            <w:noWrap/>
            <w:vAlign w:val="center"/>
            <w:hideMark/>
          </w:tcPr>
          <w:p w:rsidR="00A0318C" w:rsidRPr="00B01EA1" w:rsidP="00A0318C" w14:paraId="7F493D38" w14:textId="77777777">
            <w:pPr>
              <w:autoSpaceDE/>
              <w:autoSpaceDN/>
              <w:adjustRightInd/>
              <w:jc w:val="center"/>
              <w:rPr>
                <w:rFonts w:cs="Arial"/>
                <w:b/>
                <w:bCs/>
                <w:color w:val="000000"/>
              </w:rPr>
            </w:pPr>
            <w:r w:rsidRPr="00B01EA1">
              <w:rPr>
                <w:rFonts w:cs="Arial"/>
                <w:b/>
                <w:bCs/>
                <w:color w:val="000000"/>
              </w:rPr>
              <w:t>Low</w:t>
            </w:r>
          </w:p>
        </w:tc>
        <w:tc>
          <w:tcPr>
            <w:tcW w:w="1260" w:type="dxa"/>
            <w:vMerge w:val="restart"/>
            <w:shd w:val="clear" w:color="auto" w:fill="auto"/>
            <w:noWrap/>
            <w:vAlign w:val="center"/>
            <w:hideMark/>
          </w:tcPr>
          <w:p w:rsidR="00A0318C" w:rsidRPr="00B01EA1" w:rsidP="00A0318C" w14:paraId="7F493D39" w14:textId="77777777">
            <w:pPr>
              <w:autoSpaceDE/>
              <w:autoSpaceDN/>
              <w:adjustRightInd/>
              <w:jc w:val="center"/>
              <w:rPr>
                <w:rFonts w:cs="Arial"/>
                <w:b/>
                <w:bCs/>
                <w:color w:val="000000"/>
              </w:rPr>
            </w:pPr>
            <w:r w:rsidRPr="00B01EA1">
              <w:rPr>
                <w:rFonts w:cs="Arial"/>
                <w:b/>
                <w:bCs/>
                <w:color w:val="000000"/>
              </w:rPr>
              <w:t>Medium</w:t>
            </w:r>
          </w:p>
        </w:tc>
        <w:tc>
          <w:tcPr>
            <w:tcW w:w="1250" w:type="dxa"/>
            <w:vMerge w:val="restart"/>
            <w:shd w:val="clear" w:color="auto" w:fill="auto"/>
            <w:noWrap/>
            <w:vAlign w:val="center"/>
            <w:hideMark/>
          </w:tcPr>
          <w:p w:rsidR="00A0318C" w:rsidRPr="00B01EA1" w:rsidP="00A0318C" w14:paraId="7F493D3A" w14:textId="77777777">
            <w:pPr>
              <w:autoSpaceDE/>
              <w:autoSpaceDN/>
              <w:adjustRightInd/>
              <w:jc w:val="center"/>
              <w:rPr>
                <w:rFonts w:cs="Arial"/>
                <w:b/>
                <w:bCs/>
                <w:color w:val="000000"/>
              </w:rPr>
            </w:pPr>
            <w:r w:rsidRPr="00B01EA1">
              <w:rPr>
                <w:rFonts w:cs="Arial"/>
                <w:b/>
                <w:bCs/>
                <w:color w:val="000000"/>
              </w:rPr>
              <w:t>High</w:t>
            </w:r>
          </w:p>
        </w:tc>
      </w:tr>
      <w:tr w14:paraId="7F493D49" w14:textId="77777777" w:rsidTr="00D96410">
        <w:tblPrEx>
          <w:tblW w:w="13315" w:type="dxa"/>
          <w:jc w:val="center"/>
          <w:tblLayout w:type="fixed"/>
          <w:tblLook w:val="04A0"/>
        </w:tblPrEx>
        <w:trPr>
          <w:trHeight w:val="390"/>
          <w:tblHeader/>
          <w:jc w:val="center"/>
        </w:trPr>
        <w:tc>
          <w:tcPr>
            <w:tcW w:w="1445" w:type="dxa"/>
            <w:vMerge/>
            <w:vAlign w:val="center"/>
            <w:hideMark/>
          </w:tcPr>
          <w:p w:rsidR="00A0318C" w:rsidRPr="00B01EA1" w:rsidP="00A0318C" w14:paraId="7F493D3C" w14:textId="77777777">
            <w:pPr>
              <w:autoSpaceDE/>
              <w:autoSpaceDN/>
              <w:adjustRightInd/>
              <w:rPr>
                <w:rFonts w:cs="Arial"/>
                <w:b/>
                <w:bCs/>
              </w:rPr>
            </w:pPr>
          </w:p>
        </w:tc>
        <w:tc>
          <w:tcPr>
            <w:tcW w:w="720" w:type="dxa"/>
            <w:vMerge/>
            <w:vAlign w:val="center"/>
            <w:hideMark/>
          </w:tcPr>
          <w:p w:rsidR="00A0318C" w:rsidRPr="00B01EA1" w:rsidP="00A0318C" w14:paraId="7F493D3D" w14:textId="77777777">
            <w:pPr>
              <w:autoSpaceDE/>
              <w:autoSpaceDN/>
              <w:adjustRightInd/>
              <w:rPr>
                <w:rFonts w:cs="Arial"/>
                <w:b/>
                <w:bCs/>
                <w:color w:val="000000"/>
              </w:rPr>
            </w:pPr>
          </w:p>
        </w:tc>
        <w:tc>
          <w:tcPr>
            <w:tcW w:w="1890" w:type="dxa"/>
            <w:vMerge/>
            <w:vAlign w:val="center"/>
            <w:hideMark/>
          </w:tcPr>
          <w:p w:rsidR="00A0318C" w:rsidRPr="00B01EA1" w:rsidP="00A0318C" w14:paraId="7F493D3E" w14:textId="77777777">
            <w:pPr>
              <w:autoSpaceDE/>
              <w:autoSpaceDN/>
              <w:adjustRightInd/>
              <w:rPr>
                <w:rFonts w:cs="Arial"/>
                <w:b/>
                <w:bCs/>
              </w:rPr>
            </w:pPr>
          </w:p>
        </w:tc>
        <w:tc>
          <w:tcPr>
            <w:tcW w:w="630" w:type="dxa"/>
            <w:shd w:val="clear" w:color="auto" w:fill="auto"/>
            <w:vAlign w:val="center"/>
            <w:hideMark/>
          </w:tcPr>
          <w:p w:rsidR="00A0318C" w:rsidRPr="00B01EA1" w:rsidP="00A0318C" w14:paraId="7F493D3F" w14:textId="77777777">
            <w:pPr>
              <w:autoSpaceDE/>
              <w:autoSpaceDN/>
              <w:adjustRightInd/>
              <w:jc w:val="center"/>
              <w:rPr>
                <w:rFonts w:cs="Arial"/>
                <w:b/>
                <w:bCs/>
              </w:rPr>
            </w:pPr>
            <w:r w:rsidRPr="00B01EA1">
              <w:rPr>
                <w:rFonts w:cs="Arial"/>
                <w:b/>
                <w:bCs/>
              </w:rPr>
              <w:t>Low</w:t>
            </w:r>
          </w:p>
        </w:tc>
        <w:tc>
          <w:tcPr>
            <w:tcW w:w="990" w:type="dxa"/>
            <w:shd w:val="clear" w:color="auto" w:fill="auto"/>
            <w:vAlign w:val="center"/>
            <w:hideMark/>
          </w:tcPr>
          <w:p w:rsidR="00A0318C" w:rsidRPr="00B01EA1" w:rsidP="00A0318C" w14:paraId="7F493D40" w14:textId="77777777">
            <w:pPr>
              <w:autoSpaceDE/>
              <w:autoSpaceDN/>
              <w:adjustRightInd/>
              <w:jc w:val="center"/>
              <w:rPr>
                <w:rFonts w:cs="Arial"/>
                <w:b/>
                <w:bCs/>
              </w:rPr>
            </w:pPr>
            <w:r w:rsidRPr="00B01EA1">
              <w:rPr>
                <w:rFonts w:cs="Arial"/>
                <w:b/>
                <w:bCs/>
              </w:rPr>
              <w:t>Medium</w:t>
            </w:r>
          </w:p>
        </w:tc>
        <w:tc>
          <w:tcPr>
            <w:tcW w:w="720" w:type="dxa"/>
            <w:shd w:val="clear" w:color="auto" w:fill="auto"/>
            <w:noWrap/>
            <w:vAlign w:val="center"/>
            <w:hideMark/>
          </w:tcPr>
          <w:p w:rsidR="00A0318C" w:rsidRPr="00B01EA1" w:rsidP="00A0318C" w14:paraId="7F493D41" w14:textId="77777777">
            <w:pPr>
              <w:autoSpaceDE/>
              <w:autoSpaceDN/>
              <w:adjustRightInd/>
              <w:jc w:val="center"/>
              <w:rPr>
                <w:rFonts w:cs="Arial"/>
                <w:b/>
                <w:bCs/>
                <w:color w:val="000000"/>
              </w:rPr>
            </w:pPr>
            <w:r w:rsidRPr="00B01EA1">
              <w:rPr>
                <w:rFonts w:cs="Arial"/>
                <w:b/>
                <w:bCs/>
                <w:color w:val="000000"/>
              </w:rPr>
              <w:t>High</w:t>
            </w:r>
          </w:p>
        </w:tc>
        <w:tc>
          <w:tcPr>
            <w:tcW w:w="900" w:type="dxa"/>
            <w:vMerge/>
            <w:vAlign w:val="center"/>
            <w:hideMark/>
          </w:tcPr>
          <w:p w:rsidR="00A0318C" w:rsidRPr="00B01EA1" w:rsidP="00A0318C" w14:paraId="7F493D42" w14:textId="77777777">
            <w:pPr>
              <w:autoSpaceDE/>
              <w:autoSpaceDN/>
              <w:adjustRightInd/>
              <w:rPr>
                <w:rFonts w:cs="Arial"/>
                <w:b/>
                <w:bCs/>
              </w:rPr>
            </w:pPr>
          </w:p>
        </w:tc>
        <w:tc>
          <w:tcPr>
            <w:tcW w:w="630" w:type="dxa"/>
            <w:shd w:val="clear" w:color="auto" w:fill="auto"/>
            <w:noWrap/>
            <w:vAlign w:val="center"/>
            <w:hideMark/>
          </w:tcPr>
          <w:p w:rsidR="00A0318C" w:rsidRPr="00B01EA1" w:rsidP="00A0318C" w14:paraId="7F493D43" w14:textId="77777777">
            <w:pPr>
              <w:autoSpaceDE/>
              <w:autoSpaceDN/>
              <w:adjustRightInd/>
              <w:jc w:val="center"/>
              <w:rPr>
                <w:rFonts w:cs="Arial"/>
                <w:b/>
                <w:bCs/>
                <w:color w:val="000000"/>
              </w:rPr>
            </w:pPr>
            <w:r w:rsidRPr="00B01EA1">
              <w:rPr>
                <w:rFonts w:cs="Arial"/>
                <w:b/>
                <w:bCs/>
                <w:color w:val="000000"/>
              </w:rPr>
              <w:t>Low</w:t>
            </w:r>
          </w:p>
        </w:tc>
        <w:tc>
          <w:tcPr>
            <w:tcW w:w="990" w:type="dxa"/>
            <w:shd w:val="clear" w:color="auto" w:fill="auto"/>
            <w:noWrap/>
            <w:vAlign w:val="center"/>
            <w:hideMark/>
          </w:tcPr>
          <w:p w:rsidR="00A0318C" w:rsidRPr="00B01EA1" w:rsidP="00A0318C" w14:paraId="7F493D44" w14:textId="77777777">
            <w:pPr>
              <w:autoSpaceDE/>
              <w:autoSpaceDN/>
              <w:adjustRightInd/>
              <w:jc w:val="center"/>
              <w:rPr>
                <w:rFonts w:cs="Arial"/>
                <w:b/>
                <w:bCs/>
                <w:color w:val="000000"/>
              </w:rPr>
            </w:pPr>
            <w:r w:rsidRPr="00B01EA1">
              <w:rPr>
                <w:rFonts w:cs="Arial"/>
                <w:b/>
                <w:bCs/>
                <w:color w:val="000000"/>
              </w:rPr>
              <w:t>Medium</w:t>
            </w:r>
          </w:p>
        </w:tc>
        <w:tc>
          <w:tcPr>
            <w:tcW w:w="772" w:type="dxa"/>
            <w:shd w:val="clear" w:color="auto" w:fill="auto"/>
            <w:noWrap/>
            <w:vAlign w:val="center"/>
            <w:hideMark/>
          </w:tcPr>
          <w:p w:rsidR="00A0318C" w:rsidRPr="00B01EA1" w:rsidP="00A0318C" w14:paraId="7F493D45" w14:textId="77777777">
            <w:pPr>
              <w:autoSpaceDE/>
              <w:autoSpaceDN/>
              <w:adjustRightInd/>
              <w:jc w:val="center"/>
              <w:rPr>
                <w:rFonts w:cs="Arial"/>
                <w:b/>
                <w:bCs/>
                <w:color w:val="000000"/>
              </w:rPr>
            </w:pPr>
            <w:r w:rsidRPr="00B01EA1">
              <w:rPr>
                <w:rFonts w:cs="Arial"/>
                <w:b/>
                <w:bCs/>
                <w:color w:val="000000"/>
              </w:rPr>
              <w:t>High</w:t>
            </w:r>
          </w:p>
        </w:tc>
        <w:tc>
          <w:tcPr>
            <w:tcW w:w="1118" w:type="dxa"/>
            <w:vMerge/>
            <w:vAlign w:val="center"/>
            <w:hideMark/>
          </w:tcPr>
          <w:p w:rsidR="00A0318C" w:rsidRPr="00B01EA1" w:rsidP="00A0318C" w14:paraId="7F493D46" w14:textId="77777777">
            <w:pPr>
              <w:autoSpaceDE/>
              <w:autoSpaceDN/>
              <w:adjustRightInd/>
              <w:rPr>
                <w:rFonts w:cs="Arial"/>
                <w:b/>
                <w:bCs/>
                <w:color w:val="000000"/>
              </w:rPr>
            </w:pPr>
          </w:p>
        </w:tc>
        <w:tc>
          <w:tcPr>
            <w:tcW w:w="1260" w:type="dxa"/>
            <w:vMerge/>
            <w:vAlign w:val="center"/>
            <w:hideMark/>
          </w:tcPr>
          <w:p w:rsidR="00A0318C" w:rsidRPr="00B01EA1" w:rsidP="00A0318C" w14:paraId="7F493D47" w14:textId="77777777">
            <w:pPr>
              <w:autoSpaceDE/>
              <w:autoSpaceDN/>
              <w:adjustRightInd/>
              <w:rPr>
                <w:rFonts w:cs="Arial"/>
                <w:b/>
                <w:bCs/>
                <w:color w:val="000000"/>
              </w:rPr>
            </w:pPr>
          </w:p>
        </w:tc>
        <w:tc>
          <w:tcPr>
            <w:tcW w:w="1250" w:type="dxa"/>
            <w:vMerge/>
            <w:vAlign w:val="center"/>
            <w:hideMark/>
          </w:tcPr>
          <w:p w:rsidR="00A0318C" w:rsidRPr="00B01EA1" w:rsidP="00A0318C" w14:paraId="7F493D48" w14:textId="77777777">
            <w:pPr>
              <w:autoSpaceDE/>
              <w:autoSpaceDN/>
              <w:adjustRightInd/>
              <w:rPr>
                <w:rFonts w:cs="Arial"/>
                <w:b/>
                <w:bCs/>
                <w:color w:val="000000"/>
              </w:rPr>
            </w:pPr>
          </w:p>
        </w:tc>
      </w:tr>
      <w:tr w14:paraId="7F493D4B" w14:textId="77777777" w:rsidTr="00D96410">
        <w:tblPrEx>
          <w:tblW w:w="13315" w:type="dxa"/>
          <w:jc w:val="center"/>
          <w:tblLayout w:type="fixed"/>
          <w:tblLook w:val="04A0"/>
        </w:tblPrEx>
        <w:trPr>
          <w:trHeight w:val="398"/>
          <w:tblHeader/>
          <w:jc w:val="center"/>
        </w:trPr>
        <w:tc>
          <w:tcPr>
            <w:tcW w:w="13315" w:type="dxa"/>
            <w:gridSpan w:val="13"/>
            <w:shd w:val="clear" w:color="000000" w:fill="D9D9D9"/>
            <w:vAlign w:val="center"/>
            <w:hideMark/>
          </w:tcPr>
          <w:p w:rsidR="00A0318C" w:rsidRPr="00B01EA1" w:rsidP="00A0318C" w14:paraId="7F493D4A" w14:textId="77777777">
            <w:pPr>
              <w:autoSpaceDE/>
              <w:autoSpaceDN/>
              <w:adjustRightInd/>
              <w:jc w:val="center"/>
              <w:rPr>
                <w:rFonts w:cs="Arial"/>
                <w:b/>
                <w:bCs/>
                <w:color w:val="000000"/>
              </w:rPr>
            </w:pPr>
            <w:r>
              <w:rPr>
                <w:rFonts w:cs="Arial"/>
                <w:b/>
                <w:bCs/>
                <w:color w:val="000000"/>
              </w:rPr>
              <w:t>Licensee</w:t>
            </w:r>
            <w:r w:rsidRPr="00B01EA1">
              <w:rPr>
                <w:rFonts w:cs="Arial"/>
                <w:b/>
                <w:bCs/>
                <w:color w:val="000000"/>
              </w:rPr>
              <w:t xml:space="preserve"> Averted Costs</w:t>
            </w:r>
          </w:p>
        </w:tc>
      </w:tr>
      <w:tr w14:paraId="7F493D59" w14:textId="77777777" w:rsidTr="00D96410">
        <w:tblPrEx>
          <w:tblW w:w="13315" w:type="dxa"/>
          <w:jc w:val="center"/>
          <w:tblLayout w:type="fixed"/>
          <w:tblLook w:val="04A0"/>
        </w:tblPrEx>
        <w:trPr>
          <w:trHeight w:val="390"/>
          <w:jc w:val="center"/>
        </w:trPr>
        <w:tc>
          <w:tcPr>
            <w:tcW w:w="1445" w:type="dxa"/>
            <w:vMerge w:val="restart"/>
            <w:shd w:val="clear" w:color="auto" w:fill="auto"/>
            <w:vAlign w:val="center"/>
            <w:hideMark/>
          </w:tcPr>
          <w:p w:rsidR="00A0318C" w:rsidRPr="00B01EA1" w:rsidP="00A0318C" w14:paraId="7F493D4C" w14:textId="77777777">
            <w:pPr>
              <w:autoSpaceDE/>
              <w:autoSpaceDN/>
              <w:adjustRightInd/>
              <w:jc w:val="center"/>
              <w:rPr>
                <w:rFonts w:cs="Arial"/>
                <w:b/>
                <w:bCs/>
                <w:color w:val="000000"/>
              </w:rPr>
            </w:pPr>
            <w:r w:rsidRPr="00B01EA1">
              <w:rPr>
                <w:rFonts w:cs="Arial"/>
                <w:b/>
                <w:bCs/>
                <w:color w:val="000000"/>
              </w:rPr>
              <w:t>Preparing License Renewal Application</w:t>
            </w:r>
          </w:p>
        </w:tc>
        <w:tc>
          <w:tcPr>
            <w:tcW w:w="720" w:type="dxa"/>
            <w:vMerge w:val="restart"/>
            <w:shd w:val="clear" w:color="auto" w:fill="auto"/>
            <w:noWrap/>
            <w:vAlign w:val="center"/>
            <w:hideMark/>
          </w:tcPr>
          <w:p w:rsidR="00A0318C" w:rsidRPr="00B01EA1" w:rsidP="00A0318C" w14:paraId="7F493D4D" w14:textId="77777777">
            <w:pPr>
              <w:autoSpaceDE/>
              <w:autoSpaceDN/>
              <w:adjustRightInd/>
              <w:jc w:val="center"/>
              <w:rPr>
                <w:rFonts w:cs="Arial"/>
                <w:b/>
                <w:bCs/>
                <w:color w:val="000000"/>
              </w:rPr>
            </w:pPr>
            <w:r w:rsidRPr="00B01EA1">
              <w:rPr>
                <w:rFonts w:cs="Arial"/>
                <w:b/>
                <w:bCs/>
                <w:color w:val="000000"/>
              </w:rPr>
              <w:t>1</w:t>
            </w:r>
          </w:p>
        </w:tc>
        <w:tc>
          <w:tcPr>
            <w:tcW w:w="1890" w:type="dxa"/>
            <w:shd w:val="clear" w:color="auto" w:fill="auto"/>
            <w:noWrap/>
            <w:vAlign w:val="center"/>
            <w:hideMark/>
          </w:tcPr>
          <w:p w:rsidR="00A0318C" w:rsidRPr="00B01EA1" w:rsidP="00A0318C" w14:paraId="7F493D4E" w14:textId="77777777">
            <w:pPr>
              <w:autoSpaceDE/>
              <w:autoSpaceDN/>
              <w:adjustRightInd/>
              <w:rPr>
                <w:rFonts w:cs="Arial"/>
                <w:color w:val="000000"/>
              </w:rPr>
            </w:pPr>
            <w:r w:rsidRPr="008C2B2C">
              <w:rPr>
                <w:rFonts w:cs="Arial"/>
                <w:color w:val="000000"/>
              </w:rPr>
              <w:t>Reactor Di</w:t>
            </w:r>
            <w:r>
              <w:rPr>
                <w:rFonts w:cs="Arial"/>
                <w:color w:val="000000"/>
              </w:rPr>
              <w:t>r.</w:t>
            </w:r>
            <w:r w:rsidRPr="00A43CE3">
              <w:rPr>
                <w:rFonts w:cs="Arial"/>
                <w:color w:val="000000"/>
              </w:rPr>
              <w:t xml:space="preserve"> / Professor</w:t>
            </w:r>
            <w:r>
              <w:rPr>
                <w:rFonts w:cs="Arial"/>
                <w:color w:val="000000"/>
              </w:rPr>
              <w:t xml:space="preserve"> </w:t>
            </w:r>
            <w:r w:rsidRPr="00A43CE3">
              <w:rPr>
                <w:rFonts w:cs="Arial"/>
                <w:color w:val="000000"/>
              </w:rPr>
              <w:t>/</w:t>
            </w:r>
            <w:r>
              <w:rPr>
                <w:rFonts w:cs="Arial"/>
                <w:color w:val="000000"/>
              </w:rPr>
              <w:t xml:space="preserve">  </w:t>
            </w:r>
            <w:r w:rsidRPr="00A43CE3">
              <w:rPr>
                <w:rFonts w:cs="Arial"/>
                <w:color w:val="000000"/>
              </w:rPr>
              <w:t>Project Manager</w:t>
            </w:r>
          </w:p>
        </w:tc>
        <w:tc>
          <w:tcPr>
            <w:tcW w:w="630" w:type="dxa"/>
            <w:vMerge w:val="restart"/>
            <w:shd w:val="clear" w:color="auto" w:fill="auto"/>
            <w:vAlign w:val="center"/>
            <w:hideMark/>
          </w:tcPr>
          <w:p w:rsidR="00A0318C" w:rsidRPr="00B01EA1" w:rsidP="00A0318C" w14:paraId="7F493D4F" w14:textId="77777777">
            <w:pPr>
              <w:autoSpaceDE/>
              <w:autoSpaceDN/>
              <w:adjustRightInd/>
              <w:jc w:val="center"/>
              <w:rPr>
                <w:rFonts w:cs="Arial"/>
                <w:color w:val="000000"/>
              </w:rPr>
            </w:pPr>
            <w:r w:rsidRPr="00B01EA1">
              <w:rPr>
                <w:rFonts w:cs="Arial"/>
                <w:color w:val="000000"/>
              </w:rPr>
              <w:t>33</w:t>
            </w:r>
          </w:p>
        </w:tc>
        <w:tc>
          <w:tcPr>
            <w:tcW w:w="990" w:type="dxa"/>
            <w:vMerge w:val="restart"/>
            <w:shd w:val="clear" w:color="auto" w:fill="auto"/>
            <w:vAlign w:val="center"/>
            <w:hideMark/>
          </w:tcPr>
          <w:p w:rsidR="00A0318C" w:rsidRPr="00B01EA1" w:rsidP="00A0318C" w14:paraId="7F493D50" w14:textId="77777777">
            <w:pPr>
              <w:autoSpaceDE/>
              <w:autoSpaceDN/>
              <w:adjustRightInd/>
              <w:jc w:val="center"/>
              <w:rPr>
                <w:rFonts w:cs="Arial"/>
                <w:color w:val="000000"/>
              </w:rPr>
            </w:pPr>
            <w:r w:rsidRPr="00B01EA1">
              <w:rPr>
                <w:rFonts w:cs="Arial"/>
                <w:color w:val="000000"/>
              </w:rPr>
              <w:t>63</w:t>
            </w:r>
          </w:p>
        </w:tc>
        <w:tc>
          <w:tcPr>
            <w:tcW w:w="720" w:type="dxa"/>
            <w:vMerge w:val="restart"/>
            <w:shd w:val="clear" w:color="auto" w:fill="auto"/>
            <w:vAlign w:val="center"/>
            <w:hideMark/>
          </w:tcPr>
          <w:p w:rsidR="00A0318C" w:rsidRPr="00B01EA1" w:rsidP="00A0318C" w14:paraId="7F493D51" w14:textId="77777777">
            <w:pPr>
              <w:autoSpaceDE/>
              <w:autoSpaceDN/>
              <w:adjustRightInd/>
              <w:jc w:val="center"/>
              <w:rPr>
                <w:rFonts w:cs="Arial"/>
                <w:color w:val="000000"/>
              </w:rPr>
            </w:pPr>
            <w:r w:rsidRPr="00B01EA1">
              <w:rPr>
                <w:rFonts w:cs="Arial"/>
                <w:color w:val="000000"/>
              </w:rPr>
              <w:t>65</w:t>
            </w:r>
          </w:p>
        </w:tc>
        <w:tc>
          <w:tcPr>
            <w:tcW w:w="900" w:type="dxa"/>
            <w:shd w:val="clear" w:color="auto" w:fill="auto"/>
            <w:noWrap/>
            <w:vAlign w:val="center"/>
            <w:hideMark/>
          </w:tcPr>
          <w:p w:rsidR="00A0318C" w:rsidRPr="00B01EA1" w:rsidP="00A0318C" w14:paraId="7F493D52"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D53"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D54"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D55"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D56" w14:textId="77777777">
            <w:pPr>
              <w:autoSpaceDE/>
              <w:autoSpaceDN/>
              <w:adjustRightInd/>
              <w:jc w:val="center"/>
              <w:rPr>
                <w:rFonts w:cs="Arial"/>
                <w:color w:val="000000"/>
              </w:rPr>
            </w:pPr>
            <w:r w:rsidRPr="009D6087">
              <w:rPr>
                <w:rFonts w:cs="Arial"/>
                <w:color w:val="000000"/>
              </w:rPr>
              <w:t>$368</w:t>
            </w:r>
          </w:p>
        </w:tc>
        <w:tc>
          <w:tcPr>
            <w:tcW w:w="1260" w:type="dxa"/>
            <w:shd w:val="clear" w:color="auto" w:fill="auto"/>
            <w:noWrap/>
            <w:vAlign w:val="center"/>
            <w:hideMark/>
          </w:tcPr>
          <w:p w:rsidR="00A0318C" w:rsidRPr="00B01EA1" w:rsidP="00A0318C" w14:paraId="7F493D57" w14:textId="77777777">
            <w:pPr>
              <w:autoSpaceDE/>
              <w:autoSpaceDN/>
              <w:adjustRightInd/>
              <w:jc w:val="center"/>
              <w:rPr>
                <w:rFonts w:cs="Arial"/>
                <w:color w:val="000000"/>
              </w:rPr>
            </w:pPr>
            <w:r w:rsidRPr="009D6087">
              <w:rPr>
                <w:rFonts w:cs="Arial"/>
                <w:color w:val="000000"/>
              </w:rPr>
              <w:t>$708</w:t>
            </w:r>
          </w:p>
        </w:tc>
        <w:tc>
          <w:tcPr>
            <w:tcW w:w="1250" w:type="dxa"/>
            <w:shd w:val="clear" w:color="auto" w:fill="auto"/>
            <w:noWrap/>
            <w:vAlign w:val="center"/>
            <w:hideMark/>
          </w:tcPr>
          <w:p w:rsidR="00A0318C" w:rsidRPr="00B01EA1" w:rsidP="00A0318C" w14:paraId="7F493D58" w14:textId="77777777">
            <w:pPr>
              <w:autoSpaceDE/>
              <w:autoSpaceDN/>
              <w:adjustRightInd/>
              <w:jc w:val="center"/>
              <w:rPr>
                <w:rFonts w:cs="Arial"/>
                <w:color w:val="000000"/>
              </w:rPr>
            </w:pPr>
            <w:r w:rsidRPr="009D6087">
              <w:rPr>
                <w:rFonts w:cs="Arial"/>
                <w:color w:val="000000"/>
              </w:rPr>
              <w:t>$737</w:t>
            </w:r>
          </w:p>
        </w:tc>
      </w:tr>
      <w:tr w14:paraId="7F493D69"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5A" w14:textId="77777777">
            <w:pPr>
              <w:autoSpaceDE/>
              <w:autoSpaceDN/>
              <w:adjustRightInd/>
              <w:rPr>
                <w:rFonts w:cs="Arial"/>
                <w:b/>
                <w:bCs/>
                <w:color w:val="000000"/>
              </w:rPr>
            </w:pPr>
          </w:p>
        </w:tc>
        <w:tc>
          <w:tcPr>
            <w:tcW w:w="720" w:type="dxa"/>
            <w:vMerge/>
            <w:vAlign w:val="center"/>
            <w:hideMark/>
          </w:tcPr>
          <w:p w:rsidR="00A0318C" w:rsidRPr="00B01EA1" w:rsidP="00A0318C" w14:paraId="7F493D5B" w14:textId="77777777">
            <w:pPr>
              <w:autoSpaceDE/>
              <w:autoSpaceDN/>
              <w:adjustRightInd/>
              <w:rPr>
                <w:rFonts w:cs="Arial"/>
                <w:b/>
                <w:bCs/>
                <w:color w:val="000000"/>
              </w:rPr>
            </w:pPr>
          </w:p>
        </w:tc>
        <w:tc>
          <w:tcPr>
            <w:tcW w:w="1890" w:type="dxa"/>
            <w:shd w:val="clear" w:color="auto" w:fill="auto"/>
            <w:noWrap/>
            <w:vAlign w:val="center"/>
            <w:hideMark/>
          </w:tcPr>
          <w:p w:rsidR="00A0318C" w:rsidP="00A0318C" w14:paraId="7F493D5C" w14:textId="77777777">
            <w:pPr>
              <w:rPr>
                <w:rFonts w:cs="Arial"/>
                <w:color w:val="000000"/>
              </w:rPr>
            </w:pPr>
            <w:r>
              <w:rPr>
                <w:rFonts w:cs="Arial"/>
                <w:color w:val="000000"/>
              </w:rPr>
              <w:t>NPUF</w:t>
            </w:r>
            <w:r w:rsidRPr="00A43CE3">
              <w:rPr>
                <w:rFonts w:cs="Arial"/>
                <w:color w:val="000000"/>
              </w:rPr>
              <w:t xml:space="preserve"> Op</w:t>
            </w:r>
            <w:r w:rsidR="00FC2861">
              <w:rPr>
                <w:rFonts w:cs="Arial"/>
                <w:color w:val="000000"/>
              </w:rPr>
              <w:t>erator</w:t>
            </w:r>
            <w:r w:rsidRPr="00A43CE3">
              <w:rPr>
                <w:rFonts w:cs="Arial"/>
                <w:color w:val="000000"/>
              </w:rPr>
              <w:t xml:space="preserve"> / </w:t>
            </w:r>
          </w:p>
          <w:p w:rsidR="00A0318C" w:rsidP="00A0318C" w14:paraId="7F493D5D" w14:textId="77777777">
            <w:pPr>
              <w:rPr>
                <w:rFonts w:cs="Arial"/>
                <w:color w:val="000000"/>
              </w:rPr>
            </w:pPr>
            <w:r w:rsidRPr="00A43CE3">
              <w:rPr>
                <w:rFonts w:cs="Arial"/>
                <w:color w:val="000000"/>
              </w:rPr>
              <w:t>Asst. Dir.</w:t>
            </w:r>
            <w:r>
              <w:rPr>
                <w:rFonts w:cs="Arial"/>
                <w:color w:val="000000"/>
              </w:rPr>
              <w:t xml:space="preserve"> </w:t>
            </w:r>
            <w:r w:rsidRPr="00A43CE3">
              <w:rPr>
                <w:rFonts w:cs="Arial"/>
                <w:color w:val="000000"/>
              </w:rPr>
              <w:t>/</w:t>
            </w:r>
          </w:p>
          <w:p w:rsidR="00A0318C" w:rsidRPr="00B01EA1" w:rsidP="00A0318C" w14:paraId="7F493D5E" w14:textId="77777777">
            <w:pPr>
              <w:autoSpaceDE/>
              <w:autoSpaceDN/>
              <w:adjustRightInd/>
              <w:rPr>
                <w:rFonts w:cs="Arial"/>
                <w:color w:val="000000"/>
              </w:rPr>
            </w:pPr>
            <w:r w:rsidRPr="00A43CE3">
              <w:rPr>
                <w:rFonts w:cs="Arial"/>
                <w:color w:val="000000"/>
              </w:rPr>
              <w:t>Nuclear Engineer</w:t>
            </w:r>
          </w:p>
        </w:tc>
        <w:tc>
          <w:tcPr>
            <w:tcW w:w="630" w:type="dxa"/>
            <w:vMerge/>
            <w:vAlign w:val="center"/>
            <w:hideMark/>
          </w:tcPr>
          <w:p w:rsidR="00A0318C" w:rsidRPr="00B01EA1" w:rsidP="00A0318C" w14:paraId="7F493D5F" w14:textId="77777777">
            <w:pPr>
              <w:autoSpaceDE/>
              <w:autoSpaceDN/>
              <w:adjustRightInd/>
              <w:rPr>
                <w:rFonts w:cs="Arial"/>
                <w:color w:val="000000"/>
              </w:rPr>
            </w:pPr>
          </w:p>
        </w:tc>
        <w:tc>
          <w:tcPr>
            <w:tcW w:w="990" w:type="dxa"/>
            <w:vMerge/>
            <w:vAlign w:val="center"/>
            <w:hideMark/>
          </w:tcPr>
          <w:p w:rsidR="00A0318C" w:rsidRPr="00B01EA1" w:rsidP="00A0318C" w14:paraId="7F493D60" w14:textId="77777777">
            <w:pPr>
              <w:autoSpaceDE/>
              <w:autoSpaceDN/>
              <w:adjustRightInd/>
              <w:rPr>
                <w:rFonts w:cs="Arial"/>
                <w:color w:val="000000"/>
              </w:rPr>
            </w:pPr>
          </w:p>
        </w:tc>
        <w:tc>
          <w:tcPr>
            <w:tcW w:w="720" w:type="dxa"/>
            <w:vMerge/>
            <w:vAlign w:val="center"/>
            <w:hideMark/>
          </w:tcPr>
          <w:p w:rsidR="00A0318C" w:rsidRPr="00B01EA1" w:rsidP="00A0318C" w14:paraId="7F493D6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62"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D63"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D64"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D65"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D66" w14:textId="77777777">
            <w:pPr>
              <w:autoSpaceDE/>
              <w:autoSpaceDN/>
              <w:adjustRightInd/>
              <w:jc w:val="center"/>
              <w:rPr>
                <w:rFonts w:cs="Arial"/>
                <w:color w:val="000000"/>
              </w:rPr>
            </w:pPr>
            <w:r w:rsidRPr="009D6087">
              <w:rPr>
                <w:rFonts w:cs="Arial"/>
                <w:color w:val="000000"/>
              </w:rPr>
              <w:t>$1,898</w:t>
            </w:r>
          </w:p>
        </w:tc>
        <w:tc>
          <w:tcPr>
            <w:tcW w:w="1260" w:type="dxa"/>
            <w:shd w:val="clear" w:color="auto" w:fill="auto"/>
            <w:noWrap/>
            <w:vAlign w:val="center"/>
            <w:hideMark/>
          </w:tcPr>
          <w:p w:rsidR="00A0318C" w:rsidRPr="00B01EA1" w:rsidP="00A0318C" w14:paraId="7F493D67" w14:textId="77777777">
            <w:pPr>
              <w:autoSpaceDE/>
              <w:autoSpaceDN/>
              <w:adjustRightInd/>
              <w:jc w:val="center"/>
              <w:rPr>
                <w:rFonts w:cs="Arial"/>
                <w:color w:val="000000"/>
              </w:rPr>
            </w:pPr>
            <w:r w:rsidRPr="009D6087">
              <w:rPr>
                <w:rFonts w:cs="Arial"/>
                <w:color w:val="000000"/>
              </w:rPr>
              <w:t>$3,650</w:t>
            </w:r>
          </w:p>
        </w:tc>
        <w:tc>
          <w:tcPr>
            <w:tcW w:w="1250" w:type="dxa"/>
            <w:shd w:val="clear" w:color="auto" w:fill="auto"/>
            <w:noWrap/>
            <w:vAlign w:val="center"/>
            <w:hideMark/>
          </w:tcPr>
          <w:p w:rsidR="00A0318C" w:rsidRPr="00B01EA1" w:rsidP="00A0318C" w14:paraId="7F493D68" w14:textId="77777777">
            <w:pPr>
              <w:autoSpaceDE/>
              <w:autoSpaceDN/>
              <w:adjustRightInd/>
              <w:jc w:val="center"/>
              <w:rPr>
                <w:rFonts w:cs="Arial"/>
                <w:color w:val="000000"/>
              </w:rPr>
            </w:pPr>
            <w:r w:rsidRPr="009D6087">
              <w:rPr>
                <w:rFonts w:cs="Arial"/>
                <w:color w:val="000000"/>
              </w:rPr>
              <w:t>$4,113</w:t>
            </w:r>
          </w:p>
        </w:tc>
      </w:tr>
      <w:tr w14:paraId="7F493D77" w14:textId="77777777" w:rsidTr="00D96410">
        <w:tblPrEx>
          <w:tblW w:w="13315" w:type="dxa"/>
          <w:jc w:val="center"/>
          <w:tblLayout w:type="fixed"/>
          <w:tblLook w:val="04A0"/>
        </w:tblPrEx>
        <w:trPr>
          <w:trHeight w:val="405"/>
          <w:jc w:val="center"/>
        </w:trPr>
        <w:tc>
          <w:tcPr>
            <w:tcW w:w="1445" w:type="dxa"/>
            <w:vMerge/>
            <w:vAlign w:val="center"/>
            <w:hideMark/>
          </w:tcPr>
          <w:p w:rsidR="00A0318C" w:rsidRPr="00B01EA1" w:rsidP="00A0318C" w14:paraId="7F493D6A" w14:textId="77777777">
            <w:pPr>
              <w:autoSpaceDE/>
              <w:autoSpaceDN/>
              <w:adjustRightInd/>
              <w:rPr>
                <w:rFonts w:cs="Arial"/>
                <w:b/>
                <w:bCs/>
                <w:color w:val="000000"/>
              </w:rPr>
            </w:pPr>
          </w:p>
        </w:tc>
        <w:tc>
          <w:tcPr>
            <w:tcW w:w="720" w:type="dxa"/>
            <w:vMerge/>
            <w:vAlign w:val="center"/>
            <w:hideMark/>
          </w:tcPr>
          <w:p w:rsidR="00A0318C" w:rsidRPr="00B01EA1" w:rsidP="00A0318C" w14:paraId="7F493D6B"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6C" w14:textId="77777777">
            <w:pPr>
              <w:autoSpaceDE/>
              <w:autoSpaceDN/>
              <w:adjustRightInd/>
              <w:rPr>
                <w:rFonts w:cs="Arial"/>
                <w:color w:val="000000"/>
              </w:rPr>
            </w:pPr>
            <w:r w:rsidRPr="00A43CE3">
              <w:rPr>
                <w:rFonts w:cs="Arial"/>
                <w:color w:val="000000"/>
              </w:rPr>
              <w:t>Nuclear Technician</w:t>
            </w:r>
            <w:r>
              <w:rPr>
                <w:rFonts w:cs="Arial"/>
                <w:color w:val="000000"/>
              </w:rPr>
              <w:t xml:space="preserve"> </w:t>
            </w:r>
            <w:r w:rsidRPr="00A43CE3">
              <w:rPr>
                <w:rFonts w:cs="Arial"/>
                <w:color w:val="000000"/>
              </w:rPr>
              <w:t>/</w:t>
            </w:r>
            <w:r>
              <w:rPr>
                <w:rFonts w:cs="Arial"/>
                <w:color w:val="000000"/>
              </w:rPr>
              <w:t xml:space="preserve"> </w:t>
            </w:r>
            <w:r w:rsidRPr="00A43CE3">
              <w:rPr>
                <w:rFonts w:cs="Arial"/>
                <w:color w:val="000000"/>
              </w:rPr>
              <w:t>General Engineer</w:t>
            </w:r>
          </w:p>
        </w:tc>
        <w:tc>
          <w:tcPr>
            <w:tcW w:w="630" w:type="dxa"/>
            <w:vMerge/>
            <w:vAlign w:val="center"/>
            <w:hideMark/>
          </w:tcPr>
          <w:p w:rsidR="00A0318C" w:rsidRPr="00B01EA1" w:rsidP="00A0318C" w14:paraId="7F493D6D" w14:textId="77777777">
            <w:pPr>
              <w:autoSpaceDE/>
              <w:autoSpaceDN/>
              <w:adjustRightInd/>
              <w:rPr>
                <w:rFonts w:cs="Arial"/>
                <w:color w:val="000000"/>
              </w:rPr>
            </w:pPr>
          </w:p>
        </w:tc>
        <w:tc>
          <w:tcPr>
            <w:tcW w:w="990" w:type="dxa"/>
            <w:vMerge/>
            <w:vAlign w:val="center"/>
            <w:hideMark/>
          </w:tcPr>
          <w:p w:rsidR="00A0318C" w:rsidRPr="00B01EA1" w:rsidP="00A0318C" w14:paraId="7F493D6E" w14:textId="77777777">
            <w:pPr>
              <w:autoSpaceDE/>
              <w:autoSpaceDN/>
              <w:adjustRightInd/>
              <w:rPr>
                <w:rFonts w:cs="Arial"/>
                <w:color w:val="000000"/>
              </w:rPr>
            </w:pPr>
          </w:p>
        </w:tc>
        <w:tc>
          <w:tcPr>
            <w:tcW w:w="720" w:type="dxa"/>
            <w:vMerge/>
            <w:vAlign w:val="center"/>
            <w:hideMark/>
          </w:tcPr>
          <w:p w:rsidR="00A0318C" w:rsidRPr="00B01EA1" w:rsidP="00A0318C" w14:paraId="7F493D6F"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70"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D71"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D72"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D73"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D74"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60" w:type="dxa"/>
            <w:shd w:val="clear" w:color="auto" w:fill="auto"/>
            <w:noWrap/>
            <w:vAlign w:val="center"/>
            <w:hideMark/>
          </w:tcPr>
          <w:p w:rsidR="00A0318C" w:rsidRPr="00B01EA1" w:rsidP="00A0318C" w14:paraId="7F493D75"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50" w:type="dxa"/>
            <w:shd w:val="clear" w:color="auto" w:fill="auto"/>
            <w:noWrap/>
            <w:vAlign w:val="center"/>
            <w:hideMark/>
          </w:tcPr>
          <w:p w:rsidR="00A0318C" w:rsidRPr="00B01EA1" w:rsidP="00A0318C" w14:paraId="7F493D76" w14:textId="77777777">
            <w:pPr>
              <w:autoSpaceDE/>
              <w:autoSpaceDN/>
              <w:adjustRightInd/>
              <w:jc w:val="center"/>
              <w:rPr>
                <w:rFonts w:cs="Arial"/>
                <w:color w:val="000000"/>
              </w:rPr>
            </w:pPr>
            <w:r w:rsidRPr="009D6087">
              <w:rPr>
                <w:rFonts w:cs="Arial"/>
                <w:color w:val="000000"/>
              </w:rPr>
              <w:t>$1,073</w:t>
            </w:r>
          </w:p>
        </w:tc>
      </w:tr>
      <w:tr w14:paraId="7F493D8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78" w14:textId="77777777">
            <w:pPr>
              <w:autoSpaceDE/>
              <w:autoSpaceDN/>
              <w:adjustRightInd/>
              <w:rPr>
                <w:rFonts w:cs="Arial"/>
                <w:b/>
                <w:bCs/>
                <w:color w:val="000000"/>
              </w:rPr>
            </w:pPr>
          </w:p>
        </w:tc>
        <w:tc>
          <w:tcPr>
            <w:tcW w:w="720" w:type="dxa"/>
            <w:vMerge/>
            <w:vAlign w:val="center"/>
            <w:hideMark/>
          </w:tcPr>
          <w:p w:rsidR="00A0318C" w:rsidRPr="00B01EA1" w:rsidP="00A0318C" w14:paraId="7F493D7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7A"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D7B" w14:textId="77777777">
            <w:pPr>
              <w:autoSpaceDE/>
              <w:autoSpaceDN/>
              <w:adjustRightInd/>
              <w:rPr>
                <w:rFonts w:cs="Arial"/>
                <w:color w:val="000000"/>
              </w:rPr>
            </w:pPr>
          </w:p>
        </w:tc>
        <w:tc>
          <w:tcPr>
            <w:tcW w:w="990" w:type="dxa"/>
            <w:vMerge/>
            <w:vAlign w:val="center"/>
            <w:hideMark/>
          </w:tcPr>
          <w:p w:rsidR="00A0318C" w:rsidRPr="00B01EA1" w:rsidP="00A0318C" w14:paraId="7F493D7C" w14:textId="77777777">
            <w:pPr>
              <w:autoSpaceDE/>
              <w:autoSpaceDN/>
              <w:adjustRightInd/>
              <w:rPr>
                <w:rFonts w:cs="Arial"/>
                <w:color w:val="000000"/>
              </w:rPr>
            </w:pPr>
          </w:p>
        </w:tc>
        <w:tc>
          <w:tcPr>
            <w:tcW w:w="720" w:type="dxa"/>
            <w:vMerge/>
            <w:vAlign w:val="center"/>
            <w:hideMark/>
          </w:tcPr>
          <w:p w:rsidR="00A0318C" w:rsidRPr="00B01EA1" w:rsidP="00A0318C" w14:paraId="7F493D7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7E"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D7F"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D80"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D81"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D82" w14:textId="77777777">
            <w:pPr>
              <w:autoSpaceDE/>
              <w:autoSpaceDN/>
              <w:adjustRightInd/>
              <w:jc w:val="center"/>
              <w:rPr>
                <w:rFonts w:cs="Arial"/>
                <w:color w:val="000000"/>
              </w:rPr>
            </w:pPr>
            <w:r w:rsidRPr="009D6087">
              <w:rPr>
                <w:rFonts w:cs="Arial"/>
                <w:color w:val="000000"/>
              </w:rPr>
              <w:t>$379</w:t>
            </w:r>
          </w:p>
        </w:tc>
        <w:tc>
          <w:tcPr>
            <w:tcW w:w="1260" w:type="dxa"/>
            <w:shd w:val="clear" w:color="auto" w:fill="auto"/>
            <w:noWrap/>
            <w:vAlign w:val="center"/>
            <w:hideMark/>
          </w:tcPr>
          <w:p w:rsidR="00A0318C" w:rsidRPr="00B01EA1" w:rsidP="00A0318C" w14:paraId="7F493D83" w14:textId="77777777">
            <w:pPr>
              <w:autoSpaceDE/>
              <w:autoSpaceDN/>
              <w:adjustRightInd/>
              <w:jc w:val="center"/>
              <w:rPr>
                <w:rFonts w:cs="Arial"/>
                <w:color w:val="000000"/>
              </w:rPr>
            </w:pPr>
            <w:r w:rsidRPr="009D6087">
              <w:rPr>
                <w:rFonts w:cs="Arial"/>
                <w:color w:val="000000"/>
              </w:rPr>
              <w:t>$730</w:t>
            </w:r>
          </w:p>
        </w:tc>
        <w:tc>
          <w:tcPr>
            <w:tcW w:w="1250" w:type="dxa"/>
            <w:shd w:val="clear" w:color="auto" w:fill="auto"/>
            <w:noWrap/>
            <w:vAlign w:val="center"/>
            <w:hideMark/>
          </w:tcPr>
          <w:p w:rsidR="00A0318C" w:rsidRPr="00B01EA1" w:rsidP="00A0318C" w14:paraId="7F493D84" w14:textId="77777777">
            <w:pPr>
              <w:autoSpaceDE/>
              <w:autoSpaceDN/>
              <w:adjustRightInd/>
              <w:jc w:val="center"/>
              <w:rPr>
                <w:rFonts w:cs="Arial"/>
                <w:color w:val="000000"/>
              </w:rPr>
            </w:pPr>
            <w:r w:rsidRPr="009D6087">
              <w:rPr>
                <w:rFonts w:cs="Arial"/>
                <w:color w:val="000000"/>
              </w:rPr>
              <w:t>$126</w:t>
            </w:r>
          </w:p>
        </w:tc>
      </w:tr>
      <w:tr w14:paraId="7F493D93" w14:textId="77777777" w:rsidTr="00D96410">
        <w:tblPrEx>
          <w:tblW w:w="13315" w:type="dxa"/>
          <w:jc w:val="center"/>
          <w:tblLayout w:type="fixed"/>
          <w:tblLook w:val="04A0"/>
        </w:tblPrEx>
        <w:trPr>
          <w:trHeight w:val="405"/>
          <w:jc w:val="center"/>
        </w:trPr>
        <w:tc>
          <w:tcPr>
            <w:tcW w:w="1445" w:type="dxa"/>
            <w:vMerge/>
            <w:vAlign w:val="center"/>
            <w:hideMark/>
          </w:tcPr>
          <w:p w:rsidR="00A0318C" w:rsidRPr="00B01EA1" w:rsidP="00A0318C" w14:paraId="7F493D86" w14:textId="77777777">
            <w:pPr>
              <w:autoSpaceDE/>
              <w:autoSpaceDN/>
              <w:adjustRightInd/>
              <w:rPr>
                <w:rFonts w:cs="Arial"/>
                <w:b/>
                <w:bCs/>
                <w:color w:val="000000"/>
              </w:rPr>
            </w:pPr>
          </w:p>
        </w:tc>
        <w:tc>
          <w:tcPr>
            <w:tcW w:w="720" w:type="dxa"/>
            <w:vMerge/>
            <w:vAlign w:val="center"/>
            <w:hideMark/>
          </w:tcPr>
          <w:p w:rsidR="00A0318C" w:rsidRPr="00B01EA1" w:rsidP="00A0318C" w14:paraId="7F493D87"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88" w14:textId="77777777">
            <w:pPr>
              <w:autoSpaceDE/>
              <w:autoSpaceDN/>
              <w:adjustRightInd/>
              <w:rPr>
                <w:rFonts w:cs="Arial"/>
                <w:color w:val="000000"/>
              </w:rPr>
            </w:pPr>
            <w:r w:rsidRPr="00A43CE3">
              <w:rPr>
                <w:rFonts w:cs="Arial"/>
                <w:color w:val="000000"/>
              </w:rPr>
              <w:t xml:space="preserve">Institution </w:t>
            </w:r>
            <w:r w:rsidRPr="008C2B2C">
              <w:rPr>
                <w:rFonts w:cs="Arial"/>
                <w:color w:val="000000"/>
              </w:rPr>
              <w:t>Admin</w:t>
            </w:r>
            <w:r>
              <w:rPr>
                <w:rFonts w:cs="Arial"/>
                <w:color w:val="000000"/>
              </w:rPr>
              <w:t xml:space="preserve">. </w:t>
            </w:r>
            <w:r w:rsidRPr="00A43CE3">
              <w:rPr>
                <w:rFonts w:cs="Arial"/>
                <w:color w:val="000000"/>
              </w:rPr>
              <w:t>/</w:t>
            </w:r>
            <w:r>
              <w:rPr>
                <w:rFonts w:cs="Arial"/>
                <w:color w:val="000000"/>
              </w:rPr>
              <w:t xml:space="preserve"> </w:t>
            </w:r>
            <w:r w:rsidRPr="00A43CE3">
              <w:rPr>
                <w:rFonts w:cs="Arial"/>
                <w:color w:val="000000"/>
              </w:rPr>
              <w:t>Technical Admin</w:t>
            </w:r>
            <w:r>
              <w:rPr>
                <w:rFonts w:cs="Arial"/>
                <w:color w:val="000000"/>
              </w:rPr>
              <w:t>.</w:t>
            </w:r>
            <w:r w:rsidRPr="00A43CE3">
              <w:rPr>
                <w:rFonts w:cs="Arial"/>
                <w:color w:val="000000"/>
              </w:rPr>
              <w:t xml:space="preserve"> (Writer)</w:t>
            </w:r>
          </w:p>
        </w:tc>
        <w:tc>
          <w:tcPr>
            <w:tcW w:w="630" w:type="dxa"/>
            <w:vMerge/>
            <w:vAlign w:val="center"/>
            <w:hideMark/>
          </w:tcPr>
          <w:p w:rsidR="00A0318C" w:rsidRPr="00B01EA1" w:rsidP="00A0318C" w14:paraId="7F493D89" w14:textId="77777777">
            <w:pPr>
              <w:autoSpaceDE/>
              <w:autoSpaceDN/>
              <w:adjustRightInd/>
              <w:rPr>
                <w:rFonts w:cs="Arial"/>
                <w:color w:val="000000"/>
              </w:rPr>
            </w:pPr>
          </w:p>
        </w:tc>
        <w:tc>
          <w:tcPr>
            <w:tcW w:w="990" w:type="dxa"/>
            <w:vMerge/>
            <w:vAlign w:val="center"/>
            <w:hideMark/>
          </w:tcPr>
          <w:p w:rsidR="00A0318C" w:rsidRPr="00B01EA1" w:rsidP="00A0318C" w14:paraId="7F493D8A" w14:textId="77777777">
            <w:pPr>
              <w:autoSpaceDE/>
              <w:autoSpaceDN/>
              <w:adjustRightInd/>
              <w:rPr>
                <w:rFonts w:cs="Arial"/>
                <w:color w:val="000000"/>
              </w:rPr>
            </w:pPr>
          </w:p>
        </w:tc>
        <w:tc>
          <w:tcPr>
            <w:tcW w:w="720" w:type="dxa"/>
            <w:vMerge/>
            <w:vAlign w:val="center"/>
            <w:hideMark/>
          </w:tcPr>
          <w:p w:rsidR="00A0318C" w:rsidRPr="00B01EA1" w:rsidP="00A0318C" w14:paraId="7F493D8B"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8C"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D8D"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D8E"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D8F"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D90"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60" w:type="dxa"/>
            <w:shd w:val="clear" w:color="auto" w:fill="auto"/>
            <w:noWrap/>
            <w:vAlign w:val="center"/>
            <w:hideMark/>
          </w:tcPr>
          <w:p w:rsidR="00A0318C" w:rsidRPr="00B01EA1" w:rsidP="00A0318C" w14:paraId="7F493D91"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50" w:type="dxa"/>
            <w:shd w:val="clear" w:color="auto" w:fill="auto"/>
            <w:noWrap/>
            <w:vAlign w:val="center"/>
            <w:hideMark/>
          </w:tcPr>
          <w:p w:rsidR="00A0318C" w:rsidRPr="00B01EA1" w:rsidP="00A0318C" w14:paraId="7F493D92"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r>
      <w:tr w14:paraId="7F493DA1"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94"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D95" w14:textId="77777777">
            <w:pPr>
              <w:autoSpaceDE/>
              <w:autoSpaceDN/>
              <w:adjustRightInd/>
              <w:jc w:val="center"/>
              <w:rPr>
                <w:rFonts w:cs="Arial"/>
                <w:b/>
                <w:bCs/>
                <w:color w:val="000000"/>
              </w:rPr>
            </w:pPr>
            <w:r w:rsidRPr="00B01EA1">
              <w:rPr>
                <w:rFonts w:cs="Arial"/>
                <w:b/>
                <w:bCs/>
                <w:color w:val="000000"/>
              </w:rPr>
              <w:t>2</w:t>
            </w:r>
          </w:p>
        </w:tc>
        <w:tc>
          <w:tcPr>
            <w:tcW w:w="1890" w:type="dxa"/>
            <w:shd w:val="clear" w:color="auto" w:fill="auto"/>
            <w:noWrap/>
            <w:vAlign w:val="center"/>
            <w:hideMark/>
          </w:tcPr>
          <w:p w:rsidR="00A0318C" w:rsidRPr="00B01EA1" w:rsidP="00A0318C" w14:paraId="7F493D96" w14:textId="77777777">
            <w:pPr>
              <w:autoSpaceDE/>
              <w:autoSpaceDN/>
              <w:adjustRightInd/>
              <w:rPr>
                <w:rFonts w:cs="Arial"/>
                <w:color w:val="000000"/>
              </w:rPr>
            </w:pPr>
            <w:r w:rsidRPr="008C2B2C">
              <w:rPr>
                <w:rFonts w:cs="Arial"/>
                <w:color w:val="000000"/>
              </w:rPr>
              <w:t>Reactor Di</w:t>
            </w:r>
            <w:r>
              <w:rPr>
                <w:rFonts w:cs="Arial"/>
                <w:color w:val="000000"/>
              </w:rPr>
              <w:t>r.</w:t>
            </w:r>
            <w:r w:rsidRPr="00A43CE3">
              <w:rPr>
                <w:rFonts w:cs="Arial"/>
                <w:color w:val="000000"/>
              </w:rPr>
              <w:t xml:space="preserve"> / Professor</w:t>
            </w:r>
            <w:r>
              <w:rPr>
                <w:rFonts w:cs="Arial"/>
                <w:color w:val="000000"/>
              </w:rPr>
              <w:t xml:space="preserve"> </w:t>
            </w:r>
            <w:r w:rsidRPr="00A43CE3">
              <w:rPr>
                <w:rFonts w:cs="Arial"/>
                <w:color w:val="000000"/>
              </w:rPr>
              <w:t>/</w:t>
            </w:r>
            <w:r>
              <w:rPr>
                <w:rFonts w:cs="Arial"/>
                <w:color w:val="000000"/>
              </w:rPr>
              <w:t xml:space="preserve">    </w:t>
            </w:r>
            <w:r w:rsidRPr="00A43CE3">
              <w:rPr>
                <w:rFonts w:cs="Arial"/>
                <w:color w:val="000000"/>
              </w:rPr>
              <w:t>Project Manager</w:t>
            </w:r>
          </w:p>
        </w:tc>
        <w:tc>
          <w:tcPr>
            <w:tcW w:w="630" w:type="dxa"/>
            <w:vMerge w:val="restart"/>
            <w:shd w:val="clear" w:color="auto" w:fill="auto"/>
            <w:vAlign w:val="center"/>
            <w:hideMark/>
          </w:tcPr>
          <w:p w:rsidR="00A0318C" w:rsidRPr="00B01EA1" w:rsidP="00A0318C" w14:paraId="7F493D97" w14:textId="77777777">
            <w:pPr>
              <w:autoSpaceDE/>
              <w:autoSpaceDN/>
              <w:adjustRightInd/>
              <w:jc w:val="center"/>
              <w:rPr>
                <w:rFonts w:cs="Arial"/>
                <w:color w:val="000000"/>
              </w:rPr>
            </w:pPr>
            <w:r w:rsidRPr="00B01EA1">
              <w:rPr>
                <w:rFonts w:cs="Arial"/>
                <w:color w:val="000000"/>
              </w:rPr>
              <w:t>228</w:t>
            </w:r>
          </w:p>
        </w:tc>
        <w:tc>
          <w:tcPr>
            <w:tcW w:w="990" w:type="dxa"/>
            <w:vMerge w:val="restart"/>
            <w:shd w:val="clear" w:color="auto" w:fill="auto"/>
            <w:vAlign w:val="center"/>
            <w:hideMark/>
          </w:tcPr>
          <w:p w:rsidR="00A0318C" w:rsidRPr="00B01EA1" w:rsidP="00A0318C" w14:paraId="7F493D98" w14:textId="77777777">
            <w:pPr>
              <w:autoSpaceDE/>
              <w:autoSpaceDN/>
              <w:adjustRightInd/>
              <w:jc w:val="center"/>
              <w:rPr>
                <w:rFonts w:cs="Arial"/>
                <w:color w:val="000000"/>
              </w:rPr>
            </w:pPr>
            <w:r w:rsidRPr="00B01EA1">
              <w:rPr>
                <w:rFonts w:cs="Arial"/>
                <w:color w:val="000000"/>
              </w:rPr>
              <w:t>438</w:t>
            </w:r>
          </w:p>
        </w:tc>
        <w:tc>
          <w:tcPr>
            <w:tcW w:w="720" w:type="dxa"/>
            <w:vMerge w:val="restart"/>
            <w:shd w:val="clear" w:color="auto" w:fill="auto"/>
            <w:vAlign w:val="center"/>
            <w:hideMark/>
          </w:tcPr>
          <w:p w:rsidR="00A0318C" w:rsidRPr="00B01EA1" w:rsidP="00A0318C" w14:paraId="7F493D99" w14:textId="77777777">
            <w:pPr>
              <w:autoSpaceDE/>
              <w:autoSpaceDN/>
              <w:adjustRightInd/>
              <w:jc w:val="center"/>
              <w:rPr>
                <w:rFonts w:cs="Arial"/>
                <w:color w:val="000000"/>
              </w:rPr>
            </w:pPr>
            <w:r w:rsidRPr="00B01EA1">
              <w:rPr>
                <w:rFonts w:cs="Arial"/>
                <w:color w:val="000000"/>
              </w:rPr>
              <w:t>455</w:t>
            </w:r>
          </w:p>
        </w:tc>
        <w:tc>
          <w:tcPr>
            <w:tcW w:w="900" w:type="dxa"/>
            <w:shd w:val="clear" w:color="auto" w:fill="auto"/>
            <w:noWrap/>
            <w:vAlign w:val="center"/>
            <w:hideMark/>
          </w:tcPr>
          <w:p w:rsidR="00A0318C" w:rsidRPr="00B01EA1" w:rsidP="00A0318C" w14:paraId="7F493D9A"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D9B"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D9C"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D9D"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D9E" w14:textId="77777777">
            <w:pPr>
              <w:autoSpaceDE/>
              <w:autoSpaceDN/>
              <w:adjustRightInd/>
              <w:jc w:val="center"/>
              <w:rPr>
                <w:rFonts w:cs="Arial"/>
                <w:color w:val="000000"/>
              </w:rPr>
            </w:pPr>
            <w:r w:rsidRPr="009D6087">
              <w:rPr>
                <w:rFonts w:cs="Arial"/>
                <w:color w:val="000000"/>
              </w:rPr>
              <w:t>$2,578</w:t>
            </w:r>
          </w:p>
        </w:tc>
        <w:tc>
          <w:tcPr>
            <w:tcW w:w="1260" w:type="dxa"/>
            <w:shd w:val="clear" w:color="auto" w:fill="auto"/>
            <w:noWrap/>
            <w:vAlign w:val="center"/>
            <w:hideMark/>
          </w:tcPr>
          <w:p w:rsidR="00A0318C" w:rsidRPr="00B01EA1" w:rsidP="00A0318C" w14:paraId="7F493D9F" w14:textId="77777777">
            <w:pPr>
              <w:autoSpaceDE/>
              <w:autoSpaceDN/>
              <w:adjustRightInd/>
              <w:jc w:val="center"/>
              <w:rPr>
                <w:rFonts w:cs="Arial"/>
                <w:color w:val="000000"/>
              </w:rPr>
            </w:pPr>
            <w:r w:rsidRPr="009D6087">
              <w:rPr>
                <w:rFonts w:cs="Arial"/>
                <w:color w:val="000000"/>
              </w:rPr>
              <w:t>$4,957</w:t>
            </w:r>
          </w:p>
        </w:tc>
        <w:tc>
          <w:tcPr>
            <w:tcW w:w="1250" w:type="dxa"/>
            <w:shd w:val="clear" w:color="auto" w:fill="auto"/>
            <w:noWrap/>
            <w:vAlign w:val="center"/>
            <w:hideMark/>
          </w:tcPr>
          <w:p w:rsidR="00A0318C" w:rsidRPr="00B01EA1" w:rsidP="00A0318C" w14:paraId="7F493DA0" w14:textId="77777777">
            <w:pPr>
              <w:autoSpaceDE/>
              <w:autoSpaceDN/>
              <w:adjustRightInd/>
              <w:jc w:val="center"/>
              <w:rPr>
                <w:rFonts w:cs="Arial"/>
                <w:color w:val="000000"/>
              </w:rPr>
            </w:pPr>
            <w:r w:rsidRPr="009D6087">
              <w:rPr>
                <w:rFonts w:cs="Arial"/>
                <w:color w:val="000000"/>
              </w:rPr>
              <w:t>$5,156</w:t>
            </w:r>
          </w:p>
        </w:tc>
      </w:tr>
      <w:tr w14:paraId="7F493DAF"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A2" w14:textId="77777777">
            <w:pPr>
              <w:autoSpaceDE/>
              <w:autoSpaceDN/>
              <w:adjustRightInd/>
              <w:rPr>
                <w:rFonts w:cs="Arial"/>
                <w:b/>
                <w:bCs/>
                <w:color w:val="000000"/>
              </w:rPr>
            </w:pPr>
          </w:p>
        </w:tc>
        <w:tc>
          <w:tcPr>
            <w:tcW w:w="720" w:type="dxa"/>
            <w:vMerge/>
            <w:vAlign w:val="center"/>
            <w:hideMark/>
          </w:tcPr>
          <w:p w:rsidR="00A0318C" w:rsidRPr="00B01EA1" w:rsidP="00A0318C" w14:paraId="7F493DA3"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A4" w14:textId="77777777">
            <w:pPr>
              <w:autoSpaceDE/>
              <w:autoSpaceDN/>
              <w:adjustRightInd/>
              <w:rPr>
                <w:rFonts w:cs="Arial"/>
                <w:color w:val="000000"/>
              </w:rPr>
            </w:pPr>
            <w:r w:rsidRPr="00B01EA1">
              <w:rPr>
                <w:rFonts w:cs="Arial"/>
                <w:color w:val="000000"/>
              </w:rPr>
              <w:t>N</w:t>
            </w:r>
            <w:r>
              <w:rPr>
                <w:rFonts w:cs="Arial"/>
                <w:color w:val="000000"/>
              </w:rPr>
              <w:t>PUF Operator</w:t>
            </w:r>
            <w:r w:rsidRPr="00B01EA1">
              <w:rPr>
                <w:rFonts w:cs="Arial"/>
                <w:color w:val="000000"/>
              </w:rPr>
              <w:t xml:space="preserve"> / Asst. Dir./</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DA5" w14:textId="77777777">
            <w:pPr>
              <w:autoSpaceDE/>
              <w:autoSpaceDN/>
              <w:adjustRightInd/>
              <w:rPr>
                <w:rFonts w:cs="Arial"/>
                <w:color w:val="000000"/>
              </w:rPr>
            </w:pPr>
          </w:p>
        </w:tc>
        <w:tc>
          <w:tcPr>
            <w:tcW w:w="990" w:type="dxa"/>
            <w:vMerge/>
            <w:vAlign w:val="center"/>
            <w:hideMark/>
          </w:tcPr>
          <w:p w:rsidR="00A0318C" w:rsidRPr="00B01EA1" w:rsidP="00A0318C" w14:paraId="7F493DA6" w14:textId="77777777">
            <w:pPr>
              <w:autoSpaceDE/>
              <w:autoSpaceDN/>
              <w:adjustRightInd/>
              <w:rPr>
                <w:rFonts w:cs="Arial"/>
                <w:color w:val="000000"/>
              </w:rPr>
            </w:pPr>
          </w:p>
        </w:tc>
        <w:tc>
          <w:tcPr>
            <w:tcW w:w="720" w:type="dxa"/>
            <w:vMerge/>
            <w:vAlign w:val="center"/>
            <w:hideMark/>
          </w:tcPr>
          <w:p w:rsidR="00A0318C" w:rsidRPr="00B01EA1" w:rsidP="00A0318C" w14:paraId="7F493DA7"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A8"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DA9"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DAA"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DAB"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DAC" w14:textId="77777777">
            <w:pPr>
              <w:autoSpaceDE/>
              <w:autoSpaceDN/>
              <w:adjustRightInd/>
              <w:jc w:val="center"/>
              <w:rPr>
                <w:rFonts w:cs="Arial"/>
                <w:color w:val="000000"/>
              </w:rPr>
            </w:pPr>
            <w:r w:rsidRPr="009D6087">
              <w:rPr>
                <w:rFonts w:cs="Arial"/>
                <w:color w:val="000000"/>
              </w:rPr>
              <w:t>$13,287</w:t>
            </w:r>
          </w:p>
        </w:tc>
        <w:tc>
          <w:tcPr>
            <w:tcW w:w="1260" w:type="dxa"/>
            <w:shd w:val="clear" w:color="auto" w:fill="auto"/>
            <w:noWrap/>
            <w:vAlign w:val="center"/>
            <w:hideMark/>
          </w:tcPr>
          <w:p w:rsidR="00A0318C" w:rsidRPr="00B01EA1" w:rsidP="00A0318C" w14:paraId="7F493DAD" w14:textId="77777777">
            <w:pPr>
              <w:autoSpaceDE/>
              <w:autoSpaceDN/>
              <w:adjustRightInd/>
              <w:jc w:val="center"/>
              <w:rPr>
                <w:rFonts w:cs="Arial"/>
                <w:color w:val="000000"/>
              </w:rPr>
            </w:pPr>
            <w:r w:rsidRPr="009D6087">
              <w:rPr>
                <w:rFonts w:cs="Arial"/>
                <w:color w:val="000000"/>
              </w:rPr>
              <w:t>$25,551</w:t>
            </w:r>
          </w:p>
        </w:tc>
        <w:tc>
          <w:tcPr>
            <w:tcW w:w="1250" w:type="dxa"/>
            <w:shd w:val="clear" w:color="auto" w:fill="auto"/>
            <w:noWrap/>
            <w:vAlign w:val="center"/>
            <w:hideMark/>
          </w:tcPr>
          <w:p w:rsidR="00A0318C" w:rsidRPr="00B01EA1" w:rsidP="00A0318C" w14:paraId="7F493DAE" w14:textId="77777777">
            <w:pPr>
              <w:autoSpaceDE/>
              <w:autoSpaceDN/>
              <w:adjustRightInd/>
              <w:jc w:val="center"/>
              <w:rPr>
                <w:rFonts w:cs="Arial"/>
                <w:color w:val="000000"/>
              </w:rPr>
            </w:pPr>
            <w:r w:rsidRPr="009D6087">
              <w:rPr>
                <w:rFonts w:cs="Arial"/>
                <w:color w:val="000000"/>
              </w:rPr>
              <w:t>$28,788</w:t>
            </w:r>
          </w:p>
        </w:tc>
      </w:tr>
      <w:tr w14:paraId="7F493DBD"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B0" w14:textId="77777777">
            <w:pPr>
              <w:autoSpaceDE/>
              <w:autoSpaceDN/>
              <w:adjustRightInd/>
              <w:rPr>
                <w:rFonts w:cs="Arial"/>
                <w:b/>
                <w:bCs/>
                <w:color w:val="000000"/>
              </w:rPr>
            </w:pPr>
          </w:p>
        </w:tc>
        <w:tc>
          <w:tcPr>
            <w:tcW w:w="720" w:type="dxa"/>
            <w:vMerge/>
            <w:vAlign w:val="center"/>
            <w:hideMark/>
          </w:tcPr>
          <w:p w:rsidR="00A0318C" w:rsidRPr="00B01EA1" w:rsidP="00A0318C" w14:paraId="7F493DB1"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B2"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DB3" w14:textId="77777777">
            <w:pPr>
              <w:autoSpaceDE/>
              <w:autoSpaceDN/>
              <w:adjustRightInd/>
              <w:rPr>
                <w:rFonts w:cs="Arial"/>
                <w:color w:val="000000"/>
              </w:rPr>
            </w:pPr>
          </w:p>
        </w:tc>
        <w:tc>
          <w:tcPr>
            <w:tcW w:w="990" w:type="dxa"/>
            <w:vMerge/>
            <w:vAlign w:val="center"/>
            <w:hideMark/>
          </w:tcPr>
          <w:p w:rsidR="00A0318C" w:rsidRPr="00B01EA1" w:rsidP="00A0318C" w14:paraId="7F493DB4" w14:textId="77777777">
            <w:pPr>
              <w:autoSpaceDE/>
              <w:autoSpaceDN/>
              <w:adjustRightInd/>
              <w:rPr>
                <w:rFonts w:cs="Arial"/>
                <w:color w:val="000000"/>
              </w:rPr>
            </w:pPr>
          </w:p>
        </w:tc>
        <w:tc>
          <w:tcPr>
            <w:tcW w:w="720" w:type="dxa"/>
            <w:vMerge/>
            <w:vAlign w:val="center"/>
            <w:hideMark/>
          </w:tcPr>
          <w:p w:rsidR="00A0318C" w:rsidRPr="00B01EA1" w:rsidP="00A0318C" w14:paraId="7F493DB5"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B6"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DB7"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DB8"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DB9"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DBA"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60" w:type="dxa"/>
            <w:shd w:val="clear" w:color="auto" w:fill="auto"/>
            <w:noWrap/>
            <w:vAlign w:val="center"/>
            <w:hideMark/>
          </w:tcPr>
          <w:p w:rsidR="00A0318C" w:rsidRPr="00B01EA1" w:rsidP="00A0318C" w14:paraId="7F493DBB"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50" w:type="dxa"/>
            <w:shd w:val="clear" w:color="auto" w:fill="auto"/>
            <w:noWrap/>
            <w:vAlign w:val="center"/>
            <w:hideMark/>
          </w:tcPr>
          <w:p w:rsidR="00A0318C" w:rsidRPr="00B01EA1" w:rsidP="00A0318C" w14:paraId="7F493DBC" w14:textId="77777777">
            <w:pPr>
              <w:autoSpaceDE/>
              <w:autoSpaceDN/>
              <w:adjustRightInd/>
              <w:jc w:val="center"/>
              <w:rPr>
                <w:rFonts w:cs="Arial"/>
                <w:color w:val="000000"/>
              </w:rPr>
            </w:pPr>
            <w:r w:rsidRPr="009D6087">
              <w:rPr>
                <w:rFonts w:cs="Arial"/>
                <w:color w:val="000000"/>
              </w:rPr>
              <w:t>$7,511</w:t>
            </w:r>
          </w:p>
        </w:tc>
      </w:tr>
      <w:tr w14:paraId="7F493DCB"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BE" w14:textId="77777777">
            <w:pPr>
              <w:autoSpaceDE/>
              <w:autoSpaceDN/>
              <w:adjustRightInd/>
              <w:rPr>
                <w:rFonts w:cs="Arial"/>
                <w:b/>
                <w:bCs/>
                <w:color w:val="000000"/>
              </w:rPr>
            </w:pPr>
          </w:p>
        </w:tc>
        <w:tc>
          <w:tcPr>
            <w:tcW w:w="720" w:type="dxa"/>
            <w:vMerge/>
            <w:vAlign w:val="center"/>
            <w:hideMark/>
          </w:tcPr>
          <w:p w:rsidR="00A0318C" w:rsidRPr="00B01EA1" w:rsidP="00A0318C" w14:paraId="7F493DBF"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C0"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DC1" w14:textId="77777777">
            <w:pPr>
              <w:autoSpaceDE/>
              <w:autoSpaceDN/>
              <w:adjustRightInd/>
              <w:rPr>
                <w:rFonts w:cs="Arial"/>
                <w:color w:val="000000"/>
              </w:rPr>
            </w:pPr>
          </w:p>
        </w:tc>
        <w:tc>
          <w:tcPr>
            <w:tcW w:w="990" w:type="dxa"/>
            <w:vMerge/>
            <w:vAlign w:val="center"/>
            <w:hideMark/>
          </w:tcPr>
          <w:p w:rsidR="00A0318C" w:rsidRPr="00B01EA1" w:rsidP="00A0318C" w14:paraId="7F493DC2" w14:textId="77777777">
            <w:pPr>
              <w:autoSpaceDE/>
              <w:autoSpaceDN/>
              <w:adjustRightInd/>
              <w:rPr>
                <w:rFonts w:cs="Arial"/>
                <w:color w:val="000000"/>
              </w:rPr>
            </w:pPr>
          </w:p>
        </w:tc>
        <w:tc>
          <w:tcPr>
            <w:tcW w:w="720" w:type="dxa"/>
            <w:vMerge/>
            <w:vAlign w:val="center"/>
            <w:hideMark/>
          </w:tcPr>
          <w:p w:rsidR="00A0318C" w:rsidRPr="00B01EA1" w:rsidP="00A0318C" w14:paraId="7F493DC3"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C4"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DC5"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DC6"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DC7"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DC8" w14:textId="77777777">
            <w:pPr>
              <w:autoSpaceDE/>
              <w:autoSpaceDN/>
              <w:adjustRightInd/>
              <w:jc w:val="center"/>
              <w:rPr>
                <w:rFonts w:cs="Arial"/>
                <w:color w:val="000000"/>
              </w:rPr>
            </w:pPr>
            <w:r w:rsidRPr="009D6087">
              <w:rPr>
                <w:rFonts w:cs="Arial"/>
                <w:color w:val="000000"/>
              </w:rPr>
              <w:t>$2,656</w:t>
            </w:r>
          </w:p>
        </w:tc>
        <w:tc>
          <w:tcPr>
            <w:tcW w:w="1260" w:type="dxa"/>
            <w:shd w:val="clear" w:color="auto" w:fill="auto"/>
            <w:noWrap/>
            <w:vAlign w:val="center"/>
            <w:hideMark/>
          </w:tcPr>
          <w:p w:rsidR="00A0318C" w:rsidRPr="00B01EA1" w:rsidP="00A0318C" w14:paraId="7F493DC9" w14:textId="77777777">
            <w:pPr>
              <w:autoSpaceDE/>
              <w:autoSpaceDN/>
              <w:adjustRightInd/>
              <w:jc w:val="center"/>
              <w:rPr>
                <w:rFonts w:cs="Arial"/>
                <w:color w:val="000000"/>
              </w:rPr>
            </w:pPr>
            <w:r w:rsidRPr="009D6087">
              <w:rPr>
                <w:rFonts w:cs="Arial"/>
                <w:color w:val="000000"/>
              </w:rPr>
              <w:t>$5,108</w:t>
            </w:r>
          </w:p>
        </w:tc>
        <w:tc>
          <w:tcPr>
            <w:tcW w:w="1250" w:type="dxa"/>
            <w:shd w:val="clear" w:color="auto" w:fill="auto"/>
            <w:noWrap/>
            <w:vAlign w:val="center"/>
            <w:hideMark/>
          </w:tcPr>
          <w:p w:rsidR="00A0318C" w:rsidRPr="00B01EA1" w:rsidP="00A0318C" w14:paraId="7F493DCA" w14:textId="77777777">
            <w:pPr>
              <w:autoSpaceDE/>
              <w:autoSpaceDN/>
              <w:adjustRightInd/>
              <w:jc w:val="center"/>
              <w:rPr>
                <w:rFonts w:cs="Arial"/>
                <w:color w:val="000000"/>
              </w:rPr>
            </w:pPr>
            <w:r w:rsidRPr="009D6087">
              <w:rPr>
                <w:rFonts w:cs="Arial"/>
                <w:color w:val="000000"/>
              </w:rPr>
              <w:t>$885</w:t>
            </w:r>
          </w:p>
        </w:tc>
      </w:tr>
      <w:tr w14:paraId="7F493DD9" w14:textId="77777777" w:rsidTr="00D96410">
        <w:tblPrEx>
          <w:tblW w:w="13315" w:type="dxa"/>
          <w:jc w:val="center"/>
          <w:tblLayout w:type="fixed"/>
          <w:tblLook w:val="04A0"/>
        </w:tblPrEx>
        <w:trPr>
          <w:trHeight w:val="405"/>
          <w:jc w:val="center"/>
        </w:trPr>
        <w:tc>
          <w:tcPr>
            <w:tcW w:w="1445" w:type="dxa"/>
            <w:vMerge/>
            <w:vAlign w:val="center"/>
            <w:hideMark/>
          </w:tcPr>
          <w:p w:rsidR="00A0318C" w:rsidRPr="00B01EA1" w:rsidP="00A0318C" w14:paraId="7F493DCC" w14:textId="77777777">
            <w:pPr>
              <w:autoSpaceDE/>
              <w:autoSpaceDN/>
              <w:adjustRightInd/>
              <w:rPr>
                <w:rFonts w:cs="Arial"/>
                <w:b/>
                <w:bCs/>
                <w:color w:val="000000"/>
              </w:rPr>
            </w:pPr>
          </w:p>
        </w:tc>
        <w:tc>
          <w:tcPr>
            <w:tcW w:w="720" w:type="dxa"/>
            <w:vMerge/>
            <w:vAlign w:val="center"/>
            <w:hideMark/>
          </w:tcPr>
          <w:p w:rsidR="00A0318C" w:rsidRPr="00B01EA1" w:rsidP="00A0318C" w14:paraId="7F493DCD"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CE" w14:textId="77777777">
            <w:pPr>
              <w:autoSpaceDE/>
              <w:autoSpaceDN/>
              <w:adjustRightInd/>
              <w:rPr>
                <w:rFonts w:cs="Arial"/>
                <w:color w:val="000000"/>
              </w:rPr>
            </w:pPr>
            <w:r w:rsidRPr="00B01EA1">
              <w:rPr>
                <w:rFonts w:cs="Arial"/>
                <w:color w:val="000000"/>
              </w:rPr>
              <w:t xml:space="preserve">Institution </w:t>
            </w:r>
            <w:r>
              <w:rPr>
                <w:rFonts w:cs="Arial"/>
                <w:color w:val="000000"/>
              </w:rPr>
              <w:t xml:space="preserve">Admin.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DCF" w14:textId="77777777">
            <w:pPr>
              <w:autoSpaceDE/>
              <w:autoSpaceDN/>
              <w:adjustRightInd/>
              <w:rPr>
                <w:rFonts w:cs="Arial"/>
                <w:color w:val="000000"/>
              </w:rPr>
            </w:pPr>
          </w:p>
        </w:tc>
        <w:tc>
          <w:tcPr>
            <w:tcW w:w="990" w:type="dxa"/>
            <w:vMerge/>
            <w:vAlign w:val="center"/>
            <w:hideMark/>
          </w:tcPr>
          <w:p w:rsidR="00A0318C" w:rsidRPr="00B01EA1" w:rsidP="00A0318C" w14:paraId="7F493DD0" w14:textId="77777777">
            <w:pPr>
              <w:autoSpaceDE/>
              <w:autoSpaceDN/>
              <w:adjustRightInd/>
              <w:rPr>
                <w:rFonts w:cs="Arial"/>
                <w:color w:val="000000"/>
              </w:rPr>
            </w:pPr>
          </w:p>
        </w:tc>
        <w:tc>
          <w:tcPr>
            <w:tcW w:w="720" w:type="dxa"/>
            <w:vMerge/>
            <w:vAlign w:val="center"/>
            <w:hideMark/>
          </w:tcPr>
          <w:p w:rsidR="00A0318C" w:rsidRPr="00B01EA1" w:rsidP="00A0318C" w14:paraId="7F493DD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D2"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DD3"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DD4"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DD5"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DD6"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60" w:type="dxa"/>
            <w:shd w:val="clear" w:color="auto" w:fill="auto"/>
            <w:noWrap/>
            <w:vAlign w:val="center"/>
            <w:hideMark/>
          </w:tcPr>
          <w:p w:rsidR="00A0318C" w:rsidRPr="00B01EA1" w:rsidP="00A0318C" w14:paraId="7F493DD7"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50" w:type="dxa"/>
            <w:shd w:val="clear" w:color="auto" w:fill="auto"/>
            <w:noWrap/>
            <w:vAlign w:val="center"/>
            <w:hideMark/>
          </w:tcPr>
          <w:p w:rsidR="00A0318C" w:rsidRPr="00B01EA1" w:rsidP="00A0318C" w14:paraId="7F493DD8"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r>
      <w:tr w14:paraId="7F493DE7"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DA"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DDB" w14:textId="77777777">
            <w:pPr>
              <w:autoSpaceDE/>
              <w:autoSpaceDN/>
              <w:adjustRightInd/>
              <w:jc w:val="center"/>
              <w:rPr>
                <w:rFonts w:cs="Arial"/>
                <w:b/>
                <w:bCs/>
                <w:color w:val="000000"/>
              </w:rPr>
            </w:pPr>
            <w:r w:rsidRPr="00B01EA1">
              <w:rPr>
                <w:rFonts w:cs="Arial"/>
                <w:b/>
                <w:bCs/>
                <w:color w:val="000000"/>
              </w:rPr>
              <w:t>3</w:t>
            </w:r>
          </w:p>
        </w:tc>
        <w:tc>
          <w:tcPr>
            <w:tcW w:w="1890" w:type="dxa"/>
            <w:shd w:val="clear" w:color="auto" w:fill="auto"/>
            <w:noWrap/>
            <w:vAlign w:val="center"/>
            <w:hideMark/>
          </w:tcPr>
          <w:p w:rsidR="00A0318C" w:rsidRPr="00B01EA1" w:rsidP="00A0318C" w14:paraId="7F493DDC"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Project</w:t>
            </w:r>
            <w:r w:rsidRPr="00B01EA1">
              <w:rPr>
                <w:rFonts w:cs="Arial"/>
                <w:color w:val="000000"/>
              </w:rPr>
              <w:t xml:space="preserve"> Manager</w:t>
            </w:r>
          </w:p>
        </w:tc>
        <w:tc>
          <w:tcPr>
            <w:tcW w:w="630" w:type="dxa"/>
            <w:vMerge w:val="restart"/>
            <w:shd w:val="clear" w:color="auto" w:fill="auto"/>
            <w:vAlign w:val="center"/>
            <w:hideMark/>
          </w:tcPr>
          <w:p w:rsidR="00A0318C" w:rsidRPr="00B01EA1" w:rsidP="00A0318C" w14:paraId="7F493DDD" w14:textId="77777777">
            <w:pPr>
              <w:autoSpaceDE/>
              <w:autoSpaceDN/>
              <w:adjustRightInd/>
              <w:jc w:val="center"/>
              <w:rPr>
                <w:rFonts w:cs="Arial"/>
                <w:color w:val="000000"/>
              </w:rPr>
            </w:pPr>
            <w:r w:rsidRPr="00B01EA1">
              <w:rPr>
                <w:rFonts w:cs="Arial"/>
                <w:color w:val="000000"/>
              </w:rPr>
              <w:t>33</w:t>
            </w:r>
          </w:p>
        </w:tc>
        <w:tc>
          <w:tcPr>
            <w:tcW w:w="990" w:type="dxa"/>
            <w:vMerge w:val="restart"/>
            <w:shd w:val="clear" w:color="auto" w:fill="auto"/>
            <w:vAlign w:val="center"/>
            <w:hideMark/>
          </w:tcPr>
          <w:p w:rsidR="00A0318C" w:rsidRPr="00B01EA1" w:rsidP="00A0318C" w14:paraId="7F493DDE" w14:textId="77777777">
            <w:pPr>
              <w:autoSpaceDE/>
              <w:autoSpaceDN/>
              <w:adjustRightInd/>
              <w:jc w:val="center"/>
              <w:rPr>
                <w:rFonts w:cs="Arial"/>
                <w:color w:val="000000"/>
              </w:rPr>
            </w:pPr>
            <w:r w:rsidRPr="00B01EA1">
              <w:rPr>
                <w:rFonts w:cs="Arial"/>
                <w:color w:val="000000"/>
              </w:rPr>
              <w:t>63</w:t>
            </w:r>
          </w:p>
        </w:tc>
        <w:tc>
          <w:tcPr>
            <w:tcW w:w="720" w:type="dxa"/>
            <w:vMerge w:val="restart"/>
            <w:shd w:val="clear" w:color="auto" w:fill="auto"/>
            <w:vAlign w:val="center"/>
            <w:hideMark/>
          </w:tcPr>
          <w:p w:rsidR="00A0318C" w:rsidRPr="00B01EA1" w:rsidP="00A0318C" w14:paraId="7F493DDF" w14:textId="77777777">
            <w:pPr>
              <w:autoSpaceDE/>
              <w:autoSpaceDN/>
              <w:adjustRightInd/>
              <w:jc w:val="center"/>
              <w:rPr>
                <w:rFonts w:cs="Arial"/>
                <w:color w:val="000000"/>
              </w:rPr>
            </w:pPr>
            <w:r w:rsidRPr="00B01EA1">
              <w:rPr>
                <w:rFonts w:cs="Arial"/>
                <w:color w:val="000000"/>
              </w:rPr>
              <w:t>65</w:t>
            </w:r>
          </w:p>
        </w:tc>
        <w:tc>
          <w:tcPr>
            <w:tcW w:w="900" w:type="dxa"/>
            <w:shd w:val="clear" w:color="auto" w:fill="auto"/>
            <w:noWrap/>
            <w:vAlign w:val="center"/>
            <w:hideMark/>
          </w:tcPr>
          <w:p w:rsidR="00A0318C" w:rsidRPr="00B01EA1" w:rsidP="00A0318C" w14:paraId="7F493DE0"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DE1"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DE2"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DE3"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DE4" w14:textId="77777777">
            <w:pPr>
              <w:autoSpaceDE/>
              <w:autoSpaceDN/>
              <w:adjustRightInd/>
              <w:jc w:val="center"/>
              <w:rPr>
                <w:rFonts w:cs="Arial"/>
                <w:color w:val="000000"/>
              </w:rPr>
            </w:pPr>
            <w:r w:rsidRPr="009D6087">
              <w:rPr>
                <w:rFonts w:cs="Arial"/>
                <w:color w:val="000000"/>
              </w:rPr>
              <w:t>$368</w:t>
            </w:r>
          </w:p>
        </w:tc>
        <w:tc>
          <w:tcPr>
            <w:tcW w:w="1260" w:type="dxa"/>
            <w:shd w:val="clear" w:color="auto" w:fill="auto"/>
            <w:noWrap/>
            <w:vAlign w:val="center"/>
            <w:hideMark/>
          </w:tcPr>
          <w:p w:rsidR="00A0318C" w:rsidRPr="00B01EA1" w:rsidP="00A0318C" w14:paraId="7F493DE5" w14:textId="77777777">
            <w:pPr>
              <w:autoSpaceDE/>
              <w:autoSpaceDN/>
              <w:adjustRightInd/>
              <w:jc w:val="center"/>
              <w:rPr>
                <w:rFonts w:cs="Arial"/>
                <w:color w:val="000000"/>
              </w:rPr>
            </w:pPr>
            <w:r w:rsidRPr="009D6087">
              <w:rPr>
                <w:rFonts w:cs="Arial"/>
                <w:color w:val="000000"/>
              </w:rPr>
              <w:t>$708</w:t>
            </w:r>
          </w:p>
        </w:tc>
        <w:tc>
          <w:tcPr>
            <w:tcW w:w="1250" w:type="dxa"/>
            <w:shd w:val="clear" w:color="auto" w:fill="auto"/>
            <w:noWrap/>
            <w:vAlign w:val="center"/>
            <w:hideMark/>
          </w:tcPr>
          <w:p w:rsidR="00A0318C" w:rsidRPr="00B01EA1" w:rsidP="00A0318C" w14:paraId="7F493DE6" w14:textId="77777777">
            <w:pPr>
              <w:autoSpaceDE/>
              <w:autoSpaceDN/>
              <w:adjustRightInd/>
              <w:jc w:val="center"/>
              <w:rPr>
                <w:rFonts w:cs="Arial"/>
                <w:color w:val="000000"/>
              </w:rPr>
            </w:pPr>
            <w:r w:rsidRPr="009D6087">
              <w:rPr>
                <w:rFonts w:cs="Arial"/>
                <w:color w:val="000000"/>
              </w:rPr>
              <w:t>$737</w:t>
            </w:r>
          </w:p>
        </w:tc>
      </w:tr>
      <w:tr w14:paraId="7F493DF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E8" w14:textId="77777777">
            <w:pPr>
              <w:autoSpaceDE/>
              <w:autoSpaceDN/>
              <w:adjustRightInd/>
              <w:rPr>
                <w:rFonts w:cs="Arial"/>
                <w:b/>
                <w:bCs/>
                <w:color w:val="000000"/>
              </w:rPr>
            </w:pPr>
          </w:p>
        </w:tc>
        <w:tc>
          <w:tcPr>
            <w:tcW w:w="720" w:type="dxa"/>
            <w:vMerge/>
            <w:vAlign w:val="center"/>
            <w:hideMark/>
          </w:tcPr>
          <w:p w:rsidR="00A0318C" w:rsidRPr="00B01EA1" w:rsidP="00A0318C" w14:paraId="7F493DE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EA" w14:textId="77777777">
            <w:pPr>
              <w:autoSpaceDE/>
              <w:autoSpaceDN/>
              <w:adjustRightInd/>
              <w:rPr>
                <w:rFonts w:cs="Arial"/>
                <w:color w:val="000000"/>
              </w:rPr>
            </w:pPr>
            <w:r w:rsidRPr="00B01EA1">
              <w:rPr>
                <w:rFonts w:cs="Arial"/>
                <w:color w:val="000000"/>
              </w:rPr>
              <w:t>N</w:t>
            </w:r>
            <w:r>
              <w:rPr>
                <w:rFonts w:cs="Arial"/>
                <w:color w:val="000000"/>
              </w:rPr>
              <w:t>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DEB" w14:textId="77777777">
            <w:pPr>
              <w:autoSpaceDE/>
              <w:autoSpaceDN/>
              <w:adjustRightInd/>
              <w:rPr>
                <w:rFonts w:cs="Arial"/>
                <w:color w:val="000000"/>
              </w:rPr>
            </w:pPr>
          </w:p>
        </w:tc>
        <w:tc>
          <w:tcPr>
            <w:tcW w:w="990" w:type="dxa"/>
            <w:vMerge/>
            <w:vAlign w:val="center"/>
            <w:hideMark/>
          </w:tcPr>
          <w:p w:rsidR="00A0318C" w:rsidRPr="00B01EA1" w:rsidP="00A0318C" w14:paraId="7F493DEC" w14:textId="77777777">
            <w:pPr>
              <w:autoSpaceDE/>
              <w:autoSpaceDN/>
              <w:adjustRightInd/>
              <w:rPr>
                <w:rFonts w:cs="Arial"/>
                <w:color w:val="000000"/>
              </w:rPr>
            </w:pPr>
          </w:p>
        </w:tc>
        <w:tc>
          <w:tcPr>
            <w:tcW w:w="720" w:type="dxa"/>
            <w:vMerge/>
            <w:vAlign w:val="center"/>
            <w:hideMark/>
          </w:tcPr>
          <w:p w:rsidR="00A0318C" w:rsidRPr="00B01EA1" w:rsidP="00A0318C" w14:paraId="7F493DE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EE"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DEF"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DF0"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DF1"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DF2" w14:textId="77777777">
            <w:pPr>
              <w:autoSpaceDE/>
              <w:autoSpaceDN/>
              <w:adjustRightInd/>
              <w:jc w:val="center"/>
              <w:rPr>
                <w:rFonts w:cs="Arial"/>
                <w:color w:val="000000"/>
              </w:rPr>
            </w:pPr>
            <w:r w:rsidRPr="009D6087">
              <w:rPr>
                <w:rFonts w:cs="Arial"/>
                <w:color w:val="000000"/>
              </w:rPr>
              <w:t>$1,898</w:t>
            </w:r>
          </w:p>
        </w:tc>
        <w:tc>
          <w:tcPr>
            <w:tcW w:w="1260" w:type="dxa"/>
            <w:shd w:val="clear" w:color="auto" w:fill="auto"/>
            <w:noWrap/>
            <w:vAlign w:val="center"/>
            <w:hideMark/>
          </w:tcPr>
          <w:p w:rsidR="00A0318C" w:rsidRPr="00B01EA1" w:rsidP="00A0318C" w14:paraId="7F493DF3" w14:textId="77777777">
            <w:pPr>
              <w:autoSpaceDE/>
              <w:autoSpaceDN/>
              <w:adjustRightInd/>
              <w:jc w:val="center"/>
              <w:rPr>
                <w:rFonts w:cs="Arial"/>
                <w:color w:val="000000"/>
              </w:rPr>
            </w:pPr>
            <w:r w:rsidRPr="009D6087">
              <w:rPr>
                <w:rFonts w:cs="Arial"/>
                <w:color w:val="000000"/>
              </w:rPr>
              <w:t>$3,650</w:t>
            </w:r>
          </w:p>
        </w:tc>
        <w:tc>
          <w:tcPr>
            <w:tcW w:w="1250" w:type="dxa"/>
            <w:shd w:val="clear" w:color="auto" w:fill="auto"/>
            <w:noWrap/>
            <w:vAlign w:val="center"/>
            <w:hideMark/>
          </w:tcPr>
          <w:p w:rsidR="00A0318C" w:rsidRPr="00B01EA1" w:rsidP="00A0318C" w14:paraId="7F493DF4" w14:textId="77777777">
            <w:pPr>
              <w:autoSpaceDE/>
              <w:autoSpaceDN/>
              <w:adjustRightInd/>
              <w:jc w:val="center"/>
              <w:rPr>
                <w:rFonts w:cs="Arial"/>
                <w:color w:val="000000"/>
              </w:rPr>
            </w:pPr>
            <w:r w:rsidRPr="009D6087">
              <w:rPr>
                <w:rFonts w:cs="Arial"/>
                <w:color w:val="000000"/>
              </w:rPr>
              <w:t>$4,113</w:t>
            </w:r>
          </w:p>
        </w:tc>
      </w:tr>
      <w:tr w14:paraId="7F493E03"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DF6" w14:textId="77777777">
            <w:pPr>
              <w:autoSpaceDE/>
              <w:autoSpaceDN/>
              <w:adjustRightInd/>
              <w:rPr>
                <w:rFonts w:cs="Arial"/>
                <w:b/>
                <w:bCs/>
                <w:color w:val="000000"/>
              </w:rPr>
            </w:pPr>
          </w:p>
        </w:tc>
        <w:tc>
          <w:tcPr>
            <w:tcW w:w="720" w:type="dxa"/>
            <w:vMerge/>
            <w:vAlign w:val="center"/>
            <w:hideMark/>
          </w:tcPr>
          <w:p w:rsidR="00A0318C" w:rsidRPr="00B01EA1" w:rsidP="00A0318C" w14:paraId="7F493DF7"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DF8"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General</w:t>
            </w:r>
            <w:r w:rsidRPr="00B01EA1">
              <w:rPr>
                <w:rFonts w:cs="Arial"/>
                <w:color w:val="000000"/>
              </w:rPr>
              <w:t xml:space="preserve"> Engineer</w:t>
            </w:r>
          </w:p>
        </w:tc>
        <w:tc>
          <w:tcPr>
            <w:tcW w:w="630" w:type="dxa"/>
            <w:vMerge/>
            <w:vAlign w:val="center"/>
            <w:hideMark/>
          </w:tcPr>
          <w:p w:rsidR="00A0318C" w:rsidRPr="00B01EA1" w:rsidP="00A0318C" w14:paraId="7F493DF9" w14:textId="77777777">
            <w:pPr>
              <w:autoSpaceDE/>
              <w:autoSpaceDN/>
              <w:adjustRightInd/>
              <w:rPr>
                <w:rFonts w:cs="Arial"/>
                <w:color w:val="000000"/>
              </w:rPr>
            </w:pPr>
          </w:p>
        </w:tc>
        <w:tc>
          <w:tcPr>
            <w:tcW w:w="990" w:type="dxa"/>
            <w:vMerge/>
            <w:vAlign w:val="center"/>
            <w:hideMark/>
          </w:tcPr>
          <w:p w:rsidR="00A0318C" w:rsidRPr="00B01EA1" w:rsidP="00A0318C" w14:paraId="7F493DFA" w14:textId="77777777">
            <w:pPr>
              <w:autoSpaceDE/>
              <w:autoSpaceDN/>
              <w:adjustRightInd/>
              <w:rPr>
                <w:rFonts w:cs="Arial"/>
                <w:color w:val="000000"/>
              </w:rPr>
            </w:pPr>
          </w:p>
        </w:tc>
        <w:tc>
          <w:tcPr>
            <w:tcW w:w="720" w:type="dxa"/>
            <w:vMerge/>
            <w:vAlign w:val="center"/>
            <w:hideMark/>
          </w:tcPr>
          <w:p w:rsidR="00A0318C" w:rsidRPr="00B01EA1" w:rsidP="00A0318C" w14:paraId="7F493DFB"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DFC"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DFD"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DFE"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DFF"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E00"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60" w:type="dxa"/>
            <w:shd w:val="clear" w:color="auto" w:fill="auto"/>
            <w:noWrap/>
            <w:vAlign w:val="center"/>
            <w:hideMark/>
          </w:tcPr>
          <w:p w:rsidR="00A0318C" w:rsidRPr="00B01EA1" w:rsidP="00A0318C" w14:paraId="7F493E01"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50" w:type="dxa"/>
            <w:shd w:val="clear" w:color="auto" w:fill="auto"/>
            <w:noWrap/>
            <w:vAlign w:val="center"/>
            <w:hideMark/>
          </w:tcPr>
          <w:p w:rsidR="00A0318C" w:rsidRPr="00B01EA1" w:rsidP="00A0318C" w14:paraId="7F493E02" w14:textId="77777777">
            <w:pPr>
              <w:autoSpaceDE/>
              <w:autoSpaceDN/>
              <w:adjustRightInd/>
              <w:jc w:val="center"/>
              <w:rPr>
                <w:rFonts w:cs="Arial"/>
                <w:color w:val="000000"/>
              </w:rPr>
            </w:pPr>
            <w:r w:rsidRPr="009D6087">
              <w:rPr>
                <w:rFonts w:cs="Arial"/>
                <w:color w:val="000000"/>
              </w:rPr>
              <w:t>$1,073</w:t>
            </w:r>
          </w:p>
        </w:tc>
      </w:tr>
      <w:tr w14:paraId="7F493E11"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04" w14:textId="77777777">
            <w:pPr>
              <w:autoSpaceDE/>
              <w:autoSpaceDN/>
              <w:adjustRightInd/>
              <w:rPr>
                <w:rFonts w:cs="Arial"/>
                <w:b/>
                <w:bCs/>
                <w:color w:val="000000"/>
              </w:rPr>
            </w:pPr>
          </w:p>
        </w:tc>
        <w:tc>
          <w:tcPr>
            <w:tcW w:w="720" w:type="dxa"/>
            <w:vMerge/>
            <w:vAlign w:val="center"/>
            <w:hideMark/>
          </w:tcPr>
          <w:p w:rsidR="00A0318C" w:rsidRPr="00B01EA1" w:rsidP="00A0318C" w14:paraId="7F493E05"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06"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E07" w14:textId="77777777">
            <w:pPr>
              <w:autoSpaceDE/>
              <w:autoSpaceDN/>
              <w:adjustRightInd/>
              <w:rPr>
                <w:rFonts w:cs="Arial"/>
                <w:color w:val="000000"/>
              </w:rPr>
            </w:pPr>
          </w:p>
        </w:tc>
        <w:tc>
          <w:tcPr>
            <w:tcW w:w="990" w:type="dxa"/>
            <w:vMerge/>
            <w:vAlign w:val="center"/>
            <w:hideMark/>
          </w:tcPr>
          <w:p w:rsidR="00A0318C" w:rsidRPr="00B01EA1" w:rsidP="00A0318C" w14:paraId="7F493E08" w14:textId="77777777">
            <w:pPr>
              <w:autoSpaceDE/>
              <w:autoSpaceDN/>
              <w:adjustRightInd/>
              <w:rPr>
                <w:rFonts w:cs="Arial"/>
                <w:color w:val="000000"/>
              </w:rPr>
            </w:pPr>
          </w:p>
        </w:tc>
        <w:tc>
          <w:tcPr>
            <w:tcW w:w="720" w:type="dxa"/>
            <w:vMerge/>
            <w:vAlign w:val="center"/>
            <w:hideMark/>
          </w:tcPr>
          <w:p w:rsidR="00A0318C" w:rsidRPr="00B01EA1" w:rsidP="00A0318C" w14:paraId="7F493E09"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0A"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E0B"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E0C"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E0D"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E0E" w14:textId="77777777">
            <w:pPr>
              <w:autoSpaceDE/>
              <w:autoSpaceDN/>
              <w:adjustRightInd/>
              <w:jc w:val="center"/>
              <w:rPr>
                <w:rFonts w:cs="Arial"/>
                <w:color w:val="000000"/>
              </w:rPr>
            </w:pPr>
            <w:r w:rsidRPr="009D6087">
              <w:rPr>
                <w:rFonts w:cs="Arial"/>
                <w:color w:val="000000"/>
              </w:rPr>
              <w:t>$379</w:t>
            </w:r>
          </w:p>
        </w:tc>
        <w:tc>
          <w:tcPr>
            <w:tcW w:w="1260" w:type="dxa"/>
            <w:shd w:val="clear" w:color="auto" w:fill="auto"/>
            <w:noWrap/>
            <w:vAlign w:val="center"/>
            <w:hideMark/>
          </w:tcPr>
          <w:p w:rsidR="00A0318C" w:rsidRPr="00B01EA1" w:rsidP="00A0318C" w14:paraId="7F493E0F" w14:textId="77777777">
            <w:pPr>
              <w:autoSpaceDE/>
              <w:autoSpaceDN/>
              <w:adjustRightInd/>
              <w:jc w:val="center"/>
              <w:rPr>
                <w:rFonts w:cs="Arial"/>
                <w:color w:val="000000"/>
              </w:rPr>
            </w:pPr>
            <w:r w:rsidRPr="009D6087">
              <w:rPr>
                <w:rFonts w:cs="Arial"/>
                <w:color w:val="000000"/>
              </w:rPr>
              <w:t>$730</w:t>
            </w:r>
          </w:p>
        </w:tc>
        <w:tc>
          <w:tcPr>
            <w:tcW w:w="1250" w:type="dxa"/>
            <w:shd w:val="clear" w:color="auto" w:fill="auto"/>
            <w:noWrap/>
            <w:vAlign w:val="center"/>
            <w:hideMark/>
          </w:tcPr>
          <w:p w:rsidR="00A0318C" w:rsidRPr="00B01EA1" w:rsidP="00A0318C" w14:paraId="7F493E10" w14:textId="77777777">
            <w:pPr>
              <w:autoSpaceDE/>
              <w:autoSpaceDN/>
              <w:adjustRightInd/>
              <w:jc w:val="center"/>
              <w:rPr>
                <w:rFonts w:cs="Arial"/>
                <w:color w:val="000000"/>
              </w:rPr>
            </w:pPr>
            <w:r w:rsidRPr="009D6087">
              <w:rPr>
                <w:rFonts w:cs="Arial"/>
                <w:color w:val="000000"/>
              </w:rPr>
              <w:t>$126</w:t>
            </w:r>
          </w:p>
        </w:tc>
      </w:tr>
      <w:tr w14:paraId="7F493E1F"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E12" w14:textId="77777777">
            <w:pPr>
              <w:autoSpaceDE/>
              <w:autoSpaceDN/>
              <w:adjustRightInd/>
              <w:rPr>
                <w:rFonts w:cs="Arial"/>
                <w:b/>
                <w:bCs/>
                <w:color w:val="000000"/>
              </w:rPr>
            </w:pPr>
          </w:p>
        </w:tc>
        <w:tc>
          <w:tcPr>
            <w:tcW w:w="720" w:type="dxa"/>
            <w:vMerge/>
            <w:vAlign w:val="center"/>
            <w:hideMark/>
          </w:tcPr>
          <w:p w:rsidR="00A0318C" w:rsidRPr="00B01EA1" w:rsidP="00A0318C" w14:paraId="7F493E13"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14" w14:textId="77777777">
            <w:pPr>
              <w:autoSpaceDE/>
              <w:autoSpaceDN/>
              <w:adjustRightInd/>
              <w:rPr>
                <w:rFonts w:cs="Arial"/>
                <w:color w:val="000000"/>
              </w:rPr>
            </w:pPr>
            <w:r w:rsidRPr="00B01EA1">
              <w:rPr>
                <w:rFonts w:cs="Arial"/>
                <w:color w:val="000000"/>
              </w:rPr>
              <w:t>Institution Admin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E15" w14:textId="77777777">
            <w:pPr>
              <w:autoSpaceDE/>
              <w:autoSpaceDN/>
              <w:adjustRightInd/>
              <w:rPr>
                <w:rFonts w:cs="Arial"/>
                <w:color w:val="000000"/>
              </w:rPr>
            </w:pPr>
          </w:p>
        </w:tc>
        <w:tc>
          <w:tcPr>
            <w:tcW w:w="990" w:type="dxa"/>
            <w:vMerge/>
            <w:vAlign w:val="center"/>
            <w:hideMark/>
          </w:tcPr>
          <w:p w:rsidR="00A0318C" w:rsidRPr="00B01EA1" w:rsidP="00A0318C" w14:paraId="7F493E16" w14:textId="77777777">
            <w:pPr>
              <w:autoSpaceDE/>
              <w:autoSpaceDN/>
              <w:adjustRightInd/>
              <w:rPr>
                <w:rFonts w:cs="Arial"/>
                <w:color w:val="000000"/>
              </w:rPr>
            </w:pPr>
          </w:p>
        </w:tc>
        <w:tc>
          <w:tcPr>
            <w:tcW w:w="720" w:type="dxa"/>
            <w:vMerge/>
            <w:vAlign w:val="center"/>
            <w:hideMark/>
          </w:tcPr>
          <w:p w:rsidR="00A0318C" w:rsidRPr="00B01EA1" w:rsidP="00A0318C" w14:paraId="7F493E17"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18"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E19"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1A"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1B"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E1C"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60" w:type="dxa"/>
            <w:shd w:val="clear" w:color="auto" w:fill="auto"/>
            <w:noWrap/>
            <w:vAlign w:val="center"/>
            <w:hideMark/>
          </w:tcPr>
          <w:p w:rsidR="00A0318C" w:rsidRPr="00B01EA1" w:rsidP="00A0318C" w14:paraId="7F493E1D"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c>
          <w:tcPr>
            <w:tcW w:w="1250" w:type="dxa"/>
            <w:shd w:val="clear" w:color="auto" w:fill="auto"/>
            <w:noWrap/>
            <w:vAlign w:val="center"/>
            <w:hideMark/>
          </w:tcPr>
          <w:p w:rsidR="00A0318C" w:rsidRPr="00B01EA1" w:rsidP="00A0318C" w14:paraId="7F493E1E" w14:textId="77777777">
            <w:pPr>
              <w:autoSpaceDE/>
              <w:autoSpaceDN/>
              <w:adjustRightInd/>
              <w:jc w:val="center"/>
              <w:rPr>
                <w:rFonts w:cs="Arial"/>
                <w:color w:val="000000"/>
              </w:rPr>
            </w:pPr>
            <w:r w:rsidRPr="009D6087">
              <w:rPr>
                <w:rFonts w:cs="Arial"/>
                <w:color w:val="000000"/>
              </w:rPr>
              <w:t>$</w:t>
            </w:r>
            <w:r w:rsidRPr="00B01EA1">
              <w:rPr>
                <w:rFonts w:cs="Arial"/>
                <w:color w:val="000000"/>
              </w:rPr>
              <w:t>0</w:t>
            </w:r>
          </w:p>
        </w:tc>
      </w:tr>
      <w:tr w14:paraId="7F493E2D"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20"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E21" w14:textId="77777777">
            <w:pPr>
              <w:autoSpaceDE/>
              <w:autoSpaceDN/>
              <w:adjustRightInd/>
              <w:jc w:val="center"/>
              <w:rPr>
                <w:rFonts w:cs="Arial"/>
                <w:b/>
                <w:bCs/>
                <w:color w:val="000000"/>
              </w:rPr>
            </w:pPr>
            <w:r w:rsidRPr="00B01EA1">
              <w:rPr>
                <w:rFonts w:cs="Arial"/>
                <w:b/>
                <w:bCs/>
                <w:color w:val="000000"/>
              </w:rPr>
              <w:t>4</w:t>
            </w:r>
          </w:p>
        </w:tc>
        <w:tc>
          <w:tcPr>
            <w:tcW w:w="1890" w:type="dxa"/>
            <w:shd w:val="clear" w:color="auto" w:fill="auto"/>
            <w:noWrap/>
            <w:vAlign w:val="center"/>
            <w:hideMark/>
          </w:tcPr>
          <w:p w:rsidR="00A0318C" w:rsidRPr="00B01EA1" w:rsidP="00A0318C" w14:paraId="7F493E22"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3E23" w14:textId="77777777">
            <w:pPr>
              <w:autoSpaceDE/>
              <w:autoSpaceDN/>
              <w:adjustRightInd/>
              <w:jc w:val="center"/>
              <w:rPr>
                <w:rFonts w:cs="Arial"/>
                <w:color w:val="000000"/>
              </w:rPr>
            </w:pPr>
            <w:r w:rsidRPr="00B01EA1">
              <w:rPr>
                <w:rFonts w:cs="Arial"/>
                <w:color w:val="000000"/>
              </w:rPr>
              <w:t>325</w:t>
            </w:r>
          </w:p>
        </w:tc>
        <w:tc>
          <w:tcPr>
            <w:tcW w:w="990" w:type="dxa"/>
            <w:vMerge w:val="restart"/>
            <w:shd w:val="clear" w:color="auto" w:fill="auto"/>
            <w:vAlign w:val="center"/>
            <w:hideMark/>
          </w:tcPr>
          <w:p w:rsidR="00A0318C" w:rsidRPr="00B01EA1" w:rsidP="00A0318C" w14:paraId="7F493E24" w14:textId="77777777">
            <w:pPr>
              <w:autoSpaceDE/>
              <w:autoSpaceDN/>
              <w:adjustRightInd/>
              <w:jc w:val="center"/>
              <w:rPr>
                <w:rFonts w:cs="Arial"/>
                <w:color w:val="000000"/>
              </w:rPr>
            </w:pPr>
            <w:r w:rsidRPr="00B01EA1">
              <w:rPr>
                <w:rFonts w:cs="Arial"/>
                <w:color w:val="000000"/>
              </w:rPr>
              <w:t>625</w:t>
            </w:r>
          </w:p>
        </w:tc>
        <w:tc>
          <w:tcPr>
            <w:tcW w:w="720" w:type="dxa"/>
            <w:vMerge w:val="restart"/>
            <w:shd w:val="clear" w:color="auto" w:fill="auto"/>
            <w:vAlign w:val="center"/>
            <w:hideMark/>
          </w:tcPr>
          <w:p w:rsidR="00A0318C" w:rsidRPr="00B01EA1" w:rsidP="00A0318C" w14:paraId="7F493E25" w14:textId="77777777">
            <w:pPr>
              <w:autoSpaceDE/>
              <w:autoSpaceDN/>
              <w:adjustRightInd/>
              <w:jc w:val="center"/>
              <w:rPr>
                <w:rFonts w:cs="Arial"/>
                <w:color w:val="000000"/>
              </w:rPr>
            </w:pPr>
            <w:r w:rsidRPr="00B01EA1">
              <w:rPr>
                <w:rFonts w:cs="Arial"/>
                <w:color w:val="000000"/>
              </w:rPr>
              <w:t>650</w:t>
            </w:r>
          </w:p>
        </w:tc>
        <w:tc>
          <w:tcPr>
            <w:tcW w:w="900" w:type="dxa"/>
            <w:shd w:val="clear" w:color="auto" w:fill="auto"/>
            <w:noWrap/>
            <w:vAlign w:val="center"/>
            <w:hideMark/>
          </w:tcPr>
          <w:p w:rsidR="00A0318C" w:rsidRPr="00B01EA1" w:rsidP="00A0318C" w14:paraId="7F493E26"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E27"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E28"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E29"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E2A" w14:textId="77777777">
            <w:pPr>
              <w:autoSpaceDE/>
              <w:autoSpaceDN/>
              <w:adjustRightInd/>
              <w:jc w:val="center"/>
              <w:rPr>
                <w:rFonts w:cs="Arial"/>
                <w:color w:val="000000"/>
              </w:rPr>
            </w:pPr>
            <w:r w:rsidRPr="009D6087">
              <w:rPr>
                <w:rFonts w:cs="Arial"/>
                <w:color w:val="000000"/>
              </w:rPr>
              <w:t>$3,683</w:t>
            </w:r>
          </w:p>
        </w:tc>
        <w:tc>
          <w:tcPr>
            <w:tcW w:w="1260" w:type="dxa"/>
            <w:shd w:val="clear" w:color="auto" w:fill="auto"/>
            <w:noWrap/>
            <w:vAlign w:val="center"/>
            <w:hideMark/>
          </w:tcPr>
          <w:p w:rsidR="00A0318C" w:rsidRPr="00B01EA1" w:rsidP="00A0318C" w14:paraId="7F493E2B" w14:textId="77777777">
            <w:pPr>
              <w:autoSpaceDE/>
              <w:autoSpaceDN/>
              <w:adjustRightInd/>
              <w:jc w:val="center"/>
              <w:rPr>
                <w:rFonts w:cs="Arial"/>
                <w:color w:val="000000"/>
              </w:rPr>
            </w:pPr>
            <w:r w:rsidRPr="009D6087">
              <w:rPr>
                <w:rFonts w:cs="Arial"/>
                <w:color w:val="000000"/>
              </w:rPr>
              <w:t>$7,082</w:t>
            </w:r>
          </w:p>
        </w:tc>
        <w:tc>
          <w:tcPr>
            <w:tcW w:w="1250" w:type="dxa"/>
            <w:shd w:val="clear" w:color="auto" w:fill="auto"/>
            <w:noWrap/>
            <w:vAlign w:val="center"/>
            <w:hideMark/>
          </w:tcPr>
          <w:p w:rsidR="00A0318C" w:rsidRPr="00B01EA1" w:rsidP="00A0318C" w14:paraId="7F493E2C" w14:textId="77777777">
            <w:pPr>
              <w:autoSpaceDE/>
              <w:autoSpaceDN/>
              <w:adjustRightInd/>
              <w:jc w:val="center"/>
              <w:rPr>
                <w:rFonts w:cs="Arial"/>
                <w:color w:val="000000"/>
              </w:rPr>
            </w:pPr>
            <w:r w:rsidRPr="009D6087">
              <w:rPr>
                <w:rFonts w:cs="Arial"/>
                <w:color w:val="000000"/>
              </w:rPr>
              <w:t>$7,365</w:t>
            </w:r>
          </w:p>
        </w:tc>
      </w:tr>
      <w:tr w14:paraId="7F493E3B"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2E" w14:textId="77777777">
            <w:pPr>
              <w:autoSpaceDE/>
              <w:autoSpaceDN/>
              <w:adjustRightInd/>
              <w:rPr>
                <w:rFonts w:cs="Arial"/>
                <w:b/>
                <w:bCs/>
                <w:color w:val="000000"/>
              </w:rPr>
            </w:pPr>
          </w:p>
        </w:tc>
        <w:tc>
          <w:tcPr>
            <w:tcW w:w="720" w:type="dxa"/>
            <w:vMerge/>
            <w:vAlign w:val="center"/>
            <w:hideMark/>
          </w:tcPr>
          <w:p w:rsidR="00A0318C" w:rsidRPr="00B01EA1" w:rsidP="00A0318C" w14:paraId="7F493E2F"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30"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E31" w14:textId="77777777">
            <w:pPr>
              <w:autoSpaceDE/>
              <w:autoSpaceDN/>
              <w:adjustRightInd/>
              <w:rPr>
                <w:rFonts w:cs="Arial"/>
                <w:color w:val="000000"/>
              </w:rPr>
            </w:pPr>
          </w:p>
        </w:tc>
        <w:tc>
          <w:tcPr>
            <w:tcW w:w="990" w:type="dxa"/>
            <w:vMerge/>
            <w:vAlign w:val="center"/>
            <w:hideMark/>
          </w:tcPr>
          <w:p w:rsidR="00A0318C" w:rsidRPr="00B01EA1" w:rsidP="00A0318C" w14:paraId="7F493E32" w14:textId="77777777">
            <w:pPr>
              <w:autoSpaceDE/>
              <w:autoSpaceDN/>
              <w:adjustRightInd/>
              <w:rPr>
                <w:rFonts w:cs="Arial"/>
                <w:color w:val="000000"/>
              </w:rPr>
            </w:pPr>
          </w:p>
        </w:tc>
        <w:tc>
          <w:tcPr>
            <w:tcW w:w="720" w:type="dxa"/>
            <w:vMerge/>
            <w:vAlign w:val="center"/>
            <w:hideMark/>
          </w:tcPr>
          <w:p w:rsidR="00A0318C" w:rsidRPr="00B01EA1" w:rsidP="00A0318C" w14:paraId="7F493E33"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34"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E35"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E36"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E37"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E38" w14:textId="77777777">
            <w:pPr>
              <w:autoSpaceDE/>
              <w:autoSpaceDN/>
              <w:adjustRightInd/>
              <w:jc w:val="center"/>
              <w:rPr>
                <w:rFonts w:cs="Arial"/>
                <w:color w:val="000000"/>
              </w:rPr>
            </w:pPr>
            <w:r w:rsidRPr="009D6087">
              <w:rPr>
                <w:rFonts w:cs="Arial"/>
                <w:color w:val="000000"/>
              </w:rPr>
              <w:t>$18,981</w:t>
            </w:r>
          </w:p>
        </w:tc>
        <w:tc>
          <w:tcPr>
            <w:tcW w:w="1260" w:type="dxa"/>
            <w:shd w:val="clear" w:color="auto" w:fill="auto"/>
            <w:noWrap/>
            <w:vAlign w:val="center"/>
            <w:hideMark/>
          </w:tcPr>
          <w:p w:rsidR="00A0318C" w:rsidRPr="00B01EA1" w:rsidP="00A0318C" w14:paraId="7F493E39" w14:textId="77777777">
            <w:pPr>
              <w:autoSpaceDE/>
              <w:autoSpaceDN/>
              <w:adjustRightInd/>
              <w:jc w:val="center"/>
              <w:rPr>
                <w:rFonts w:cs="Arial"/>
                <w:color w:val="000000"/>
              </w:rPr>
            </w:pPr>
            <w:r w:rsidRPr="009D6087">
              <w:rPr>
                <w:rFonts w:cs="Arial"/>
                <w:color w:val="000000"/>
              </w:rPr>
              <w:t>$36,502</w:t>
            </w:r>
          </w:p>
        </w:tc>
        <w:tc>
          <w:tcPr>
            <w:tcW w:w="1250" w:type="dxa"/>
            <w:shd w:val="clear" w:color="auto" w:fill="auto"/>
            <w:noWrap/>
            <w:vAlign w:val="center"/>
            <w:hideMark/>
          </w:tcPr>
          <w:p w:rsidR="00A0318C" w:rsidRPr="00B01EA1" w:rsidP="00A0318C" w14:paraId="7F493E3A" w14:textId="77777777">
            <w:pPr>
              <w:autoSpaceDE/>
              <w:autoSpaceDN/>
              <w:adjustRightInd/>
              <w:jc w:val="center"/>
              <w:rPr>
                <w:rFonts w:cs="Arial"/>
                <w:color w:val="000000"/>
              </w:rPr>
            </w:pPr>
            <w:r w:rsidRPr="009D6087">
              <w:rPr>
                <w:rFonts w:cs="Arial"/>
                <w:color w:val="000000"/>
              </w:rPr>
              <w:t>$41,126</w:t>
            </w:r>
          </w:p>
        </w:tc>
      </w:tr>
      <w:tr w14:paraId="7F493E49"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3C" w14:textId="77777777">
            <w:pPr>
              <w:autoSpaceDE/>
              <w:autoSpaceDN/>
              <w:adjustRightInd/>
              <w:rPr>
                <w:rFonts w:cs="Arial"/>
                <w:b/>
                <w:bCs/>
                <w:color w:val="000000"/>
              </w:rPr>
            </w:pPr>
          </w:p>
        </w:tc>
        <w:tc>
          <w:tcPr>
            <w:tcW w:w="720" w:type="dxa"/>
            <w:vMerge/>
            <w:vAlign w:val="center"/>
            <w:hideMark/>
          </w:tcPr>
          <w:p w:rsidR="00A0318C" w:rsidRPr="00B01EA1" w:rsidP="00A0318C" w14:paraId="7F493E3D"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3E"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E3F" w14:textId="77777777">
            <w:pPr>
              <w:autoSpaceDE/>
              <w:autoSpaceDN/>
              <w:adjustRightInd/>
              <w:rPr>
                <w:rFonts w:cs="Arial"/>
                <w:color w:val="000000"/>
              </w:rPr>
            </w:pPr>
          </w:p>
        </w:tc>
        <w:tc>
          <w:tcPr>
            <w:tcW w:w="990" w:type="dxa"/>
            <w:vMerge/>
            <w:vAlign w:val="center"/>
            <w:hideMark/>
          </w:tcPr>
          <w:p w:rsidR="00A0318C" w:rsidRPr="00B01EA1" w:rsidP="00A0318C" w14:paraId="7F493E40" w14:textId="77777777">
            <w:pPr>
              <w:autoSpaceDE/>
              <w:autoSpaceDN/>
              <w:adjustRightInd/>
              <w:rPr>
                <w:rFonts w:cs="Arial"/>
                <w:color w:val="000000"/>
              </w:rPr>
            </w:pPr>
          </w:p>
        </w:tc>
        <w:tc>
          <w:tcPr>
            <w:tcW w:w="720" w:type="dxa"/>
            <w:vMerge/>
            <w:vAlign w:val="center"/>
            <w:hideMark/>
          </w:tcPr>
          <w:p w:rsidR="00A0318C" w:rsidRPr="00B01EA1" w:rsidP="00A0318C" w14:paraId="7F493E4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42"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E43"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44"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45"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E46"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47"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48" w14:textId="77777777">
            <w:pPr>
              <w:autoSpaceDE/>
              <w:autoSpaceDN/>
              <w:adjustRightInd/>
              <w:jc w:val="center"/>
              <w:rPr>
                <w:rFonts w:cs="Arial"/>
                <w:color w:val="000000"/>
              </w:rPr>
            </w:pPr>
            <w:r w:rsidRPr="009D6087">
              <w:rPr>
                <w:rFonts w:cs="Arial"/>
                <w:color w:val="000000"/>
              </w:rPr>
              <w:t>$10,729</w:t>
            </w:r>
          </w:p>
        </w:tc>
      </w:tr>
      <w:tr w14:paraId="7F493E57"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4A" w14:textId="77777777">
            <w:pPr>
              <w:autoSpaceDE/>
              <w:autoSpaceDN/>
              <w:adjustRightInd/>
              <w:rPr>
                <w:rFonts w:cs="Arial"/>
                <w:b/>
                <w:bCs/>
                <w:color w:val="000000"/>
              </w:rPr>
            </w:pPr>
          </w:p>
        </w:tc>
        <w:tc>
          <w:tcPr>
            <w:tcW w:w="720" w:type="dxa"/>
            <w:vMerge/>
            <w:vAlign w:val="center"/>
            <w:hideMark/>
          </w:tcPr>
          <w:p w:rsidR="00A0318C" w:rsidRPr="00B01EA1" w:rsidP="00A0318C" w14:paraId="7F493E4B"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4C"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E4D" w14:textId="77777777">
            <w:pPr>
              <w:autoSpaceDE/>
              <w:autoSpaceDN/>
              <w:adjustRightInd/>
              <w:rPr>
                <w:rFonts w:cs="Arial"/>
                <w:color w:val="000000"/>
              </w:rPr>
            </w:pPr>
          </w:p>
        </w:tc>
        <w:tc>
          <w:tcPr>
            <w:tcW w:w="990" w:type="dxa"/>
            <w:vMerge/>
            <w:vAlign w:val="center"/>
            <w:hideMark/>
          </w:tcPr>
          <w:p w:rsidR="00A0318C" w:rsidRPr="00B01EA1" w:rsidP="00A0318C" w14:paraId="7F493E4E" w14:textId="77777777">
            <w:pPr>
              <w:autoSpaceDE/>
              <w:autoSpaceDN/>
              <w:adjustRightInd/>
              <w:rPr>
                <w:rFonts w:cs="Arial"/>
                <w:color w:val="000000"/>
              </w:rPr>
            </w:pPr>
          </w:p>
        </w:tc>
        <w:tc>
          <w:tcPr>
            <w:tcW w:w="720" w:type="dxa"/>
            <w:vMerge/>
            <w:vAlign w:val="center"/>
            <w:hideMark/>
          </w:tcPr>
          <w:p w:rsidR="00A0318C" w:rsidRPr="00B01EA1" w:rsidP="00A0318C" w14:paraId="7F493E4F"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50"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E51"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E52"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E53"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E54" w14:textId="77777777">
            <w:pPr>
              <w:autoSpaceDE/>
              <w:autoSpaceDN/>
              <w:adjustRightInd/>
              <w:jc w:val="center"/>
              <w:rPr>
                <w:rFonts w:cs="Arial"/>
                <w:color w:val="000000"/>
              </w:rPr>
            </w:pPr>
            <w:r w:rsidRPr="009D6087">
              <w:rPr>
                <w:rFonts w:cs="Arial"/>
                <w:color w:val="000000"/>
              </w:rPr>
              <w:t>$3,794</w:t>
            </w:r>
          </w:p>
        </w:tc>
        <w:tc>
          <w:tcPr>
            <w:tcW w:w="1260" w:type="dxa"/>
            <w:shd w:val="clear" w:color="auto" w:fill="auto"/>
            <w:noWrap/>
            <w:vAlign w:val="center"/>
            <w:hideMark/>
          </w:tcPr>
          <w:p w:rsidR="00A0318C" w:rsidRPr="00B01EA1" w:rsidP="00A0318C" w14:paraId="7F493E55" w14:textId="77777777">
            <w:pPr>
              <w:autoSpaceDE/>
              <w:autoSpaceDN/>
              <w:adjustRightInd/>
              <w:jc w:val="center"/>
              <w:rPr>
                <w:rFonts w:cs="Arial"/>
                <w:color w:val="000000"/>
              </w:rPr>
            </w:pPr>
            <w:r w:rsidRPr="009D6087">
              <w:rPr>
                <w:rFonts w:cs="Arial"/>
                <w:color w:val="000000"/>
              </w:rPr>
              <w:t>$7,297</w:t>
            </w:r>
          </w:p>
        </w:tc>
        <w:tc>
          <w:tcPr>
            <w:tcW w:w="1250" w:type="dxa"/>
            <w:shd w:val="clear" w:color="auto" w:fill="auto"/>
            <w:noWrap/>
            <w:vAlign w:val="center"/>
            <w:hideMark/>
          </w:tcPr>
          <w:p w:rsidR="00A0318C" w:rsidRPr="00B01EA1" w:rsidP="00A0318C" w14:paraId="7F493E56" w14:textId="77777777">
            <w:pPr>
              <w:autoSpaceDE/>
              <w:autoSpaceDN/>
              <w:adjustRightInd/>
              <w:jc w:val="center"/>
              <w:rPr>
                <w:rFonts w:cs="Arial"/>
                <w:color w:val="000000"/>
              </w:rPr>
            </w:pPr>
            <w:r w:rsidRPr="009D6087">
              <w:rPr>
                <w:rFonts w:cs="Arial"/>
                <w:color w:val="000000"/>
              </w:rPr>
              <w:t>$1,265</w:t>
            </w:r>
          </w:p>
        </w:tc>
      </w:tr>
      <w:tr w14:paraId="7F493E65"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E58" w14:textId="77777777">
            <w:pPr>
              <w:autoSpaceDE/>
              <w:autoSpaceDN/>
              <w:adjustRightInd/>
              <w:rPr>
                <w:rFonts w:cs="Arial"/>
                <w:b/>
                <w:bCs/>
                <w:color w:val="000000"/>
              </w:rPr>
            </w:pPr>
          </w:p>
        </w:tc>
        <w:tc>
          <w:tcPr>
            <w:tcW w:w="720" w:type="dxa"/>
            <w:vMerge/>
            <w:vAlign w:val="center"/>
            <w:hideMark/>
          </w:tcPr>
          <w:p w:rsidR="00A0318C" w:rsidRPr="00B01EA1" w:rsidP="00A0318C" w14:paraId="7F493E5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5A" w14:textId="77777777">
            <w:pPr>
              <w:autoSpaceDE/>
              <w:autoSpaceDN/>
              <w:adjustRightInd/>
              <w:rPr>
                <w:rFonts w:cs="Arial"/>
                <w:color w:val="000000"/>
              </w:rPr>
            </w:pPr>
            <w:r w:rsidRPr="00B01EA1">
              <w:rPr>
                <w:rFonts w:cs="Arial"/>
                <w:color w:val="000000"/>
              </w:rPr>
              <w:t>Institution Admin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E5B" w14:textId="77777777">
            <w:pPr>
              <w:autoSpaceDE/>
              <w:autoSpaceDN/>
              <w:adjustRightInd/>
              <w:rPr>
                <w:rFonts w:cs="Arial"/>
                <w:color w:val="000000"/>
              </w:rPr>
            </w:pPr>
          </w:p>
        </w:tc>
        <w:tc>
          <w:tcPr>
            <w:tcW w:w="990" w:type="dxa"/>
            <w:vMerge/>
            <w:vAlign w:val="center"/>
            <w:hideMark/>
          </w:tcPr>
          <w:p w:rsidR="00A0318C" w:rsidRPr="00B01EA1" w:rsidP="00A0318C" w14:paraId="7F493E5C" w14:textId="77777777">
            <w:pPr>
              <w:autoSpaceDE/>
              <w:autoSpaceDN/>
              <w:adjustRightInd/>
              <w:rPr>
                <w:rFonts w:cs="Arial"/>
                <w:color w:val="000000"/>
              </w:rPr>
            </w:pPr>
          </w:p>
        </w:tc>
        <w:tc>
          <w:tcPr>
            <w:tcW w:w="720" w:type="dxa"/>
            <w:vMerge/>
            <w:vAlign w:val="center"/>
            <w:hideMark/>
          </w:tcPr>
          <w:p w:rsidR="00A0318C" w:rsidRPr="00B01EA1" w:rsidP="00A0318C" w14:paraId="7F493E5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5E"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E5F"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60"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61"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E62"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63"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64" w14:textId="77777777">
            <w:pPr>
              <w:autoSpaceDE/>
              <w:autoSpaceDN/>
              <w:adjustRightInd/>
              <w:jc w:val="center"/>
              <w:rPr>
                <w:rFonts w:cs="Arial"/>
                <w:color w:val="000000"/>
              </w:rPr>
            </w:pPr>
            <w:r w:rsidRPr="009D6087">
              <w:rPr>
                <w:rFonts w:cs="Arial"/>
                <w:color w:val="000000"/>
              </w:rPr>
              <w:t>$0</w:t>
            </w:r>
          </w:p>
        </w:tc>
      </w:tr>
      <w:tr w14:paraId="7F493E73"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66"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E67" w14:textId="77777777">
            <w:pPr>
              <w:autoSpaceDE/>
              <w:autoSpaceDN/>
              <w:adjustRightInd/>
              <w:jc w:val="center"/>
              <w:rPr>
                <w:rFonts w:cs="Arial"/>
                <w:b/>
                <w:bCs/>
                <w:color w:val="000000"/>
              </w:rPr>
            </w:pPr>
            <w:r w:rsidRPr="00B01EA1">
              <w:rPr>
                <w:rFonts w:cs="Arial"/>
                <w:b/>
                <w:bCs/>
                <w:color w:val="000000"/>
              </w:rPr>
              <w:t>5</w:t>
            </w:r>
          </w:p>
        </w:tc>
        <w:tc>
          <w:tcPr>
            <w:tcW w:w="1890" w:type="dxa"/>
            <w:shd w:val="clear" w:color="auto" w:fill="auto"/>
            <w:noWrap/>
            <w:vAlign w:val="center"/>
            <w:hideMark/>
          </w:tcPr>
          <w:p w:rsidR="00A0318C" w:rsidRPr="00B01EA1" w:rsidP="00A0318C" w14:paraId="7F493E68"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3E69" w14:textId="77777777">
            <w:pPr>
              <w:autoSpaceDE/>
              <w:autoSpaceDN/>
              <w:adjustRightInd/>
              <w:jc w:val="center"/>
              <w:rPr>
                <w:rFonts w:cs="Arial"/>
                <w:color w:val="000000"/>
              </w:rPr>
            </w:pPr>
            <w:r w:rsidRPr="00B01EA1">
              <w:rPr>
                <w:rFonts w:cs="Arial"/>
                <w:color w:val="000000"/>
              </w:rPr>
              <w:t>33</w:t>
            </w:r>
          </w:p>
        </w:tc>
        <w:tc>
          <w:tcPr>
            <w:tcW w:w="990" w:type="dxa"/>
            <w:vMerge w:val="restart"/>
            <w:shd w:val="clear" w:color="auto" w:fill="auto"/>
            <w:vAlign w:val="center"/>
            <w:hideMark/>
          </w:tcPr>
          <w:p w:rsidR="00A0318C" w:rsidRPr="00B01EA1" w:rsidP="00A0318C" w14:paraId="7F493E6A" w14:textId="77777777">
            <w:pPr>
              <w:autoSpaceDE/>
              <w:autoSpaceDN/>
              <w:adjustRightInd/>
              <w:jc w:val="center"/>
              <w:rPr>
                <w:rFonts w:cs="Arial"/>
                <w:color w:val="000000"/>
              </w:rPr>
            </w:pPr>
            <w:r w:rsidRPr="00B01EA1">
              <w:rPr>
                <w:rFonts w:cs="Arial"/>
                <w:color w:val="000000"/>
              </w:rPr>
              <w:t>63</w:t>
            </w:r>
          </w:p>
        </w:tc>
        <w:tc>
          <w:tcPr>
            <w:tcW w:w="720" w:type="dxa"/>
            <w:vMerge w:val="restart"/>
            <w:shd w:val="clear" w:color="auto" w:fill="auto"/>
            <w:vAlign w:val="center"/>
            <w:hideMark/>
          </w:tcPr>
          <w:p w:rsidR="00A0318C" w:rsidRPr="00B01EA1" w:rsidP="00A0318C" w14:paraId="7F493E6B" w14:textId="77777777">
            <w:pPr>
              <w:autoSpaceDE/>
              <w:autoSpaceDN/>
              <w:adjustRightInd/>
              <w:jc w:val="center"/>
              <w:rPr>
                <w:rFonts w:cs="Arial"/>
                <w:color w:val="000000"/>
              </w:rPr>
            </w:pPr>
            <w:r w:rsidRPr="00B01EA1">
              <w:rPr>
                <w:rFonts w:cs="Arial"/>
                <w:color w:val="000000"/>
              </w:rPr>
              <w:t>65</w:t>
            </w:r>
          </w:p>
        </w:tc>
        <w:tc>
          <w:tcPr>
            <w:tcW w:w="900" w:type="dxa"/>
            <w:shd w:val="clear" w:color="auto" w:fill="auto"/>
            <w:noWrap/>
            <w:vAlign w:val="center"/>
            <w:hideMark/>
          </w:tcPr>
          <w:p w:rsidR="00A0318C" w:rsidRPr="00B01EA1" w:rsidP="00A0318C" w14:paraId="7F493E6C"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E6D" w14:textId="77777777">
            <w:pPr>
              <w:autoSpaceDE/>
              <w:autoSpaceDN/>
              <w:adjustRightInd/>
              <w:jc w:val="center"/>
              <w:rPr>
                <w:rFonts w:cs="Arial"/>
                <w:color w:val="000000"/>
              </w:rPr>
            </w:pPr>
            <w:r w:rsidRPr="009D6087">
              <w:rPr>
                <w:rFonts w:cs="Arial"/>
                <w:color w:val="000000"/>
              </w:rPr>
              <w:t>25%</w:t>
            </w:r>
          </w:p>
        </w:tc>
        <w:tc>
          <w:tcPr>
            <w:tcW w:w="990" w:type="dxa"/>
            <w:shd w:val="clear" w:color="auto" w:fill="auto"/>
            <w:noWrap/>
            <w:vAlign w:val="center"/>
            <w:hideMark/>
          </w:tcPr>
          <w:p w:rsidR="00A0318C" w:rsidRPr="00B01EA1" w:rsidP="00A0318C" w14:paraId="7F493E6E" w14:textId="77777777">
            <w:pPr>
              <w:autoSpaceDE/>
              <w:autoSpaceDN/>
              <w:adjustRightInd/>
              <w:jc w:val="center"/>
              <w:rPr>
                <w:rFonts w:cs="Arial"/>
                <w:color w:val="000000"/>
              </w:rPr>
            </w:pPr>
            <w:r w:rsidRPr="009D6087">
              <w:rPr>
                <w:rFonts w:cs="Arial"/>
                <w:color w:val="000000"/>
              </w:rPr>
              <w:t>25%</w:t>
            </w:r>
          </w:p>
        </w:tc>
        <w:tc>
          <w:tcPr>
            <w:tcW w:w="772" w:type="dxa"/>
            <w:shd w:val="clear" w:color="auto" w:fill="auto"/>
            <w:noWrap/>
            <w:vAlign w:val="center"/>
            <w:hideMark/>
          </w:tcPr>
          <w:p w:rsidR="00A0318C" w:rsidRPr="00B01EA1" w:rsidP="00A0318C" w14:paraId="7F493E6F" w14:textId="77777777">
            <w:pPr>
              <w:autoSpaceDE/>
              <w:autoSpaceDN/>
              <w:adjustRightInd/>
              <w:jc w:val="center"/>
              <w:rPr>
                <w:rFonts w:cs="Arial"/>
                <w:color w:val="000000"/>
              </w:rPr>
            </w:pPr>
            <w:r w:rsidRPr="009D6087">
              <w:rPr>
                <w:rFonts w:cs="Arial"/>
                <w:color w:val="000000"/>
              </w:rPr>
              <w:t>25%</w:t>
            </w:r>
          </w:p>
        </w:tc>
        <w:tc>
          <w:tcPr>
            <w:tcW w:w="1118" w:type="dxa"/>
            <w:shd w:val="clear" w:color="auto" w:fill="auto"/>
            <w:noWrap/>
            <w:vAlign w:val="center"/>
            <w:hideMark/>
          </w:tcPr>
          <w:p w:rsidR="00A0318C" w:rsidRPr="00B01EA1" w:rsidP="00A0318C" w14:paraId="7F493E70" w14:textId="77777777">
            <w:pPr>
              <w:autoSpaceDE/>
              <w:autoSpaceDN/>
              <w:adjustRightInd/>
              <w:jc w:val="center"/>
              <w:rPr>
                <w:rFonts w:cs="Arial"/>
                <w:color w:val="000000"/>
              </w:rPr>
            </w:pPr>
            <w:r w:rsidRPr="009D6087">
              <w:rPr>
                <w:rFonts w:cs="Arial"/>
                <w:color w:val="000000"/>
              </w:rPr>
              <w:t>$921</w:t>
            </w:r>
          </w:p>
        </w:tc>
        <w:tc>
          <w:tcPr>
            <w:tcW w:w="1260" w:type="dxa"/>
            <w:shd w:val="clear" w:color="auto" w:fill="auto"/>
            <w:noWrap/>
            <w:vAlign w:val="center"/>
            <w:hideMark/>
          </w:tcPr>
          <w:p w:rsidR="00A0318C" w:rsidRPr="00B01EA1" w:rsidP="00A0318C" w14:paraId="7F493E71" w14:textId="77777777">
            <w:pPr>
              <w:autoSpaceDE/>
              <w:autoSpaceDN/>
              <w:adjustRightInd/>
              <w:jc w:val="center"/>
              <w:rPr>
                <w:rFonts w:cs="Arial"/>
                <w:color w:val="000000"/>
              </w:rPr>
            </w:pPr>
            <w:r w:rsidRPr="009D6087">
              <w:rPr>
                <w:rFonts w:cs="Arial"/>
                <w:color w:val="000000"/>
              </w:rPr>
              <w:t>$1,770</w:t>
            </w:r>
          </w:p>
        </w:tc>
        <w:tc>
          <w:tcPr>
            <w:tcW w:w="1250" w:type="dxa"/>
            <w:shd w:val="clear" w:color="auto" w:fill="auto"/>
            <w:noWrap/>
            <w:vAlign w:val="center"/>
            <w:hideMark/>
          </w:tcPr>
          <w:p w:rsidR="00A0318C" w:rsidRPr="00B01EA1" w:rsidP="00A0318C" w14:paraId="7F493E72" w14:textId="77777777">
            <w:pPr>
              <w:autoSpaceDE/>
              <w:autoSpaceDN/>
              <w:adjustRightInd/>
              <w:jc w:val="center"/>
              <w:rPr>
                <w:rFonts w:cs="Arial"/>
                <w:color w:val="000000"/>
              </w:rPr>
            </w:pPr>
            <w:r w:rsidRPr="009D6087">
              <w:rPr>
                <w:rFonts w:cs="Arial"/>
                <w:color w:val="000000"/>
              </w:rPr>
              <w:t>$1,841</w:t>
            </w:r>
          </w:p>
        </w:tc>
      </w:tr>
      <w:tr w14:paraId="7F493E81"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74" w14:textId="77777777">
            <w:pPr>
              <w:autoSpaceDE/>
              <w:autoSpaceDN/>
              <w:adjustRightInd/>
              <w:rPr>
                <w:rFonts w:cs="Arial"/>
                <w:b/>
                <w:bCs/>
                <w:color w:val="000000"/>
              </w:rPr>
            </w:pPr>
          </w:p>
        </w:tc>
        <w:tc>
          <w:tcPr>
            <w:tcW w:w="720" w:type="dxa"/>
            <w:vMerge/>
            <w:vAlign w:val="center"/>
            <w:hideMark/>
          </w:tcPr>
          <w:p w:rsidR="00A0318C" w:rsidRPr="00B01EA1" w:rsidP="00A0318C" w14:paraId="7F493E75"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76"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E77" w14:textId="77777777">
            <w:pPr>
              <w:autoSpaceDE/>
              <w:autoSpaceDN/>
              <w:adjustRightInd/>
              <w:rPr>
                <w:rFonts w:cs="Arial"/>
                <w:color w:val="000000"/>
              </w:rPr>
            </w:pPr>
          </w:p>
        </w:tc>
        <w:tc>
          <w:tcPr>
            <w:tcW w:w="990" w:type="dxa"/>
            <w:vMerge/>
            <w:vAlign w:val="center"/>
            <w:hideMark/>
          </w:tcPr>
          <w:p w:rsidR="00A0318C" w:rsidRPr="00B01EA1" w:rsidP="00A0318C" w14:paraId="7F493E78" w14:textId="77777777">
            <w:pPr>
              <w:autoSpaceDE/>
              <w:autoSpaceDN/>
              <w:adjustRightInd/>
              <w:rPr>
                <w:rFonts w:cs="Arial"/>
                <w:color w:val="000000"/>
              </w:rPr>
            </w:pPr>
          </w:p>
        </w:tc>
        <w:tc>
          <w:tcPr>
            <w:tcW w:w="720" w:type="dxa"/>
            <w:vMerge/>
            <w:vAlign w:val="center"/>
            <w:hideMark/>
          </w:tcPr>
          <w:p w:rsidR="00A0318C" w:rsidRPr="00B01EA1" w:rsidP="00A0318C" w14:paraId="7F493E79"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7A"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E7B"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7C"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7D"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E7E"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7F"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80" w14:textId="77777777">
            <w:pPr>
              <w:autoSpaceDE/>
              <w:autoSpaceDN/>
              <w:adjustRightInd/>
              <w:jc w:val="center"/>
              <w:rPr>
                <w:rFonts w:cs="Arial"/>
                <w:color w:val="000000"/>
              </w:rPr>
            </w:pPr>
            <w:r w:rsidRPr="009D6087">
              <w:rPr>
                <w:rFonts w:cs="Arial"/>
                <w:color w:val="000000"/>
              </w:rPr>
              <w:t>$0</w:t>
            </w:r>
          </w:p>
        </w:tc>
      </w:tr>
      <w:tr w14:paraId="7F493E8F"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82" w14:textId="77777777">
            <w:pPr>
              <w:autoSpaceDE/>
              <w:autoSpaceDN/>
              <w:adjustRightInd/>
              <w:rPr>
                <w:rFonts w:cs="Arial"/>
                <w:b/>
                <w:bCs/>
                <w:color w:val="000000"/>
              </w:rPr>
            </w:pPr>
          </w:p>
        </w:tc>
        <w:tc>
          <w:tcPr>
            <w:tcW w:w="720" w:type="dxa"/>
            <w:vMerge/>
            <w:vAlign w:val="center"/>
            <w:hideMark/>
          </w:tcPr>
          <w:p w:rsidR="00A0318C" w:rsidRPr="00B01EA1" w:rsidP="00A0318C" w14:paraId="7F493E83"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84"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E85" w14:textId="77777777">
            <w:pPr>
              <w:autoSpaceDE/>
              <w:autoSpaceDN/>
              <w:adjustRightInd/>
              <w:rPr>
                <w:rFonts w:cs="Arial"/>
                <w:color w:val="000000"/>
              </w:rPr>
            </w:pPr>
          </w:p>
        </w:tc>
        <w:tc>
          <w:tcPr>
            <w:tcW w:w="990" w:type="dxa"/>
            <w:vMerge/>
            <w:vAlign w:val="center"/>
            <w:hideMark/>
          </w:tcPr>
          <w:p w:rsidR="00A0318C" w:rsidRPr="00B01EA1" w:rsidP="00A0318C" w14:paraId="7F493E86" w14:textId="77777777">
            <w:pPr>
              <w:autoSpaceDE/>
              <w:autoSpaceDN/>
              <w:adjustRightInd/>
              <w:rPr>
                <w:rFonts w:cs="Arial"/>
                <w:color w:val="000000"/>
              </w:rPr>
            </w:pPr>
          </w:p>
        </w:tc>
        <w:tc>
          <w:tcPr>
            <w:tcW w:w="720" w:type="dxa"/>
            <w:vMerge/>
            <w:vAlign w:val="center"/>
            <w:hideMark/>
          </w:tcPr>
          <w:p w:rsidR="00A0318C" w:rsidRPr="00B01EA1" w:rsidP="00A0318C" w14:paraId="7F493E87"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88"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E89"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8A"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8B"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E8C"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8D"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8E" w14:textId="77777777">
            <w:pPr>
              <w:autoSpaceDE/>
              <w:autoSpaceDN/>
              <w:adjustRightInd/>
              <w:jc w:val="center"/>
              <w:rPr>
                <w:rFonts w:cs="Arial"/>
                <w:color w:val="000000"/>
              </w:rPr>
            </w:pPr>
            <w:r w:rsidRPr="009D6087">
              <w:rPr>
                <w:rFonts w:cs="Arial"/>
                <w:color w:val="000000"/>
              </w:rPr>
              <w:t>$0</w:t>
            </w:r>
          </w:p>
        </w:tc>
      </w:tr>
      <w:tr w14:paraId="7F493E9D"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90" w14:textId="77777777">
            <w:pPr>
              <w:autoSpaceDE/>
              <w:autoSpaceDN/>
              <w:adjustRightInd/>
              <w:rPr>
                <w:rFonts w:cs="Arial"/>
                <w:b/>
                <w:bCs/>
                <w:color w:val="000000"/>
              </w:rPr>
            </w:pPr>
          </w:p>
        </w:tc>
        <w:tc>
          <w:tcPr>
            <w:tcW w:w="720" w:type="dxa"/>
            <w:vMerge/>
            <w:vAlign w:val="center"/>
            <w:hideMark/>
          </w:tcPr>
          <w:p w:rsidR="00A0318C" w:rsidRPr="00B01EA1" w:rsidP="00A0318C" w14:paraId="7F493E91"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92"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E93" w14:textId="77777777">
            <w:pPr>
              <w:autoSpaceDE/>
              <w:autoSpaceDN/>
              <w:adjustRightInd/>
              <w:rPr>
                <w:rFonts w:cs="Arial"/>
                <w:color w:val="000000"/>
              </w:rPr>
            </w:pPr>
          </w:p>
        </w:tc>
        <w:tc>
          <w:tcPr>
            <w:tcW w:w="990" w:type="dxa"/>
            <w:vMerge/>
            <w:vAlign w:val="center"/>
            <w:hideMark/>
          </w:tcPr>
          <w:p w:rsidR="00A0318C" w:rsidRPr="00B01EA1" w:rsidP="00A0318C" w14:paraId="7F493E94" w14:textId="77777777">
            <w:pPr>
              <w:autoSpaceDE/>
              <w:autoSpaceDN/>
              <w:adjustRightInd/>
              <w:rPr>
                <w:rFonts w:cs="Arial"/>
                <w:color w:val="000000"/>
              </w:rPr>
            </w:pPr>
          </w:p>
        </w:tc>
        <w:tc>
          <w:tcPr>
            <w:tcW w:w="720" w:type="dxa"/>
            <w:vMerge/>
            <w:vAlign w:val="center"/>
            <w:hideMark/>
          </w:tcPr>
          <w:p w:rsidR="00A0318C" w:rsidRPr="00B01EA1" w:rsidP="00A0318C" w14:paraId="7F493E95"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96"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E97"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98"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99"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E9A"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9B"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9C" w14:textId="77777777">
            <w:pPr>
              <w:autoSpaceDE/>
              <w:autoSpaceDN/>
              <w:adjustRightInd/>
              <w:jc w:val="center"/>
              <w:rPr>
                <w:rFonts w:cs="Arial"/>
                <w:color w:val="000000"/>
              </w:rPr>
            </w:pPr>
            <w:r w:rsidRPr="009D6087">
              <w:rPr>
                <w:rFonts w:cs="Arial"/>
                <w:color w:val="000000"/>
              </w:rPr>
              <w:t>$0</w:t>
            </w:r>
          </w:p>
        </w:tc>
      </w:tr>
      <w:tr w14:paraId="7F493EAB"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E9E" w14:textId="77777777">
            <w:pPr>
              <w:autoSpaceDE/>
              <w:autoSpaceDN/>
              <w:adjustRightInd/>
              <w:rPr>
                <w:rFonts w:cs="Arial"/>
                <w:b/>
                <w:bCs/>
                <w:color w:val="000000"/>
              </w:rPr>
            </w:pPr>
          </w:p>
        </w:tc>
        <w:tc>
          <w:tcPr>
            <w:tcW w:w="720" w:type="dxa"/>
            <w:vMerge/>
            <w:vAlign w:val="center"/>
            <w:hideMark/>
          </w:tcPr>
          <w:p w:rsidR="00A0318C" w:rsidRPr="00B01EA1" w:rsidP="00A0318C" w14:paraId="7F493E9F"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A0" w14:textId="77777777">
            <w:pPr>
              <w:autoSpaceDE/>
              <w:autoSpaceDN/>
              <w:adjustRightInd/>
              <w:rPr>
                <w:rFonts w:cs="Arial"/>
                <w:color w:val="000000"/>
              </w:rPr>
            </w:pPr>
            <w:r w:rsidRPr="00B01EA1">
              <w:rPr>
                <w:rFonts w:cs="Arial"/>
                <w:color w:val="000000"/>
              </w:rPr>
              <w:t>Institution Adm</w:t>
            </w:r>
            <w:r>
              <w:rPr>
                <w:rFonts w:cs="Arial"/>
                <w:color w:val="000000"/>
              </w:rPr>
              <w:t xml:space="preserve">in.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EA1" w14:textId="77777777">
            <w:pPr>
              <w:autoSpaceDE/>
              <w:autoSpaceDN/>
              <w:adjustRightInd/>
              <w:rPr>
                <w:rFonts w:cs="Arial"/>
                <w:color w:val="000000"/>
              </w:rPr>
            </w:pPr>
          </w:p>
        </w:tc>
        <w:tc>
          <w:tcPr>
            <w:tcW w:w="990" w:type="dxa"/>
            <w:vMerge/>
            <w:vAlign w:val="center"/>
            <w:hideMark/>
          </w:tcPr>
          <w:p w:rsidR="00A0318C" w:rsidRPr="00B01EA1" w:rsidP="00A0318C" w14:paraId="7F493EA2" w14:textId="77777777">
            <w:pPr>
              <w:autoSpaceDE/>
              <w:autoSpaceDN/>
              <w:adjustRightInd/>
              <w:rPr>
                <w:rFonts w:cs="Arial"/>
                <w:color w:val="000000"/>
              </w:rPr>
            </w:pPr>
          </w:p>
        </w:tc>
        <w:tc>
          <w:tcPr>
            <w:tcW w:w="720" w:type="dxa"/>
            <w:vMerge/>
            <w:vAlign w:val="center"/>
            <w:hideMark/>
          </w:tcPr>
          <w:p w:rsidR="00A0318C" w:rsidRPr="00B01EA1" w:rsidP="00A0318C" w14:paraId="7F493EA3"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A4"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EA5" w14:textId="77777777">
            <w:pPr>
              <w:autoSpaceDE/>
              <w:autoSpaceDN/>
              <w:adjustRightInd/>
              <w:jc w:val="center"/>
              <w:rPr>
                <w:rFonts w:cs="Arial"/>
                <w:color w:val="000000"/>
              </w:rPr>
            </w:pPr>
            <w:r w:rsidRPr="009D6087">
              <w:rPr>
                <w:rFonts w:cs="Arial"/>
                <w:color w:val="000000"/>
              </w:rPr>
              <w:t>75%</w:t>
            </w:r>
          </w:p>
        </w:tc>
        <w:tc>
          <w:tcPr>
            <w:tcW w:w="990" w:type="dxa"/>
            <w:shd w:val="clear" w:color="auto" w:fill="auto"/>
            <w:noWrap/>
            <w:vAlign w:val="center"/>
            <w:hideMark/>
          </w:tcPr>
          <w:p w:rsidR="00A0318C" w:rsidRPr="00B01EA1" w:rsidP="00A0318C" w14:paraId="7F493EA6" w14:textId="77777777">
            <w:pPr>
              <w:autoSpaceDE/>
              <w:autoSpaceDN/>
              <w:adjustRightInd/>
              <w:jc w:val="center"/>
              <w:rPr>
                <w:rFonts w:cs="Arial"/>
                <w:color w:val="000000"/>
              </w:rPr>
            </w:pPr>
            <w:r w:rsidRPr="009D6087">
              <w:rPr>
                <w:rFonts w:cs="Arial"/>
                <w:color w:val="000000"/>
              </w:rPr>
              <w:t>75%</w:t>
            </w:r>
          </w:p>
        </w:tc>
        <w:tc>
          <w:tcPr>
            <w:tcW w:w="772" w:type="dxa"/>
            <w:shd w:val="clear" w:color="auto" w:fill="auto"/>
            <w:noWrap/>
            <w:vAlign w:val="center"/>
            <w:hideMark/>
          </w:tcPr>
          <w:p w:rsidR="00A0318C" w:rsidRPr="00B01EA1" w:rsidP="00A0318C" w14:paraId="7F493EA7" w14:textId="77777777">
            <w:pPr>
              <w:autoSpaceDE/>
              <w:autoSpaceDN/>
              <w:adjustRightInd/>
              <w:jc w:val="center"/>
              <w:rPr>
                <w:rFonts w:cs="Arial"/>
                <w:color w:val="000000"/>
              </w:rPr>
            </w:pPr>
            <w:r w:rsidRPr="009D6087">
              <w:rPr>
                <w:rFonts w:cs="Arial"/>
                <w:color w:val="000000"/>
              </w:rPr>
              <w:t>75%</w:t>
            </w:r>
          </w:p>
        </w:tc>
        <w:tc>
          <w:tcPr>
            <w:tcW w:w="1118" w:type="dxa"/>
            <w:shd w:val="clear" w:color="auto" w:fill="auto"/>
            <w:noWrap/>
            <w:vAlign w:val="center"/>
            <w:hideMark/>
          </w:tcPr>
          <w:p w:rsidR="00A0318C" w:rsidRPr="00B01EA1" w:rsidP="00A0318C" w14:paraId="7F493EA8" w14:textId="77777777">
            <w:pPr>
              <w:autoSpaceDE/>
              <w:autoSpaceDN/>
              <w:adjustRightInd/>
              <w:jc w:val="center"/>
              <w:rPr>
                <w:rFonts w:cs="Arial"/>
                <w:color w:val="000000"/>
              </w:rPr>
            </w:pPr>
            <w:r w:rsidRPr="009D6087">
              <w:rPr>
                <w:rFonts w:cs="Arial"/>
                <w:color w:val="000000"/>
              </w:rPr>
              <w:t>$2,708</w:t>
            </w:r>
          </w:p>
        </w:tc>
        <w:tc>
          <w:tcPr>
            <w:tcW w:w="1260" w:type="dxa"/>
            <w:shd w:val="clear" w:color="auto" w:fill="auto"/>
            <w:noWrap/>
            <w:vAlign w:val="center"/>
            <w:hideMark/>
          </w:tcPr>
          <w:p w:rsidR="00A0318C" w:rsidRPr="00B01EA1" w:rsidP="00A0318C" w14:paraId="7F493EA9" w14:textId="77777777">
            <w:pPr>
              <w:autoSpaceDE/>
              <w:autoSpaceDN/>
              <w:adjustRightInd/>
              <w:jc w:val="center"/>
              <w:rPr>
                <w:rFonts w:cs="Arial"/>
                <w:color w:val="000000"/>
              </w:rPr>
            </w:pPr>
            <w:r w:rsidRPr="009D6087">
              <w:rPr>
                <w:rFonts w:cs="Arial"/>
                <w:color w:val="000000"/>
              </w:rPr>
              <w:t>$5,207</w:t>
            </w:r>
          </w:p>
        </w:tc>
        <w:tc>
          <w:tcPr>
            <w:tcW w:w="1250" w:type="dxa"/>
            <w:shd w:val="clear" w:color="auto" w:fill="auto"/>
            <w:noWrap/>
            <w:vAlign w:val="center"/>
            <w:hideMark/>
          </w:tcPr>
          <w:p w:rsidR="00A0318C" w:rsidRPr="00B01EA1" w:rsidP="00A0318C" w14:paraId="7F493EAA" w14:textId="77777777">
            <w:pPr>
              <w:autoSpaceDE/>
              <w:autoSpaceDN/>
              <w:adjustRightInd/>
              <w:jc w:val="center"/>
              <w:rPr>
                <w:rFonts w:cs="Arial"/>
                <w:color w:val="000000"/>
              </w:rPr>
            </w:pPr>
            <w:r w:rsidRPr="009D6087">
              <w:rPr>
                <w:rFonts w:cs="Arial"/>
                <w:color w:val="000000"/>
              </w:rPr>
              <w:t>$5,415</w:t>
            </w:r>
          </w:p>
        </w:tc>
      </w:tr>
      <w:tr w14:paraId="7F493EB9" w14:textId="77777777" w:rsidTr="00D96410">
        <w:tblPrEx>
          <w:tblW w:w="13315" w:type="dxa"/>
          <w:jc w:val="center"/>
          <w:tblLayout w:type="fixed"/>
          <w:tblLook w:val="04A0"/>
        </w:tblPrEx>
        <w:trPr>
          <w:trHeight w:val="390"/>
          <w:jc w:val="center"/>
        </w:trPr>
        <w:tc>
          <w:tcPr>
            <w:tcW w:w="1445" w:type="dxa"/>
            <w:vMerge w:val="restart"/>
            <w:shd w:val="clear" w:color="auto" w:fill="auto"/>
            <w:vAlign w:val="center"/>
            <w:hideMark/>
          </w:tcPr>
          <w:p w:rsidR="00A0318C" w:rsidRPr="00B01EA1" w:rsidP="00A0318C" w14:paraId="7F493EAC" w14:textId="77777777">
            <w:pPr>
              <w:autoSpaceDE/>
              <w:autoSpaceDN/>
              <w:adjustRightInd/>
              <w:jc w:val="center"/>
              <w:rPr>
                <w:rFonts w:cs="Arial"/>
                <w:b/>
                <w:bCs/>
                <w:color w:val="000000"/>
              </w:rPr>
            </w:pPr>
            <w:r w:rsidRPr="00B01EA1">
              <w:rPr>
                <w:rFonts w:cs="Arial"/>
                <w:b/>
                <w:bCs/>
                <w:color w:val="000000"/>
              </w:rPr>
              <w:t xml:space="preserve">Responding to </w:t>
            </w:r>
            <w:r w:rsidR="009545A8">
              <w:rPr>
                <w:rFonts w:cs="Arial"/>
                <w:b/>
                <w:bCs/>
                <w:color w:val="000000"/>
              </w:rPr>
              <w:t>A</w:t>
            </w:r>
            <w:r w:rsidRPr="00B01EA1">
              <w:rPr>
                <w:rFonts w:cs="Arial"/>
                <w:b/>
                <w:bCs/>
                <w:color w:val="000000"/>
              </w:rPr>
              <w:t>ll RAIs</w:t>
            </w:r>
          </w:p>
        </w:tc>
        <w:tc>
          <w:tcPr>
            <w:tcW w:w="720" w:type="dxa"/>
            <w:vMerge w:val="restart"/>
            <w:shd w:val="clear" w:color="auto" w:fill="auto"/>
            <w:noWrap/>
            <w:vAlign w:val="center"/>
            <w:hideMark/>
          </w:tcPr>
          <w:p w:rsidR="00A0318C" w:rsidRPr="00B01EA1" w:rsidP="00A0318C" w14:paraId="7F493EAD" w14:textId="77777777">
            <w:pPr>
              <w:autoSpaceDE/>
              <w:autoSpaceDN/>
              <w:adjustRightInd/>
              <w:jc w:val="center"/>
              <w:rPr>
                <w:rFonts w:cs="Arial"/>
                <w:b/>
                <w:bCs/>
                <w:color w:val="000000"/>
              </w:rPr>
            </w:pPr>
            <w:r w:rsidRPr="00B01EA1">
              <w:rPr>
                <w:rFonts w:cs="Arial"/>
                <w:b/>
                <w:bCs/>
                <w:color w:val="000000"/>
              </w:rPr>
              <w:t>1</w:t>
            </w:r>
          </w:p>
        </w:tc>
        <w:tc>
          <w:tcPr>
            <w:tcW w:w="1890" w:type="dxa"/>
            <w:shd w:val="clear" w:color="auto" w:fill="auto"/>
            <w:noWrap/>
            <w:vAlign w:val="center"/>
            <w:hideMark/>
          </w:tcPr>
          <w:p w:rsidR="00A0318C" w:rsidRPr="00B01EA1" w:rsidP="00A0318C" w14:paraId="7F493EAE" w14:textId="77777777">
            <w:pPr>
              <w:autoSpaceDE/>
              <w:autoSpaceDN/>
              <w:adjustRightInd/>
              <w:rPr>
                <w:rFonts w:cs="Arial"/>
                <w:color w:val="000000"/>
              </w:rPr>
            </w:pPr>
            <w:r w:rsidRPr="00B01EA1">
              <w:rPr>
                <w:rFonts w:cs="Arial"/>
                <w:color w:val="000000"/>
              </w:rPr>
              <w:t>Reactor Director / Professor/Project Manager</w:t>
            </w:r>
          </w:p>
        </w:tc>
        <w:tc>
          <w:tcPr>
            <w:tcW w:w="630" w:type="dxa"/>
            <w:vMerge w:val="restart"/>
            <w:shd w:val="clear" w:color="auto" w:fill="auto"/>
            <w:vAlign w:val="center"/>
            <w:hideMark/>
          </w:tcPr>
          <w:p w:rsidR="00A0318C" w:rsidRPr="00B01EA1" w:rsidP="00A0318C" w14:paraId="7F493EAF" w14:textId="77777777">
            <w:pPr>
              <w:autoSpaceDE/>
              <w:autoSpaceDN/>
              <w:adjustRightInd/>
              <w:jc w:val="center"/>
              <w:rPr>
                <w:rFonts w:cs="Arial"/>
                <w:color w:val="000000"/>
              </w:rPr>
            </w:pPr>
            <w:r w:rsidRPr="009D6087">
              <w:rPr>
                <w:rFonts w:cs="Arial"/>
                <w:color w:val="000000"/>
              </w:rPr>
              <w:t>141</w:t>
            </w:r>
          </w:p>
        </w:tc>
        <w:tc>
          <w:tcPr>
            <w:tcW w:w="990" w:type="dxa"/>
            <w:vMerge w:val="restart"/>
            <w:shd w:val="clear" w:color="auto" w:fill="auto"/>
            <w:vAlign w:val="center"/>
            <w:hideMark/>
          </w:tcPr>
          <w:p w:rsidR="00A0318C" w:rsidRPr="00B01EA1" w:rsidP="00A0318C" w14:paraId="7F493EB0" w14:textId="77777777">
            <w:pPr>
              <w:autoSpaceDE/>
              <w:autoSpaceDN/>
              <w:adjustRightInd/>
              <w:jc w:val="center"/>
              <w:rPr>
                <w:rFonts w:cs="Arial"/>
                <w:color w:val="000000"/>
              </w:rPr>
            </w:pPr>
            <w:r w:rsidRPr="009D6087">
              <w:rPr>
                <w:rFonts w:cs="Arial"/>
                <w:color w:val="000000"/>
              </w:rPr>
              <w:t>138</w:t>
            </w:r>
          </w:p>
        </w:tc>
        <w:tc>
          <w:tcPr>
            <w:tcW w:w="720" w:type="dxa"/>
            <w:vMerge w:val="restart"/>
            <w:shd w:val="clear" w:color="auto" w:fill="auto"/>
            <w:vAlign w:val="center"/>
            <w:hideMark/>
          </w:tcPr>
          <w:p w:rsidR="00A0318C" w:rsidRPr="00B01EA1" w:rsidP="00A0318C" w14:paraId="7F493EB1" w14:textId="77777777">
            <w:pPr>
              <w:autoSpaceDE/>
              <w:autoSpaceDN/>
              <w:adjustRightInd/>
              <w:jc w:val="center"/>
              <w:rPr>
                <w:rFonts w:cs="Arial"/>
                <w:color w:val="000000"/>
              </w:rPr>
            </w:pPr>
            <w:r w:rsidRPr="009D6087">
              <w:rPr>
                <w:rFonts w:cs="Arial"/>
                <w:color w:val="000000"/>
              </w:rPr>
              <w:t>149</w:t>
            </w:r>
          </w:p>
        </w:tc>
        <w:tc>
          <w:tcPr>
            <w:tcW w:w="900" w:type="dxa"/>
            <w:shd w:val="clear" w:color="auto" w:fill="auto"/>
            <w:noWrap/>
            <w:vAlign w:val="center"/>
            <w:hideMark/>
          </w:tcPr>
          <w:p w:rsidR="00A0318C" w:rsidRPr="00B01EA1" w:rsidP="00A0318C" w14:paraId="7F493EB2"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EB3"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EB4"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EB5"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EB6" w14:textId="77777777">
            <w:pPr>
              <w:autoSpaceDE/>
              <w:autoSpaceDN/>
              <w:adjustRightInd/>
              <w:jc w:val="center"/>
              <w:rPr>
                <w:rFonts w:cs="Arial"/>
                <w:color w:val="000000"/>
              </w:rPr>
            </w:pPr>
            <w:r w:rsidRPr="009D6087">
              <w:rPr>
                <w:rFonts w:cs="Arial"/>
                <w:color w:val="000000"/>
              </w:rPr>
              <w:t>$1,595</w:t>
            </w:r>
          </w:p>
        </w:tc>
        <w:tc>
          <w:tcPr>
            <w:tcW w:w="1260" w:type="dxa"/>
            <w:shd w:val="clear" w:color="auto" w:fill="auto"/>
            <w:noWrap/>
            <w:vAlign w:val="center"/>
            <w:hideMark/>
          </w:tcPr>
          <w:p w:rsidR="00A0318C" w:rsidRPr="00B01EA1" w:rsidP="00A0318C" w14:paraId="7F493EB7" w14:textId="77777777">
            <w:pPr>
              <w:autoSpaceDE/>
              <w:autoSpaceDN/>
              <w:adjustRightInd/>
              <w:jc w:val="center"/>
              <w:rPr>
                <w:rFonts w:cs="Arial"/>
                <w:color w:val="000000"/>
              </w:rPr>
            </w:pPr>
            <w:r w:rsidRPr="009D6087">
              <w:rPr>
                <w:rFonts w:cs="Arial"/>
                <w:color w:val="000000"/>
              </w:rPr>
              <w:t>$1,566</w:t>
            </w:r>
          </w:p>
        </w:tc>
        <w:tc>
          <w:tcPr>
            <w:tcW w:w="1250" w:type="dxa"/>
            <w:shd w:val="clear" w:color="auto" w:fill="auto"/>
            <w:noWrap/>
            <w:vAlign w:val="center"/>
            <w:hideMark/>
          </w:tcPr>
          <w:p w:rsidR="00A0318C" w:rsidRPr="00B01EA1" w:rsidP="00A0318C" w14:paraId="7F493EB8" w14:textId="77777777">
            <w:pPr>
              <w:autoSpaceDE/>
              <w:autoSpaceDN/>
              <w:adjustRightInd/>
              <w:jc w:val="center"/>
              <w:rPr>
                <w:rFonts w:cs="Arial"/>
                <w:color w:val="000000"/>
              </w:rPr>
            </w:pPr>
            <w:r w:rsidRPr="009D6087">
              <w:rPr>
                <w:rFonts w:cs="Arial"/>
                <w:color w:val="000000"/>
              </w:rPr>
              <w:t>$1,688</w:t>
            </w:r>
          </w:p>
        </w:tc>
      </w:tr>
      <w:tr w14:paraId="7F493EC7"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BA" w14:textId="77777777">
            <w:pPr>
              <w:autoSpaceDE/>
              <w:autoSpaceDN/>
              <w:adjustRightInd/>
              <w:rPr>
                <w:rFonts w:cs="Arial"/>
                <w:b/>
                <w:bCs/>
                <w:color w:val="000000"/>
              </w:rPr>
            </w:pPr>
          </w:p>
        </w:tc>
        <w:tc>
          <w:tcPr>
            <w:tcW w:w="720" w:type="dxa"/>
            <w:vMerge/>
            <w:vAlign w:val="center"/>
            <w:hideMark/>
          </w:tcPr>
          <w:p w:rsidR="00A0318C" w:rsidRPr="00B01EA1" w:rsidP="00A0318C" w14:paraId="7F493EBB"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BC"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EBD" w14:textId="77777777">
            <w:pPr>
              <w:autoSpaceDE/>
              <w:autoSpaceDN/>
              <w:adjustRightInd/>
              <w:rPr>
                <w:rFonts w:cs="Arial"/>
                <w:color w:val="000000"/>
              </w:rPr>
            </w:pPr>
          </w:p>
        </w:tc>
        <w:tc>
          <w:tcPr>
            <w:tcW w:w="990" w:type="dxa"/>
            <w:vMerge/>
            <w:vAlign w:val="center"/>
            <w:hideMark/>
          </w:tcPr>
          <w:p w:rsidR="00A0318C" w:rsidRPr="00B01EA1" w:rsidP="00A0318C" w14:paraId="7F493EBE" w14:textId="77777777">
            <w:pPr>
              <w:autoSpaceDE/>
              <w:autoSpaceDN/>
              <w:adjustRightInd/>
              <w:rPr>
                <w:rFonts w:cs="Arial"/>
                <w:color w:val="000000"/>
              </w:rPr>
            </w:pPr>
          </w:p>
        </w:tc>
        <w:tc>
          <w:tcPr>
            <w:tcW w:w="720" w:type="dxa"/>
            <w:vMerge/>
            <w:vAlign w:val="center"/>
            <w:hideMark/>
          </w:tcPr>
          <w:p w:rsidR="00A0318C" w:rsidRPr="00B01EA1" w:rsidP="00A0318C" w14:paraId="7F493EBF"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C0"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EC1"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EC2"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EC3"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EC4" w14:textId="77777777">
            <w:pPr>
              <w:autoSpaceDE/>
              <w:autoSpaceDN/>
              <w:adjustRightInd/>
              <w:jc w:val="center"/>
              <w:rPr>
                <w:rFonts w:cs="Arial"/>
                <w:color w:val="000000"/>
              </w:rPr>
            </w:pPr>
            <w:r w:rsidRPr="009D6087">
              <w:rPr>
                <w:rFonts w:cs="Arial"/>
                <w:color w:val="000000"/>
              </w:rPr>
              <w:t>$8,220</w:t>
            </w:r>
          </w:p>
        </w:tc>
        <w:tc>
          <w:tcPr>
            <w:tcW w:w="1260" w:type="dxa"/>
            <w:shd w:val="clear" w:color="auto" w:fill="auto"/>
            <w:noWrap/>
            <w:vAlign w:val="center"/>
            <w:hideMark/>
          </w:tcPr>
          <w:p w:rsidR="00A0318C" w:rsidRPr="00B01EA1" w:rsidP="00A0318C" w14:paraId="7F493EC5" w14:textId="77777777">
            <w:pPr>
              <w:autoSpaceDE/>
              <w:autoSpaceDN/>
              <w:adjustRightInd/>
              <w:jc w:val="center"/>
              <w:rPr>
                <w:rFonts w:cs="Arial"/>
                <w:color w:val="000000"/>
              </w:rPr>
            </w:pPr>
            <w:r w:rsidRPr="009D6087">
              <w:rPr>
                <w:rFonts w:cs="Arial"/>
                <w:color w:val="000000"/>
              </w:rPr>
              <w:t>$8,074</w:t>
            </w:r>
          </w:p>
        </w:tc>
        <w:tc>
          <w:tcPr>
            <w:tcW w:w="1250" w:type="dxa"/>
            <w:shd w:val="clear" w:color="auto" w:fill="auto"/>
            <w:noWrap/>
            <w:vAlign w:val="center"/>
            <w:hideMark/>
          </w:tcPr>
          <w:p w:rsidR="00A0318C" w:rsidRPr="00B01EA1" w:rsidP="00A0318C" w14:paraId="7F493EC6" w14:textId="77777777">
            <w:pPr>
              <w:autoSpaceDE/>
              <w:autoSpaceDN/>
              <w:adjustRightInd/>
              <w:jc w:val="center"/>
              <w:rPr>
                <w:rFonts w:cs="Arial"/>
                <w:color w:val="000000"/>
              </w:rPr>
            </w:pPr>
            <w:r w:rsidRPr="009D6087">
              <w:rPr>
                <w:rFonts w:cs="Arial"/>
                <w:color w:val="000000"/>
              </w:rPr>
              <w:t>$9,427</w:t>
            </w:r>
          </w:p>
        </w:tc>
      </w:tr>
      <w:tr w14:paraId="7F493ED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C8" w14:textId="77777777">
            <w:pPr>
              <w:autoSpaceDE/>
              <w:autoSpaceDN/>
              <w:adjustRightInd/>
              <w:rPr>
                <w:rFonts w:cs="Arial"/>
                <w:b/>
                <w:bCs/>
                <w:color w:val="000000"/>
              </w:rPr>
            </w:pPr>
          </w:p>
        </w:tc>
        <w:tc>
          <w:tcPr>
            <w:tcW w:w="720" w:type="dxa"/>
            <w:vMerge/>
            <w:vAlign w:val="center"/>
            <w:hideMark/>
          </w:tcPr>
          <w:p w:rsidR="00A0318C" w:rsidRPr="00B01EA1" w:rsidP="00A0318C" w14:paraId="7F493EC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CA"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ECB" w14:textId="77777777">
            <w:pPr>
              <w:autoSpaceDE/>
              <w:autoSpaceDN/>
              <w:adjustRightInd/>
              <w:rPr>
                <w:rFonts w:cs="Arial"/>
                <w:color w:val="000000"/>
              </w:rPr>
            </w:pPr>
          </w:p>
        </w:tc>
        <w:tc>
          <w:tcPr>
            <w:tcW w:w="990" w:type="dxa"/>
            <w:vMerge/>
            <w:vAlign w:val="center"/>
            <w:hideMark/>
          </w:tcPr>
          <w:p w:rsidR="00A0318C" w:rsidRPr="00B01EA1" w:rsidP="00A0318C" w14:paraId="7F493ECC" w14:textId="77777777">
            <w:pPr>
              <w:autoSpaceDE/>
              <w:autoSpaceDN/>
              <w:adjustRightInd/>
              <w:rPr>
                <w:rFonts w:cs="Arial"/>
                <w:color w:val="000000"/>
              </w:rPr>
            </w:pPr>
          </w:p>
        </w:tc>
        <w:tc>
          <w:tcPr>
            <w:tcW w:w="720" w:type="dxa"/>
            <w:vMerge/>
            <w:vAlign w:val="center"/>
            <w:hideMark/>
          </w:tcPr>
          <w:p w:rsidR="00A0318C" w:rsidRPr="00B01EA1" w:rsidP="00A0318C" w14:paraId="7F493EC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CE"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ECF"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D0"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D1"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ED2"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D3"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D4" w14:textId="77777777">
            <w:pPr>
              <w:autoSpaceDE/>
              <w:autoSpaceDN/>
              <w:adjustRightInd/>
              <w:jc w:val="center"/>
              <w:rPr>
                <w:rFonts w:cs="Arial"/>
                <w:color w:val="000000"/>
              </w:rPr>
            </w:pPr>
            <w:r w:rsidRPr="009D6087">
              <w:rPr>
                <w:rFonts w:cs="Arial"/>
                <w:color w:val="000000"/>
              </w:rPr>
              <w:t>$2,460</w:t>
            </w:r>
          </w:p>
        </w:tc>
      </w:tr>
      <w:tr w14:paraId="7F493EE3"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D6" w14:textId="77777777">
            <w:pPr>
              <w:autoSpaceDE/>
              <w:autoSpaceDN/>
              <w:adjustRightInd/>
              <w:rPr>
                <w:rFonts w:cs="Arial"/>
                <w:b/>
                <w:bCs/>
                <w:color w:val="000000"/>
              </w:rPr>
            </w:pPr>
          </w:p>
        </w:tc>
        <w:tc>
          <w:tcPr>
            <w:tcW w:w="720" w:type="dxa"/>
            <w:vMerge/>
            <w:vAlign w:val="center"/>
            <w:hideMark/>
          </w:tcPr>
          <w:p w:rsidR="00A0318C" w:rsidRPr="00B01EA1" w:rsidP="00A0318C" w14:paraId="7F493ED7"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D8"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ED9" w14:textId="77777777">
            <w:pPr>
              <w:autoSpaceDE/>
              <w:autoSpaceDN/>
              <w:adjustRightInd/>
              <w:rPr>
                <w:rFonts w:cs="Arial"/>
                <w:color w:val="000000"/>
              </w:rPr>
            </w:pPr>
          </w:p>
        </w:tc>
        <w:tc>
          <w:tcPr>
            <w:tcW w:w="990" w:type="dxa"/>
            <w:vMerge/>
            <w:vAlign w:val="center"/>
            <w:hideMark/>
          </w:tcPr>
          <w:p w:rsidR="00A0318C" w:rsidRPr="00B01EA1" w:rsidP="00A0318C" w14:paraId="7F493EDA" w14:textId="77777777">
            <w:pPr>
              <w:autoSpaceDE/>
              <w:autoSpaceDN/>
              <w:adjustRightInd/>
              <w:rPr>
                <w:rFonts w:cs="Arial"/>
                <w:color w:val="000000"/>
              </w:rPr>
            </w:pPr>
          </w:p>
        </w:tc>
        <w:tc>
          <w:tcPr>
            <w:tcW w:w="720" w:type="dxa"/>
            <w:vMerge/>
            <w:vAlign w:val="center"/>
            <w:hideMark/>
          </w:tcPr>
          <w:p w:rsidR="00A0318C" w:rsidRPr="00B01EA1" w:rsidP="00A0318C" w14:paraId="7F493EDB"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DC"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EDD"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EDE"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EDF"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EE0" w14:textId="77777777">
            <w:pPr>
              <w:autoSpaceDE/>
              <w:autoSpaceDN/>
              <w:adjustRightInd/>
              <w:jc w:val="center"/>
              <w:rPr>
                <w:rFonts w:cs="Arial"/>
                <w:color w:val="000000"/>
              </w:rPr>
            </w:pPr>
            <w:r w:rsidRPr="009D6087">
              <w:rPr>
                <w:rFonts w:cs="Arial"/>
                <w:color w:val="000000"/>
              </w:rPr>
              <w:t>$1,643</w:t>
            </w:r>
          </w:p>
        </w:tc>
        <w:tc>
          <w:tcPr>
            <w:tcW w:w="1260" w:type="dxa"/>
            <w:shd w:val="clear" w:color="auto" w:fill="auto"/>
            <w:noWrap/>
            <w:vAlign w:val="center"/>
            <w:hideMark/>
          </w:tcPr>
          <w:p w:rsidR="00A0318C" w:rsidRPr="00B01EA1" w:rsidP="00A0318C" w14:paraId="7F493EE1" w14:textId="77777777">
            <w:pPr>
              <w:autoSpaceDE/>
              <w:autoSpaceDN/>
              <w:adjustRightInd/>
              <w:jc w:val="center"/>
              <w:rPr>
                <w:rFonts w:cs="Arial"/>
                <w:color w:val="000000"/>
              </w:rPr>
            </w:pPr>
            <w:r w:rsidRPr="009D6087">
              <w:rPr>
                <w:rFonts w:cs="Arial"/>
                <w:color w:val="000000"/>
              </w:rPr>
              <w:t>$1,614</w:t>
            </w:r>
          </w:p>
        </w:tc>
        <w:tc>
          <w:tcPr>
            <w:tcW w:w="1250" w:type="dxa"/>
            <w:shd w:val="clear" w:color="auto" w:fill="auto"/>
            <w:noWrap/>
            <w:vAlign w:val="center"/>
            <w:hideMark/>
          </w:tcPr>
          <w:p w:rsidR="00A0318C" w:rsidRPr="00B01EA1" w:rsidP="00A0318C" w14:paraId="7F493EE2" w14:textId="77777777">
            <w:pPr>
              <w:autoSpaceDE/>
              <w:autoSpaceDN/>
              <w:adjustRightInd/>
              <w:jc w:val="center"/>
              <w:rPr>
                <w:rFonts w:cs="Arial"/>
                <w:color w:val="000000"/>
              </w:rPr>
            </w:pPr>
            <w:r w:rsidRPr="009D6087">
              <w:rPr>
                <w:rFonts w:cs="Arial"/>
                <w:color w:val="000000"/>
              </w:rPr>
              <w:t>$290</w:t>
            </w:r>
          </w:p>
        </w:tc>
      </w:tr>
      <w:tr w14:paraId="7F493EF1"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EE4" w14:textId="77777777">
            <w:pPr>
              <w:autoSpaceDE/>
              <w:autoSpaceDN/>
              <w:adjustRightInd/>
              <w:rPr>
                <w:rFonts w:cs="Arial"/>
                <w:b/>
                <w:bCs/>
                <w:color w:val="000000"/>
              </w:rPr>
            </w:pPr>
          </w:p>
        </w:tc>
        <w:tc>
          <w:tcPr>
            <w:tcW w:w="720" w:type="dxa"/>
            <w:vMerge/>
            <w:vAlign w:val="center"/>
            <w:hideMark/>
          </w:tcPr>
          <w:p w:rsidR="00A0318C" w:rsidRPr="00B01EA1" w:rsidP="00A0318C" w14:paraId="7F493EE5"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EE6" w14:textId="77777777">
            <w:pPr>
              <w:autoSpaceDE/>
              <w:autoSpaceDN/>
              <w:adjustRightInd/>
              <w:rPr>
                <w:rFonts w:cs="Arial"/>
                <w:color w:val="000000"/>
              </w:rPr>
            </w:pPr>
            <w:r w:rsidRPr="00B01EA1">
              <w:rPr>
                <w:rFonts w:cs="Arial"/>
                <w:color w:val="000000"/>
              </w:rPr>
              <w:t>Institution Admin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EE7" w14:textId="77777777">
            <w:pPr>
              <w:autoSpaceDE/>
              <w:autoSpaceDN/>
              <w:adjustRightInd/>
              <w:rPr>
                <w:rFonts w:cs="Arial"/>
                <w:color w:val="000000"/>
              </w:rPr>
            </w:pPr>
          </w:p>
        </w:tc>
        <w:tc>
          <w:tcPr>
            <w:tcW w:w="990" w:type="dxa"/>
            <w:vMerge/>
            <w:vAlign w:val="center"/>
            <w:hideMark/>
          </w:tcPr>
          <w:p w:rsidR="00A0318C" w:rsidRPr="00B01EA1" w:rsidP="00A0318C" w14:paraId="7F493EE8" w14:textId="77777777">
            <w:pPr>
              <w:autoSpaceDE/>
              <w:autoSpaceDN/>
              <w:adjustRightInd/>
              <w:rPr>
                <w:rFonts w:cs="Arial"/>
                <w:color w:val="000000"/>
              </w:rPr>
            </w:pPr>
          </w:p>
        </w:tc>
        <w:tc>
          <w:tcPr>
            <w:tcW w:w="720" w:type="dxa"/>
            <w:vMerge/>
            <w:vAlign w:val="center"/>
            <w:hideMark/>
          </w:tcPr>
          <w:p w:rsidR="00A0318C" w:rsidRPr="00B01EA1" w:rsidP="00A0318C" w14:paraId="7F493EE9"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EEA"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EEB"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EEC"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EED"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EEE"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EEF"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EF0" w14:textId="77777777">
            <w:pPr>
              <w:autoSpaceDE/>
              <w:autoSpaceDN/>
              <w:adjustRightInd/>
              <w:jc w:val="center"/>
              <w:rPr>
                <w:rFonts w:cs="Arial"/>
                <w:color w:val="000000"/>
              </w:rPr>
            </w:pPr>
            <w:r w:rsidRPr="009D6087">
              <w:rPr>
                <w:rFonts w:cs="Arial"/>
                <w:color w:val="000000"/>
              </w:rPr>
              <w:t>$0</w:t>
            </w:r>
          </w:p>
        </w:tc>
      </w:tr>
      <w:tr w14:paraId="7F493EFF"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EF2"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EF3" w14:textId="77777777">
            <w:pPr>
              <w:autoSpaceDE/>
              <w:autoSpaceDN/>
              <w:adjustRightInd/>
              <w:jc w:val="center"/>
              <w:rPr>
                <w:rFonts w:cs="Arial"/>
                <w:b/>
                <w:bCs/>
                <w:color w:val="000000"/>
              </w:rPr>
            </w:pPr>
            <w:r w:rsidRPr="00B01EA1">
              <w:rPr>
                <w:rFonts w:cs="Arial"/>
                <w:b/>
                <w:bCs/>
                <w:color w:val="000000"/>
              </w:rPr>
              <w:t>2</w:t>
            </w:r>
          </w:p>
        </w:tc>
        <w:tc>
          <w:tcPr>
            <w:tcW w:w="1890" w:type="dxa"/>
            <w:shd w:val="clear" w:color="auto" w:fill="auto"/>
            <w:noWrap/>
            <w:vAlign w:val="center"/>
            <w:hideMark/>
          </w:tcPr>
          <w:p w:rsidR="00A0318C" w:rsidRPr="00B01EA1" w:rsidP="00A0318C" w14:paraId="7F493EF4"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3EF5" w14:textId="77777777">
            <w:pPr>
              <w:autoSpaceDE/>
              <w:autoSpaceDN/>
              <w:adjustRightInd/>
              <w:jc w:val="center"/>
              <w:rPr>
                <w:rFonts w:cs="Arial"/>
                <w:color w:val="000000"/>
              </w:rPr>
            </w:pPr>
            <w:r w:rsidRPr="009D6087">
              <w:rPr>
                <w:rFonts w:cs="Arial"/>
                <w:color w:val="000000"/>
              </w:rPr>
              <w:t>422</w:t>
            </w:r>
          </w:p>
        </w:tc>
        <w:tc>
          <w:tcPr>
            <w:tcW w:w="990" w:type="dxa"/>
            <w:vMerge w:val="restart"/>
            <w:shd w:val="clear" w:color="auto" w:fill="auto"/>
            <w:vAlign w:val="center"/>
            <w:hideMark/>
          </w:tcPr>
          <w:p w:rsidR="00A0318C" w:rsidRPr="00B01EA1" w:rsidP="00A0318C" w14:paraId="7F493EF6" w14:textId="77777777">
            <w:pPr>
              <w:autoSpaceDE/>
              <w:autoSpaceDN/>
              <w:adjustRightInd/>
              <w:jc w:val="center"/>
              <w:rPr>
                <w:rFonts w:cs="Arial"/>
                <w:color w:val="000000"/>
              </w:rPr>
            </w:pPr>
            <w:r w:rsidRPr="009D6087">
              <w:rPr>
                <w:rFonts w:cs="Arial"/>
                <w:color w:val="000000"/>
              </w:rPr>
              <w:t>415</w:t>
            </w:r>
          </w:p>
        </w:tc>
        <w:tc>
          <w:tcPr>
            <w:tcW w:w="720" w:type="dxa"/>
            <w:vMerge w:val="restart"/>
            <w:shd w:val="clear" w:color="auto" w:fill="auto"/>
            <w:vAlign w:val="center"/>
            <w:hideMark/>
          </w:tcPr>
          <w:p w:rsidR="00A0318C" w:rsidRPr="00B01EA1" w:rsidP="00A0318C" w14:paraId="7F493EF7" w14:textId="77777777">
            <w:pPr>
              <w:autoSpaceDE/>
              <w:autoSpaceDN/>
              <w:adjustRightInd/>
              <w:jc w:val="center"/>
              <w:rPr>
                <w:rFonts w:cs="Arial"/>
                <w:color w:val="000000"/>
              </w:rPr>
            </w:pPr>
            <w:r w:rsidRPr="009D6087">
              <w:rPr>
                <w:rFonts w:cs="Arial"/>
                <w:color w:val="000000"/>
              </w:rPr>
              <w:t>447</w:t>
            </w:r>
          </w:p>
        </w:tc>
        <w:tc>
          <w:tcPr>
            <w:tcW w:w="900" w:type="dxa"/>
            <w:shd w:val="clear" w:color="auto" w:fill="auto"/>
            <w:noWrap/>
            <w:vAlign w:val="center"/>
            <w:hideMark/>
          </w:tcPr>
          <w:p w:rsidR="00A0318C" w:rsidRPr="00B01EA1" w:rsidP="00A0318C" w14:paraId="7F493EF8"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EF9"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EFA"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EFB"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EFC" w14:textId="77777777">
            <w:pPr>
              <w:autoSpaceDE/>
              <w:autoSpaceDN/>
              <w:adjustRightInd/>
              <w:jc w:val="center"/>
              <w:rPr>
                <w:rFonts w:cs="Arial"/>
                <w:color w:val="000000"/>
              </w:rPr>
            </w:pPr>
            <w:r w:rsidRPr="009D6087">
              <w:rPr>
                <w:rFonts w:cs="Arial"/>
                <w:color w:val="000000"/>
              </w:rPr>
              <w:t>$4,784</w:t>
            </w:r>
          </w:p>
        </w:tc>
        <w:tc>
          <w:tcPr>
            <w:tcW w:w="1260" w:type="dxa"/>
            <w:shd w:val="clear" w:color="auto" w:fill="auto"/>
            <w:noWrap/>
            <w:vAlign w:val="center"/>
            <w:hideMark/>
          </w:tcPr>
          <w:p w:rsidR="00A0318C" w:rsidRPr="00B01EA1" w:rsidP="00A0318C" w14:paraId="7F493EFD" w14:textId="77777777">
            <w:pPr>
              <w:autoSpaceDE/>
              <w:autoSpaceDN/>
              <w:adjustRightInd/>
              <w:jc w:val="center"/>
              <w:rPr>
                <w:rFonts w:cs="Arial"/>
                <w:color w:val="000000"/>
              </w:rPr>
            </w:pPr>
            <w:r w:rsidRPr="009D6087">
              <w:rPr>
                <w:rFonts w:cs="Arial"/>
                <w:color w:val="000000"/>
              </w:rPr>
              <w:t>$4,699</w:t>
            </w:r>
          </w:p>
        </w:tc>
        <w:tc>
          <w:tcPr>
            <w:tcW w:w="1250" w:type="dxa"/>
            <w:shd w:val="clear" w:color="auto" w:fill="auto"/>
            <w:noWrap/>
            <w:vAlign w:val="center"/>
            <w:hideMark/>
          </w:tcPr>
          <w:p w:rsidR="00A0318C" w:rsidRPr="00B01EA1" w:rsidP="00A0318C" w14:paraId="7F493EFE" w14:textId="77777777">
            <w:pPr>
              <w:autoSpaceDE/>
              <w:autoSpaceDN/>
              <w:adjustRightInd/>
              <w:jc w:val="center"/>
              <w:rPr>
                <w:rFonts w:cs="Arial"/>
                <w:color w:val="000000"/>
              </w:rPr>
            </w:pPr>
            <w:r w:rsidRPr="009D6087">
              <w:rPr>
                <w:rFonts w:cs="Arial"/>
                <w:color w:val="000000"/>
              </w:rPr>
              <w:t>$5,065</w:t>
            </w:r>
          </w:p>
        </w:tc>
      </w:tr>
      <w:tr w14:paraId="7F493F0D"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00" w14:textId="77777777">
            <w:pPr>
              <w:autoSpaceDE/>
              <w:autoSpaceDN/>
              <w:adjustRightInd/>
              <w:rPr>
                <w:rFonts w:cs="Arial"/>
                <w:b/>
                <w:bCs/>
                <w:color w:val="000000"/>
              </w:rPr>
            </w:pPr>
          </w:p>
        </w:tc>
        <w:tc>
          <w:tcPr>
            <w:tcW w:w="720" w:type="dxa"/>
            <w:vMerge/>
            <w:vAlign w:val="center"/>
            <w:hideMark/>
          </w:tcPr>
          <w:p w:rsidR="00A0318C" w:rsidRPr="00B01EA1" w:rsidP="00A0318C" w14:paraId="7F493F01"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02"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F03" w14:textId="77777777">
            <w:pPr>
              <w:autoSpaceDE/>
              <w:autoSpaceDN/>
              <w:adjustRightInd/>
              <w:rPr>
                <w:rFonts w:cs="Arial"/>
                <w:color w:val="000000"/>
              </w:rPr>
            </w:pPr>
          </w:p>
        </w:tc>
        <w:tc>
          <w:tcPr>
            <w:tcW w:w="990" w:type="dxa"/>
            <w:vMerge/>
            <w:vAlign w:val="center"/>
            <w:hideMark/>
          </w:tcPr>
          <w:p w:rsidR="00A0318C" w:rsidRPr="00B01EA1" w:rsidP="00A0318C" w14:paraId="7F493F04" w14:textId="77777777">
            <w:pPr>
              <w:autoSpaceDE/>
              <w:autoSpaceDN/>
              <w:adjustRightInd/>
              <w:rPr>
                <w:rFonts w:cs="Arial"/>
                <w:color w:val="000000"/>
              </w:rPr>
            </w:pPr>
          </w:p>
        </w:tc>
        <w:tc>
          <w:tcPr>
            <w:tcW w:w="720" w:type="dxa"/>
            <w:vMerge/>
            <w:vAlign w:val="center"/>
            <w:hideMark/>
          </w:tcPr>
          <w:p w:rsidR="00A0318C" w:rsidRPr="00B01EA1" w:rsidP="00A0318C" w14:paraId="7F493F05"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06"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F07"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F08"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F09"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F0A" w14:textId="77777777">
            <w:pPr>
              <w:autoSpaceDE/>
              <w:autoSpaceDN/>
              <w:adjustRightInd/>
              <w:jc w:val="center"/>
              <w:rPr>
                <w:rFonts w:cs="Arial"/>
                <w:color w:val="000000"/>
              </w:rPr>
            </w:pPr>
            <w:r w:rsidRPr="009D6087">
              <w:rPr>
                <w:rFonts w:cs="Arial"/>
                <w:color w:val="000000"/>
              </w:rPr>
              <w:t>$24,661</w:t>
            </w:r>
          </w:p>
        </w:tc>
        <w:tc>
          <w:tcPr>
            <w:tcW w:w="1260" w:type="dxa"/>
            <w:shd w:val="clear" w:color="auto" w:fill="auto"/>
            <w:noWrap/>
            <w:vAlign w:val="center"/>
            <w:hideMark/>
          </w:tcPr>
          <w:p w:rsidR="00A0318C" w:rsidRPr="00B01EA1" w:rsidP="00A0318C" w14:paraId="7F493F0B" w14:textId="77777777">
            <w:pPr>
              <w:autoSpaceDE/>
              <w:autoSpaceDN/>
              <w:adjustRightInd/>
              <w:jc w:val="center"/>
              <w:rPr>
                <w:rFonts w:cs="Arial"/>
                <w:color w:val="000000"/>
              </w:rPr>
            </w:pPr>
            <w:r w:rsidRPr="009D6087">
              <w:rPr>
                <w:rFonts w:cs="Arial"/>
                <w:color w:val="000000"/>
              </w:rPr>
              <w:t>$24,223</w:t>
            </w:r>
          </w:p>
        </w:tc>
        <w:tc>
          <w:tcPr>
            <w:tcW w:w="1250" w:type="dxa"/>
            <w:shd w:val="clear" w:color="auto" w:fill="auto"/>
            <w:noWrap/>
            <w:vAlign w:val="center"/>
            <w:hideMark/>
          </w:tcPr>
          <w:p w:rsidR="00A0318C" w:rsidRPr="00B01EA1" w:rsidP="00A0318C" w14:paraId="7F493F0C" w14:textId="77777777">
            <w:pPr>
              <w:autoSpaceDE/>
              <w:autoSpaceDN/>
              <w:adjustRightInd/>
              <w:jc w:val="center"/>
              <w:rPr>
                <w:rFonts w:cs="Arial"/>
                <w:color w:val="000000"/>
              </w:rPr>
            </w:pPr>
            <w:r w:rsidRPr="009D6087">
              <w:rPr>
                <w:rFonts w:cs="Arial"/>
                <w:color w:val="000000"/>
              </w:rPr>
              <w:t>$28,282</w:t>
            </w:r>
          </w:p>
        </w:tc>
      </w:tr>
      <w:tr w14:paraId="7F493F1B"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0E" w14:textId="77777777">
            <w:pPr>
              <w:autoSpaceDE/>
              <w:autoSpaceDN/>
              <w:adjustRightInd/>
              <w:rPr>
                <w:rFonts w:cs="Arial"/>
                <w:b/>
                <w:bCs/>
                <w:color w:val="000000"/>
              </w:rPr>
            </w:pPr>
          </w:p>
        </w:tc>
        <w:tc>
          <w:tcPr>
            <w:tcW w:w="720" w:type="dxa"/>
            <w:vMerge/>
            <w:vAlign w:val="center"/>
            <w:hideMark/>
          </w:tcPr>
          <w:p w:rsidR="00A0318C" w:rsidRPr="00B01EA1" w:rsidP="00A0318C" w14:paraId="7F493F0F"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10"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F11" w14:textId="77777777">
            <w:pPr>
              <w:autoSpaceDE/>
              <w:autoSpaceDN/>
              <w:adjustRightInd/>
              <w:rPr>
                <w:rFonts w:cs="Arial"/>
                <w:color w:val="000000"/>
              </w:rPr>
            </w:pPr>
          </w:p>
        </w:tc>
        <w:tc>
          <w:tcPr>
            <w:tcW w:w="990" w:type="dxa"/>
            <w:vMerge/>
            <w:vAlign w:val="center"/>
            <w:hideMark/>
          </w:tcPr>
          <w:p w:rsidR="00A0318C" w:rsidRPr="00B01EA1" w:rsidP="00A0318C" w14:paraId="7F493F12" w14:textId="77777777">
            <w:pPr>
              <w:autoSpaceDE/>
              <w:autoSpaceDN/>
              <w:adjustRightInd/>
              <w:rPr>
                <w:rFonts w:cs="Arial"/>
                <w:color w:val="000000"/>
              </w:rPr>
            </w:pPr>
          </w:p>
        </w:tc>
        <w:tc>
          <w:tcPr>
            <w:tcW w:w="720" w:type="dxa"/>
            <w:vMerge/>
            <w:vAlign w:val="center"/>
            <w:hideMark/>
          </w:tcPr>
          <w:p w:rsidR="00A0318C" w:rsidRPr="00B01EA1" w:rsidP="00A0318C" w14:paraId="7F493F13"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14"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F15"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16"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17"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F18"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19"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1A" w14:textId="77777777">
            <w:pPr>
              <w:autoSpaceDE/>
              <w:autoSpaceDN/>
              <w:adjustRightInd/>
              <w:jc w:val="center"/>
              <w:rPr>
                <w:rFonts w:cs="Arial"/>
                <w:color w:val="000000"/>
              </w:rPr>
            </w:pPr>
            <w:r w:rsidRPr="009D6087">
              <w:rPr>
                <w:rFonts w:cs="Arial"/>
                <w:color w:val="000000"/>
              </w:rPr>
              <w:t>$7,379</w:t>
            </w:r>
          </w:p>
        </w:tc>
      </w:tr>
      <w:tr w14:paraId="7F493F29"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1C" w14:textId="77777777">
            <w:pPr>
              <w:autoSpaceDE/>
              <w:autoSpaceDN/>
              <w:adjustRightInd/>
              <w:rPr>
                <w:rFonts w:cs="Arial"/>
                <w:b/>
                <w:bCs/>
                <w:color w:val="000000"/>
              </w:rPr>
            </w:pPr>
          </w:p>
        </w:tc>
        <w:tc>
          <w:tcPr>
            <w:tcW w:w="720" w:type="dxa"/>
            <w:vMerge/>
            <w:vAlign w:val="center"/>
            <w:hideMark/>
          </w:tcPr>
          <w:p w:rsidR="00A0318C" w:rsidRPr="00B01EA1" w:rsidP="00A0318C" w14:paraId="7F493F1D"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1E"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F1F" w14:textId="77777777">
            <w:pPr>
              <w:autoSpaceDE/>
              <w:autoSpaceDN/>
              <w:adjustRightInd/>
              <w:rPr>
                <w:rFonts w:cs="Arial"/>
                <w:color w:val="000000"/>
              </w:rPr>
            </w:pPr>
          </w:p>
        </w:tc>
        <w:tc>
          <w:tcPr>
            <w:tcW w:w="990" w:type="dxa"/>
            <w:vMerge/>
            <w:vAlign w:val="center"/>
            <w:hideMark/>
          </w:tcPr>
          <w:p w:rsidR="00A0318C" w:rsidRPr="00B01EA1" w:rsidP="00A0318C" w14:paraId="7F493F20" w14:textId="77777777">
            <w:pPr>
              <w:autoSpaceDE/>
              <w:autoSpaceDN/>
              <w:adjustRightInd/>
              <w:rPr>
                <w:rFonts w:cs="Arial"/>
                <w:color w:val="000000"/>
              </w:rPr>
            </w:pPr>
          </w:p>
        </w:tc>
        <w:tc>
          <w:tcPr>
            <w:tcW w:w="720" w:type="dxa"/>
            <w:vMerge/>
            <w:vAlign w:val="center"/>
            <w:hideMark/>
          </w:tcPr>
          <w:p w:rsidR="00A0318C" w:rsidRPr="00B01EA1" w:rsidP="00A0318C" w14:paraId="7F493F2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22"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F23"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F24"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F25"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F26" w14:textId="77777777">
            <w:pPr>
              <w:autoSpaceDE/>
              <w:autoSpaceDN/>
              <w:adjustRightInd/>
              <w:jc w:val="center"/>
              <w:rPr>
                <w:rFonts w:cs="Arial"/>
                <w:color w:val="000000"/>
              </w:rPr>
            </w:pPr>
            <w:r w:rsidRPr="009D6087">
              <w:rPr>
                <w:rFonts w:cs="Arial"/>
                <w:color w:val="000000"/>
              </w:rPr>
              <w:t>$4,930</w:t>
            </w:r>
          </w:p>
        </w:tc>
        <w:tc>
          <w:tcPr>
            <w:tcW w:w="1260" w:type="dxa"/>
            <w:shd w:val="clear" w:color="auto" w:fill="auto"/>
            <w:noWrap/>
            <w:vAlign w:val="center"/>
            <w:hideMark/>
          </w:tcPr>
          <w:p w:rsidR="00A0318C" w:rsidRPr="00B01EA1" w:rsidP="00A0318C" w14:paraId="7F493F27" w14:textId="77777777">
            <w:pPr>
              <w:autoSpaceDE/>
              <w:autoSpaceDN/>
              <w:adjustRightInd/>
              <w:jc w:val="center"/>
              <w:rPr>
                <w:rFonts w:cs="Arial"/>
                <w:color w:val="000000"/>
              </w:rPr>
            </w:pPr>
            <w:r w:rsidRPr="009D6087">
              <w:rPr>
                <w:rFonts w:cs="Arial"/>
                <w:color w:val="000000"/>
              </w:rPr>
              <w:t>$4,842</w:t>
            </w:r>
          </w:p>
        </w:tc>
        <w:tc>
          <w:tcPr>
            <w:tcW w:w="1250" w:type="dxa"/>
            <w:shd w:val="clear" w:color="auto" w:fill="auto"/>
            <w:noWrap/>
            <w:vAlign w:val="center"/>
            <w:hideMark/>
          </w:tcPr>
          <w:p w:rsidR="00A0318C" w:rsidRPr="00B01EA1" w:rsidP="00A0318C" w14:paraId="7F493F28" w14:textId="77777777">
            <w:pPr>
              <w:autoSpaceDE/>
              <w:autoSpaceDN/>
              <w:adjustRightInd/>
              <w:jc w:val="center"/>
              <w:rPr>
                <w:rFonts w:cs="Arial"/>
                <w:color w:val="000000"/>
              </w:rPr>
            </w:pPr>
            <w:r w:rsidRPr="009D6087">
              <w:rPr>
                <w:rFonts w:cs="Arial"/>
                <w:color w:val="000000"/>
              </w:rPr>
              <w:t>$870</w:t>
            </w:r>
          </w:p>
        </w:tc>
      </w:tr>
      <w:tr w14:paraId="7F493F37"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F2A" w14:textId="77777777">
            <w:pPr>
              <w:autoSpaceDE/>
              <w:autoSpaceDN/>
              <w:adjustRightInd/>
              <w:rPr>
                <w:rFonts w:cs="Arial"/>
                <w:b/>
                <w:bCs/>
                <w:color w:val="000000"/>
              </w:rPr>
            </w:pPr>
          </w:p>
        </w:tc>
        <w:tc>
          <w:tcPr>
            <w:tcW w:w="720" w:type="dxa"/>
            <w:vMerge/>
            <w:vAlign w:val="center"/>
            <w:hideMark/>
          </w:tcPr>
          <w:p w:rsidR="00A0318C" w:rsidRPr="00B01EA1" w:rsidP="00A0318C" w14:paraId="7F493F2B"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2C" w14:textId="77777777">
            <w:pPr>
              <w:autoSpaceDE/>
              <w:autoSpaceDN/>
              <w:adjustRightInd/>
              <w:rPr>
                <w:rFonts w:cs="Arial"/>
                <w:color w:val="000000"/>
              </w:rPr>
            </w:pPr>
            <w:r w:rsidRPr="00B01EA1">
              <w:rPr>
                <w:rFonts w:cs="Arial"/>
                <w:color w:val="000000"/>
              </w:rPr>
              <w:t>Institution Admi</w:t>
            </w:r>
            <w:r>
              <w:rPr>
                <w:rFonts w:cs="Arial"/>
                <w:color w:val="000000"/>
              </w:rPr>
              <w:t xml:space="preserve">n.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F2D" w14:textId="77777777">
            <w:pPr>
              <w:autoSpaceDE/>
              <w:autoSpaceDN/>
              <w:adjustRightInd/>
              <w:rPr>
                <w:rFonts w:cs="Arial"/>
                <w:color w:val="000000"/>
              </w:rPr>
            </w:pPr>
          </w:p>
        </w:tc>
        <w:tc>
          <w:tcPr>
            <w:tcW w:w="990" w:type="dxa"/>
            <w:vMerge/>
            <w:vAlign w:val="center"/>
            <w:hideMark/>
          </w:tcPr>
          <w:p w:rsidR="00A0318C" w:rsidRPr="00B01EA1" w:rsidP="00A0318C" w14:paraId="7F493F2E" w14:textId="77777777">
            <w:pPr>
              <w:autoSpaceDE/>
              <w:autoSpaceDN/>
              <w:adjustRightInd/>
              <w:rPr>
                <w:rFonts w:cs="Arial"/>
                <w:color w:val="000000"/>
              </w:rPr>
            </w:pPr>
          </w:p>
        </w:tc>
        <w:tc>
          <w:tcPr>
            <w:tcW w:w="720" w:type="dxa"/>
            <w:vMerge/>
            <w:vAlign w:val="center"/>
            <w:hideMark/>
          </w:tcPr>
          <w:p w:rsidR="00A0318C" w:rsidRPr="00B01EA1" w:rsidP="00A0318C" w14:paraId="7F493F2F"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30"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F31"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32"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33"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F34"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35"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36" w14:textId="77777777">
            <w:pPr>
              <w:autoSpaceDE/>
              <w:autoSpaceDN/>
              <w:adjustRightInd/>
              <w:jc w:val="center"/>
              <w:rPr>
                <w:rFonts w:cs="Arial"/>
                <w:color w:val="000000"/>
              </w:rPr>
            </w:pPr>
            <w:r w:rsidRPr="009D6087">
              <w:rPr>
                <w:rFonts w:cs="Arial"/>
                <w:color w:val="000000"/>
              </w:rPr>
              <w:t>$0</w:t>
            </w:r>
          </w:p>
        </w:tc>
      </w:tr>
      <w:tr w14:paraId="7F493F4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38"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F39" w14:textId="77777777">
            <w:pPr>
              <w:autoSpaceDE/>
              <w:autoSpaceDN/>
              <w:adjustRightInd/>
              <w:jc w:val="center"/>
              <w:rPr>
                <w:rFonts w:cs="Arial"/>
                <w:b/>
                <w:bCs/>
                <w:color w:val="000000"/>
              </w:rPr>
            </w:pPr>
            <w:r w:rsidRPr="00B01EA1">
              <w:rPr>
                <w:rFonts w:cs="Arial"/>
                <w:b/>
                <w:bCs/>
                <w:color w:val="000000"/>
              </w:rPr>
              <w:t>3</w:t>
            </w:r>
          </w:p>
        </w:tc>
        <w:tc>
          <w:tcPr>
            <w:tcW w:w="1890" w:type="dxa"/>
            <w:shd w:val="clear" w:color="auto" w:fill="auto"/>
            <w:noWrap/>
            <w:vAlign w:val="center"/>
            <w:hideMark/>
          </w:tcPr>
          <w:p w:rsidR="00A0318C" w:rsidRPr="00B01EA1" w:rsidP="00A0318C" w14:paraId="7F493F3A"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3F3B" w14:textId="77777777">
            <w:pPr>
              <w:autoSpaceDE/>
              <w:autoSpaceDN/>
              <w:adjustRightInd/>
              <w:jc w:val="center"/>
              <w:rPr>
                <w:rFonts w:cs="Arial"/>
                <w:color w:val="000000"/>
              </w:rPr>
            </w:pPr>
            <w:r w:rsidRPr="009D6087">
              <w:rPr>
                <w:rFonts w:cs="Arial"/>
                <w:color w:val="000000"/>
              </w:rPr>
              <w:t>563</w:t>
            </w:r>
          </w:p>
        </w:tc>
        <w:tc>
          <w:tcPr>
            <w:tcW w:w="990" w:type="dxa"/>
            <w:vMerge w:val="restart"/>
            <w:shd w:val="clear" w:color="auto" w:fill="auto"/>
            <w:vAlign w:val="center"/>
            <w:hideMark/>
          </w:tcPr>
          <w:p w:rsidR="00A0318C" w:rsidRPr="00B01EA1" w:rsidP="00A0318C" w14:paraId="7F493F3C" w14:textId="77777777">
            <w:pPr>
              <w:autoSpaceDE/>
              <w:autoSpaceDN/>
              <w:adjustRightInd/>
              <w:jc w:val="center"/>
              <w:rPr>
                <w:rFonts w:cs="Arial"/>
                <w:color w:val="000000"/>
              </w:rPr>
            </w:pPr>
            <w:r w:rsidRPr="009D6087">
              <w:rPr>
                <w:rFonts w:cs="Arial"/>
                <w:color w:val="000000"/>
              </w:rPr>
              <w:t>553</w:t>
            </w:r>
          </w:p>
        </w:tc>
        <w:tc>
          <w:tcPr>
            <w:tcW w:w="720" w:type="dxa"/>
            <w:vMerge w:val="restart"/>
            <w:shd w:val="clear" w:color="auto" w:fill="auto"/>
            <w:vAlign w:val="center"/>
            <w:hideMark/>
          </w:tcPr>
          <w:p w:rsidR="00A0318C" w:rsidRPr="00B01EA1" w:rsidP="00A0318C" w14:paraId="7F493F3D" w14:textId="77777777">
            <w:pPr>
              <w:autoSpaceDE/>
              <w:autoSpaceDN/>
              <w:adjustRightInd/>
              <w:jc w:val="center"/>
              <w:rPr>
                <w:rFonts w:cs="Arial"/>
                <w:color w:val="000000"/>
              </w:rPr>
            </w:pPr>
            <w:r w:rsidRPr="009D6087">
              <w:rPr>
                <w:rFonts w:cs="Arial"/>
                <w:color w:val="000000"/>
              </w:rPr>
              <w:t>596</w:t>
            </w:r>
          </w:p>
        </w:tc>
        <w:tc>
          <w:tcPr>
            <w:tcW w:w="900" w:type="dxa"/>
            <w:shd w:val="clear" w:color="auto" w:fill="auto"/>
            <w:noWrap/>
            <w:vAlign w:val="center"/>
            <w:hideMark/>
          </w:tcPr>
          <w:p w:rsidR="00A0318C" w:rsidRPr="00B01EA1" w:rsidP="00A0318C" w14:paraId="7F493F3E"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F3F"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F40"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F41"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F42" w14:textId="77777777">
            <w:pPr>
              <w:autoSpaceDE/>
              <w:autoSpaceDN/>
              <w:adjustRightInd/>
              <w:jc w:val="center"/>
              <w:rPr>
                <w:rFonts w:cs="Arial"/>
                <w:color w:val="000000"/>
              </w:rPr>
            </w:pPr>
            <w:r w:rsidRPr="009D6087">
              <w:rPr>
                <w:rFonts w:cs="Arial"/>
                <w:color w:val="000000"/>
              </w:rPr>
              <w:t>$6,379</w:t>
            </w:r>
          </w:p>
        </w:tc>
        <w:tc>
          <w:tcPr>
            <w:tcW w:w="1260" w:type="dxa"/>
            <w:shd w:val="clear" w:color="auto" w:fill="auto"/>
            <w:noWrap/>
            <w:vAlign w:val="center"/>
            <w:hideMark/>
          </w:tcPr>
          <w:p w:rsidR="00A0318C" w:rsidRPr="00B01EA1" w:rsidP="00A0318C" w14:paraId="7F493F43" w14:textId="77777777">
            <w:pPr>
              <w:autoSpaceDE/>
              <w:autoSpaceDN/>
              <w:adjustRightInd/>
              <w:jc w:val="center"/>
              <w:rPr>
                <w:rFonts w:cs="Arial"/>
                <w:color w:val="000000"/>
              </w:rPr>
            </w:pPr>
            <w:r w:rsidRPr="009D6087">
              <w:rPr>
                <w:rFonts w:cs="Arial"/>
                <w:color w:val="000000"/>
              </w:rPr>
              <w:t>$6,266</w:t>
            </w:r>
          </w:p>
        </w:tc>
        <w:tc>
          <w:tcPr>
            <w:tcW w:w="1250" w:type="dxa"/>
            <w:shd w:val="clear" w:color="auto" w:fill="auto"/>
            <w:noWrap/>
            <w:vAlign w:val="center"/>
            <w:hideMark/>
          </w:tcPr>
          <w:p w:rsidR="00A0318C" w:rsidRPr="00B01EA1" w:rsidP="00A0318C" w14:paraId="7F493F44" w14:textId="77777777">
            <w:pPr>
              <w:autoSpaceDE/>
              <w:autoSpaceDN/>
              <w:adjustRightInd/>
              <w:jc w:val="center"/>
              <w:rPr>
                <w:rFonts w:cs="Arial"/>
                <w:color w:val="000000"/>
              </w:rPr>
            </w:pPr>
            <w:r w:rsidRPr="009D6087">
              <w:rPr>
                <w:rFonts w:cs="Arial"/>
                <w:color w:val="000000"/>
              </w:rPr>
              <w:t>$6,753</w:t>
            </w:r>
          </w:p>
        </w:tc>
      </w:tr>
      <w:tr w14:paraId="7F493F53"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46" w14:textId="77777777">
            <w:pPr>
              <w:autoSpaceDE/>
              <w:autoSpaceDN/>
              <w:adjustRightInd/>
              <w:rPr>
                <w:rFonts w:cs="Arial"/>
                <w:b/>
                <w:bCs/>
                <w:color w:val="000000"/>
              </w:rPr>
            </w:pPr>
          </w:p>
        </w:tc>
        <w:tc>
          <w:tcPr>
            <w:tcW w:w="720" w:type="dxa"/>
            <w:vMerge/>
            <w:vAlign w:val="center"/>
            <w:hideMark/>
          </w:tcPr>
          <w:p w:rsidR="00A0318C" w:rsidRPr="00B01EA1" w:rsidP="00A0318C" w14:paraId="7F493F47"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48"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   </w:t>
            </w:r>
            <w:r w:rsidRPr="00B01EA1">
              <w:rPr>
                <w:rFonts w:cs="Arial"/>
                <w:color w:val="000000"/>
              </w:rPr>
              <w:t>Nuclear Engineer</w:t>
            </w:r>
          </w:p>
        </w:tc>
        <w:tc>
          <w:tcPr>
            <w:tcW w:w="630" w:type="dxa"/>
            <w:vMerge/>
            <w:vAlign w:val="center"/>
            <w:hideMark/>
          </w:tcPr>
          <w:p w:rsidR="00A0318C" w:rsidRPr="00B01EA1" w:rsidP="00A0318C" w14:paraId="7F493F49" w14:textId="77777777">
            <w:pPr>
              <w:autoSpaceDE/>
              <w:autoSpaceDN/>
              <w:adjustRightInd/>
              <w:rPr>
                <w:rFonts w:cs="Arial"/>
                <w:color w:val="000000"/>
              </w:rPr>
            </w:pPr>
          </w:p>
        </w:tc>
        <w:tc>
          <w:tcPr>
            <w:tcW w:w="990" w:type="dxa"/>
            <w:vMerge/>
            <w:vAlign w:val="center"/>
            <w:hideMark/>
          </w:tcPr>
          <w:p w:rsidR="00A0318C" w:rsidRPr="00B01EA1" w:rsidP="00A0318C" w14:paraId="7F493F4A" w14:textId="77777777">
            <w:pPr>
              <w:autoSpaceDE/>
              <w:autoSpaceDN/>
              <w:adjustRightInd/>
              <w:rPr>
                <w:rFonts w:cs="Arial"/>
                <w:color w:val="000000"/>
              </w:rPr>
            </w:pPr>
          </w:p>
        </w:tc>
        <w:tc>
          <w:tcPr>
            <w:tcW w:w="720" w:type="dxa"/>
            <w:vMerge/>
            <w:vAlign w:val="center"/>
            <w:hideMark/>
          </w:tcPr>
          <w:p w:rsidR="00A0318C" w:rsidRPr="00B01EA1" w:rsidP="00A0318C" w14:paraId="7F493F4B"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4C"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F4D"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F4E"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F4F"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F50" w14:textId="77777777">
            <w:pPr>
              <w:autoSpaceDE/>
              <w:autoSpaceDN/>
              <w:adjustRightInd/>
              <w:jc w:val="center"/>
              <w:rPr>
                <w:rFonts w:cs="Arial"/>
                <w:color w:val="000000"/>
              </w:rPr>
            </w:pPr>
            <w:r w:rsidRPr="009D6087">
              <w:rPr>
                <w:rFonts w:cs="Arial"/>
                <w:color w:val="000000"/>
              </w:rPr>
              <w:t>$32,881</w:t>
            </w:r>
          </w:p>
        </w:tc>
        <w:tc>
          <w:tcPr>
            <w:tcW w:w="1260" w:type="dxa"/>
            <w:shd w:val="clear" w:color="auto" w:fill="auto"/>
            <w:noWrap/>
            <w:vAlign w:val="center"/>
            <w:hideMark/>
          </w:tcPr>
          <w:p w:rsidR="00A0318C" w:rsidRPr="00B01EA1" w:rsidP="00A0318C" w14:paraId="7F493F51" w14:textId="77777777">
            <w:pPr>
              <w:autoSpaceDE/>
              <w:autoSpaceDN/>
              <w:adjustRightInd/>
              <w:jc w:val="center"/>
              <w:rPr>
                <w:rFonts w:cs="Arial"/>
                <w:color w:val="000000"/>
              </w:rPr>
            </w:pPr>
            <w:r w:rsidRPr="009D6087">
              <w:rPr>
                <w:rFonts w:cs="Arial"/>
                <w:color w:val="000000"/>
              </w:rPr>
              <w:t>$32,297</w:t>
            </w:r>
          </w:p>
        </w:tc>
        <w:tc>
          <w:tcPr>
            <w:tcW w:w="1250" w:type="dxa"/>
            <w:shd w:val="clear" w:color="auto" w:fill="auto"/>
            <w:noWrap/>
            <w:vAlign w:val="center"/>
            <w:hideMark/>
          </w:tcPr>
          <w:p w:rsidR="00A0318C" w:rsidRPr="00B01EA1" w:rsidP="00A0318C" w14:paraId="7F493F52" w14:textId="77777777">
            <w:pPr>
              <w:autoSpaceDE/>
              <w:autoSpaceDN/>
              <w:adjustRightInd/>
              <w:jc w:val="center"/>
              <w:rPr>
                <w:rFonts w:cs="Arial"/>
                <w:color w:val="000000"/>
              </w:rPr>
            </w:pPr>
            <w:r w:rsidRPr="009D6087">
              <w:rPr>
                <w:rFonts w:cs="Arial"/>
                <w:color w:val="000000"/>
              </w:rPr>
              <w:t>$37,709</w:t>
            </w:r>
          </w:p>
        </w:tc>
      </w:tr>
      <w:tr w14:paraId="7F493F61"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54" w14:textId="77777777">
            <w:pPr>
              <w:autoSpaceDE/>
              <w:autoSpaceDN/>
              <w:adjustRightInd/>
              <w:rPr>
                <w:rFonts w:cs="Arial"/>
                <w:b/>
                <w:bCs/>
                <w:color w:val="000000"/>
              </w:rPr>
            </w:pPr>
          </w:p>
        </w:tc>
        <w:tc>
          <w:tcPr>
            <w:tcW w:w="720" w:type="dxa"/>
            <w:vMerge/>
            <w:vAlign w:val="center"/>
            <w:hideMark/>
          </w:tcPr>
          <w:p w:rsidR="00A0318C" w:rsidRPr="00B01EA1" w:rsidP="00A0318C" w14:paraId="7F493F55"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56"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F57" w14:textId="77777777">
            <w:pPr>
              <w:autoSpaceDE/>
              <w:autoSpaceDN/>
              <w:adjustRightInd/>
              <w:rPr>
                <w:rFonts w:cs="Arial"/>
                <w:color w:val="000000"/>
              </w:rPr>
            </w:pPr>
          </w:p>
        </w:tc>
        <w:tc>
          <w:tcPr>
            <w:tcW w:w="990" w:type="dxa"/>
            <w:vMerge/>
            <w:vAlign w:val="center"/>
            <w:hideMark/>
          </w:tcPr>
          <w:p w:rsidR="00A0318C" w:rsidRPr="00B01EA1" w:rsidP="00A0318C" w14:paraId="7F493F58" w14:textId="77777777">
            <w:pPr>
              <w:autoSpaceDE/>
              <w:autoSpaceDN/>
              <w:adjustRightInd/>
              <w:rPr>
                <w:rFonts w:cs="Arial"/>
                <w:color w:val="000000"/>
              </w:rPr>
            </w:pPr>
          </w:p>
        </w:tc>
        <w:tc>
          <w:tcPr>
            <w:tcW w:w="720" w:type="dxa"/>
            <w:vMerge/>
            <w:vAlign w:val="center"/>
            <w:hideMark/>
          </w:tcPr>
          <w:p w:rsidR="00A0318C" w:rsidRPr="00B01EA1" w:rsidP="00A0318C" w14:paraId="7F493F59"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5A"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F5B"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5C"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5D"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F5E"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5F"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60" w14:textId="77777777">
            <w:pPr>
              <w:autoSpaceDE/>
              <w:autoSpaceDN/>
              <w:adjustRightInd/>
              <w:jc w:val="center"/>
              <w:rPr>
                <w:rFonts w:cs="Arial"/>
                <w:color w:val="000000"/>
              </w:rPr>
            </w:pPr>
            <w:r w:rsidRPr="009D6087">
              <w:rPr>
                <w:rFonts w:cs="Arial"/>
                <w:color w:val="000000"/>
              </w:rPr>
              <w:t>$9,838</w:t>
            </w:r>
          </w:p>
        </w:tc>
      </w:tr>
      <w:tr w14:paraId="7F493F6F"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62" w14:textId="77777777">
            <w:pPr>
              <w:autoSpaceDE/>
              <w:autoSpaceDN/>
              <w:adjustRightInd/>
              <w:rPr>
                <w:rFonts w:cs="Arial"/>
                <w:b/>
                <w:bCs/>
                <w:color w:val="000000"/>
              </w:rPr>
            </w:pPr>
          </w:p>
        </w:tc>
        <w:tc>
          <w:tcPr>
            <w:tcW w:w="720" w:type="dxa"/>
            <w:vMerge/>
            <w:vAlign w:val="center"/>
            <w:hideMark/>
          </w:tcPr>
          <w:p w:rsidR="00A0318C" w:rsidRPr="00B01EA1" w:rsidP="00A0318C" w14:paraId="7F493F63"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64"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F65" w14:textId="77777777">
            <w:pPr>
              <w:autoSpaceDE/>
              <w:autoSpaceDN/>
              <w:adjustRightInd/>
              <w:rPr>
                <w:rFonts w:cs="Arial"/>
                <w:color w:val="000000"/>
              </w:rPr>
            </w:pPr>
          </w:p>
        </w:tc>
        <w:tc>
          <w:tcPr>
            <w:tcW w:w="990" w:type="dxa"/>
            <w:vMerge/>
            <w:vAlign w:val="center"/>
            <w:hideMark/>
          </w:tcPr>
          <w:p w:rsidR="00A0318C" w:rsidRPr="00B01EA1" w:rsidP="00A0318C" w14:paraId="7F493F66" w14:textId="77777777">
            <w:pPr>
              <w:autoSpaceDE/>
              <w:autoSpaceDN/>
              <w:adjustRightInd/>
              <w:rPr>
                <w:rFonts w:cs="Arial"/>
                <w:color w:val="000000"/>
              </w:rPr>
            </w:pPr>
          </w:p>
        </w:tc>
        <w:tc>
          <w:tcPr>
            <w:tcW w:w="720" w:type="dxa"/>
            <w:vMerge/>
            <w:vAlign w:val="center"/>
            <w:hideMark/>
          </w:tcPr>
          <w:p w:rsidR="00A0318C" w:rsidRPr="00B01EA1" w:rsidP="00A0318C" w14:paraId="7F493F67"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68"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F69"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F6A"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F6B"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F6C" w14:textId="77777777">
            <w:pPr>
              <w:autoSpaceDE/>
              <w:autoSpaceDN/>
              <w:adjustRightInd/>
              <w:jc w:val="center"/>
              <w:rPr>
                <w:rFonts w:cs="Arial"/>
                <w:color w:val="000000"/>
              </w:rPr>
            </w:pPr>
            <w:r w:rsidRPr="009D6087">
              <w:rPr>
                <w:rFonts w:cs="Arial"/>
                <w:color w:val="000000"/>
              </w:rPr>
              <w:t>$6,573</w:t>
            </w:r>
          </w:p>
        </w:tc>
        <w:tc>
          <w:tcPr>
            <w:tcW w:w="1260" w:type="dxa"/>
            <w:shd w:val="clear" w:color="auto" w:fill="auto"/>
            <w:noWrap/>
            <w:vAlign w:val="center"/>
            <w:hideMark/>
          </w:tcPr>
          <w:p w:rsidR="00A0318C" w:rsidRPr="00B01EA1" w:rsidP="00A0318C" w14:paraId="7F493F6D" w14:textId="77777777">
            <w:pPr>
              <w:autoSpaceDE/>
              <w:autoSpaceDN/>
              <w:adjustRightInd/>
              <w:jc w:val="center"/>
              <w:rPr>
                <w:rFonts w:cs="Arial"/>
                <w:color w:val="000000"/>
              </w:rPr>
            </w:pPr>
            <w:r w:rsidRPr="009D6087">
              <w:rPr>
                <w:rFonts w:cs="Arial"/>
                <w:color w:val="000000"/>
              </w:rPr>
              <w:t>$6,456</w:t>
            </w:r>
          </w:p>
        </w:tc>
        <w:tc>
          <w:tcPr>
            <w:tcW w:w="1250" w:type="dxa"/>
            <w:shd w:val="clear" w:color="auto" w:fill="auto"/>
            <w:noWrap/>
            <w:vAlign w:val="center"/>
            <w:hideMark/>
          </w:tcPr>
          <w:p w:rsidR="00A0318C" w:rsidRPr="00B01EA1" w:rsidP="00A0318C" w14:paraId="7F493F6E" w14:textId="77777777">
            <w:pPr>
              <w:autoSpaceDE/>
              <w:autoSpaceDN/>
              <w:adjustRightInd/>
              <w:jc w:val="center"/>
              <w:rPr>
                <w:rFonts w:cs="Arial"/>
                <w:color w:val="000000"/>
              </w:rPr>
            </w:pPr>
            <w:r w:rsidRPr="009D6087">
              <w:rPr>
                <w:rFonts w:cs="Arial"/>
                <w:color w:val="000000"/>
              </w:rPr>
              <w:t>$1,160</w:t>
            </w:r>
          </w:p>
        </w:tc>
      </w:tr>
      <w:tr w14:paraId="7F493F7D"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F70" w14:textId="77777777">
            <w:pPr>
              <w:autoSpaceDE/>
              <w:autoSpaceDN/>
              <w:adjustRightInd/>
              <w:rPr>
                <w:rFonts w:cs="Arial"/>
                <w:b/>
                <w:bCs/>
                <w:color w:val="000000"/>
              </w:rPr>
            </w:pPr>
          </w:p>
        </w:tc>
        <w:tc>
          <w:tcPr>
            <w:tcW w:w="720" w:type="dxa"/>
            <w:vMerge/>
            <w:vAlign w:val="center"/>
            <w:hideMark/>
          </w:tcPr>
          <w:p w:rsidR="00A0318C" w:rsidRPr="00B01EA1" w:rsidP="00A0318C" w14:paraId="7F493F71"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72" w14:textId="77777777">
            <w:pPr>
              <w:autoSpaceDE/>
              <w:autoSpaceDN/>
              <w:adjustRightInd/>
              <w:rPr>
                <w:rFonts w:cs="Arial"/>
                <w:color w:val="000000"/>
              </w:rPr>
            </w:pPr>
            <w:r w:rsidRPr="00B01EA1">
              <w:rPr>
                <w:rFonts w:cs="Arial"/>
                <w:color w:val="000000"/>
              </w:rPr>
              <w:t>Institution Admin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F73" w14:textId="77777777">
            <w:pPr>
              <w:autoSpaceDE/>
              <w:autoSpaceDN/>
              <w:adjustRightInd/>
              <w:rPr>
                <w:rFonts w:cs="Arial"/>
                <w:color w:val="000000"/>
              </w:rPr>
            </w:pPr>
          </w:p>
        </w:tc>
        <w:tc>
          <w:tcPr>
            <w:tcW w:w="990" w:type="dxa"/>
            <w:vMerge/>
            <w:vAlign w:val="center"/>
            <w:hideMark/>
          </w:tcPr>
          <w:p w:rsidR="00A0318C" w:rsidRPr="00B01EA1" w:rsidP="00A0318C" w14:paraId="7F493F74" w14:textId="77777777">
            <w:pPr>
              <w:autoSpaceDE/>
              <w:autoSpaceDN/>
              <w:adjustRightInd/>
              <w:rPr>
                <w:rFonts w:cs="Arial"/>
                <w:color w:val="000000"/>
              </w:rPr>
            </w:pPr>
          </w:p>
        </w:tc>
        <w:tc>
          <w:tcPr>
            <w:tcW w:w="720" w:type="dxa"/>
            <w:vMerge/>
            <w:vAlign w:val="center"/>
            <w:hideMark/>
          </w:tcPr>
          <w:p w:rsidR="00A0318C" w:rsidRPr="00B01EA1" w:rsidP="00A0318C" w14:paraId="7F493F75"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76"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F77"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78"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79"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F7A"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7B"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7C" w14:textId="77777777">
            <w:pPr>
              <w:autoSpaceDE/>
              <w:autoSpaceDN/>
              <w:adjustRightInd/>
              <w:jc w:val="center"/>
              <w:rPr>
                <w:rFonts w:cs="Arial"/>
                <w:color w:val="000000"/>
              </w:rPr>
            </w:pPr>
            <w:r w:rsidRPr="009D6087">
              <w:rPr>
                <w:rFonts w:cs="Arial"/>
                <w:color w:val="000000"/>
              </w:rPr>
              <w:t>$0</w:t>
            </w:r>
          </w:p>
        </w:tc>
      </w:tr>
      <w:tr w14:paraId="7F493F8B"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7E"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3F7F" w14:textId="77777777">
            <w:pPr>
              <w:autoSpaceDE/>
              <w:autoSpaceDN/>
              <w:adjustRightInd/>
              <w:jc w:val="center"/>
              <w:rPr>
                <w:rFonts w:cs="Arial"/>
                <w:b/>
                <w:bCs/>
                <w:color w:val="000000"/>
              </w:rPr>
            </w:pPr>
            <w:r w:rsidRPr="00B01EA1">
              <w:rPr>
                <w:rFonts w:cs="Arial"/>
                <w:b/>
                <w:bCs/>
                <w:color w:val="000000"/>
              </w:rPr>
              <w:t>4</w:t>
            </w:r>
          </w:p>
        </w:tc>
        <w:tc>
          <w:tcPr>
            <w:tcW w:w="1890" w:type="dxa"/>
            <w:shd w:val="clear" w:color="auto" w:fill="auto"/>
            <w:noWrap/>
            <w:vAlign w:val="center"/>
            <w:hideMark/>
          </w:tcPr>
          <w:p w:rsidR="00A0318C" w:rsidRPr="00B01EA1" w:rsidP="00A0318C" w14:paraId="7F493F80"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3F81" w14:textId="77777777">
            <w:pPr>
              <w:autoSpaceDE/>
              <w:autoSpaceDN/>
              <w:adjustRightInd/>
              <w:jc w:val="center"/>
              <w:rPr>
                <w:rFonts w:cs="Arial"/>
                <w:color w:val="000000"/>
              </w:rPr>
            </w:pPr>
            <w:r w:rsidRPr="009D6087">
              <w:rPr>
                <w:rFonts w:cs="Arial"/>
                <w:color w:val="000000"/>
              </w:rPr>
              <w:t>282</w:t>
            </w:r>
          </w:p>
        </w:tc>
        <w:tc>
          <w:tcPr>
            <w:tcW w:w="990" w:type="dxa"/>
            <w:vMerge w:val="restart"/>
            <w:shd w:val="clear" w:color="auto" w:fill="auto"/>
            <w:vAlign w:val="center"/>
            <w:hideMark/>
          </w:tcPr>
          <w:p w:rsidR="00A0318C" w:rsidRPr="00B01EA1" w:rsidP="00A0318C" w14:paraId="7F493F82" w14:textId="77777777">
            <w:pPr>
              <w:autoSpaceDE/>
              <w:autoSpaceDN/>
              <w:adjustRightInd/>
              <w:jc w:val="center"/>
              <w:rPr>
                <w:rFonts w:cs="Arial"/>
                <w:color w:val="000000"/>
              </w:rPr>
            </w:pPr>
            <w:r w:rsidRPr="009D6087">
              <w:rPr>
                <w:rFonts w:cs="Arial"/>
                <w:color w:val="000000"/>
              </w:rPr>
              <w:t>277</w:t>
            </w:r>
          </w:p>
        </w:tc>
        <w:tc>
          <w:tcPr>
            <w:tcW w:w="720" w:type="dxa"/>
            <w:vMerge w:val="restart"/>
            <w:shd w:val="clear" w:color="auto" w:fill="auto"/>
            <w:vAlign w:val="center"/>
            <w:hideMark/>
          </w:tcPr>
          <w:p w:rsidR="00A0318C" w:rsidRPr="00B01EA1" w:rsidP="00A0318C" w14:paraId="7F493F83" w14:textId="77777777">
            <w:pPr>
              <w:autoSpaceDE/>
              <w:autoSpaceDN/>
              <w:adjustRightInd/>
              <w:jc w:val="center"/>
              <w:rPr>
                <w:rFonts w:cs="Arial"/>
                <w:color w:val="000000"/>
              </w:rPr>
            </w:pPr>
            <w:r w:rsidRPr="009D6087">
              <w:rPr>
                <w:rFonts w:cs="Arial"/>
                <w:color w:val="000000"/>
              </w:rPr>
              <w:t>298</w:t>
            </w:r>
          </w:p>
        </w:tc>
        <w:tc>
          <w:tcPr>
            <w:tcW w:w="900" w:type="dxa"/>
            <w:shd w:val="clear" w:color="auto" w:fill="auto"/>
            <w:noWrap/>
            <w:vAlign w:val="center"/>
            <w:hideMark/>
          </w:tcPr>
          <w:p w:rsidR="00A0318C" w:rsidRPr="00B01EA1" w:rsidP="00A0318C" w14:paraId="7F493F84"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F85" w14:textId="77777777">
            <w:pPr>
              <w:autoSpaceDE/>
              <w:autoSpaceDN/>
              <w:adjustRightInd/>
              <w:jc w:val="center"/>
              <w:rPr>
                <w:rFonts w:cs="Arial"/>
                <w:color w:val="000000"/>
              </w:rPr>
            </w:pPr>
            <w:r w:rsidRPr="009D6087">
              <w:rPr>
                <w:rFonts w:cs="Arial"/>
                <w:color w:val="000000"/>
              </w:rPr>
              <w:t>25%</w:t>
            </w:r>
          </w:p>
        </w:tc>
        <w:tc>
          <w:tcPr>
            <w:tcW w:w="990" w:type="dxa"/>
            <w:shd w:val="clear" w:color="auto" w:fill="auto"/>
            <w:noWrap/>
            <w:vAlign w:val="center"/>
            <w:hideMark/>
          </w:tcPr>
          <w:p w:rsidR="00A0318C" w:rsidRPr="00B01EA1" w:rsidP="00A0318C" w14:paraId="7F493F86" w14:textId="77777777">
            <w:pPr>
              <w:autoSpaceDE/>
              <w:autoSpaceDN/>
              <w:adjustRightInd/>
              <w:jc w:val="center"/>
              <w:rPr>
                <w:rFonts w:cs="Arial"/>
                <w:color w:val="000000"/>
              </w:rPr>
            </w:pPr>
            <w:r w:rsidRPr="009D6087">
              <w:rPr>
                <w:rFonts w:cs="Arial"/>
                <w:color w:val="000000"/>
              </w:rPr>
              <w:t>25%</w:t>
            </w:r>
          </w:p>
        </w:tc>
        <w:tc>
          <w:tcPr>
            <w:tcW w:w="772" w:type="dxa"/>
            <w:shd w:val="clear" w:color="auto" w:fill="auto"/>
            <w:noWrap/>
            <w:vAlign w:val="center"/>
            <w:hideMark/>
          </w:tcPr>
          <w:p w:rsidR="00A0318C" w:rsidRPr="00B01EA1" w:rsidP="00A0318C" w14:paraId="7F493F87" w14:textId="77777777">
            <w:pPr>
              <w:autoSpaceDE/>
              <w:autoSpaceDN/>
              <w:adjustRightInd/>
              <w:jc w:val="center"/>
              <w:rPr>
                <w:rFonts w:cs="Arial"/>
                <w:color w:val="000000"/>
              </w:rPr>
            </w:pPr>
            <w:r w:rsidRPr="009D6087">
              <w:rPr>
                <w:rFonts w:cs="Arial"/>
                <w:color w:val="000000"/>
              </w:rPr>
              <w:t>25%</w:t>
            </w:r>
          </w:p>
        </w:tc>
        <w:tc>
          <w:tcPr>
            <w:tcW w:w="1118" w:type="dxa"/>
            <w:shd w:val="clear" w:color="auto" w:fill="auto"/>
            <w:noWrap/>
            <w:vAlign w:val="center"/>
            <w:hideMark/>
          </w:tcPr>
          <w:p w:rsidR="00A0318C" w:rsidRPr="00B01EA1" w:rsidP="00A0318C" w14:paraId="7F493F88" w14:textId="77777777">
            <w:pPr>
              <w:autoSpaceDE/>
              <w:autoSpaceDN/>
              <w:adjustRightInd/>
              <w:jc w:val="center"/>
              <w:rPr>
                <w:rFonts w:cs="Arial"/>
                <w:color w:val="000000"/>
              </w:rPr>
            </w:pPr>
            <w:r w:rsidRPr="009D6087">
              <w:rPr>
                <w:rFonts w:cs="Arial"/>
                <w:color w:val="000000"/>
              </w:rPr>
              <w:t>$7,974</w:t>
            </w:r>
          </w:p>
        </w:tc>
        <w:tc>
          <w:tcPr>
            <w:tcW w:w="1260" w:type="dxa"/>
            <w:shd w:val="clear" w:color="auto" w:fill="auto"/>
            <w:noWrap/>
            <w:vAlign w:val="center"/>
            <w:hideMark/>
          </w:tcPr>
          <w:p w:rsidR="00A0318C" w:rsidRPr="00B01EA1" w:rsidP="00A0318C" w14:paraId="7F493F89" w14:textId="77777777">
            <w:pPr>
              <w:autoSpaceDE/>
              <w:autoSpaceDN/>
              <w:adjustRightInd/>
              <w:jc w:val="center"/>
              <w:rPr>
                <w:rFonts w:cs="Arial"/>
                <w:color w:val="000000"/>
              </w:rPr>
            </w:pPr>
            <w:r w:rsidRPr="009D6087">
              <w:rPr>
                <w:rFonts w:cs="Arial"/>
                <w:color w:val="000000"/>
              </w:rPr>
              <w:t>$7,832</w:t>
            </w:r>
          </w:p>
        </w:tc>
        <w:tc>
          <w:tcPr>
            <w:tcW w:w="1250" w:type="dxa"/>
            <w:shd w:val="clear" w:color="auto" w:fill="auto"/>
            <w:noWrap/>
            <w:vAlign w:val="center"/>
            <w:hideMark/>
          </w:tcPr>
          <w:p w:rsidR="00A0318C" w:rsidRPr="00B01EA1" w:rsidP="00A0318C" w14:paraId="7F493F8A" w14:textId="77777777">
            <w:pPr>
              <w:autoSpaceDE/>
              <w:autoSpaceDN/>
              <w:adjustRightInd/>
              <w:jc w:val="center"/>
              <w:rPr>
                <w:rFonts w:cs="Arial"/>
                <w:color w:val="000000"/>
              </w:rPr>
            </w:pPr>
            <w:r w:rsidRPr="009D6087">
              <w:rPr>
                <w:rFonts w:cs="Arial"/>
                <w:color w:val="000000"/>
              </w:rPr>
              <w:t>$8,442</w:t>
            </w:r>
          </w:p>
        </w:tc>
      </w:tr>
      <w:tr w14:paraId="7F493F99"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8C" w14:textId="77777777">
            <w:pPr>
              <w:autoSpaceDE/>
              <w:autoSpaceDN/>
              <w:adjustRightInd/>
              <w:rPr>
                <w:rFonts w:cs="Arial"/>
                <w:b/>
                <w:bCs/>
                <w:color w:val="000000"/>
              </w:rPr>
            </w:pPr>
          </w:p>
        </w:tc>
        <w:tc>
          <w:tcPr>
            <w:tcW w:w="720" w:type="dxa"/>
            <w:vMerge/>
            <w:vAlign w:val="center"/>
            <w:hideMark/>
          </w:tcPr>
          <w:p w:rsidR="00A0318C" w:rsidRPr="00B01EA1" w:rsidP="00A0318C" w14:paraId="7F493F8D"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8E"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F8F" w14:textId="77777777">
            <w:pPr>
              <w:autoSpaceDE/>
              <w:autoSpaceDN/>
              <w:adjustRightInd/>
              <w:rPr>
                <w:rFonts w:cs="Arial"/>
                <w:color w:val="000000"/>
              </w:rPr>
            </w:pPr>
          </w:p>
        </w:tc>
        <w:tc>
          <w:tcPr>
            <w:tcW w:w="990" w:type="dxa"/>
            <w:vMerge/>
            <w:vAlign w:val="center"/>
            <w:hideMark/>
          </w:tcPr>
          <w:p w:rsidR="00A0318C" w:rsidRPr="00B01EA1" w:rsidP="00A0318C" w14:paraId="7F493F90" w14:textId="77777777">
            <w:pPr>
              <w:autoSpaceDE/>
              <w:autoSpaceDN/>
              <w:adjustRightInd/>
              <w:rPr>
                <w:rFonts w:cs="Arial"/>
                <w:color w:val="000000"/>
              </w:rPr>
            </w:pPr>
          </w:p>
        </w:tc>
        <w:tc>
          <w:tcPr>
            <w:tcW w:w="720" w:type="dxa"/>
            <w:vMerge/>
            <w:vAlign w:val="center"/>
            <w:hideMark/>
          </w:tcPr>
          <w:p w:rsidR="00A0318C" w:rsidRPr="00B01EA1" w:rsidP="00A0318C" w14:paraId="7F493F9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92"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F93"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94"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95"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F96"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97"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98" w14:textId="77777777">
            <w:pPr>
              <w:autoSpaceDE/>
              <w:autoSpaceDN/>
              <w:adjustRightInd/>
              <w:jc w:val="center"/>
              <w:rPr>
                <w:rFonts w:cs="Arial"/>
                <w:color w:val="000000"/>
              </w:rPr>
            </w:pPr>
            <w:r w:rsidRPr="009D6087">
              <w:rPr>
                <w:rFonts w:cs="Arial"/>
                <w:color w:val="000000"/>
              </w:rPr>
              <w:t>$0</w:t>
            </w:r>
          </w:p>
        </w:tc>
      </w:tr>
      <w:tr w14:paraId="7F493FA7"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9A" w14:textId="77777777">
            <w:pPr>
              <w:autoSpaceDE/>
              <w:autoSpaceDN/>
              <w:adjustRightInd/>
              <w:rPr>
                <w:rFonts w:cs="Arial"/>
                <w:b/>
                <w:bCs/>
                <w:color w:val="000000"/>
              </w:rPr>
            </w:pPr>
          </w:p>
        </w:tc>
        <w:tc>
          <w:tcPr>
            <w:tcW w:w="720" w:type="dxa"/>
            <w:vMerge/>
            <w:vAlign w:val="center"/>
            <w:hideMark/>
          </w:tcPr>
          <w:p w:rsidR="00A0318C" w:rsidRPr="00B01EA1" w:rsidP="00A0318C" w14:paraId="7F493F9B"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9C"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F9D" w14:textId="77777777">
            <w:pPr>
              <w:autoSpaceDE/>
              <w:autoSpaceDN/>
              <w:adjustRightInd/>
              <w:rPr>
                <w:rFonts w:cs="Arial"/>
                <w:color w:val="000000"/>
              </w:rPr>
            </w:pPr>
          </w:p>
        </w:tc>
        <w:tc>
          <w:tcPr>
            <w:tcW w:w="990" w:type="dxa"/>
            <w:vMerge/>
            <w:vAlign w:val="center"/>
            <w:hideMark/>
          </w:tcPr>
          <w:p w:rsidR="00A0318C" w:rsidRPr="00B01EA1" w:rsidP="00A0318C" w14:paraId="7F493F9E" w14:textId="77777777">
            <w:pPr>
              <w:autoSpaceDE/>
              <w:autoSpaceDN/>
              <w:adjustRightInd/>
              <w:rPr>
                <w:rFonts w:cs="Arial"/>
                <w:color w:val="000000"/>
              </w:rPr>
            </w:pPr>
          </w:p>
        </w:tc>
        <w:tc>
          <w:tcPr>
            <w:tcW w:w="720" w:type="dxa"/>
            <w:vMerge/>
            <w:vAlign w:val="center"/>
            <w:hideMark/>
          </w:tcPr>
          <w:p w:rsidR="00A0318C" w:rsidRPr="00B01EA1" w:rsidP="00A0318C" w14:paraId="7F493F9F"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A0"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FA1"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A2"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A3"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FA4"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A5"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A6" w14:textId="77777777">
            <w:pPr>
              <w:autoSpaceDE/>
              <w:autoSpaceDN/>
              <w:adjustRightInd/>
              <w:jc w:val="center"/>
              <w:rPr>
                <w:rFonts w:cs="Arial"/>
                <w:color w:val="000000"/>
              </w:rPr>
            </w:pPr>
            <w:r w:rsidRPr="009D6087">
              <w:rPr>
                <w:rFonts w:cs="Arial"/>
                <w:color w:val="000000"/>
              </w:rPr>
              <w:t>$0</w:t>
            </w:r>
          </w:p>
        </w:tc>
      </w:tr>
      <w:tr w14:paraId="7F493FB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A8" w14:textId="77777777">
            <w:pPr>
              <w:autoSpaceDE/>
              <w:autoSpaceDN/>
              <w:adjustRightInd/>
              <w:rPr>
                <w:rFonts w:cs="Arial"/>
                <w:b/>
                <w:bCs/>
                <w:color w:val="000000"/>
              </w:rPr>
            </w:pPr>
          </w:p>
        </w:tc>
        <w:tc>
          <w:tcPr>
            <w:tcW w:w="720" w:type="dxa"/>
            <w:vMerge/>
            <w:vAlign w:val="center"/>
            <w:hideMark/>
          </w:tcPr>
          <w:p w:rsidR="00A0318C" w:rsidRPr="00B01EA1" w:rsidP="00A0318C" w14:paraId="7F493FA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AA"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FAB" w14:textId="77777777">
            <w:pPr>
              <w:autoSpaceDE/>
              <w:autoSpaceDN/>
              <w:adjustRightInd/>
              <w:rPr>
                <w:rFonts w:cs="Arial"/>
                <w:color w:val="000000"/>
              </w:rPr>
            </w:pPr>
          </w:p>
        </w:tc>
        <w:tc>
          <w:tcPr>
            <w:tcW w:w="990" w:type="dxa"/>
            <w:vMerge/>
            <w:vAlign w:val="center"/>
            <w:hideMark/>
          </w:tcPr>
          <w:p w:rsidR="00A0318C" w:rsidRPr="00B01EA1" w:rsidP="00A0318C" w14:paraId="7F493FAC" w14:textId="77777777">
            <w:pPr>
              <w:autoSpaceDE/>
              <w:autoSpaceDN/>
              <w:adjustRightInd/>
              <w:rPr>
                <w:rFonts w:cs="Arial"/>
                <w:color w:val="000000"/>
              </w:rPr>
            </w:pPr>
          </w:p>
        </w:tc>
        <w:tc>
          <w:tcPr>
            <w:tcW w:w="720" w:type="dxa"/>
            <w:vMerge/>
            <w:vAlign w:val="center"/>
            <w:hideMark/>
          </w:tcPr>
          <w:p w:rsidR="00A0318C" w:rsidRPr="00B01EA1" w:rsidP="00A0318C" w14:paraId="7F493FA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AE"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FAF"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B0"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B1"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3FB2"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B3"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B4" w14:textId="77777777">
            <w:pPr>
              <w:autoSpaceDE/>
              <w:autoSpaceDN/>
              <w:adjustRightInd/>
              <w:jc w:val="center"/>
              <w:rPr>
                <w:rFonts w:cs="Arial"/>
                <w:color w:val="000000"/>
              </w:rPr>
            </w:pPr>
            <w:r w:rsidRPr="009D6087">
              <w:rPr>
                <w:rFonts w:cs="Arial"/>
                <w:color w:val="000000"/>
              </w:rPr>
              <w:t>$0</w:t>
            </w:r>
          </w:p>
        </w:tc>
      </w:tr>
      <w:tr w14:paraId="7F493FC3"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FB6" w14:textId="77777777">
            <w:pPr>
              <w:autoSpaceDE/>
              <w:autoSpaceDN/>
              <w:adjustRightInd/>
              <w:rPr>
                <w:rFonts w:cs="Arial"/>
                <w:b/>
                <w:bCs/>
                <w:color w:val="000000"/>
              </w:rPr>
            </w:pPr>
          </w:p>
        </w:tc>
        <w:tc>
          <w:tcPr>
            <w:tcW w:w="720" w:type="dxa"/>
            <w:vMerge/>
            <w:vAlign w:val="center"/>
            <w:hideMark/>
          </w:tcPr>
          <w:p w:rsidR="00A0318C" w:rsidRPr="00B01EA1" w:rsidP="00A0318C" w14:paraId="7F493FB7"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B8" w14:textId="77777777">
            <w:pPr>
              <w:autoSpaceDE/>
              <w:autoSpaceDN/>
              <w:adjustRightInd/>
              <w:rPr>
                <w:rFonts w:cs="Arial"/>
                <w:color w:val="000000"/>
              </w:rPr>
            </w:pPr>
            <w:r w:rsidRPr="00B01EA1">
              <w:rPr>
                <w:rFonts w:cs="Arial"/>
                <w:color w:val="000000"/>
              </w:rPr>
              <w:t>Institution Admi</w:t>
            </w:r>
            <w:r>
              <w:rPr>
                <w:rFonts w:cs="Arial"/>
                <w:color w:val="000000"/>
              </w:rPr>
              <w:t xml:space="preserve">n.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FB9" w14:textId="77777777">
            <w:pPr>
              <w:autoSpaceDE/>
              <w:autoSpaceDN/>
              <w:adjustRightInd/>
              <w:rPr>
                <w:rFonts w:cs="Arial"/>
                <w:color w:val="000000"/>
              </w:rPr>
            </w:pPr>
          </w:p>
        </w:tc>
        <w:tc>
          <w:tcPr>
            <w:tcW w:w="990" w:type="dxa"/>
            <w:vMerge/>
            <w:vAlign w:val="center"/>
            <w:hideMark/>
          </w:tcPr>
          <w:p w:rsidR="00A0318C" w:rsidRPr="00B01EA1" w:rsidP="00A0318C" w14:paraId="7F493FBA" w14:textId="77777777">
            <w:pPr>
              <w:autoSpaceDE/>
              <w:autoSpaceDN/>
              <w:adjustRightInd/>
              <w:rPr>
                <w:rFonts w:cs="Arial"/>
                <w:color w:val="000000"/>
              </w:rPr>
            </w:pPr>
          </w:p>
        </w:tc>
        <w:tc>
          <w:tcPr>
            <w:tcW w:w="720" w:type="dxa"/>
            <w:vMerge/>
            <w:vAlign w:val="center"/>
            <w:hideMark/>
          </w:tcPr>
          <w:p w:rsidR="00A0318C" w:rsidRPr="00B01EA1" w:rsidP="00A0318C" w14:paraId="7F493FBB"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BC"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3FBD" w14:textId="77777777">
            <w:pPr>
              <w:autoSpaceDE/>
              <w:autoSpaceDN/>
              <w:adjustRightInd/>
              <w:jc w:val="center"/>
              <w:rPr>
                <w:rFonts w:cs="Arial"/>
                <w:color w:val="000000"/>
              </w:rPr>
            </w:pPr>
            <w:r w:rsidRPr="009D6087">
              <w:rPr>
                <w:rFonts w:cs="Arial"/>
                <w:color w:val="000000"/>
              </w:rPr>
              <w:t>75%</w:t>
            </w:r>
          </w:p>
        </w:tc>
        <w:tc>
          <w:tcPr>
            <w:tcW w:w="990" w:type="dxa"/>
            <w:shd w:val="clear" w:color="auto" w:fill="auto"/>
            <w:noWrap/>
            <w:vAlign w:val="center"/>
            <w:hideMark/>
          </w:tcPr>
          <w:p w:rsidR="00A0318C" w:rsidRPr="00B01EA1" w:rsidP="00A0318C" w14:paraId="7F493FBE" w14:textId="77777777">
            <w:pPr>
              <w:autoSpaceDE/>
              <w:autoSpaceDN/>
              <w:adjustRightInd/>
              <w:jc w:val="center"/>
              <w:rPr>
                <w:rFonts w:cs="Arial"/>
                <w:color w:val="000000"/>
              </w:rPr>
            </w:pPr>
            <w:r w:rsidRPr="009D6087">
              <w:rPr>
                <w:rFonts w:cs="Arial"/>
                <w:color w:val="000000"/>
              </w:rPr>
              <w:t>75%</w:t>
            </w:r>
          </w:p>
        </w:tc>
        <w:tc>
          <w:tcPr>
            <w:tcW w:w="772" w:type="dxa"/>
            <w:shd w:val="clear" w:color="auto" w:fill="auto"/>
            <w:noWrap/>
            <w:vAlign w:val="center"/>
            <w:hideMark/>
          </w:tcPr>
          <w:p w:rsidR="00A0318C" w:rsidRPr="00B01EA1" w:rsidP="00A0318C" w14:paraId="7F493FBF" w14:textId="77777777">
            <w:pPr>
              <w:autoSpaceDE/>
              <w:autoSpaceDN/>
              <w:adjustRightInd/>
              <w:jc w:val="center"/>
              <w:rPr>
                <w:rFonts w:cs="Arial"/>
                <w:color w:val="000000"/>
              </w:rPr>
            </w:pPr>
            <w:r w:rsidRPr="009D6087">
              <w:rPr>
                <w:rFonts w:cs="Arial"/>
                <w:color w:val="000000"/>
              </w:rPr>
              <w:t>75%</w:t>
            </w:r>
          </w:p>
        </w:tc>
        <w:tc>
          <w:tcPr>
            <w:tcW w:w="1118" w:type="dxa"/>
            <w:shd w:val="clear" w:color="auto" w:fill="auto"/>
            <w:noWrap/>
            <w:vAlign w:val="center"/>
            <w:hideMark/>
          </w:tcPr>
          <w:p w:rsidR="00A0318C" w:rsidRPr="00B01EA1" w:rsidP="00A0318C" w14:paraId="7F493FC0" w14:textId="77777777">
            <w:pPr>
              <w:autoSpaceDE/>
              <w:autoSpaceDN/>
              <w:adjustRightInd/>
              <w:jc w:val="center"/>
              <w:rPr>
                <w:rFonts w:cs="Arial"/>
                <w:color w:val="000000"/>
              </w:rPr>
            </w:pPr>
            <w:r w:rsidRPr="009D6087">
              <w:rPr>
                <w:rFonts w:cs="Arial"/>
                <w:color w:val="000000"/>
              </w:rPr>
              <w:t>$23,452</w:t>
            </w:r>
          </w:p>
        </w:tc>
        <w:tc>
          <w:tcPr>
            <w:tcW w:w="1260" w:type="dxa"/>
            <w:shd w:val="clear" w:color="auto" w:fill="auto"/>
            <w:noWrap/>
            <w:vAlign w:val="center"/>
            <w:hideMark/>
          </w:tcPr>
          <w:p w:rsidR="00A0318C" w:rsidRPr="00B01EA1" w:rsidP="00A0318C" w14:paraId="7F493FC1" w14:textId="77777777">
            <w:pPr>
              <w:autoSpaceDE/>
              <w:autoSpaceDN/>
              <w:adjustRightInd/>
              <w:jc w:val="center"/>
              <w:rPr>
                <w:rFonts w:cs="Arial"/>
                <w:color w:val="000000"/>
              </w:rPr>
            </w:pPr>
            <w:r w:rsidRPr="009D6087">
              <w:rPr>
                <w:rFonts w:cs="Arial"/>
                <w:color w:val="000000"/>
              </w:rPr>
              <w:t>$23,035</w:t>
            </w:r>
          </w:p>
        </w:tc>
        <w:tc>
          <w:tcPr>
            <w:tcW w:w="1250" w:type="dxa"/>
            <w:shd w:val="clear" w:color="auto" w:fill="auto"/>
            <w:noWrap/>
            <w:vAlign w:val="center"/>
            <w:hideMark/>
          </w:tcPr>
          <w:p w:rsidR="00A0318C" w:rsidRPr="00B01EA1" w:rsidP="00A0318C" w14:paraId="7F493FC2" w14:textId="77777777">
            <w:pPr>
              <w:autoSpaceDE/>
              <w:autoSpaceDN/>
              <w:adjustRightInd/>
              <w:jc w:val="center"/>
              <w:rPr>
                <w:rFonts w:cs="Arial"/>
                <w:color w:val="000000"/>
              </w:rPr>
            </w:pPr>
            <w:r w:rsidRPr="009D6087">
              <w:rPr>
                <w:rFonts w:cs="Arial"/>
                <w:color w:val="000000"/>
              </w:rPr>
              <w:t>$24,827</w:t>
            </w:r>
          </w:p>
        </w:tc>
      </w:tr>
      <w:tr w14:paraId="7F493FD1" w14:textId="77777777" w:rsidTr="00D96410">
        <w:tblPrEx>
          <w:tblW w:w="13315" w:type="dxa"/>
          <w:jc w:val="center"/>
          <w:tblLayout w:type="fixed"/>
          <w:tblLook w:val="04A0"/>
        </w:tblPrEx>
        <w:trPr>
          <w:trHeight w:val="390"/>
          <w:jc w:val="center"/>
        </w:trPr>
        <w:tc>
          <w:tcPr>
            <w:tcW w:w="1445" w:type="dxa"/>
            <w:vMerge w:val="restart"/>
            <w:shd w:val="clear" w:color="auto" w:fill="auto"/>
            <w:vAlign w:val="center"/>
            <w:hideMark/>
          </w:tcPr>
          <w:p w:rsidR="00A0318C" w:rsidRPr="00B01EA1" w:rsidP="00A0318C" w14:paraId="7F493FC4" w14:textId="77777777">
            <w:pPr>
              <w:autoSpaceDE/>
              <w:autoSpaceDN/>
              <w:adjustRightInd/>
              <w:jc w:val="center"/>
              <w:rPr>
                <w:rFonts w:cs="Arial"/>
                <w:b/>
                <w:bCs/>
                <w:color w:val="000000"/>
              </w:rPr>
            </w:pPr>
            <w:r w:rsidRPr="00B01EA1">
              <w:rPr>
                <w:rFonts w:cs="Arial"/>
                <w:b/>
                <w:bCs/>
                <w:color w:val="000000"/>
              </w:rPr>
              <w:t xml:space="preserve">Revising License Renewal Application </w:t>
            </w:r>
          </w:p>
        </w:tc>
        <w:tc>
          <w:tcPr>
            <w:tcW w:w="720" w:type="dxa"/>
            <w:vMerge w:val="restart"/>
            <w:shd w:val="clear" w:color="auto" w:fill="auto"/>
            <w:noWrap/>
            <w:vAlign w:val="center"/>
            <w:hideMark/>
          </w:tcPr>
          <w:p w:rsidR="00A0318C" w:rsidRPr="00B01EA1" w:rsidP="00A0318C" w14:paraId="7F493FC5" w14:textId="77777777">
            <w:pPr>
              <w:autoSpaceDE/>
              <w:autoSpaceDN/>
              <w:adjustRightInd/>
              <w:jc w:val="center"/>
              <w:rPr>
                <w:rFonts w:cs="Arial"/>
                <w:b/>
                <w:bCs/>
                <w:color w:val="000000"/>
              </w:rPr>
            </w:pPr>
            <w:r w:rsidRPr="00B01EA1">
              <w:rPr>
                <w:rFonts w:cs="Arial"/>
                <w:b/>
                <w:bCs/>
                <w:color w:val="000000"/>
              </w:rPr>
              <w:t>1</w:t>
            </w:r>
          </w:p>
        </w:tc>
        <w:tc>
          <w:tcPr>
            <w:tcW w:w="1890" w:type="dxa"/>
            <w:shd w:val="clear" w:color="auto" w:fill="auto"/>
            <w:noWrap/>
            <w:vAlign w:val="center"/>
            <w:hideMark/>
          </w:tcPr>
          <w:p w:rsidR="00A0318C" w:rsidRPr="00B01EA1" w:rsidP="00A0318C" w14:paraId="7F493FC6"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3FC7" w14:textId="77777777">
            <w:pPr>
              <w:autoSpaceDE/>
              <w:autoSpaceDN/>
              <w:adjustRightInd/>
              <w:jc w:val="center"/>
              <w:rPr>
                <w:rFonts w:cs="Arial"/>
                <w:color w:val="000000"/>
              </w:rPr>
            </w:pPr>
            <w:r w:rsidRPr="00B01EA1">
              <w:rPr>
                <w:rFonts w:cs="Arial"/>
                <w:color w:val="000000"/>
              </w:rPr>
              <w:t>100</w:t>
            </w:r>
          </w:p>
        </w:tc>
        <w:tc>
          <w:tcPr>
            <w:tcW w:w="990" w:type="dxa"/>
            <w:vMerge w:val="restart"/>
            <w:shd w:val="clear" w:color="auto" w:fill="auto"/>
            <w:vAlign w:val="center"/>
            <w:hideMark/>
          </w:tcPr>
          <w:p w:rsidR="00A0318C" w:rsidRPr="00B01EA1" w:rsidP="00A0318C" w14:paraId="7F493FC8" w14:textId="77777777">
            <w:pPr>
              <w:autoSpaceDE/>
              <w:autoSpaceDN/>
              <w:adjustRightInd/>
              <w:jc w:val="center"/>
              <w:rPr>
                <w:rFonts w:cs="Arial"/>
                <w:color w:val="000000"/>
              </w:rPr>
            </w:pPr>
            <w:r w:rsidRPr="00B01EA1">
              <w:rPr>
                <w:rFonts w:cs="Arial"/>
                <w:color w:val="000000"/>
              </w:rPr>
              <w:t>100</w:t>
            </w:r>
          </w:p>
        </w:tc>
        <w:tc>
          <w:tcPr>
            <w:tcW w:w="720" w:type="dxa"/>
            <w:vMerge w:val="restart"/>
            <w:shd w:val="clear" w:color="auto" w:fill="auto"/>
            <w:vAlign w:val="center"/>
            <w:hideMark/>
          </w:tcPr>
          <w:p w:rsidR="00A0318C" w:rsidRPr="00B01EA1" w:rsidP="00A0318C" w14:paraId="7F493FC9" w14:textId="77777777">
            <w:pPr>
              <w:autoSpaceDE/>
              <w:autoSpaceDN/>
              <w:adjustRightInd/>
              <w:jc w:val="center"/>
              <w:rPr>
                <w:rFonts w:cs="Arial"/>
                <w:color w:val="000000"/>
              </w:rPr>
            </w:pPr>
            <w:r w:rsidRPr="00B01EA1">
              <w:rPr>
                <w:rFonts w:cs="Arial"/>
                <w:color w:val="000000"/>
              </w:rPr>
              <w:t>100</w:t>
            </w:r>
          </w:p>
        </w:tc>
        <w:tc>
          <w:tcPr>
            <w:tcW w:w="900" w:type="dxa"/>
            <w:shd w:val="clear" w:color="auto" w:fill="auto"/>
            <w:noWrap/>
            <w:vAlign w:val="center"/>
            <w:hideMark/>
          </w:tcPr>
          <w:p w:rsidR="00A0318C" w:rsidRPr="00B01EA1" w:rsidP="00A0318C" w14:paraId="7F493FCA"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3FCB"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3FCC"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3FCD"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3FCE" w14:textId="77777777">
            <w:pPr>
              <w:autoSpaceDE/>
              <w:autoSpaceDN/>
              <w:adjustRightInd/>
              <w:jc w:val="center"/>
              <w:rPr>
                <w:rFonts w:cs="Arial"/>
                <w:color w:val="000000"/>
              </w:rPr>
            </w:pPr>
            <w:r w:rsidRPr="009D6087">
              <w:rPr>
                <w:rFonts w:cs="Arial"/>
                <w:color w:val="000000"/>
              </w:rPr>
              <w:t>$1,133</w:t>
            </w:r>
          </w:p>
        </w:tc>
        <w:tc>
          <w:tcPr>
            <w:tcW w:w="1260" w:type="dxa"/>
            <w:shd w:val="clear" w:color="auto" w:fill="auto"/>
            <w:noWrap/>
            <w:vAlign w:val="center"/>
            <w:hideMark/>
          </w:tcPr>
          <w:p w:rsidR="00A0318C" w:rsidRPr="00B01EA1" w:rsidP="00A0318C" w14:paraId="7F493FCF" w14:textId="77777777">
            <w:pPr>
              <w:autoSpaceDE/>
              <w:autoSpaceDN/>
              <w:adjustRightInd/>
              <w:jc w:val="center"/>
              <w:rPr>
                <w:rFonts w:cs="Arial"/>
                <w:color w:val="000000"/>
              </w:rPr>
            </w:pPr>
            <w:r w:rsidRPr="009D6087">
              <w:rPr>
                <w:rFonts w:cs="Arial"/>
                <w:color w:val="000000"/>
              </w:rPr>
              <w:t>$1,133</w:t>
            </w:r>
          </w:p>
        </w:tc>
        <w:tc>
          <w:tcPr>
            <w:tcW w:w="1250" w:type="dxa"/>
            <w:shd w:val="clear" w:color="auto" w:fill="auto"/>
            <w:noWrap/>
            <w:vAlign w:val="center"/>
            <w:hideMark/>
          </w:tcPr>
          <w:p w:rsidR="00A0318C" w:rsidRPr="00B01EA1" w:rsidP="00A0318C" w14:paraId="7F493FD0" w14:textId="77777777">
            <w:pPr>
              <w:autoSpaceDE/>
              <w:autoSpaceDN/>
              <w:adjustRightInd/>
              <w:jc w:val="center"/>
              <w:rPr>
                <w:rFonts w:cs="Arial"/>
                <w:color w:val="000000"/>
              </w:rPr>
            </w:pPr>
            <w:r w:rsidRPr="009D6087">
              <w:rPr>
                <w:rFonts w:cs="Arial"/>
                <w:color w:val="000000"/>
              </w:rPr>
              <w:t>$1,133</w:t>
            </w:r>
          </w:p>
        </w:tc>
      </w:tr>
      <w:tr w14:paraId="7F493FDF"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D2" w14:textId="77777777">
            <w:pPr>
              <w:autoSpaceDE/>
              <w:autoSpaceDN/>
              <w:adjustRightInd/>
              <w:rPr>
                <w:rFonts w:cs="Arial"/>
                <w:b/>
                <w:bCs/>
                <w:color w:val="000000"/>
              </w:rPr>
            </w:pPr>
          </w:p>
        </w:tc>
        <w:tc>
          <w:tcPr>
            <w:tcW w:w="720" w:type="dxa"/>
            <w:vMerge/>
            <w:vAlign w:val="center"/>
            <w:hideMark/>
          </w:tcPr>
          <w:p w:rsidR="00A0318C" w:rsidRPr="00B01EA1" w:rsidP="00A0318C" w14:paraId="7F493FD3"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D4"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3FD5" w14:textId="77777777">
            <w:pPr>
              <w:autoSpaceDE/>
              <w:autoSpaceDN/>
              <w:adjustRightInd/>
              <w:rPr>
                <w:rFonts w:cs="Arial"/>
                <w:color w:val="000000"/>
              </w:rPr>
            </w:pPr>
          </w:p>
        </w:tc>
        <w:tc>
          <w:tcPr>
            <w:tcW w:w="990" w:type="dxa"/>
            <w:vMerge/>
            <w:vAlign w:val="center"/>
            <w:hideMark/>
          </w:tcPr>
          <w:p w:rsidR="00A0318C" w:rsidRPr="00B01EA1" w:rsidP="00A0318C" w14:paraId="7F493FD6" w14:textId="77777777">
            <w:pPr>
              <w:autoSpaceDE/>
              <w:autoSpaceDN/>
              <w:adjustRightInd/>
              <w:rPr>
                <w:rFonts w:cs="Arial"/>
                <w:color w:val="000000"/>
              </w:rPr>
            </w:pPr>
          </w:p>
        </w:tc>
        <w:tc>
          <w:tcPr>
            <w:tcW w:w="720" w:type="dxa"/>
            <w:vMerge/>
            <w:vAlign w:val="center"/>
            <w:hideMark/>
          </w:tcPr>
          <w:p w:rsidR="00A0318C" w:rsidRPr="00B01EA1" w:rsidP="00A0318C" w14:paraId="7F493FD7"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D8"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3FD9"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3FDA"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3FDB"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3FDC" w14:textId="77777777">
            <w:pPr>
              <w:autoSpaceDE/>
              <w:autoSpaceDN/>
              <w:adjustRightInd/>
              <w:jc w:val="center"/>
              <w:rPr>
                <w:rFonts w:cs="Arial"/>
                <w:color w:val="000000"/>
              </w:rPr>
            </w:pPr>
            <w:r w:rsidRPr="009D6087">
              <w:rPr>
                <w:rFonts w:cs="Arial"/>
                <w:color w:val="000000"/>
              </w:rPr>
              <w:t>$5,840</w:t>
            </w:r>
          </w:p>
        </w:tc>
        <w:tc>
          <w:tcPr>
            <w:tcW w:w="1260" w:type="dxa"/>
            <w:shd w:val="clear" w:color="auto" w:fill="auto"/>
            <w:noWrap/>
            <w:vAlign w:val="center"/>
            <w:hideMark/>
          </w:tcPr>
          <w:p w:rsidR="00A0318C" w:rsidRPr="00B01EA1" w:rsidP="00A0318C" w14:paraId="7F493FDD" w14:textId="77777777">
            <w:pPr>
              <w:autoSpaceDE/>
              <w:autoSpaceDN/>
              <w:adjustRightInd/>
              <w:jc w:val="center"/>
              <w:rPr>
                <w:rFonts w:cs="Arial"/>
                <w:color w:val="000000"/>
              </w:rPr>
            </w:pPr>
            <w:r w:rsidRPr="009D6087">
              <w:rPr>
                <w:rFonts w:cs="Arial"/>
                <w:color w:val="000000"/>
              </w:rPr>
              <w:t>$5,840</w:t>
            </w:r>
          </w:p>
        </w:tc>
        <w:tc>
          <w:tcPr>
            <w:tcW w:w="1250" w:type="dxa"/>
            <w:shd w:val="clear" w:color="auto" w:fill="auto"/>
            <w:noWrap/>
            <w:vAlign w:val="center"/>
            <w:hideMark/>
          </w:tcPr>
          <w:p w:rsidR="00A0318C" w:rsidRPr="00B01EA1" w:rsidP="00A0318C" w14:paraId="7F493FDE" w14:textId="77777777">
            <w:pPr>
              <w:autoSpaceDE/>
              <w:autoSpaceDN/>
              <w:adjustRightInd/>
              <w:jc w:val="center"/>
              <w:rPr>
                <w:rFonts w:cs="Arial"/>
                <w:color w:val="000000"/>
              </w:rPr>
            </w:pPr>
            <w:r w:rsidRPr="009D6087">
              <w:rPr>
                <w:rFonts w:cs="Arial"/>
                <w:color w:val="000000"/>
              </w:rPr>
              <w:t>$6,327</w:t>
            </w:r>
          </w:p>
        </w:tc>
      </w:tr>
      <w:tr w14:paraId="7F493FED"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E0" w14:textId="77777777">
            <w:pPr>
              <w:autoSpaceDE/>
              <w:autoSpaceDN/>
              <w:adjustRightInd/>
              <w:rPr>
                <w:rFonts w:cs="Arial"/>
                <w:b/>
                <w:bCs/>
                <w:color w:val="000000"/>
              </w:rPr>
            </w:pPr>
          </w:p>
        </w:tc>
        <w:tc>
          <w:tcPr>
            <w:tcW w:w="720" w:type="dxa"/>
            <w:vMerge/>
            <w:vAlign w:val="center"/>
            <w:hideMark/>
          </w:tcPr>
          <w:p w:rsidR="00A0318C" w:rsidRPr="00B01EA1" w:rsidP="00A0318C" w14:paraId="7F493FE1"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E2"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3FE3" w14:textId="77777777">
            <w:pPr>
              <w:autoSpaceDE/>
              <w:autoSpaceDN/>
              <w:adjustRightInd/>
              <w:rPr>
                <w:rFonts w:cs="Arial"/>
                <w:color w:val="000000"/>
              </w:rPr>
            </w:pPr>
          </w:p>
        </w:tc>
        <w:tc>
          <w:tcPr>
            <w:tcW w:w="990" w:type="dxa"/>
            <w:vMerge/>
            <w:vAlign w:val="center"/>
            <w:hideMark/>
          </w:tcPr>
          <w:p w:rsidR="00A0318C" w:rsidRPr="00B01EA1" w:rsidP="00A0318C" w14:paraId="7F493FE4" w14:textId="77777777">
            <w:pPr>
              <w:autoSpaceDE/>
              <w:autoSpaceDN/>
              <w:adjustRightInd/>
              <w:rPr>
                <w:rFonts w:cs="Arial"/>
                <w:color w:val="000000"/>
              </w:rPr>
            </w:pPr>
          </w:p>
        </w:tc>
        <w:tc>
          <w:tcPr>
            <w:tcW w:w="720" w:type="dxa"/>
            <w:vMerge/>
            <w:vAlign w:val="center"/>
            <w:hideMark/>
          </w:tcPr>
          <w:p w:rsidR="00A0318C" w:rsidRPr="00B01EA1" w:rsidP="00A0318C" w14:paraId="7F493FE5"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E6"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3FE7"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3FE8"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3FE9"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3FEA"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3FEB"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3FEC" w14:textId="77777777">
            <w:pPr>
              <w:autoSpaceDE/>
              <w:autoSpaceDN/>
              <w:adjustRightInd/>
              <w:jc w:val="center"/>
              <w:rPr>
                <w:rFonts w:cs="Arial"/>
                <w:color w:val="000000"/>
              </w:rPr>
            </w:pPr>
            <w:r w:rsidRPr="009D6087">
              <w:rPr>
                <w:rFonts w:cs="Arial"/>
                <w:color w:val="000000"/>
              </w:rPr>
              <w:t>$1,651</w:t>
            </w:r>
          </w:p>
        </w:tc>
      </w:tr>
      <w:tr w14:paraId="7F493FFB"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3FEE" w14:textId="77777777">
            <w:pPr>
              <w:autoSpaceDE/>
              <w:autoSpaceDN/>
              <w:adjustRightInd/>
              <w:rPr>
                <w:rFonts w:cs="Arial"/>
                <w:b/>
                <w:bCs/>
                <w:color w:val="000000"/>
              </w:rPr>
            </w:pPr>
          </w:p>
        </w:tc>
        <w:tc>
          <w:tcPr>
            <w:tcW w:w="720" w:type="dxa"/>
            <w:vMerge/>
            <w:vAlign w:val="center"/>
            <w:hideMark/>
          </w:tcPr>
          <w:p w:rsidR="00A0318C" w:rsidRPr="00B01EA1" w:rsidP="00A0318C" w14:paraId="7F493FEF"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F0"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3FF1" w14:textId="77777777">
            <w:pPr>
              <w:autoSpaceDE/>
              <w:autoSpaceDN/>
              <w:adjustRightInd/>
              <w:rPr>
                <w:rFonts w:cs="Arial"/>
                <w:color w:val="000000"/>
              </w:rPr>
            </w:pPr>
          </w:p>
        </w:tc>
        <w:tc>
          <w:tcPr>
            <w:tcW w:w="990" w:type="dxa"/>
            <w:vMerge/>
            <w:vAlign w:val="center"/>
            <w:hideMark/>
          </w:tcPr>
          <w:p w:rsidR="00A0318C" w:rsidRPr="00B01EA1" w:rsidP="00A0318C" w14:paraId="7F493FF2" w14:textId="77777777">
            <w:pPr>
              <w:autoSpaceDE/>
              <w:autoSpaceDN/>
              <w:adjustRightInd/>
              <w:rPr>
                <w:rFonts w:cs="Arial"/>
                <w:color w:val="000000"/>
              </w:rPr>
            </w:pPr>
          </w:p>
        </w:tc>
        <w:tc>
          <w:tcPr>
            <w:tcW w:w="720" w:type="dxa"/>
            <w:vMerge/>
            <w:vAlign w:val="center"/>
            <w:hideMark/>
          </w:tcPr>
          <w:p w:rsidR="00A0318C" w:rsidRPr="00B01EA1" w:rsidP="00A0318C" w14:paraId="7F493FF3"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3FF4"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3FF5"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3FF6"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3FF7"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3FF8" w14:textId="77777777">
            <w:pPr>
              <w:autoSpaceDE/>
              <w:autoSpaceDN/>
              <w:adjustRightInd/>
              <w:jc w:val="center"/>
              <w:rPr>
                <w:rFonts w:cs="Arial"/>
                <w:color w:val="000000"/>
              </w:rPr>
            </w:pPr>
            <w:r w:rsidRPr="009D6087">
              <w:rPr>
                <w:rFonts w:cs="Arial"/>
                <w:color w:val="000000"/>
              </w:rPr>
              <w:t>$1,167</w:t>
            </w:r>
          </w:p>
        </w:tc>
        <w:tc>
          <w:tcPr>
            <w:tcW w:w="1260" w:type="dxa"/>
            <w:shd w:val="clear" w:color="auto" w:fill="auto"/>
            <w:noWrap/>
            <w:vAlign w:val="center"/>
            <w:hideMark/>
          </w:tcPr>
          <w:p w:rsidR="00A0318C" w:rsidRPr="00B01EA1" w:rsidP="00A0318C" w14:paraId="7F493FF9" w14:textId="77777777">
            <w:pPr>
              <w:autoSpaceDE/>
              <w:autoSpaceDN/>
              <w:adjustRightInd/>
              <w:jc w:val="center"/>
              <w:rPr>
                <w:rFonts w:cs="Arial"/>
                <w:color w:val="000000"/>
              </w:rPr>
            </w:pPr>
            <w:r w:rsidRPr="009D6087">
              <w:rPr>
                <w:rFonts w:cs="Arial"/>
                <w:color w:val="000000"/>
              </w:rPr>
              <w:t>$1,167</w:t>
            </w:r>
          </w:p>
        </w:tc>
        <w:tc>
          <w:tcPr>
            <w:tcW w:w="1250" w:type="dxa"/>
            <w:shd w:val="clear" w:color="auto" w:fill="auto"/>
            <w:noWrap/>
            <w:vAlign w:val="center"/>
            <w:hideMark/>
          </w:tcPr>
          <w:p w:rsidR="00A0318C" w:rsidRPr="00B01EA1" w:rsidP="00A0318C" w14:paraId="7F493FFA" w14:textId="77777777">
            <w:pPr>
              <w:autoSpaceDE/>
              <w:autoSpaceDN/>
              <w:adjustRightInd/>
              <w:jc w:val="center"/>
              <w:rPr>
                <w:rFonts w:cs="Arial"/>
                <w:color w:val="000000"/>
              </w:rPr>
            </w:pPr>
            <w:r w:rsidRPr="009D6087">
              <w:rPr>
                <w:rFonts w:cs="Arial"/>
                <w:color w:val="000000"/>
              </w:rPr>
              <w:t>$195</w:t>
            </w:r>
          </w:p>
        </w:tc>
      </w:tr>
      <w:tr w14:paraId="7F494009"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3FFC" w14:textId="77777777">
            <w:pPr>
              <w:autoSpaceDE/>
              <w:autoSpaceDN/>
              <w:adjustRightInd/>
              <w:rPr>
                <w:rFonts w:cs="Arial"/>
                <w:b/>
                <w:bCs/>
                <w:color w:val="000000"/>
              </w:rPr>
            </w:pPr>
          </w:p>
        </w:tc>
        <w:tc>
          <w:tcPr>
            <w:tcW w:w="720" w:type="dxa"/>
            <w:vMerge/>
            <w:vAlign w:val="center"/>
            <w:hideMark/>
          </w:tcPr>
          <w:p w:rsidR="00A0318C" w:rsidRPr="00B01EA1" w:rsidP="00A0318C" w14:paraId="7F493FFD"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3FFE" w14:textId="77777777">
            <w:pPr>
              <w:autoSpaceDE/>
              <w:autoSpaceDN/>
              <w:adjustRightInd/>
              <w:rPr>
                <w:rFonts w:cs="Arial"/>
                <w:color w:val="000000"/>
              </w:rPr>
            </w:pPr>
            <w:r>
              <w:rPr>
                <w:rFonts w:cs="Arial"/>
                <w:color w:val="000000"/>
              </w:rPr>
              <w:t xml:space="preserve">Institution Admin.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3FFF" w14:textId="77777777">
            <w:pPr>
              <w:autoSpaceDE/>
              <w:autoSpaceDN/>
              <w:adjustRightInd/>
              <w:rPr>
                <w:rFonts w:cs="Arial"/>
                <w:color w:val="000000"/>
              </w:rPr>
            </w:pPr>
          </w:p>
        </w:tc>
        <w:tc>
          <w:tcPr>
            <w:tcW w:w="990" w:type="dxa"/>
            <w:vMerge/>
            <w:vAlign w:val="center"/>
            <w:hideMark/>
          </w:tcPr>
          <w:p w:rsidR="00A0318C" w:rsidRPr="00B01EA1" w:rsidP="00A0318C" w14:paraId="7F494000" w14:textId="77777777">
            <w:pPr>
              <w:autoSpaceDE/>
              <w:autoSpaceDN/>
              <w:adjustRightInd/>
              <w:rPr>
                <w:rFonts w:cs="Arial"/>
                <w:color w:val="000000"/>
              </w:rPr>
            </w:pPr>
          </w:p>
        </w:tc>
        <w:tc>
          <w:tcPr>
            <w:tcW w:w="720" w:type="dxa"/>
            <w:vMerge/>
            <w:vAlign w:val="center"/>
            <w:hideMark/>
          </w:tcPr>
          <w:p w:rsidR="00A0318C" w:rsidRPr="00B01EA1" w:rsidP="00A0318C" w14:paraId="7F49400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02"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4003"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4004"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4005"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4006"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4007"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4008" w14:textId="77777777">
            <w:pPr>
              <w:autoSpaceDE/>
              <w:autoSpaceDN/>
              <w:adjustRightInd/>
              <w:jc w:val="center"/>
              <w:rPr>
                <w:rFonts w:cs="Arial"/>
                <w:color w:val="000000"/>
              </w:rPr>
            </w:pPr>
            <w:r w:rsidRPr="009D6087">
              <w:rPr>
                <w:rFonts w:cs="Arial"/>
                <w:color w:val="000000"/>
              </w:rPr>
              <w:t>$0</w:t>
            </w:r>
          </w:p>
        </w:tc>
      </w:tr>
      <w:tr w14:paraId="7F494017"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0A"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400B" w14:textId="77777777">
            <w:pPr>
              <w:autoSpaceDE/>
              <w:autoSpaceDN/>
              <w:adjustRightInd/>
              <w:jc w:val="center"/>
              <w:rPr>
                <w:rFonts w:cs="Arial"/>
                <w:b/>
                <w:bCs/>
                <w:color w:val="000000"/>
              </w:rPr>
            </w:pPr>
            <w:r w:rsidRPr="00B01EA1">
              <w:rPr>
                <w:rFonts w:cs="Arial"/>
                <w:b/>
                <w:bCs/>
                <w:color w:val="000000"/>
              </w:rPr>
              <w:t>2</w:t>
            </w:r>
          </w:p>
        </w:tc>
        <w:tc>
          <w:tcPr>
            <w:tcW w:w="1890" w:type="dxa"/>
            <w:shd w:val="clear" w:color="auto" w:fill="auto"/>
            <w:noWrap/>
            <w:vAlign w:val="center"/>
            <w:hideMark/>
          </w:tcPr>
          <w:p w:rsidR="00A0318C" w:rsidRPr="00B01EA1" w:rsidP="00A0318C" w14:paraId="7F49400C" w14:textId="77777777">
            <w:pPr>
              <w:autoSpaceDE/>
              <w:autoSpaceDN/>
              <w:adjustRightInd/>
              <w:rPr>
                <w:rFonts w:cs="Arial"/>
                <w:color w:val="000000"/>
              </w:rPr>
            </w:pPr>
            <w:r w:rsidRPr="00B01EA1">
              <w:rPr>
                <w:rFonts w:cs="Arial"/>
                <w:color w:val="000000"/>
              </w:rPr>
              <w:t>Reactor Director / Professo</w:t>
            </w:r>
            <w:r>
              <w:rPr>
                <w:rFonts w:cs="Arial"/>
                <w:color w:val="000000"/>
              </w:rPr>
              <w:t xml:space="preserve">r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400D" w14:textId="77777777">
            <w:pPr>
              <w:autoSpaceDE/>
              <w:autoSpaceDN/>
              <w:adjustRightInd/>
              <w:jc w:val="center"/>
              <w:rPr>
                <w:rFonts w:cs="Arial"/>
                <w:color w:val="000000"/>
              </w:rPr>
            </w:pPr>
            <w:r w:rsidRPr="009D6087">
              <w:rPr>
                <w:rFonts w:cs="Arial"/>
                <w:color w:val="000000"/>
              </w:rPr>
              <w:t>255</w:t>
            </w:r>
          </w:p>
        </w:tc>
        <w:tc>
          <w:tcPr>
            <w:tcW w:w="990" w:type="dxa"/>
            <w:vMerge w:val="restart"/>
            <w:shd w:val="clear" w:color="auto" w:fill="auto"/>
            <w:vAlign w:val="center"/>
            <w:hideMark/>
          </w:tcPr>
          <w:p w:rsidR="00A0318C" w:rsidRPr="00B01EA1" w:rsidP="00A0318C" w14:paraId="7F49400E" w14:textId="77777777">
            <w:pPr>
              <w:autoSpaceDE/>
              <w:autoSpaceDN/>
              <w:adjustRightInd/>
              <w:jc w:val="center"/>
              <w:rPr>
                <w:rFonts w:cs="Arial"/>
                <w:color w:val="000000"/>
              </w:rPr>
            </w:pPr>
            <w:r w:rsidRPr="009D6087">
              <w:rPr>
                <w:rFonts w:cs="Arial"/>
                <w:color w:val="000000"/>
              </w:rPr>
              <w:t>383</w:t>
            </w:r>
          </w:p>
        </w:tc>
        <w:tc>
          <w:tcPr>
            <w:tcW w:w="720" w:type="dxa"/>
            <w:vMerge w:val="restart"/>
            <w:shd w:val="clear" w:color="auto" w:fill="auto"/>
            <w:vAlign w:val="center"/>
            <w:hideMark/>
          </w:tcPr>
          <w:p w:rsidR="00A0318C" w:rsidRPr="00B01EA1" w:rsidP="00A0318C" w14:paraId="7F49400F" w14:textId="77777777">
            <w:pPr>
              <w:autoSpaceDE/>
              <w:autoSpaceDN/>
              <w:adjustRightInd/>
              <w:jc w:val="center"/>
              <w:rPr>
                <w:rFonts w:cs="Arial"/>
                <w:color w:val="000000"/>
              </w:rPr>
            </w:pPr>
            <w:r w:rsidRPr="009D6087">
              <w:rPr>
                <w:rFonts w:cs="Arial"/>
                <w:color w:val="000000"/>
              </w:rPr>
              <w:t>593</w:t>
            </w:r>
          </w:p>
        </w:tc>
        <w:tc>
          <w:tcPr>
            <w:tcW w:w="900" w:type="dxa"/>
            <w:shd w:val="clear" w:color="auto" w:fill="auto"/>
            <w:noWrap/>
            <w:vAlign w:val="center"/>
            <w:hideMark/>
          </w:tcPr>
          <w:p w:rsidR="00A0318C" w:rsidRPr="00B01EA1" w:rsidP="00A0318C" w14:paraId="7F494010"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4011" w14:textId="77777777">
            <w:pPr>
              <w:autoSpaceDE/>
              <w:autoSpaceDN/>
              <w:adjustRightInd/>
              <w:jc w:val="center"/>
              <w:rPr>
                <w:rFonts w:cs="Arial"/>
                <w:color w:val="000000"/>
              </w:rPr>
            </w:pPr>
            <w:r w:rsidRPr="009D6087">
              <w:rPr>
                <w:rFonts w:cs="Arial"/>
                <w:color w:val="000000"/>
              </w:rPr>
              <w:t>10%</w:t>
            </w:r>
          </w:p>
        </w:tc>
        <w:tc>
          <w:tcPr>
            <w:tcW w:w="990" w:type="dxa"/>
            <w:shd w:val="clear" w:color="auto" w:fill="auto"/>
            <w:noWrap/>
            <w:vAlign w:val="center"/>
            <w:hideMark/>
          </w:tcPr>
          <w:p w:rsidR="00A0318C" w:rsidRPr="00B01EA1" w:rsidP="00A0318C" w14:paraId="7F494012" w14:textId="77777777">
            <w:pPr>
              <w:autoSpaceDE/>
              <w:autoSpaceDN/>
              <w:adjustRightInd/>
              <w:jc w:val="center"/>
              <w:rPr>
                <w:rFonts w:cs="Arial"/>
                <w:color w:val="000000"/>
              </w:rPr>
            </w:pPr>
            <w:r w:rsidRPr="009D6087">
              <w:rPr>
                <w:rFonts w:cs="Arial"/>
                <w:color w:val="000000"/>
              </w:rPr>
              <w:t>10%</w:t>
            </w:r>
          </w:p>
        </w:tc>
        <w:tc>
          <w:tcPr>
            <w:tcW w:w="772" w:type="dxa"/>
            <w:shd w:val="clear" w:color="auto" w:fill="auto"/>
            <w:noWrap/>
            <w:vAlign w:val="center"/>
            <w:hideMark/>
          </w:tcPr>
          <w:p w:rsidR="00A0318C" w:rsidRPr="00B01EA1" w:rsidP="00A0318C" w14:paraId="7F494013" w14:textId="77777777">
            <w:pPr>
              <w:autoSpaceDE/>
              <w:autoSpaceDN/>
              <w:adjustRightInd/>
              <w:jc w:val="center"/>
              <w:rPr>
                <w:rFonts w:cs="Arial"/>
                <w:color w:val="000000"/>
              </w:rPr>
            </w:pPr>
            <w:r w:rsidRPr="009D6087">
              <w:rPr>
                <w:rFonts w:cs="Arial"/>
                <w:color w:val="000000"/>
              </w:rPr>
              <w:t>10%</w:t>
            </w:r>
          </w:p>
        </w:tc>
        <w:tc>
          <w:tcPr>
            <w:tcW w:w="1118" w:type="dxa"/>
            <w:shd w:val="clear" w:color="auto" w:fill="auto"/>
            <w:noWrap/>
            <w:vAlign w:val="center"/>
            <w:hideMark/>
          </w:tcPr>
          <w:p w:rsidR="00A0318C" w:rsidRPr="00B01EA1" w:rsidP="00A0318C" w14:paraId="7F494014" w14:textId="77777777">
            <w:pPr>
              <w:autoSpaceDE/>
              <w:autoSpaceDN/>
              <w:adjustRightInd/>
              <w:jc w:val="center"/>
              <w:rPr>
                <w:rFonts w:cs="Arial"/>
                <w:color w:val="000000"/>
              </w:rPr>
            </w:pPr>
            <w:r w:rsidRPr="009D6087">
              <w:rPr>
                <w:rFonts w:cs="Arial"/>
                <w:color w:val="000000"/>
              </w:rPr>
              <w:t>$2,889</w:t>
            </w:r>
          </w:p>
        </w:tc>
        <w:tc>
          <w:tcPr>
            <w:tcW w:w="1260" w:type="dxa"/>
            <w:shd w:val="clear" w:color="auto" w:fill="auto"/>
            <w:noWrap/>
            <w:vAlign w:val="center"/>
            <w:hideMark/>
          </w:tcPr>
          <w:p w:rsidR="00A0318C" w:rsidRPr="00B01EA1" w:rsidP="00A0318C" w14:paraId="7F494015" w14:textId="77777777">
            <w:pPr>
              <w:autoSpaceDE/>
              <w:autoSpaceDN/>
              <w:adjustRightInd/>
              <w:jc w:val="center"/>
              <w:rPr>
                <w:rFonts w:cs="Arial"/>
                <w:color w:val="000000"/>
              </w:rPr>
            </w:pPr>
            <w:r w:rsidRPr="009D6087">
              <w:rPr>
                <w:rFonts w:cs="Arial"/>
                <w:color w:val="000000"/>
              </w:rPr>
              <w:t>$4,334</w:t>
            </w:r>
          </w:p>
        </w:tc>
        <w:tc>
          <w:tcPr>
            <w:tcW w:w="1250" w:type="dxa"/>
            <w:shd w:val="clear" w:color="auto" w:fill="auto"/>
            <w:noWrap/>
            <w:vAlign w:val="center"/>
            <w:hideMark/>
          </w:tcPr>
          <w:p w:rsidR="00A0318C" w:rsidRPr="00B01EA1" w:rsidP="00A0318C" w14:paraId="7F494016" w14:textId="77777777">
            <w:pPr>
              <w:autoSpaceDE/>
              <w:autoSpaceDN/>
              <w:adjustRightInd/>
              <w:jc w:val="center"/>
              <w:rPr>
                <w:rFonts w:cs="Arial"/>
                <w:color w:val="000000"/>
              </w:rPr>
            </w:pPr>
            <w:r w:rsidRPr="009D6087">
              <w:rPr>
                <w:rFonts w:cs="Arial"/>
                <w:color w:val="000000"/>
              </w:rPr>
              <w:t>$6,714</w:t>
            </w:r>
          </w:p>
        </w:tc>
      </w:tr>
      <w:tr w14:paraId="7F49402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18" w14:textId="77777777">
            <w:pPr>
              <w:autoSpaceDE/>
              <w:autoSpaceDN/>
              <w:adjustRightInd/>
              <w:rPr>
                <w:rFonts w:cs="Arial"/>
                <w:b/>
                <w:bCs/>
                <w:color w:val="000000"/>
              </w:rPr>
            </w:pPr>
          </w:p>
        </w:tc>
        <w:tc>
          <w:tcPr>
            <w:tcW w:w="720" w:type="dxa"/>
            <w:vMerge/>
            <w:vAlign w:val="center"/>
            <w:hideMark/>
          </w:tcPr>
          <w:p w:rsidR="00A0318C" w:rsidRPr="00B01EA1" w:rsidP="00A0318C" w14:paraId="7F49401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1A"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401B" w14:textId="77777777">
            <w:pPr>
              <w:autoSpaceDE/>
              <w:autoSpaceDN/>
              <w:adjustRightInd/>
              <w:rPr>
                <w:rFonts w:cs="Arial"/>
                <w:color w:val="000000"/>
              </w:rPr>
            </w:pPr>
          </w:p>
        </w:tc>
        <w:tc>
          <w:tcPr>
            <w:tcW w:w="990" w:type="dxa"/>
            <w:vMerge/>
            <w:vAlign w:val="center"/>
            <w:hideMark/>
          </w:tcPr>
          <w:p w:rsidR="00A0318C" w:rsidRPr="00B01EA1" w:rsidP="00A0318C" w14:paraId="7F49401C" w14:textId="77777777">
            <w:pPr>
              <w:autoSpaceDE/>
              <w:autoSpaceDN/>
              <w:adjustRightInd/>
              <w:rPr>
                <w:rFonts w:cs="Arial"/>
                <w:color w:val="000000"/>
              </w:rPr>
            </w:pPr>
          </w:p>
        </w:tc>
        <w:tc>
          <w:tcPr>
            <w:tcW w:w="720" w:type="dxa"/>
            <w:vMerge/>
            <w:vAlign w:val="center"/>
            <w:hideMark/>
          </w:tcPr>
          <w:p w:rsidR="00A0318C" w:rsidRPr="00B01EA1" w:rsidP="00A0318C" w14:paraId="7F49401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1E"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401F" w14:textId="77777777">
            <w:pPr>
              <w:autoSpaceDE/>
              <w:autoSpaceDN/>
              <w:adjustRightInd/>
              <w:jc w:val="center"/>
              <w:rPr>
                <w:rFonts w:cs="Arial"/>
                <w:color w:val="000000"/>
              </w:rPr>
            </w:pPr>
            <w:r w:rsidRPr="009D6087">
              <w:rPr>
                <w:rFonts w:cs="Arial"/>
                <w:color w:val="000000"/>
              </w:rPr>
              <w:t>60%</w:t>
            </w:r>
          </w:p>
        </w:tc>
        <w:tc>
          <w:tcPr>
            <w:tcW w:w="990" w:type="dxa"/>
            <w:shd w:val="clear" w:color="auto" w:fill="auto"/>
            <w:noWrap/>
            <w:vAlign w:val="center"/>
            <w:hideMark/>
          </w:tcPr>
          <w:p w:rsidR="00A0318C" w:rsidRPr="00B01EA1" w:rsidP="00A0318C" w14:paraId="7F494020" w14:textId="77777777">
            <w:pPr>
              <w:autoSpaceDE/>
              <w:autoSpaceDN/>
              <w:adjustRightInd/>
              <w:jc w:val="center"/>
              <w:rPr>
                <w:rFonts w:cs="Arial"/>
                <w:color w:val="000000"/>
              </w:rPr>
            </w:pPr>
            <w:r w:rsidRPr="009D6087">
              <w:rPr>
                <w:rFonts w:cs="Arial"/>
                <w:color w:val="000000"/>
              </w:rPr>
              <w:t>60%</w:t>
            </w:r>
          </w:p>
        </w:tc>
        <w:tc>
          <w:tcPr>
            <w:tcW w:w="772" w:type="dxa"/>
            <w:shd w:val="clear" w:color="auto" w:fill="auto"/>
            <w:noWrap/>
            <w:vAlign w:val="center"/>
            <w:hideMark/>
          </w:tcPr>
          <w:p w:rsidR="00A0318C" w:rsidRPr="00B01EA1" w:rsidP="00A0318C" w14:paraId="7F494021" w14:textId="77777777">
            <w:pPr>
              <w:autoSpaceDE/>
              <w:autoSpaceDN/>
              <w:adjustRightInd/>
              <w:jc w:val="center"/>
              <w:rPr>
                <w:rFonts w:cs="Arial"/>
                <w:color w:val="000000"/>
              </w:rPr>
            </w:pPr>
            <w:r w:rsidRPr="009D6087">
              <w:rPr>
                <w:rFonts w:cs="Arial"/>
                <w:color w:val="000000"/>
              </w:rPr>
              <w:t>65%</w:t>
            </w:r>
          </w:p>
        </w:tc>
        <w:tc>
          <w:tcPr>
            <w:tcW w:w="1118" w:type="dxa"/>
            <w:shd w:val="clear" w:color="auto" w:fill="auto"/>
            <w:noWrap/>
            <w:vAlign w:val="center"/>
            <w:hideMark/>
          </w:tcPr>
          <w:p w:rsidR="00A0318C" w:rsidRPr="00B01EA1" w:rsidP="00A0318C" w14:paraId="7F494022" w14:textId="77777777">
            <w:pPr>
              <w:autoSpaceDE/>
              <w:autoSpaceDN/>
              <w:adjustRightInd/>
              <w:jc w:val="center"/>
              <w:rPr>
                <w:rFonts w:cs="Arial"/>
                <w:color w:val="000000"/>
              </w:rPr>
            </w:pPr>
            <w:r w:rsidRPr="009D6087">
              <w:rPr>
                <w:rFonts w:cs="Arial"/>
                <w:color w:val="000000"/>
              </w:rPr>
              <w:t>$14,893</w:t>
            </w:r>
          </w:p>
        </w:tc>
        <w:tc>
          <w:tcPr>
            <w:tcW w:w="1260" w:type="dxa"/>
            <w:shd w:val="clear" w:color="auto" w:fill="auto"/>
            <w:noWrap/>
            <w:vAlign w:val="center"/>
            <w:hideMark/>
          </w:tcPr>
          <w:p w:rsidR="00A0318C" w:rsidRPr="00B01EA1" w:rsidP="00A0318C" w14:paraId="7F494023" w14:textId="77777777">
            <w:pPr>
              <w:autoSpaceDE/>
              <w:autoSpaceDN/>
              <w:adjustRightInd/>
              <w:jc w:val="center"/>
              <w:rPr>
                <w:rFonts w:cs="Arial"/>
                <w:color w:val="000000"/>
              </w:rPr>
            </w:pPr>
            <w:r w:rsidRPr="009D6087">
              <w:rPr>
                <w:rFonts w:cs="Arial"/>
                <w:color w:val="000000"/>
              </w:rPr>
              <w:t>$22,339</w:t>
            </w:r>
          </w:p>
        </w:tc>
        <w:tc>
          <w:tcPr>
            <w:tcW w:w="1250" w:type="dxa"/>
            <w:shd w:val="clear" w:color="auto" w:fill="auto"/>
            <w:noWrap/>
            <w:vAlign w:val="center"/>
            <w:hideMark/>
          </w:tcPr>
          <w:p w:rsidR="00A0318C" w:rsidRPr="00B01EA1" w:rsidP="00A0318C" w14:paraId="7F494024" w14:textId="77777777">
            <w:pPr>
              <w:autoSpaceDE/>
              <w:autoSpaceDN/>
              <w:adjustRightInd/>
              <w:jc w:val="center"/>
              <w:rPr>
                <w:rFonts w:cs="Arial"/>
                <w:color w:val="000000"/>
              </w:rPr>
            </w:pPr>
            <w:r w:rsidRPr="009D6087">
              <w:rPr>
                <w:rFonts w:cs="Arial"/>
                <w:color w:val="000000"/>
              </w:rPr>
              <w:t>$37,488</w:t>
            </w:r>
          </w:p>
        </w:tc>
      </w:tr>
      <w:tr w14:paraId="7F494033"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26" w14:textId="77777777">
            <w:pPr>
              <w:autoSpaceDE/>
              <w:autoSpaceDN/>
              <w:adjustRightInd/>
              <w:rPr>
                <w:rFonts w:cs="Arial"/>
                <w:b/>
                <w:bCs/>
                <w:color w:val="000000"/>
              </w:rPr>
            </w:pPr>
          </w:p>
        </w:tc>
        <w:tc>
          <w:tcPr>
            <w:tcW w:w="720" w:type="dxa"/>
            <w:vMerge/>
            <w:vAlign w:val="center"/>
            <w:hideMark/>
          </w:tcPr>
          <w:p w:rsidR="00A0318C" w:rsidRPr="00B01EA1" w:rsidP="00A0318C" w14:paraId="7F494027"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28"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4029" w14:textId="77777777">
            <w:pPr>
              <w:autoSpaceDE/>
              <w:autoSpaceDN/>
              <w:adjustRightInd/>
              <w:rPr>
                <w:rFonts w:cs="Arial"/>
                <w:color w:val="000000"/>
              </w:rPr>
            </w:pPr>
          </w:p>
        </w:tc>
        <w:tc>
          <w:tcPr>
            <w:tcW w:w="990" w:type="dxa"/>
            <w:vMerge/>
            <w:vAlign w:val="center"/>
            <w:hideMark/>
          </w:tcPr>
          <w:p w:rsidR="00A0318C" w:rsidRPr="00B01EA1" w:rsidP="00A0318C" w14:paraId="7F49402A" w14:textId="77777777">
            <w:pPr>
              <w:autoSpaceDE/>
              <w:autoSpaceDN/>
              <w:adjustRightInd/>
              <w:rPr>
                <w:rFonts w:cs="Arial"/>
                <w:color w:val="000000"/>
              </w:rPr>
            </w:pPr>
          </w:p>
        </w:tc>
        <w:tc>
          <w:tcPr>
            <w:tcW w:w="720" w:type="dxa"/>
            <w:vMerge/>
            <w:vAlign w:val="center"/>
            <w:hideMark/>
          </w:tcPr>
          <w:p w:rsidR="00A0318C" w:rsidRPr="00B01EA1" w:rsidP="00A0318C" w14:paraId="7F49402B"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2C"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402D"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402E"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402F" w14:textId="77777777">
            <w:pPr>
              <w:autoSpaceDE/>
              <w:autoSpaceDN/>
              <w:adjustRightInd/>
              <w:jc w:val="center"/>
              <w:rPr>
                <w:rFonts w:cs="Arial"/>
                <w:color w:val="000000"/>
              </w:rPr>
            </w:pPr>
            <w:r w:rsidRPr="009D6087">
              <w:rPr>
                <w:rFonts w:cs="Arial"/>
                <w:color w:val="000000"/>
              </w:rPr>
              <w:t>20%</w:t>
            </w:r>
          </w:p>
        </w:tc>
        <w:tc>
          <w:tcPr>
            <w:tcW w:w="1118" w:type="dxa"/>
            <w:shd w:val="clear" w:color="auto" w:fill="auto"/>
            <w:noWrap/>
            <w:vAlign w:val="center"/>
            <w:hideMark/>
          </w:tcPr>
          <w:p w:rsidR="00A0318C" w:rsidRPr="00B01EA1" w:rsidP="00A0318C" w14:paraId="7F494030"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4031"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4032" w14:textId="77777777">
            <w:pPr>
              <w:autoSpaceDE/>
              <w:autoSpaceDN/>
              <w:adjustRightInd/>
              <w:jc w:val="center"/>
              <w:rPr>
                <w:rFonts w:cs="Arial"/>
                <w:color w:val="000000"/>
              </w:rPr>
            </w:pPr>
            <w:r w:rsidRPr="009D6087">
              <w:rPr>
                <w:rFonts w:cs="Arial"/>
                <w:color w:val="000000"/>
              </w:rPr>
              <w:t>$9,780</w:t>
            </w:r>
          </w:p>
        </w:tc>
      </w:tr>
      <w:tr w14:paraId="7F494041"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34" w14:textId="77777777">
            <w:pPr>
              <w:autoSpaceDE/>
              <w:autoSpaceDN/>
              <w:adjustRightInd/>
              <w:rPr>
                <w:rFonts w:cs="Arial"/>
                <w:b/>
                <w:bCs/>
                <w:color w:val="000000"/>
              </w:rPr>
            </w:pPr>
          </w:p>
        </w:tc>
        <w:tc>
          <w:tcPr>
            <w:tcW w:w="720" w:type="dxa"/>
            <w:vMerge/>
            <w:vAlign w:val="center"/>
            <w:hideMark/>
          </w:tcPr>
          <w:p w:rsidR="00A0318C" w:rsidRPr="00B01EA1" w:rsidP="00A0318C" w14:paraId="7F494035"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36"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4037" w14:textId="77777777">
            <w:pPr>
              <w:autoSpaceDE/>
              <w:autoSpaceDN/>
              <w:adjustRightInd/>
              <w:rPr>
                <w:rFonts w:cs="Arial"/>
                <w:color w:val="000000"/>
              </w:rPr>
            </w:pPr>
          </w:p>
        </w:tc>
        <w:tc>
          <w:tcPr>
            <w:tcW w:w="990" w:type="dxa"/>
            <w:vMerge/>
            <w:vAlign w:val="center"/>
            <w:hideMark/>
          </w:tcPr>
          <w:p w:rsidR="00A0318C" w:rsidRPr="00B01EA1" w:rsidP="00A0318C" w14:paraId="7F494038" w14:textId="77777777">
            <w:pPr>
              <w:autoSpaceDE/>
              <w:autoSpaceDN/>
              <w:adjustRightInd/>
              <w:rPr>
                <w:rFonts w:cs="Arial"/>
                <w:color w:val="000000"/>
              </w:rPr>
            </w:pPr>
          </w:p>
        </w:tc>
        <w:tc>
          <w:tcPr>
            <w:tcW w:w="720" w:type="dxa"/>
            <w:vMerge/>
            <w:vAlign w:val="center"/>
            <w:hideMark/>
          </w:tcPr>
          <w:p w:rsidR="00A0318C" w:rsidRPr="00B01EA1" w:rsidP="00A0318C" w14:paraId="7F494039"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3A"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403B" w14:textId="77777777">
            <w:pPr>
              <w:autoSpaceDE/>
              <w:autoSpaceDN/>
              <w:adjustRightInd/>
              <w:jc w:val="center"/>
              <w:rPr>
                <w:rFonts w:cs="Arial"/>
                <w:color w:val="000000"/>
              </w:rPr>
            </w:pPr>
            <w:r w:rsidRPr="009D6087">
              <w:rPr>
                <w:rFonts w:cs="Arial"/>
                <w:color w:val="000000"/>
              </w:rPr>
              <w:t>30%</w:t>
            </w:r>
          </w:p>
        </w:tc>
        <w:tc>
          <w:tcPr>
            <w:tcW w:w="990" w:type="dxa"/>
            <w:shd w:val="clear" w:color="auto" w:fill="auto"/>
            <w:noWrap/>
            <w:vAlign w:val="center"/>
            <w:hideMark/>
          </w:tcPr>
          <w:p w:rsidR="00A0318C" w:rsidRPr="00B01EA1" w:rsidP="00A0318C" w14:paraId="7F49403C" w14:textId="77777777">
            <w:pPr>
              <w:autoSpaceDE/>
              <w:autoSpaceDN/>
              <w:adjustRightInd/>
              <w:jc w:val="center"/>
              <w:rPr>
                <w:rFonts w:cs="Arial"/>
                <w:color w:val="000000"/>
              </w:rPr>
            </w:pPr>
            <w:r w:rsidRPr="009D6087">
              <w:rPr>
                <w:rFonts w:cs="Arial"/>
                <w:color w:val="000000"/>
              </w:rPr>
              <w:t>30%</w:t>
            </w:r>
          </w:p>
        </w:tc>
        <w:tc>
          <w:tcPr>
            <w:tcW w:w="772" w:type="dxa"/>
            <w:shd w:val="clear" w:color="auto" w:fill="auto"/>
            <w:noWrap/>
            <w:vAlign w:val="center"/>
            <w:hideMark/>
          </w:tcPr>
          <w:p w:rsidR="00A0318C" w:rsidRPr="00B01EA1" w:rsidP="00A0318C" w14:paraId="7F49403D" w14:textId="77777777">
            <w:pPr>
              <w:autoSpaceDE/>
              <w:autoSpaceDN/>
              <w:adjustRightInd/>
              <w:jc w:val="center"/>
              <w:rPr>
                <w:rFonts w:cs="Arial"/>
                <w:color w:val="000000"/>
              </w:rPr>
            </w:pPr>
            <w:r w:rsidRPr="009D6087">
              <w:rPr>
                <w:rFonts w:cs="Arial"/>
                <w:color w:val="000000"/>
              </w:rPr>
              <w:t>5%</w:t>
            </w:r>
          </w:p>
        </w:tc>
        <w:tc>
          <w:tcPr>
            <w:tcW w:w="1118" w:type="dxa"/>
            <w:shd w:val="clear" w:color="auto" w:fill="auto"/>
            <w:noWrap/>
            <w:vAlign w:val="center"/>
            <w:hideMark/>
          </w:tcPr>
          <w:p w:rsidR="00A0318C" w:rsidRPr="00B01EA1" w:rsidP="00A0318C" w14:paraId="7F49403E" w14:textId="77777777">
            <w:pPr>
              <w:autoSpaceDE/>
              <w:autoSpaceDN/>
              <w:adjustRightInd/>
              <w:jc w:val="center"/>
              <w:rPr>
                <w:rFonts w:cs="Arial"/>
                <w:color w:val="000000"/>
              </w:rPr>
            </w:pPr>
            <w:r w:rsidRPr="009D6087">
              <w:rPr>
                <w:rFonts w:cs="Arial"/>
                <w:color w:val="000000"/>
              </w:rPr>
              <w:t>$2,977</w:t>
            </w:r>
          </w:p>
        </w:tc>
        <w:tc>
          <w:tcPr>
            <w:tcW w:w="1260" w:type="dxa"/>
            <w:shd w:val="clear" w:color="auto" w:fill="auto"/>
            <w:noWrap/>
            <w:vAlign w:val="center"/>
            <w:hideMark/>
          </w:tcPr>
          <w:p w:rsidR="00A0318C" w:rsidRPr="00B01EA1" w:rsidP="00A0318C" w14:paraId="7F49403F" w14:textId="77777777">
            <w:pPr>
              <w:autoSpaceDE/>
              <w:autoSpaceDN/>
              <w:adjustRightInd/>
              <w:jc w:val="center"/>
              <w:rPr>
                <w:rFonts w:cs="Arial"/>
                <w:color w:val="000000"/>
              </w:rPr>
            </w:pPr>
            <w:r w:rsidRPr="009D6087">
              <w:rPr>
                <w:rFonts w:cs="Arial"/>
                <w:color w:val="000000"/>
              </w:rPr>
              <w:t>$4,465</w:t>
            </w:r>
          </w:p>
        </w:tc>
        <w:tc>
          <w:tcPr>
            <w:tcW w:w="1250" w:type="dxa"/>
            <w:shd w:val="clear" w:color="auto" w:fill="auto"/>
            <w:noWrap/>
            <w:vAlign w:val="center"/>
            <w:hideMark/>
          </w:tcPr>
          <w:p w:rsidR="00A0318C" w:rsidRPr="00B01EA1" w:rsidP="00A0318C" w14:paraId="7F494040" w14:textId="77777777">
            <w:pPr>
              <w:autoSpaceDE/>
              <w:autoSpaceDN/>
              <w:adjustRightInd/>
              <w:jc w:val="center"/>
              <w:rPr>
                <w:rFonts w:cs="Arial"/>
                <w:color w:val="000000"/>
              </w:rPr>
            </w:pPr>
            <w:r w:rsidRPr="009D6087">
              <w:rPr>
                <w:rFonts w:cs="Arial"/>
                <w:color w:val="000000"/>
              </w:rPr>
              <w:t>$1,153</w:t>
            </w:r>
          </w:p>
        </w:tc>
      </w:tr>
      <w:tr w14:paraId="7F49404F" w14:textId="77777777" w:rsidTr="00D96410">
        <w:tblPrEx>
          <w:tblW w:w="13315" w:type="dxa"/>
          <w:jc w:val="center"/>
          <w:tblLayout w:type="fixed"/>
          <w:tblLook w:val="04A0"/>
        </w:tblPrEx>
        <w:trPr>
          <w:trHeight w:val="398"/>
          <w:jc w:val="center"/>
        </w:trPr>
        <w:tc>
          <w:tcPr>
            <w:tcW w:w="1445" w:type="dxa"/>
            <w:vMerge/>
            <w:vAlign w:val="center"/>
            <w:hideMark/>
          </w:tcPr>
          <w:p w:rsidR="00A0318C" w:rsidRPr="00B01EA1" w:rsidP="00A0318C" w14:paraId="7F494042" w14:textId="77777777">
            <w:pPr>
              <w:autoSpaceDE/>
              <w:autoSpaceDN/>
              <w:adjustRightInd/>
              <w:rPr>
                <w:rFonts w:cs="Arial"/>
                <w:b/>
                <w:bCs/>
                <w:color w:val="000000"/>
              </w:rPr>
            </w:pPr>
          </w:p>
        </w:tc>
        <w:tc>
          <w:tcPr>
            <w:tcW w:w="720" w:type="dxa"/>
            <w:vMerge/>
            <w:vAlign w:val="center"/>
            <w:hideMark/>
          </w:tcPr>
          <w:p w:rsidR="00A0318C" w:rsidRPr="00B01EA1" w:rsidP="00A0318C" w14:paraId="7F494043"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44" w14:textId="77777777">
            <w:pPr>
              <w:autoSpaceDE/>
              <w:autoSpaceDN/>
              <w:adjustRightInd/>
              <w:rPr>
                <w:rFonts w:cs="Arial"/>
                <w:color w:val="000000"/>
              </w:rPr>
            </w:pPr>
            <w:r w:rsidRPr="00B01EA1">
              <w:rPr>
                <w:rFonts w:cs="Arial"/>
                <w:color w:val="000000"/>
              </w:rPr>
              <w:t>Institution Admin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Te</w:t>
            </w:r>
            <w:r>
              <w:rPr>
                <w:rFonts w:cs="Arial"/>
                <w:color w:val="000000"/>
              </w:rPr>
              <w:t>c</w:t>
            </w:r>
            <w:r w:rsidRPr="00B01EA1">
              <w:rPr>
                <w:rFonts w:cs="Arial"/>
                <w:color w:val="000000"/>
              </w:rPr>
              <w:t>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4045" w14:textId="77777777">
            <w:pPr>
              <w:autoSpaceDE/>
              <w:autoSpaceDN/>
              <w:adjustRightInd/>
              <w:rPr>
                <w:rFonts w:cs="Arial"/>
                <w:color w:val="000000"/>
              </w:rPr>
            </w:pPr>
          </w:p>
        </w:tc>
        <w:tc>
          <w:tcPr>
            <w:tcW w:w="990" w:type="dxa"/>
            <w:vMerge/>
            <w:vAlign w:val="center"/>
            <w:hideMark/>
          </w:tcPr>
          <w:p w:rsidR="00A0318C" w:rsidRPr="00B01EA1" w:rsidP="00A0318C" w14:paraId="7F494046" w14:textId="77777777">
            <w:pPr>
              <w:autoSpaceDE/>
              <w:autoSpaceDN/>
              <w:adjustRightInd/>
              <w:rPr>
                <w:rFonts w:cs="Arial"/>
                <w:color w:val="000000"/>
              </w:rPr>
            </w:pPr>
          </w:p>
        </w:tc>
        <w:tc>
          <w:tcPr>
            <w:tcW w:w="720" w:type="dxa"/>
            <w:vMerge/>
            <w:vAlign w:val="center"/>
            <w:hideMark/>
          </w:tcPr>
          <w:p w:rsidR="00A0318C" w:rsidRPr="00B01EA1" w:rsidP="00A0318C" w14:paraId="7F494047"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48"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4049"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404A"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404B"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404C"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404D"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404E" w14:textId="77777777">
            <w:pPr>
              <w:autoSpaceDE/>
              <w:autoSpaceDN/>
              <w:adjustRightInd/>
              <w:jc w:val="center"/>
              <w:rPr>
                <w:rFonts w:cs="Arial"/>
                <w:color w:val="000000"/>
              </w:rPr>
            </w:pPr>
            <w:r w:rsidRPr="009D6087">
              <w:rPr>
                <w:rFonts w:cs="Arial"/>
                <w:color w:val="000000"/>
              </w:rPr>
              <w:t>$0</w:t>
            </w:r>
          </w:p>
        </w:tc>
      </w:tr>
      <w:tr w14:paraId="7F49405D"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50" w14:textId="77777777">
            <w:pPr>
              <w:autoSpaceDE/>
              <w:autoSpaceDN/>
              <w:adjustRightInd/>
              <w:rPr>
                <w:rFonts w:cs="Arial"/>
                <w:b/>
                <w:bCs/>
                <w:color w:val="000000"/>
              </w:rPr>
            </w:pPr>
          </w:p>
        </w:tc>
        <w:tc>
          <w:tcPr>
            <w:tcW w:w="720" w:type="dxa"/>
            <w:vMerge w:val="restart"/>
            <w:shd w:val="clear" w:color="auto" w:fill="auto"/>
            <w:noWrap/>
            <w:vAlign w:val="center"/>
            <w:hideMark/>
          </w:tcPr>
          <w:p w:rsidR="00A0318C" w:rsidRPr="00B01EA1" w:rsidP="00A0318C" w14:paraId="7F494051" w14:textId="77777777">
            <w:pPr>
              <w:autoSpaceDE/>
              <w:autoSpaceDN/>
              <w:adjustRightInd/>
              <w:jc w:val="center"/>
              <w:rPr>
                <w:rFonts w:cs="Arial"/>
                <w:b/>
                <w:bCs/>
                <w:color w:val="000000"/>
              </w:rPr>
            </w:pPr>
            <w:r w:rsidRPr="00B01EA1">
              <w:rPr>
                <w:rFonts w:cs="Arial"/>
                <w:b/>
                <w:bCs/>
                <w:color w:val="000000"/>
              </w:rPr>
              <w:t>3</w:t>
            </w:r>
          </w:p>
        </w:tc>
        <w:tc>
          <w:tcPr>
            <w:tcW w:w="1890" w:type="dxa"/>
            <w:shd w:val="clear" w:color="auto" w:fill="auto"/>
            <w:noWrap/>
            <w:vAlign w:val="center"/>
            <w:hideMark/>
          </w:tcPr>
          <w:p w:rsidR="00A0318C" w:rsidRPr="00B01EA1" w:rsidP="00A0318C" w14:paraId="7F494052" w14:textId="77777777">
            <w:pPr>
              <w:autoSpaceDE/>
              <w:autoSpaceDN/>
              <w:adjustRightInd/>
              <w:rPr>
                <w:rFonts w:cs="Arial"/>
                <w:color w:val="000000"/>
              </w:rPr>
            </w:pPr>
            <w:r w:rsidRPr="00B01EA1">
              <w:rPr>
                <w:rFonts w:cs="Arial"/>
                <w:color w:val="000000"/>
              </w:rPr>
              <w:t>Reactor Director / Professor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Project Manager</w:t>
            </w:r>
          </w:p>
        </w:tc>
        <w:tc>
          <w:tcPr>
            <w:tcW w:w="630" w:type="dxa"/>
            <w:vMerge w:val="restart"/>
            <w:shd w:val="clear" w:color="auto" w:fill="auto"/>
            <w:vAlign w:val="center"/>
            <w:hideMark/>
          </w:tcPr>
          <w:p w:rsidR="00A0318C" w:rsidRPr="00B01EA1" w:rsidP="00A0318C" w14:paraId="7F494053" w14:textId="77777777">
            <w:pPr>
              <w:autoSpaceDE/>
              <w:autoSpaceDN/>
              <w:adjustRightInd/>
              <w:jc w:val="center"/>
              <w:rPr>
                <w:rFonts w:cs="Arial"/>
                <w:color w:val="000000"/>
              </w:rPr>
            </w:pPr>
            <w:r w:rsidRPr="00B01EA1">
              <w:rPr>
                <w:rFonts w:cs="Arial"/>
                <w:color w:val="000000"/>
              </w:rPr>
              <w:t>50</w:t>
            </w:r>
          </w:p>
        </w:tc>
        <w:tc>
          <w:tcPr>
            <w:tcW w:w="990" w:type="dxa"/>
            <w:vMerge w:val="restart"/>
            <w:shd w:val="clear" w:color="auto" w:fill="auto"/>
            <w:vAlign w:val="center"/>
            <w:hideMark/>
          </w:tcPr>
          <w:p w:rsidR="00A0318C" w:rsidRPr="00B01EA1" w:rsidP="00A0318C" w14:paraId="7F494054" w14:textId="77777777">
            <w:pPr>
              <w:autoSpaceDE/>
              <w:autoSpaceDN/>
              <w:adjustRightInd/>
              <w:jc w:val="center"/>
              <w:rPr>
                <w:rFonts w:cs="Arial"/>
                <w:color w:val="000000"/>
              </w:rPr>
            </w:pPr>
            <w:r w:rsidRPr="00B01EA1">
              <w:rPr>
                <w:rFonts w:cs="Arial"/>
                <w:color w:val="000000"/>
              </w:rPr>
              <w:t>50</w:t>
            </w:r>
          </w:p>
        </w:tc>
        <w:tc>
          <w:tcPr>
            <w:tcW w:w="720" w:type="dxa"/>
            <w:vMerge w:val="restart"/>
            <w:shd w:val="clear" w:color="auto" w:fill="auto"/>
            <w:vAlign w:val="center"/>
            <w:hideMark/>
          </w:tcPr>
          <w:p w:rsidR="00A0318C" w:rsidRPr="00B01EA1" w:rsidP="00A0318C" w14:paraId="7F494055" w14:textId="77777777">
            <w:pPr>
              <w:autoSpaceDE/>
              <w:autoSpaceDN/>
              <w:adjustRightInd/>
              <w:jc w:val="center"/>
              <w:rPr>
                <w:rFonts w:cs="Arial"/>
                <w:color w:val="000000"/>
              </w:rPr>
            </w:pPr>
            <w:r w:rsidRPr="00B01EA1">
              <w:rPr>
                <w:rFonts w:cs="Arial"/>
                <w:color w:val="000000"/>
              </w:rPr>
              <w:t>50</w:t>
            </w:r>
          </w:p>
        </w:tc>
        <w:tc>
          <w:tcPr>
            <w:tcW w:w="900" w:type="dxa"/>
            <w:shd w:val="clear" w:color="auto" w:fill="auto"/>
            <w:noWrap/>
            <w:vAlign w:val="center"/>
            <w:hideMark/>
          </w:tcPr>
          <w:p w:rsidR="00A0318C" w:rsidRPr="00B01EA1" w:rsidP="00A0318C" w14:paraId="7F494056" w14:textId="77777777">
            <w:pPr>
              <w:autoSpaceDE/>
              <w:autoSpaceDN/>
              <w:adjustRightInd/>
              <w:jc w:val="center"/>
              <w:rPr>
                <w:rFonts w:cs="Arial"/>
                <w:color w:val="000000"/>
              </w:rPr>
            </w:pPr>
            <w:r w:rsidRPr="009D6087">
              <w:rPr>
                <w:rFonts w:cs="Arial"/>
                <w:color w:val="000000"/>
              </w:rPr>
              <w:t>$56.65</w:t>
            </w:r>
          </w:p>
        </w:tc>
        <w:tc>
          <w:tcPr>
            <w:tcW w:w="630" w:type="dxa"/>
            <w:shd w:val="clear" w:color="auto" w:fill="auto"/>
            <w:noWrap/>
            <w:vAlign w:val="center"/>
            <w:hideMark/>
          </w:tcPr>
          <w:p w:rsidR="00A0318C" w:rsidRPr="00B01EA1" w:rsidP="00A0318C" w14:paraId="7F494057" w14:textId="77777777">
            <w:pPr>
              <w:autoSpaceDE/>
              <w:autoSpaceDN/>
              <w:adjustRightInd/>
              <w:jc w:val="center"/>
              <w:rPr>
                <w:rFonts w:cs="Arial"/>
                <w:color w:val="000000"/>
              </w:rPr>
            </w:pPr>
            <w:r w:rsidRPr="009D6087">
              <w:rPr>
                <w:rFonts w:cs="Arial"/>
                <w:color w:val="000000"/>
              </w:rPr>
              <w:t>25%</w:t>
            </w:r>
          </w:p>
        </w:tc>
        <w:tc>
          <w:tcPr>
            <w:tcW w:w="990" w:type="dxa"/>
            <w:shd w:val="clear" w:color="auto" w:fill="auto"/>
            <w:noWrap/>
            <w:vAlign w:val="center"/>
            <w:hideMark/>
          </w:tcPr>
          <w:p w:rsidR="00A0318C" w:rsidRPr="00B01EA1" w:rsidP="00A0318C" w14:paraId="7F494058" w14:textId="77777777">
            <w:pPr>
              <w:autoSpaceDE/>
              <w:autoSpaceDN/>
              <w:adjustRightInd/>
              <w:jc w:val="center"/>
              <w:rPr>
                <w:rFonts w:cs="Arial"/>
                <w:color w:val="000000"/>
              </w:rPr>
            </w:pPr>
            <w:r w:rsidRPr="009D6087">
              <w:rPr>
                <w:rFonts w:cs="Arial"/>
                <w:color w:val="000000"/>
              </w:rPr>
              <w:t>25%</w:t>
            </w:r>
          </w:p>
        </w:tc>
        <w:tc>
          <w:tcPr>
            <w:tcW w:w="772" w:type="dxa"/>
            <w:shd w:val="clear" w:color="auto" w:fill="auto"/>
            <w:noWrap/>
            <w:vAlign w:val="center"/>
            <w:hideMark/>
          </w:tcPr>
          <w:p w:rsidR="00A0318C" w:rsidRPr="00B01EA1" w:rsidP="00A0318C" w14:paraId="7F494059" w14:textId="77777777">
            <w:pPr>
              <w:autoSpaceDE/>
              <w:autoSpaceDN/>
              <w:adjustRightInd/>
              <w:jc w:val="center"/>
              <w:rPr>
                <w:rFonts w:cs="Arial"/>
                <w:color w:val="000000"/>
              </w:rPr>
            </w:pPr>
            <w:r w:rsidRPr="009D6087">
              <w:rPr>
                <w:rFonts w:cs="Arial"/>
                <w:color w:val="000000"/>
              </w:rPr>
              <w:t>25%</w:t>
            </w:r>
          </w:p>
        </w:tc>
        <w:tc>
          <w:tcPr>
            <w:tcW w:w="1118" w:type="dxa"/>
            <w:shd w:val="clear" w:color="auto" w:fill="auto"/>
            <w:noWrap/>
            <w:vAlign w:val="center"/>
            <w:hideMark/>
          </w:tcPr>
          <w:p w:rsidR="00A0318C" w:rsidRPr="00B01EA1" w:rsidP="00A0318C" w14:paraId="7F49405A" w14:textId="77777777">
            <w:pPr>
              <w:autoSpaceDE/>
              <w:autoSpaceDN/>
              <w:adjustRightInd/>
              <w:jc w:val="center"/>
              <w:rPr>
                <w:rFonts w:cs="Arial"/>
                <w:color w:val="000000"/>
              </w:rPr>
            </w:pPr>
            <w:r w:rsidRPr="009D6087">
              <w:rPr>
                <w:rFonts w:cs="Arial"/>
                <w:color w:val="000000"/>
              </w:rPr>
              <w:t>$1,416</w:t>
            </w:r>
          </w:p>
        </w:tc>
        <w:tc>
          <w:tcPr>
            <w:tcW w:w="1260" w:type="dxa"/>
            <w:shd w:val="clear" w:color="auto" w:fill="auto"/>
            <w:noWrap/>
            <w:vAlign w:val="center"/>
            <w:hideMark/>
          </w:tcPr>
          <w:p w:rsidR="00A0318C" w:rsidRPr="00B01EA1" w:rsidP="00A0318C" w14:paraId="7F49405B" w14:textId="77777777">
            <w:pPr>
              <w:autoSpaceDE/>
              <w:autoSpaceDN/>
              <w:adjustRightInd/>
              <w:jc w:val="center"/>
              <w:rPr>
                <w:rFonts w:cs="Arial"/>
                <w:color w:val="000000"/>
              </w:rPr>
            </w:pPr>
            <w:r w:rsidRPr="009D6087">
              <w:rPr>
                <w:rFonts w:cs="Arial"/>
                <w:color w:val="000000"/>
              </w:rPr>
              <w:t>$1,416</w:t>
            </w:r>
          </w:p>
        </w:tc>
        <w:tc>
          <w:tcPr>
            <w:tcW w:w="1250" w:type="dxa"/>
            <w:shd w:val="clear" w:color="auto" w:fill="auto"/>
            <w:noWrap/>
            <w:vAlign w:val="center"/>
            <w:hideMark/>
          </w:tcPr>
          <w:p w:rsidR="00A0318C" w:rsidRPr="00B01EA1" w:rsidP="00A0318C" w14:paraId="7F49405C" w14:textId="77777777">
            <w:pPr>
              <w:autoSpaceDE/>
              <w:autoSpaceDN/>
              <w:adjustRightInd/>
              <w:jc w:val="center"/>
              <w:rPr>
                <w:rFonts w:cs="Arial"/>
                <w:color w:val="000000"/>
              </w:rPr>
            </w:pPr>
            <w:r w:rsidRPr="009D6087">
              <w:rPr>
                <w:rFonts w:cs="Arial"/>
                <w:color w:val="000000"/>
              </w:rPr>
              <w:t>$1,416</w:t>
            </w:r>
          </w:p>
        </w:tc>
      </w:tr>
      <w:tr w14:paraId="7F49406B"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5E" w14:textId="77777777">
            <w:pPr>
              <w:autoSpaceDE/>
              <w:autoSpaceDN/>
              <w:adjustRightInd/>
              <w:rPr>
                <w:rFonts w:cs="Arial"/>
                <w:b/>
                <w:bCs/>
                <w:color w:val="000000"/>
              </w:rPr>
            </w:pPr>
          </w:p>
        </w:tc>
        <w:tc>
          <w:tcPr>
            <w:tcW w:w="720" w:type="dxa"/>
            <w:vMerge/>
            <w:vAlign w:val="center"/>
            <w:hideMark/>
          </w:tcPr>
          <w:p w:rsidR="00A0318C" w:rsidRPr="00B01EA1" w:rsidP="00A0318C" w14:paraId="7F49405F"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60" w14:textId="77777777">
            <w:pPr>
              <w:autoSpaceDE/>
              <w:autoSpaceDN/>
              <w:adjustRightInd/>
              <w:rPr>
                <w:rFonts w:cs="Arial"/>
                <w:color w:val="000000"/>
              </w:rPr>
            </w:pPr>
            <w:r>
              <w:rPr>
                <w:rFonts w:cs="Arial"/>
                <w:color w:val="000000"/>
              </w:rPr>
              <w:t>NPUF Operator</w:t>
            </w:r>
            <w:r w:rsidRPr="00B01EA1">
              <w:rPr>
                <w:rFonts w:cs="Arial"/>
                <w:color w:val="000000"/>
              </w:rPr>
              <w:t xml:space="preserve"> / Asst. Dir.</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Nuclear Engineer</w:t>
            </w:r>
          </w:p>
        </w:tc>
        <w:tc>
          <w:tcPr>
            <w:tcW w:w="630" w:type="dxa"/>
            <w:vMerge/>
            <w:vAlign w:val="center"/>
            <w:hideMark/>
          </w:tcPr>
          <w:p w:rsidR="00A0318C" w:rsidRPr="00B01EA1" w:rsidP="00A0318C" w14:paraId="7F494061" w14:textId="77777777">
            <w:pPr>
              <w:autoSpaceDE/>
              <w:autoSpaceDN/>
              <w:adjustRightInd/>
              <w:rPr>
                <w:rFonts w:cs="Arial"/>
                <w:color w:val="000000"/>
              </w:rPr>
            </w:pPr>
          </w:p>
        </w:tc>
        <w:tc>
          <w:tcPr>
            <w:tcW w:w="990" w:type="dxa"/>
            <w:vMerge/>
            <w:vAlign w:val="center"/>
            <w:hideMark/>
          </w:tcPr>
          <w:p w:rsidR="00A0318C" w:rsidRPr="00B01EA1" w:rsidP="00A0318C" w14:paraId="7F494062" w14:textId="77777777">
            <w:pPr>
              <w:autoSpaceDE/>
              <w:autoSpaceDN/>
              <w:adjustRightInd/>
              <w:rPr>
                <w:rFonts w:cs="Arial"/>
                <w:color w:val="000000"/>
              </w:rPr>
            </w:pPr>
          </w:p>
        </w:tc>
        <w:tc>
          <w:tcPr>
            <w:tcW w:w="720" w:type="dxa"/>
            <w:vMerge/>
            <w:vAlign w:val="center"/>
            <w:hideMark/>
          </w:tcPr>
          <w:p w:rsidR="00A0318C" w:rsidRPr="00B01EA1" w:rsidP="00A0318C" w14:paraId="7F494063"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64" w14:textId="77777777">
            <w:pPr>
              <w:autoSpaceDE/>
              <w:autoSpaceDN/>
              <w:adjustRightInd/>
              <w:jc w:val="center"/>
              <w:rPr>
                <w:rFonts w:cs="Arial"/>
                <w:color w:val="000000"/>
              </w:rPr>
            </w:pPr>
            <w:r w:rsidRPr="009D6087">
              <w:rPr>
                <w:rFonts w:cs="Arial"/>
                <w:color w:val="000000"/>
              </w:rPr>
              <w:t>$48.67</w:t>
            </w:r>
          </w:p>
        </w:tc>
        <w:tc>
          <w:tcPr>
            <w:tcW w:w="630" w:type="dxa"/>
            <w:shd w:val="clear" w:color="auto" w:fill="auto"/>
            <w:noWrap/>
            <w:vAlign w:val="center"/>
            <w:hideMark/>
          </w:tcPr>
          <w:p w:rsidR="00A0318C" w:rsidRPr="00B01EA1" w:rsidP="00A0318C" w14:paraId="7F494065"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4066"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4067"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4068"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4069"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406A" w14:textId="77777777">
            <w:pPr>
              <w:autoSpaceDE/>
              <w:autoSpaceDN/>
              <w:adjustRightInd/>
              <w:jc w:val="center"/>
              <w:rPr>
                <w:rFonts w:cs="Arial"/>
                <w:color w:val="000000"/>
              </w:rPr>
            </w:pPr>
            <w:r w:rsidRPr="009D6087">
              <w:rPr>
                <w:rFonts w:cs="Arial"/>
                <w:color w:val="000000"/>
              </w:rPr>
              <w:t>$0</w:t>
            </w:r>
          </w:p>
        </w:tc>
      </w:tr>
      <w:tr w14:paraId="7F494079"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6C" w14:textId="77777777">
            <w:pPr>
              <w:autoSpaceDE/>
              <w:autoSpaceDN/>
              <w:adjustRightInd/>
              <w:rPr>
                <w:rFonts w:cs="Arial"/>
                <w:b/>
                <w:bCs/>
                <w:color w:val="000000"/>
              </w:rPr>
            </w:pPr>
          </w:p>
        </w:tc>
        <w:tc>
          <w:tcPr>
            <w:tcW w:w="720" w:type="dxa"/>
            <w:vMerge/>
            <w:vAlign w:val="center"/>
            <w:hideMark/>
          </w:tcPr>
          <w:p w:rsidR="00A0318C" w:rsidRPr="00B01EA1" w:rsidP="00A0318C" w14:paraId="7F49406D"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6E" w14:textId="77777777">
            <w:pPr>
              <w:autoSpaceDE/>
              <w:autoSpaceDN/>
              <w:adjustRightInd/>
              <w:rPr>
                <w:rFonts w:cs="Arial"/>
                <w:color w:val="000000"/>
              </w:rPr>
            </w:pPr>
            <w:r w:rsidRPr="00B01EA1">
              <w:rPr>
                <w:rFonts w:cs="Arial"/>
                <w:color w:val="000000"/>
              </w:rPr>
              <w:t>Nuclear Technician</w:t>
            </w:r>
            <w:r>
              <w:rPr>
                <w:rFonts w:cs="Arial"/>
                <w:color w:val="000000"/>
              </w:rPr>
              <w:t xml:space="preserve"> </w:t>
            </w:r>
            <w:r w:rsidRPr="00B01EA1">
              <w:rPr>
                <w:rFonts w:cs="Arial"/>
                <w:color w:val="000000"/>
              </w:rPr>
              <w:t>/</w:t>
            </w:r>
            <w:r>
              <w:rPr>
                <w:rFonts w:cs="Arial"/>
                <w:color w:val="000000"/>
              </w:rPr>
              <w:t xml:space="preserve"> </w:t>
            </w:r>
            <w:r w:rsidRPr="00B01EA1">
              <w:rPr>
                <w:rFonts w:cs="Arial"/>
                <w:color w:val="000000"/>
              </w:rPr>
              <w:t>General Engineer</w:t>
            </w:r>
          </w:p>
        </w:tc>
        <w:tc>
          <w:tcPr>
            <w:tcW w:w="630" w:type="dxa"/>
            <w:vMerge/>
            <w:vAlign w:val="center"/>
            <w:hideMark/>
          </w:tcPr>
          <w:p w:rsidR="00A0318C" w:rsidRPr="00B01EA1" w:rsidP="00A0318C" w14:paraId="7F49406F" w14:textId="77777777">
            <w:pPr>
              <w:autoSpaceDE/>
              <w:autoSpaceDN/>
              <w:adjustRightInd/>
              <w:rPr>
                <w:rFonts w:cs="Arial"/>
                <w:color w:val="000000"/>
              </w:rPr>
            </w:pPr>
          </w:p>
        </w:tc>
        <w:tc>
          <w:tcPr>
            <w:tcW w:w="990" w:type="dxa"/>
            <w:vMerge/>
            <w:vAlign w:val="center"/>
            <w:hideMark/>
          </w:tcPr>
          <w:p w:rsidR="00A0318C" w:rsidRPr="00B01EA1" w:rsidP="00A0318C" w14:paraId="7F494070" w14:textId="77777777">
            <w:pPr>
              <w:autoSpaceDE/>
              <w:autoSpaceDN/>
              <w:adjustRightInd/>
              <w:rPr>
                <w:rFonts w:cs="Arial"/>
                <w:color w:val="000000"/>
              </w:rPr>
            </w:pPr>
          </w:p>
        </w:tc>
        <w:tc>
          <w:tcPr>
            <w:tcW w:w="720" w:type="dxa"/>
            <w:vMerge/>
            <w:vAlign w:val="center"/>
            <w:hideMark/>
          </w:tcPr>
          <w:p w:rsidR="00A0318C" w:rsidRPr="00B01EA1" w:rsidP="00A0318C" w14:paraId="7F494071"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72" w14:textId="77777777">
            <w:pPr>
              <w:autoSpaceDE/>
              <w:autoSpaceDN/>
              <w:adjustRightInd/>
              <w:jc w:val="center"/>
              <w:rPr>
                <w:rFonts w:cs="Arial"/>
                <w:color w:val="000000"/>
              </w:rPr>
            </w:pPr>
            <w:r w:rsidRPr="009D6087">
              <w:rPr>
                <w:rFonts w:cs="Arial"/>
                <w:color w:val="000000"/>
              </w:rPr>
              <w:t>$41.27</w:t>
            </w:r>
          </w:p>
        </w:tc>
        <w:tc>
          <w:tcPr>
            <w:tcW w:w="630" w:type="dxa"/>
            <w:shd w:val="clear" w:color="auto" w:fill="auto"/>
            <w:noWrap/>
            <w:vAlign w:val="center"/>
            <w:hideMark/>
          </w:tcPr>
          <w:p w:rsidR="00A0318C" w:rsidRPr="00B01EA1" w:rsidP="00A0318C" w14:paraId="7F494073"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4074"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4075"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4076"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4077"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4078" w14:textId="77777777">
            <w:pPr>
              <w:autoSpaceDE/>
              <w:autoSpaceDN/>
              <w:adjustRightInd/>
              <w:jc w:val="center"/>
              <w:rPr>
                <w:rFonts w:cs="Arial"/>
                <w:color w:val="000000"/>
              </w:rPr>
            </w:pPr>
            <w:r w:rsidRPr="009D6087">
              <w:rPr>
                <w:rFonts w:cs="Arial"/>
                <w:color w:val="000000"/>
              </w:rPr>
              <w:t>$0</w:t>
            </w:r>
          </w:p>
        </w:tc>
      </w:tr>
      <w:tr w14:paraId="7F494087"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7A" w14:textId="77777777">
            <w:pPr>
              <w:autoSpaceDE/>
              <w:autoSpaceDN/>
              <w:adjustRightInd/>
              <w:rPr>
                <w:rFonts w:cs="Arial"/>
                <w:b/>
                <w:bCs/>
                <w:color w:val="000000"/>
              </w:rPr>
            </w:pPr>
          </w:p>
        </w:tc>
        <w:tc>
          <w:tcPr>
            <w:tcW w:w="720" w:type="dxa"/>
            <w:vMerge/>
            <w:vAlign w:val="center"/>
            <w:hideMark/>
          </w:tcPr>
          <w:p w:rsidR="00A0318C" w:rsidRPr="00B01EA1" w:rsidP="00A0318C" w14:paraId="7F49407B"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7C" w14:textId="77777777">
            <w:pPr>
              <w:autoSpaceDE/>
              <w:autoSpaceDN/>
              <w:adjustRightInd/>
              <w:rPr>
                <w:rFonts w:cs="Arial"/>
                <w:color w:val="000000"/>
              </w:rPr>
            </w:pPr>
            <w:r w:rsidRPr="00B01EA1">
              <w:rPr>
                <w:rFonts w:cs="Arial"/>
                <w:color w:val="000000"/>
              </w:rPr>
              <w:t>Graduate Student</w:t>
            </w:r>
          </w:p>
        </w:tc>
        <w:tc>
          <w:tcPr>
            <w:tcW w:w="630" w:type="dxa"/>
            <w:vMerge/>
            <w:vAlign w:val="center"/>
            <w:hideMark/>
          </w:tcPr>
          <w:p w:rsidR="00A0318C" w:rsidRPr="00B01EA1" w:rsidP="00A0318C" w14:paraId="7F49407D" w14:textId="77777777">
            <w:pPr>
              <w:autoSpaceDE/>
              <w:autoSpaceDN/>
              <w:adjustRightInd/>
              <w:rPr>
                <w:rFonts w:cs="Arial"/>
                <w:color w:val="000000"/>
              </w:rPr>
            </w:pPr>
          </w:p>
        </w:tc>
        <w:tc>
          <w:tcPr>
            <w:tcW w:w="990" w:type="dxa"/>
            <w:vMerge/>
            <w:vAlign w:val="center"/>
            <w:hideMark/>
          </w:tcPr>
          <w:p w:rsidR="00A0318C" w:rsidRPr="00B01EA1" w:rsidP="00A0318C" w14:paraId="7F49407E" w14:textId="77777777">
            <w:pPr>
              <w:autoSpaceDE/>
              <w:autoSpaceDN/>
              <w:adjustRightInd/>
              <w:rPr>
                <w:rFonts w:cs="Arial"/>
                <w:color w:val="000000"/>
              </w:rPr>
            </w:pPr>
          </w:p>
        </w:tc>
        <w:tc>
          <w:tcPr>
            <w:tcW w:w="720" w:type="dxa"/>
            <w:vMerge/>
            <w:vAlign w:val="center"/>
            <w:hideMark/>
          </w:tcPr>
          <w:p w:rsidR="00A0318C" w:rsidRPr="00B01EA1" w:rsidP="00A0318C" w14:paraId="7F49407F"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80" w14:textId="77777777">
            <w:pPr>
              <w:autoSpaceDE/>
              <w:autoSpaceDN/>
              <w:adjustRightInd/>
              <w:jc w:val="center"/>
              <w:rPr>
                <w:rFonts w:cs="Arial"/>
                <w:color w:val="000000"/>
              </w:rPr>
            </w:pPr>
            <w:r w:rsidRPr="009D6087">
              <w:rPr>
                <w:rFonts w:cs="Arial"/>
                <w:color w:val="000000"/>
              </w:rPr>
              <w:t>$19.46</w:t>
            </w:r>
          </w:p>
        </w:tc>
        <w:tc>
          <w:tcPr>
            <w:tcW w:w="630" w:type="dxa"/>
            <w:shd w:val="clear" w:color="auto" w:fill="auto"/>
            <w:noWrap/>
            <w:vAlign w:val="center"/>
            <w:hideMark/>
          </w:tcPr>
          <w:p w:rsidR="00A0318C" w:rsidRPr="00B01EA1" w:rsidP="00A0318C" w14:paraId="7F494081" w14:textId="77777777">
            <w:pPr>
              <w:autoSpaceDE/>
              <w:autoSpaceDN/>
              <w:adjustRightInd/>
              <w:jc w:val="center"/>
              <w:rPr>
                <w:rFonts w:cs="Arial"/>
                <w:color w:val="000000"/>
              </w:rPr>
            </w:pPr>
            <w:r w:rsidRPr="009D6087">
              <w:rPr>
                <w:rFonts w:cs="Arial"/>
                <w:color w:val="000000"/>
              </w:rPr>
              <w:t>0%</w:t>
            </w:r>
          </w:p>
        </w:tc>
        <w:tc>
          <w:tcPr>
            <w:tcW w:w="990" w:type="dxa"/>
            <w:shd w:val="clear" w:color="auto" w:fill="auto"/>
            <w:noWrap/>
            <w:vAlign w:val="center"/>
            <w:hideMark/>
          </w:tcPr>
          <w:p w:rsidR="00A0318C" w:rsidRPr="00B01EA1" w:rsidP="00A0318C" w14:paraId="7F494082" w14:textId="77777777">
            <w:pPr>
              <w:autoSpaceDE/>
              <w:autoSpaceDN/>
              <w:adjustRightInd/>
              <w:jc w:val="center"/>
              <w:rPr>
                <w:rFonts w:cs="Arial"/>
                <w:color w:val="000000"/>
              </w:rPr>
            </w:pPr>
            <w:r w:rsidRPr="009D6087">
              <w:rPr>
                <w:rFonts w:cs="Arial"/>
                <w:color w:val="000000"/>
              </w:rPr>
              <w:t>0%</w:t>
            </w:r>
          </w:p>
        </w:tc>
        <w:tc>
          <w:tcPr>
            <w:tcW w:w="772" w:type="dxa"/>
            <w:shd w:val="clear" w:color="auto" w:fill="auto"/>
            <w:noWrap/>
            <w:vAlign w:val="center"/>
            <w:hideMark/>
          </w:tcPr>
          <w:p w:rsidR="00A0318C" w:rsidRPr="00B01EA1" w:rsidP="00A0318C" w14:paraId="7F494083" w14:textId="77777777">
            <w:pPr>
              <w:autoSpaceDE/>
              <w:autoSpaceDN/>
              <w:adjustRightInd/>
              <w:jc w:val="center"/>
              <w:rPr>
                <w:rFonts w:cs="Arial"/>
                <w:color w:val="000000"/>
              </w:rPr>
            </w:pPr>
            <w:r w:rsidRPr="009D6087">
              <w:rPr>
                <w:rFonts w:cs="Arial"/>
                <w:color w:val="000000"/>
              </w:rPr>
              <w:t>0%</w:t>
            </w:r>
          </w:p>
        </w:tc>
        <w:tc>
          <w:tcPr>
            <w:tcW w:w="1118" w:type="dxa"/>
            <w:shd w:val="clear" w:color="auto" w:fill="auto"/>
            <w:noWrap/>
            <w:vAlign w:val="center"/>
            <w:hideMark/>
          </w:tcPr>
          <w:p w:rsidR="00A0318C" w:rsidRPr="00B01EA1" w:rsidP="00A0318C" w14:paraId="7F494084" w14:textId="77777777">
            <w:pPr>
              <w:autoSpaceDE/>
              <w:autoSpaceDN/>
              <w:adjustRightInd/>
              <w:jc w:val="center"/>
              <w:rPr>
                <w:rFonts w:cs="Arial"/>
                <w:color w:val="000000"/>
              </w:rPr>
            </w:pPr>
            <w:r w:rsidRPr="009D6087">
              <w:rPr>
                <w:rFonts w:cs="Arial"/>
                <w:color w:val="000000"/>
              </w:rPr>
              <w:t>$0</w:t>
            </w:r>
          </w:p>
        </w:tc>
        <w:tc>
          <w:tcPr>
            <w:tcW w:w="1260" w:type="dxa"/>
            <w:shd w:val="clear" w:color="auto" w:fill="auto"/>
            <w:noWrap/>
            <w:vAlign w:val="center"/>
            <w:hideMark/>
          </w:tcPr>
          <w:p w:rsidR="00A0318C" w:rsidRPr="00B01EA1" w:rsidP="00A0318C" w14:paraId="7F494085" w14:textId="77777777">
            <w:pPr>
              <w:autoSpaceDE/>
              <w:autoSpaceDN/>
              <w:adjustRightInd/>
              <w:jc w:val="center"/>
              <w:rPr>
                <w:rFonts w:cs="Arial"/>
                <w:color w:val="000000"/>
              </w:rPr>
            </w:pPr>
            <w:r w:rsidRPr="009D6087">
              <w:rPr>
                <w:rFonts w:cs="Arial"/>
                <w:color w:val="000000"/>
              </w:rPr>
              <w:t>$0</w:t>
            </w:r>
          </w:p>
        </w:tc>
        <w:tc>
          <w:tcPr>
            <w:tcW w:w="1250" w:type="dxa"/>
            <w:shd w:val="clear" w:color="auto" w:fill="auto"/>
            <w:noWrap/>
            <w:vAlign w:val="center"/>
            <w:hideMark/>
          </w:tcPr>
          <w:p w:rsidR="00A0318C" w:rsidRPr="00B01EA1" w:rsidP="00A0318C" w14:paraId="7F494086" w14:textId="77777777">
            <w:pPr>
              <w:autoSpaceDE/>
              <w:autoSpaceDN/>
              <w:adjustRightInd/>
              <w:jc w:val="center"/>
              <w:rPr>
                <w:rFonts w:cs="Arial"/>
                <w:color w:val="000000"/>
              </w:rPr>
            </w:pPr>
            <w:r w:rsidRPr="009D6087">
              <w:rPr>
                <w:rFonts w:cs="Arial"/>
                <w:color w:val="000000"/>
              </w:rPr>
              <w:t>$0</w:t>
            </w:r>
          </w:p>
        </w:tc>
      </w:tr>
      <w:tr w14:paraId="7F494095" w14:textId="77777777" w:rsidTr="00D96410">
        <w:tblPrEx>
          <w:tblW w:w="13315" w:type="dxa"/>
          <w:jc w:val="center"/>
          <w:tblLayout w:type="fixed"/>
          <w:tblLook w:val="04A0"/>
        </w:tblPrEx>
        <w:trPr>
          <w:trHeight w:val="390"/>
          <w:jc w:val="center"/>
        </w:trPr>
        <w:tc>
          <w:tcPr>
            <w:tcW w:w="1445" w:type="dxa"/>
            <w:vMerge/>
            <w:vAlign w:val="center"/>
            <w:hideMark/>
          </w:tcPr>
          <w:p w:rsidR="00A0318C" w:rsidRPr="00B01EA1" w:rsidP="00A0318C" w14:paraId="7F494088" w14:textId="77777777">
            <w:pPr>
              <w:autoSpaceDE/>
              <w:autoSpaceDN/>
              <w:adjustRightInd/>
              <w:rPr>
                <w:rFonts w:cs="Arial"/>
                <w:b/>
                <w:bCs/>
                <w:color w:val="000000"/>
              </w:rPr>
            </w:pPr>
          </w:p>
        </w:tc>
        <w:tc>
          <w:tcPr>
            <w:tcW w:w="720" w:type="dxa"/>
            <w:vMerge/>
            <w:vAlign w:val="center"/>
            <w:hideMark/>
          </w:tcPr>
          <w:p w:rsidR="00A0318C" w:rsidRPr="00B01EA1" w:rsidP="00A0318C" w14:paraId="7F494089" w14:textId="77777777">
            <w:pPr>
              <w:autoSpaceDE/>
              <w:autoSpaceDN/>
              <w:adjustRightInd/>
              <w:rPr>
                <w:rFonts w:cs="Arial"/>
                <w:b/>
                <w:bCs/>
                <w:color w:val="000000"/>
              </w:rPr>
            </w:pPr>
          </w:p>
        </w:tc>
        <w:tc>
          <w:tcPr>
            <w:tcW w:w="1890" w:type="dxa"/>
            <w:shd w:val="clear" w:color="auto" w:fill="auto"/>
            <w:noWrap/>
            <w:vAlign w:val="center"/>
            <w:hideMark/>
          </w:tcPr>
          <w:p w:rsidR="00A0318C" w:rsidRPr="00B01EA1" w:rsidP="00A0318C" w14:paraId="7F49408A" w14:textId="77777777">
            <w:pPr>
              <w:autoSpaceDE/>
              <w:autoSpaceDN/>
              <w:adjustRightInd/>
              <w:rPr>
                <w:rFonts w:cs="Arial"/>
                <w:color w:val="000000"/>
              </w:rPr>
            </w:pPr>
            <w:r w:rsidRPr="00B01EA1">
              <w:rPr>
                <w:rFonts w:cs="Arial"/>
                <w:color w:val="000000"/>
              </w:rPr>
              <w:t>Institution Adm</w:t>
            </w:r>
            <w:r>
              <w:rPr>
                <w:rFonts w:cs="Arial"/>
                <w:color w:val="000000"/>
              </w:rPr>
              <w:t xml:space="preserve">in. </w:t>
            </w:r>
            <w:r w:rsidRPr="00B01EA1">
              <w:rPr>
                <w:rFonts w:cs="Arial"/>
                <w:color w:val="000000"/>
              </w:rPr>
              <w:t>/</w:t>
            </w:r>
            <w:r>
              <w:rPr>
                <w:rFonts w:cs="Arial"/>
                <w:color w:val="000000"/>
              </w:rPr>
              <w:t xml:space="preserve"> </w:t>
            </w:r>
            <w:r w:rsidRPr="00B01EA1">
              <w:rPr>
                <w:rFonts w:cs="Arial"/>
                <w:color w:val="000000"/>
              </w:rPr>
              <w:t>Technical Admin</w:t>
            </w:r>
            <w:r>
              <w:rPr>
                <w:rFonts w:cs="Arial"/>
                <w:color w:val="000000"/>
              </w:rPr>
              <w:t>.</w:t>
            </w:r>
            <w:r w:rsidRPr="00B01EA1">
              <w:rPr>
                <w:rFonts w:cs="Arial"/>
                <w:color w:val="000000"/>
              </w:rPr>
              <w:t xml:space="preserve"> (Writer)</w:t>
            </w:r>
          </w:p>
        </w:tc>
        <w:tc>
          <w:tcPr>
            <w:tcW w:w="630" w:type="dxa"/>
            <w:vMerge/>
            <w:vAlign w:val="center"/>
            <w:hideMark/>
          </w:tcPr>
          <w:p w:rsidR="00A0318C" w:rsidRPr="00B01EA1" w:rsidP="00A0318C" w14:paraId="7F49408B" w14:textId="77777777">
            <w:pPr>
              <w:autoSpaceDE/>
              <w:autoSpaceDN/>
              <w:adjustRightInd/>
              <w:rPr>
                <w:rFonts w:cs="Arial"/>
                <w:color w:val="000000"/>
              </w:rPr>
            </w:pPr>
          </w:p>
        </w:tc>
        <w:tc>
          <w:tcPr>
            <w:tcW w:w="990" w:type="dxa"/>
            <w:vMerge/>
            <w:vAlign w:val="center"/>
            <w:hideMark/>
          </w:tcPr>
          <w:p w:rsidR="00A0318C" w:rsidRPr="00B01EA1" w:rsidP="00A0318C" w14:paraId="7F49408C" w14:textId="77777777">
            <w:pPr>
              <w:autoSpaceDE/>
              <w:autoSpaceDN/>
              <w:adjustRightInd/>
              <w:rPr>
                <w:rFonts w:cs="Arial"/>
                <w:color w:val="000000"/>
              </w:rPr>
            </w:pPr>
          </w:p>
        </w:tc>
        <w:tc>
          <w:tcPr>
            <w:tcW w:w="720" w:type="dxa"/>
            <w:vMerge/>
            <w:vAlign w:val="center"/>
            <w:hideMark/>
          </w:tcPr>
          <w:p w:rsidR="00A0318C" w:rsidRPr="00B01EA1" w:rsidP="00A0318C" w14:paraId="7F49408D" w14:textId="77777777">
            <w:pPr>
              <w:autoSpaceDE/>
              <w:autoSpaceDN/>
              <w:adjustRightInd/>
              <w:rPr>
                <w:rFonts w:cs="Arial"/>
                <w:color w:val="000000"/>
              </w:rPr>
            </w:pPr>
          </w:p>
        </w:tc>
        <w:tc>
          <w:tcPr>
            <w:tcW w:w="900" w:type="dxa"/>
            <w:shd w:val="clear" w:color="auto" w:fill="auto"/>
            <w:noWrap/>
            <w:vAlign w:val="center"/>
            <w:hideMark/>
          </w:tcPr>
          <w:p w:rsidR="00A0318C" w:rsidRPr="00B01EA1" w:rsidP="00A0318C" w14:paraId="7F49408E" w14:textId="77777777">
            <w:pPr>
              <w:autoSpaceDE/>
              <w:autoSpaceDN/>
              <w:adjustRightInd/>
              <w:jc w:val="center"/>
              <w:rPr>
                <w:rFonts w:cs="Arial"/>
                <w:color w:val="000000"/>
              </w:rPr>
            </w:pPr>
            <w:r w:rsidRPr="009D6087">
              <w:rPr>
                <w:rFonts w:cs="Arial"/>
                <w:color w:val="000000"/>
              </w:rPr>
              <w:t>$55.54</w:t>
            </w:r>
          </w:p>
        </w:tc>
        <w:tc>
          <w:tcPr>
            <w:tcW w:w="630" w:type="dxa"/>
            <w:shd w:val="clear" w:color="auto" w:fill="auto"/>
            <w:noWrap/>
            <w:vAlign w:val="center"/>
            <w:hideMark/>
          </w:tcPr>
          <w:p w:rsidR="00A0318C" w:rsidRPr="00B01EA1" w:rsidP="00A0318C" w14:paraId="7F49408F" w14:textId="77777777">
            <w:pPr>
              <w:autoSpaceDE/>
              <w:autoSpaceDN/>
              <w:adjustRightInd/>
              <w:jc w:val="center"/>
              <w:rPr>
                <w:rFonts w:cs="Arial"/>
                <w:color w:val="000000"/>
              </w:rPr>
            </w:pPr>
            <w:r w:rsidRPr="009D6087">
              <w:rPr>
                <w:rFonts w:cs="Arial"/>
                <w:color w:val="000000"/>
              </w:rPr>
              <w:t>75%</w:t>
            </w:r>
          </w:p>
        </w:tc>
        <w:tc>
          <w:tcPr>
            <w:tcW w:w="990" w:type="dxa"/>
            <w:shd w:val="clear" w:color="auto" w:fill="auto"/>
            <w:noWrap/>
            <w:vAlign w:val="center"/>
            <w:hideMark/>
          </w:tcPr>
          <w:p w:rsidR="00A0318C" w:rsidRPr="00B01EA1" w:rsidP="00A0318C" w14:paraId="7F494090" w14:textId="77777777">
            <w:pPr>
              <w:autoSpaceDE/>
              <w:autoSpaceDN/>
              <w:adjustRightInd/>
              <w:jc w:val="center"/>
              <w:rPr>
                <w:rFonts w:cs="Arial"/>
                <w:color w:val="000000"/>
              </w:rPr>
            </w:pPr>
            <w:r w:rsidRPr="009D6087">
              <w:rPr>
                <w:rFonts w:cs="Arial"/>
                <w:color w:val="000000"/>
              </w:rPr>
              <w:t>75%</w:t>
            </w:r>
          </w:p>
        </w:tc>
        <w:tc>
          <w:tcPr>
            <w:tcW w:w="772" w:type="dxa"/>
            <w:shd w:val="clear" w:color="auto" w:fill="auto"/>
            <w:noWrap/>
            <w:vAlign w:val="center"/>
            <w:hideMark/>
          </w:tcPr>
          <w:p w:rsidR="00A0318C" w:rsidRPr="00B01EA1" w:rsidP="00A0318C" w14:paraId="7F494091" w14:textId="77777777">
            <w:pPr>
              <w:autoSpaceDE/>
              <w:autoSpaceDN/>
              <w:adjustRightInd/>
              <w:jc w:val="center"/>
              <w:rPr>
                <w:rFonts w:cs="Arial"/>
                <w:color w:val="000000"/>
              </w:rPr>
            </w:pPr>
            <w:r w:rsidRPr="009D6087">
              <w:rPr>
                <w:rFonts w:cs="Arial"/>
                <w:color w:val="000000"/>
              </w:rPr>
              <w:t>75%</w:t>
            </w:r>
          </w:p>
        </w:tc>
        <w:tc>
          <w:tcPr>
            <w:tcW w:w="1118" w:type="dxa"/>
            <w:shd w:val="clear" w:color="auto" w:fill="auto"/>
            <w:noWrap/>
            <w:vAlign w:val="center"/>
            <w:hideMark/>
          </w:tcPr>
          <w:p w:rsidR="00A0318C" w:rsidRPr="00B01EA1" w:rsidP="00A0318C" w14:paraId="7F494092" w14:textId="77777777">
            <w:pPr>
              <w:autoSpaceDE/>
              <w:autoSpaceDN/>
              <w:adjustRightInd/>
              <w:jc w:val="center"/>
              <w:rPr>
                <w:rFonts w:cs="Arial"/>
                <w:color w:val="000000"/>
              </w:rPr>
            </w:pPr>
            <w:r w:rsidRPr="009D6087">
              <w:rPr>
                <w:rFonts w:cs="Arial"/>
                <w:color w:val="000000"/>
              </w:rPr>
              <w:t>$4,166</w:t>
            </w:r>
          </w:p>
        </w:tc>
        <w:tc>
          <w:tcPr>
            <w:tcW w:w="1260" w:type="dxa"/>
            <w:shd w:val="clear" w:color="auto" w:fill="auto"/>
            <w:noWrap/>
            <w:vAlign w:val="center"/>
            <w:hideMark/>
          </w:tcPr>
          <w:p w:rsidR="00A0318C" w:rsidRPr="00B01EA1" w:rsidP="00A0318C" w14:paraId="7F494093" w14:textId="77777777">
            <w:pPr>
              <w:autoSpaceDE/>
              <w:autoSpaceDN/>
              <w:adjustRightInd/>
              <w:jc w:val="center"/>
              <w:rPr>
                <w:rFonts w:cs="Arial"/>
                <w:color w:val="000000"/>
              </w:rPr>
            </w:pPr>
            <w:r w:rsidRPr="009D6087">
              <w:rPr>
                <w:rFonts w:cs="Arial"/>
                <w:color w:val="000000"/>
              </w:rPr>
              <w:t>$4,166</w:t>
            </w:r>
          </w:p>
        </w:tc>
        <w:tc>
          <w:tcPr>
            <w:tcW w:w="1250" w:type="dxa"/>
            <w:shd w:val="clear" w:color="auto" w:fill="auto"/>
            <w:noWrap/>
            <w:vAlign w:val="center"/>
            <w:hideMark/>
          </w:tcPr>
          <w:p w:rsidR="00A0318C" w:rsidRPr="00B01EA1" w:rsidP="00A0318C" w14:paraId="7F494094" w14:textId="77777777">
            <w:pPr>
              <w:autoSpaceDE/>
              <w:autoSpaceDN/>
              <w:adjustRightInd/>
              <w:jc w:val="center"/>
              <w:rPr>
                <w:rFonts w:cs="Arial"/>
                <w:color w:val="000000"/>
              </w:rPr>
            </w:pPr>
            <w:r w:rsidRPr="009D6087">
              <w:rPr>
                <w:rFonts w:cs="Arial"/>
                <w:color w:val="000000"/>
              </w:rPr>
              <w:t>$4,166</w:t>
            </w:r>
          </w:p>
        </w:tc>
      </w:tr>
      <w:tr w14:paraId="7F49409B" w14:textId="77777777" w:rsidTr="00D96410">
        <w:tblPrEx>
          <w:tblW w:w="13315" w:type="dxa"/>
          <w:jc w:val="center"/>
          <w:tblLayout w:type="fixed"/>
          <w:tblLook w:val="04A0"/>
        </w:tblPrEx>
        <w:trPr>
          <w:trHeight w:val="390"/>
          <w:jc w:val="center"/>
        </w:trPr>
        <w:tc>
          <w:tcPr>
            <w:tcW w:w="9687" w:type="dxa"/>
            <w:gridSpan w:val="10"/>
            <w:shd w:val="clear" w:color="auto" w:fill="auto"/>
            <w:noWrap/>
            <w:vAlign w:val="center"/>
            <w:hideMark/>
          </w:tcPr>
          <w:p w:rsidR="00A0318C" w:rsidRPr="00B01EA1" w:rsidP="00A0318C" w14:paraId="7F494097" w14:textId="77777777">
            <w:pPr>
              <w:autoSpaceDE/>
              <w:autoSpaceDN/>
              <w:adjustRightInd/>
              <w:rPr>
                <w:rFonts w:cs="Arial"/>
                <w:b/>
                <w:bCs/>
                <w:color w:val="000000"/>
              </w:rPr>
            </w:pPr>
            <w:r w:rsidRPr="00B01EA1">
              <w:rPr>
                <w:rFonts w:cs="Arial"/>
                <w:b/>
                <w:bCs/>
                <w:color w:val="000000"/>
              </w:rPr>
              <w:t xml:space="preserve">Total NPUF Operation Cost (Per </w:t>
            </w:r>
            <w:r w:rsidR="00D348A1">
              <w:rPr>
                <w:rFonts w:cs="Arial"/>
                <w:b/>
                <w:bCs/>
                <w:color w:val="000000"/>
              </w:rPr>
              <w:t>Licensee</w:t>
            </w:r>
            <w:r w:rsidRPr="00B01EA1">
              <w:rPr>
                <w:rFonts w:cs="Arial"/>
                <w:b/>
                <w:bCs/>
                <w:color w:val="000000"/>
              </w:rPr>
              <w:t>) </w:t>
            </w:r>
          </w:p>
        </w:tc>
        <w:tc>
          <w:tcPr>
            <w:tcW w:w="1118" w:type="dxa"/>
            <w:shd w:val="clear" w:color="auto" w:fill="auto"/>
            <w:noWrap/>
            <w:vAlign w:val="center"/>
            <w:hideMark/>
          </w:tcPr>
          <w:p w:rsidR="00A0318C" w:rsidRPr="00B01EA1" w:rsidP="00A0318C" w14:paraId="7F494098" w14:textId="77777777">
            <w:pPr>
              <w:autoSpaceDE/>
              <w:autoSpaceDN/>
              <w:adjustRightInd/>
              <w:jc w:val="center"/>
              <w:rPr>
                <w:rFonts w:cs="Arial"/>
                <w:color w:val="000000"/>
              </w:rPr>
            </w:pPr>
            <w:r w:rsidRPr="009D6087">
              <w:rPr>
                <w:rFonts w:cs="Arial"/>
                <w:color w:val="000000"/>
              </w:rPr>
              <w:t>$211,472</w:t>
            </w:r>
          </w:p>
        </w:tc>
        <w:tc>
          <w:tcPr>
            <w:tcW w:w="1260" w:type="dxa"/>
            <w:shd w:val="clear" w:color="auto" w:fill="auto"/>
            <w:noWrap/>
            <w:vAlign w:val="center"/>
            <w:hideMark/>
          </w:tcPr>
          <w:p w:rsidR="00A0318C" w:rsidRPr="00B01EA1" w:rsidP="00A0318C" w14:paraId="7F494099" w14:textId="77777777">
            <w:pPr>
              <w:autoSpaceDE/>
              <w:autoSpaceDN/>
              <w:adjustRightInd/>
              <w:jc w:val="center"/>
              <w:rPr>
                <w:rFonts w:cs="Arial"/>
                <w:color w:val="000000"/>
              </w:rPr>
            </w:pPr>
            <w:r w:rsidRPr="009D6087">
              <w:rPr>
                <w:rFonts w:cs="Arial"/>
                <w:color w:val="000000"/>
              </w:rPr>
              <w:t>$269,417</w:t>
            </w:r>
          </w:p>
        </w:tc>
        <w:tc>
          <w:tcPr>
            <w:tcW w:w="1250" w:type="dxa"/>
            <w:shd w:val="clear" w:color="auto" w:fill="auto"/>
            <w:noWrap/>
            <w:vAlign w:val="center"/>
            <w:hideMark/>
          </w:tcPr>
          <w:p w:rsidR="00A0318C" w:rsidRPr="00B01EA1" w:rsidP="00A0318C" w14:paraId="7F49409A" w14:textId="77777777">
            <w:pPr>
              <w:autoSpaceDE/>
              <w:autoSpaceDN/>
              <w:adjustRightInd/>
              <w:jc w:val="center"/>
              <w:rPr>
                <w:rFonts w:cs="Arial"/>
                <w:color w:val="000000"/>
              </w:rPr>
            </w:pPr>
            <w:r w:rsidRPr="009D6087">
              <w:rPr>
                <w:rFonts w:cs="Arial"/>
                <w:color w:val="000000"/>
              </w:rPr>
              <w:t>$336,387</w:t>
            </w:r>
          </w:p>
        </w:tc>
      </w:tr>
      <w:tr w14:paraId="7F4940A0" w14:textId="77777777" w:rsidTr="00D96410">
        <w:tblPrEx>
          <w:tblW w:w="13315" w:type="dxa"/>
          <w:jc w:val="center"/>
          <w:tblLayout w:type="fixed"/>
          <w:tblLook w:val="04A0"/>
        </w:tblPrEx>
        <w:trPr>
          <w:trHeight w:val="405"/>
          <w:jc w:val="center"/>
        </w:trPr>
        <w:tc>
          <w:tcPr>
            <w:tcW w:w="9687" w:type="dxa"/>
            <w:gridSpan w:val="10"/>
            <w:shd w:val="clear" w:color="auto" w:fill="auto"/>
            <w:vAlign w:val="center"/>
            <w:hideMark/>
          </w:tcPr>
          <w:p w:rsidR="00A0318C" w:rsidRPr="00B01EA1" w:rsidP="00A0318C" w14:paraId="7F49409C" w14:textId="77777777">
            <w:pPr>
              <w:autoSpaceDE/>
              <w:autoSpaceDN/>
              <w:adjustRightInd/>
              <w:rPr>
                <w:rFonts w:cs="Arial"/>
                <w:b/>
                <w:bCs/>
                <w:color w:val="000000"/>
              </w:rPr>
            </w:pPr>
            <w:r w:rsidRPr="00B01EA1">
              <w:rPr>
                <w:rFonts w:cs="Arial"/>
                <w:b/>
                <w:bCs/>
              </w:rPr>
              <w:t>Number of NPUFs</w:t>
            </w:r>
            <w:r w:rsidR="00CB5A4B">
              <w:rPr>
                <w:rFonts w:cs="Arial"/>
                <w:b/>
                <w:bCs/>
              </w:rPr>
              <w:t>*</w:t>
            </w:r>
          </w:p>
        </w:tc>
        <w:tc>
          <w:tcPr>
            <w:tcW w:w="1118" w:type="dxa"/>
            <w:shd w:val="clear" w:color="auto" w:fill="auto"/>
            <w:noWrap/>
            <w:vAlign w:val="center"/>
            <w:hideMark/>
          </w:tcPr>
          <w:p w:rsidR="00A0318C" w:rsidRPr="00B01EA1" w:rsidP="00A0318C" w14:paraId="7F49409D" w14:textId="77777777">
            <w:pPr>
              <w:autoSpaceDE/>
              <w:autoSpaceDN/>
              <w:adjustRightInd/>
              <w:jc w:val="center"/>
              <w:rPr>
                <w:rFonts w:cs="Arial"/>
                <w:color w:val="000000"/>
              </w:rPr>
            </w:pPr>
            <w:r w:rsidRPr="00B01EA1">
              <w:rPr>
                <w:rFonts w:cs="Arial"/>
                <w:color w:val="000000"/>
              </w:rPr>
              <w:t>4</w:t>
            </w:r>
          </w:p>
        </w:tc>
        <w:tc>
          <w:tcPr>
            <w:tcW w:w="1260" w:type="dxa"/>
            <w:shd w:val="clear" w:color="auto" w:fill="auto"/>
            <w:noWrap/>
            <w:vAlign w:val="center"/>
            <w:hideMark/>
          </w:tcPr>
          <w:p w:rsidR="00A0318C" w:rsidRPr="00B01EA1" w:rsidP="00A0318C" w14:paraId="7F49409E" w14:textId="77777777">
            <w:pPr>
              <w:autoSpaceDE/>
              <w:autoSpaceDN/>
              <w:adjustRightInd/>
              <w:jc w:val="center"/>
              <w:rPr>
                <w:rFonts w:cs="Arial"/>
                <w:color w:val="000000"/>
              </w:rPr>
            </w:pPr>
            <w:r w:rsidRPr="00B01EA1">
              <w:rPr>
                <w:rFonts w:cs="Arial"/>
                <w:color w:val="000000"/>
              </w:rPr>
              <w:t>19</w:t>
            </w:r>
          </w:p>
        </w:tc>
        <w:tc>
          <w:tcPr>
            <w:tcW w:w="1250" w:type="dxa"/>
            <w:shd w:val="clear" w:color="auto" w:fill="auto"/>
            <w:noWrap/>
            <w:vAlign w:val="center"/>
            <w:hideMark/>
          </w:tcPr>
          <w:p w:rsidR="00A0318C" w:rsidRPr="00B01EA1" w:rsidP="00A0318C" w14:paraId="7F49409F" w14:textId="77777777">
            <w:pPr>
              <w:autoSpaceDE/>
              <w:autoSpaceDN/>
              <w:adjustRightInd/>
              <w:jc w:val="center"/>
              <w:rPr>
                <w:rFonts w:cs="Arial"/>
                <w:color w:val="000000"/>
              </w:rPr>
            </w:pPr>
            <w:r w:rsidRPr="00B01EA1">
              <w:rPr>
                <w:rFonts w:cs="Arial"/>
                <w:color w:val="000000"/>
              </w:rPr>
              <w:t>3</w:t>
            </w:r>
          </w:p>
        </w:tc>
      </w:tr>
      <w:tr w14:paraId="7F4940A5" w14:textId="77777777" w:rsidTr="00D96410">
        <w:tblPrEx>
          <w:tblW w:w="13315" w:type="dxa"/>
          <w:jc w:val="center"/>
          <w:tblLayout w:type="fixed"/>
          <w:tblLook w:val="04A0"/>
        </w:tblPrEx>
        <w:trPr>
          <w:trHeight w:val="405"/>
          <w:jc w:val="center"/>
        </w:trPr>
        <w:tc>
          <w:tcPr>
            <w:tcW w:w="9687" w:type="dxa"/>
            <w:gridSpan w:val="10"/>
            <w:shd w:val="clear" w:color="auto" w:fill="auto"/>
            <w:vAlign w:val="center"/>
            <w:hideMark/>
          </w:tcPr>
          <w:p w:rsidR="00A0318C" w:rsidRPr="00B01EA1" w:rsidP="00A0318C" w14:paraId="7F4940A1" w14:textId="77777777">
            <w:pPr>
              <w:autoSpaceDE/>
              <w:autoSpaceDN/>
              <w:adjustRightInd/>
              <w:rPr>
                <w:rFonts w:cs="Arial"/>
                <w:b/>
                <w:bCs/>
                <w:color w:val="000000"/>
              </w:rPr>
            </w:pPr>
            <w:r w:rsidRPr="00B01EA1">
              <w:rPr>
                <w:rFonts w:cs="Arial"/>
                <w:b/>
                <w:bCs/>
              </w:rPr>
              <w:t xml:space="preserve">Total </w:t>
            </w:r>
            <w:r w:rsidR="00D348A1">
              <w:rPr>
                <w:rFonts w:cs="Arial"/>
                <w:b/>
                <w:bCs/>
              </w:rPr>
              <w:t xml:space="preserve">Licensee </w:t>
            </w:r>
            <w:r w:rsidRPr="00B01EA1">
              <w:rPr>
                <w:rFonts w:cs="Arial"/>
                <w:b/>
                <w:bCs/>
              </w:rPr>
              <w:t>Cost per Category</w:t>
            </w:r>
          </w:p>
        </w:tc>
        <w:tc>
          <w:tcPr>
            <w:tcW w:w="1118" w:type="dxa"/>
            <w:shd w:val="clear" w:color="auto" w:fill="auto"/>
            <w:noWrap/>
            <w:vAlign w:val="center"/>
            <w:hideMark/>
          </w:tcPr>
          <w:p w:rsidR="00A0318C" w:rsidRPr="00B01EA1" w:rsidP="00A0318C" w14:paraId="7F4940A2" w14:textId="77777777">
            <w:pPr>
              <w:autoSpaceDE/>
              <w:autoSpaceDN/>
              <w:adjustRightInd/>
              <w:jc w:val="center"/>
              <w:rPr>
                <w:rFonts w:cs="Arial"/>
                <w:color w:val="000000"/>
              </w:rPr>
            </w:pPr>
            <w:r w:rsidRPr="009D6087">
              <w:rPr>
                <w:rFonts w:cs="Arial"/>
                <w:color w:val="000000"/>
              </w:rPr>
              <w:t>$845,888</w:t>
            </w:r>
          </w:p>
        </w:tc>
        <w:tc>
          <w:tcPr>
            <w:tcW w:w="1260" w:type="dxa"/>
            <w:shd w:val="clear" w:color="auto" w:fill="auto"/>
            <w:noWrap/>
            <w:vAlign w:val="center"/>
            <w:hideMark/>
          </w:tcPr>
          <w:p w:rsidR="00A0318C" w:rsidRPr="00B01EA1" w:rsidP="00A0318C" w14:paraId="7F4940A3" w14:textId="77777777">
            <w:pPr>
              <w:autoSpaceDE/>
              <w:autoSpaceDN/>
              <w:adjustRightInd/>
              <w:jc w:val="center"/>
              <w:rPr>
                <w:rFonts w:cs="Arial"/>
                <w:color w:val="000000"/>
              </w:rPr>
            </w:pPr>
            <w:r w:rsidRPr="009D6087">
              <w:rPr>
                <w:rFonts w:cs="Arial"/>
                <w:color w:val="000000"/>
              </w:rPr>
              <w:t>$5,118,929</w:t>
            </w:r>
          </w:p>
        </w:tc>
        <w:tc>
          <w:tcPr>
            <w:tcW w:w="1250" w:type="dxa"/>
            <w:shd w:val="clear" w:color="auto" w:fill="auto"/>
            <w:noWrap/>
            <w:vAlign w:val="center"/>
            <w:hideMark/>
          </w:tcPr>
          <w:p w:rsidR="00A0318C" w:rsidRPr="00B01EA1" w:rsidP="00A0318C" w14:paraId="7F4940A4" w14:textId="77777777">
            <w:pPr>
              <w:autoSpaceDE/>
              <w:autoSpaceDN/>
              <w:adjustRightInd/>
              <w:jc w:val="center"/>
              <w:rPr>
                <w:rFonts w:cs="Arial"/>
                <w:color w:val="000000"/>
              </w:rPr>
            </w:pPr>
            <w:r w:rsidRPr="009D6087">
              <w:rPr>
                <w:rFonts w:cs="Arial"/>
                <w:color w:val="000000"/>
              </w:rPr>
              <w:t>$1,009,1</w:t>
            </w:r>
            <w:r>
              <w:rPr>
                <w:rFonts w:cs="Arial"/>
                <w:color w:val="000000"/>
              </w:rPr>
              <w:t>6</w:t>
            </w:r>
            <w:r w:rsidRPr="009D6087">
              <w:rPr>
                <w:rFonts w:cs="Arial"/>
                <w:color w:val="000000"/>
              </w:rPr>
              <w:t>2</w:t>
            </w:r>
          </w:p>
        </w:tc>
      </w:tr>
      <w:tr w14:paraId="7F4940A8" w14:textId="77777777" w:rsidTr="00D96410">
        <w:tblPrEx>
          <w:tblW w:w="13315" w:type="dxa"/>
          <w:jc w:val="center"/>
          <w:tblLayout w:type="fixed"/>
          <w:tblLook w:val="04A0"/>
        </w:tblPrEx>
        <w:trPr>
          <w:trHeight w:val="405"/>
          <w:jc w:val="center"/>
        </w:trPr>
        <w:tc>
          <w:tcPr>
            <w:tcW w:w="9687" w:type="dxa"/>
            <w:gridSpan w:val="10"/>
            <w:shd w:val="clear" w:color="auto" w:fill="auto"/>
            <w:vAlign w:val="center"/>
            <w:hideMark/>
          </w:tcPr>
          <w:p w:rsidR="00A0318C" w:rsidRPr="00C8113D" w:rsidP="00A0318C" w14:paraId="7F4940A6" w14:textId="77777777">
            <w:pPr>
              <w:autoSpaceDE/>
              <w:autoSpaceDN/>
              <w:adjustRightInd/>
              <w:rPr>
                <w:rFonts w:cs="Arial"/>
                <w:b/>
                <w:bCs/>
                <w:color w:val="000000"/>
                <w:szCs w:val="22"/>
              </w:rPr>
            </w:pPr>
            <w:r w:rsidRPr="00C8113D">
              <w:rPr>
                <w:rFonts w:cs="Arial"/>
                <w:b/>
                <w:bCs/>
                <w:szCs w:val="22"/>
              </w:rPr>
              <w:t xml:space="preserve">Total </w:t>
            </w:r>
            <w:r w:rsidR="00D348A1">
              <w:rPr>
                <w:rFonts w:cs="Arial"/>
                <w:b/>
                <w:bCs/>
                <w:szCs w:val="22"/>
              </w:rPr>
              <w:t>Licensee</w:t>
            </w:r>
            <w:r w:rsidRPr="00C8113D">
              <w:rPr>
                <w:rFonts w:cs="Arial"/>
                <w:b/>
                <w:bCs/>
                <w:szCs w:val="22"/>
              </w:rPr>
              <w:t xml:space="preserve"> Averted Cost</w:t>
            </w:r>
          </w:p>
        </w:tc>
        <w:tc>
          <w:tcPr>
            <w:tcW w:w="3628" w:type="dxa"/>
            <w:gridSpan w:val="3"/>
            <w:shd w:val="clear" w:color="auto" w:fill="auto"/>
            <w:noWrap/>
            <w:vAlign w:val="center"/>
            <w:hideMark/>
          </w:tcPr>
          <w:p w:rsidR="00A0318C" w:rsidRPr="00C8113D" w:rsidP="00A0318C" w14:paraId="7F4940A7" w14:textId="77777777">
            <w:pPr>
              <w:autoSpaceDE/>
              <w:autoSpaceDN/>
              <w:adjustRightInd/>
              <w:jc w:val="center"/>
              <w:rPr>
                <w:rFonts w:cs="Arial"/>
                <w:b/>
                <w:bCs/>
                <w:color w:val="000000"/>
                <w:szCs w:val="22"/>
              </w:rPr>
            </w:pPr>
            <w:r w:rsidRPr="009D6087">
              <w:rPr>
                <w:rFonts w:cs="Arial"/>
                <w:b/>
                <w:bCs/>
                <w:color w:val="000000"/>
              </w:rPr>
              <w:t>$6,973,979</w:t>
            </w:r>
          </w:p>
        </w:tc>
      </w:tr>
    </w:tbl>
    <w:p w:rsidR="00A0318C" w:rsidRPr="00D839EE" w:rsidP="00A0318C" w14:paraId="7F4940A9" w14:textId="77777777">
      <w:pPr>
        <w:contextualSpacing/>
        <w:rPr>
          <w:rFonts w:cs="Arial"/>
          <w:sz w:val="18"/>
          <w:szCs w:val="18"/>
        </w:rPr>
      </w:pPr>
      <w:r>
        <w:rPr>
          <w:rFonts w:cs="Arial"/>
          <w:sz w:val="18"/>
          <w:szCs w:val="18"/>
        </w:rPr>
        <w:t xml:space="preserve">* </w:t>
      </w:r>
      <w:r w:rsidRPr="00C51CBD">
        <w:rPr>
          <w:rFonts w:cs="Arial"/>
          <w:sz w:val="18"/>
          <w:szCs w:val="18"/>
        </w:rPr>
        <w:t xml:space="preserve">The number of licensees differs from </w:t>
      </w:r>
      <w:r w:rsidR="005175B0">
        <w:rPr>
          <w:rFonts w:cs="Arial"/>
          <w:sz w:val="18"/>
          <w:szCs w:val="18"/>
        </w:rPr>
        <w:t xml:space="preserve">that in </w:t>
      </w:r>
      <w:r w:rsidRPr="00C51CBD">
        <w:rPr>
          <w:rFonts w:cs="Arial"/>
          <w:sz w:val="18"/>
          <w:szCs w:val="18"/>
        </w:rPr>
        <w:t>Exhibit 3-1</w:t>
      </w:r>
      <w:r w:rsidR="00770917">
        <w:rPr>
          <w:rFonts w:cs="Arial"/>
          <w:sz w:val="18"/>
          <w:szCs w:val="18"/>
        </w:rPr>
        <w:t xml:space="preserve"> in the main report</w:t>
      </w:r>
      <w:r w:rsidRPr="00C51CBD">
        <w:rPr>
          <w:rFonts w:cs="Arial"/>
          <w:sz w:val="18"/>
          <w:szCs w:val="18"/>
        </w:rPr>
        <w:t xml:space="preserve"> as </w:t>
      </w:r>
      <w:r w:rsidRPr="005F6062">
        <w:rPr>
          <w:rFonts w:cs="Arial"/>
          <w:sz w:val="18"/>
          <w:szCs w:val="18"/>
        </w:rPr>
        <w:t xml:space="preserve">NPUFs in Group 3 </w:t>
      </w:r>
      <w:r w:rsidR="00651BE0">
        <w:rPr>
          <w:rFonts w:cs="Arial"/>
          <w:sz w:val="18"/>
          <w:szCs w:val="18"/>
        </w:rPr>
        <w:t>(</w:t>
      </w:r>
      <w:r w:rsidRPr="005F6062">
        <w:rPr>
          <w:rFonts w:cs="Arial"/>
          <w:sz w:val="18"/>
          <w:szCs w:val="18"/>
        </w:rPr>
        <w:t>Aerotest</w:t>
      </w:r>
      <w:r>
        <w:rPr>
          <w:rFonts w:cs="Arial"/>
          <w:sz w:val="18"/>
          <w:szCs w:val="18"/>
        </w:rPr>
        <w:t xml:space="preserve"> and</w:t>
      </w:r>
      <w:r w:rsidRPr="005F6062">
        <w:rPr>
          <w:rFonts w:cs="Arial"/>
          <w:sz w:val="18"/>
          <w:szCs w:val="18"/>
        </w:rPr>
        <w:t xml:space="preserve"> </w:t>
      </w:r>
      <w:r w:rsidR="00DC7CD5">
        <w:rPr>
          <w:rFonts w:cs="Arial"/>
          <w:sz w:val="18"/>
          <w:szCs w:val="18"/>
        </w:rPr>
        <w:t>General Electric (</w:t>
      </w:r>
      <w:r w:rsidRPr="005F6062">
        <w:rPr>
          <w:rFonts w:cs="Arial"/>
          <w:sz w:val="18"/>
          <w:szCs w:val="18"/>
        </w:rPr>
        <w:t>GE</w:t>
      </w:r>
      <w:r w:rsidR="00DC7CD5">
        <w:rPr>
          <w:rFonts w:cs="Arial"/>
          <w:sz w:val="18"/>
          <w:szCs w:val="18"/>
        </w:rPr>
        <w:t>)</w:t>
      </w:r>
      <w:r>
        <w:rPr>
          <w:rFonts w:cs="Arial"/>
          <w:sz w:val="18"/>
          <w:szCs w:val="18"/>
        </w:rPr>
        <w:t>-</w:t>
      </w:r>
      <w:r w:rsidRPr="005F6062">
        <w:rPr>
          <w:rFonts w:cs="Arial"/>
          <w:sz w:val="18"/>
          <w:szCs w:val="18"/>
        </w:rPr>
        <w:t xml:space="preserve">Hitachi (Medium </w:t>
      </w:r>
      <w:r w:rsidR="00770917">
        <w:rPr>
          <w:rFonts w:cs="Arial"/>
          <w:sz w:val="18"/>
          <w:szCs w:val="18"/>
        </w:rPr>
        <w:t>c</w:t>
      </w:r>
      <w:r w:rsidRPr="005F6062">
        <w:rPr>
          <w:rFonts w:cs="Arial"/>
          <w:sz w:val="18"/>
          <w:szCs w:val="18"/>
        </w:rPr>
        <w:t>ategory)</w:t>
      </w:r>
      <w:r>
        <w:rPr>
          <w:rFonts w:cs="Arial"/>
          <w:sz w:val="18"/>
          <w:szCs w:val="18"/>
        </w:rPr>
        <w:t xml:space="preserve">; </w:t>
      </w:r>
      <w:r w:rsidRPr="00C51CBD">
        <w:rPr>
          <w:rFonts w:cs="Arial"/>
          <w:sz w:val="18"/>
          <w:szCs w:val="18"/>
        </w:rPr>
        <w:t xml:space="preserve">TAMU (A) (Low </w:t>
      </w:r>
      <w:r w:rsidR="00770917">
        <w:rPr>
          <w:rFonts w:cs="Arial"/>
          <w:sz w:val="18"/>
          <w:szCs w:val="18"/>
        </w:rPr>
        <w:t>c</w:t>
      </w:r>
      <w:r w:rsidRPr="00C51CBD">
        <w:rPr>
          <w:rFonts w:cs="Arial"/>
          <w:sz w:val="18"/>
          <w:szCs w:val="18"/>
        </w:rPr>
        <w:t>ategory)</w:t>
      </w:r>
      <w:r>
        <w:rPr>
          <w:rFonts w:cs="Arial"/>
          <w:sz w:val="18"/>
          <w:szCs w:val="18"/>
        </w:rPr>
        <w:t>;</w:t>
      </w:r>
      <w:r w:rsidRPr="005F6062">
        <w:rPr>
          <w:rFonts w:cs="Arial"/>
          <w:sz w:val="18"/>
          <w:szCs w:val="18"/>
        </w:rPr>
        <w:t xml:space="preserve"> </w:t>
      </w:r>
      <w:r w:rsidR="00804CC5">
        <w:rPr>
          <w:rFonts w:cs="Arial"/>
          <w:sz w:val="18"/>
          <w:szCs w:val="18"/>
        </w:rPr>
        <w:t>UC/Davis</w:t>
      </w:r>
      <w:r w:rsidRPr="005F6062">
        <w:rPr>
          <w:rFonts w:cs="Arial"/>
          <w:sz w:val="18"/>
          <w:szCs w:val="18"/>
        </w:rPr>
        <w:t xml:space="preserve"> (High </w:t>
      </w:r>
      <w:r w:rsidR="00770917">
        <w:rPr>
          <w:rFonts w:cs="Arial"/>
          <w:sz w:val="18"/>
          <w:szCs w:val="18"/>
        </w:rPr>
        <w:t>c</w:t>
      </w:r>
      <w:r w:rsidRPr="005F6062">
        <w:rPr>
          <w:rFonts w:cs="Arial"/>
          <w:sz w:val="18"/>
          <w:szCs w:val="18"/>
        </w:rPr>
        <w:t>ategory)</w:t>
      </w:r>
      <w:r>
        <w:rPr>
          <w:rFonts w:cs="Arial"/>
          <w:sz w:val="18"/>
          <w:szCs w:val="18"/>
        </w:rPr>
        <w:t xml:space="preserve"> and</w:t>
      </w:r>
      <w:r w:rsidRPr="005F6062">
        <w:rPr>
          <w:rFonts w:cs="Arial"/>
          <w:sz w:val="18"/>
          <w:szCs w:val="18"/>
        </w:rPr>
        <w:t xml:space="preserve"> </w:t>
      </w:r>
      <w:r w:rsidR="003C6D82">
        <w:rPr>
          <w:rFonts w:cs="Arial"/>
          <w:sz w:val="18"/>
          <w:szCs w:val="18"/>
        </w:rPr>
        <w:t xml:space="preserve">Group </w:t>
      </w:r>
      <w:r w:rsidR="00651BE0">
        <w:rPr>
          <w:rFonts w:cs="Arial"/>
          <w:sz w:val="18"/>
          <w:szCs w:val="18"/>
        </w:rPr>
        <w:t>4 (</w:t>
      </w:r>
      <w:r w:rsidRPr="00C51CBD">
        <w:rPr>
          <w:rFonts w:cs="Arial"/>
          <w:sz w:val="18"/>
          <w:szCs w:val="18"/>
        </w:rPr>
        <w:t>SHINE, NWMI</w:t>
      </w:r>
      <w:r w:rsidR="00651BE0">
        <w:rPr>
          <w:rFonts w:cs="Arial"/>
          <w:sz w:val="18"/>
          <w:szCs w:val="18"/>
        </w:rPr>
        <w:t>, and NIST</w:t>
      </w:r>
      <w:r w:rsidRPr="00C51CBD">
        <w:rPr>
          <w:rFonts w:cs="Arial"/>
          <w:sz w:val="18"/>
          <w:szCs w:val="18"/>
        </w:rPr>
        <w:t xml:space="preserve"> </w:t>
      </w:r>
      <w:r w:rsidRPr="005F6062">
        <w:rPr>
          <w:rFonts w:cs="Arial"/>
          <w:sz w:val="18"/>
          <w:szCs w:val="18"/>
        </w:rPr>
        <w:t>(A</w:t>
      </w:r>
      <w:r w:rsidRPr="00C51CBD">
        <w:rPr>
          <w:rFonts w:cs="Arial"/>
          <w:sz w:val="18"/>
          <w:szCs w:val="18"/>
        </w:rPr>
        <w:t xml:space="preserve">ll Other NPUFs </w:t>
      </w:r>
      <w:r w:rsidR="003C6D82">
        <w:rPr>
          <w:rFonts w:cs="Arial"/>
          <w:sz w:val="18"/>
          <w:szCs w:val="18"/>
        </w:rPr>
        <w:t>c</w:t>
      </w:r>
      <w:r w:rsidRPr="00C51CBD">
        <w:rPr>
          <w:rFonts w:cs="Arial"/>
          <w:sz w:val="18"/>
          <w:szCs w:val="18"/>
        </w:rPr>
        <w:t>ategory) are assumed to not realize any averted costs.</w:t>
      </w:r>
    </w:p>
    <w:p w:rsidR="00A0318C" w:rsidP="00A0318C" w14:paraId="7F4940AA" w14:textId="77777777">
      <w:pPr>
        <w:contextualSpacing/>
        <w:rPr>
          <w:rFonts w:cs="Arial"/>
          <w:sz w:val="18"/>
        </w:rPr>
      </w:pPr>
      <w:r w:rsidRPr="00D839EE">
        <w:rPr>
          <w:rFonts w:cs="Arial"/>
          <w:sz w:val="18"/>
        </w:rPr>
        <w:t xml:space="preserve"> </w:t>
      </w:r>
    </w:p>
    <w:p w:rsidR="00A0318C" w:rsidP="00A0318C" w14:paraId="7F4940AB" w14:textId="77777777">
      <w:pPr>
        <w:contextualSpacing/>
        <w:rPr>
          <w:rFonts w:cs="Arial"/>
        </w:rPr>
      </w:pPr>
    </w:p>
    <w:p w:rsidR="00A0318C" w:rsidP="00A0318C" w14:paraId="7F4940AC" w14:textId="77777777">
      <w:pPr>
        <w:contextualSpacing/>
        <w:rPr>
          <w:rFonts w:cs="Arial"/>
        </w:rPr>
      </w:pPr>
    </w:p>
    <w:p w:rsidR="00A0318C" w:rsidP="00A0318C" w14:paraId="7F4940AD" w14:textId="77777777">
      <w:pPr>
        <w:contextualSpacing/>
        <w:rPr>
          <w:rFonts w:cs="Arial"/>
        </w:rPr>
      </w:pPr>
    </w:p>
    <w:p w:rsidR="00A0318C" w:rsidRPr="00D839EE" w:rsidP="00A0318C" w14:paraId="7F4940AE" w14:textId="77777777">
      <w:pPr>
        <w:contextualSpacing/>
        <w:rPr>
          <w:rFonts w:cs="Arial"/>
        </w:rPr>
      </w:pPr>
    </w:p>
    <w:p w:rsidR="00A0318C" w:rsidRPr="00D839EE" w:rsidP="00A0318C" w14:paraId="7F4940AF" w14:textId="77777777">
      <w:pPr>
        <w:ind w:left="360"/>
        <w:contextualSpacing/>
        <w:jc w:val="center"/>
        <w:rPr>
          <w:rFonts w:cs="Arial"/>
        </w:rPr>
      </w:pPr>
    </w:p>
    <w:p w:rsidR="002C5DA2" w:rsidRPr="00D96410" w:rsidP="00D341C4" w14:paraId="7F4940B0" w14:textId="12B3F1E7">
      <w:pPr>
        <w:pStyle w:val="Caption"/>
        <w:keepNext/>
        <w:spacing w:after="0"/>
        <w:jc w:val="center"/>
        <w:rPr>
          <w:b/>
          <w:i w:val="0"/>
          <w:color w:val="auto"/>
          <w:sz w:val="22"/>
        </w:rPr>
      </w:pPr>
      <w:bookmarkStart w:id="531" w:name="_Toc534710028"/>
      <w:bookmarkStart w:id="532" w:name="_Toc534711713"/>
      <w:bookmarkStart w:id="533" w:name="_Toc534712146"/>
      <w:bookmarkStart w:id="534" w:name="_Toc534712723"/>
      <w:bookmarkStart w:id="535" w:name="_Toc534713232"/>
      <w:bookmarkStart w:id="536" w:name="_Toc9526492"/>
      <w:bookmarkStart w:id="537" w:name="_Toc536603441"/>
      <w:r w:rsidRPr="00D96410">
        <w:rPr>
          <w:b/>
          <w:i w:val="0"/>
          <w:color w:val="auto"/>
          <w:sz w:val="22"/>
        </w:rPr>
        <w:t>Exhibit A</w:t>
      </w:r>
      <w:r w:rsidRPr="00D96410">
        <w:rPr>
          <w:b/>
          <w:i w:val="0"/>
          <w:color w:val="auto"/>
          <w:sz w:val="22"/>
        </w:rPr>
        <w:noBreakHyphen/>
      </w:r>
      <w:r w:rsidR="00E406D8">
        <w:rPr>
          <w:b/>
          <w:i w:val="0"/>
          <w:color w:val="auto"/>
          <w:sz w:val="22"/>
        </w:rPr>
        <w:fldChar w:fldCharType="begin"/>
      </w:r>
      <w:r w:rsidR="00E406D8">
        <w:rPr>
          <w:b/>
          <w:i w:val="0"/>
          <w:color w:val="auto"/>
          <w:sz w:val="22"/>
        </w:rPr>
        <w:instrText xml:space="preserve"> SEQ Exhibit \* ARABIC \r 3 </w:instrText>
      </w:r>
      <w:r w:rsidR="00E406D8">
        <w:rPr>
          <w:b/>
          <w:i w:val="0"/>
          <w:color w:val="auto"/>
          <w:sz w:val="22"/>
        </w:rPr>
        <w:fldChar w:fldCharType="separate"/>
      </w:r>
      <w:r w:rsidR="00977795">
        <w:rPr>
          <w:b/>
          <w:i w:val="0"/>
          <w:noProof/>
          <w:color w:val="auto"/>
          <w:sz w:val="22"/>
        </w:rPr>
        <w:t>3</w:t>
      </w:r>
      <w:r w:rsidR="00E406D8">
        <w:rPr>
          <w:b/>
          <w:i w:val="0"/>
          <w:color w:val="auto"/>
          <w:sz w:val="22"/>
        </w:rPr>
        <w:fldChar w:fldCharType="end"/>
      </w:r>
      <w:r w:rsidRPr="00D96410">
        <w:rPr>
          <w:b/>
          <w:i w:val="0"/>
          <w:color w:val="auto"/>
          <w:sz w:val="22"/>
        </w:rPr>
        <w:t>b</w:t>
      </w:r>
      <w:r w:rsidRPr="00D96410">
        <w:rPr>
          <w:b/>
          <w:i w:val="0"/>
          <w:color w:val="auto"/>
          <w:sz w:val="22"/>
        </w:rPr>
        <w:t>. Averted Costs of the Final Rule</w:t>
      </w:r>
      <w:bookmarkEnd w:id="531"/>
      <w:bookmarkEnd w:id="532"/>
      <w:bookmarkEnd w:id="533"/>
      <w:bookmarkEnd w:id="534"/>
      <w:bookmarkEnd w:id="535"/>
      <w:bookmarkEnd w:id="536"/>
      <w:bookmarkEnd w:id="537"/>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4"/>
        <w:gridCol w:w="1890"/>
        <w:gridCol w:w="2426"/>
        <w:gridCol w:w="1885"/>
      </w:tblGrid>
      <w:tr w14:paraId="7F4940B3" w14:textId="77777777" w:rsidTr="00804CC5">
        <w:tblPrEx>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0"/>
          <w:jc w:val="center"/>
        </w:trPr>
        <w:tc>
          <w:tcPr>
            <w:tcW w:w="2704" w:type="dxa"/>
            <w:vMerge w:val="restart"/>
            <w:shd w:val="clear" w:color="auto" w:fill="auto"/>
            <w:vAlign w:val="center"/>
            <w:hideMark/>
          </w:tcPr>
          <w:p w:rsidR="00A0318C" w:rsidRPr="00E403D5" w:rsidP="00C8113D" w14:paraId="7F4940B1" w14:textId="77777777">
            <w:pPr>
              <w:keepNext/>
              <w:autoSpaceDE/>
              <w:autoSpaceDN/>
              <w:adjustRightInd/>
              <w:jc w:val="center"/>
              <w:rPr>
                <w:rFonts w:cs="Arial"/>
                <w:b/>
                <w:bCs/>
              </w:rPr>
            </w:pPr>
            <w:r w:rsidRPr="00E403D5">
              <w:rPr>
                <w:rFonts w:cs="Arial"/>
                <w:b/>
                <w:bCs/>
              </w:rPr>
              <w:t>Existing License Renewal Costs</w:t>
            </w:r>
          </w:p>
        </w:tc>
        <w:tc>
          <w:tcPr>
            <w:tcW w:w="6201" w:type="dxa"/>
            <w:gridSpan w:val="3"/>
            <w:shd w:val="clear" w:color="auto" w:fill="auto"/>
            <w:noWrap/>
            <w:vAlign w:val="center"/>
            <w:hideMark/>
          </w:tcPr>
          <w:p w:rsidR="00A0318C" w:rsidRPr="00E403D5" w:rsidP="00C8113D" w14:paraId="7F4940B2" w14:textId="77777777">
            <w:pPr>
              <w:keepNext/>
              <w:autoSpaceDE/>
              <w:autoSpaceDN/>
              <w:adjustRightInd/>
              <w:jc w:val="center"/>
              <w:rPr>
                <w:rFonts w:cs="Arial"/>
                <w:b/>
                <w:bCs/>
                <w:color w:val="000000"/>
              </w:rPr>
            </w:pPr>
            <w:r w:rsidRPr="00E403D5">
              <w:rPr>
                <w:rFonts w:cs="Arial"/>
                <w:b/>
                <w:bCs/>
                <w:color w:val="000000"/>
              </w:rPr>
              <w:t>Cost Inputs</w:t>
            </w:r>
          </w:p>
        </w:tc>
      </w:tr>
      <w:tr w14:paraId="7F4940B6" w14:textId="77777777" w:rsidTr="00804CC5">
        <w:tblPrEx>
          <w:tblW w:w="8905" w:type="dxa"/>
          <w:jc w:val="center"/>
          <w:tblLook w:val="04A0"/>
        </w:tblPrEx>
        <w:trPr>
          <w:trHeight w:val="390"/>
          <w:jc w:val="center"/>
        </w:trPr>
        <w:tc>
          <w:tcPr>
            <w:tcW w:w="2704" w:type="dxa"/>
            <w:vMerge/>
            <w:vAlign w:val="center"/>
            <w:hideMark/>
          </w:tcPr>
          <w:p w:rsidR="00A0318C" w:rsidRPr="00E403D5" w:rsidP="00C8113D" w14:paraId="7F4940B4" w14:textId="77777777">
            <w:pPr>
              <w:keepNext/>
              <w:autoSpaceDE/>
              <w:autoSpaceDN/>
              <w:adjustRightInd/>
              <w:rPr>
                <w:rFonts w:cs="Arial"/>
                <w:b/>
                <w:bCs/>
              </w:rPr>
            </w:pPr>
          </w:p>
        </w:tc>
        <w:tc>
          <w:tcPr>
            <w:tcW w:w="6201" w:type="dxa"/>
            <w:gridSpan w:val="3"/>
            <w:shd w:val="clear" w:color="auto" w:fill="auto"/>
            <w:noWrap/>
            <w:vAlign w:val="center"/>
            <w:hideMark/>
          </w:tcPr>
          <w:p w:rsidR="00A0318C" w:rsidRPr="00E403D5" w:rsidP="00C8113D" w14:paraId="7F4940B5" w14:textId="77777777">
            <w:pPr>
              <w:keepNext/>
              <w:autoSpaceDE/>
              <w:autoSpaceDN/>
              <w:adjustRightInd/>
              <w:jc w:val="center"/>
              <w:rPr>
                <w:rFonts w:cs="Arial"/>
                <w:b/>
                <w:bCs/>
              </w:rPr>
            </w:pPr>
            <w:r w:rsidRPr="00E403D5">
              <w:rPr>
                <w:rFonts w:cs="Arial"/>
                <w:b/>
                <w:bCs/>
              </w:rPr>
              <w:t>Cost per Category</w:t>
            </w:r>
          </w:p>
        </w:tc>
      </w:tr>
      <w:tr w14:paraId="7F4940BB" w14:textId="77777777" w:rsidTr="00804CC5">
        <w:tblPrEx>
          <w:tblW w:w="8905" w:type="dxa"/>
          <w:jc w:val="center"/>
          <w:tblLook w:val="04A0"/>
        </w:tblPrEx>
        <w:trPr>
          <w:trHeight w:val="390"/>
          <w:jc w:val="center"/>
        </w:trPr>
        <w:tc>
          <w:tcPr>
            <w:tcW w:w="2704" w:type="dxa"/>
            <w:vMerge/>
            <w:vAlign w:val="center"/>
            <w:hideMark/>
          </w:tcPr>
          <w:p w:rsidR="00A0318C" w:rsidRPr="00E403D5" w:rsidP="00C8113D" w14:paraId="7F4940B7" w14:textId="77777777">
            <w:pPr>
              <w:keepNext/>
              <w:autoSpaceDE/>
              <w:autoSpaceDN/>
              <w:adjustRightInd/>
              <w:rPr>
                <w:rFonts w:cs="Arial"/>
                <w:b/>
                <w:bCs/>
              </w:rPr>
            </w:pPr>
          </w:p>
        </w:tc>
        <w:tc>
          <w:tcPr>
            <w:tcW w:w="1890" w:type="dxa"/>
            <w:shd w:val="clear" w:color="auto" w:fill="auto"/>
            <w:vAlign w:val="center"/>
            <w:hideMark/>
          </w:tcPr>
          <w:p w:rsidR="00A0318C" w:rsidRPr="00E403D5" w:rsidP="00C8113D" w14:paraId="7F4940B8" w14:textId="77777777">
            <w:pPr>
              <w:keepNext/>
              <w:autoSpaceDE/>
              <w:autoSpaceDN/>
              <w:adjustRightInd/>
              <w:jc w:val="center"/>
              <w:rPr>
                <w:rFonts w:cs="Arial"/>
                <w:b/>
                <w:bCs/>
              </w:rPr>
            </w:pPr>
            <w:r w:rsidRPr="00E403D5">
              <w:rPr>
                <w:rFonts w:cs="Arial"/>
                <w:b/>
                <w:bCs/>
              </w:rPr>
              <w:t>Low</w:t>
            </w:r>
          </w:p>
        </w:tc>
        <w:tc>
          <w:tcPr>
            <w:tcW w:w="2426" w:type="dxa"/>
            <w:shd w:val="clear" w:color="auto" w:fill="auto"/>
            <w:vAlign w:val="center"/>
            <w:hideMark/>
          </w:tcPr>
          <w:p w:rsidR="00A0318C" w:rsidRPr="00E403D5" w:rsidP="00C8113D" w14:paraId="7F4940B9" w14:textId="77777777">
            <w:pPr>
              <w:keepNext/>
              <w:autoSpaceDE/>
              <w:autoSpaceDN/>
              <w:adjustRightInd/>
              <w:jc w:val="center"/>
              <w:rPr>
                <w:rFonts w:cs="Arial"/>
                <w:b/>
                <w:bCs/>
              </w:rPr>
            </w:pPr>
            <w:r w:rsidRPr="00E403D5">
              <w:rPr>
                <w:rFonts w:cs="Arial"/>
                <w:b/>
                <w:bCs/>
              </w:rPr>
              <w:t>Medium</w:t>
            </w:r>
          </w:p>
        </w:tc>
        <w:tc>
          <w:tcPr>
            <w:tcW w:w="1885" w:type="dxa"/>
            <w:shd w:val="clear" w:color="auto" w:fill="auto"/>
            <w:noWrap/>
            <w:vAlign w:val="center"/>
            <w:hideMark/>
          </w:tcPr>
          <w:p w:rsidR="00A0318C" w:rsidRPr="00E403D5" w:rsidP="00C8113D" w14:paraId="7F4940BA" w14:textId="77777777">
            <w:pPr>
              <w:keepNext/>
              <w:autoSpaceDE/>
              <w:autoSpaceDN/>
              <w:adjustRightInd/>
              <w:jc w:val="center"/>
              <w:rPr>
                <w:rFonts w:cs="Arial"/>
                <w:b/>
                <w:bCs/>
                <w:color w:val="000000"/>
              </w:rPr>
            </w:pPr>
            <w:r w:rsidRPr="00E403D5">
              <w:rPr>
                <w:rFonts w:cs="Arial"/>
                <w:b/>
                <w:bCs/>
                <w:color w:val="000000"/>
              </w:rPr>
              <w:t>High</w:t>
            </w:r>
          </w:p>
        </w:tc>
      </w:tr>
      <w:tr w14:paraId="7F4940BD" w14:textId="77777777" w:rsidTr="00651BE0">
        <w:tblPrEx>
          <w:tblW w:w="8905" w:type="dxa"/>
          <w:jc w:val="center"/>
          <w:tblLook w:val="04A0"/>
        </w:tblPrEx>
        <w:trPr>
          <w:trHeight w:val="390"/>
          <w:jc w:val="center"/>
        </w:trPr>
        <w:tc>
          <w:tcPr>
            <w:tcW w:w="8905" w:type="dxa"/>
            <w:gridSpan w:val="4"/>
            <w:shd w:val="clear" w:color="000000" w:fill="D9D9D9"/>
            <w:vAlign w:val="center"/>
            <w:hideMark/>
          </w:tcPr>
          <w:p w:rsidR="00A0318C" w:rsidRPr="00E403D5" w:rsidP="00C8113D" w14:paraId="7F4940BC" w14:textId="77777777">
            <w:pPr>
              <w:keepNext/>
              <w:autoSpaceDE/>
              <w:autoSpaceDN/>
              <w:adjustRightInd/>
              <w:jc w:val="center"/>
              <w:rPr>
                <w:rFonts w:cs="Arial"/>
                <w:b/>
                <w:bCs/>
                <w:color w:val="000000"/>
              </w:rPr>
            </w:pPr>
            <w:r w:rsidRPr="00E403D5">
              <w:rPr>
                <w:rFonts w:cs="Arial"/>
                <w:b/>
                <w:bCs/>
                <w:color w:val="000000"/>
              </w:rPr>
              <w:t>NRC Averted Costs</w:t>
            </w:r>
          </w:p>
        </w:tc>
      </w:tr>
      <w:tr w14:paraId="7F4940C2" w14:textId="77777777" w:rsidTr="00804CC5">
        <w:tblPrEx>
          <w:tblW w:w="8905" w:type="dxa"/>
          <w:jc w:val="center"/>
          <w:tblLook w:val="04A0"/>
        </w:tblPrEx>
        <w:trPr>
          <w:trHeight w:val="390"/>
          <w:jc w:val="center"/>
        </w:trPr>
        <w:tc>
          <w:tcPr>
            <w:tcW w:w="2704" w:type="dxa"/>
            <w:shd w:val="clear" w:color="auto" w:fill="auto"/>
            <w:vAlign w:val="center"/>
            <w:hideMark/>
          </w:tcPr>
          <w:p w:rsidR="00A0318C" w:rsidRPr="00E403D5" w:rsidP="00C8113D" w14:paraId="7F4940BE" w14:textId="77777777">
            <w:pPr>
              <w:keepNext/>
              <w:autoSpaceDE/>
              <w:autoSpaceDN/>
              <w:adjustRightInd/>
              <w:rPr>
                <w:rFonts w:cs="Arial"/>
                <w:b/>
                <w:bCs/>
              </w:rPr>
            </w:pPr>
            <w:r w:rsidRPr="00E403D5">
              <w:rPr>
                <w:rFonts w:cs="Arial"/>
                <w:b/>
                <w:bCs/>
              </w:rPr>
              <w:t xml:space="preserve">Minimum Cost </w:t>
            </w:r>
            <w:r w:rsidR="005175B0">
              <w:rPr>
                <w:rFonts w:cs="Arial"/>
                <w:b/>
                <w:bCs/>
              </w:rPr>
              <w:t>p</w:t>
            </w:r>
            <w:r w:rsidRPr="00E403D5">
              <w:rPr>
                <w:rFonts w:cs="Arial"/>
                <w:b/>
                <w:bCs/>
              </w:rPr>
              <w:t>er NPUF</w:t>
            </w:r>
          </w:p>
        </w:tc>
        <w:tc>
          <w:tcPr>
            <w:tcW w:w="1890" w:type="dxa"/>
            <w:shd w:val="clear" w:color="auto" w:fill="auto"/>
            <w:vAlign w:val="center"/>
            <w:hideMark/>
          </w:tcPr>
          <w:p w:rsidR="00A0318C" w:rsidRPr="00E403D5" w:rsidP="00C8113D" w14:paraId="7F4940BF" w14:textId="77777777">
            <w:pPr>
              <w:keepNext/>
              <w:autoSpaceDE/>
              <w:autoSpaceDN/>
              <w:adjustRightInd/>
              <w:jc w:val="center"/>
              <w:rPr>
                <w:rFonts w:cs="Arial"/>
              </w:rPr>
            </w:pPr>
            <w:r w:rsidRPr="006C312D">
              <w:rPr>
                <w:rFonts w:cs="Arial"/>
              </w:rPr>
              <w:t>$147,434</w:t>
            </w:r>
          </w:p>
        </w:tc>
        <w:tc>
          <w:tcPr>
            <w:tcW w:w="2426" w:type="dxa"/>
            <w:shd w:val="clear" w:color="auto" w:fill="auto"/>
            <w:vAlign w:val="center"/>
            <w:hideMark/>
          </w:tcPr>
          <w:p w:rsidR="00A0318C" w:rsidRPr="00E403D5" w:rsidP="00C8113D" w14:paraId="7F4940C0" w14:textId="77777777">
            <w:pPr>
              <w:keepNext/>
              <w:autoSpaceDE/>
              <w:autoSpaceDN/>
              <w:adjustRightInd/>
              <w:jc w:val="center"/>
              <w:rPr>
                <w:rFonts w:cs="Arial"/>
              </w:rPr>
            </w:pPr>
            <w:r w:rsidRPr="006C312D">
              <w:rPr>
                <w:rFonts w:cs="Arial"/>
              </w:rPr>
              <w:t>$105,958</w:t>
            </w:r>
          </w:p>
        </w:tc>
        <w:tc>
          <w:tcPr>
            <w:tcW w:w="1885" w:type="dxa"/>
            <w:shd w:val="clear" w:color="auto" w:fill="auto"/>
            <w:vAlign w:val="center"/>
            <w:hideMark/>
          </w:tcPr>
          <w:p w:rsidR="00A0318C" w:rsidRPr="00E403D5" w:rsidP="00C8113D" w14:paraId="7F4940C1" w14:textId="77777777">
            <w:pPr>
              <w:keepNext/>
              <w:autoSpaceDE/>
              <w:autoSpaceDN/>
              <w:adjustRightInd/>
              <w:jc w:val="center"/>
              <w:rPr>
                <w:rFonts w:cs="Arial"/>
              </w:rPr>
            </w:pPr>
            <w:r w:rsidRPr="006C312D">
              <w:rPr>
                <w:rFonts w:cs="Arial"/>
              </w:rPr>
              <w:t>$486,807</w:t>
            </w:r>
          </w:p>
        </w:tc>
      </w:tr>
      <w:tr w14:paraId="7F4940C7" w14:textId="77777777" w:rsidTr="00804CC5">
        <w:tblPrEx>
          <w:tblW w:w="8905" w:type="dxa"/>
          <w:jc w:val="center"/>
          <w:tblLook w:val="04A0"/>
        </w:tblPrEx>
        <w:trPr>
          <w:trHeight w:val="390"/>
          <w:jc w:val="center"/>
        </w:trPr>
        <w:tc>
          <w:tcPr>
            <w:tcW w:w="2704" w:type="dxa"/>
            <w:shd w:val="clear" w:color="auto" w:fill="auto"/>
            <w:vAlign w:val="center"/>
            <w:hideMark/>
          </w:tcPr>
          <w:p w:rsidR="00A0318C" w:rsidRPr="00E403D5" w:rsidP="00C8113D" w14:paraId="7F4940C3" w14:textId="77777777">
            <w:pPr>
              <w:keepNext/>
              <w:autoSpaceDE/>
              <w:autoSpaceDN/>
              <w:adjustRightInd/>
              <w:rPr>
                <w:rFonts w:cs="Arial"/>
                <w:b/>
                <w:bCs/>
              </w:rPr>
            </w:pPr>
            <w:r w:rsidRPr="00E403D5">
              <w:rPr>
                <w:rFonts w:cs="Arial"/>
                <w:b/>
                <w:bCs/>
              </w:rPr>
              <w:t xml:space="preserve">Maximum Cost </w:t>
            </w:r>
            <w:r w:rsidR="005175B0">
              <w:rPr>
                <w:rFonts w:cs="Arial"/>
                <w:b/>
                <w:bCs/>
              </w:rPr>
              <w:t>p</w:t>
            </w:r>
            <w:r w:rsidRPr="00E403D5">
              <w:rPr>
                <w:rFonts w:cs="Arial"/>
                <w:b/>
                <w:bCs/>
              </w:rPr>
              <w:t>er NPUF</w:t>
            </w:r>
          </w:p>
        </w:tc>
        <w:tc>
          <w:tcPr>
            <w:tcW w:w="1890" w:type="dxa"/>
            <w:shd w:val="clear" w:color="auto" w:fill="auto"/>
            <w:vAlign w:val="center"/>
            <w:hideMark/>
          </w:tcPr>
          <w:p w:rsidR="00A0318C" w:rsidRPr="00E403D5" w:rsidP="00C8113D" w14:paraId="7F4940C4" w14:textId="77777777">
            <w:pPr>
              <w:keepNext/>
              <w:autoSpaceDE/>
              <w:autoSpaceDN/>
              <w:adjustRightInd/>
              <w:jc w:val="center"/>
              <w:rPr>
                <w:rFonts w:cs="Arial"/>
              </w:rPr>
            </w:pPr>
            <w:r w:rsidRPr="006C312D">
              <w:rPr>
                <w:rFonts w:cs="Arial"/>
              </w:rPr>
              <w:t xml:space="preserve">$457,270 </w:t>
            </w:r>
          </w:p>
        </w:tc>
        <w:tc>
          <w:tcPr>
            <w:tcW w:w="2426" w:type="dxa"/>
            <w:shd w:val="clear" w:color="auto" w:fill="auto"/>
            <w:vAlign w:val="center"/>
            <w:hideMark/>
          </w:tcPr>
          <w:p w:rsidR="00A0318C" w:rsidRPr="00E403D5" w:rsidP="00C8113D" w14:paraId="7F4940C5" w14:textId="77777777">
            <w:pPr>
              <w:keepNext/>
              <w:autoSpaceDE/>
              <w:autoSpaceDN/>
              <w:adjustRightInd/>
              <w:jc w:val="center"/>
              <w:rPr>
                <w:rFonts w:cs="Arial"/>
              </w:rPr>
            </w:pPr>
            <w:r w:rsidRPr="006C312D">
              <w:rPr>
                <w:rFonts w:cs="Arial"/>
              </w:rPr>
              <w:t xml:space="preserve">$1,104,844 </w:t>
            </w:r>
          </w:p>
        </w:tc>
        <w:tc>
          <w:tcPr>
            <w:tcW w:w="1885" w:type="dxa"/>
            <w:shd w:val="clear" w:color="auto" w:fill="auto"/>
            <w:vAlign w:val="center"/>
            <w:hideMark/>
          </w:tcPr>
          <w:p w:rsidR="00A0318C" w:rsidRPr="00E403D5" w:rsidP="00C8113D" w14:paraId="7F4940C6" w14:textId="77777777">
            <w:pPr>
              <w:keepNext/>
              <w:autoSpaceDE/>
              <w:autoSpaceDN/>
              <w:adjustRightInd/>
              <w:jc w:val="center"/>
              <w:rPr>
                <w:rFonts w:cs="Arial"/>
              </w:rPr>
            </w:pPr>
            <w:r w:rsidRPr="006C312D">
              <w:rPr>
                <w:rFonts w:cs="Arial"/>
              </w:rPr>
              <w:t xml:space="preserve">$932,244 </w:t>
            </w:r>
          </w:p>
        </w:tc>
      </w:tr>
      <w:tr w14:paraId="7F4940CC" w14:textId="77777777" w:rsidTr="00804CC5">
        <w:tblPrEx>
          <w:tblW w:w="8905" w:type="dxa"/>
          <w:jc w:val="center"/>
          <w:tblLook w:val="04A0"/>
        </w:tblPrEx>
        <w:trPr>
          <w:trHeight w:val="390"/>
          <w:jc w:val="center"/>
        </w:trPr>
        <w:tc>
          <w:tcPr>
            <w:tcW w:w="2704" w:type="dxa"/>
            <w:shd w:val="clear" w:color="auto" w:fill="auto"/>
            <w:vAlign w:val="center"/>
            <w:hideMark/>
          </w:tcPr>
          <w:p w:rsidR="00A0318C" w:rsidRPr="00E403D5" w:rsidP="00C8113D" w14:paraId="7F4940C8" w14:textId="77777777">
            <w:pPr>
              <w:keepNext/>
              <w:autoSpaceDE/>
              <w:autoSpaceDN/>
              <w:adjustRightInd/>
              <w:rPr>
                <w:rFonts w:cs="Arial"/>
                <w:b/>
                <w:bCs/>
              </w:rPr>
            </w:pPr>
            <w:r w:rsidRPr="00E403D5">
              <w:rPr>
                <w:rFonts w:cs="Arial"/>
                <w:b/>
                <w:bCs/>
              </w:rPr>
              <w:t xml:space="preserve">Average Cost </w:t>
            </w:r>
            <w:r w:rsidR="005175B0">
              <w:rPr>
                <w:rFonts w:cs="Arial"/>
                <w:b/>
                <w:bCs/>
              </w:rPr>
              <w:t>p</w:t>
            </w:r>
            <w:r w:rsidRPr="00E403D5">
              <w:rPr>
                <w:rFonts w:cs="Arial"/>
                <w:b/>
                <w:bCs/>
              </w:rPr>
              <w:t>er NPUF</w:t>
            </w:r>
          </w:p>
        </w:tc>
        <w:tc>
          <w:tcPr>
            <w:tcW w:w="1890" w:type="dxa"/>
            <w:shd w:val="clear" w:color="auto" w:fill="auto"/>
            <w:vAlign w:val="center"/>
            <w:hideMark/>
          </w:tcPr>
          <w:p w:rsidR="00A0318C" w:rsidRPr="00E403D5" w:rsidP="00C8113D" w14:paraId="7F4940C9" w14:textId="77777777">
            <w:pPr>
              <w:keepNext/>
              <w:autoSpaceDE/>
              <w:autoSpaceDN/>
              <w:adjustRightInd/>
              <w:jc w:val="center"/>
              <w:rPr>
                <w:rFonts w:cs="Arial"/>
              </w:rPr>
            </w:pPr>
            <w:r w:rsidRPr="006C312D">
              <w:rPr>
                <w:rFonts w:cs="Arial"/>
              </w:rPr>
              <w:t xml:space="preserve">$346,701 </w:t>
            </w:r>
          </w:p>
        </w:tc>
        <w:tc>
          <w:tcPr>
            <w:tcW w:w="2426" w:type="dxa"/>
            <w:shd w:val="clear" w:color="auto" w:fill="auto"/>
            <w:vAlign w:val="center"/>
            <w:hideMark/>
          </w:tcPr>
          <w:p w:rsidR="00A0318C" w:rsidRPr="00E403D5" w:rsidP="00C8113D" w14:paraId="7F4940CA" w14:textId="77777777">
            <w:pPr>
              <w:keepNext/>
              <w:autoSpaceDE/>
              <w:autoSpaceDN/>
              <w:adjustRightInd/>
              <w:jc w:val="center"/>
              <w:rPr>
                <w:rFonts w:cs="Arial"/>
              </w:rPr>
            </w:pPr>
            <w:r w:rsidRPr="006C312D">
              <w:rPr>
                <w:rFonts w:cs="Arial"/>
              </w:rPr>
              <w:t xml:space="preserve">$471,027 </w:t>
            </w:r>
          </w:p>
        </w:tc>
        <w:tc>
          <w:tcPr>
            <w:tcW w:w="1885" w:type="dxa"/>
            <w:shd w:val="clear" w:color="auto" w:fill="auto"/>
            <w:vAlign w:val="center"/>
            <w:hideMark/>
          </w:tcPr>
          <w:p w:rsidR="00A0318C" w:rsidRPr="00E403D5" w:rsidP="00C8113D" w14:paraId="7F4940CB" w14:textId="77777777">
            <w:pPr>
              <w:keepNext/>
              <w:autoSpaceDE/>
              <w:autoSpaceDN/>
              <w:adjustRightInd/>
              <w:jc w:val="center"/>
              <w:rPr>
                <w:rFonts w:cs="Arial"/>
              </w:rPr>
            </w:pPr>
            <w:r w:rsidRPr="006C312D">
              <w:rPr>
                <w:rFonts w:cs="Arial"/>
              </w:rPr>
              <w:t xml:space="preserve">$666,126 </w:t>
            </w:r>
          </w:p>
        </w:tc>
      </w:tr>
      <w:tr w14:paraId="7F4940D1" w14:textId="77777777" w:rsidTr="00804CC5">
        <w:tblPrEx>
          <w:tblW w:w="8905" w:type="dxa"/>
          <w:jc w:val="center"/>
          <w:tblLook w:val="04A0"/>
        </w:tblPrEx>
        <w:trPr>
          <w:trHeight w:val="390"/>
          <w:jc w:val="center"/>
        </w:trPr>
        <w:tc>
          <w:tcPr>
            <w:tcW w:w="2704" w:type="dxa"/>
            <w:shd w:val="clear" w:color="auto" w:fill="auto"/>
            <w:vAlign w:val="center"/>
            <w:hideMark/>
          </w:tcPr>
          <w:p w:rsidR="00A0318C" w:rsidRPr="00E403D5" w:rsidP="00C8113D" w14:paraId="7F4940CD" w14:textId="77777777">
            <w:pPr>
              <w:keepNext/>
              <w:autoSpaceDE/>
              <w:autoSpaceDN/>
              <w:adjustRightInd/>
              <w:rPr>
                <w:rFonts w:cs="Arial"/>
                <w:b/>
                <w:bCs/>
              </w:rPr>
            </w:pPr>
            <w:r w:rsidRPr="00E403D5">
              <w:rPr>
                <w:rFonts w:cs="Arial"/>
                <w:b/>
                <w:bCs/>
              </w:rPr>
              <w:t>Number of NPUFs</w:t>
            </w:r>
            <w:r w:rsidR="00651BE0">
              <w:rPr>
                <w:rFonts w:cs="Arial"/>
                <w:b/>
                <w:bCs/>
              </w:rPr>
              <w:t>*</w:t>
            </w:r>
          </w:p>
        </w:tc>
        <w:tc>
          <w:tcPr>
            <w:tcW w:w="1890" w:type="dxa"/>
            <w:shd w:val="clear" w:color="000000" w:fill="FFFFFF"/>
            <w:vAlign w:val="center"/>
            <w:hideMark/>
          </w:tcPr>
          <w:p w:rsidR="00A0318C" w:rsidRPr="00E403D5" w:rsidP="00C8113D" w14:paraId="7F4940CE" w14:textId="77777777">
            <w:pPr>
              <w:keepNext/>
              <w:autoSpaceDE/>
              <w:autoSpaceDN/>
              <w:adjustRightInd/>
              <w:jc w:val="center"/>
              <w:rPr>
                <w:rFonts w:cs="Arial"/>
              </w:rPr>
            </w:pPr>
            <w:r w:rsidRPr="006C312D">
              <w:rPr>
                <w:rFonts w:cs="Arial"/>
              </w:rPr>
              <w:t>4</w:t>
            </w:r>
          </w:p>
        </w:tc>
        <w:tc>
          <w:tcPr>
            <w:tcW w:w="2426" w:type="dxa"/>
            <w:shd w:val="clear" w:color="000000" w:fill="FFFFFF"/>
            <w:vAlign w:val="center"/>
            <w:hideMark/>
          </w:tcPr>
          <w:p w:rsidR="00A0318C" w:rsidRPr="00E403D5" w:rsidP="00C8113D" w14:paraId="7F4940CF" w14:textId="77777777">
            <w:pPr>
              <w:keepNext/>
              <w:autoSpaceDE/>
              <w:autoSpaceDN/>
              <w:adjustRightInd/>
              <w:jc w:val="center"/>
              <w:rPr>
                <w:rFonts w:cs="Arial"/>
              </w:rPr>
            </w:pPr>
            <w:r w:rsidRPr="006C312D">
              <w:rPr>
                <w:rFonts w:cs="Arial"/>
              </w:rPr>
              <w:t>19</w:t>
            </w:r>
          </w:p>
        </w:tc>
        <w:tc>
          <w:tcPr>
            <w:tcW w:w="1885" w:type="dxa"/>
            <w:shd w:val="clear" w:color="000000" w:fill="FFFFFF"/>
            <w:vAlign w:val="center"/>
            <w:hideMark/>
          </w:tcPr>
          <w:p w:rsidR="00A0318C" w:rsidRPr="00E403D5" w:rsidP="00C8113D" w14:paraId="7F4940D0" w14:textId="77777777">
            <w:pPr>
              <w:keepNext/>
              <w:autoSpaceDE/>
              <w:autoSpaceDN/>
              <w:adjustRightInd/>
              <w:jc w:val="center"/>
              <w:rPr>
                <w:rFonts w:cs="Arial"/>
              </w:rPr>
            </w:pPr>
            <w:r w:rsidRPr="006C312D">
              <w:rPr>
                <w:rFonts w:cs="Arial"/>
              </w:rPr>
              <w:t>3</w:t>
            </w:r>
          </w:p>
        </w:tc>
      </w:tr>
      <w:tr w14:paraId="7F4940D6" w14:textId="77777777" w:rsidTr="00804CC5">
        <w:tblPrEx>
          <w:tblW w:w="8905" w:type="dxa"/>
          <w:jc w:val="center"/>
          <w:tblLook w:val="04A0"/>
        </w:tblPrEx>
        <w:trPr>
          <w:trHeight w:val="390"/>
          <w:jc w:val="center"/>
        </w:trPr>
        <w:tc>
          <w:tcPr>
            <w:tcW w:w="2704" w:type="dxa"/>
            <w:shd w:val="clear" w:color="auto" w:fill="auto"/>
            <w:vAlign w:val="center"/>
            <w:hideMark/>
          </w:tcPr>
          <w:p w:rsidR="00A0318C" w:rsidRPr="00E403D5" w:rsidP="00C8113D" w14:paraId="7F4940D2" w14:textId="77777777">
            <w:pPr>
              <w:keepNext/>
              <w:autoSpaceDE/>
              <w:autoSpaceDN/>
              <w:adjustRightInd/>
              <w:rPr>
                <w:rFonts w:cs="Arial"/>
                <w:b/>
                <w:bCs/>
              </w:rPr>
            </w:pPr>
            <w:r w:rsidRPr="00E403D5">
              <w:rPr>
                <w:rFonts w:cs="Arial"/>
                <w:b/>
                <w:bCs/>
              </w:rPr>
              <w:t>Total Cost per Category</w:t>
            </w:r>
          </w:p>
        </w:tc>
        <w:tc>
          <w:tcPr>
            <w:tcW w:w="1890" w:type="dxa"/>
            <w:shd w:val="clear" w:color="auto" w:fill="auto"/>
            <w:vAlign w:val="center"/>
            <w:hideMark/>
          </w:tcPr>
          <w:p w:rsidR="00A0318C" w:rsidRPr="00E403D5" w:rsidP="00C8113D" w14:paraId="7F4940D3" w14:textId="77777777">
            <w:pPr>
              <w:keepNext/>
              <w:autoSpaceDE/>
              <w:autoSpaceDN/>
              <w:adjustRightInd/>
              <w:jc w:val="center"/>
              <w:rPr>
                <w:rFonts w:cs="Arial"/>
                <w:b/>
                <w:bCs/>
              </w:rPr>
            </w:pPr>
            <w:r w:rsidRPr="006C312D">
              <w:rPr>
                <w:rFonts w:cs="Arial"/>
                <w:b/>
                <w:bCs/>
              </w:rPr>
              <w:t xml:space="preserve">$1,386,802 </w:t>
            </w:r>
          </w:p>
        </w:tc>
        <w:tc>
          <w:tcPr>
            <w:tcW w:w="2426" w:type="dxa"/>
            <w:shd w:val="clear" w:color="auto" w:fill="auto"/>
            <w:vAlign w:val="center"/>
            <w:hideMark/>
          </w:tcPr>
          <w:p w:rsidR="00A0318C" w:rsidRPr="00E403D5" w:rsidP="00C8113D" w14:paraId="7F4940D4" w14:textId="77777777">
            <w:pPr>
              <w:keepNext/>
              <w:autoSpaceDE/>
              <w:autoSpaceDN/>
              <w:adjustRightInd/>
              <w:jc w:val="center"/>
              <w:rPr>
                <w:rFonts w:cs="Arial"/>
                <w:b/>
                <w:bCs/>
              </w:rPr>
            </w:pPr>
            <w:r w:rsidRPr="006C312D">
              <w:rPr>
                <w:rFonts w:cs="Arial"/>
                <w:b/>
                <w:bCs/>
              </w:rPr>
              <w:t xml:space="preserve">$8,949,508 </w:t>
            </w:r>
          </w:p>
        </w:tc>
        <w:tc>
          <w:tcPr>
            <w:tcW w:w="1885" w:type="dxa"/>
            <w:shd w:val="clear" w:color="auto" w:fill="auto"/>
            <w:vAlign w:val="center"/>
            <w:hideMark/>
          </w:tcPr>
          <w:p w:rsidR="00A0318C" w:rsidRPr="00E403D5" w:rsidP="00C8113D" w14:paraId="7F4940D5" w14:textId="77777777">
            <w:pPr>
              <w:keepNext/>
              <w:autoSpaceDE/>
              <w:autoSpaceDN/>
              <w:adjustRightInd/>
              <w:jc w:val="center"/>
              <w:rPr>
                <w:rFonts w:cs="Arial"/>
                <w:b/>
                <w:bCs/>
              </w:rPr>
            </w:pPr>
            <w:r w:rsidRPr="006C312D">
              <w:rPr>
                <w:rFonts w:cs="Arial"/>
                <w:b/>
                <w:bCs/>
              </w:rPr>
              <w:t xml:space="preserve">$1,998,378 </w:t>
            </w:r>
          </w:p>
        </w:tc>
      </w:tr>
      <w:tr w14:paraId="7F4940D9" w14:textId="77777777" w:rsidTr="00804CC5">
        <w:tblPrEx>
          <w:tblW w:w="8905" w:type="dxa"/>
          <w:jc w:val="center"/>
          <w:tblLook w:val="04A0"/>
        </w:tblPrEx>
        <w:trPr>
          <w:trHeight w:val="390"/>
          <w:jc w:val="center"/>
        </w:trPr>
        <w:tc>
          <w:tcPr>
            <w:tcW w:w="2704" w:type="dxa"/>
            <w:shd w:val="clear" w:color="auto" w:fill="auto"/>
            <w:vAlign w:val="center"/>
            <w:hideMark/>
          </w:tcPr>
          <w:p w:rsidR="00A0318C" w:rsidRPr="00E403D5" w:rsidP="00C8113D" w14:paraId="7F4940D7" w14:textId="77777777">
            <w:pPr>
              <w:keepNext/>
              <w:autoSpaceDE/>
              <w:autoSpaceDN/>
              <w:adjustRightInd/>
              <w:rPr>
                <w:rFonts w:cs="Arial"/>
                <w:b/>
                <w:bCs/>
              </w:rPr>
            </w:pPr>
            <w:r w:rsidRPr="00E403D5">
              <w:rPr>
                <w:rFonts w:cs="Arial"/>
                <w:b/>
                <w:bCs/>
              </w:rPr>
              <w:t>Total NRC Averted Cost</w:t>
            </w:r>
          </w:p>
        </w:tc>
        <w:tc>
          <w:tcPr>
            <w:tcW w:w="6201" w:type="dxa"/>
            <w:gridSpan w:val="3"/>
            <w:shd w:val="clear" w:color="auto" w:fill="auto"/>
            <w:vAlign w:val="center"/>
            <w:hideMark/>
          </w:tcPr>
          <w:p w:rsidR="00A0318C" w:rsidRPr="00E403D5" w:rsidP="00C8113D" w14:paraId="7F4940D8" w14:textId="77777777">
            <w:pPr>
              <w:keepNext/>
              <w:autoSpaceDE/>
              <w:autoSpaceDN/>
              <w:adjustRightInd/>
              <w:jc w:val="center"/>
              <w:rPr>
                <w:rFonts w:cs="Arial"/>
                <w:b/>
                <w:bCs/>
              </w:rPr>
            </w:pPr>
            <w:r w:rsidRPr="006C312D">
              <w:rPr>
                <w:rFonts w:cs="Arial"/>
                <w:b/>
                <w:bCs/>
              </w:rPr>
              <w:t xml:space="preserve">$12,334,688 </w:t>
            </w:r>
          </w:p>
        </w:tc>
      </w:tr>
    </w:tbl>
    <w:p w:rsidR="00804CC5" w:rsidRPr="00D839EE" w:rsidP="00804CC5" w14:paraId="7F4940DA" w14:textId="77777777">
      <w:pPr>
        <w:contextualSpacing/>
        <w:rPr>
          <w:rFonts w:cs="Arial"/>
          <w:sz w:val="18"/>
          <w:szCs w:val="18"/>
        </w:rPr>
      </w:pPr>
      <w:r>
        <w:rPr>
          <w:rFonts w:cs="Arial"/>
          <w:sz w:val="18"/>
          <w:szCs w:val="18"/>
        </w:rPr>
        <w:t xml:space="preserve">* </w:t>
      </w:r>
      <w:r w:rsidRPr="00C51CBD">
        <w:rPr>
          <w:rFonts w:cs="Arial"/>
          <w:sz w:val="18"/>
          <w:szCs w:val="18"/>
        </w:rPr>
        <w:t xml:space="preserve">The number of licensees differs from </w:t>
      </w:r>
      <w:r>
        <w:rPr>
          <w:rFonts w:cs="Arial"/>
          <w:sz w:val="18"/>
          <w:szCs w:val="18"/>
        </w:rPr>
        <w:t xml:space="preserve">that in </w:t>
      </w:r>
      <w:r w:rsidRPr="00C51CBD">
        <w:rPr>
          <w:rFonts w:cs="Arial"/>
          <w:sz w:val="18"/>
          <w:szCs w:val="18"/>
        </w:rPr>
        <w:t>Exhibit 3-1</w:t>
      </w:r>
      <w:r>
        <w:rPr>
          <w:rFonts w:cs="Arial"/>
          <w:sz w:val="18"/>
          <w:szCs w:val="18"/>
        </w:rPr>
        <w:t xml:space="preserve"> in the main report</w:t>
      </w:r>
      <w:r w:rsidRPr="00C51CBD">
        <w:rPr>
          <w:rFonts w:cs="Arial"/>
          <w:sz w:val="18"/>
          <w:szCs w:val="18"/>
        </w:rPr>
        <w:t xml:space="preserve"> as </w:t>
      </w:r>
      <w:r w:rsidRPr="005F6062">
        <w:rPr>
          <w:rFonts w:cs="Arial"/>
          <w:sz w:val="18"/>
          <w:szCs w:val="18"/>
        </w:rPr>
        <w:t xml:space="preserve">NPUFs in Group 3 </w:t>
      </w:r>
      <w:r>
        <w:rPr>
          <w:rFonts w:cs="Arial"/>
          <w:sz w:val="18"/>
          <w:szCs w:val="18"/>
        </w:rPr>
        <w:t>(</w:t>
      </w:r>
      <w:r w:rsidRPr="005F6062">
        <w:rPr>
          <w:rFonts w:cs="Arial"/>
          <w:sz w:val="18"/>
          <w:szCs w:val="18"/>
        </w:rPr>
        <w:t>Aerotest</w:t>
      </w:r>
      <w:r>
        <w:rPr>
          <w:rFonts w:cs="Arial"/>
          <w:sz w:val="18"/>
          <w:szCs w:val="18"/>
        </w:rPr>
        <w:t xml:space="preserve"> and</w:t>
      </w:r>
      <w:r w:rsidRPr="005F6062">
        <w:rPr>
          <w:rFonts w:cs="Arial"/>
          <w:sz w:val="18"/>
          <w:szCs w:val="18"/>
        </w:rPr>
        <w:t xml:space="preserve"> GE</w:t>
      </w:r>
      <w:r>
        <w:rPr>
          <w:rFonts w:cs="Arial"/>
          <w:sz w:val="18"/>
          <w:szCs w:val="18"/>
        </w:rPr>
        <w:t>-</w:t>
      </w:r>
      <w:r w:rsidRPr="005F6062">
        <w:rPr>
          <w:rFonts w:cs="Arial"/>
          <w:sz w:val="18"/>
          <w:szCs w:val="18"/>
        </w:rPr>
        <w:t xml:space="preserve">Hitachi (Medium </w:t>
      </w:r>
      <w:r>
        <w:rPr>
          <w:rFonts w:cs="Arial"/>
          <w:sz w:val="18"/>
          <w:szCs w:val="18"/>
        </w:rPr>
        <w:t>c</w:t>
      </w:r>
      <w:r w:rsidRPr="005F6062">
        <w:rPr>
          <w:rFonts w:cs="Arial"/>
          <w:sz w:val="18"/>
          <w:szCs w:val="18"/>
        </w:rPr>
        <w:t>ategory)</w:t>
      </w:r>
      <w:r>
        <w:rPr>
          <w:rFonts w:cs="Arial"/>
          <w:sz w:val="18"/>
          <w:szCs w:val="18"/>
        </w:rPr>
        <w:t xml:space="preserve">; </w:t>
      </w:r>
      <w:r w:rsidRPr="00C51CBD">
        <w:rPr>
          <w:rFonts w:cs="Arial"/>
          <w:sz w:val="18"/>
          <w:szCs w:val="18"/>
        </w:rPr>
        <w:t xml:space="preserve">TAMU (A) (Low </w:t>
      </w:r>
      <w:r>
        <w:rPr>
          <w:rFonts w:cs="Arial"/>
          <w:sz w:val="18"/>
          <w:szCs w:val="18"/>
        </w:rPr>
        <w:t>c</w:t>
      </w:r>
      <w:r w:rsidRPr="00C51CBD">
        <w:rPr>
          <w:rFonts w:cs="Arial"/>
          <w:sz w:val="18"/>
          <w:szCs w:val="18"/>
        </w:rPr>
        <w:t>ategory)</w:t>
      </w:r>
      <w:r>
        <w:rPr>
          <w:rFonts w:cs="Arial"/>
          <w:sz w:val="18"/>
          <w:szCs w:val="18"/>
        </w:rPr>
        <w:t>;</w:t>
      </w:r>
      <w:r w:rsidRPr="005F6062">
        <w:rPr>
          <w:rFonts w:cs="Arial"/>
          <w:sz w:val="18"/>
          <w:szCs w:val="18"/>
        </w:rPr>
        <w:t xml:space="preserve"> </w:t>
      </w:r>
      <w:r>
        <w:rPr>
          <w:rFonts w:cs="Arial"/>
          <w:sz w:val="18"/>
          <w:szCs w:val="18"/>
        </w:rPr>
        <w:t>UC/Davis</w:t>
      </w:r>
      <w:r w:rsidRPr="005F6062">
        <w:rPr>
          <w:rFonts w:cs="Arial"/>
          <w:sz w:val="18"/>
          <w:szCs w:val="18"/>
        </w:rPr>
        <w:t xml:space="preserve"> (High </w:t>
      </w:r>
      <w:r>
        <w:rPr>
          <w:rFonts w:cs="Arial"/>
          <w:sz w:val="18"/>
          <w:szCs w:val="18"/>
        </w:rPr>
        <w:t>c</w:t>
      </w:r>
      <w:r w:rsidRPr="005F6062">
        <w:rPr>
          <w:rFonts w:cs="Arial"/>
          <w:sz w:val="18"/>
          <w:szCs w:val="18"/>
        </w:rPr>
        <w:t>ategory)</w:t>
      </w:r>
      <w:r>
        <w:rPr>
          <w:rFonts w:cs="Arial"/>
          <w:sz w:val="18"/>
          <w:szCs w:val="18"/>
        </w:rPr>
        <w:t xml:space="preserve"> and</w:t>
      </w:r>
      <w:r w:rsidRPr="005F6062">
        <w:rPr>
          <w:rFonts w:cs="Arial"/>
          <w:sz w:val="18"/>
          <w:szCs w:val="18"/>
        </w:rPr>
        <w:t xml:space="preserve"> </w:t>
      </w:r>
      <w:r>
        <w:rPr>
          <w:rFonts w:cs="Arial"/>
          <w:sz w:val="18"/>
          <w:szCs w:val="18"/>
        </w:rPr>
        <w:t>Group 4 (</w:t>
      </w:r>
      <w:r w:rsidRPr="00C51CBD">
        <w:rPr>
          <w:rFonts w:cs="Arial"/>
          <w:sz w:val="18"/>
          <w:szCs w:val="18"/>
        </w:rPr>
        <w:t>SHINE, NWMI</w:t>
      </w:r>
      <w:r>
        <w:rPr>
          <w:rFonts w:cs="Arial"/>
          <w:sz w:val="18"/>
          <w:szCs w:val="18"/>
        </w:rPr>
        <w:t>, and NIST</w:t>
      </w:r>
      <w:r w:rsidRPr="00C51CBD">
        <w:rPr>
          <w:rFonts w:cs="Arial"/>
          <w:sz w:val="18"/>
          <w:szCs w:val="18"/>
        </w:rPr>
        <w:t xml:space="preserve"> </w:t>
      </w:r>
      <w:r w:rsidRPr="005F6062">
        <w:rPr>
          <w:rFonts w:cs="Arial"/>
          <w:sz w:val="18"/>
          <w:szCs w:val="18"/>
        </w:rPr>
        <w:t>(A</w:t>
      </w:r>
      <w:r w:rsidRPr="00C51CBD">
        <w:rPr>
          <w:rFonts w:cs="Arial"/>
          <w:sz w:val="18"/>
          <w:szCs w:val="18"/>
        </w:rPr>
        <w:t xml:space="preserve">ll Other NPUFs </w:t>
      </w:r>
      <w:r>
        <w:rPr>
          <w:rFonts w:cs="Arial"/>
          <w:sz w:val="18"/>
          <w:szCs w:val="18"/>
        </w:rPr>
        <w:t>c</w:t>
      </w:r>
      <w:r w:rsidRPr="00C51CBD">
        <w:rPr>
          <w:rFonts w:cs="Arial"/>
          <w:sz w:val="18"/>
          <w:szCs w:val="18"/>
        </w:rPr>
        <w:t>ategory) are assumed to not realize any averted costs.</w:t>
      </w:r>
    </w:p>
    <w:p w:rsidR="00A0318C" w:rsidRPr="00651BE0" w:rsidP="00A0318C" w14:paraId="7F4940DB" w14:textId="77777777">
      <w:pPr>
        <w:ind w:left="360"/>
        <w:contextualSpacing/>
        <w:rPr>
          <w:rFonts w:cs="Arial"/>
          <w:sz w:val="22"/>
          <w:szCs w:val="22"/>
        </w:rPr>
      </w:pPr>
      <w:r>
        <w:rPr>
          <w:rFonts w:cs="Arial"/>
          <w:sz w:val="18"/>
          <w:szCs w:val="18"/>
        </w:rPr>
        <w:t xml:space="preserve"> </w:t>
      </w:r>
    </w:p>
    <w:p w:rsidR="00A0318C" w:rsidRPr="00D96410" w:rsidP="00D341C4" w14:paraId="7F4940DC" w14:textId="2E960AD0">
      <w:pPr>
        <w:pStyle w:val="Caption"/>
        <w:keepNext/>
        <w:spacing w:after="0"/>
        <w:jc w:val="center"/>
        <w:rPr>
          <w:b/>
          <w:i w:val="0"/>
          <w:color w:val="auto"/>
          <w:sz w:val="22"/>
          <w:szCs w:val="22"/>
        </w:rPr>
      </w:pPr>
      <w:bookmarkStart w:id="538" w:name="_Toc534037084"/>
      <w:bookmarkStart w:id="539" w:name="_Toc534710029"/>
      <w:bookmarkStart w:id="540" w:name="_Toc534711714"/>
      <w:bookmarkStart w:id="541" w:name="_Toc534712147"/>
      <w:bookmarkStart w:id="542" w:name="_Toc534712724"/>
      <w:bookmarkStart w:id="543" w:name="_Toc534713233"/>
      <w:bookmarkStart w:id="544" w:name="_Toc9526493"/>
      <w:bookmarkStart w:id="545" w:name="_Toc536603442"/>
      <w:r w:rsidRPr="00D96410">
        <w:rPr>
          <w:b/>
          <w:i w:val="0"/>
          <w:color w:val="auto"/>
          <w:sz w:val="22"/>
          <w:szCs w:val="22"/>
        </w:rPr>
        <w:t>Exhibit A</w:t>
      </w:r>
      <w:r w:rsidRPr="00D96410">
        <w:rPr>
          <w:b/>
          <w:i w:val="0"/>
          <w:color w:val="auto"/>
          <w:sz w:val="22"/>
          <w:szCs w:val="22"/>
        </w:rPr>
        <w:noBreakHyphen/>
      </w:r>
      <w:r w:rsidRPr="00D96410">
        <w:rPr>
          <w:b/>
          <w:i w:val="0"/>
          <w:color w:val="auto"/>
          <w:sz w:val="22"/>
          <w:szCs w:val="22"/>
        </w:rPr>
        <w:fldChar w:fldCharType="begin"/>
      </w:r>
      <w:r w:rsidRPr="00D96410">
        <w:rPr>
          <w:b/>
          <w:i w:val="0"/>
          <w:color w:val="auto"/>
          <w:sz w:val="22"/>
          <w:szCs w:val="22"/>
        </w:rPr>
        <w:instrText xml:space="preserve"> SEQ Exhibit \* ARABIC \r 4 </w:instrText>
      </w:r>
      <w:r w:rsidRPr="00D96410">
        <w:rPr>
          <w:b/>
          <w:i w:val="0"/>
          <w:color w:val="auto"/>
          <w:sz w:val="22"/>
          <w:szCs w:val="22"/>
        </w:rPr>
        <w:fldChar w:fldCharType="separate"/>
      </w:r>
      <w:r w:rsidR="00977795">
        <w:rPr>
          <w:b/>
          <w:i w:val="0"/>
          <w:noProof/>
          <w:color w:val="auto"/>
          <w:sz w:val="22"/>
          <w:szCs w:val="22"/>
        </w:rPr>
        <w:t>4</w:t>
      </w:r>
      <w:r w:rsidRPr="00D96410">
        <w:rPr>
          <w:b/>
          <w:i w:val="0"/>
          <w:color w:val="auto"/>
          <w:sz w:val="22"/>
          <w:szCs w:val="22"/>
        </w:rPr>
        <w:fldChar w:fldCharType="end"/>
      </w:r>
      <w:r w:rsidRPr="00D96410">
        <w:rPr>
          <w:b/>
          <w:i w:val="0"/>
          <w:color w:val="auto"/>
          <w:sz w:val="22"/>
          <w:szCs w:val="22"/>
        </w:rPr>
        <w:t>a</w:t>
      </w:r>
      <w:r w:rsidRPr="00D96410" w:rsidR="002C5DA2">
        <w:rPr>
          <w:b/>
          <w:i w:val="0"/>
          <w:color w:val="auto"/>
          <w:sz w:val="22"/>
          <w:szCs w:val="22"/>
        </w:rPr>
        <w:t>. Licensee</w:t>
      </w:r>
      <w:r w:rsidRPr="00D96410">
        <w:rPr>
          <w:b/>
          <w:i w:val="0"/>
          <w:color w:val="auto"/>
          <w:sz w:val="22"/>
          <w:szCs w:val="22"/>
        </w:rPr>
        <w:t xml:space="preserve"> Implementation Costs of the Final Rule</w:t>
      </w:r>
      <w:bookmarkEnd w:id="538"/>
      <w:bookmarkEnd w:id="539"/>
      <w:bookmarkEnd w:id="540"/>
      <w:bookmarkEnd w:id="541"/>
      <w:bookmarkEnd w:id="542"/>
      <w:bookmarkEnd w:id="543"/>
      <w:bookmarkEnd w:id="544"/>
      <w:bookmarkEnd w:id="545"/>
    </w:p>
    <w:tbl>
      <w:tblPr>
        <w:tblW w:w="11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1"/>
        <w:gridCol w:w="2199"/>
        <w:gridCol w:w="1080"/>
        <w:gridCol w:w="990"/>
        <w:gridCol w:w="1170"/>
        <w:gridCol w:w="990"/>
        <w:gridCol w:w="1260"/>
        <w:gridCol w:w="1350"/>
        <w:gridCol w:w="1440"/>
      </w:tblGrid>
      <w:tr w14:paraId="7F4940E0" w14:textId="77777777" w:rsidTr="00651BE0">
        <w:tblPrEx>
          <w:tblW w:w="11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blHeader/>
          <w:jc w:val="center"/>
        </w:trPr>
        <w:tc>
          <w:tcPr>
            <w:tcW w:w="1401" w:type="dxa"/>
            <w:vMerge w:val="restart"/>
            <w:shd w:val="clear" w:color="auto" w:fill="auto"/>
            <w:vAlign w:val="center"/>
            <w:hideMark/>
          </w:tcPr>
          <w:p w:rsidR="00A0318C" w:rsidRPr="00175361" w:rsidP="00A0318C" w14:paraId="7F4940DD" w14:textId="77777777">
            <w:pPr>
              <w:autoSpaceDE/>
              <w:autoSpaceDN/>
              <w:adjustRightInd/>
              <w:jc w:val="center"/>
              <w:rPr>
                <w:rFonts w:cs="Arial"/>
                <w:b/>
                <w:bCs/>
              </w:rPr>
            </w:pPr>
            <w:r w:rsidRPr="00175361">
              <w:rPr>
                <w:rFonts w:cs="Arial"/>
                <w:b/>
                <w:bCs/>
              </w:rPr>
              <w:t>Post-Rule Process Steps</w:t>
            </w:r>
          </w:p>
        </w:tc>
        <w:tc>
          <w:tcPr>
            <w:tcW w:w="7689" w:type="dxa"/>
            <w:gridSpan w:val="6"/>
            <w:shd w:val="clear" w:color="auto" w:fill="auto"/>
            <w:noWrap/>
            <w:vAlign w:val="center"/>
            <w:hideMark/>
          </w:tcPr>
          <w:p w:rsidR="00A0318C" w:rsidRPr="00175361" w:rsidP="00A0318C" w14:paraId="7F4940DE" w14:textId="77777777">
            <w:pPr>
              <w:autoSpaceDE/>
              <w:autoSpaceDN/>
              <w:adjustRightInd/>
              <w:jc w:val="center"/>
              <w:rPr>
                <w:rFonts w:cs="Arial"/>
                <w:b/>
                <w:bCs/>
                <w:color w:val="000000"/>
              </w:rPr>
            </w:pPr>
            <w:r w:rsidRPr="00175361">
              <w:rPr>
                <w:rFonts w:cs="Arial"/>
                <w:b/>
                <w:bCs/>
                <w:color w:val="000000"/>
              </w:rPr>
              <w:t>Cost Inputs</w:t>
            </w:r>
          </w:p>
        </w:tc>
        <w:tc>
          <w:tcPr>
            <w:tcW w:w="2790" w:type="dxa"/>
            <w:gridSpan w:val="2"/>
            <w:shd w:val="clear" w:color="auto" w:fill="auto"/>
            <w:noWrap/>
            <w:vAlign w:val="center"/>
            <w:hideMark/>
          </w:tcPr>
          <w:p w:rsidR="00A0318C" w:rsidRPr="00175361" w:rsidP="00C8113D" w14:paraId="7F4940DF" w14:textId="77777777">
            <w:pPr>
              <w:autoSpaceDE/>
              <w:autoSpaceDN/>
              <w:adjustRightInd/>
              <w:jc w:val="center"/>
              <w:rPr>
                <w:rFonts w:cs="Arial"/>
                <w:b/>
                <w:bCs/>
                <w:color w:val="000000"/>
              </w:rPr>
            </w:pPr>
            <w:r w:rsidRPr="00175361">
              <w:rPr>
                <w:rFonts w:cs="Arial"/>
                <w:b/>
                <w:bCs/>
                <w:color w:val="000000"/>
              </w:rPr>
              <w:t>Cost per Category</w:t>
            </w:r>
          </w:p>
        </w:tc>
      </w:tr>
      <w:tr w14:paraId="7F4940E8" w14:textId="77777777" w:rsidTr="00651BE0">
        <w:tblPrEx>
          <w:tblW w:w="11880" w:type="dxa"/>
          <w:jc w:val="center"/>
          <w:tblLayout w:type="fixed"/>
          <w:tblLook w:val="04A0"/>
        </w:tblPrEx>
        <w:trPr>
          <w:trHeight w:val="390"/>
          <w:tblHeader/>
          <w:jc w:val="center"/>
        </w:trPr>
        <w:tc>
          <w:tcPr>
            <w:tcW w:w="1401" w:type="dxa"/>
            <w:vMerge/>
            <w:vAlign w:val="center"/>
            <w:hideMark/>
          </w:tcPr>
          <w:p w:rsidR="00A0318C" w:rsidRPr="00175361" w:rsidP="00A0318C" w14:paraId="7F4940E1" w14:textId="77777777">
            <w:pPr>
              <w:autoSpaceDE/>
              <w:autoSpaceDN/>
              <w:adjustRightInd/>
              <w:rPr>
                <w:rFonts w:cs="Arial"/>
                <w:b/>
                <w:bCs/>
              </w:rPr>
            </w:pPr>
          </w:p>
        </w:tc>
        <w:tc>
          <w:tcPr>
            <w:tcW w:w="2199" w:type="dxa"/>
            <w:vMerge w:val="restart"/>
            <w:shd w:val="clear" w:color="auto" w:fill="auto"/>
            <w:vAlign w:val="center"/>
            <w:hideMark/>
          </w:tcPr>
          <w:p w:rsidR="00A0318C" w:rsidRPr="00175361" w:rsidP="00A0318C" w14:paraId="7F4940E2" w14:textId="77777777">
            <w:pPr>
              <w:autoSpaceDE/>
              <w:autoSpaceDN/>
              <w:adjustRightInd/>
              <w:jc w:val="center"/>
              <w:rPr>
                <w:rFonts w:cs="Arial"/>
                <w:b/>
                <w:bCs/>
              </w:rPr>
            </w:pPr>
            <w:r w:rsidRPr="00175361">
              <w:rPr>
                <w:rFonts w:cs="Arial"/>
                <w:b/>
                <w:bCs/>
              </w:rPr>
              <w:t>Labor Category or Input</w:t>
            </w:r>
          </w:p>
        </w:tc>
        <w:tc>
          <w:tcPr>
            <w:tcW w:w="2070" w:type="dxa"/>
            <w:gridSpan w:val="2"/>
            <w:shd w:val="clear" w:color="auto" w:fill="auto"/>
            <w:noWrap/>
            <w:vAlign w:val="center"/>
            <w:hideMark/>
          </w:tcPr>
          <w:p w:rsidR="00A0318C" w:rsidRPr="00175361" w:rsidP="00A0318C" w14:paraId="7F4940E3" w14:textId="77777777">
            <w:pPr>
              <w:autoSpaceDE/>
              <w:autoSpaceDN/>
              <w:adjustRightInd/>
              <w:jc w:val="center"/>
              <w:rPr>
                <w:rFonts w:cs="Arial"/>
                <w:b/>
                <w:bCs/>
              </w:rPr>
            </w:pPr>
            <w:r w:rsidRPr="00175361">
              <w:rPr>
                <w:rFonts w:cs="Arial"/>
                <w:b/>
                <w:bCs/>
              </w:rPr>
              <w:t>Hours per Category</w:t>
            </w:r>
          </w:p>
        </w:tc>
        <w:tc>
          <w:tcPr>
            <w:tcW w:w="2160" w:type="dxa"/>
            <w:gridSpan w:val="2"/>
            <w:shd w:val="clear" w:color="auto" w:fill="auto"/>
            <w:vAlign w:val="center"/>
            <w:hideMark/>
          </w:tcPr>
          <w:p w:rsidR="00A0318C" w:rsidRPr="00175361" w:rsidP="00A0318C" w14:paraId="7F4940E4" w14:textId="77777777">
            <w:pPr>
              <w:autoSpaceDE/>
              <w:autoSpaceDN/>
              <w:adjustRightInd/>
              <w:jc w:val="center"/>
              <w:rPr>
                <w:rFonts w:cs="Arial"/>
                <w:b/>
                <w:bCs/>
              </w:rPr>
            </w:pPr>
            <w:r w:rsidRPr="00175361">
              <w:rPr>
                <w:rFonts w:cs="Arial"/>
                <w:b/>
                <w:bCs/>
              </w:rPr>
              <w:t>Rate</w:t>
            </w:r>
          </w:p>
        </w:tc>
        <w:tc>
          <w:tcPr>
            <w:tcW w:w="1260" w:type="dxa"/>
            <w:vMerge w:val="restart"/>
            <w:shd w:val="clear" w:color="auto" w:fill="auto"/>
            <w:noWrap/>
            <w:vAlign w:val="center"/>
            <w:hideMark/>
          </w:tcPr>
          <w:p w:rsidR="00A0318C" w:rsidRPr="00175361" w:rsidP="00A0318C" w14:paraId="7F4940E5" w14:textId="77777777">
            <w:pPr>
              <w:autoSpaceDE/>
              <w:autoSpaceDN/>
              <w:adjustRightInd/>
              <w:jc w:val="center"/>
              <w:rPr>
                <w:rFonts w:cs="Arial"/>
                <w:b/>
                <w:bCs/>
              </w:rPr>
            </w:pPr>
            <w:r w:rsidRPr="00175361">
              <w:rPr>
                <w:rFonts w:cs="Arial"/>
                <w:b/>
                <w:bCs/>
              </w:rPr>
              <w:t>Workload</w:t>
            </w:r>
          </w:p>
        </w:tc>
        <w:tc>
          <w:tcPr>
            <w:tcW w:w="1350" w:type="dxa"/>
            <w:vMerge w:val="restart"/>
            <w:shd w:val="clear" w:color="auto" w:fill="auto"/>
            <w:vAlign w:val="center"/>
            <w:hideMark/>
          </w:tcPr>
          <w:p w:rsidR="00A0318C" w:rsidRPr="00175361" w:rsidP="00A0318C" w14:paraId="7F4940E6" w14:textId="77777777">
            <w:pPr>
              <w:autoSpaceDE/>
              <w:autoSpaceDN/>
              <w:adjustRightInd/>
              <w:jc w:val="center"/>
              <w:rPr>
                <w:rFonts w:cs="Arial"/>
                <w:b/>
                <w:bCs/>
                <w:color w:val="000000"/>
              </w:rPr>
            </w:pPr>
            <w:r w:rsidRPr="00175361">
              <w:rPr>
                <w:rFonts w:cs="Arial"/>
                <w:b/>
                <w:bCs/>
                <w:color w:val="000000"/>
              </w:rPr>
              <w:t>Low / Medium / High</w:t>
            </w:r>
          </w:p>
        </w:tc>
        <w:tc>
          <w:tcPr>
            <w:tcW w:w="1440" w:type="dxa"/>
            <w:vMerge w:val="restart"/>
            <w:shd w:val="clear" w:color="auto" w:fill="auto"/>
            <w:noWrap/>
            <w:vAlign w:val="center"/>
            <w:hideMark/>
          </w:tcPr>
          <w:p w:rsidR="00A0318C" w:rsidRPr="00175361" w:rsidP="00A0318C" w14:paraId="7F4940E7" w14:textId="77777777">
            <w:pPr>
              <w:autoSpaceDE/>
              <w:autoSpaceDN/>
              <w:adjustRightInd/>
              <w:jc w:val="center"/>
              <w:rPr>
                <w:rFonts w:cs="Arial"/>
                <w:b/>
                <w:bCs/>
                <w:color w:val="000000"/>
              </w:rPr>
            </w:pPr>
            <w:r w:rsidRPr="00175361">
              <w:rPr>
                <w:rFonts w:cs="Arial"/>
                <w:b/>
                <w:bCs/>
                <w:color w:val="000000"/>
              </w:rPr>
              <w:t>Other NPUFs</w:t>
            </w:r>
          </w:p>
        </w:tc>
      </w:tr>
      <w:tr w14:paraId="7F4940F3" w14:textId="77777777" w:rsidTr="00346B95">
        <w:tblPrEx>
          <w:tblW w:w="11880" w:type="dxa"/>
          <w:jc w:val="center"/>
          <w:tblLayout w:type="fixed"/>
          <w:tblLook w:val="04A0"/>
        </w:tblPrEx>
        <w:trPr>
          <w:trHeight w:val="881"/>
          <w:tblHeader/>
          <w:jc w:val="center"/>
        </w:trPr>
        <w:tc>
          <w:tcPr>
            <w:tcW w:w="1401" w:type="dxa"/>
            <w:vMerge/>
            <w:vAlign w:val="center"/>
            <w:hideMark/>
          </w:tcPr>
          <w:p w:rsidR="00A0318C" w:rsidRPr="00175361" w:rsidP="00A0318C" w14:paraId="7F4940E9" w14:textId="77777777">
            <w:pPr>
              <w:autoSpaceDE/>
              <w:autoSpaceDN/>
              <w:adjustRightInd/>
              <w:rPr>
                <w:rFonts w:cs="Arial"/>
                <w:b/>
                <w:bCs/>
              </w:rPr>
            </w:pPr>
          </w:p>
        </w:tc>
        <w:tc>
          <w:tcPr>
            <w:tcW w:w="2199" w:type="dxa"/>
            <w:vMerge/>
            <w:vAlign w:val="center"/>
            <w:hideMark/>
          </w:tcPr>
          <w:p w:rsidR="00A0318C" w:rsidRPr="00175361" w:rsidP="00A0318C" w14:paraId="7F4940EA" w14:textId="77777777">
            <w:pPr>
              <w:autoSpaceDE/>
              <w:autoSpaceDN/>
              <w:adjustRightInd/>
              <w:rPr>
                <w:rFonts w:cs="Arial"/>
                <w:b/>
                <w:bCs/>
              </w:rPr>
            </w:pPr>
          </w:p>
        </w:tc>
        <w:tc>
          <w:tcPr>
            <w:tcW w:w="1080" w:type="dxa"/>
            <w:shd w:val="clear" w:color="auto" w:fill="auto"/>
            <w:vAlign w:val="center"/>
            <w:hideMark/>
          </w:tcPr>
          <w:p w:rsidR="00A0318C" w:rsidRPr="00175361" w:rsidP="00A0318C" w14:paraId="7F4940EB" w14:textId="77777777">
            <w:pPr>
              <w:autoSpaceDE/>
              <w:autoSpaceDN/>
              <w:adjustRightInd/>
              <w:jc w:val="center"/>
              <w:rPr>
                <w:rFonts w:cs="Arial"/>
                <w:b/>
                <w:bCs/>
              </w:rPr>
            </w:pPr>
            <w:r w:rsidRPr="00175361">
              <w:rPr>
                <w:rFonts w:cs="Arial"/>
                <w:b/>
                <w:bCs/>
              </w:rPr>
              <w:t>Low / Medium / High</w:t>
            </w:r>
          </w:p>
        </w:tc>
        <w:tc>
          <w:tcPr>
            <w:tcW w:w="990" w:type="dxa"/>
            <w:shd w:val="clear" w:color="auto" w:fill="auto"/>
            <w:vAlign w:val="center"/>
            <w:hideMark/>
          </w:tcPr>
          <w:p w:rsidR="00A0318C" w:rsidRPr="00175361" w:rsidP="00C8113D" w14:paraId="7F4940EC" w14:textId="77777777">
            <w:pPr>
              <w:autoSpaceDE/>
              <w:autoSpaceDN/>
              <w:adjustRightInd/>
              <w:jc w:val="center"/>
              <w:rPr>
                <w:rFonts w:cs="Arial"/>
                <w:b/>
                <w:bCs/>
              </w:rPr>
            </w:pPr>
            <w:r w:rsidRPr="00175361">
              <w:rPr>
                <w:rFonts w:cs="Arial"/>
                <w:b/>
                <w:bCs/>
              </w:rPr>
              <w:t>Other NPUFs</w:t>
            </w:r>
          </w:p>
        </w:tc>
        <w:tc>
          <w:tcPr>
            <w:tcW w:w="1170" w:type="dxa"/>
            <w:shd w:val="clear" w:color="auto" w:fill="auto"/>
            <w:vAlign w:val="center"/>
            <w:hideMark/>
          </w:tcPr>
          <w:p w:rsidR="00A0318C" w:rsidRPr="00175361" w:rsidP="00C8113D" w14:paraId="7F4940ED" w14:textId="77777777">
            <w:pPr>
              <w:autoSpaceDE/>
              <w:autoSpaceDN/>
              <w:adjustRightInd/>
              <w:jc w:val="center"/>
              <w:rPr>
                <w:rFonts w:cs="Arial"/>
                <w:b/>
                <w:bCs/>
              </w:rPr>
            </w:pPr>
            <w:r w:rsidRPr="00175361">
              <w:rPr>
                <w:rFonts w:cs="Arial"/>
                <w:b/>
                <w:bCs/>
              </w:rPr>
              <w:t>Low / Medium / High</w:t>
            </w:r>
          </w:p>
        </w:tc>
        <w:tc>
          <w:tcPr>
            <w:tcW w:w="990" w:type="dxa"/>
            <w:shd w:val="clear" w:color="auto" w:fill="auto"/>
            <w:vAlign w:val="center"/>
            <w:hideMark/>
          </w:tcPr>
          <w:p w:rsidR="00A0318C" w:rsidP="00C8113D" w14:paraId="7F4940EE" w14:textId="77777777">
            <w:pPr>
              <w:autoSpaceDE/>
              <w:autoSpaceDN/>
              <w:adjustRightInd/>
              <w:jc w:val="center"/>
              <w:rPr>
                <w:rFonts w:cs="Arial"/>
                <w:b/>
                <w:bCs/>
              </w:rPr>
            </w:pPr>
            <w:r w:rsidRPr="00175361">
              <w:rPr>
                <w:rFonts w:cs="Arial"/>
                <w:b/>
                <w:bCs/>
              </w:rPr>
              <w:t>Other NPUFs</w:t>
            </w:r>
          </w:p>
          <w:p w:rsidR="00A0318C" w:rsidRPr="00A4287A" w:rsidP="00C8113D" w14:paraId="7F4940EF" w14:textId="77777777">
            <w:pPr>
              <w:jc w:val="center"/>
              <w:rPr>
                <w:rFonts w:cs="Arial"/>
              </w:rPr>
            </w:pPr>
          </w:p>
        </w:tc>
        <w:tc>
          <w:tcPr>
            <w:tcW w:w="1260" w:type="dxa"/>
            <w:vMerge/>
            <w:vAlign w:val="center"/>
            <w:hideMark/>
          </w:tcPr>
          <w:p w:rsidR="00A0318C" w:rsidRPr="00175361" w:rsidP="00A0318C" w14:paraId="7F4940F0" w14:textId="77777777">
            <w:pPr>
              <w:autoSpaceDE/>
              <w:autoSpaceDN/>
              <w:adjustRightInd/>
              <w:rPr>
                <w:rFonts w:cs="Arial"/>
                <w:b/>
                <w:bCs/>
              </w:rPr>
            </w:pPr>
          </w:p>
        </w:tc>
        <w:tc>
          <w:tcPr>
            <w:tcW w:w="1350" w:type="dxa"/>
            <w:vMerge/>
            <w:vAlign w:val="center"/>
            <w:hideMark/>
          </w:tcPr>
          <w:p w:rsidR="00A0318C" w:rsidRPr="00175361" w:rsidP="00A0318C" w14:paraId="7F4940F1" w14:textId="77777777">
            <w:pPr>
              <w:autoSpaceDE/>
              <w:autoSpaceDN/>
              <w:adjustRightInd/>
              <w:rPr>
                <w:rFonts w:cs="Arial"/>
                <w:b/>
                <w:bCs/>
                <w:color w:val="000000"/>
              </w:rPr>
            </w:pPr>
          </w:p>
        </w:tc>
        <w:tc>
          <w:tcPr>
            <w:tcW w:w="1440" w:type="dxa"/>
            <w:vMerge/>
            <w:vAlign w:val="center"/>
            <w:hideMark/>
          </w:tcPr>
          <w:p w:rsidR="00A0318C" w:rsidRPr="00175361" w:rsidP="00A0318C" w14:paraId="7F4940F2" w14:textId="77777777">
            <w:pPr>
              <w:autoSpaceDE/>
              <w:autoSpaceDN/>
              <w:adjustRightInd/>
              <w:rPr>
                <w:rFonts w:cs="Arial"/>
                <w:b/>
                <w:bCs/>
                <w:color w:val="000000"/>
              </w:rPr>
            </w:pPr>
          </w:p>
        </w:tc>
      </w:tr>
      <w:tr w14:paraId="7F4940F5" w14:textId="77777777" w:rsidTr="00651BE0">
        <w:tblPrEx>
          <w:tblW w:w="11880" w:type="dxa"/>
          <w:jc w:val="center"/>
          <w:tblLayout w:type="fixed"/>
          <w:tblLook w:val="04A0"/>
        </w:tblPrEx>
        <w:trPr>
          <w:trHeight w:val="390"/>
          <w:tblHeader/>
          <w:jc w:val="center"/>
        </w:trPr>
        <w:tc>
          <w:tcPr>
            <w:tcW w:w="11880" w:type="dxa"/>
            <w:gridSpan w:val="9"/>
            <w:shd w:val="clear" w:color="000000" w:fill="D9D9D9"/>
            <w:vAlign w:val="center"/>
            <w:hideMark/>
          </w:tcPr>
          <w:p w:rsidR="00A0318C" w:rsidRPr="00175361" w:rsidP="00A0318C" w14:paraId="7F4940F4" w14:textId="77777777">
            <w:pPr>
              <w:autoSpaceDE/>
              <w:autoSpaceDN/>
              <w:adjustRightInd/>
              <w:jc w:val="center"/>
              <w:rPr>
                <w:rFonts w:cs="Arial"/>
                <w:b/>
                <w:bCs/>
                <w:color w:val="000000"/>
              </w:rPr>
            </w:pPr>
            <w:r>
              <w:rPr>
                <w:rFonts w:cs="Arial"/>
                <w:b/>
                <w:bCs/>
                <w:color w:val="000000"/>
              </w:rPr>
              <w:t>Licensee</w:t>
            </w:r>
            <w:r w:rsidRPr="00175361">
              <w:rPr>
                <w:rFonts w:cs="Arial"/>
                <w:b/>
                <w:bCs/>
                <w:color w:val="000000"/>
              </w:rPr>
              <w:t xml:space="preserve"> Implementation (One-Time) Costs</w:t>
            </w:r>
          </w:p>
        </w:tc>
      </w:tr>
      <w:tr w14:paraId="7F4940FF" w14:textId="77777777" w:rsidTr="00651BE0">
        <w:tblPrEx>
          <w:tblW w:w="11880" w:type="dxa"/>
          <w:jc w:val="center"/>
          <w:tblLayout w:type="fixed"/>
          <w:tblLook w:val="04A0"/>
        </w:tblPrEx>
        <w:trPr>
          <w:trHeight w:val="390"/>
          <w:jc w:val="center"/>
        </w:trPr>
        <w:tc>
          <w:tcPr>
            <w:tcW w:w="1401" w:type="dxa"/>
            <w:vMerge w:val="restart"/>
            <w:shd w:val="clear" w:color="auto" w:fill="auto"/>
            <w:vAlign w:val="center"/>
            <w:hideMark/>
          </w:tcPr>
          <w:p w:rsidR="00A0318C" w:rsidRPr="00175361" w:rsidP="00651BE0" w14:paraId="7F4940F6" w14:textId="77777777">
            <w:pPr>
              <w:autoSpaceDE/>
              <w:autoSpaceDN/>
              <w:adjustRightInd/>
              <w:jc w:val="center"/>
              <w:rPr>
                <w:rFonts w:cs="Arial"/>
                <w:b/>
                <w:bCs/>
              </w:rPr>
            </w:pPr>
            <w:r w:rsidRPr="00175361">
              <w:rPr>
                <w:rFonts w:cs="Arial"/>
                <w:b/>
                <w:bCs/>
              </w:rPr>
              <w:t xml:space="preserve">Reviewing </w:t>
            </w:r>
            <w:r w:rsidR="00651BE0">
              <w:rPr>
                <w:rFonts w:cs="Arial"/>
                <w:b/>
                <w:bCs/>
              </w:rPr>
              <w:t>F</w:t>
            </w:r>
            <w:r w:rsidRPr="00175361">
              <w:rPr>
                <w:rFonts w:cs="Arial"/>
                <w:b/>
                <w:bCs/>
              </w:rPr>
              <w:t xml:space="preserve">inalized </w:t>
            </w:r>
            <w:r w:rsidR="00651BE0">
              <w:rPr>
                <w:rFonts w:cs="Arial"/>
                <w:b/>
                <w:bCs/>
              </w:rPr>
              <w:t>R</w:t>
            </w:r>
            <w:r w:rsidRPr="00175361">
              <w:rPr>
                <w:rFonts w:cs="Arial"/>
                <w:b/>
                <w:bCs/>
              </w:rPr>
              <w:t>ule</w:t>
            </w:r>
          </w:p>
        </w:tc>
        <w:tc>
          <w:tcPr>
            <w:tcW w:w="2199" w:type="dxa"/>
            <w:shd w:val="clear" w:color="auto" w:fill="auto"/>
            <w:noWrap/>
            <w:vAlign w:val="center"/>
            <w:hideMark/>
          </w:tcPr>
          <w:p w:rsidR="00A0318C" w:rsidRPr="00175361" w:rsidP="00A0318C" w14:paraId="7F4940F7" w14:textId="77777777">
            <w:pPr>
              <w:autoSpaceDE/>
              <w:autoSpaceDN/>
              <w:adjustRightInd/>
              <w:rPr>
                <w:rFonts w:cs="Arial"/>
                <w:color w:val="000000"/>
              </w:rPr>
            </w:pPr>
            <w:r w:rsidRPr="00175361">
              <w:rPr>
                <w:rFonts w:cs="Arial"/>
                <w:color w:val="000000"/>
              </w:rPr>
              <w:t>Reactor Director / Professor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Project Manager</w:t>
            </w:r>
          </w:p>
        </w:tc>
        <w:tc>
          <w:tcPr>
            <w:tcW w:w="1080" w:type="dxa"/>
            <w:vMerge w:val="restart"/>
            <w:shd w:val="clear" w:color="auto" w:fill="auto"/>
            <w:vAlign w:val="center"/>
            <w:hideMark/>
          </w:tcPr>
          <w:p w:rsidR="00A0318C" w:rsidRPr="00175361" w:rsidP="00A0318C" w14:paraId="7F4940F8" w14:textId="77777777">
            <w:pPr>
              <w:autoSpaceDE/>
              <w:autoSpaceDN/>
              <w:adjustRightInd/>
              <w:jc w:val="center"/>
              <w:rPr>
                <w:rFonts w:cs="Arial"/>
              </w:rPr>
            </w:pPr>
            <w:r w:rsidRPr="00175361">
              <w:rPr>
                <w:rFonts w:cs="Arial"/>
              </w:rPr>
              <w:t>12</w:t>
            </w:r>
          </w:p>
        </w:tc>
        <w:tc>
          <w:tcPr>
            <w:tcW w:w="990" w:type="dxa"/>
            <w:vMerge w:val="restart"/>
            <w:shd w:val="clear" w:color="auto" w:fill="auto"/>
            <w:vAlign w:val="center"/>
            <w:hideMark/>
          </w:tcPr>
          <w:p w:rsidR="00A0318C" w:rsidRPr="00175361" w:rsidP="00A0318C" w14:paraId="7F4940F9" w14:textId="77777777">
            <w:pPr>
              <w:autoSpaceDE/>
              <w:autoSpaceDN/>
              <w:adjustRightInd/>
              <w:jc w:val="center"/>
              <w:rPr>
                <w:rFonts w:cs="Arial"/>
              </w:rPr>
            </w:pPr>
            <w:r w:rsidRPr="00175361">
              <w:rPr>
                <w:rFonts w:cs="Arial"/>
              </w:rPr>
              <w:t>12</w:t>
            </w:r>
          </w:p>
        </w:tc>
        <w:tc>
          <w:tcPr>
            <w:tcW w:w="1170" w:type="dxa"/>
            <w:shd w:val="clear" w:color="000000" w:fill="FFFFFF"/>
            <w:noWrap/>
            <w:vAlign w:val="center"/>
            <w:hideMark/>
          </w:tcPr>
          <w:p w:rsidR="00A0318C" w:rsidRPr="00175361" w:rsidP="00A0318C" w14:paraId="7F4940FA" w14:textId="77777777">
            <w:pPr>
              <w:autoSpaceDE/>
              <w:autoSpaceDN/>
              <w:adjustRightInd/>
              <w:jc w:val="center"/>
              <w:rPr>
                <w:rFonts w:cs="Arial"/>
                <w:color w:val="000000"/>
              </w:rPr>
            </w:pPr>
            <w:r w:rsidRPr="00CB2311">
              <w:rPr>
                <w:rFonts w:cs="Arial"/>
                <w:color w:val="000000"/>
              </w:rPr>
              <w:t>$56.65</w:t>
            </w:r>
          </w:p>
        </w:tc>
        <w:tc>
          <w:tcPr>
            <w:tcW w:w="990" w:type="dxa"/>
            <w:shd w:val="clear" w:color="000000" w:fill="FFFFFF"/>
            <w:noWrap/>
            <w:vAlign w:val="center"/>
            <w:hideMark/>
          </w:tcPr>
          <w:p w:rsidR="00A0318C" w:rsidRPr="00175361" w:rsidP="00A0318C" w14:paraId="7F4940FB" w14:textId="77777777">
            <w:pPr>
              <w:autoSpaceDE/>
              <w:autoSpaceDN/>
              <w:adjustRightInd/>
              <w:jc w:val="center"/>
              <w:rPr>
                <w:rFonts w:cs="Arial"/>
                <w:color w:val="000000"/>
              </w:rPr>
            </w:pPr>
            <w:r w:rsidRPr="00CB2311">
              <w:rPr>
                <w:rFonts w:cs="Arial"/>
                <w:color w:val="000000"/>
              </w:rPr>
              <w:t>$63.68</w:t>
            </w:r>
          </w:p>
        </w:tc>
        <w:tc>
          <w:tcPr>
            <w:tcW w:w="1260" w:type="dxa"/>
            <w:shd w:val="clear" w:color="auto" w:fill="auto"/>
            <w:noWrap/>
            <w:vAlign w:val="center"/>
            <w:hideMark/>
          </w:tcPr>
          <w:p w:rsidR="00A0318C" w:rsidRPr="00175361" w:rsidP="00A0318C" w14:paraId="7F4940FC"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0FD" w14:textId="77777777">
            <w:pPr>
              <w:autoSpaceDE/>
              <w:autoSpaceDN/>
              <w:adjustRightInd/>
              <w:jc w:val="center"/>
              <w:rPr>
                <w:rFonts w:cs="Arial"/>
                <w:color w:val="000000"/>
              </w:rPr>
            </w:pPr>
            <w:r>
              <w:rPr>
                <w:rFonts w:cs="Arial"/>
                <w:color w:val="000000"/>
              </w:rPr>
              <w:t>(</w:t>
            </w:r>
            <w:r w:rsidRPr="00CB2311">
              <w:rPr>
                <w:rFonts w:cs="Arial"/>
                <w:color w:val="000000"/>
              </w:rPr>
              <w:t>$680</w:t>
            </w:r>
            <w:r>
              <w:rPr>
                <w:rFonts w:cs="Arial"/>
                <w:color w:val="000000"/>
              </w:rPr>
              <w:t>)</w:t>
            </w:r>
          </w:p>
        </w:tc>
        <w:tc>
          <w:tcPr>
            <w:tcW w:w="1440" w:type="dxa"/>
            <w:shd w:val="clear" w:color="auto" w:fill="auto"/>
            <w:noWrap/>
            <w:vAlign w:val="center"/>
            <w:hideMark/>
          </w:tcPr>
          <w:p w:rsidR="00A0318C" w:rsidRPr="00175361" w:rsidP="00A0318C" w14:paraId="7F4940FE" w14:textId="77777777">
            <w:pPr>
              <w:autoSpaceDE/>
              <w:autoSpaceDN/>
              <w:adjustRightInd/>
              <w:jc w:val="center"/>
              <w:rPr>
                <w:rFonts w:cs="Arial"/>
                <w:color w:val="000000"/>
              </w:rPr>
            </w:pPr>
            <w:r>
              <w:rPr>
                <w:rFonts w:cs="Arial"/>
                <w:color w:val="000000"/>
              </w:rPr>
              <w:t>(</w:t>
            </w:r>
            <w:r w:rsidRPr="00CB2311">
              <w:rPr>
                <w:rFonts w:cs="Arial"/>
                <w:color w:val="000000"/>
              </w:rPr>
              <w:t>$764</w:t>
            </w:r>
            <w:r>
              <w:rPr>
                <w:rFonts w:cs="Arial"/>
                <w:color w:val="000000"/>
              </w:rPr>
              <w:t>)</w:t>
            </w:r>
          </w:p>
        </w:tc>
      </w:tr>
      <w:tr w14:paraId="7F494109"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00"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01" w14:textId="77777777">
            <w:pPr>
              <w:autoSpaceDE/>
              <w:autoSpaceDN/>
              <w:adjustRightInd/>
              <w:rPr>
                <w:rFonts w:cs="Arial"/>
                <w:color w:val="000000"/>
              </w:rPr>
            </w:pPr>
            <w:r>
              <w:rPr>
                <w:rFonts w:cs="Arial"/>
                <w:color w:val="000000"/>
              </w:rPr>
              <w:t>NPUF Operator</w:t>
            </w:r>
            <w:r w:rsidRPr="00175361">
              <w:rPr>
                <w:rFonts w:cs="Arial"/>
                <w:color w:val="000000"/>
              </w:rPr>
              <w:t xml:space="preserve"> /</w:t>
            </w:r>
            <w:r>
              <w:rPr>
                <w:rFonts w:cs="Arial"/>
                <w:color w:val="000000"/>
              </w:rPr>
              <w:t xml:space="preserve">   </w:t>
            </w:r>
            <w:r w:rsidRPr="00175361">
              <w:rPr>
                <w:rFonts w:cs="Arial"/>
                <w:color w:val="000000"/>
              </w:rPr>
              <w:t xml:space="preserve"> Asst. Dir.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Nuclear Engineer</w:t>
            </w:r>
          </w:p>
        </w:tc>
        <w:tc>
          <w:tcPr>
            <w:tcW w:w="1080" w:type="dxa"/>
            <w:vMerge/>
            <w:vAlign w:val="center"/>
            <w:hideMark/>
          </w:tcPr>
          <w:p w:rsidR="00A0318C" w:rsidRPr="00175361" w:rsidP="00A0318C" w14:paraId="7F494102" w14:textId="77777777">
            <w:pPr>
              <w:autoSpaceDE/>
              <w:autoSpaceDN/>
              <w:adjustRightInd/>
              <w:rPr>
                <w:rFonts w:cs="Arial"/>
              </w:rPr>
            </w:pPr>
          </w:p>
        </w:tc>
        <w:tc>
          <w:tcPr>
            <w:tcW w:w="990" w:type="dxa"/>
            <w:vMerge/>
            <w:vAlign w:val="center"/>
            <w:hideMark/>
          </w:tcPr>
          <w:p w:rsidR="00A0318C" w:rsidRPr="00175361" w:rsidP="00A0318C" w14:paraId="7F494103"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04" w14:textId="77777777">
            <w:pPr>
              <w:autoSpaceDE/>
              <w:autoSpaceDN/>
              <w:adjustRightInd/>
              <w:jc w:val="center"/>
              <w:rPr>
                <w:rFonts w:cs="Arial"/>
                <w:color w:val="000000"/>
              </w:rPr>
            </w:pPr>
            <w:r w:rsidRPr="00CB2311">
              <w:rPr>
                <w:rFonts w:cs="Arial"/>
                <w:color w:val="000000"/>
              </w:rPr>
              <w:t>$48.67</w:t>
            </w:r>
          </w:p>
        </w:tc>
        <w:tc>
          <w:tcPr>
            <w:tcW w:w="990" w:type="dxa"/>
            <w:shd w:val="clear" w:color="000000" w:fill="FFFFFF"/>
            <w:noWrap/>
            <w:vAlign w:val="center"/>
            <w:hideMark/>
          </w:tcPr>
          <w:p w:rsidR="00A0318C" w:rsidRPr="00175361" w:rsidP="00A0318C" w14:paraId="7F494105" w14:textId="77777777">
            <w:pPr>
              <w:autoSpaceDE/>
              <w:autoSpaceDN/>
              <w:adjustRightInd/>
              <w:jc w:val="center"/>
              <w:rPr>
                <w:rFonts w:cs="Arial"/>
                <w:color w:val="000000"/>
              </w:rPr>
            </w:pPr>
            <w:r w:rsidRPr="00CB2311">
              <w:rPr>
                <w:rFonts w:cs="Arial"/>
                <w:color w:val="000000"/>
              </w:rPr>
              <w:t>$56.18</w:t>
            </w:r>
          </w:p>
        </w:tc>
        <w:tc>
          <w:tcPr>
            <w:tcW w:w="1260" w:type="dxa"/>
            <w:shd w:val="clear" w:color="auto" w:fill="auto"/>
            <w:noWrap/>
            <w:vAlign w:val="center"/>
            <w:hideMark/>
          </w:tcPr>
          <w:p w:rsidR="00A0318C" w:rsidRPr="00175361" w:rsidP="00A0318C" w14:paraId="7F494106"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07" w14:textId="77777777">
            <w:pPr>
              <w:autoSpaceDE/>
              <w:autoSpaceDN/>
              <w:adjustRightInd/>
              <w:jc w:val="center"/>
              <w:rPr>
                <w:rFonts w:cs="Arial"/>
                <w:color w:val="000000"/>
              </w:rPr>
            </w:pPr>
            <w:r>
              <w:rPr>
                <w:rFonts w:cs="Arial"/>
                <w:color w:val="000000"/>
              </w:rPr>
              <w:t>(</w:t>
            </w:r>
            <w:r w:rsidRPr="00CB2311">
              <w:rPr>
                <w:rFonts w:cs="Arial"/>
                <w:color w:val="000000"/>
              </w:rPr>
              <w:t>$584</w:t>
            </w:r>
            <w:r>
              <w:rPr>
                <w:rFonts w:cs="Arial"/>
                <w:color w:val="000000"/>
              </w:rPr>
              <w:t>)</w:t>
            </w:r>
          </w:p>
        </w:tc>
        <w:tc>
          <w:tcPr>
            <w:tcW w:w="1440" w:type="dxa"/>
            <w:shd w:val="clear" w:color="auto" w:fill="auto"/>
            <w:noWrap/>
            <w:vAlign w:val="center"/>
            <w:hideMark/>
          </w:tcPr>
          <w:p w:rsidR="00A0318C" w:rsidRPr="00175361" w:rsidP="00A0318C" w14:paraId="7F494108" w14:textId="77777777">
            <w:pPr>
              <w:autoSpaceDE/>
              <w:autoSpaceDN/>
              <w:adjustRightInd/>
              <w:jc w:val="center"/>
              <w:rPr>
                <w:rFonts w:cs="Arial"/>
                <w:color w:val="000000"/>
              </w:rPr>
            </w:pPr>
            <w:r>
              <w:rPr>
                <w:rFonts w:cs="Arial"/>
                <w:color w:val="000000"/>
              </w:rPr>
              <w:t>(</w:t>
            </w:r>
            <w:r w:rsidRPr="00CB2311">
              <w:rPr>
                <w:rFonts w:cs="Arial"/>
                <w:color w:val="000000"/>
              </w:rPr>
              <w:t>$674</w:t>
            </w:r>
            <w:r>
              <w:rPr>
                <w:rFonts w:cs="Arial"/>
                <w:color w:val="000000"/>
              </w:rPr>
              <w:t>)</w:t>
            </w:r>
          </w:p>
        </w:tc>
      </w:tr>
      <w:tr w14:paraId="7F494113"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0A"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0B" w14:textId="77777777">
            <w:pPr>
              <w:autoSpaceDE/>
              <w:autoSpaceDN/>
              <w:adjustRightInd/>
              <w:rPr>
                <w:rFonts w:cs="Arial"/>
                <w:color w:val="000000"/>
              </w:rPr>
            </w:pPr>
            <w:r w:rsidRPr="00175361">
              <w:rPr>
                <w:rFonts w:cs="Arial"/>
                <w:color w:val="000000"/>
              </w:rPr>
              <w:t>Nuclear Technician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General Engineer</w:t>
            </w:r>
          </w:p>
        </w:tc>
        <w:tc>
          <w:tcPr>
            <w:tcW w:w="1080" w:type="dxa"/>
            <w:vMerge/>
            <w:vAlign w:val="center"/>
            <w:hideMark/>
          </w:tcPr>
          <w:p w:rsidR="00A0318C" w:rsidRPr="00175361" w:rsidP="00A0318C" w14:paraId="7F49410C" w14:textId="77777777">
            <w:pPr>
              <w:autoSpaceDE/>
              <w:autoSpaceDN/>
              <w:adjustRightInd/>
              <w:rPr>
                <w:rFonts w:cs="Arial"/>
              </w:rPr>
            </w:pPr>
          </w:p>
        </w:tc>
        <w:tc>
          <w:tcPr>
            <w:tcW w:w="990" w:type="dxa"/>
            <w:vMerge/>
            <w:vAlign w:val="center"/>
            <w:hideMark/>
          </w:tcPr>
          <w:p w:rsidR="00A0318C" w:rsidRPr="00175361" w:rsidP="00A0318C" w14:paraId="7F49410D"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0E" w14:textId="77777777">
            <w:pPr>
              <w:autoSpaceDE/>
              <w:autoSpaceDN/>
              <w:adjustRightInd/>
              <w:jc w:val="center"/>
              <w:rPr>
                <w:rFonts w:cs="Arial"/>
                <w:color w:val="000000"/>
              </w:rPr>
            </w:pPr>
            <w:r w:rsidRPr="00CB2311">
              <w:rPr>
                <w:rFonts w:cs="Arial"/>
                <w:color w:val="000000"/>
              </w:rPr>
              <w:t>$41.27</w:t>
            </w:r>
          </w:p>
        </w:tc>
        <w:tc>
          <w:tcPr>
            <w:tcW w:w="990" w:type="dxa"/>
            <w:shd w:val="clear" w:color="000000" w:fill="FFFFFF"/>
            <w:noWrap/>
            <w:vAlign w:val="center"/>
            <w:hideMark/>
          </w:tcPr>
          <w:p w:rsidR="00A0318C" w:rsidRPr="00175361" w:rsidP="00A0318C" w14:paraId="7F49410F" w14:textId="77777777">
            <w:pPr>
              <w:autoSpaceDE/>
              <w:autoSpaceDN/>
              <w:adjustRightInd/>
              <w:jc w:val="center"/>
              <w:rPr>
                <w:rFonts w:cs="Arial"/>
                <w:color w:val="000000"/>
              </w:rPr>
            </w:pPr>
            <w:r w:rsidRPr="00CB2311">
              <w:rPr>
                <w:rFonts w:cs="Arial"/>
                <w:color w:val="000000"/>
              </w:rPr>
              <w:t>$50.65</w:t>
            </w:r>
          </w:p>
        </w:tc>
        <w:tc>
          <w:tcPr>
            <w:tcW w:w="1260" w:type="dxa"/>
            <w:shd w:val="clear" w:color="auto" w:fill="auto"/>
            <w:noWrap/>
            <w:vAlign w:val="center"/>
            <w:hideMark/>
          </w:tcPr>
          <w:p w:rsidR="00A0318C" w:rsidRPr="00175361" w:rsidP="00A0318C" w14:paraId="7F494110"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11"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12"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1D"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14"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15" w14:textId="77777777">
            <w:pPr>
              <w:autoSpaceDE/>
              <w:autoSpaceDN/>
              <w:adjustRightInd/>
              <w:rPr>
                <w:rFonts w:cs="Arial"/>
                <w:color w:val="000000"/>
              </w:rPr>
            </w:pPr>
            <w:r w:rsidRPr="00175361">
              <w:rPr>
                <w:rFonts w:cs="Arial"/>
                <w:color w:val="000000"/>
              </w:rPr>
              <w:t>Graduate Student</w:t>
            </w:r>
          </w:p>
        </w:tc>
        <w:tc>
          <w:tcPr>
            <w:tcW w:w="1080" w:type="dxa"/>
            <w:vMerge/>
            <w:vAlign w:val="center"/>
            <w:hideMark/>
          </w:tcPr>
          <w:p w:rsidR="00A0318C" w:rsidRPr="00175361" w:rsidP="00A0318C" w14:paraId="7F494116" w14:textId="77777777">
            <w:pPr>
              <w:autoSpaceDE/>
              <w:autoSpaceDN/>
              <w:adjustRightInd/>
              <w:rPr>
                <w:rFonts w:cs="Arial"/>
              </w:rPr>
            </w:pPr>
          </w:p>
        </w:tc>
        <w:tc>
          <w:tcPr>
            <w:tcW w:w="990" w:type="dxa"/>
            <w:vMerge/>
            <w:vAlign w:val="center"/>
            <w:hideMark/>
          </w:tcPr>
          <w:p w:rsidR="00A0318C" w:rsidRPr="00175361" w:rsidP="00A0318C" w14:paraId="7F494117"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18" w14:textId="77777777">
            <w:pPr>
              <w:autoSpaceDE/>
              <w:autoSpaceDN/>
              <w:adjustRightInd/>
              <w:jc w:val="center"/>
              <w:rPr>
                <w:rFonts w:cs="Arial"/>
                <w:color w:val="000000"/>
              </w:rPr>
            </w:pPr>
            <w:r w:rsidRPr="00CB2311">
              <w:rPr>
                <w:rFonts w:cs="Arial"/>
                <w:color w:val="000000"/>
              </w:rPr>
              <w:t>$19.46</w:t>
            </w:r>
          </w:p>
        </w:tc>
        <w:tc>
          <w:tcPr>
            <w:tcW w:w="990" w:type="dxa"/>
            <w:shd w:val="clear" w:color="000000" w:fill="FFFFFF"/>
            <w:noWrap/>
            <w:vAlign w:val="center"/>
            <w:hideMark/>
          </w:tcPr>
          <w:p w:rsidR="00A0318C" w:rsidRPr="00175361" w:rsidP="00A0318C" w14:paraId="7F494119" w14:textId="77777777">
            <w:pPr>
              <w:autoSpaceDE/>
              <w:autoSpaceDN/>
              <w:adjustRightInd/>
              <w:jc w:val="center"/>
              <w:rPr>
                <w:rFonts w:cs="Arial"/>
                <w:color w:val="000000"/>
              </w:rPr>
            </w:pPr>
            <w:r w:rsidRPr="00CB2311">
              <w:rPr>
                <w:rFonts w:cs="Arial"/>
                <w:color w:val="000000"/>
              </w:rPr>
              <w:t>$19.46</w:t>
            </w:r>
          </w:p>
        </w:tc>
        <w:tc>
          <w:tcPr>
            <w:tcW w:w="1260" w:type="dxa"/>
            <w:shd w:val="clear" w:color="auto" w:fill="auto"/>
            <w:noWrap/>
            <w:vAlign w:val="center"/>
            <w:hideMark/>
          </w:tcPr>
          <w:p w:rsidR="00A0318C" w:rsidRPr="00175361" w:rsidP="00A0318C" w14:paraId="7F49411A"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1B"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1C"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27" w14:textId="77777777" w:rsidTr="00651BE0">
        <w:tblPrEx>
          <w:tblW w:w="11880" w:type="dxa"/>
          <w:jc w:val="center"/>
          <w:tblLayout w:type="fixed"/>
          <w:tblLook w:val="04A0"/>
        </w:tblPrEx>
        <w:trPr>
          <w:trHeight w:val="398"/>
          <w:jc w:val="center"/>
        </w:trPr>
        <w:tc>
          <w:tcPr>
            <w:tcW w:w="1401" w:type="dxa"/>
            <w:vMerge/>
            <w:vAlign w:val="center"/>
            <w:hideMark/>
          </w:tcPr>
          <w:p w:rsidR="00A0318C" w:rsidRPr="00175361" w:rsidP="00A0318C" w14:paraId="7F49411E"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1F" w14:textId="77777777">
            <w:pPr>
              <w:autoSpaceDE/>
              <w:autoSpaceDN/>
              <w:adjustRightInd/>
              <w:rPr>
                <w:rFonts w:cs="Arial"/>
                <w:color w:val="000000"/>
              </w:rPr>
            </w:pPr>
            <w:r w:rsidRPr="00175361">
              <w:rPr>
                <w:rFonts w:cs="Arial"/>
                <w:color w:val="000000"/>
              </w:rPr>
              <w:t>Institution Admin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Technical Admin</w:t>
            </w:r>
            <w:r w:rsidR="00E37571">
              <w:rPr>
                <w:rFonts w:cs="Arial"/>
                <w:color w:val="000000"/>
              </w:rPr>
              <w:t>.</w:t>
            </w:r>
            <w:r w:rsidRPr="00175361">
              <w:rPr>
                <w:rFonts w:cs="Arial"/>
                <w:color w:val="000000"/>
              </w:rPr>
              <w:t xml:space="preserve"> (Writer)</w:t>
            </w:r>
          </w:p>
        </w:tc>
        <w:tc>
          <w:tcPr>
            <w:tcW w:w="1080" w:type="dxa"/>
            <w:vMerge/>
            <w:vAlign w:val="center"/>
            <w:hideMark/>
          </w:tcPr>
          <w:p w:rsidR="00A0318C" w:rsidRPr="00175361" w:rsidP="00A0318C" w14:paraId="7F494120" w14:textId="77777777">
            <w:pPr>
              <w:autoSpaceDE/>
              <w:autoSpaceDN/>
              <w:adjustRightInd/>
              <w:rPr>
                <w:rFonts w:cs="Arial"/>
              </w:rPr>
            </w:pPr>
          </w:p>
        </w:tc>
        <w:tc>
          <w:tcPr>
            <w:tcW w:w="990" w:type="dxa"/>
            <w:vMerge/>
            <w:vAlign w:val="center"/>
            <w:hideMark/>
          </w:tcPr>
          <w:p w:rsidR="00A0318C" w:rsidRPr="00175361" w:rsidP="00A0318C" w14:paraId="7F494121"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22" w14:textId="77777777">
            <w:pPr>
              <w:autoSpaceDE/>
              <w:autoSpaceDN/>
              <w:adjustRightInd/>
              <w:jc w:val="center"/>
              <w:rPr>
                <w:rFonts w:cs="Arial"/>
                <w:color w:val="000000"/>
              </w:rPr>
            </w:pPr>
            <w:r w:rsidRPr="00CB2311">
              <w:rPr>
                <w:rFonts w:cs="Arial"/>
                <w:color w:val="000000"/>
              </w:rPr>
              <w:t>$55.54</w:t>
            </w:r>
          </w:p>
        </w:tc>
        <w:tc>
          <w:tcPr>
            <w:tcW w:w="990" w:type="dxa"/>
            <w:shd w:val="clear" w:color="000000" w:fill="FFFFFF"/>
            <w:noWrap/>
            <w:vAlign w:val="center"/>
            <w:hideMark/>
          </w:tcPr>
          <w:p w:rsidR="00A0318C" w:rsidRPr="00175361" w:rsidP="00A0318C" w14:paraId="7F494123" w14:textId="77777777">
            <w:pPr>
              <w:autoSpaceDE/>
              <w:autoSpaceDN/>
              <w:adjustRightInd/>
              <w:jc w:val="center"/>
              <w:rPr>
                <w:rFonts w:cs="Arial"/>
                <w:color w:val="000000"/>
              </w:rPr>
            </w:pPr>
            <w:r w:rsidRPr="00CB2311">
              <w:rPr>
                <w:rFonts w:cs="Arial"/>
                <w:color w:val="000000"/>
              </w:rPr>
              <w:t>$38.40</w:t>
            </w:r>
          </w:p>
        </w:tc>
        <w:tc>
          <w:tcPr>
            <w:tcW w:w="1260" w:type="dxa"/>
            <w:shd w:val="clear" w:color="auto" w:fill="auto"/>
            <w:noWrap/>
            <w:vAlign w:val="center"/>
            <w:hideMark/>
          </w:tcPr>
          <w:p w:rsidR="00A0318C" w:rsidRPr="00175361" w:rsidP="00A0318C" w14:paraId="7F494124"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25"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26"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31" w14:textId="77777777" w:rsidTr="00651BE0">
        <w:tblPrEx>
          <w:tblW w:w="11880" w:type="dxa"/>
          <w:jc w:val="center"/>
          <w:tblLayout w:type="fixed"/>
          <w:tblLook w:val="04A0"/>
        </w:tblPrEx>
        <w:trPr>
          <w:trHeight w:val="390"/>
          <w:jc w:val="center"/>
        </w:trPr>
        <w:tc>
          <w:tcPr>
            <w:tcW w:w="1401" w:type="dxa"/>
            <w:vMerge w:val="restart"/>
            <w:shd w:val="clear" w:color="auto" w:fill="auto"/>
            <w:vAlign w:val="center"/>
            <w:hideMark/>
          </w:tcPr>
          <w:p w:rsidR="00A0318C" w:rsidRPr="00175361" w:rsidP="00651BE0" w14:paraId="7F494128" w14:textId="77777777">
            <w:pPr>
              <w:autoSpaceDE/>
              <w:autoSpaceDN/>
              <w:adjustRightInd/>
              <w:jc w:val="center"/>
              <w:rPr>
                <w:rFonts w:cs="Arial"/>
                <w:b/>
                <w:bCs/>
              </w:rPr>
            </w:pPr>
            <w:r w:rsidRPr="00175361">
              <w:rPr>
                <w:rFonts w:cs="Arial"/>
                <w:b/>
                <w:bCs/>
              </w:rPr>
              <w:t>Reviewing NRC</w:t>
            </w:r>
            <w:r w:rsidR="00BA4FA4">
              <w:rPr>
                <w:rFonts w:cs="Arial"/>
                <w:b/>
                <w:bCs/>
              </w:rPr>
              <w:t>-</w:t>
            </w:r>
            <w:r w:rsidR="00651BE0">
              <w:rPr>
                <w:rFonts w:cs="Arial"/>
                <w:b/>
                <w:bCs/>
              </w:rPr>
              <w:t>I</w:t>
            </w:r>
            <w:r w:rsidRPr="00175361">
              <w:rPr>
                <w:rFonts w:cs="Arial"/>
                <w:b/>
                <w:bCs/>
              </w:rPr>
              <w:t xml:space="preserve">ssued </w:t>
            </w:r>
            <w:r w:rsidR="00651BE0">
              <w:rPr>
                <w:rFonts w:cs="Arial"/>
                <w:b/>
                <w:bCs/>
              </w:rPr>
              <w:t>G</w:t>
            </w:r>
            <w:r w:rsidRPr="00175361">
              <w:rPr>
                <w:rFonts w:cs="Arial"/>
                <w:b/>
                <w:bCs/>
              </w:rPr>
              <w:t xml:space="preserve">uidance </w:t>
            </w:r>
            <w:r w:rsidR="00651BE0">
              <w:rPr>
                <w:rFonts w:cs="Arial"/>
                <w:b/>
                <w:bCs/>
              </w:rPr>
              <w:t>D</w:t>
            </w:r>
            <w:r w:rsidRPr="00175361">
              <w:rPr>
                <w:rFonts w:cs="Arial"/>
                <w:b/>
                <w:bCs/>
              </w:rPr>
              <w:t>ocuments</w:t>
            </w:r>
          </w:p>
        </w:tc>
        <w:tc>
          <w:tcPr>
            <w:tcW w:w="2199" w:type="dxa"/>
            <w:shd w:val="clear" w:color="auto" w:fill="auto"/>
            <w:noWrap/>
            <w:vAlign w:val="center"/>
            <w:hideMark/>
          </w:tcPr>
          <w:p w:rsidR="00A0318C" w:rsidRPr="00175361" w:rsidP="00A0318C" w14:paraId="7F494129" w14:textId="77777777">
            <w:pPr>
              <w:autoSpaceDE/>
              <w:autoSpaceDN/>
              <w:adjustRightInd/>
              <w:rPr>
                <w:rFonts w:cs="Arial"/>
                <w:color w:val="000000"/>
              </w:rPr>
            </w:pPr>
            <w:r w:rsidRPr="00175361">
              <w:rPr>
                <w:rFonts w:cs="Arial"/>
                <w:color w:val="000000"/>
              </w:rPr>
              <w:t>Reactor Director / Professor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Project Manager</w:t>
            </w:r>
          </w:p>
        </w:tc>
        <w:tc>
          <w:tcPr>
            <w:tcW w:w="1080" w:type="dxa"/>
            <w:vMerge w:val="restart"/>
            <w:shd w:val="clear" w:color="auto" w:fill="auto"/>
            <w:vAlign w:val="center"/>
            <w:hideMark/>
          </w:tcPr>
          <w:p w:rsidR="00A0318C" w:rsidRPr="00175361" w:rsidP="00A0318C" w14:paraId="7F49412A" w14:textId="77777777">
            <w:pPr>
              <w:autoSpaceDE/>
              <w:autoSpaceDN/>
              <w:adjustRightInd/>
              <w:jc w:val="center"/>
              <w:rPr>
                <w:rFonts w:cs="Arial"/>
              </w:rPr>
            </w:pPr>
            <w:r w:rsidRPr="00175361">
              <w:rPr>
                <w:rFonts w:cs="Arial"/>
              </w:rPr>
              <w:t>12</w:t>
            </w:r>
          </w:p>
        </w:tc>
        <w:tc>
          <w:tcPr>
            <w:tcW w:w="990" w:type="dxa"/>
            <w:vMerge w:val="restart"/>
            <w:shd w:val="clear" w:color="auto" w:fill="auto"/>
            <w:vAlign w:val="center"/>
            <w:hideMark/>
          </w:tcPr>
          <w:p w:rsidR="00A0318C" w:rsidRPr="00175361" w:rsidP="00A0318C" w14:paraId="7F49412B" w14:textId="77777777">
            <w:pPr>
              <w:autoSpaceDE/>
              <w:autoSpaceDN/>
              <w:adjustRightInd/>
              <w:jc w:val="center"/>
              <w:rPr>
                <w:rFonts w:cs="Arial"/>
              </w:rPr>
            </w:pPr>
            <w:r w:rsidRPr="00175361">
              <w:rPr>
                <w:rFonts w:cs="Arial"/>
              </w:rPr>
              <w:t>12</w:t>
            </w:r>
          </w:p>
        </w:tc>
        <w:tc>
          <w:tcPr>
            <w:tcW w:w="1170" w:type="dxa"/>
            <w:shd w:val="clear" w:color="000000" w:fill="FFFFFF"/>
            <w:noWrap/>
            <w:vAlign w:val="center"/>
            <w:hideMark/>
          </w:tcPr>
          <w:p w:rsidR="00A0318C" w:rsidRPr="00175361" w:rsidP="00A0318C" w14:paraId="7F49412C" w14:textId="77777777">
            <w:pPr>
              <w:autoSpaceDE/>
              <w:autoSpaceDN/>
              <w:adjustRightInd/>
              <w:jc w:val="center"/>
              <w:rPr>
                <w:rFonts w:cs="Arial"/>
                <w:color w:val="000000"/>
              </w:rPr>
            </w:pPr>
            <w:r w:rsidRPr="00CB2311">
              <w:rPr>
                <w:rFonts w:cs="Arial"/>
                <w:color w:val="000000"/>
              </w:rPr>
              <w:t>$56.65</w:t>
            </w:r>
          </w:p>
        </w:tc>
        <w:tc>
          <w:tcPr>
            <w:tcW w:w="990" w:type="dxa"/>
            <w:shd w:val="clear" w:color="000000" w:fill="FFFFFF"/>
            <w:noWrap/>
            <w:vAlign w:val="center"/>
            <w:hideMark/>
          </w:tcPr>
          <w:p w:rsidR="00A0318C" w:rsidRPr="00175361" w:rsidP="00A0318C" w14:paraId="7F49412D" w14:textId="77777777">
            <w:pPr>
              <w:autoSpaceDE/>
              <w:autoSpaceDN/>
              <w:adjustRightInd/>
              <w:jc w:val="center"/>
              <w:rPr>
                <w:rFonts w:cs="Arial"/>
                <w:color w:val="000000"/>
              </w:rPr>
            </w:pPr>
            <w:r w:rsidRPr="00CB2311">
              <w:rPr>
                <w:rFonts w:cs="Arial"/>
                <w:color w:val="000000"/>
              </w:rPr>
              <w:t>$63.68</w:t>
            </w:r>
          </w:p>
        </w:tc>
        <w:tc>
          <w:tcPr>
            <w:tcW w:w="1260" w:type="dxa"/>
            <w:shd w:val="clear" w:color="auto" w:fill="auto"/>
            <w:noWrap/>
            <w:vAlign w:val="center"/>
            <w:hideMark/>
          </w:tcPr>
          <w:p w:rsidR="00A0318C" w:rsidRPr="00175361" w:rsidP="00A0318C" w14:paraId="7F49412E"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2F" w14:textId="77777777">
            <w:pPr>
              <w:autoSpaceDE/>
              <w:autoSpaceDN/>
              <w:adjustRightInd/>
              <w:jc w:val="center"/>
              <w:rPr>
                <w:rFonts w:cs="Arial"/>
                <w:color w:val="000000"/>
              </w:rPr>
            </w:pPr>
            <w:r>
              <w:rPr>
                <w:rFonts w:cs="Arial"/>
                <w:color w:val="000000"/>
              </w:rPr>
              <w:t>(</w:t>
            </w:r>
            <w:r w:rsidRPr="00CB2311">
              <w:rPr>
                <w:rFonts w:cs="Arial"/>
                <w:color w:val="000000"/>
              </w:rPr>
              <w:t>$408</w:t>
            </w:r>
            <w:r>
              <w:rPr>
                <w:rFonts w:cs="Arial"/>
                <w:color w:val="000000"/>
              </w:rPr>
              <w:t>)</w:t>
            </w:r>
          </w:p>
        </w:tc>
        <w:tc>
          <w:tcPr>
            <w:tcW w:w="1440" w:type="dxa"/>
            <w:shd w:val="clear" w:color="auto" w:fill="auto"/>
            <w:noWrap/>
            <w:vAlign w:val="center"/>
            <w:hideMark/>
          </w:tcPr>
          <w:p w:rsidR="00A0318C" w:rsidRPr="00175361" w:rsidP="00A0318C" w14:paraId="7F494130" w14:textId="77777777">
            <w:pPr>
              <w:autoSpaceDE/>
              <w:autoSpaceDN/>
              <w:adjustRightInd/>
              <w:jc w:val="center"/>
              <w:rPr>
                <w:rFonts w:cs="Arial"/>
                <w:color w:val="000000"/>
              </w:rPr>
            </w:pPr>
            <w:r>
              <w:rPr>
                <w:rFonts w:cs="Arial"/>
                <w:color w:val="000000"/>
              </w:rPr>
              <w:t>(</w:t>
            </w:r>
            <w:r w:rsidRPr="00CB2311">
              <w:rPr>
                <w:rFonts w:cs="Arial"/>
                <w:color w:val="000000"/>
              </w:rPr>
              <w:t>$458</w:t>
            </w:r>
            <w:r>
              <w:rPr>
                <w:rFonts w:cs="Arial"/>
                <w:color w:val="000000"/>
              </w:rPr>
              <w:t>)</w:t>
            </w:r>
          </w:p>
        </w:tc>
      </w:tr>
      <w:tr w14:paraId="7F49413B"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32"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33" w14:textId="77777777">
            <w:pPr>
              <w:autoSpaceDE/>
              <w:autoSpaceDN/>
              <w:adjustRightInd/>
              <w:rPr>
                <w:rFonts w:cs="Arial"/>
                <w:color w:val="000000"/>
              </w:rPr>
            </w:pPr>
            <w:r>
              <w:rPr>
                <w:rFonts w:cs="Arial"/>
                <w:color w:val="000000"/>
              </w:rPr>
              <w:t>NPUF Operator</w:t>
            </w:r>
            <w:r w:rsidRPr="00175361">
              <w:rPr>
                <w:rFonts w:cs="Arial"/>
                <w:color w:val="000000"/>
              </w:rPr>
              <w:t xml:space="preserve"> / </w:t>
            </w:r>
            <w:r>
              <w:rPr>
                <w:rFonts w:cs="Arial"/>
                <w:color w:val="000000"/>
              </w:rPr>
              <w:t xml:space="preserve">    </w:t>
            </w:r>
            <w:r w:rsidRPr="00175361">
              <w:rPr>
                <w:rFonts w:cs="Arial"/>
                <w:color w:val="000000"/>
              </w:rPr>
              <w:t>Asst. Dir.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Nuclear Engineer</w:t>
            </w:r>
          </w:p>
        </w:tc>
        <w:tc>
          <w:tcPr>
            <w:tcW w:w="1080" w:type="dxa"/>
            <w:vMerge/>
            <w:vAlign w:val="center"/>
            <w:hideMark/>
          </w:tcPr>
          <w:p w:rsidR="00A0318C" w:rsidRPr="00175361" w:rsidP="00A0318C" w14:paraId="7F494134" w14:textId="77777777">
            <w:pPr>
              <w:autoSpaceDE/>
              <w:autoSpaceDN/>
              <w:adjustRightInd/>
              <w:rPr>
                <w:rFonts w:cs="Arial"/>
              </w:rPr>
            </w:pPr>
          </w:p>
        </w:tc>
        <w:tc>
          <w:tcPr>
            <w:tcW w:w="990" w:type="dxa"/>
            <w:vMerge/>
            <w:vAlign w:val="center"/>
            <w:hideMark/>
          </w:tcPr>
          <w:p w:rsidR="00A0318C" w:rsidRPr="00175361" w:rsidP="00A0318C" w14:paraId="7F494135"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36" w14:textId="77777777">
            <w:pPr>
              <w:autoSpaceDE/>
              <w:autoSpaceDN/>
              <w:adjustRightInd/>
              <w:jc w:val="center"/>
              <w:rPr>
                <w:rFonts w:cs="Arial"/>
                <w:color w:val="000000"/>
              </w:rPr>
            </w:pPr>
            <w:r w:rsidRPr="00CB2311">
              <w:rPr>
                <w:rFonts w:cs="Arial"/>
                <w:color w:val="000000"/>
              </w:rPr>
              <w:t>$48.67</w:t>
            </w:r>
          </w:p>
        </w:tc>
        <w:tc>
          <w:tcPr>
            <w:tcW w:w="990" w:type="dxa"/>
            <w:shd w:val="clear" w:color="000000" w:fill="FFFFFF"/>
            <w:noWrap/>
            <w:vAlign w:val="center"/>
            <w:hideMark/>
          </w:tcPr>
          <w:p w:rsidR="00A0318C" w:rsidRPr="00175361" w:rsidP="00A0318C" w14:paraId="7F494137" w14:textId="77777777">
            <w:pPr>
              <w:autoSpaceDE/>
              <w:autoSpaceDN/>
              <w:adjustRightInd/>
              <w:jc w:val="center"/>
              <w:rPr>
                <w:rFonts w:cs="Arial"/>
                <w:color w:val="000000"/>
              </w:rPr>
            </w:pPr>
            <w:r w:rsidRPr="00CB2311">
              <w:rPr>
                <w:rFonts w:cs="Arial"/>
                <w:color w:val="000000"/>
              </w:rPr>
              <w:t>$56.18</w:t>
            </w:r>
          </w:p>
        </w:tc>
        <w:tc>
          <w:tcPr>
            <w:tcW w:w="1260" w:type="dxa"/>
            <w:shd w:val="clear" w:color="auto" w:fill="auto"/>
            <w:noWrap/>
            <w:vAlign w:val="center"/>
            <w:hideMark/>
          </w:tcPr>
          <w:p w:rsidR="00A0318C" w:rsidRPr="00175361" w:rsidP="00A0318C" w14:paraId="7F494138"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39" w14:textId="77777777">
            <w:pPr>
              <w:autoSpaceDE/>
              <w:autoSpaceDN/>
              <w:adjustRightInd/>
              <w:jc w:val="center"/>
              <w:rPr>
                <w:rFonts w:cs="Arial"/>
                <w:color w:val="000000"/>
              </w:rPr>
            </w:pPr>
            <w:r>
              <w:rPr>
                <w:rFonts w:cs="Arial"/>
                <w:color w:val="000000"/>
              </w:rPr>
              <w:t>(</w:t>
            </w:r>
            <w:r w:rsidRPr="00CB2311">
              <w:rPr>
                <w:rFonts w:cs="Arial"/>
                <w:color w:val="000000"/>
              </w:rPr>
              <w:t>$818</w:t>
            </w:r>
            <w:r>
              <w:rPr>
                <w:rFonts w:cs="Arial"/>
                <w:color w:val="000000"/>
              </w:rPr>
              <w:t>)</w:t>
            </w:r>
          </w:p>
        </w:tc>
        <w:tc>
          <w:tcPr>
            <w:tcW w:w="1440" w:type="dxa"/>
            <w:shd w:val="clear" w:color="auto" w:fill="auto"/>
            <w:noWrap/>
            <w:vAlign w:val="center"/>
            <w:hideMark/>
          </w:tcPr>
          <w:p w:rsidR="00A0318C" w:rsidRPr="00175361" w:rsidP="00A0318C" w14:paraId="7F49413A" w14:textId="77777777">
            <w:pPr>
              <w:autoSpaceDE/>
              <w:autoSpaceDN/>
              <w:adjustRightInd/>
              <w:jc w:val="center"/>
              <w:rPr>
                <w:rFonts w:cs="Arial"/>
                <w:color w:val="000000"/>
              </w:rPr>
            </w:pPr>
            <w:r>
              <w:rPr>
                <w:rFonts w:cs="Arial"/>
                <w:color w:val="000000"/>
              </w:rPr>
              <w:t>(</w:t>
            </w:r>
            <w:r w:rsidRPr="00CB2311">
              <w:rPr>
                <w:rFonts w:cs="Arial"/>
                <w:color w:val="000000"/>
              </w:rPr>
              <w:t>$944</w:t>
            </w:r>
            <w:r>
              <w:rPr>
                <w:rFonts w:cs="Arial"/>
                <w:color w:val="000000"/>
              </w:rPr>
              <w:t>)</w:t>
            </w:r>
          </w:p>
        </w:tc>
      </w:tr>
      <w:tr w14:paraId="7F494145"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3C"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3D" w14:textId="77777777">
            <w:pPr>
              <w:autoSpaceDE/>
              <w:autoSpaceDN/>
              <w:adjustRightInd/>
              <w:rPr>
                <w:rFonts w:cs="Arial"/>
                <w:color w:val="000000"/>
              </w:rPr>
            </w:pPr>
            <w:r w:rsidRPr="00175361">
              <w:rPr>
                <w:rFonts w:cs="Arial"/>
                <w:color w:val="000000"/>
              </w:rPr>
              <w:t>Nuclear Technician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General Engineer</w:t>
            </w:r>
          </w:p>
        </w:tc>
        <w:tc>
          <w:tcPr>
            <w:tcW w:w="1080" w:type="dxa"/>
            <w:vMerge/>
            <w:vAlign w:val="center"/>
            <w:hideMark/>
          </w:tcPr>
          <w:p w:rsidR="00A0318C" w:rsidRPr="00175361" w:rsidP="00A0318C" w14:paraId="7F49413E" w14:textId="77777777">
            <w:pPr>
              <w:autoSpaceDE/>
              <w:autoSpaceDN/>
              <w:adjustRightInd/>
              <w:rPr>
                <w:rFonts w:cs="Arial"/>
              </w:rPr>
            </w:pPr>
          </w:p>
        </w:tc>
        <w:tc>
          <w:tcPr>
            <w:tcW w:w="990" w:type="dxa"/>
            <w:vMerge/>
            <w:vAlign w:val="center"/>
            <w:hideMark/>
          </w:tcPr>
          <w:p w:rsidR="00A0318C" w:rsidRPr="00175361" w:rsidP="00A0318C" w14:paraId="7F49413F"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40" w14:textId="77777777">
            <w:pPr>
              <w:autoSpaceDE/>
              <w:autoSpaceDN/>
              <w:adjustRightInd/>
              <w:jc w:val="center"/>
              <w:rPr>
                <w:rFonts w:cs="Arial"/>
                <w:color w:val="000000"/>
              </w:rPr>
            </w:pPr>
            <w:r w:rsidRPr="00CB2311">
              <w:rPr>
                <w:rFonts w:cs="Arial"/>
                <w:color w:val="000000"/>
              </w:rPr>
              <w:t>$41.27</w:t>
            </w:r>
          </w:p>
        </w:tc>
        <w:tc>
          <w:tcPr>
            <w:tcW w:w="990" w:type="dxa"/>
            <w:shd w:val="clear" w:color="000000" w:fill="FFFFFF"/>
            <w:noWrap/>
            <w:vAlign w:val="center"/>
            <w:hideMark/>
          </w:tcPr>
          <w:p w:rsidR="00A0318C" w:rsidRPr="00175361" w:rsidP="00A0318C" w14:paraId="7F494141" w14:textId="77777777">
            <w:pPr>
              <w:autoSpaceDE/>
              <w:autoSpaceDN/>
              <w:adjustRightInd/>
              <w:jc w:val="center"/>
              <w:rPr>
                <w:rFonts w:cs="Arial"/>
                <w:color w:val="000000"/>
              </w:rPr>
            </w:pPr>
            <w:r w:rsidRPr="00CB2311">
              <w:rPr>
                <w:rFonts w:cs="Arial"/>
                <w:color w:val="000000"/>
              </w:rPr>
              <w:t>$50.65</w:t>
            </w:r>
          </w:p>
        </w:tc>
        <w:tc>
          <w:tcPr>
            <w:tcW w:w="1260" w:type="dxa"/>
            <w:shd w:val="clear" w:color="auto" w:fill="auto"/>
            <w:noWrap/>
            <w:vAlign w:val="center"/>
            <w:hideMark/>
          </w:tcPr>
          <w:p w:rsidR="00A0318C" w:rsidRPr="00175361" w:rsidP="00A0318C" w14:paraId="7F494142"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43"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44"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4F"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46"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47" w14:textId="77777777">
            <w:pPr>
              <w:autoSpaceDE/>
              <w:autoSpaceDN/>
              <w:adjustRightInd/>
              <w:rPr>
                <w:rFonts w:cs="Arial"/>
                <w:color w:val="000000"/>
              </w:rPr>
            </w:pPr>
            <w:r w:rsidRPr="00175361">
              <w:rPr>
                <w:rFonts w:cs="Arial"/>
                <w:color w:val="000000"/>
              </w:rPr>
              <w:t>Graduate Student</w:t>
            </w:r>
          </w:p>
        </w:tc>
        <w:tc>
          <w:tcPr>
            <w:tcW w:w="1080" w:type="dxa"/>
            <w:vMerge/>
            <w:vAlign w:val="center"/>
            <w:hideMark/>
          </w:tcPr>
          <w:p w:rsidR="00A0318C" w:rsidRPr="00175361" w:rsidP="00A0318C" w14:paraId="7F494148" w14:textId="77777777">
            <w:pPr>
              <w:autoSpaceDE/>
              <w:autoSpaceDN/>
              <w:adjustRightInd/>
              <w:rPr>
                <w:rFonts w:cs="Arial"/>
              </w:rPr>
            </w:pPr>
          </w:p>
        </w:tc>
        <w:tc>
          <w:tcPr>
            <w:tcW w:w="990" w:type="dxa"/>
            <w:vMerge/>
            <w:vAlign w:val="center"/>
            <w:hideMark/>
          </w:tcPr>
          <w:p w:rsidR="00A0318C" w:rsidRPr="00175361" w:rsidP="00A0318C" w14:paraId="7F494149"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4A" w14:textId="77777777">
            <w:pPr>
              <w:autoSpaceDE/>
              <w:autoSpaceDN/>
              <w:adjustRightInd/>
              <w:jc w:val="center"/>
              <w:rPr>
                <w:rFonts w:cs="Arial"/>
                <w:color w:val="000000"/>
              </w:rPr>
            </w:pPr>
            <w:r w:rsidRPr="00CB2311">
              <w:rPr>
                <w:rFonts w:cs="Arial"/>
                <w:color w:val="000000"/>
              </w:rPr>
              <w:t>$19.46</w:t>
            </w:r>
          </w:p>
        </w:tc>
        <w:tc>
          <w:tcPr>
            <w:tcW w:w="990" w:type="dxa"/>
            <w:shd w:val="clear" w:color="000000" w:fill="FFFFFF"/>
            <w:noWrap/>
            <w:vAlign w:val="center"/>
            <w:hideMark/>
          </w:tcPr>
          <w:p w:rsidR="00A0318C" w:rsidRPr="00175361" w:rsidP="00A0318C" w14:paraId="7F49414B" w14:textId="77777777">
            <w:pPr>
              <w:autoSpaceDE/>
              <w:autoSpaceDN/>
              <w:adjustRightInd/>
              <w:jc w:val="center"/>
              <w:rPr>
                <w:rFonts w:cs="Arial"/>
                <w:color w:val="000000"/>
              </w:rPr>
            </w:pPr>
            <w:r w:rsidRPr="00CB2311">
              <w:rPr>
                <w:rFonts w:cs="Arial"/>
                <w:color w:val="000000"/>
              </w:rPr>
              <w:t>$19.46</w:t>
            </w:r>
          </w:p>
        </w:tc>
        <w:tc>
          <w:tcPr>
            <w:tcW w:w="1260" w:type="dxa"/>
            <w:shd w:val="clear" w:color="auto" w:fill="auto"/>
            <w:noWrap/>
            <w:vAlign w:val="center"/>
            <w:hideMark/>
          </w:tcPr>
          <w:p w:rsidR="00A0318C" w:rsidRPr="00175361" w:rsidP="00A0318C" w14:paraId="7F49414C"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4D"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4E"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59" w14:textId="77777777" w:rsidTr="00651BE0">
        <w:tblPrEx>
          <w:tblW w:w="11880" w:type="dxa"/>
          <w:jc w:val="center"/>
          <w:tblLayout w:type="fixed"/>
          <w:tblLook w:val="04A0"/>
        </w:tblPrEx>
        <w:trPr>
          <w:trHeight w:val="398"/>
          <w:jc w:val="center"/>
        </w:trPr>
        <w:tc>
          <w:tcPr>
            <w:tcW w:w="1401" w:type="dxa"/>
            <w:vMerge/>
            <w:vAlign w:val="center"/>
            <w:hideMark/>
          </w:tcPr>
          <w:p w:rsidR="00A0318C" w:rsidRPr="00175361" w:rsidP="00A0318C" w14:paraId="7F494150"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51" w14:textId="77777777">
            <w:pPr>
              <w:autoSpaceDE/>
              <w:autoSpaceDN/>
              <w:adjustRightInd/>
              <w:rPr>
                <w:rFonts w:cs="Arial"/>
                <w:color w:val="000000"/>
              </w:rPr>
            </w:pPr>
            <w:r w:rsidRPr="00175361">
              <w:rPr>
                <w:rFonts w:cs="Arial"/>
                <w:color w:val="000000"/>
              </w:rPr>
              <w:t>Institution Admin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Technical Admin</w:t>
            </w:r>
            <w:r w:rsidR="00E37571">
              <w:rPr>
                <w:rFonts w:cs="Arial"/>
                <w:color w:val="000000"/>
              </w:rPr>
              <w:t>.</w:t>
            </w:r>
            <w:r w:rsidRPr="00175361">
              <w:rPr>
                <w:rFonts w:cs="Arial"/>
                <w:color w:val="000000"/>
              </w:rPr>
              <w:t xml:space="preserve"> (Writer)</w:t>
            </w:r>
          </w:p>
        </w:tc>
        <w:tc>
          <w:tcPr>
            <w:tcW w:w="1080" w:type="dxa"/>
            <w:vMerge/>
            <w:vAlign w:val="center"/>
            <w:hideMark/>
          </w:tcPr>
          <w:p w:rsidR="00A0318C" w:rsidRPr="00175361" w:rsidP="00A0318C" w14:paraId="7F494152" w14:textId="77777777">
            <w:pPr>
              <w:autoSpaceDE/>
              <w:autoSpaceDN/>
              <w:adjustRightInd/>
              <w:rPr>
                <w:rFonts w:cs="Arial"/>
              </w:rPr>
            </w:pPr>
          </w:p>
        </w:tc>
        <w:tc>
          <w:tcPr>
            <w:tcW w:w="990" w:type="dxa"/>
            <w:vMerge/>
            <w:vAlign w:val="center"/>
            <w:hideMark/>
          </w:tcPr>
          <w:p w:rsidR="00A0318C" w:rsidRPr="00175361" w:rsidP="00A0318C" w14:paraId="7F494153"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54" w14:textId="77777777">
            <w:pPr>
              <w:autoSpaceDE/>
              <w:autoSpaceDN/>
              <w:adjustRightInd/>
              <w:jc w:val="center"/>
              <w:rPr>
                <w:rFonts w:cs="Arial"/>
                <w:color w:val="000000"/>
              </w:rPr>
            </w:pPr>
            <w:r w:rsidRPr="00CB2311">
              <w:rPr>
                <w:rFonts w:cs="Arial"/>
                <w:color w:val="000000"/>
              </w:rPr>
              <w:t>$55.54</w:t>
            </w:r>
          </w:p>
        </w:tc>
        <w:tc>
          <w:tcPr>
            <w:tcW w:w="990" w:type="dxa"/>
            <w:shd w:val="clear" w:color="000000" w:fill="FFFFFF"/>
            <w:noWrap/>
            <w:vAlign w:val="center"/>
            <w:hideMark/>
          </w:tcPr>
          <w:p w:rsidR="00A0318C" w:rsidRPr="00175361" w:rsidP="00A0318C" w14:paraId="7F494155" w14:textId="77777777">
            <w:pPr>
              <w:autoSpaceDE/>
              <w:autoSpaceDN/>
              <w:adjustRightInd/>
              <w:jc w:val="center"/>
              <w:rPr>
                <w:rFonts w:cs="Arial"/>
                <w:color w:val="000000"/>
              </w:rPr>
            </w:pPr>
            <w:r w:rsidRPr="00CB2311">
              <w:rPr>
                <w:rFonts w:cs="Arial"/>
                <w:color w:val="000000"/>
              </w:rPr>
              <w:t>$38.40</w:t>
            </w:r>
          </w:p>
        </w:tc>
        <w:tc>
          <w:tcPr>
            <w:tcW w:w="1260" w:type="dxa"/>
            <w:shd w:val="clear" w:color="auto" w:fill="auto"/>
            <w:noWrap/>
            <w:vAlign w:val="center"/>
            <w:hideMark/>
          </w:tcPr>
          <w:p w:rsidR="00A0318C" w:rsidRPr="00175361" w:rsidP="00A0318C" w14:paraId="7F494156"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57"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58"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63" w14:textId="77777777" w:rsidTr="00651BE0">
        <w:tblPrEx>
          <w:tblW w:w="11880" w:type="dxa"/>
          <w:jc w:val="center"/>
          <w:tblLayout w:type="fixed"/>
          <w:tblLook w:val="04A0"/>
        </w:tblPrEx>
        <w:trPr>
          <w:trHeight w:val="390"/>
          <w:jc w:val="center"/>
        </w:trPr>
        <w:tc>
          <w:tcPr>
            <w:tcW w:w="1401" w:type="dxa"/>
            <w:vMerge w:val="restart"/>
            <w:shd w:val="clear" w:color="auto" w:fill="auto"/>
            <w:vAlign w:val="center"/>
            <w:hideMark/>
          </w:tcPr>
          <w:p w:rsidR="00A0318C" w:rsidRPr="00175361" w:rsidP="00651BE0" w14:paraId="7F49415A" w14:textId="77777777">
            <w:pPr>
              <w:autoSpaceDE/>
              <w:autoSpaceDN/>
              <w:adjustRightInd/>
              <w:jc w:val="center"/>
              <w:rPr>
                <w:rFonts w:cs="Arial"/>
                <w:b/>
                <w:bCs/>
              </w:rPr>
            </w:pPr>
            <w:r w:rsidRPr="00175361">
              <w:rPr>
                <w:rFonts w:cs="Arial"/>
                <w:b/>
                <w:bCs/>
              </w:rPr>
              <w:t xml:space="preserve">Reviewing and </w:t>
            </w:r>
            <w:r w:rsidR="00651BE0">
              <w:rPr>
                <w:rFonts w:cs="Arial"/>
                <w:b/>
                <w:bCs/>
              </w:rPr>
              <w:t>U</w:t>
            </w:r>
            <w:r w:rsidRPr="00175361">
              <w:rPr>
                <w:rFonts w:cs="Arial"/>
                <w:b/>
                <w:bCs/>
              </w:rPr>
              <w:t xml:space="preserve">pdating </w:t>
            </w:r>
            <w:r w:rsidR="00651BE0">
              <w:rPr>
                <w:rFonts w:cs="Arial"/>
                <w:b/>
                <w:bCs/>
              </w:rPr>
              <w:t>P</w:t>
            </w:r>
            <w:r w:rsidRPr="00175361">
              <w:rPr>
                <w:rFonts w:cs="Arial"/>
                <w:b/>
                <w:bCs/>
              </w:rPr>
              <w:t>rocedures</w:t>
            </w:r>
          </w:p>
        </w:tc>
        <w:tc>
          <w:tcPr>
            <w:tcW w:w="2199" w:type="dxa"/>
            <w:shd w:val="clear" w:color="auto" w:fill="auto"/>
            <w:noWrap/>
            <w:vAlign w:val="center"/>
            <w:hideMark/>
          </w:tcPr>
          <w:p w:rsidR="00A0318C" w:rsidRPr="00175361" w:rsidP="00A0318C" w14:paraId="7F49415B" w14:textId="77777777">
            <w:pPr>
              <w:autoSpaceDE/>
              <w:autoSpaceDN/>
              <w:adjustRightInd/>
              <w:rPr>
                <w:rFonts w:cs="Arial"/>
                <w:color w:val="000000"/>
              </w:rPr>
            </w:pPr>
            <w:r w:rsidRPr="00175361">
              <w:rPr>
                <w:rFonts w:cs="Arial"/>
                <w:color w:val="000000"/>
              </w:rPr>
              <w:t>Reactor Director / Professor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Project Manager</w:t>
            </w:r>
          </w:p>
        </w:tc>
        <w:tc>
          <w:tcPr>
            <w:tcW w:w="1080" w:type="dxa"/>
            <w:vMerge w:val="restart"/>
            <w:shd w:val="clear" w:color="auto" w:fill="auto"/>
            <w:vAlign w:val="center"/>
            <w:hideMark/>
          </w:tcPr>
          <w:p w:rsidR="00A0318C" w:rsidRPr="00175361" w:rsidP="00A0318C" w14:paraId="7F49415C" w14:textId="77777777">
            <w:pPr>
              <w:autoSpaceDE/>
              <w:autoSpaceDN/>
              <w:adjustRightInd/>
              <w:jc w:val="center"/>
              <w:rPr>
                <w:rFonts w:cs="Arial"/>
              </w:rPr>
            </w:pPr>
            <w:r w:rsidRPr="00175361">
              <w:rPr>
                <w:rFonts w:cs="Arial"/>
              </w:rPr>
              <w:t>24</w:t>
            </w:r>
          </w:p>
        </w:tc>
        <w:tc>
          <w:tcPr>
            <w:tcW w:w="990" w:type="dxa"/>
            <w:vMerge w:val="restart"/>
            <w:shd w:val="clear" w:color="auto" w:fill="auto"/>
            <w:vAlign w:val="center"/>
            <w:hideMark/>
          </w:tcPr>
          <w:p w:rsidR="00A0318C" w:rsidRPr="00175361" w:rsidP="00A0318C" w14:paraId="7F49415D" w14:textId="77777777">
            <w:pPr>
              <w:autoSpaceDE/>
              <w:autoSpaceDN/>
              <w:adjustRightInd/>
              <w:jc w:val="center"/>
              <w:rPr>
                <w:rFonts w:cs="Arial"/>
              </w:rPr>
            </w:pPr>
            <w:r w:rsidRPr="00175361">
              <w:rPr>
                <w:rFonts w:cs="Arial"/>
              </w:rPr>
              <w:t>24</w:t>
            </w:r>
          </w:p>
        </w:tc>
        <w:tc>
          <w:tcPr>
            <w:tcW w:w="1170" w:type="dxa"/>
            <w:shd w:val="clear" w:color="000000" w:fill="FFFFFF"/>
            <w:noWrap/>
            <w:vAlign w:val="center"/>
            <w:hideMark/>
          </w:tcPr>
          <w:p w:rsidR="00A0318C" w:rsidRPr="00175361" w:rsidP="00A0318C" w14:paraId="7F49415E" w14:textId="77777777">
            <w:pPr>
              <w:autoSpaceDE/>
              <w:autoSpaceDN/>
              <w:adjustRightInd/>
              <w:jc w:val="center"/>
              <w:rPr>
                <w:rFonts w:cs="Arial"/>
                <w:color w:val="000000"/>
              </w:rPr>
            </w:pPr>
            <w:r w:rsidRPr="00CB2311">
              <w:rPr>
                <w:rFonts w:cs="Arial"/>
                <w:color w:val="000000"/>
              </w:rPr>
              <w:t>$56.65</w:t>
            </w:r>
          </w:p>
        </w:tc>
        <w:tc>
          <w:tcPr>
            <w:tcW w:w="990" w:type="dxa"/>
            <w:shd w:val="clear" w:color="000000" w:fill="FFFFFF"/>
            <w:noWrap/>
            <w:vAlign w:val="center"/>
            <w:hideMark/>
          </w:tcPr>
          <w:p w:rsidR="00A0318C" w:rsidRPr="00175361" w:rsidP="00A0318C" w14:paraId="7F49415F" w14:textId="77777777">
            <w:pPr>
              <w:autoSpaceDE/>
              <w:autoSpaceDN/>
              <w:adjustRightInd/>
              <w:jc w:val="center"/>
              <w:rPr>
                <w:rFonts w:cs="Arial"/>
                <w:color w:val="000000"/>
              </w:rPr>
            </w:pPr>
            <w:r w:rsidRPr="00CB2311">
              <w:rPr>
                <w:rFonts w:cs="Arial"/>
                <w:color w:val="000000"/>
              </w:rPr>
              <w:t>$63.68</w:t>
            </w:r>
          </w:p>
        </w:tc>
        <w:tc>
          <w:tcPr>
            <w:tcW w:w="1260" w:type="dxa"/>
            <w:shd w:val="clear" w:color="auto" w:fill="auto"/>
            <w:noWrap/>
            <w:vAlign w:val="center"/>
            <w:hideMark/>
          </w:tcPr>
          <w:p w:rsidR="00A0318C" w:rsidRPr="00175361" w:rsidP="00A0318C" w14:paraId="7F494160"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61" w14:textId="77777777">
            <w:pPr>
              <w:autoSpaceDE/>
              <w:autoSpaceDN/>
              <w:adjustRightInd/>
              <w:jc w:val="center"/>
              <w:rPr>
                <w:rFonts w:cs="Arial"/>
                <w:color w:val="000000"/>
              </w:rPr>
            </w:pPr>
            <w:r>
              <w:rPr>
                <w:rFonts w:cs="Arial"/>
                <w:color w:val="000000"/>
              </w:rPr>
              <w:t>(</w:t>
            </w:r>
            <w:r w:rsidRPr="00CB2311">
              <w:rPr>
                <w:rFonts w:cs="Arial"/>
                <w:color w:val="000000"/>
              </w:rPr>
              <w:t>$544</w:t>
            </w:r>
            <w:r>
              <w:rPr>
                <w:rFonts w:cs="Arial"/>
                <w:color w:val="000000"/>
              </w:rPr>
              <w:t>)</w:t>
            </w:r>
          </w:p>
        </w:tc>
        <w:tc>
          <w:tcPr>
            <w:tcW w:w="1440" w:type="dxa"/>
            <w:shd w:val="clear" w:color="auto" w:fill="auto"/>
            <w:noWrap/>
            <w:vAlign w:val="center"/>
            <w:hideMark/>
          </w:tcPr>
          <w:p w:rsidR="00A0318C" w:rsidRPr="00175361" w:rsidP="00A0318C" w14:paraId="7F494162" w14:textId="77777777">
            <w:pPr>
              <w:autoSpaceDE/>
              <w:autoSpaceDN/>
              <w:adjustRightInd/>
              <w:jc w:val="center"/>
              <w:rPr>
                <w:rFonts w:cs="Arial"/>
                <w:color w:val="000000"/>
              </w:rPr>
            </w:pPr>
            <w:r>
              <w:rPr>
                <w:rFonts w:cs="Arial"/>
                <w:color w:val="000000"/>
              </w:rPr>
              <w:t>(</w:t>
            </w:r>
            <w:r w:rsidRPr="00CB2311">
              <w:rPr>
                <w:rFonts w:cs="Arial"/>
                <w:color w:val="000000"/>
              </w:rPr>
              <w:t>$611</w:t>
            </w:r>
            <w:r>
              <w:rPr>
                <w:rFonts w:cs="Arial"/>
                <w:color w:val="000000"/>
              </w:rPr>
              <w:t>)</w:t>
            </w:r>
          </w:p>
        </w:tc>
      </w:tr>
      <w:tr w14:paraId="7F49416D"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64"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65" w14:textId="77777777">
            <w:pPr>
              <w:autoSpaceDE/>
              <w:autoSpaceDN/>
              <w:adjustRightInd/>
              <w:rPr>
                <w:rFonts w:cs="Arial"/>
                <w:color w:val="000000"/>
              </w:rPr>
            </w:pPr>
            <w:r>
              <w:rPr>
                <w:rFonts w:cs="Arial"/>
                <w:color w:val="000000"/>
              </w:rPr>
              <w:t>NPUF Operator</w:t>
            </w:r>
            <w:r w:rsidRPr="00175361">
              <w:rPr>
                <w:rFonts w:cs="Arial"/>
                <w:color w:val="000000"/>
              </w:rPr>
              <w:t xml:space="preserve"> /</w:t>
            </w:r>
            <w:r>
              <w:rPr>
                <w:rFonts w:cs="Arial"/>
                <w:color w:val="000000"/>
              </w:rPr>
              <w:t xml:space="preserve">    </w:t>
            </w:r>
            <w:r w:rsidRPr="00175361">
              <w:rPr>
                <w:rFonts w:cs="Arial"/>
                <w:color w:val="000000"/>
              </w:rPr>
              <w:t xml:space="preserve"> Asst. Dir.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Nuclear Engineer</w:t>
            </w:r>
          </w:p>
        </w:tc>
        <w:tc>
          <w:tcPr>
            <w:tcW w:w="1080" w:type="dxa"/>
            <w:vMerge/>
            <w:vAlign w:val="center"/>
            <w:hideMark/>
          </w:tcPr>
          <w:p w:rsidR="00A0318C" w:rsidRPr="00175361" w:rsidP="00A0318C" w14:paraId="7F494166" w14:textId="77777777">
            <w:pPr>
              <w:autoSpaceDE/>
              <w:autoSpaceDN/>
              <w:adjustRightInd/>
              <w:rPr>
                <w:rFonts w:cs="Arial"/>
              </w:rPr>
            </w:pPr>
          </w:p>
        </w:tc>
        <w:tc>
          <w:tcPr>
            <w:tcW w:w="990" w:type="dxa"/>
            <w:vMerge/>
            <w:vAlign w:val="center"/>
            <w:hideMark/>
          </w:tcPr>
          <w:p w:rsidR="00A0318C" w:rsidRPr="00175361" w:rsidP="00A0318C" w14:paraId="7F494167"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68" w14:textId="77777777">
            <w:pPr>
              <w:autoSpaceDE/>
              <w:autoSpaceDN/>
              <w:adjustRightInd/>
              <w:jc w:val="center"/>
              <w:rPr>
                <w:rFonts w:cs="Arial"/>
                <w:color w:val="000000"/>
              </w:rPr>
            </w:pPr>
            <w:r w:rsidRPr="00CB2311">
              <w:rPr>
                <w:rFonts w:cs="Arial"/>
                <w:color w:val="000000"/>
              </w:rPr>
              <w:t>$48.67</w:t>
            </w:r>
          </w:p>
        </w:tc>
        <w:tc>
          <w:tcPr>
            <w:tcW w:w="990" w:type="dxa"/>
            <w:shd w:val="clear" w:color="000000" w:fill="FFFFFF"/>
            <w:noWrap/>
            <w:vAlign w:val="center"/>
            <w:hideMark/>
          </w:tcPr>
          <w:p w:rsidR="00A0318C" w:rsidRPr="00175361" w:rsidP="00A0318C" w14:paraId="7F494169" w14:textId="77777777">
            <w:pPr>
              <w:autoSpaceDE/>
              <w:autoSpaceDN/>
              <w:adjustRightInd/>
              <w:jc w:val="center"/>
              <w:rPr>
                <w:rFonts w:cs="Arial"/>
                <w:color w:val="000000"/>
              </w:rPr>
            </w:pPr>
            <w:r w:rsidRPr="00CB2311">
              <w:rPr>
                <w:rFonts w:cs="Arial"/>
                <w:color w:val="000000"/>
              </w:rPr>
              <w:t>$56.18</w:t>
            </w:r>
          </w:p>
        </w:tc>
        <w:tc>
          <w:tcPr>
            <w:tcW w:w="1260" w:type="dxa"/>
            <w:shd w:val="clear" w:color="auto" w:fill="auto"/>
            <w:noWrap/>
            <w:vAlign w:val="center"/>
            <w:hideMark/>
          </w:tcPr>
          <w:p w:rsidR="00A0318C" w:rsidRPr="00175361" w:rsidP="00A0318C" w14:paraId="7F49416A"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6B" w14:textId="77777777">
            <w:pPr>
              <w:autoSpaceDE/>
              <w:autoSpaceDN/>
              <w:adjustRightInd/>
              <w:jc w:val="center"/>
              <w:rPr>
                <w:rFonts w:cs="Arial"/>
                <w:color w:val="000000"/>
              </w:rPr>
            </w:pPr>
            <w:r>
              <w:rPr>
                <w:rFonts w:cs="Arial"/>
                <w:color w:val="000000"/>
              </w:rPr>
              <w:t>(</w:t>
            </w:r>
            <w:r w:rsidRPr="00CB2311">
              <w:rPr>
                <w:rFonts w:cs="Arial"/>
                <w:color w:val="000000"/>
              </w:rPr>
              <w:t>$701</w:t>
            </w:r>
            <w:r>
              <w:rPr>
                <w:rFonts w:cs="Arial"/>
                <w:color w:val="000000"/>
              </w:rPr>
              <w:t>)</w:t>
            </w:r>
          </w:p>
        </w:tc>
        <w:tc>
          <w:tcPr>
            <w:tcW w:w="1440" w:type="dxa"/>
            <w:shd w:val="clear" w:color="auto" w:fill="auto"/>
            <w:noWrap/>
            <w:vAlign w:val="center"/>
            <w:hideMark/>
          </w:tcPr>
          <w:p w:rsidR="00A0318C" w:rsidRPr="00175361" w:rsidP="00A0318C" w14:paraId="7F49416C" w14:textId="77777777">
            <w:pPr>
              <w:autoSpaceDE/>
              <w:autoSpaceDN/>
              <w:adjustRightInd/>
              <w:jc w:val="center"/>
              <w:rPr>
                <w:rFonts w:cs="Arial"/>
                <w:color w:val="000000"/>
              </w:rPr>
            </w:pPr>
            <w:r>
              <w:rPr>
                <w:rFonts w:cs="Arial"/>
                <w:color w:val="000000"/>
              </w:rPr>
              <w:t>(</w:t>
            </w:r>
            <w:r w:rsidRPr="00CB2311">
              <w:rPr>
                <w:rFonts w:cs="Arial"/>
                <w:color w:val="000000"/>
              </w:rPr>
              <w:t>$809</w:t>
            </w:r>
            <w:r>
              <w:rPr>
                <w:rFonts w:cs="Arial"/>
                <w:color w:val="000000"/>
              </w:rPr>
              <w:t>)</w:t>
            </w:r>
          </w:p>
        </w:tc>
      </w:tr>
      <w:tr w14:paraId="7F494177"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6E"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6F" w14:textId="77777777">
            <w:pPr>
              <w:autoSpaceDE/>
              <w:autoSpaceDN/>
              <w:adjustRightInd/>
              <w:rPr>
                <w:rFonts w:cs="Arial"/>
                <w:color w:val="000000"/>
              </w:rPr>
            </w:pPr>
            <w:r w:rsidRPr="00175361">
              <w:rPr>
                <w:rFonts w:cs="Arial"/>
                <w:color w:val="000000"/>
              </w:rPr>
              <w:t>Nuclear Technician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General Engineer</w:t>
            </w:r>
          </w:p>
        </w:tc>
        <w:tc>
          <w:tcPr>
            <w:tcW w:w="1080" w:type="dxa"/>
            <w:vMerge/>
            <w:vAlign w:val="center"/>
            <w:hideMark/>
          </w:tcPr>
          <w:p w:rsidR="00A0318C" w:rsidRPr="00175361" w:rsidP="00A0318C" w14:paraId="7F494170" w14:textId="77777777">
            <w:pPr>
              <w:autoSpaceDE/>
              <w:autoSpaceDN/>
              <w:adjustRightInd/>
              <w:rPr>
                <w:rFonts w:cs="Arial"/>
              </w:rPr>
            </w:pPr>
          </w:p>
        </w:tc>
        <w:tc>
          <w:tcPr>
            <w:tcW w:w="990" w:type="dxa"/>
            <w:vMerge/>
            <w:vAlign w:val="center"/>
            <w:hideMark/>
          </w:tcPr>
          <w:p w:rsidR="00A0318C" w:rsidRPr="00175361" w:rsidP="00A0318C" w14:paraId="7F494171"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72" w14:textId="77777777">
            <w:pPr>
              <w:autoSpaceDE/>
              <w:autoSpaceDN/>
              <w:adjustRightInd/>
              <w:jc w:val="center"/>
              <w:rPr>
                <w:rFonts w:cs="Arial"/>
                <w:color w:val="000000"/>
              </w:rPr>
            </w:pPr>
            <w:r w:rsidRPr="00CB2311">
              <w:rPr>
                <w:rFonts w:cs="Arial"/>
                <w:color w:val="000000"/>
              </w:rPr>
              <w:t>$41.27</w:t>
            </w:r>
          </w:p>
        </w:tc>
        <w:tc>
          <w:tcPr>
            <w:tcW w:w="990" w:type="dxa"/>
            <w:shd w:val="clear" w:color="000000" w:fill="FFFFFF"/>
            <w:noWrap/>
            <w:vAlign w:val="center"/>
            <w:hideMark/>
          </w:tcPr>
          <w:p w:rsidR="00A0318C" w:rsidRPr="00175361" w:rsidP="00A0318C" w14:paraId="7F494173" w14:textId="77777777">
            <w:pPr>
              <w:autoSpaceDE/>
              <w:autoSpaceDN/>
              <w:adjustRightInd/>
              <w:jc w:val="center"/>
              <w:rPr>
                <w:rFonts w:cs="Arial"/>
                <w:color w:val="000000"/>
              </w:rPr>
            </w:pPr>
            <w:r w:rsidRPr="00CB2311">
              <w:rPr>
                <w:rFonts w:cs="Arial"/>
                <w:color w:val="000000"/>
              </w:rPr>
              <w:t>$50.65</w:t>
            </w:r>
          </w:p>
        </w:tc>
        <w:tc>
          <w:tcPr>
            <w:tcW w:w="1260" w:type="dxa"/>
            <w:shd w:val="clear" w:color="auto" w:fill="auto"/>
            <w:noWrap/>
            <w:vAlign w:val="center"/>
            <w:hideMark/>
          </w:tcPr>
          <w:p w:rsidR="00A0318C" w:rsidRPr="00175361" w:rsidP="00A0318C" w14:paraId="7F494174"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75" w14:textId="77777777">
            <w:pPr>
              <w:autoSpaceDE/>
              <w:autoSpaceDN/>
              <w:adjustRightInd/>
              <w:jc w:val="center"/>
              <w:rPr>
                <w:rFonts w:cs="Arial"/>
                <w:color w:val="000000"/>
              </w:rPr>
            </w:pPr>
            <w:r>
              <w:rPr>
                <w:rFonts w:cs="Arial"/>
                <w:color w:val="000000"/>
              </w:rPr>
              <w:t>(</w:t>
            </w:r>
            <w:r w:rsidRPr="00CB2311">
              <w:rPr>
                <w:rFonts w:cs="Arial"/>
                <w:color w:val="000000"/>
              </w:rPr>
              <w:t>$792</w:t>
            </w:r>
            <w:r>
              <w:rPr>
                <w:rFonts w:cs="Arial"/>
                <w:color w:val="000000"/>
              </w:rPr>
              <w:t>)</w:t>
            </w:r>
          </w:p>
        </w:tc>
        <w:tc>
          <w:tcPr>
            <w:tcW w:w="1440" w:type="dxa"/>
            <w:shd w:val="clear" w:color="auto" w:fill="auto"/>
            <w:noWrap/>
            <w:vAlign w:val="center"/>
            <w:hideMark/>
          </w:tcPr>
          <w:p w:rsidR="00A0318C" w:rsidRPr="00175361" w:rsidP="00A0318C" w14:paraId="7F494176" w14:textId="77777777">
            <w:pPr>
              <w:autoSpaceDE/>
              <w:autoSpaceDN/>
              <w:adjustRightInd/>
              <w:jc w:val="center"/>
              <w:rPr>
                <w:rFonts w:cs="Arial"/>
                <w:color w:val="000000"/>
              </w:rPr>
            </w:pPr>
            <w:r>
              <w:rPr>
                <w:rFonts w:cs="Arial"/>
                <w:color w:val="000000"/>
              </w:rPr>
              <w:t>(</w:t>
            </w:r>
            <w:r w:rsidRPr="00CB2311">
              <w:rPr>
                <w:rFonts w:cs="Arial"/>
                <w:color w:val="000000"/>
              </w:rPr>
              <w:t>$973</w:t>
            </w:r>
            <w:r>
              <w:rPr>
                <w:rFonts w:cs="Arial"/>
                <w:color w:val="000000"/>
              </w:rPr>
              <w:t>)</w:t>
            </w:r>
          </w:p>
        </w:tc>
      </w:tr>
      <w:tr w14:paraId="7F494181"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78"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79" w14:textId="77777777">
            <w:pPr>
              <w:autoSpaceDE/>
              <w:autoSpaceDN/>
              <w:adjustRightInd/>
              <w:rPr>
                <w:rFonts w:cs="Arial"/>
                <w:color w:val="000000"/>
              </w:rPr>
            </w:pPr>
            <w:r w:rsidRPr="00175361">
              <w:rPr>
                <w:rFonts w:cs="Arial"/>
                <w:color w:val="000000"/>
              </w:rPr>
              <w:t>Graduate Student</w:t>
            </w:r>
          </w:p>
        </w:tc>
        <w:tc>
          <w:tcPr>
            <w:tcW w:w="1080" w:type="dxa"/>
            <w:vMerge/>
            <w:vAlign w:val="center"/>
            <w:hideMark/>
          </w:tcPr>
          <w:p w:rsidR="00A0318C" w:rsidRPr="00175361" w:rsidP="00A0318C" w14:paraId="7F49417A" w14:textId="77777777">
            <w:pPr>
              <w:autoSpaceDE/>
              <w:autoSpaceDN/>
              <w:adjustRightInd/>
              <w:rPr>
                <w:rFonts w:cs="Arial"/>
              </w:rPr>
            </w:pPr>
          </w:p>
        </w:tc>
        <w:tc>
          <w:tcPr>
            <w:tcW w:w="990" w:type="dxa"/>
            <w:vMerge/>
            <w:vAlign w:val="center"/>
            <w:hideMark/>
          </w:tcPr>
          <w:p w:rsidR="00A0318C" w:rsidRPr="00175361" w:rsidP="00A0318C" w14:paraId="7F49417B"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7C" w14:textId="77777777">
            <w:pPr>
              <w:autoSpaceDE/>
              <w:autoSpaceDN/>
              <w:adjustRightInd/>
              <w:jc w:val="center"/>
              <w:rPr>
                <w:rFonts w:cs="Arial"/>
                <w:color w:val="000000"/>
              </w:rPr>
            </w:pPr>
            <w:r w:rsidRPr="00CB2311">
              <w:rPr>
                <w:rFonts w:cs="Arial"/>
                <w:color w:val="000000"/>
              </w:rPr>
              <w:t>$19.46</w:t>
            </w:r>
          </w:p>
        </w:tc>
        <w:tc>
          <w:tcPr>
            <w:tcW w:w="990" w:type="dxa"/>
            <w:shd w:val="clear" w:color="000000" w:fill="FFFFFF"/>
            <w:noWrap/>
            <w:vAlign w:val="center"/>
            <w:hideMark/>
          </w:tcPr>
          <w:p w:rsidR="00A0318C" w:rsidRPr="00175361" w:rsidP="00A0318C" w14:paraId="7F49417D" w14:textId="77777777">
            <w:pPr>
              <w:autoSpaceDE/>
              <w:autoSpaceDN/>
              <w:adjustRightInd/>
              <w:jc w:val="center"/>
              <w:rPr>
                <w:rFonts w:cs="Arial"/>
                <w:color w:val="000000"/>
              </w:rPr>
            </w:pPr>
            <w:r w:rsidRPr="00CB2311">
              <w:rPr>
                <w:rFonts w:cs="Arial"/>
                <w:color w:val="000000"/>
              </w:rPr>
              <w:t>$19.46</w:t>
            </w:r>
          </w:p>
        </w:tc>
        <w:tc>
          <w:tcPr>
            <w:tcW w:w="1260" w:type="dxa"/>
            <w:shd w:val="clear" w:color="auto" w:fill="auto"/>
            <w:noWrap/>
            <w:vAlign w:val="center"/>
            <w:hideMark/>
          </w:tcPr>
          <w:p w:rsidR="00A0318C" w:rsidRPr="00175361" w:rsidP="00A0318C" w14:paraId="7F49417E"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7F"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80"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8B" w14:textId="77777777" w:rsidTr="00651BE0">
        <w:tblPrEx>
          <w:tblW w:w="11880" w:type="dxa"/>
          <w:jc w:val="center"/>
          <w:tblLayout w:type="fixed"/>
          <w:tblLook w:val="04A0"/>
        </w:tblPrEx>
        <w:trPr>
          <w:trHeight w:val="398"/>
          <w:jc w:val="center"/>
        </w:trPr>
        <w:tc>
          <w:tcPr>
            <w:tcW w:w="1401" w:type="dxa"/>
            <w:vMerge/>
            <w:vAlign w:val="center"/>
            <w:hideMark/>
          </w:tcPr>
          <w:p w:rsidR="00A0318C" w:rsidRPr="00175361" w:rsidP="00A0318C" w14:paraId="7F494182"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83" w14:textId="77777777">
            <w:pPr>
              <w:autoSpaceDE/>
              <w:autoSpaceDN/>
              <w:adjustRightInd/>
              <w:rPr>
                <w:rFonts w:cs="Arial"/>
                <w:color w:val="000000"/>
              </w:rPr>
            </w:pPr>
            <w:r w:rsidRPr="00175361">
              <w:rPr>
                <w:rFonts w:cs="Arial"/>
                <w:color w:val="000000"/>
              </w:rPr>
              <w:t>Institution Admin</w:t>
            </w:r>
            <w:r>
              <w:rPr>
                <w:rFonts w:cs="Arial"/>
                <w:color w:val="000000"/>
              </w:rPr>
              <w:t xml:space="preserve">. / </w:t>
            </w:r>
            <w:r w:rsidRPr="00175361">
              <w:rPr>
                <w:rFonts w:cs="Arial"/>
                <w:color w:val="000000"/>
              </w:rPr>
              <w:t>Technical Admin</w:t>
            </w:r>
            <w:r w:rsidR="00E37571">
              <w:rPr>
                <w:rFonts w:cs="Arial"/>
                <w:color w:val="000000"/>
              </w:rPr>
              <w:t>.</w:t>
            </w:r>
            <w:r w:rsidRPr="00175361">
              <w:rPr>
                <w:rFonts w:cs="Arial"/>
                <w:color w:val="000000"/>
              </w:rPr>
              <w:t xml:space="preserve"> (Writer)</w:t>
            </w:r>
          </w:p>
        </w:tc>
        <w:tc>
          <w:tcPr>
            <w:tcW w:w="1080" w:type="dxa"/>
            <w:vMerge/>
            <w:vAlign w:val="center"/>
            <w:hideMark/>
          </w:tcPr>
          <w:p w:rsidR="00A0318C" w:rsidRPr="00175361" w:rsidP="00A0318C" w14:paraId="7F494184" w14:textId="77777777">
            <w:pPr>
              <w:autoSpaceDE/>
              <w:autoSpaceDN/>
              <w:adjustRightInd/>
              <w:rPr>
                <w:rFonts w:cs="Arial"/>
              </w:rPr>
            </w:pPr>
          </w:p>
        </w:tc>
        <w:tc>
          <w:tcPr>
            <w:tcW w:w="990" w:type="dxa"/>
            <w:vMerge/>
            <w:vAlign w:val="center"/>
            <w:hideMark/>
          </w:tcPr>
          <w:p w:rsidR="00A0318C" w:rsidRPr="00175361" w:rsidP="00A0318C" w14:paraId="7F494185"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86" w14:textId="77777777">
            <w:pPr>
              <w:autoSpaceDE/>
              <w:autoSpaceDN/>
              <w:adjustRightInd/>
              <w:jc w:val="center"/>
              <w:rPr>
                <w:rFonts w:cs="Arial"/>
                <w:color w:val="000000"/>
              </w:rPr>
            </w:pPr>
            <w:r w:rsidRPr="00CB2311">
              <w:rPr>
                <w:rFonts w:cs="Arial"/>
                <w:color w:val="000000"/>
              </w:rPr>
              <w:t>$55.54</w:t>
            </w:r>
          </w:p>
        </w:tc>
        <w:tc>
          <w:tcPr>
            <w:tcW w:w="990" w:type="dxa"/>
            <w:shd w:val="clear" w:color="000000" w:fill="FFFFFF"/>
            <w:noWrap/>
            <w:vAlign w:val="center"/>
            <w:hideMark/>
          </w:tcPr>
          <w:p w:rsidR="00A0318C" w:rsidRPr="00175361" w:rsidP="00A0318C" w14:paraId="7F494187" w14:textId="77777777">
            <w:pPr>
              <w:autoSpaceDE/>
              <w:autoSpaceDN/>
              <w:adjustRightInd/>
              <w:jc w:val="center"/>
              <w:rPr>
                <w:rFonts w:cs="Arial"/>
                <w:color w:val="000000"/>
              </w:rPr>
            </w:pPr>
            <w:r w:rsidRPr="00CB2311">
              <w:rPr>
                <w:rFonts w:cs="Arial"/>
                <w:color w:val="000000"/>
              </w:rPr>
              <w:t>$38.40</w:t>
            </w:r>
          </w:p>
        </w:tc>
        <w:tc>
          <w:tcPr>
            <w:tcW w:w="1260" w:type="dxa"/>
            <w:shd w:val="clear" w:color="auto" w:fill="auto"/>
            <w:noWrap/>
            <w:vAlign w:val="center"/>
            <w:hideMark/>
          </w:tcPr>
          <w:p w:rsidR="00A0318C" w:rsidRPr="00175361" w:rsidP="00A0318C" w14:paraId="7F494188"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89" w14:textId="77777777">
            <w:pPr>
              <w:autoSpaceDE/>
              <w:autoSpaceDN/>
              <w:adjustRightInd/>
              <w:jc w:val="center"/>
              <w:rPr>
                <w:rFonts w:cs="Arial"/>
                <w:color w:val="000000"/>
              </w:rPr>
            </w:pPr>
            <w:r>
              <w:rPr>
                <w:rFonts w:cs="Arial"/>
                <w:color w:val="000000"/>
              </w:rPr>
              <w:t>(</w:t>
            </w:r>
            <w:r w:rsidRPr="00CB2311">
              <w:rPr>
                <w:rFonts w:cs="Arial"/>
                <w:color w:val="000000"/>
              </w:rPr>
              <w:t>$267</w:t>
            </w:r>
            <w:r>
              <w:rPr>
                <w:rFonts w:cs="Arial"/>
                <w:color w:val="000000"/>
              </w:rPr>
              <w:t>)</w:t>
            </w:r>
          </w:p>
        </w:tc>
        <w:tc>
          <w:tcPr>
            <w:tcW w:w="1440" w:type="dxa"/>
            <w:shd w:val="clear" w:color="auto" w:fill="auto"/>
            <w:noWrap/>
            <w:vAlign w:val="center"/>
            <w:hideMark/>
          </w:tcPr>
          <w:p w:rsidR="00A0318C" w:rsidRPr="00175361" w:rsidP="00A0318C" w14:paraId="7F49418A" w14:textId="77777777">
            <w:pPr>
              <w:autoSpaceDE/>
              <w:autoSpaceDN/>
              <w:adjustRightInd/>
              <w:jc w:val="center"/>
              <w:rPr>
                <w:rFonts w:cs="Arial"/>
                <w:color w:val="000000"/>
              </w:rPr>
            </w:pPr>
            <w:r>
              <w:rPr>
                <w:rFonts w:cs="Arial"/>
                <w:color w:val="000000"/>
              </w:rPr>
              <w:t>(</w:t>
            </w:r>
            <w:r w:rsidRPr="00CB2311">
              <w:rPr>
                <w:rFonts w:cs="Arial"/>
                <w:color w:val="000000"/>
              </w:rPr>
              <w:t>$184</w:t>
            </w:r>
            <w:r>
              <w:rPr>
                <w:rFonts w:cs="Arial"/>
                <w:color w:val="000000"/>
              </w:rPr>
              <w:t>)</w:t>
            </w:r>
          </w:p>
        </w:tc>
      </w:tr>
      <w:tr w14:paraId="7F494195" w14:textId="77777777" w:rsidTr="00651BE0">
        <w:tblPrEx>
          <w:tblW w:w="11880" w:type="dxa"/>
          <w:jc w:val="center"/>
          <w:tblLayout w:type="fixed"/>
          <w:tblLook w:val="04A0"/>
        </w:tblPrEx>
        <w:trPr>
          <w:trHeight w:val="390"/>
          <w:jc w:val="center"/>
        </w:trPr>
        <w:tc>
          <w:tcPr>
            <w:tcW w:w="1401" w:type="dxa"/>
            <w:vMerge w:val="restart"/>
            <w:shd w:val="clear" w:color="auto" w:fill="auto"/>
            <w:vAlign w:val="center"/>
            <w:hideMark/>
          </w:tcPr>
          <w:p w:rsidR="00A0318C" w:rsidRPr="00175361" w:rsidP="00651BE0" w14:paraId="7F49418C" w14:textId="77777777">
            <w:pPr>
              <w:autoSpaceDE/>
              <w:autoSpaceDN/>
              <w:adjustRightInd/>
              <w:jc w:val="center"/>
              <w:rPr>
                <w:rFonts w:cs="Arial"/>
                <w:b/>
                <w:bCs/>
              </w:rPr>
            </w:pPr>
            <w:r w:rsidRPr="00175361">
              <w:rPr>
                <w:rFonts w:cs="Arial"/>
                <w:b/>
                <w:bCs/>
              </w:rPr>
              <w:t>Safety Review Board</w:t>
            </w:r>
          </w:p>
        </w:tc>
        <w:tc>
          <w:tcPr>
            <w:tcW w:w="2199" w:type="dxa"/>
            <w:shd w:val="clear" w:color="auto" w:fill="auto"/>
            <w:noWrap/>
            <w:vAlign w:val="center"/>
            <w:hideMark/>
          </w:tcPr>
          <w:p w:rsidR="00A0318C" w:rsidRPr="00175361" w:rsidP="00A0318C" w14:paraId="7F49418D" w14:textId="77777777">
            <w:pPr>
              <w:autoSpaceDE/>
              <w:autoSpaceDN/>
              <w:adjustRightInd/>
              <w:rPr>
                <w:rFonts w:cs="Arial"/>
                <w:color w:val="000000"/>
              </w:rPr>
            </w:pPr>
            <w:r w:rsidRPr="00175361">
              <w:rPr>
                <w:rFonts w:cs="Arial"/>
                <w:color w:val="000000"/>
              </w:rPr>
              <w:t>Reactor Director / Professor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Project Manager</w:t>
            </w:r>
          </w:p>
        </w:tc>
        <w:tc>
          <w:tcPr>
            <w:tcW w:w="1080" w:type="dxa"/>
            <w:vMerge w:val="restart"/>
            <w:shd w:val="clear" w:color="auto" w:fill="auto"/>
            <w:vAlign w:val="center"/>
            <w:hideMark/>
          </w:tcPr>
          <w:p w:rsidR="00A0318C" w:rsidRPr="00175361" w:rsidP="00A0318C" w14:paraId="7F49418E" w14:textId="77777777">
            <w:pPr>
              <w:autoSpaceDE/>
              <w:autoSpaceDN/>
              <w:adjustRightInd/>
              <w:jc w:val="center"/>
              <w:rPr>
                <w:rFonts w:cs="Arial"/>
              </w:rPr>
            </w:pPr>
            <w:r w:rsidRPr="00175361">
              <w:rPr>
                <w:rFonts w:cs="Arial"/>
              </w:rPr>
              <w:t>7</w:t>
            </w:r>
          </w:p>
        </w:tc>
        <w:tc>
          <w:tcPr>
            <w:tcW w:w="990" w:type="dxa"/>
            <w:vMerge w:val="restart"/>
            <w:shd w:val="clear" w:color="auto" w:fill="auto"/>
            <w:vAlign w:val="center"/>
            <w:hideMark/>
          </w:tcPr>
          <w:p w:rsidR="00A0318C" w:rsidRPr="00175361" w:rsidP="00A0318C" w14:paraId="7F49418F" w14:textId="77777777">
            <w:pPr>
              <w:autoSpaceDE/>
              <w:autoSpaceDN/>
              <w:adjustRightInd/>
              <w:jc w:val="center"/>
              <w:rPr>
                <w:rFonts w:cs="Arial"/>
              </w:rPr>
            </w:pPr>
            <w:r w:rsidRPr="00175361">
              <w:rPr>
                <w:rFonts w:cs="Arial"/>
              </w:rPr>
              <w:t>8</w:t>
            </w:r>
          </w:p>
        </w:tc>
        <w:tc>
          <w:tcPr>
            <w:tcW w:w="1170" w:type="dxa"/>
            <w:shd w:val="clear" w:color="000000" w:fill="FFFFFF"/>
            <w:noWrap/>
            <w:vAlign w:val="center"/>
            <w:hideMark/>
          </w:tcPr>
          <w:p w:rsidR="00A0318C" w:rsidRPr="00175361" w:rsidP="00A0318C" w14:paraId="7F494190" w14:textId="77777777">
            <w:pPr>
              <w:autoSpaceDE/>
              <w:autoSpaceDN/>
              <w:adjustRightInd/>
              <w:jc w:val="center"/>
              <w:rPr>
                <w:rFonts w:cs="Arial"/>
                <w:color w:val="000000"/>
              </w:rPr>
            </w:pPr>
            <w:r w:rsidRPr="00CB2311">
              <w:rPr>
                <w:rFonts w:cs="Arial"/>
                <w:color w:val="000000"/>
              </w:rPr>
              <w:t>$56.65</w:t>
            </w:r>
          </w:p>
        </w:tc>
        <w:tc>
          <w:tcPr>
            <w:tcW w:w="990" w:type="dxa"/>
            <w:shd w:val="clear" w:color="000000" w:fill="FFFFFF"/>
            <w:noWrap/>
            <w:vAlign w:val="center"/>
            <w:hideMark/>
          </w:tcPr>
          <w:p w:rsidR="00A0318C" w:rsidRPr="00175361" w:rsidP="00A0318C" w14:paraId="7F494191" w14:textId="77777777">
            <w:pPr>
              <w:autoSpaceDE/>
              <w:autoSpaceDN/>
              <w:adjustRightInd/>
              <w:jc w:val="center"/>
              <w:rPr>
                <w:rFonts w:cs="Arial"/>
                <w:color w:val="000000"/>
              </w:rPr>
            </w:pPr>
            <w:r w:rsidRPr="00CB2311">
              <w:rPr>
                <w:rFonts w:cs="Arial"/>
                <w:color w:val="000000"/>
              </w:rPr>
              <w:t>$63.68</w:t>
            </w:r>
          </w:p>
        </w:tc>
        <w:tc>
          <w:tcPr>
            <w:tcW w:w="1260" w:type="dxa"/>
            <w:shd w:val="clear" w:color="auto" w:fill="auto"/>
            <w:noWrap/>
            <w:vAlign w:val="center"/>
            <w:hideMark/>
          </w:tcPr>
          <w:p w:rsidR="00A0318C" w:rsidRPr="00175361" w:rsidP="00A0318C" w14:paraId="7F494192"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93" w14:textId="77777777">
            <w:pPr>
              <w:autoSpaceDE/>
              <w:autoSpaceDN/>
              <w:adjustRightInd/>
              <w:jc w:val="center"/>
              <w:rPr>
                <w:rFonts w:cs="Arial"/>
                <w:color w:val="000000"/>
              </w:rPr>
            </w:pPr>
            <w:r>
              <w:rPr>
                <w:rFonts w:cs="Arial"/>
                <w:color w:val="000000"/>
              </w:rPr>
              <w:t>(</w:t>
            </w:r>
            <w:r w:rsidRPr="00CB2311">
              <w:rPr>
                <w:rFonts w:cs="Arial"/>
                <w:color w:val="000000"/>
              </w:rPr>
              <w:t>$397</w:t>
            </w:r>
            <w:r>
              <w:rPr>
                <w:rFonts w:cs="Arial"/>
                <w:color w:val="000000"/>
              </w:rPr>
              <w:t>)</w:t>
            </w:r>
          </w:p>
        </w:tc>
        <w:tc>
          <w:tcPr>
            <w:tcW w:w="1440" w:type="dxa"/>
            <w:shd w:val="clear" w:color="auto" w:fill="auto"/>
            <w:noWrap/>
            <w:vAlign w:val="center"/>
            <w:hideMark/>
          </w:tcPr>
          <w:p w:rsidR="00A0318C" w:rsidRPr="00175361" w:rsidP="00A0318C" w14:paraId="7F494194" w14:textId="77777777">
            <w:pPr>
              <w:autoSpaceDE/>
              <w:autoSpaceDN/>
              <w:adjustRightInd/>
              <w:jc w:val="center"/>
              <w:rPr>
                <w:rFonts w:cs="Arial"/>
                <w:color w:val="000000"/>
              </w:rPr>
            </w:pPr>
            <w:r>
              <w:rPr>
                <w:rFonts w:cs="Arial"/>
                <w:color w:val="000000"/>
              </w:rPr>
              <w:t>(</w:t>
            </w:r>
            <w:r w:rsidRPr="00CB2311">
              <w:rPr>
                <w:rFonts w:cs="Arial"/>
                <w:color w:val="000000"/>
              </w:rPr>
              <w:t>$509</w:t>
            </w:r>
            <w:r>
              <w:rPr>
                <w:rFonts w:cs="Arial"/>
                <w:color w:val="000000"/>
              </w:rPr>
              <w:t>)</w:t>
            </w:r>
          </w:p>
        </w:tc>
      </w:tr>
      <w:tr w14:paraId="7F49419F"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96"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97" w14:textId="77777777">
            <w:pPr>
              <w:autoSpaceDE/>
              <w:autoSpaceDN/>
              <w:adjustRightInd/>
              <w:rPr>
                <w:rFonts w:cs="Arial"/>
                <w:color w:val="000000"/>
              </w:rPr>
            </w:pPr>
            <w:r>
              <w:rPr>
                <w:rFonts w:cs="Arial"/>
                <w:color w:val="000000"/>
              </w:rPr>
              <w:t>NPUF Operator</w:t>
            </w:r>
            <w:r w:rsidRPr="00175361">
              <w:rPr>
                <w:rFonts w:cs="Arial"/>
                <w:color w:val="000000"/>
              </w:rPr>
              <w:t xml:space="preserve"> / </w:t>
            </w:r>
            <w:r>
              <w:rPr>
                <w:rFonts w:cs="Arial"/>
                <w:color w:val="000000"/>
              </w:rPr>
              <w:t xml:space="preserve">    </w:t>
            </w:r>
            <w:r w:rsidRPr="00175361">
              <w:rPr>
                <w:rFonts w:cs="Arial"/>
                <w:color w:val="000000"/>
              </w:rPr>
              <w:t>Asst. Dir.</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Nuclear Engineer</w:t>
            </w:r>
          </w:p>
        </w:tc>
        <w:tc>
          <w:tcPr>
            <w:tcW w:w="1080" w:type="dxa"/>
            <w:vMerge/>
            <w:vAlign w:val="center"/>
            <w:hideMark/>
          </w:tcPr>
          <w:p w:rsidR="00A0318C" w:rsidRPr="00175361" w:rsidP="00A0318C" w14:paraId="7F494198" w14:textId="77777777">
            <w:pPr>
              <w:autoSpaceDE/>
              <w:autoSpaceDN/>
              <w:adjustRightInd/>
              <w:rPr>
                <w:rFonts w:cs="Arial"/>
              </w:rPr>
            </w:pPr>
          </w:p>
        </w:tc>
        <w:tc>
          <w:tcPr>
            <w:tcW w:w="990" w:type="dxa"/>
            <w:vMerge/>
            <w:vAlign w:val="center"/>
            <w:hideMark/>
          </w:tcPr>
          <w:p w:rsidR="00A0318C" w:rsidRPr="00175361" w:rsidP="00A0318C" w14:paraId="7F494199"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9A" w14:textId="77777777">
            <w:pPr>
              <w:autoSpaceDE/>
              <w:autoSpaceDN/>
              <w:adjustRightInd/>
              <w:jc w:val="center"/>
              <w:rPr>
                <w:rFonts w:cs="Arial"/>
                <w:color w:val="000000"/>
              </w:rPr>
            </w:pPr>
            <w:r w:rsidRPr="00CB2311">
              <w:rPr>
                <w:rFonts w:cs="Arial"/>
                <w:color w:val="000000"/>
              </w:rPr>
              <w:t>$48.67</w:t>
            </w:r>
          </w:p>
        </w:tc>
        <w:tc>
          <w:tcPr>
            <w:tcW w:w="990" w:type="dxa"/>
            <w:shd w:val="clear" w:color="000000" w:fill="FFFFFF"/>
            <w:noWrap/>
            <w:vAlign w:val="center"/>
            <w:hideMark/>
          </w:tcPr>
          <w:p w:rsidR="00A0318C" w:rsidRPr="00175361" w:rsidP="00A0318C" w14:paraId="7F49419B" w14:textId="77777777">
            <w:pPr>
              <w:autoSpaceDE/>
              <w:autoSpaceDN/>
              <w:adjustRightInd/>
              <w:jc w:val="center"/>
              <w:rPr>
                <w:rFonts w:cs="Arial"/>
                <w:color w:val="000000"/>
              </w:rPr>
            </w:pPr>
            <w:r w:rsidRPr="00CB2311">
              <w:rPr>
                <w:rFonts w:cs="Arial"/>
                <w:color w:val="000000"/>
              </w:rPr>
              <w:t>$56.18</w:t>
            </w:r>
          </w:p>
        </w:tc>
        <w:tc>
          <w:tcPr>
            <w:tcW w:w="1260" w:type="dxa"/>
            <w:shd w:val="clear" w:color="auto" w:fill="auto"/>
            <w:noWrap/>
            <w:vAlign w:val="center"/>
            <w:hideMark/>
          </w:tcPr>
          <w:p w:rsidR="00A0318C" w:rsidRPr="00175361" w:rsidP="00A0318C" w14:paraId="7F49419C"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9D"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9E"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A9"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A0"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A1" w14:textId="77777777">
            <w:pPr>
              <w:autoSpaceDE/>
              <w:autoSpaceDN/>
              <w:adjustRightInd/>
              <w:rPr>
                <w:rFonts w:cs="Arial"/>
                <w:color w:val="000000"/>
              </w:rPr>
            </w:pPr>
            <w:r w:rsidRPr="00175361">
              <w:rPr>
                <w:rFonts w:cs="Arial"/>
                <w:color w:val="000000"/>
              </w:rPr>
              <w:t>Nuclear Technician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General Engineer</w:t>
            </w:r>
          </w:p>
        </w:tc>
        <w:tc>
          <w:tcPr>
            <w:tcW w:w="1080" w:type="dxa"/>
            <w:vMerge/>
            <w:vAlign w:val="center"/>
            <w:hideMark/>
          </w:tcPr>
          <w:p w:rsidR="00A0318C" w:rsidRPr="00175361" w:rsidP="00A0318C" w14:paraId="7F4941A2" w14:textId="77777777">
            <w:pPr>
              <w:autoSpaceDE/>
              <w:autoSpaceDN/>
              <w:adjustRightInd/>
              <w:rPr>
                <w:rFonts w:cs="Arial"/>
              </w:rPr>
            </w:pPr>
          </w:p>
        </w:tc>
        <w:tc>
          <w:tcPr>
            <w:tcW w:w="990" w:type="dxa"/>
            <w:vMerge/>
            <w:vAlign w:val="center"/>
            <w:hideMark/>
          </w:tcPr>
          <w:p w:rsidR="00A0318C" w:rsidRPr="00175361" w:rsidP="00A0318C" w14:paraId="7F4941A3"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A4" w14:textId="77777777">
            <w:pPr>
              <w:autoSpaceDE/>
              <w:autoSpaceDN/>
              <w:adjustRightInd/>
              <w:jc w:val="center"/>
              <w:rPr>
                <w:rFonts w:cs="Arial"/>
                <w:color w:val="000000"/>
              </w:rPr>
            </w:pPr>
            <w:r w:rsidRPr="00CB2311">
              <w:rPr>
                <w:rFonts w:cs="Arial"/>
                <w:color w:val="000000"/>
              </w:rPr>
              <w:t>$41.27</w:t>
            </w:r>
          </w:p>
        </w:tc>
        <w:tc>
          <w:tcPr>
            <w:tcW w:w="990" w:type="dxa"/>
            <w:shd w:val="clear" w:color="000000" w:fill="FFFFFF"/>
            <w:noWrap/>
            <w:vAlign w:val="center"/>
            <w:hideMark/>
          </w:tcPr>
          <w:p w:rsidR="00A0318C" w:rsidRPr="00175361" w:rsidP="00A0318C" w14:paraId="7F4941A5" w14:textId="77777777">
            <w:pPr>
              <w:autoSpaceDE/>
              <w:autoSpaceDN/>
              <w:adjustRightInd/>
              <w:jc w:val="center"/>
              <w:rPr>
                <w:rFonts w:cs="Arial"/>
                <w:color w:val="000000"/>
              </w:rPr>
            </w:pPr>
            <w:r w:rsidRPr="00CB2311">
              <w:rPr>
                <w:rFonts w:cs="Arial"/>
                <w:color w:val="000000"/>
              </w:rPr>
              <w:t>$50.65</w:t>
            </w:r>
          </w:p>
        </w:tc>
        <w:tc>
          <w:tcPr>
            <w:tcW w:w="1260" w:type="dxa"/>
            <w:shd w:val="clear" w:color="auto" w:fill="auto"/>
            <w:noWrap/>
            <w:vAlign w:val="center"/>
            <w:hideMark/>
          </w:tcPr>
          <w:p w:rsidR="00A0318C" w:rsidRPr="00175361" w:rsidP="00A0318C" w14:paraId="7F4941A6"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A7"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A8"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B3"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AA"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AB" w14:textId="77777777">
            <w:pPr>
              <w:autoSpaceDE/>
              <w:autoSpaceDN/>
              <w:adjustRightInd/>
              <w:rPr>
                <w:rFonts w:cs="Arial"/>
                <w:color w:val="000000"/>
              </w:rPr>
            </w:pPr>
            <w:r w:rsidRPr="00175361">
              <w:rPr>
                <w:rFonts w:cs="Arial"/>
                <w:color w:val="000000"/>
              </w:rPr>
              <w:t>Graduate Student</w:t>
            </w:r>
          </w:p>
        </w:tc>
        <w:tc>
          <w:tcPr>
            <w:tcW w:w="1080" w:type="dxa"/>
            <w:vMerge/>
            <w:vAlign w:val="center"/>
            <w:hideMark/>
          </w:tcPr>
          <w:p w:rsidR="00A0318C" w:rsidRPr="00175361" w:rsidP="00A0318C" w14:paraId="7F4941AC" w14:textId="77777777">
            <w:pPr>
              <w:autoSpaceDE/>
              <w:autoSpaceDN/>
              <w:adjustRightInd/>
              <w:rPr>
                <w:rFonts w:cs="Arial"/>
              </w:rPr>
            </w:pPr>
          </w:p>
        </w:tc>
        <w:tc>
          <w:tcPr>
            <w:tcW w:w="990" w:type="dxa"/>
            <w:vMerge/>
            <w:vAlign w:val="center"/>
            <w:hideMark/>
          </w:tcPr>
          <w:p w:rsidR="00A0318C" w:rsidRPr="00175361" w:rsidP="00A0318C" w14:paraId="7F4941AD"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AE" w14:textId="77777777">
            <w:pPr>
              <w:autoSpaceDE/>
              <w:autoSpaceDN/>
              <w:adjustRightInd/>
              <w:jc w:val="center"/>
              <w:rPr>
                <w:rFonts w:cs="Arial"/>
                <w:color w:val="000000"/>
              </w:rPr>
            </w:pPr>
            <w:r w:rsidRPr="00CB2311">
              <w:rPr>
                <w:rFonts w:cs="Arial"/>
                <w:color w:val="000000"/>
              </w:rPr>
              <w:t>$19.46</w:t>
            </w:r>
          </w:p>
        </w:tc>
        <w:tc>
          <w:tcPr>
            <w:tcW w:w="990" w:type="dxa"/>
            <w:shd w:val="clear" w:color="000000" w:fill="FFFFFF"/>
            <w:noWrap/>
            <w:vAlign w:val="center"/>
            <w:hideMark/>
          </w:tcPr>
          <w:p w:rsidR="00A0318C" w:rsidRPr="00175361" w:rsidP="00A0318C" w14:paraId="7F4941AF" w14:textId="77777777">
            <w:pPr>
              <w:autoSpaceDE/>
              <w:autoSpaceDN/>
              <w:adjustRightInd/>
              <w:jc w:val="center"/>
              <w:rPr>
                <w:rFonts w:cs="Arial"/>
                <w:color w:val="000000"/>
              </w:rPr>
            </w:pPr>
            <w:r w:rsidRPr="00CB2311">
              <w:rPr>
                <w:rFonts w:cs="Arial"/>
                <w:color w:val="000000"/>
              </w:rPr>
              <w:t>$19.46</w:t>
            </w:r>
          </w:p>
        </w:tc>
        <w:tc>
          <w:tcPr>
            <w:tcW w:w="1260" w:type="dxa"/>
            <w:shd w:val="clear" w:color="auto" w:fill="auto"/>
            <w:noWrap/>
            <w:vAlign w:val="center"/>
            <w:hideMark/>
          </w:tcPr>
          <w:p w:rsidR="00A0318C" w:rsidRPr="00175361" w:rsidP="00A0318C" w14:paraId="7F4941B0"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B1"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c>
          <w:tcPr>
            <w:tcW w:w="1440" w:type="dxa"/>
            <w:shd w:val="clear" w:color="auto" w:fill="auto"/>
            <w:noWrap/>
            <w:vAlign w:val="center"/>
            <w:hideMark/>
          </w:tcPr>
          <w:p w:rsidR="00A0318C" w:rsidRPr="00175361" w:rsidP="00A0318C" w14:paraId="7F4941B2" w14:textId="77777777">
            <w:pPr>
              <w:autoSpaceDE/>
              <w:autoSpaceDN/>
              <w:adjustRightInd/>
              <w:jc w:val="center"/>
              <w:rPr>
                <w:rFonts w:cs="Arial"/>
                <w:color w:val="000000"/>
              </w:rPr>
            </w:pPr>
            <w:r>
              <w:rPr>
                <w:rFonts w:cs="Arial"/>
                <w:color w:val="000000"/>
              </w:rPr>
              <w:t>(</w:t>
            </w:r>
            <w:r w:rsidRPr="00CB2311">
              <w:rPr>
                <w:rFonts w:cs="Arial"/>
                <w:color w:val="000000"/>
              </w:rPr>
              <w:t>$0</w:t>
            </w:r>
            <w:r>
              <w:rPr>
                <w:rFonts w:cs="Arial"/>
                <w:color w:val="000000"/>
              </w:rPr>
              <w:t>)</w:t>
            </w:r>
          </w:p>
        </w:tc>
      </w:tr>
      <w:tr w14:paraId="7F4941BD" w14:textId="77777777" w:rsidTr="00651BE0">
        <w:tblPrEx>
          <w:tblW w:w="11880" w:type="dxa"/>
          <w:jc w:val="center"/>
          <w:tblLayout w:type="fixed"/>
          <w:tblLook w:val="04A0"/>
        </w:tblPrEx>
        <w:trPr>
          <w:trHeight w:val="390"/>
          <w:jc w:val="center"/>
        </w:trPr>
        <w:tc>
          <w:tcPr>
            <w:tcW w:w="1401" w:type="dxa"/>
            <w:vMerge/>
            <w:vAlign w:val="center"/>
            <w:hideMark/>
          </w:tcPr>
          <w:p w:rsidR="00A0318C" w:rsidRPr="00175361" w:rsidP="00A0318C" w14:paraId="7F4941B4" w14:textId="77777777">
            <w:pPr>
              <w:autoSpaceDE/>
              <w:autoSpaceDN/>
              <w:adjustRightInd/>
              <w:rPr>
                <w:rFonts w:cs="Arial"/>
                <w:b/>
                <w:bCs/>
              </w:rPr>
            </w:pPr>
          </w:p>
        </w:tc>
        <w:tc>
          <w:tcPr>
            <w:tcW w:w="2199" w:type="dxa"/>
            <w:shd w:val="clear" w:color="auto" w:fill="auto"/>
            <w:noWrap/>
            <w:vAlign w:val="center"/>
            <w:hideMark/>
          </w:tcPr>
          <w:p w:rsidR="00A0318C" w:rsidRPr="00175361" w:rsidP="00A0318C" w14:paraId="7F4941B5" w14:textId="77777777">
            <w:pPr>
              <w:autoSpaceDE/>
              <w:autoSpaceDN/>
              <w:adjustRightInd/>
              <w:rPr>
                <w:rFonts w:cs="Arial"/>
                <w:color w:val="000000"/>
              </w:rPr>
            </w:pPr>
            <w:r w:rsidRPr="00175361">
              <w:rPr>
                <w:rFonts w:cs="Arial"/>
                <w:color w:val="000000"/>
              </w:rPr>
              <w:t>Institution Admin</w:t>
            </w:r>
            <w:r>
              <w:rPr>
                <w:rFonts w:cs="Arial"/>
                <w:color w:val="000000"/>
              </w:rPr>
              <w:t xml:space="preserve">. </w:t>
            </w:r>
            <w:r w:rsidRPr="00175361">
              <w:rPr>
                <w:rFonts w:cs="Arial"/>
                <w:color w:val="000000"/>
              </w:rPr>
              <w:t>/</w:t>
            </w:r>
            <w:r>
              <w:rPr>
                <w:rFonts w:cs="Arial"/>
                <w:color w:val="000000"/>
              </w:rPr>
              <w:t xml:space="preserve">  </w:t>
            </w:r>
            <w:r w:rsidRPr="00175361">
              <w:rPr>
                <w:rFonts w:cs="Arial"/>
                <w:color w:val="000000"/>
              </w:rPr>
              <w:t>Technical Admin</w:t>
            </w:r>
            <w:r>
              <w:rPr>
                <w:rFonts w:cs="Arial"/>
                <w:color w:val="000000"/>
              </w:rPr>
              <w:t>.</w:t>
            </w:r>
            <w:r w:rsidRPr="00175361">
              <w:rPr>
                <w:rFonts w:cs="Arial"/>
                <w:color w:val="000000"/>
              </w:rPr>
              <w:t xml:space="preserve"> (Writer)</w:t>
            </w:r>
          </w:p>
        </w:tc>
        <w:tc>
          <w:tcPr>
            <w:tcW w:w="1080" w:type="dxa"/>
            <w:vMerge/>
            <w:vAlign w:val="center"/>
            <w:hideMark/>
          </w:tcPr>
          <w:p w:rsidR="00A0318C" w:rsidRPr="00175361" w:rsidP="00A0318C" w14:paraId="7F4941B6" w14:textId="77777777">
            <w:pPr>
              <w:autoSpaceDE/>
              <w:autoSpaceDN/>
              <w:adjustRightInd/>
              <w:rPr>
                <w:rFonts w:cs="Arial"/>
              </w:rPr>
            </w:pPr>
          </w:p>
        </w:tc>
        <w:tc>
          <w:tcPr>
            <w:tcW w:w="990" w:type="dxa"/>
            <w:vMerge/>
            <w:vAlign w:val="center"/>
            <w:hideMark/>
          </w:tcPr>
          <w:p w:rsidR="00A0318C" w:rsidRPr="00175361" w:rsidP="00A0318C" w14:paraId="7F4941B7" w14:textId="77777777">
            <w:pPr>
              <w:autoSpaceDE/>
              <w:autoSpaceDN/>
              <w:adjustRightInd/>
              <w:rPr>
                <w:rFonts w:cs="Arial"/>
              </w:rPr>
            </w:pPr>
          </w:p>
        </w:tc>
        <w:tc>
          <w:tcPr>
            <w:tcW w:w="1170" w:type="dxa"/>
            <w:shd w:val="clear" w:color="000000" w:fill="FFFFFF"/>
            <w:noWrap/>
            <w:vAlign w:val="center"/>
            <w:hideMark/>
          </w:tcPr>
          <w:p w:rsidR="00A0318C" w:rsidRPr="00175361" w:rsidP="00A0318C" w14:paraId="7F4941B8" w14:textId="77777777">
            <w:pPr>
              <w:autoSpaceDE/>
              <w:autoSpaceDN/>
              <w:adjustRightInd/>
              <w:jc w:val="center"/>
              <w:rPr>
                <w:rFonts w:cs="Arial"/>
                <w:color w:val="000000"/>
              </w:rPr>
            </w:pPr>
            <w:r w:rsidRPr="00CB2311">
              <w:rPr>
                <w:rFonts w:cs="Arial"/>
                <w:color w:val="000000"/>
              </w:rPr>
              <w:t>$55.54</w:t>
            </w:r>
          </w:p>
        </w:tc>
        <w:tc>
          <w:tcPr>
            <w:tcW w:w="990" w:type="dxa"/>
            <w:shd w:val="clear" w:color="000000" w:fill="FFFFFF"/>
            <w:noWrap/>
            <w:vAlign w:val="center"/>
            <w:hideMark/>
          </w:tcPr>
          <w:p w:rsidR="00A0318C" w:rsidRPr="00175361" w:rsidP="00A0318C" w14:paraId="7F4941B9" w14:textId="77777777">
            <w:pPr>
              <w:autoSpaceDE/>
              <w:autoSpaceDN/>
              <w:adjustRightInd/>
              <w:jc w:val="center"/>
              <w:rPr>
                <w:rFonts w:cs="Arial"/>
                <w:color w:val="000000"/>
              </w:rPr>
            </w:pPr>
            <w:r w:rsidRPr="00CB2311">
              <w:rPr>
                <w:rFonts w:cs="Arial"/>
                <w:color w:val="000000"/>
              </w:rPr>
              <w:t>$38.40</w:t>
            </w:r>
          </w:p>
        </w:tc>
        <w:tc>
          <w:tcPr>
            <w:tcW w:w="1260" w:type="dxa"/>
            <w:shd w:val="clear" w:color="auto" w:fill="auto"/>
            <w:noWrap/>
            <w:vAlign w:val="center"/>
            <w:hideMark/>
          </w:tcPr>
          <w:p w:rsidR="00A0318C" w:rsidRPr="00175361" w:rsidP="00A0318C" w14:paraId="7F4941BA" w14:textId="77777777">
            <w:pPr>
              <w:autoSpaceDE/>
              <w:autoSpaceDN/>
              <w:adjustRightInd/>
              <w:jc w:val="center"/>
              <w:rPr>
                <w:rFonts w:cs="Arial"/>
                <w:color w:val="000000"/>
              </w:rPr>
            </w:pPr>
            <w:r w:rsidRPr="00CB2311">
              <w:rPr>
                <w:rFonts w:cs="Arial"/>
                <w:color w:val="000000"/>
              </w:rPr>
              <w:t>0%</w:t>
            </w:r>
          </w:p>
        </w:tc>
        <w:tc>
          <w:tcPr>
            <w:tcW w:w="1350" w:type="dxa"/>
            <w:shd w:val="clear" w:color="auto" w:fill="auto"/>
            <w:noWrap/>
            <w:vAlign w:val="center"/>
            <w:hideMark/>
          </w:tcPr>
          <w:p w:rsidR="00A0318C" w:rsidRPr="00175361" w:rsidP="00A0318C" w14:paraId="7F4941BB" w14:textId="77777777">
            <w:pPr>
              <w:autoSpaceDE/>
              <w:autoSpaceDN/>
              <w:adjustRightInd/>
              <w:jc w:val="center"/>
              <w:rPr>
                <w:rFonts w:cs="Arial"/>
                <w:color w:val="000000"/>
              </w:rPr>
            </w:pPr>
            <w:r>
              <w:rPr>
                <w:rFonts w:cs="Arial"/>
                <w:color w:val="000000"/>
              </w:rPr>
              <w:t>(</w:t>
            </w:r>
            <w:r w:rsidRPr="00CB2311">
              <w:rPr>
                <w:rFonts w:cs="Arial"/>
                <w:color w:val="000000"/>
              </w:rPr>
              <w:t>$389</w:t>
            </w:r>
            <w:r>
              <w:rPr>
                <w:rFonts w:cs="Arial"/>
                <w:color w:val="000000"/>
              </w:rPr>
              <w:t>)</w:t>
            </w:r>
          </w:p>
        </w:tc>
        <w:tc>
          <w:tcPr>
            <w:tcW w:w="1440" w:type="dxa"/>
            <w:shd w:val="clear" w:color="auto" w:fill="auto"/>
            <w:noWrap/>
            <w:vAlign w:val="center"/>
            <w:hideMark/>
          </w:tcPr>
          <w:p w:rsidR="00A0318C" w:rsidRPr="00175361" w:rsidP="00A0318C" w14:paraId="7F4941BC" w14:textId="77777777">
            <w:pPr>
              <w:autoSpaceDE/>
              <w:autoSpaceDN/>
              <w:adjustRightInd/>
              <w:jc w:val="center"/>
              <w:rPr>
                <w:rFonts w:cs="Arial"/>
                <w:color w:val="000000"/>
              </w:rPr>
            </w:pPr>
            <w:r>
              <w:rPr>
                <w:rFonts w:cs="Arial"/>
                <w:color w:val="000000"/>
              </w:rPr>
              <w:t>(</w:t>
            </w:r>
            <w:r w:rsidRPr="00CB2311">
              <w:rPr>
                <w:rFonts w:cs="Arial"/>
                <w:color w:val="000000"/>
              </w:rPr>
              <w:t>$307</w:t>
            </w:r>
            <w:r>
              <w:rPr>
                <w:rFonts w:cs="Arial"/>
                <w:color w:val="000000"/>
              </w:rPr>
              <w:t>)</w:t>
            </w:r>
          </w:p>
        </w:tc>
      </w:tr>
      <w:tr w14:paraId="7F4941C1" w14:textId="77777777" w:rsidTr="00651BE0">
        <w:tblPrEx>
          <w:tblW w:w="11880" w:type="dxa"/>
          <w:jc w:val="center"/>
          <w:tblLayout w:type="fixed"/>
          <w:tblLook w:val="04A0"/>
        </w:tblPrEx>
        <w:trPr>
          <w:trHeight w:val="405"/>
          <w:jc w:val="center"/>
        </w:trPr>
        <w:tc>
          <w:tcPr>
            <w:tcW w:w="9090" w:type="dxa"/>
            <w:gridSpan w:val="7"/>
            <w:shd w:val="clear" w:color="auto" w:fill="auto"/>
            <w:vAlign w:val="center"/>
            <w:hideMark/>
          </w:tcPr>
          <w:p w:rsidR="00A0318C" w:rsidRPr="00175361" w:rsidP="00C8113D" w14:paraId="7F4941BE" w14:textId="77777777">
            <w:pPr>
              <w:autoSpaceDE/>
              <w:autoSpaceDN/>
              <w:adjustRightInd/>
              <w:rPr>
                <w:rFonts w:cs="Arial"/>
                <w:b/>
                <w:bCs/>
              </w:rPr>
            </w:pPr>
            <w:r w:rsidRPr="00175361">
              <w:rPr>
                <w:rFonts w:cs="Arial"/>
                <w:b/>
                <w:bCs/>
              </w:rPr>
              <w:t xml:space="preserve">Total </w:t>
            </w:r>
            <w:r w:rsidR="00D348A1">
              <w:rPr>
                <w:rFonts w:cs="Arial"/>
                <w:b/>
                <w:bCs/>
              </w:rPr>
              <w:t>Licensee</w:t>
            </w:r>
            <w:r w:rsidRPr="00175361">
              <w:rPr>
                <w:rFonts w:cs="Arial"/>
                <w:b/>
                <w:bCs/>
              </w:rPr>
              <w:t xml:space="preserve"> One-Time Cost (per NPUF)</w:t>
            </w:r>
          </w:p>
        </w:tc>
        <w:tc>
          <w:tcPr>
            <w:tcW w:w="1350" w:type="dxa"/>
            <w:shd w:val="clear" w:color="auto" w:fill="auto"/>
            <w:noWrap/>
            <w:vAlign w:val="center"/>
            <w:hideMark/>
          </w:tcPr>
          <w:p w:rsidR="00A0318C" w:rsidRPr="00175361" w:rsidP="00A0318C" w14:paraId="7F4941BF" w14:textId="77777777">
            <w:pPr>
              <w:autoSpaceDE/>
              <w:autoSpaceDN/>
              <w:adjustRightInd/>
              <w:jc w:val="center"/>
              <w:rPr>
                <w:rFonts w:cs="Arial"/>
                <w:color w:val="000000"/>
              </w:rPr>
            </w:pPr>
            <w:r>
              <w:rPr>
                <w:rFonts w:cs="Arial"/>
                <w:color w:val="000000"/>
              </w:rPr>
              <w:t>(</w:t>
            </w:r>
            <w:r w:rsidRPr="00CB2311">
              <w:rPr>
                <w:rFonts w:cs="Arial"/>
                <w:color w:val="000000"/>
              </w:rPr>
              <w:t>$5,578</w:t>
            </w:r>
            <w:r>
              <w:rPr>
                <w:rFonts w:cs="Arial"/>
                <w:color w:val="000000"/>
              </w:rPr>
              <w:t>)</w:t>
            </w:r>
          </w:p>
        </w:tc>
        <w:tc>
          <w:tcPr>
            <w:tcW w:w="1440" w:type="dxa"/>
            <w:shd w:val="clear" w:color="auto" w:fill="auto"/>
            <w:noWrap/>
            <w:vAlign w:val="center"/>
            <w:hideMark/>
          </w:tcPr>
          <w:p w:rsidR="00A0318C" w:rsidRPr="00175361" w:rsidP="00A0318C" w14:paraId="7F4941C0" w14:textId="77777777">
            <w:pPr>
              <w:autoSpaceDE/>
              <w:autoSpaceDN/>
              <w:adjustRightInd/>
              <w:jc w:val="center"/>
              <w:rPr>
                <w:rFonts w:cs="Arial"/>
                <w:color w:val="000000"/>
              </w:rPr>
            </w:pPr>
            <w:r>
              <w:rPr>
                <w:rFonts w:cs="Arial"/>
                <w:color w:val="000000"/>
              </w:rPr>
              <w:t>(</w:t>
            </w:r>
            <w:r w:rsidRPr="00CB2311">
              <w:rPr>
                <w:rFonts w:cs="Arial"/>
                <w:color w:val="000000"/>
              </w:rPr>
              <w:t>$6,234</w:t>
            </w:r>
            <w:r>
              <w:rPr>
                <w:rFonts w:cs="Arial"/>
                <w:color w:val="000000"/>
              </w:rPr>
              <w:t>)</w:t>
            </w:r>
          </w:p>
        </w:tc>
      </w:tr>
      <w:tr w14:paraId="7F4941C5" w14:textId="77777777" w:rsidTr="00651BE0">
        <w:tblPrEx>
          <w:tblW w:w="11880" w:type="dxa"/>
          <w:jc w:val="center"/>
          <w:tblLayout w:type="fixed"/>
          <w:tblLook w:val="04A0"/>
        </w:tblPrEx>
        <w:trPr>
          <w:trHeight w:val="405"/>
          <w:jc w:val="center"/>
        </w:trPr>
        <w:tc>
          <w:tcPr>
            <w:tcW w:w="9090" w:type="dxa"/>
            <w:gridSpan w:val="7"/>
            <w:shd w:val="clear" w:color="auto" w:fill="auto"/>
            <w:vAlign w:val="center"/>
            <w:hideMark/>
          </w:tcPr>
          <w:p w:rsidR="00A0318C" w:rsidRPr="00175361" w:rsidP="00C8113D" w14:paraId="7F4941C2" w14:textId="77777777">
            <w:pPr>
              <w:autoSpaceDE/>
              <w:autoSpaceDN/>
              <w:adjustRightInd/>
              <w:rPr>
                <w:rFonts w:cs="Arial"/>
                <w:b/>
                <w:bCs/>
              </w:rPr>
            </w:pPr>
            <w:r w:rsidRPr="00175361">
              <w:rPr>
                <w:rFonts w:cs="Arial"/>
                <w:b/>
                <w:bCs/>
              </w:rPr>
              <w:t>Number of NPUFs</w:t>
            </w:r>
          </w:p>
        </w:tc>
        <w:tc>
          <w:tcPr>
            <w:tcW w:w="1350" w:type="dxa"/>
            <w:shd w:val="clear" w:color="auto" w:fill="auto"/>
            <w:vAlign w:val="center"/>
            <w:hideMark/>
          </w:tcPr>
          <w:p w:rsidR="00A0318C" w:rsidRPr="00175361" w:rsidP="00A0318C" w14:paraId="7F4941C3" w14:textId="77777777">
            <w:pPr>
              <w:autoSpaceDE/>
              <w:autoSpaceDN/>
              <w:adjustRightInd/>
              <w:jc w:val="center"/>
              <w:rPr>
                <w:rFonts w:cs="Arial"/>
                <w:b/>
                <w:bCs/>
              </w:rPr>
            </w:pPr>
            <w:r w:rsidRPr="00175361">
              <w:rPr>
                <w:rFonts w:cs="Arial"/>
                <w:b/>
                <w:bCs/>
              </w:rPr>
              <w:t>30</w:t>
            </w:r>
          </w:p>
        </w:tc>
        <w:tc>
          <w:tcPr>
            <w:tcW w:w="1440" w:type="dxa"/>
            <w:shd w:val="clear" w:color="auto" w:fill="auto"/>
            <w:vAlign w:val="center"/>
            <w:hideMark/>
          </w:tcPr>
          <w:p w:rsidR="00A0318C" w:rsidRPr="00175361" w:rsidP="00A0318C" w14:paraId="7F4941C4" w14:textId="77777777">
            <w:pPr>
              <w:autoSpaceDE/>
              <w:autoSpaceDN/>
              <w:adjustRightInd/>
              <w:jc w:val="center"/>
              <w:rPr>
                <w:rFonts w:cs="Arial"/>
                <w:b/>
                <w:bCs/>
              </w:rPr>
            </w:pPr>
            <w:r w:rsidRPr="00175361">
              <w:rPr>
                <w:rFonts w:cs="Arial"/>
                <w:b/>
                <w:bCs/>
              </w:rPr>
              <w:t>3</w:t>
            </w:r>
          </w:p>
        </w:tc>
      </w:tr>
      <w:tr w14:paraId="7F4941C9" w14:textId="77777777" w:rsidTr="00651BE0">
        <w:tblPrEx>
          <w:tblW w:w="11880" w:type="dxa"/>
          <w:jc w:val="center"/>
          <w:tblLayout w:type="fixed"/>
          <w:tblLook w:val="04A0"/>
        </w:tblPrEx>
        <w:trPr>
          <w:trHeight w:val="405"/>
          <w:jc w:val="center"/>
        </w:trPr>
        <w:tc>
          <w:tcPr>
            <w:tcW w:w="9090" w:type="dxa"/>
            <w:gridSpan w:val="7"/>
            <w:vMerge w:val="restart"/>
            <w:shd w:val="clear" w:color="auto" w:fill="auto"/>
            <w:vAlign w:val="center"/>
            <w:hideMark/>
          </w:tcPr>
          <w:p w:rsidR="00E37571" w:rsidRPr="00175361" w:rsidP="00C8113D" w14:paraId="7F4941C6" w14:textId="77777777">
            <w:pPr>
              <w:autoSpaceDE/>
              <w:autoSpaceDN/>
              <w:adjustRightInd/>
              <w:rPr>
                <w:rFonts w:cs="Arial"/>
                <w:b/>
                <w:bCs/>
              </w:rPr>
            </w:pPr>
            <w:r w:rsidRPr="00175361">
              <w:rPr>
                <w:rFonts w:cs="Arial"/>
                <w:b/>
                <w:bCs/>
              </w:rPr>
              <w:t xml:space="preserve">Total </w:t>
            </w:r>
            <w:r w:rsidR="00D348A1">
              <w:rPr>
                <w:rFonts w:cs="Arial"/>
                <w:b/>
                <w:bCs/>
              </w:rPr>
              <w:t>Licensee</w:t>
            </w:r>
            <w:r w:rsidRPr="00175361">
              <w:rPr>
                <w:rFonts w:cs="Arial"/>
                <w:b/>
                <w:bCs/>
              </w:rPr>
              <w:t xml:space="preserve"> One-Time Cost</w:t>
            </w:r>
          </w:p>
        </w:tc>
        <w:tc>
          <w:tcPr>
            <w:tcW w:w="1350" w:type="dxa"/>
            <w:shd w:val="clear" w:color="auto" w:fill="auto"/>
            <w:vAlign w:val="center"/>
            <w:hideMark/>
          </w:tcPr>
          <w:p w:rsidR="00E37571" w:rsidRPr="00175361" w:rsidP="00A0318C" w14:paraId="7F4941C7" w14:textId="77777777">
            <w:pPr>
              <w:autoSpaceDE/>
              <w:autoSpaceDN/>
              <w:adjustRightInd/>
              <w:jc w:val="center"/>
              <w:rPr>
                <w:rFonts w:cs="Arial"/>
                <w:b/>
                <w:bCs/>
              </w:rPr>
            </w:pPr>
            <w:r>
              <w:rPr>
                <w:rFonts w:cs="Arial"/>
                <w:b/>
                <w:bCs/>
              </w:rPr>
              <w:t>(</w:t>
            </w:r>
            <w:r w:rsidRPr="00CB2311">
              <w:rPr>
                <w:rFonts w:cs="Arial"/>
                <w:b/>
                <w:bCs/>
              </w:rPr>
              <w:t>$167,354</w:t>
            </w:r>
            <w:r>
              <w:rPr>
                <w:rFonts w:cs="Arial"/>
                <w:b/>
                <w:bCs/>
              </w:rPr>
              <w:t>)</w:t>
            </w:r>
          </w:p>
        </w:tc>
        <w:tc>
          <w:tcPr>
            <w:tcW w:w="1440" w:type="dxa"/>
            <w:shd w:val="clear" w:color="auto" w:fill="auto"/>
            <w:vAlign w:val="center"/>
            <w:hideMark/>
          </w:tcPr>
          <w:p w:rsidR="00E37571" w:rsidRPr="00175361" w:rsidP="00A0318C" w14:paraId="7F4941C8" w14:textId="77777777">
            <w:pPr>
              <w:autoSpaceDE/>
              <w:autoSpaceDN/>
              <w:adjustRightInd/>
              <w:jc w:val="center"/>
              <w:rPr>
                <w:rFonts w:cs="Arial"/>
                <w:b/>
                <w:bCs/>
              </w:rPr>
            </w:pPr>
            <w:r>
              <w:rPr>
                <w:rFonts w:cs="Arial"/>
                <w:b/>
                <w:bCs/>
              </w:rPr>
              <w:t>(</w:t>
            </w:r>
            <w:r w:rsidRPr="00CB2311">
              <w:rPr>
                <w:rFonts w:cs="Arial"/>
                <w:b/>
                <w:bCs/>
              </w:rPr>
              <w:t>$18,703</w:t>
            </w:r>
            <w:r>
              <w:rPr>
                <w:rFonts w:cs="Arial"/>
                <w:b/>
                <w:bCs/>
              </w:rPr>
              <w:t>)</w:t>
            </w:r>
          </w:p>
        </w:tc>
      </w:tr>
      <w:tr w14:paraId="7F4941CC" w14:textId="77777777" w:rsidTr="00651BE0">
        <w:tblPrEx>
          <w:tblW w:w="11880" w:type="dxa"/>
          <w:jc w:val="center"/>
          <w:tblLayout w:type="fixed"/>
          <w:tblLook w:val="04A0"/>
        </w:tblPrEx>
        <w:trPr>
          <w:trHeight w:val="405"/>
          <w:jc w:val="center"/>
        </w:trPr>
        <w:tc>
          <w:tcPr>
            <w:tcW w:w="9090" w:type="dxa"/>
            <w:gridSpan w:val="7"/>
            <w:vMerge/>
            <w:vAlign w:val="center"/>
            <w:hideMark/>
          </w:tcPr>
          <w:p w:rsidR="00E37571" w:rsidRPr="00175361" w:rsidP="00A0318C" w14:paraId="7F4941CA" w14:textId="77777777">
            <w:pPr>
              <w:autoSpaceDE/>
              <w:autoSpaceDN/>
              <w:adjustRightInd/>
              <w:jc w:val="center"/>
              <w:rPr>
                <w:rFonts w:cs="Arial"/>
                <w:b/>
                <w:bCs/>
              </w:rPr>
            </w:pPr>
          </w:p>
        </w:tc>
        <w:tc>
          <w:tcPr>
            <w:tcW w:w="2790" w:type="dxa"/>
            <w:gridSpan w:val="2"/>
            <w:shd w:val="clear" w:color="auto" w:fill="auto"/>
            <w:vAlign w:val="center"/>
            <w:hideMark/>
          </w:tcPr>
          <w:p w:rsidR="00E37571" w:rsidRPr="00175361" w:rsidP="00A0318C" w14:paraId="7F4941CB" w14:textId="77777777">
            <w:pPr>
              <w:autoSpaceDE/>
              <w:autoSpaceDN/>
              <w:adjustRightInd/>
              <w:jc w:val="center"/>
              <w:rPr>
                <w:rFonts w:cs="Arial"/>
                <w:b/>
                <w:bCs/>
              </w:rPr>
            </w:pPr>
            <w:r>
              <w:rPr>
                <w:rFonts w:cs="Arial"/>
                <w:b/>
                <w:bCs/>
              </w:rPr>
              <w:t>(</w:t>
            </w:r>
            <w:r w:rsidRPr="00CB2311">
              <w:rPr>
                <w:rFonts w:cs="Arial"/>
                <w:b/>
                <w:bCs/>
              </w:rPr>
              <w:t>$186,057</w:t>
            </w:r>
            <w:r>
              <w:rPr>
                <w:rFonts w:cs="Arial"/>
                <w:b/>
                <w:bCs/>
              </w:rPr>
              <w:t>)</w:t>
            </w:r>
          </w:p>
        </w:tc>
      </w:tr>
    </w:tbl>
    <w:p w:rsidR="00A0318C" w:rsidP="00A0318C" w14:paraId="7F4941CD" w14:textId="77777777">
      <w:pPr>
        <w:ind w:left="360"/>
        <w:contextualSpacing/>
        <w:rPr>
          <w:rFonts w:cs="Arial"/>
        </w:rPr>
      </w:pPr>
    </w:p>
    <w:p w:rsidR="00A0318C" w:rsidP="00A0318C" w14:paraId="7F4941CE" w14:textId="77777777">
      <w:pPr>
        <w:ind w:left="360"/>
        <w:contextualSpacing/>
        <w:rPr>
          <w:rFonts w:cs="Arial"/>
        </w:rPr>
      </w:pPr>
    </w:p>
    <w:p w:rsidR="00A0318C" w:rsidP="00A0318C" w14:paraId="7F4941CF" w14:textId="77777777">
      <w:pPr>
        <w:ind w:left="360"/>
        <w:contextualSpacing/>
        <w:rPr>
          <w:rFonts w:cs="Arial"/>
        </w:rPr>
      </w:pPr>
    </w:p>
    <w:p w:rsidR="00A0318C" w:rsidRPr="00D839EE" w:rsidP="00A0318C" w14:paraId="7F4941D0" w14:textId="77777777">
      <w:pPr>
        <w:ind w:left="360"/>
        <w:contextualSpacing/>
        <w:rPr>
          <w:rFonts w:cs="Arial"/>
        </w:rPr>
      </w:pPr>
    </w:p>
    <w:p w:rsidR="00A0318C" w:rsidRPr="00346B95" w:rsidP="00346B95" w14:paraId="7F4941D1" w14:textId="152B419A">
      <w:pPr>
        <w:keepNext/>
        <w:jc w:val="center"/>
        <w:rPr>
          <w:b/>
          <w:sz w:val="22"/>
        </w:rPr>
      </w:pPr>
      <w:bookmarkStart w:id="546" w:name="_Toc534710030"/>
      <w:bookmarkStart w:id="547" w:name="_Toc534711715"/>
      <w:bookmarkStart w:id="548" w:name="_Toc534712148"/>
      <w:bookmarkStart w:id="549" w:name="_Toc534712725"/>
      <w:bookmarkStart w:id="550" w:name="_Toc534713234"/>
      <w:bookmarkStart w:id="551" w:name="_Toc9526494"/>
      <w:bookmarkStart w:id="552" w:name="_Toc536603443"/>
      <w:r w:rsidRPr="00D96410">
        <w:rPr>
          <w:b/>
          <w:sz w:val="22"/>
          <w:szCs w:val="22"/>
        </w:rPr>
        <w:t>Exhibit A</w:t>
      </w:r>
      <w:r w:rsidRPr="00D96410">
        <w:rPr>
          <w:b/>
          <w:sz w:val="22"/>
          <w:szCs w:val="22"/>
        </w:rPr>
        <w:noBreakHyphen/>
      </w:r>
      <w:r w:rsidRPr="00D96410">
        <w:rPr>
          <w:b/>
          <w:sz w:val="22"/>
          <w:szCs w:val="22"/>
        </w:rPr>
        <w:fldChar w:fldCharType="begin"/>
      </w:r>
      <w:r w:rsidRPr="00D96410">
        <w:rPr>
          <w:b/>
          <w:sz w:val="22"/>
          <w:szCs w:val="22"/>
        </w:rPr>
        <w:instrText xml:space="preserve"> SEQ Exhibit \* ARABIC \r 4 </w:instrText>
      </w:r>
      <w:r w:rsidRPr="00D96410">
        <w:rPr>
          <w:b/>
          <w:sz w:val="22"/>
          <w:szCs w:val="22"/>
        </w:rPr>
        <w:fldChar w:fldCharType="separate"/>
      </w:r>
      <w:r w:rsidR="00977795">
        <w:rPr>
          <w:b/>
          <w:noProof/>
          <w:sz w:val="22"/>
          <w:szCs w:val="22"/>
        </w:rPr>
        <w:t>4</w:t>
      </w:r>
      <w:r w:rsidRPr="00D96410">
        <w:rPr>
          <w:b/>
          <w:sz w:val="22"/>
          <w:szCs w:val="22"/>
        </w:rPr>
        <w:fldChar w:fldCharType="end"/>
      </w:r>
      <w:r w:rsidRPr="00D96410">
        <w:rPr>
          <w:b/>
          <w:sz w:val="22"/>
          <w:szCs w:val="22"/>
        </w:rPr>
        <w:t>b</w:t>
      </w:r>
      <w:r w:rsidRPr="00D96410" w:rsidR="00180D68">
        <w:rPr>
          <w:b/>
          <w:sz w:val="22"/>
          <w:szCs w:val="22"/>
        </w:rPr>
        <w:t xml:space="preserve">. Licensee </w:t>
      </w:r>
      <w:r w:rsidRPr="00FD2E55" w:rsidR="000B0B63">
        <w:rPr>
          <w:rFonts w:cs="Arial"/>
          <w:b/>
          <w:sz w:val="22"/>
          <w:szCs w:val="22"/>
        </w:rPr>
        <w:t>L</w:t>
      </w:r>
      <w:r w:rsidRPr="00FD2E55" w:rsidR="00502957">
        <w:rPr>
          <w:rFonts w:cs="Arial"/>
          <w:b/>
          <w:sz w:val="22"/>
          <w:szCs w:val="22"/>
        </w:rPr>
        <w:t xml:space="preserve">evel of </w:t>
      </w:r>
      <w:r w:rsidRPr="00FD2E55" w:rsidR="000B0B63">
        <w:rPr>
          <w:rFonts w:cs="Arial"/>
          <w:b/>
          <w:sz w:val="22"/>
          <w:szCs w:val="22"/>
        </w:rPr>
        <w:t>E</w:t>
      </w:r>
      <w:r w:rsidRPr="00FD2E55" w:rsidR="00502957">
        <w:rPr>
          <w:rFonts w:cs="Arial"/>
          <w:b/>
          <w:sz w:val="22"/>
          <w:szCs w:val="22"/>
        </w:rPr>
        <w:t>ffort</w:t>
      </w:r>
      <w:r w:rsidRPr="00346B95" w:rsidR="000B0B63">
        <w:rPr>
          <w:b/>
          <w:sz w:val="22"/>
        </w:rPr>
        <w:t xml:space="preserve"> and Workload Proportions</w:t>
      </w:r>
      <w:r w:rsidRPr="00346B95">
        <w:rPr>
          <w:b/>
          <w:sz w:val="22"/>
        </w:rPr>
        <w:t xml:space="preserve"> of the Final Rule</w:t>
      </w:r>
      <w:bookmarkEnd w:id="546"/>
      <w:bookmarkEnd w:id="547"/>
      <w:bookmarkEnd w:id="548"/>
      <w:bookmarkEnd w:id="549"/>
      <w:bookmarkEnd w:id="550"/>
      <w:bookmarkEnd w:id="551"/>
      <w:bookmarkEnd w:id="552"/>
    </w:p>
    <w:tbl>
      <w:tblPr>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1800"/>
        <w:gridCol w:w="720"/>
        <w:gridCol w:w="988"/>
        <w:gridCol w:w="993"/>
        <w:gridCol w:w="1079"/>
        <w:gridCol w:w="1079"/>
        <w:gridCol w:w="991"/>
        <w:gridCol w:w="1170"/>
        <w:gridCol w:w="809"/>
        <w:gridCol w:w="900"/>
      </w:tblGrid>
      <w:tr w14:paraId="7F4941D4" w14:textId="77777777" w:rsidTr="00651BE0">
        <w:tblPrEx>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blHeader/>
          <w:jc w:val="center"/>
        </w:trPr>
        <w:tc>
          <w:tcPr>
            <w:tcW w:w="600" w:type="pct"/>
            <w:vMerge w:val="restart"/>
            <w:shd w:val="clear" w:color="auto" w:fill="auto"/>
            <w:vAlign w:val="center"/>
            <w:hideMark/>
          </w:tcPr>
          <w:p w:rsidR="00A0318C" w:rsidRPr="009E1A35" w:rsidP="00346B95" w14:paraId="7F4941D2" w14:textId="77777777">
            <w:pPr>
              <w:keepNext/>
              <w:autoSpaceDE/>
              <w:autoSpaceDN/>
              <w:adjustRightInd/>
              <w:jc w:val="center"/>
              <w:rPr>
                <w:rFonts w:cs="Arial"/>
                <w:b/>
                <w:bCs/>
              </w:rPr>
            </w:pPr>
            <w:r w:rsidRPr="009E1A35">
              <w:rPr>
                <w:rFonts w:cs="Arial"/>
                <w:b/>
                <w:bCs/>
              </w:rPr>
              <w:t>Post-Rule Process Steps</w:t>
            </w:r>
          </w:p>
        </w:tc>
        <w:tc>
          <w:tcPr>
            <w:tcW w:w="4400" w:type="pct"/>
            <w:gridSpan w:val="10"/>
            <w:shd w:val="clear" w:color="auto" w:fill="auto"/>
            <w:noWrap/>
            <w:vAlign w:val="center"/>
            <w:hideMark/>
          </w:tcPr>
          <w:p w:rsidR="00A0318C" w:rsidRPr="009E1A35" w:rsidP="00346B95" w14:paraId="7F4941D3" w14:textId="77777777">
            <w:pPr>
              <w:keepNext/>
              <w:autoSpaceDE/>
              <w:autoSpaceDN/>
              <w:adjustRightInd/>
              <w:jc w:val="center"/>
              <w:rPr>
                <w:rFonts w:cs="Arial"/>
                <w:b/>
                <w:bCs/>
                <w:color w:val="000000"/>
              </w:rPr>
            </w:pPr>
            <w:r w:rsidRPr="009E1A35">
              <w:rPr>
                <w:rFonts w:cs="Arial"/>
                <w:b/>
                <w:bCs/>
                <w:color w:val="000000"/>
              </w:rPr>
              <w:t>Cost Inputs</w:t>
            </w:r>
          </w:p>
        </w:tc>
      </w:tr>
      <w:tr w14:paraId="7F4941DA" w14:textId="77777777" w:rsidTr="00346B95">
        <w:tblPrEx>
          <w:tblW w:w="4620" w:type="pct"/>
          <w:jc w:val="center"/>
          <w:tblLayout w:type="fixed"/>
          <w:tblLook w:val="04A0"/>
        </w:tblPrEx>
        <w:trPr>
          <w:trHeight w:val="390"/>
          <w:tblHeader/>
          <w:jc w:val="center"/>
        </w:trPr>
        <w:tc>
          <w:tcPr>
            <w:tcW w:w="600" w:type="pct"/>
            <w:vMerge/>
            <w:vAlign w:val="center"/>
            <w:hideMark/>
          </w:tcPr>
          <w:p w:rsidR="00A0318C" w:rsidRPr="009E1A35" w:rsidP="00A0318C" w14:paraId="7F4941D5" w14:textId="77777777">
            <w:pPr>
              <w:autoSpaceDE/>
              <w:autoSpaceDN/>
              <w:adjustRightInd/>
              <w:rPr>
                <w:rFonts w:cs="Arial"/>
                <w:b/>
                <w:bCs/>
              </w:rPr>
            </w:pPr>
          </w:p>
        </w:tc>
        <w:tc>
          <w:tcPr>
            <w:tcW w:w="752" w:type="pct"/>
            <w:vMerge w:val="restart"/>
            <w:shd w:val="clear" w:color="auto" w:fill="auto"/>
            <w:vAlign w:val="center"/>
            <w:hideMark/>
          </w:tcPr>
          <w:p w:rsidR="00A0318C" w:rsidRPr="009E1A35" w:rsidP="00A0318C" w14:paraId="7F4941D6" w14:textId="77777777">
            <w:pPr>
              <w:autoSpaceDE/>
              <w:autoSpaceDN/>
              <w:adjustRightInd/>
              <w:jc w:val="center"/>
              <w:rPr>
                <w:rFonts w:cs="Arial"/>
                <w:b/>
                <w:bCs/>
              </w:rPr>
            </w:pPr>
            <w:r w:rsidRPr="009E1A35">
              <w:rPr>
                <w:rFonts w:cs="Arial"/>
                <w:b/>
                <w:bCs/>
              </w:rPr>
              <w:t>Labor Category or Input</w:t>
            </w:r>
          </w:p>
        </w:tc>
        <w:tc>
          <w:tcPr>
            <w:tcW w:w="1579" w:type="pct"/>
            <w:gridSpan w:val="4"/>
            <w:shd w:val="clear" w:color="auto" w:fill="auto"/>
            <w:noWrap/>
            <w:vAlign w:val="center"/>
            <w:hideMark/>
          </w:tcPr>
          <w:p w:rsidR="00A0318C" w:rsidRPr="009E1A35" w:rsidP="00A0318C" w14:paraId="7F4941D7" w14:textId="77777777">
            <w:pPr>
              <w:autoSpaceDE/>
              <w:autoSpaceDN/>
              <w:adjustRightInd/>
              <w:jc w:val="center"/>
              <w:rPr>
                <w:rFonts w:cs="Arial"/>
                <w:b/>
                <w:bCs/>
              </w:rPr>
            </w:pPr>
            <w:r w:rsidRPr="009E1A35">
              <w:rPr>
                <w:rFonts w:cs="Arial"/>
                <w:b/>
                <w:bCs/>
              </w:rPr>
              <w:t>Hours per Category</w:t>
            </w:r>
          </w:p>
        </w:tc>
        <w:tc>
          <w:tcPr>
            <w:tcW w:w="865" w:type="pct"/>
            <w:gridSpan w:val="2"/>
            <w:shd w:val="clear" w:color="auto" w:fill="auto"/>
            <w:vAlign w:val="center"/>
            <w:hideMark/>
          </w:tcPr>
          <w:p w:rsidR="00A0318C" w:rsidRPr="009E1A35" w:rsidP="00A0318C" w14:paraId="7F4941D8" w14:textId="77777777">
            <w:pPr>
              <w:autoSpaceDE/>
              <w:autoSpaceDN/>
              <w:adjustRightInd/>
              <w:jc w:val="center"/>
              <w:rPr>
                <w:rFonts w:cs="Arial"/>
                <w:b/>
                <w:bCs/>
              </w:rPr>
            </w:pPr>
            <w:r w:rsidRPr="009E1A35">
              <w:rPr>
                <w:rFonts w:cs="Arial"/>
                <w:b/>
                <w:bCs/>
              </w:rPr>
              <w:t>Rate</w:t>
            </w:r>
          </w:p>
        </w:tc>
        <w:tc>
          <w:tcPr>
            <w:tcW w:w="1203" w:type="pct"/>
            <w:gridSpan w:val="3"/>
            <w:shd w:val="clear" w:color="auto" w:fill="auto"/>
            <w:noWrap/>
            <w:vAlign w:val="center"/>
            <w:hideMark/>
          </w:tcPr>
          <w:p w:rsidR="00A0318C" w:rsidRPr="009E1A35" w:rsidP="00A0318C" w14:paraId="7F4941D9" w14:textId="77777777">
            <w:pPr>
              <w:autoSpaceDE/>
              <w:autoSpaceDN/>
              <w:adjustRightInd/>
              <w:jc w:val="center"/>
              <w:rPr>
                <w:rFonts w:cs="Arial"/>
                <w:b/>
                <w:bCs/>
              </w:rPr>
            </w:pPr>
            <w:r w:rsidRPr="009E1A35">
              <w:rPr>
                <w:rFonts w:cs="Arial"/>
                <w:b/>
                <w:bCs/>
              </w:rPr>
              <w:t>Workload</w:t>
            </w:r>
          </w:p>
        </w:tc>
      </w:tr>
      <w:tr w14:paraId="7F4941E6" w14:textId="77777777" w:rsidTr="00346B95">
        <w:tblPrEx>
          <w:tblW w:w="4620" w:type="pct"/>
          <w:jc w:val="center"/>
          <w:tblLayout w:type="fixed"/>
          <w:tblLook w:val="04A0"/>
        </w:tblPrEx>
        <w:trPr>
          <w:trHeight w:val="1170"/>
          <w:tblHeader/>
          <w:jc w:val="center"/>
        </w:trPr>
        <w:tc>
          <w:tcPr>
            <w:tcW w:w="600" w:type="pct"/>
            <w:vMerge/>
            <w:vAlign w:val="center"/>
            <w:hideMark/>
          </w:tcPr>
          <w:p w:rsidR="00A0318C" w:rsidRPr="009E1A35" w:rsidP="00A0318C" w14:paraId="7F4941DB" w14:textId="77777777">
            <w:pPr>
              <w:autoSpaceDE/>
              <w:autoSpaceDN/>
              <w:adjustRightInd/>
              <w:rPr>
                <w:rFonts w:cs="Arial"/>
                <w:b/>
                <w:bCs/>
              </w:rPr>
            </w:pPr>
          </w:p>
        </w:tc>
        <w:tc>
          <w:tcPr>
            <w:tcW w:w="752" w:type="pct"/>
            <w:vMerge/>
            <w:vAlign w:val="center"/>
            <w:hideMark/>
          </w:tcPr>
          <w:p w:rsidR="00A0318C" w:rsidRPr="009E1A35" w:rsidP="00A0318C" w14:paraId="7F4941DC" w14:textId="77777777">
            <w:pPr>
              <w:autoSpaceDE/>
              <w:autoSpaceDN/>
              <w:adjustRightInd/>
              <w:rPr>
                <w:rFonts w:cs="Arial"/>
                <w:b/>
                <w:bCs/>
              </w:rPr>
            </w:pPr>
          </w:p>
        </w:tc>
        <w:tc>
          <w:tcPr>
            <w:tcW w:w="301" w:type="pct"/>
            <w:shd w:val="clear" w:color="auto" w:fill="auto"/>
            <w:vAlign w:val="center"/>
            <w:hideMark/>
          </w:tcPr>
          <w:p w:rsidR="00A0318C" w:rsidRPr="009E1A35" w:rsidP="00A0318C" w14:paraId="7F4941DD" w14:textId="77777777">
            <w:pPr>
              <w:autoSpaceDE/>
              <w:autoSpaceDN/>
              <w:adjustRightInd/>
              <w:jc w:val="center"/>
              <w:rPr>
                <w:rFonts w:cs="Arial"/>
                <w:b/>
                <w:bCs/>
              </w:rPr>
            </w:pPr>
            <w:r w:rsidRPr="009E1A35">
              <w:rPr>
                <w:rFonts w:cs="Arial"/>
                <w:b/>
                <w:bCs/>
              </w:rPr>
              <w:t>Low</w:t>
            </w:r>
          </w:p>
        </w:tc>
        <w:tc>
          <w:tcPr>
            <w:tcW w:w="413" w:type="pct"/>
            <w:shd w:val="clear" w:color="auto" w:fill="auto"/>
            <w:vAlign w:val="center"/>
            <w:hideMark/>
          </w:tcPr>
          <w:p w:rsidR="00A0318C" w:rsidRPr="009E1A35" w:rsidP="00A0318C" w14:paraId="7F4941DE" w14:textId="77777777">
            <w:pPr>
              <w:autoSpaceDE/>
              <w:autoSpaceDN/>
              <w:adjustRightInd/>
              <w:jc w:val="center"/>
              <w:rPr>
                <w:rFonts w:cs="Arial"/>
                <w:b/>
                <w:bCs/>
              </w:rPr>
            </w:pPr>
            <w:r w:rsidRPr="009E1A35">
              <w:rPr>
                <w:rFonts w:cs="Arial"/>
                <w:b/>
                <w:bCs/>
              </w:rPr>
              <w:t>Medium</w:t>
            </w:r>
          </w:p>
        </w:tc>
        <w:tc>
          <w:tcPr>
            <w:tcW w:w="415" w:type="pct"/>
            <w:shd w:val="clear" w:color="auto" w:fill="auto"/>
            <w:noWrap/>
            <w:vAlign w:val="center"/>
            <w:hideMark/>
          </w:tcPr>
          <w:p w:rsidR="00A0318C" w:rsidRPr="009E1A35" w:rsidP="00A0318C" w14:paraId="7F4941DF" w14:textId="77777777">
            <w:pPr>
              <w:autoSpaceDE/>
              <w:autoSpaceDN/>
              <w:adjustRightInd/>
              <w:jc w:val="center"/>
              <w:rPr>
                <w:rFonts w:cs="Arial"/>
                <w:b/>
                <w:bCs/>
                <w:color w:val="000000"/>
              </w:rPr>
            </w:pPr>
            <w:r w:rsidRPr="009E1A35">
              <w:rPr>
                <w:rFonts w:cs="Arial"/>
                <w:b/>
                <w:bCs/>
                <w:color w:val="000000"/>
              </w:rPr>
              <w:t>High</w:t>
            </w:r>
          </w:p>
        </w:tc>
        <w:tc>
          <w:tcPr>
            <w:tcW w:w="451" w:type="pct"/>
            <w:shd w:val="clear" w:color="auto" w:fill="auto"/>
            <w:noWrap/>
            <w:vAlign w:val="center"/>
            <w:hideMark/>
          </w:tcPr>
          <w:p w:rsidR="00A0318C" w:rsidRPr="009E1A35" w:rsidP="00A0318C" w14:paraId="7F4941E0" w14:textId="77777777">
            <w:pPr>
              <w:autoSpaceDE/>
              <w:autoSpaceDN/>
              <w:adjustRightInd/>
              <w:rPr>
                <w:rFonts w:cs="Arial"/>
                <w:b/>
                <w:bCs/>
              </w:rPr>
            </w:pPr>
            <w:r w:rsidRPr="009E1A35">
              <w:rPr>
                <w:rFonts w:cs="Arial"/>
                <w:b/>
                <w:bCs/>
              </w:rPr>
              <w:t>Other NPUFs</w:t>
            </w:r>
          </w:p>
        </w:tc>
        <w:tc>
          <w:tcPr>
            <w:tcW w:w="451" w:type="pct"/>
            <w:shd w:val="clear" w:color="auto" w:fill="auto"/>
            <w:vAlign w:val="center"/>
            <w:hideMark/>
          </w:tcPr>
          <w:p w:rsidR="00A0318C" w:rsidRPr="009E1A35" w:rsidP="00C8113D" w14:paraId="7F4941E1" w14:textId="77777777">
            <w:pPr>
              <w:autoSpaceDE/>
              <w:autoSpaceDN/>
              <w:adjustRightInd/>
              <w:jc w:val="center"/>
              <w:rPr>
                <w:rFonts w:cs="Arial"/>
                <w:b/>
                <w:bCs/>
              </w:rPr>
            </w:pPr>
            <w:r w:rsidRPr="009E1A35">
              <w:rPr>
                <w:rFonts w:cs="Arial"/>
                <w:b/>
                <w:bCs/>
              </w:rPr>
              <w:t>Low / Medium / High</w:t>
            </w:r>
          </w:p>
        </w:tc>
        <w:tc>
          <w:tcPr>
            <w:tcW w:w="414" w:type="pct"/>
            <w:shd w:val="clear" w:color="auto" w:fill="auto"/>
            <w:vAlign w:val="center"/>
            <w:hideMark/>
          </w:tcPr>
          <w:p w:rsidR="00A0318C" w:rsidRPr="009E1A35" w:rsidP="00A0318C" w14:paraId="7F4941E2" w14:textId="77777777">
            <w:pPr>
              <w:autoSpaceDE/>
              <w:autoSpaceDN/>
              <w:adjustRightInd/>
              <w:rPr>
                <w:rFonts w:cs="Arial"/>
                <w:b/>
                <w:bCs/>
              </w:rPr>
            </w:pPr>
            <w:r w:rsidRPr="009E1A35">
              <w:rPr>
                <w:rFonts w:cs="Arial"/>
                <w:b/>
                <w:bCs/>
              </w:rPr>
              <w:t>Other NPUFs</w:t>
            </w:r>
          </w:p>
        </w:tc>
        <w:tc>
          <w:tcPr>
            <w:tcW w:w="489" w:type="pct"/>
            <w:shd w:val="clear" w:color="auto" w:fill="auto"/>
            <w:noWrap/>
            <w:vAlign w:val="center"/>
            <w:hideMark/>
          </w:tcPr>
          <w:p w:rsidR="00A0318C" w:rsidRPr="009E1A35" w:rsidP="00A0318C" w14:paraId="7F4941E3" w14:textId="77777777">
            <w:pPr>
              <w:autoSpaceDE/>
              <w:autoSpaceDN/>
              <w:adjustRightInd/>
              <w:jc w:val="center"/>
              <w:rPr>
                <w:rFonts w:cs="Arial"/>
                <w:b/>
                <w:bCs/>
                <w:color w:val="000000"/>
              </w:rPr>
            </w:pPr>
            <w:r w:rsidRPr="009E1A35">
              <w:rPr>
                <w:rFonts w:cs="Arial"/>
                <w:b/>
                <w:bCs/>
                <w:color w:val="000000"/>
              </w:rPr>
              <w:t>Low / Medium</w:t>
            </w:r>
          </w:p>
        </w:tc>
        <w:tc>
          <w:tcPr>
            <w:tcW w:w="338" w:type="pct"/>
            <w:shd w:val="clear" w:color="auto" w:fill="auto"/>
            <w:noWrap/>
            <w:vAlign w:val="center"/>
            <w:hideMark/>
          </w:tcPr>
          <w:p w:rsidR="00A0318C" w:rsidRPr="009E1A35" w:rsidP="00A0318C" w14:paraId="7F4941E4" w14:textId="77777777">
            <w:pPr>
              <w:autoSpaceDE/>
              <w:autoSpaceDN/>
              <w:adjustRightInd/>
              <w:jc w:val="center"/>
              <w:rPr>
                <w:rFonts w:cs="Arial"/>
                <w:b/>
                <w:bCs/>
                <w:color w:val="000000"/>
              </w:rPr>
            </w:pPr>
            <w:r w:rsidRPr="009E1A35">
              <w:rPr>
                <w:rFonts w:cs="Arial"/>
                <w:b/>
                <w:bCs/>
                <w:color w:val="000000"/>
              </w:rPr>
              <w:t>High</w:t>
            </w:r>
          </w:p>
        </w:tc>
        <w:tc>
          <w:tcPr>
            <w:tcW w:w="376" w:type="pct"/>
            <w:shd w:val="clear" w:color="auto" w:fill="auto"/>
            <w:noWrap/>
            <w:vAlign w:val="center"/>
            <w:hideMark/>
          </w:tcPr>
          <w:p w:rsidR="00A0318C" w:rsidRPr="009E1A35" w:rsidP="00A0318C" w14:paraId="7F4941E5" w14:textId="77777777">
            <w:pPr>
              <w:autoSpaceDE/>
              <w:autoSpaceDN/>
              <w:adjustRightInd/>
              <w:rPr>
                <w:rFonts w:cs="Arial"/>
                <w:b/>
                <w:bCs/>
                <w:color w:val="000000"/>
              </w:rPr>
            </w:pPr>
            <w:r w:rsidRPr="009E1A35">
              <w:rPr>
                <w:rFonts w:cs="Arial"/>
                <w:b/>
                <w:bCs/>
                <w:color w:val="000000"/>
              </w:rPr>
              <w:t>Other NPUFs</w:t>
            </w:r>
          </w:p>
        </w:tc>
      </w:tr>
      <w:tr w14:paraId="7F4941E8" w14:textId="77777777" w:rsidTr="00651BE0">
        <w:tblPrEx>
          <w:tblW w:w="4620" w:type="pct"/>
          <w:jc w:val="center"/>
          <w:tblLayout w:type="fixed"/>
          <w:tblLook w:val="04A0"/>
        </w:tblPrEx>
        <w:trPr>
          <w:trHeight w:val="390"/>
          <w:tblHeader/>
          <w:jc w:val="center"/>
        </w:trPr>
        <w:tc>
          <w:tcPr>
            <w:tcW w:w="5000" w:type="pct"/>
            <w:gridSpan w:val="11"/>
            <w:shd w:val="clear" w:color="000000" w:fill="D9D9D9"/>
            <w:vAlign w:val="center"/>
            <w:hideMark/>
          </w:tcPr>
          <w:p w:rsidR="00A0318C" w:rsidRPr="009E1A35" w:rsidP="00A0318C" w14:paraId="7F4941E7" w14:textId="77777777">
            <w:pPr>
              <w:autoSpaceDE/>
              <w:autoSpaceDN/>
              <w:adjustRightInd/>
              <w:jc w:val="center"/>
              <w:rPr>
                <w:rFonts w:cs="Arial"/>
                <w:b/>
                <w:bCs/>
                <w:color w:val="000000"/>
              </w:rPr>
            </w:pPr>
            <w:r>
              <w:rPr>
                <w:rFonts w:cs="Arial"/>
                <w:b/>
                <w:bCs/>
                <w:color w:val="000000"/>
              </w:rPr>
              <w:t>Licensee</w:t>
            </w:r>
            <w:r w:rsidRPr="009E1A35">
              <w:rPr>
                <w:rFonts w:cs="Arial"/>
                <w:b/>
                <w:bCs/>
                <w:color w:val="000000"/>
              </w:rPr>
              <w:t xml:space="preserve"> Operation (Ongoing) Costs</w:t>
            </w:r>
          </w:p>
        </w:tc>
      </w:tr>
      <w:tr w14:paraId="7F4941F4" w14:textId="77777777" w:rsidTr="00346B95">
        <w:tblPrEx>
          <w:tblW w:w="4620" w:type="pct"/>
          <w:jc w:val="center"/>
          <w:tblLayout w:type="fixed"/>
          <w:tblLook w:val="04A0"/>
        </w:tblPrEx>
        <w:trPr>
          <w:trHeight w:val="390"/>
          <w:jc w:val="center"/>
        </w:trPr>
        <w:tc>
          <w:tcPr>
            <w:tcW w:w="600" w:type="pct"/>
            <w:vMerge w:val="restart"/>
            <w:shd w:val="clear" w:color="auto" w:fill="auto"/>
            <w:noWrap/>
            <w:vAlign w:val="center"/>
            <w:hideMark/>
          </w:tcPr>
          <w:p w:rsidR="00A0318C" w:rsidRPr="009E1A35" w:rsidP="00651BE0" w14:paraId="7F4941E9" w14:textId="77777777">
            <w:pPr>
              <w:autoSpaceDE/>
              <w:autoSpaceDN/>
              <w:adjustRightInd/>
              <w:jc w:val="center"/>
              <w:rPr>
                <w:rFonts w:cs="Arial"/>
                <w:b/>
                <w:bCs/>
              </w:rPr>
            </w:pPr>
            <w:r w:rsidRPr="009E1A35">
              <w:rPr>
                <w:rFonts w:cs="Arial"/>
                <w:b/>
                <w:bCs/>
              </w:rPr>
              <w:t>Preparing Updated FSAR</w:t>
            </w:r>
          </w:p>
        </w:tc>
        <w:tc>
          <w:tcPr>
            <w:tcW w:w="752" w:type="pct"/>
            <w:shd w:val="clear" w:color="auto" w:fill="auto"/>
            <w:noWrap/>
            <w:vAlign w:val="center"/>
            <w:hideMark/>
          </w:tcPr>
          <w:p w:rsidR="00A0318C" w:rsidRPr="009E1A35" w:rsidP="00A0318C" w14:paraId="7F4941EA" w14:textId="77777777">
            <w:pPr>
              <w:autoSpaceDE/>
              <w:autoSpaceDN/>
              <w:adjustRightInd/>
              <w:rPr>
                <w:rFonts w:cs="Arial"/>
                <w:color w:val="000000"/>
              </w:rPr>
            </w:pPr>
            <w:r w:rsidRPr="009E1A35">
              <w:rPr>
                <w:rFonts w:cs="Arial"/>
                <w:color w:val="000000"/>
              </w:rPr>
              <w:t>Reactor Director / Professor</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Project Manager</w:t>
            </w:r>
          </w:p>
        </w:tc>
        <w:tc>
          <w:tcPr>
            <w:tcW w:w="301" w:type="pct"/>
            <w:vMerge w:val="restart"/>
            <w:shd w:val="clear" w:color="auto" w:fill="auto"/>
            <w:vAlign w:val="center"/>
            <w:hideMark/>
          </w:tcPr>
          <w:p w:rsidR="00A0318C" w:rsidRPr="009E1A35" w:rsidP="00A0318C" w14:paraId="7F4941EB" w14:textId="77777777">
            <w:pPr>
              <w:autoSpaceDE/>
              <w:autoSpaceDN/>
              <w:adjustRightInd/>
              <w:jc w:val="center"/>
              <w:rPr>
                <w:rFonts w:cs="Arial"/>
              </w:rPr>
            </w:pPr>
            <w:r w:rsidRPr="00ED264D">
              <w:rPr>
                <w:rFonts w:cs="Arial"/>
              </w:rPr>
              <w:t>170</w:t>
            </w:r>
          </w:p>
        </w:tc>
        <w:tc>
          <w:tcPr>
            <w:tcW w:w="413" w:type="pct"/>
            <w:vMerge w:val="restart"/>
            <w:shd w:val="clear" w:color="auto" w:fill="auto"/>
            <w:vAlign w:val="center"/>
            <w:hideMark/>
          </w:tcPr>
          <w:p w:rsidR="00A0318C" w:rsidRPr="009E1A35" w:rsidP="00A0318C" w14:paraId="7F4941EC" w14:textId="77777777">
            <w:pPr>
              <w:autoSpaceDE/>
              <w:autoSpaceDN/>
              <w:adjustRightInd/>
              <w:jc w:val="center"/>
              <w:rPr>
                <w:rFonts w:cs="Arial"/>
              </w:rPr>
            </w:pPr>
            <w:r w:rsidRPr="00ED264D">
              <w:rPr>
                <w:rFonts w:cs="Arial"/>
              </w:rPr>
              <w:t>255</w:t>
            </w:r>
          </w:p>
        </w:tc>
        <w:tc>
          <w:tcPr>
            <w:tcW w:w="415" w:type="pct"/>
            <w:vMerge w:val="restart"/>
            <w:shd w:val="clear" w:color="auto" w:fill="auto"/>
            <w:vAlign w:val="center"/>
            <w:hideMark/>
          </w:tcPr>
          <w:p w:rsidR="00A0318C" w:rsidRPr="009E1A35" w:rsidP="00A0318C" w14:paraId="7F4941ED" w14:textId="77777777">
            <w:pPr>
              <w:autoSpaceDE/>
              <w:autoSpaceDN/>
              <w:adjustRightInd/>
              <w:jc w:val="center"/>
              <w:rPr>
                <w:rFonts w:cs="Arial"/>
              </w:rPr>
            </w:pPr>
            <w:r w:rsidRPr="00ED264D">
              <w:rPr>
                <w:rFonts w:cs="Arial"/>
              </w:rPr>
              <w:t>395</w:t>
            </w:r>
          </w:p>
        </w:tc>
        <w:tc>
          <w:tcPr>
            <w:tcW w:w="451" w:type="pct"/>
            <w:vMerge w:val="restart"/>
            <w:shd w:val="clear" w:color="auto" w:fill="auto"/>
            <w:vAlign w:val="center"/>
            <w:hideMark/>
          </w:tcPr>
          <w:p w:rsidR="00A0318C" w:rsidRPr="009E1A35" w:rsidP="00A0318C" w14:paraId="7F4941EE" w14:textId="77777777">
            <w:pPr>
              <w:autoSpaceDE/>
              <w:autoSpaceDN/>
              <w:adjustRightInd/>
              <w:jc w:val="center"/>
              <w:rPr>
                <w:rFonts w:cs="Arial"/>
              </w:rPr>
            </w:pPr>
            <w:r w:rsidRPr="00ED264D">
              <w:rPr>
                <w:rFonts w:cs="Arial"/>
              </w:rPr>
              <w:t>395</w:t>
            </w:r>
          </w:p>
        </w:tc>
        <w:tc>
          <w:tcPr>
            <w:tcW w:w="451" w:type="pct"/>
            <w:shd w:val="clear" w:color="000000" w:fill="FFFFFF"/>
            <w:noWrap/>
            <w:vAlign w:val="center"/>
            <w:hideMark/>
          </w:tcPr>
          <w:p w:rsidR="00A0318C" w:rsidRPr="009E1A35" w:rsidP="00C8113D" w14:paraId="7F4941EF" w14:textId="77777777">
            <w:pPr>
              <w:autoSpaceDE/>
              <w:autoSpaceDN/>
              <w:adjustRightInd/>
              <w:jc w:val="center"/>
              <w:rPr>
                <w:rFonts w:cs="Arial"/>
                <w:color w:val="000000"/>
              </w:rPr>
            </w:pPr>
            <w:r w:rsidRPr="00ED264D">
              <w:rPr>
                <w:rFonts w:cs="Arial"/>
                <w:color w:val="000000"/>
              </w:rPr>
              <w:t>$56.65</w:t>
            </w:r>
          </w:p>
        </w:tc>
        <w:tc>
          <w:tcPr>
            <w:tcW w:w="414" w:type="pct"/>
            <w:shd w:val="clear" w:color="000000" w:fill="FFFFFF"/>
            <w:noWrap/>
            <w:vAlign w:val="center"/>
            <w:hideMark/>
          </w:tcPr>
          <w:p w:rsidR="00A0318C" w:rsidRPr="009E1A35" w:rsidP="00C8113D" w14:paraId="7F4941F0" w14:textId="77777777">
            <w:pPr>
              <w:autoSpaceDE/>
              <w:autoSpaceDN/>
              <w:adjustRightInd/>
              <w:jc w:val="center"/>
              <w:rPr>
                <w:rFonts w:cs="Arial"/>
                <w:color w:val="000000"/>
              </w:rPr>
            </w:pPr>
            <w:r w:rsidRPr="00ED264D">
              <w:rPr>
                <w:rFonts w:cs="Arial"/>
                <w:color w:val="000000"/>
              </w:rPr>
              <w:t>$63.68</w:t>
            </w:r>
          </w:p>
        </w:tc>
        <w:tc>
          <w:tcPr>
            <w:tcW w:w="489" w:type="pct"/>
            <w:shd w:val="clear" w:color="auto" w:fill="auto"/>
            <w:noWrap/>
            <w:vAlign w:val="center"/>
            <w:hideMark/>
          </w:tcPr>
          <w:p w:rsidR="00A0318C" w:rsidRPr="009E1A35" w:rsidP="00C8113D" w14:paraId="7F4941F1" w14:textId="77777777">
            <w:pPr>
              <w:autoSpaceDE/>
              <w:autoSpaceDN/>
              <w:adjustRightInd/>
              <w:jc w:val="center"/>
              <w:rPr>
                <w:rFonts w:cs="Arial"/>
                <w:color w:val="000000"/>
              </w:rPr>
            </w:pPr>
            <w:r w:rsidRPr="00ED264D">
              <w:rPr>
                <w:rFonts w:cs="Arial"/>
                <w:color w:val="000000"/>
              </w:rPr>
              <w:t>10%</w:t>
            </w:r>
          </w:p>
        </w:tc>
        <w:tc>
          <w:tcPr>
            <w:tcW w:w="338" w:type="pct"/>
            <w:shd w:val="clear" w:color="auto" w:fill="auto"/>
            <w:noWrap/>
            <w:vAlign w:val="center"/>
            <w:hideMark/>
          </w:tcPr>
          <w:p w:rsidR="00A0318C" w:rsidRPr="009E1A35" w:rsidP="00C8113D" w14:paraId="7F4941F2" w14:textId="77777777">
            <w:pPr>
              <w:autoSpaceDE/>
              <w:autoSpaceDN/>
              <w:adjustRightInd/>
              <w:jc w:val="center"/>
              <w:rPr>
                <w:rFonts w:cs="Arial"/>
                <w:color w:val="000000"/>
              </w:rPr>
            </w:pPr>
            <w:r w:rsidRPr="00ED264D">
              <w:rPr>
                <w:rFonts w:cs="Arial"/>
                <w:color w:val="000000"/>
              </w:rPr>
              <w:t>10%</w:t>
            </w:r>
          </w:p>
        </w:tc>
        <w:tc>
          <w:tcPr>
            <w:tcW w:w="376" w:type="pct"/>
            <w:shd w:val="clear" w:color="auto" w:fill="auto"/>
            <w:noWrap/>
            <w:vAlign w:val="center"/>
            <w:hideMark/>
          </w:tcPr>
          <w:p w:rsidR="00A0318C" w:rsidRPr="009E1A35" w:rsidP="00C8113D" w14:paraId="7F4941F3" w14:textId="77777777">
            <w:pPr>
              <w:autoSpaceDE/>
              <w:autoSpaceDN/>
              <w:adjustRightInd/>
              <w:jc w:val="center"/>
              <w:rPr>
                <w:rFonts w:cs="Arial"/>
                <w:color w:val="000000"/>
              </w:rPr>
            </w:pPr>
            <w:r w:rsidRPr="00ED264D">
              <w:rPr>
                <w:rFonts w:cs="Arial"/>
                <w:color w:val="000000"/>
              </w:rPr>
              <w:t>20%</w:t>
            </w:r>
          </w:p>
        </w:tc>
      </w:tr>
      <w:tr w14:paraId="7F494200"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1F5"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1F6" w14:textId="77777777">
            <w:pPr>
              <w:autoSpaceDE/>
              <w:autoSpaceDN/>
              <w:adjustRightInd/>
              <w:rPr>
                <w:rFonts w:cs="Arial"/>
                <w:color w:val="000000"/>
              </w:rPr>
            </w:pPr>
            <w:r>
              <w:rPr>
                <w:rFonts w:cs="Arial"/>
                <w:color w:val="000000"/>
              </w:rPr>
              <w:t>NPUF Operator</w:t>
            </w:r>
            <w:r w:rsidRPr="009E1A35">
              <w:rPr>
                <w:rFonts w:cs="Arial"/>
                <w:color w:val="000000"/>
              </w:rPr>
              <w:t xml:space="preserve"> / Asst. Dir.</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Nuclear Engineer</w:t>
            </w:r>
          </w:p>
        </w:tc>
        <w:tc>
          <w:tcPr>
            <w:tcW w:w="301" w:type="pct"/>
            <w:vMerge/>
            <w:vAlign w:val="center"/>
            <w:hideMark/>
          </w:tcPr>
          <w:p w:rsidR="00A0318C" w:rsidRPr="009E1A35" w:rsidP="00A0318C" w14:paraId="7F4941F7" w14:textId="77777777">
            <w:pPr>
              <w:autoSpaceDE/>
              <w:autoSpaceDN/>
              <w:adjustRightInd/>
              <w:rPr>
                <w:rFonts w:cs="Arial"/>
              </w:rPr>
            </w:pPr>
          </w:p>
        </w:tc>
        <w:tc>
          <w:tcPr>
            <w:tcW w:w="413" w:type="pct"/>
            <w:vMerge/>
            <w:vAlign w:val="center"/>
            <w:hideMark/>
          </w:tcPr>
          <w:p w:rsidR="00A0318C" w:rsidRPr="009E1A35" w:rsidP="00A0318C" w14:paraId="7F4941F8" w14:textId="77777777">
            <w:pPr>
              <w:autoSpaceDE/>
              <w:autoSpaceDN/>
              <w:adjustRightInd/>
              <w:rPr>
                <w:rFonts w:cs="Arial"/>
              </w:rPr>
            </w:pPr>
          </w:p>
        </w:tc>
        <w:tc>
          <w:tcPr>
            <w:tcW w:w="415" w:type="pct"/>
            <w:vMerge/>
            <w:vAlign w:val="center"/>
            <w:hideMark/>
          </w:tcPr>
          <w:p w:rsidR="00A0318C" w:rsidRPr="009E1A35" w:rsidP="00A0318C" w14:paraId="7F4941F9" w14:textId="77777777">
            <w:pPr>
              <w:autoSpaceDE/>
              <w:autoSpaceDN/>
              <w:adjustRightInd/>
              <w:rPr>
                <w:rFonts w:cs="Arial"/>
              </w:rPr>
            </w:pPr>
          </w:p>
        </w:tc>
        <w:tc>
          <w:tcPr>
            <w:tcW w:w="451" w:type="pct"/>
            <w:vMerge/>
            <w:vAlign w:val="center"/>
            <w:hideMark/>
          </w:tcPr>
          <w:p w:rsidR="00A0318C" w:rsidRPr="009E1A35" w:rsidP="00A0318C" w14:paraId="7F4941FA"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1FB" w14:textId="77777777">
            <w:pPr>
              <w:autoSpaceDE/>
              <w:autoSpaceDN/>
              <w:adjustRightInd/>
              <w:jc w:val="center"/>
              <w:rPr>
                <w:rFonts w:cs="Arial"/>
                <w:color w:val="000000"/>
              </w:rPr>
            </w:pPr>
            <w:r w:rsidRPr="00ED264D">
              <w:rPr>
                <w:rFonts w:cs="Arial"/>
                <w:color w:val="000000"/>
              </w:rPr>
              <w:t>$48.67</w:t>
            </w:r>
          </w:p>
        </w:tc>
        <w:tc>
          <w:tcPr>
            <w:tcW w:w="414" w:type="pct"/>
            <w:shd w:val="clear" w:color="000000" w:fill="FFFFFF"/>
            <w:noWrap/>
            <w:vAlign w:val="center"/>
            <w:hideMark/>
          </w:tcPr>
          <w:p w:rsidR="00A0318C" w:rsidRPr="009E1A35" w:rsidP="00C8113D" w14:paraId="7F4941FC" w14:textId="77777777">
            <w:pPr>
              <w:autoSpaceDE/>
              <w:autoSpaceDN/>
              <w:adjustRightInd/>
              <w:jc w:val="center"/>
              <w:rPr>
                <w:rFonts w:cs="Arial"/>
                <w:color w:val="000000"/>
              </w:rPr>
            </w:pPr>
            <w:r w:rsidRPr="00ED264D">
              <w:rPr>
                <w:rFonts w:cs="Arial"/>
                <w:color w:val="000000"/>
              </w:rPr>
              <w:t>$56.18</w:t>
            </w:r>
          </w:p>
        </w:tc>
        <w:tc>
          <w:tcPr>
            <w:tcW w:w="489" w:type="pct"/>
            <w:shd w:val="clear" w:color="auto" w:fill="auto"/>
            <w:noWrap/>
            <w:vAlign w:val="center"/>
            <w:hideMark/>
          </w:tcPr>
          <w:p w:rsidR="00A0318C" w:rsidRPr="009E1A35" w:rsidP="00C8113D" w14:paraId="7F4941FD" w14:textId="77777777">
            <w:pPr>
              <w:autoSpaceDE/>
              <w:autoSpaceDN/>
              <w:adjustRightInd/>
              <w:jc w:val="center"/>
              <w:rPr>
                <w:rFonts w:cs="Arial"/>
                <w:color w:val="000000"/>
              </w:rPr>
            </w:pPr>
            <w:r w:rsidRPr="00ED264D">
              <w:rPr>
                <w:rFonts w:cs="Arial"/>
                <w:color w:val="000000"/>
              </w:rPr>
              <w:t>60%</w:t>
            </w:r>
          </w:p>
        </w:tc>
        <w:tc>
          <w:tcPr>
            <w:tcW w:w="338" w:type="pct"/>
            <w:shd w:val="clear" w:color="auto" w:fill="auto"/>
            <w:noWrap/>
            <w:vAlign w:val="center"/>
            <w:hideMark/>
          </w:tcPr>
          <w:p w:rsidR="00A0318C" w:rsidRPr="009E1A35" w:rsidP="00C8113D" w14:paraId="7F4941FE" w14:textId="77777777">
            <w:pPr>
              <w:autoSpaceDE/>
              <w:autoSpaceDN/>
              <w:adjustRightInd/>
              <w:jc w:val="center"/>
              <w:rPr>
                <w:rFonts w:cs="Arial"/>
                <w:color w:val="000000"/>
              </w:rPr>
            </w:pPr>
            <w:r w:rsidRPr="00ED264D">
              <w:rPr>
                <w:rFonts w:cs="Arial"/>
                <w:color w:val="000000"/>
              </w:rPr>
              <w:t>65%</w:t>
            </w:r>
          </w:p>
        </w:tc>
        <w:tc>
          <w:tcPr>
            <w:tcW w:w="376" w:type="pct"/>
            <w:shd w:val="clear" w:color="auto" w:fill="auto"/>
            <w:noWrap/>
            <w:vAlign w:val="center"/>
            <w:hideMark/>
          </w:tcPr>
          <w:p w:rsidR="00A0318C" w:rsidRPr="009E1A35" w:rsidP="00C8113D" w14:paraId="7F4941FF" w14:textId="77777777">
            <w:pPr>
              <w:autoSpaceDE/>
              <w:autoSpaceDN/>
              <w:adjustRightInd/>
              <w:jc w:val="center"/>
              <w:rPr>
                <w:rFonts w:cs="Arial"/>
                <w:color w:val="000000"/>
              </w:rPr>
            </w:pPr>
            <w:r w:rsidRPr="00ED264D">
              <w:rPr>
                <w:rFonts w:cs="Arial"/>
                <w:color w:val="000000"/>
              </w:rPr>
              <w:t>30%</w:t>
            </w:r>
          </w:p>
        </w:tc>
      </w:tr>
      <w:tr w14:paraId="7F49420C"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01"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02" w14:textId="77777777">
            <w:pPr>
              <w:autoSpaceDE/>
              <w:autoSpaceDN/>
              <w:adjustRightInd/>
              <w:rPr>
                <w:rFonts w:cs="Arial"/>
                <w:color w:val="000000"/>
              </w:rPr>
            </w:pPr>
            <w:r w:rsidRPr="009E1A35">
              <w:rPr>
                <w:rFonts w:cs="Arial"/>
                <w:color w:val="000000"/>
              </w:rPr>
              <w:t>Nuclear Technician</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General Engineer</w:t>
            </w:r>
          </w:p>
        </w:tc>
        <w:tc>
          <w:tcPr>
            <w:tcW w:w="301" w:type="pct"/>
            <w:vMerge/>
            <w:vAlign w:val="center"/>
            <w:hideMark/>
          </w:tcPr>
          <w:p w:rsidR="00A0318C" w:rsidRPr="009E1A35" w:rsidP="00A0318C" w14:paraId="7F494203" w14:textId="77777777">
            <w:pPr>
              <w:autoSpaceDE/>
              <w:autoSpaceDN/>
              <w:adjustRightInd/>
              <w:rPr>
                <w:rFonts w:cs="Arial"/>
              </w:rPr>
            </w:pPr>
          </w:p>
        </w:tc>
        <w:tc>
          <w:tcPr>
            <w:tcW w:w="413" w:type="pct"/>
            <w:vMerge/>
            <w:vAlign w:val="center"/>
            <w:hideMark/>
          </w:tcPr>
          <w:p w:rsidR="00A0318C" w:rsidRPr="009E1A35" w:rsidP="00A0318C" w14:paraId="7F494204" w14:textId="77777777">
            <w:pPr>
              <w:autoSpaceDE/>
              <w:autoSpaceDN/>
              <w:adjustRightInd/>
              <w:rPr>
                <w:rFonts w:cs="Arial"/>
              </w:rPr>
            </w:pPr>
          </w:p>
        </w:tc>
        <w:tc>
          <w:tcPr>
            <w:tcW w:w="415" w:type="pct"/>
            <w:vMerge/>
            <w:vAlign w:val="center"/>
            <w:hideMark/>
          </w:tcPr>
          <w:p w:rsidR="00A0318C" w:rsidRPr="009E1A35" w:rsidP="00A0318C" w14:paraId="7F494205" w14:textId="77777777">
            <w:pPr>
              <w:autoSpaceDE/>
              <w:autoSpaceDN/>
              <w:adjustRightInd/>
              <w:rPr>
                <w:rFonts w:cs="Arial"/>
              </w:rPr>
            </w:pPr>
          </w:p>
        </w:tc>
        <w:tc>
          <w:tcPr>
            <w:tcW w:w="451" w:type="pct"/>
            <w:vMerge/>
            <w:vAlign w:val="center"/>
            <w:hideMark/>
          </w:tcPr>
          <w:p w:rsidR="00A0318C" w:rsidRPr="009E1A35" w:rsidP="00A0318C" w14:paraId="7F494206"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07" w14:textId="77777777">
            <w:pPr>
              <w:autoSpaceDE/>
              <w:autoSpaceDN/>
              <w:adjustRightInd/>
              <w:jc w:val="center"/>
              <w:rPr>
                <w:rFonts w:cs="Arial"/>
                <w:color w:val="000000"/>
              </w:rPr>
            </w:pPr>
            <w:r w:rsidRPr="00ED264D">
              <w:rPr>
                <w:rFonts w:cs="Arial"/>
                <w:color w:val="000000"/>
              </w:rPr>
              <w:t>$41.27</w:t>
            </w:r>
          </w:p>
        </w:tc>
        <w:tc>
          <w:tcPr>
            <w:tcW w:w="414" w:type="pct"/>
            <w:shd w:val="clear" w:color="000000" w:fill="FFFFFF"/>
            <w:noWrap/>
            <w:vAlign w:val="center"/>
            <w:hideMark/>
          </w:tcPr>
          <w:p w:rsidR="00A0318C" w:rsidRPr="009E1A35" w:rsidP="00C8113D" w14:paraId="7F494208" w14:textId="77777777">
            <w:pPr>
              <w:autoSpaceDE/>
              <w:autoSpaceDN/>
              <w:adjustRightInd/>
              <w:jc w:val="center"/>
              <w:rPr>
                <w:rFonts w:cs="Arial"/>
                <w:color w:val="000000"/>
              </w:rPr>
            </w:pPr>
            <w:r w:rsidRPr="00ED264D">
              <w:rPr>
                <w:rFonts w:cs="Arial"/>
                <w:color w:val="000000"/>
              </w:rPr>
              <w:t>$50.65</w:t>
            </w:r>
          </w:p>
        </w:tc>
        <w:tc>
          <w:tcPr>
            <w:tcW w:w="489" w:type="pct"/>
            <w:shd w:val="clear" w:color="auto" w:fill="auto"/>
            <w:noWrap/>
            <w:vAlign w:val="center"/>
            <w:hideMark/>
          </w:tcPr>
          <w:p w:rsidR="00A0318C" w:rsidRPr="009E1A35" w:rsidP="00C8113D" w14:paraId="7F494209" w14:textId="77777777">
            <w:pPr>
              <w:autoSpaceDE/>
              <w:autoSpaceDN/>
              <w:adjustRightInd/>
              <w:jc w:val="center"/>
              <w:rPr>
                <w:rFonts w:cs="Arial"/>
                <w:color w:val="000000"/>
              </w:rPr>
            </w:pPr>
            <w:r w:rsidRPr="00ED264D">
              <w:rPr>
                <w:rFonts w:cs="Arial"/>
                <w:color w:val="000000"/>
              </w:rPr>
              <w:t>0%</w:t>
            </w:r>
          </w:p>
        </w:tc>
        <w:tc>
          <w:tcPr>
            <w:tcW w:w="338" w:type="pct"/>
            <w:shd w:val="clear" w:color="auto" w:fill="auto"/>
            <w:noWrap/>
            <w:vAlign w:val="center"/>
            <w:hideMark/>
          </w:tcPr>
          <w:p w:rsidR="00A0318C" w:rsidRPr="009E1A35" w:rsidP="00C8113D" w14:paraId="7F49420A" w14:textId="77777777">
            <w:pPr>
              <w:autoSpaceDE/>
              <w:autoSpaceDN/>
              <w:adjustRightInd/>
              <w:jc w:val="center"/>
              <w:rPr>
                <w:rFonts w:cs="Arial"/>
                <w:color w:val="000000"/>
              </w:rPr>
            </w:pPr>
            <w:r w:rsidRPr="00ED264D">
              <w:rPr>
                <w:rFonts w:cs="Arial"/>
                <w:color w:val="000000"/>
              </w:rPr>
              <w:t>20%</w:t>
            </w:r>
          </w:p>
        </w:tc>
        <w:tc>
          <w:tcPr>
            <w:tcW w:w="376" w:type="pct"/>
            <w:shd w:val="clear" w:color="auto" w:fill="auto"/>
            <w:noWrap/>
            <w:vAlign w:val="center"/>
            <w:hideMark/>
          </w:tcPr>
          <w:p w:rsidR="00A0318C" w:rsidRPr="009E1A35" w:rsidP="00C8113D" w14:paraId="7F49420B" w14:textId="77777777">
            <w:pPr>
              <w:autoSpaceDE/>
              <w:autoSpaceDN/>
              <w:adjustRightInd/>
              <w:jc w:val="center"/>
              <w:rPr>
                <w:rFonts w:cs="Arial"/>
                <w:color w:val="000000"/>
              </w:rPr>
            </w:pPr>
            <w:r w:rsidRPr="00ED264D">
              <w:rPr>
                <w:rFonts w:cs="Arial"/>
                <w:color w:val="000000"/>
              </w:rPr>
              <w:t>40%</w:t>
            </w:r>
          </w:p>
        </w:tc>
      </w:tr>
      <w:tr w14:paraId="7F494218"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0D"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0E" w14:textId="77777777">
            <w:pPr>
              <w:autoSpaceDE/>
              <w:autoSpaceDN/>
              <w:adjustRightInd/>
              <w:rPr>
                <w:rFonts w:cs="Arial"/>
                <w:color w:val="000000"/>
              </w:rPr>
            </w:pPr>
            <w:r w:rsidRPr="009E1A35">
              <w:rPr>
                <w:rFonts w:cs="Arial"/>
                <w:color w:val="000000"/>
              </w:rPr>
              <w:t>Graduate Student</w:t>
            </w:r>
          </w:p>
        </w:tc>
        <w:tc>
          <w:tcPr>
            <w:tcW w:w="301" w:type="pct"/>
            <w:vMerge/>
            <w:vAlign w:val="center"/>
            <w:hideMark/>
          </w:tcPr>
          <w:p w:rsidR="00A0318C" w:rsidRPr="009E1A35" w:rsidP="00A0318C" w14:paraId="7F49420F" w14:textId="77777777">
            <w:pPr>
              <w:autoSpaceDE/>
              <w:autoSpaceDN/>
              <w:adjustRightInd/>
              <w:rPr>
                <w:rFonts w:cs="Arial"/>
              </w:rPr>
            </w:pPr>
          </w:p>
        </w:tc>
        <w:tc>
          <w:tcPr>
            <w:tcW w:w="413" w:type="pct"/>
            <w:vMerge/>
            <w:vAlign w:val="center"/>
            <w:hideMark/>
          </w:tcPr>
          <w:p w:rsidR="00A0318C" w:rsidRPr="009E1A35" w:rsidP="00A0318C" w14:paraId="7F494210" w14:textId="77777777">
            <w:pPr>
              <w:autoSpaceDE/>
              <w:autoSpaceDN/>
              <w:adjustRightInd/>
              <w:rPr>
                <w:rFonts w:cs="Arial"/>
              </w:rPr>
            </w:pPr>
          </w:p>
        </w:tc>
        <w:tc>
          <w:tcPr>
            <w:tcW w:w="415" w:type="pct"/>
            <w:vMerge/>
            <w:vAlign w:val="center"/>
            <w:hideMark/>
          </w:tcPr>
          <w:p w:rsidR="00A0318C" w:rsidRPr="009E1A35" w:rsidP="00A0318C" w14:paraId="7F494211" w14:textId="77777777">
            <w:pPr>
              <w:autoSpaceDE/>
              <w:autoSpaceDN/>
              <w:adjustRightInd/>
              <w:rPr>
                <w:rFonts w:cs="Arial"/>
              </w:rPr>
            </w:pPr>
          </w:p>
        </w:tc>
        <w:tc>
          <w:tcPr>
            <w:tcW w:w="451" w:type="pct"/>
            <w:vMerge/>
            <w:vAlign w:val="center"/>
            <w:hideMark/>
          </w:tcPr>
          <w:p w:rsidR="00A0318C" w:rsidRPr="009E1A35" w:rsidP="00A0318C" w14:paraId="7F494212"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13" w14:textId="77777777">
            <w:pPr>
              <w:autoSpaceDE/>
              <w:autoSpaceDN/>
              <w:adjustRightInd/>
              <w:jc w:val="center"/>
              <w:rPr>
                <w:rFonts w:cs="Arial"/>
                <w:color w:val="000000"/>
              </w:rPr>
            </w:pPr>
            <w:r w:rsidRPr="00ED264D">
              <w:rPr>
                <w:rFonts w:cs="Arial"/>
                <w:color w:val="000000"/>
              </w:rPr>
              <w:t>$19.46</w:t>
            </w:r>
          </w:p>
        </w:tc>
        <w:tc>
          <w:tcPr>
            <w:tcW w:w="414" w:type="pct"/>
            <w:shd w:val="clear" w:color="000000" w:fill="FFFFFF"/>
            <w:noWrap/>
            <w:vAlign w:val="center"/>
            <w:hideMark/>
          </w:tcPr>
          <w:p w:rsidR="00A0318C" w:rsidRPr="009E1A35" w:rsidP="00C8113D" w14:paraId="7F494214" w14:textId="77777777">
            <w:pPr>
              <w:autoSpaceDE/>
              <w:autoSpaceDN/>
              <w:adjustRightInd/>
              <w:jc w:val="center"/>
              <w:rPr>
                <w:rFonts w:cs="Arial"/>
                <w:color w:val="000000"/>
              </w:rPr>
            </w:pPr>
            <w:r w:rsidRPr="00ED264D">
              <w:rPr>
                <w:rFonts w:cs="Arial"/>
                <w:color w:val="000000"/>
              </w:rPr>
              <w:t>$19.46</w:t>
            </w:r>
          </w:p>
        </w:tc>
        <w:tc>
          <w:tcPr>
            <w:tcW w:w="489" w:type="pct"/>
            <w:shd w:val="clear" w:color="auto" w:fill="auto"/>
            <w:noWrap/>
            <w:vAlign w:val="center"/>
            <w:hideMark/>
          </w:tcPr>
          <w:p w:rsidR="00A0318C" w:rsidRPr="009E1A35" w:rsidP="00C8113D" w14:paraId="7F494215" w14:textId="77777777">
            <w:pPr>
              <w:autoSpaceDE/>
              <w:autoSpaceDN/>
              <w:adjustRightInd/>
              <w:jc w:val="center"/>
              <w:rPr>
                <w:rFonts w:cs="Arial"/>
                <w:color w:val="000000"/>
              </w:rPr>
            </w:pPr>
            <w:r w:rsidRPr="00ED264D">
              <w:rPr>
                <w:rFonts w:cs="Arial"/>
                <w:color w:val="000000"/>
              </w:rPr>
              <w:t>30%</w:t>
            </w:r>
          </w:p>
        </w:tc>
        <w:tc>
          <w:tcPr>
            <w:tcW w:w="338" w:type="pct"/>
            <w:shd w:val="clear" w:color="auto" w:fill="auto"/>
            <w:noWrap/>
            <w:vAlign w:val="center"/>
            <w:hideMark/>
          </w:tcPr>
          <w:p w:rsidR="00A0318C" w:rsidRPr="009E1A35" w:rsidP="00C8113D" w14:paraId="7F494216" w14:textId="77777777">
            <w:pPr>
              <w:autoSpaceDE/>
              <w:autoSpaceDN/>
              <w:adjustRightInd/>
              <w:jc w:val="center"/>
              <w:rPr>
                <w:rFonts w:cs="Arial"/>
                <w:color w:val="000000"/>
              </w:rPr>
            </w:pPr>
            <w:r w:rsidRPr="00ED264D">
              <w:rPr>
                <w:rFonts w:cs="Arial"/>
                <w:color w:val="000000"/>
              </w:rPr>
              <w:t>5%</w:t>
            </w:r>
          </w:p>
        </w:tc>
        <w:tc>
          <w:tcPr>
            <w:tcW w:w="376" w:type="pct"/>
            <w:shd w:val="clear" w:color="auto" w:fill="auto"/>
            <w:noWrap/>
            <w:vAlign w:val="center"/>
            <w:hideMark/>
          </w:tcPr>
          <w:p w:rsidR="00A0318C" w:rsidRPr="009E1A35" w:rsidP="00C8113D" w14:paraId="7F494217" w14:textId="77777777">
            <w:pPr>
              <w:autoSpaceDE/>
              <w:autoSpaceDN/>
              <w:adjustRightInd/>
              <w:jc w:val="center"/>
              <w:rPr>
                <w:rFonts w:cs="Arial"/>
                <w:color w:val="000000"/>
              </w:rPr>
            </w:pPr>
            <w:r w:rsidRPr="00ED264D">
              <w:rPr>
                <w:rFonts w:cs="Arial"/>
                <w:color w:val="000000"/>
              </w:rPr>
              <w:t>0%</w:t>
            </w:r>
          </w:p>
        </w:tc>
      </w:tr>
      <w:tr w14:paraId="7F494224"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19"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1A" w14:textId="77777777">
            <w:pPr>
              <w:autoSpaceDE/>
              <w:autoSpaceDN/>
              <w:adjustRightInd/>
              <w:rPr>
                <w:rFonts w:cs="Arial"/>
                <w:color w:val="000000"/>
              </w:rPr>
            </w:pPr>
            <w:r w:rsidRPr="009E1A35">
              <w:rPr>
                <w:rFonts w:cs="Arial"/>
                <w:color w:val="000000"/>
              </w:rPr>
              <w:t>Institution</w:t>
            </w:r>
            <w:r>
              <w:rPr>
                <w:rFonts w:cs="Arial"/>
                <w:color w:val="000000"/>
              </w:rPr>
              <w:t xml:space="preserve"> </w:t>
            </w:r>
            <w:r w:rsidRPr="009E1A35">
              <w:rPr>
                <w:rFonts w:cs="Arial"/>
                <w:color w:val="000000"/>
              </w:rPr>
              <w:t xml:space="preserve"> Admin</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Technical Admin</w:t>
            </w:r>
            <w:r w:rsidR="00E37571">
              <w:rPr>
                <w:rFonts w:cs="Arial"/>
                <w:color w:val="000000"/>
              </w:rPr>
              <w:t>.</w:t>
            </w:r>
            <w:r w:rsidRPr="009E1A35">
              <w:rPr>
                <w:rFonts w:cs="Arial"/>
                <w:color w:val="000000"/>
              </w:rPr>
              <w:t xml:space="preserve"> (Writer)</w:t>
            </w:r>
          </w:p>
        </w:tc>
        <w:tc>
          <w:tcPr>
            <w:tcW w:w="301" w:type="pct"/>
            <w:vMerge/>
            <w:vAlign w:val="center"/>
            <w:hideMark/>
          </w:tcPr>
          <w:p w:rsidR="00A0318C" w:rsidRPr="009E1A35" w:rsidP="00A0318C" w14:paraId="7F49421B" w14:textId="77777777">
            <w:pPr>
              <w:autoSpaceDE/>
              <w:autoSpaceDN/>
              <w:adjustRightInd/>
              <w:rPr>
                <w:rFonts w:cs="Arial"/>
              </w:rPr>
            </w:pPr>
          </w:p>
        </w:tc>
        <w:tc>
          <w:tcPr>
            <w:tcW w:w="413" w:type="pct"/>
            <w:vMerge/>
            <w:vAlign w:val="center"/>
            <w:hideMark/>
          </w:tcPr>
          <w:p w:rsidR="00A0318C" w:rsidRPr="009E1A35" w:rsidP="00A0318C" w14:paraId="7F49421C" w14:textId="77777777">
            <w:pPr>
              <w:autoSpaceDE/>
              <w:autoSpaceDN/>
              <w:adjustRightInd/>
              <w:rPr>
                <w:rFonts w:cs="Arial"/>
              </w:rPr>
            </w:pPr>
          </w:p>
        </w:tc>
        <w:tc>
          <w:tcPr>
            <w:tcW w:w="415" w:type="pct"/>
            <w:vMerge/>
            <w:vAlign w:val="center"/>
            <w:hideMark/>
          </w:tcPr>
          <w:p w:rsidR="00A0318C" w:rsidRPr="009E1A35" w:rsidP="00A0318C" w14:paraId="7F49421D" w14:textId="77777777">
            <w:pPr>
              <w:autoSpaceDE/>
              <w:autoSpaceDN/>
              <w:adjustRightInd/>
              <w:rPr>
                <w:rFonts w:cs="Arial"/>
              </w:rPr>
            </w:pPr>
          </w:p>
        </w:tc>
        <w:tc>
          <w:tcPr>
            <w:tcW w:w="451" w:type="pct"/>
            <w:vMerge/>
            <w:vAlign w:val="center"/>
            <w:hideMark/>
          </w:tcPr>
          <w:p w:rsidR="00A0318C" w:rsidRPr="009E1A35" w:rsidP="00A0318C" w14:paraId="7F49421E"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1F" w14:textId="77777777">
            <w:pPr>
              <w:autoSpaceDE/>
              <w:autoSpaceDN/>
              <w:adjustRightInd/>
              <w:jc w:val="center"/>
              <w:rPr>
                <w:rFonts w:cs="Arial"/>
                <w:color w:val="000000"/>
              </w:rPr>
            </w:pPr>
            <w:r w:rsidRPr="00ED264D">
              <w:rPr>
                <w:rFonts w:cs="Arial"/>
                <w:color w:val="000000"/>
              </w:rPr>
              <w:t>$55.54</w:t>
            </w:r>
          </w:p>
        </w:tc>
        <w:tc>
          <w:tcPr>
            <w:tcW w:w="414" w:type="pct"/>
            <w:shd w:val="clear" w:color="000000" w:fill="FFFFFF"/>
            <w:noWrap/>
            <w:vAlign w:val="center"/>
            <w:hideMark/>
          </w:tcPr>
          <w:p w:rsidR="00A0318C" w:rsidRPr="009E1A35" w:rsidP="00C8113D" w14:paraId="7F494220" w14:textId="77777777">
            <w:pPr>
              <w:autoSpaceDE/>
              <w:autoSpaceDN/>
              <w:adjustRightInd/>
              <w:jc w:val="center"/>
              <w:rPr>
                <w:rFonts w:cs="Arial"/>
                <w:color w:val="000000"/>
              </w:rPr>
            </w:pPr>
            <w:r w:rsidRPr="00ED264D">
              <w:rPr>
                <w:rFonts w:cs="Arial"/>
                <w:color w:val="000000"/>
              </w:rPr>
              <w:t>$38.40</w:t>
            </w:r>
          </w:p>
        </w:tc>
        <w:tc>
          <w:tcPr>
            <w:tcW w:w="489" w:type="pct"/>
            <w:shd w:val="clear" w:color="auto" w:fill="auto"/>
            <w:noWrap/>
            <w:vAlign w:val="center"/>
            <w:hideMark/>
          </w:tcPr>
          <w:p w:rsidR="00A0318C" w:rsidRPr="009E1A35" w:rsidP="00C8113D" w14:paraId="7F494221" w14:textId="77777777">
            <w:pPr>
              <w:autoSpaceDE/>
              <w:autoSpaceDN/>
              <w:adjustRightInd/>
              <w:jc w:val="center"/>
              <w:rPr>
                <w:rFonts w:cs="Arial"/>
                <w:color w:val="000000"/>
              </w:rPr>
            </w:pPr>
            <w:r w:rsidRPr="00ED264D">
              <w:rPr>
                <w:rFonts w:cs="Arial"/>
                <w:color w:val="000000"/>
              </w:rPr>
              <w:t>0%</w:t>
            </w:r>
          </w:p>
        </w:tc>
        <w:tc>
          <w:tcPr>
            <w:tcW w:w="338" w:type="pct"/>
            <w:shd w:val="clear" w:color="auto" w:fill="auto"/>
            <w:noWrap/>
            <w:vAlign w:val="center"/>
            <w:hideMark/>
          </w:tcPr>
          <w:p w:rsidR="00A0318C" w:rsidRPr="009E1A35" w:rsidP="00C8113D" w14:paraId="7F494222" w14:textId="77777777">
            <w:pPr>
              <w:autoSpaceDE/>
              <w:autoSpaceDN/>
              <w:adjustRightInd/>
              <w:jc w:val="center"/>
              <w:rPr>
                <w:rFonts w:cs="Arial"/>
                <w:color w:val="000000"/>
              </w:rPr>
            </w:pPr>
            <w:r w:rsidRPr="00ED264D">
              <w:rPr>
                <w:rFonts w:cs="Arial"/>
                <w:color w:val="000000"/>
              </w:rPr>
              <w:t>0%</w:t>
            </w:r>
          </w:p>
        </w:tc>
        <w:tc>
          <w:tcPr>
            <w:tcW w:w="376" w:type="pct"/>
            <w:shd w:val="clear" w:color="auto" w:fill="auto"/>
            <w:noWrap/>
            <w:vAlign w:val="center"/>
            <w:hideMark/>
          </w:tcPr>
          <w:p w:rsidR="00A0318C" w:rsidRPr="009E1A35" w:rsidP="00C8113D" w14:paraId="7F494223" w14:textId="77777777">
            <w:pPr>
              <w:autoSpaceDE/>
              <w:autoSpaceDN/>
              <w:adjustRightInd/>
              <w:jc w:val="center"/>
              <w:rPr>
                <w:rFonts w:cs="Arial"/>
                <w:color w:val="000000"/>
              </w:rPr>
            </w:pPr>
            <w:r w:rsidRPr="00ED264D">
              <w:rPr>
                <w:rFonts w:cs="Arial"/>
                <w:color w:val="000000"/>
              </w:rPr>
              <w:t>10%</w:t>
            </w:r>
          </w:p>
        </w:tc>
      </w:tr>
      <w:tr w14:paraId="7F494230" w14:textId="77777777" w:rsidTr="00EF4F9D">
        <w:tblPrEx>
          <w:tblW w:w="4620" w:type="pct"/>
          <w:jc w:val="center"/>
          <w:tblLayout w:type="fixed"/>
          <w:tblLook w:val="04A0"/>
        </w:tblPrEx>
        <w:trPr>
          <w:trHeight w:val="390"/>
          <w:jc w:val="center"/>
        </w:trPr>
        <w:tc>
          <w:tcPr>
            <w:tcW w:w="600" w:type="pct"/>
            <w:vMerge w:val="restart"/>
            <w:shd w:val="clear" w:color="000000" w:fill="FFFFFF"/>
            <w:noWrap/>
            <w:vAlign w:val="center"/>
            <w:hideMark/>
          </w:tcPr>
          <w:p w:rsidR="00A0318C" w:rsidRPr="009E1A35" w:rsidP="00651BE0" w14:paraId="7F494225" w14:textId="77777777">
            <w:pPr>
              <w:autoSpaceDE/>
              <w:autoSpaceDN/>
              <w:adjustRightInd/>
              <w:jc w:val="center"/>
              <w:rPr>
                <w:rFonts w:cs="Arial"/>
                <w:b/>
                <w:bCs/>
              </w:rPr>
            </w:pPr>
            <w:r w:rsidRPr="009E1A35">
              <w:rPr>
                <w:rFonts w:cs="Arial"/>
                <w:b/>
                <w:bCs/>
              </w:rPr>
              <w:t>Preparing Subsequent FSAR Updates</w:t>
            </w:r>
          </w:p>
        </w:tc>
        <w:tc>
          <w:tcPr>
            <w:tcW w:w="752" w:type="pct"/>
            <w:shd w:val="clear" w:color="auto" w:fill="auto"/>
            <w:noWrap/>
            <w:vAlign w:val="center"/>
            <w:hideMark/>
          </w:tcPr>
          <w:p w:rsidR="00A0318C" w:rsidRPr="009E1A35" w:rsidP="00A0318C" w14:paraId="7F494226" w14:textId="77777777">
            <w:pPr>
              <w:autoSpaceDE/>
              <w:autoSpaceDN/>
              <w:adjustRightInd/>
              <w:rPr>
                <w:rFonts w:cs="Arial"/>
                <w:color w:val="000000"/>
              </w:rPr>
            </w:pPr>
            <w:r w:rsidRPr="009E1A35">
              <w:rPr>
                <w:rFonts w:cs="Arial"/>
                <w:color w:val="000000"/>
              </w:rPr>
              <w:t>Reactor Director / Professor</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Project Manager</w:t>
            </w:r>
          </w:p>
        </w:tc>
        <w:tc>
          <w:tcPr>
            <w:tcW w:w="301" w:type="pct"/>
            <w:vMerge w:val="restart"/>
            <w:shd w:val="clear" w:color="000000" w:fill="FFFFFF"/>
            <w:vAlign w:val="center"/>
            <w:hideMark/>
          </w:tcPr>
          <w:p w:rsidR="00A0318C" w:rsidRPr="009E1A35" w:rsidP="00A0318C" w14:paraId="7F494227" w14:textId="77777777">
            <w:pPr>
              <w:autoSpaceDE/>
              <w:autoSpaceDN/>
              <w:adjustRightInd/>
              <w:jc w:val="center"/>
              <w:rPr>
                <w:rFonts w:cs="Arial"/>
              </w:rPr>
            </w:pPr>
            <w:r w:rsidRPr="009E1A35">
              <w:rPr>
                <w:rFonts w:cs="Arial"/>
              </w:rPr>
              <w:t>43</w:t>
            </w:r>
          </w:p>
        </w:tc>
        <w:tc>
          <w:tcPr>
            <w:tcW w:w="413" w:type="pct"/>
            <w:vMerge w:val="restart"/>
            <w:shd w:val="clear" w:color="000000" w:fill="FFFFFF"/>
            <w:vAlign w:val="center"/>
            <w:hideMark/>
          </w:tcPr>
          <w:p w:rsidR="00A0318C" w:rsidRPr="009E1A35" w:rsidP="00A0318C" w14:paraId="7F494228" w14:textId="77777777">
            <w:pPr>
              <w:autoSpaceDE/>
              <w:autoSpaceDN/>
              <w:adjustRightInd/>
              <w:jc w:val="center"/>
              <w:rPr>
                <w:rFonts w:cs="Arial"/>
              </w:rPr>
            </w:pPr>
            <w:r w:rsidRPr="009E1A35">
              <w:rPr>
                <w:rFonts w:cs="Arial"/>
              </w:rPr>
              <w:t>64</w:t>
            </w:r>
          </w:p>
        </w:tc>
        <w:tc>
          <w:tcPr>
            <w:tcW w:w="415" w:type="pct"/>
            <w:vMerge w:val="restart"/>
            <w:shd w:val="clear" w:color="000000" w:fill="FFFFFF"/>
            <w:vAlign w:val="center"/>
            <w:hideMark/>
          </w:tcPr>
          <w:p w:rsidR="00A0318C" w:rsidRPr="009E1A35" w:rsidP="00A0318C" w14:paraId="7F494229" w14:textId="77777777">
            <w:pPr>
              <w:autoSpaceDE/>
              <w:autoSpaceDN/>
              <w:adjustRightInd/>
              <w:jc w:val="center"/>
              <w:rPr>
                <w:rFonts w:cs="Arial"/>
              </w:rPr>
            </w:pPr>
            <w:r w:rsidRPr="009E1A35">
              <w:rPr>
                <w:rFonts w:cs="Arial"/>
              </w:rPr>
              <w:t>100</w:t>
            </w:r>
          </w:p>
        </w:tc>
        <w:tc>
          <w:tcPr>
            <w:tcW w:w="451" w:type="pct"/>
            <w:vMerge w:val="restart"/>
            <w:shd w:val="clear" w:color="000000" w:fill="FFFFFF"/>
            <w:vAlign w:val="center"/>
            <w:hideMark/>
          </w:tcPr>
          <w:p w:rsidR="00A0318C" w:rsidRPr="009E1A35" w:rsidP="00A0318C" w14:paraId="7F49422A" w14:textId="77777777">
            <w:pPr>
              <w:autoSpaceDE/>
              <w:autoSpaceDN/>
              <w:adjustRightInd/>
              <w:jc w:val="center"/>
              <w:rPr>
                <w:rFonts w:cs="Arial"/>
              </w:rPr>
            </w:pPr>
            <w:r w:rsidRPr="009E1A35">
              <w:rPr>
                <w:rFonts w:cs="Arial"/>
              </w:rPr>
              <w:t>100</w:t>
            </w:r>
          </w:p>
        </w:tc>
        <w:tc>
          <w:tcPr>
            <w:tcW w:w="451" w:type="pct"/>
            <w:shd w:val="clear" w:color="000000" w:fill="FFFFFF"/>
            <w:noWrap/>
            <w:vAlign w:val="center"/>
            <w:hideMark/>
          </w:tcPr>
          <w:p w:rsidR="00A0318C" w:rsidRPr="009E1A35" w:rsidP="00C8113D" w14:paraId="7F49422B" w14:textId="77777777">
            <w:pPr>
              <w:autoSpaceDE/>
              <w:autoSpaceDN/>
              <w:adjustRightInd/>
              <w:jc w:val="center"/>
              <w:rPr>
                <w:rFonts w:cs="Arial"/>
                <w:color w:val="000000"/>
              </w:rPr>
            </w:pPr>
            <w:r w:rsidRPr="00ED264D">
              <w:rPr>
                <w:rFonts w:cs="Arial"/>
                <w:color w:val="000000"/>
              </w:rPr>
              <w:t>$56.65</w:t>
            </w:r>
          </w:p>
        </w:tc>
        <w:tc>
          <w:tcPr>
            <w:tcW w:w="414" w:type="pct"/>
            <w:shd w:val="clear" w:color="000000" w:fill="FFFFFF"/>
            <w:noWrap/>
            <w:vAlign w:val="center"/>
            <w:hideMark/>
          </w:tcPr>
          <w:p w:rsidR="00A0318C" w:rsidRPr="009E1A35" w:rsidP="00C8113D" w14:paraId="7F49422C" w14:textId="77777777">
            <w:pPr>
              <w:autoSpaceDE/>
              <w:autoSpaceDN/>
              <w:adjustRightInd/>
              <w:jc w:val="center"/>
              <w:rPr>
                <w:rFonts w:cs="Arial"/>
                <w:color w:val="000000"/>
              </w:rPr>
            </w:pPr>
            <w:r w:rsidRPr="00ED264D">
              <w:rPr>
                <w:rFonts w:cs="Arial"/>
                <w:color w:val="000000"/>
              </w:rPr>
              <w:t>$63.68</w:t>
            </w:r>
          </w:p>
        </w:tc>
        <w:tc>
          <w:tcPr>
            <w:tcW w:w="489" w:type="pct"/>
            <w:shd w:val="clear" w:color="auto" w:fill="auto"/>
            <w:noWrap/>
            <w:vAlign w:val="center"/>
            <w:hideMark/>
          </w:tcPr>
          <w:p w:rsidR="00A0318C" w:rsidRPr="009E1A35" w:rsidP="00C8113D" w14:paraId="7F49422D" w14:textId="77777777">
            <w:pPr>
              <w:autoSpaceDE/>
              <w:autoSpaceDN/>
              <w:adjustRightInd/>
              <w:jc w:val="center"/>
              <w:rPr>
                <w:rFonts w:cs="Arial"/>
                <w:color w:val="000000"/>
              </w:rPr>
            </w:pPr>
            <w:r w:rsidRPr="00ED264D">
              <w:rPr>
                <w:rFonts w:cs="Arial"/>
                <w:color w:val="000000"/>
              </w:rPr>
              <w:t>10%</w:t>
            </w:r>
          </w:p>
        </w:tc>
        <w:tc>
          <w:tcPr>
            <w:tcW w:w="338" w:type="pct"/>
            <w:shd w:val="clear" w:color="auto" w:fill="auto"/>
            <w:noWrap/>
            <w:vAlign w:val="center"/>
            <w:hideMark/>
          </w:tcPr>
          <w:p w:rsidR="00A0318C" w:rsidRPr="009E1A35" w:rsidP="00C8113D" w14:paraId="7F49422E" w14:textId="77777777">
            <w:pPr>
              <w:autoSpaceDE/>
              <w:autoSpaceDN/>
              <w:adjustRightInd/>
              <w:jc w:val="center"/>
              <w:rPr>
                <w:rFonts w:cs="Arial"/>
                <w:color w:val="000000"/>
              </w:rPr>
            </w:pPr>
            <w:r w:rsidRPr="00ED264D">
              <w:rPr>
                <w:rFonts w:cs="Arial"/>
                <w:color w:val="000000"/>
              </w:rPr>
              <w:t>10%</w:t>
            </w:r>
          </w:p>
        </w:tc>
        <w:tc>
          <w:tcPr>
            <w:tcW w:w="376" w:type="pct"/>
            <w:shd w:val="clear" w:color="auto" w:fill="auto"/>
            <w:noWrap/>
            <w:vAlign w:val="center"/>
            <w:hideMark/>
          </w:tcPr>
          <w:p w:rsidR="00A0318C" w:rsidRPr="009E1A35" w:rsidP="00C8113D" w14:paraId="7F49422F" w14:textId="77777777">
            <w:pPr>
              <w:autoSpaceDE/>
              <w:autoSpaceDN/>
              <w:adjustRightInd/>
              <w:jc w:val="center"/>
              <w:rPr>
                <w:rFonts w:cs="Arial"/>
                <w:color w:val="000000"/>
              </w:rPr>
            </w:pPr>
            <w:r w:rsidRPr="00ED264D">
              <w:rPr>
                <w:rFonts w:cs="Arial"/>
                <w:color w:val="000000"/>
              </w:rPr>
              <w:t>20%</w:t>
            </w:r>
          </w:p>
        </w:tc>
      </w:tr>
      <w:tr w14:paraId="7F49423C"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31"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32" w14:textId="77777777">
            <w:pPr>
              <w:autoSpaceDE/>
              <w:autoSpaceDN/>
              <w:adjustRightInd/>
              <w:rPr>
                <w:rFonts w:cs="Arial"/>
                <w:color w:val="000000"/>
              </w:rPr>
            </w:pPr>
            <w:r>
              <w:rPr>
                <w:rFonts w:cs="Arial"/>
                <w:color w:val="000000"/>
              </w:rPr>
              <w:t>NPUF Operator</w:t>
            </w:r>
            <w:r w:rsidRPr="009E1A35">
              <w:rPr>
                <w:rFonts w:cs="Arial"/>
                <w:color w:val="000000"/>
              </w:rPr>
              <w:t xml:space="preserve"> / Asst. Dir.</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Nuclear Engineer</w:t>
            </w:r>
          </w:p>
        </w:tc>
        <w:tc>
          <w:tcPr>
            <w:tcW w:w="301" w:type="pct"/>
            <w:vMerge/>
            <w:vAlign w:val="center"/>
            <w:hideMark/>
          </w:tcPr>
          <w:p w:rsidR="00A0318C" w:rsidRPr="009E1A35" w:rsidP="00A0318C" w14:paraId="7F494233" w14:textId="77777777">
            <w:pPr>
              <w:autoSpaceDE/>
              <w:autoSpaceDN/>
              <w:adjustRightInd/>
              <w:rPr>
                <w:rFonts w:cs="Arial"/>
              </w:rPr>
            </w:pPr>
          </w:p>
        </w:tc>
        <w:tc>
          <w:tcPr>
            <w:tcW w:w="413" w:type="pct"/>
            <w:vMerge/>
            <w:vAlign w:val="center"/>
            <w:hideMark/>
          </w:tcPr>
          <w:p w:rsidR="00A0318C" w:rsidRPr="009E1A35" w:rsidP="00A0318C" w14:paraId="7F494234" w14:textId="77777777">
            <w:pPr>
              <w:autoSpaceDE/>
              <w:autoSpaceDN/>
              <w:adjustRightInd/>
              <w:rPr>
                <w:rFonts w:cs="Arial"/>
              </w:rPr>
            </w:pPr>
          </w:p>
        </w:tc>
        <w:tc>
          <w:tcPr>
            <w:tcW w:w="415" w:type="pct"/>
            <w:vMerge/>
            <w:vAlign w:val="center"/>
            <w:hideMark/>
          </w:tcPr>
          <w:p w:rsidR="00A0318C" w:rsidRPr="009E1A35" w:rsidP="00A0318C" w14:paraId="7F494235" w14:textId="77777777">
            <w:pPr>
              <w:autoSpaceDE/>
              <w:autoSpaceDN/>
              <w:adjustRightInd/>
              <w:rPr>
                <w:rFonts w:cs="Arial"/>
              </w:rPr>
            </w:pPr>
          </w:p>
        </w:tc>
        <w:tc>
          <w:tcPr>
            <w:tcW w:w="451" w:type="pct"/>
            <w:vMerge/>
            <w:vAlign w:val="center"/>
            <w:hideMark/>
          </w:tcPr>
          <w:p w:rsidR="00A0318C" w:rsidRPr="009E1A35" w:rsidP="00A0318C" w14:paraId="7F494236"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37" w14:textId="77777777">
            <w:pPr>
              <w:autoSpaceDE/>
              <w:autoSpaceDN/>
              <w:adjustRightInd/>
              <w:jc w:val="center"/>
              <w:rPr>
                <w:rFonts w:cs="Arial"/>
                <w:color w:val="000000"/>
              </w:rPr>
            </w:pPr>
            <w:r w:rsidRPr="00ED264D">
              <w:rPr>
                <w:rFonts w:cs="Arial"/>
                <w:color w:val="000000"/>
              </w:rPr>
              <w:t>$48.67</w:t>
            </w:r>
          </w:p>
        </w:tc>
        <w:tc>
          <w:tcPr>
            <w:tcW w:w="414" w:type="pct"/>
            <w:shd w:val="clear" w:color="000000" w:fill="FFFFFF"/>
            <w:noWrap/>
            <w:vAlign w:val="center"/>
            <w:hideMark/>
          </w:tcPr>
          <w:p w:rsidR="00A0318C" w:rsidRPr="009E1A35" w:rsidP="00C8113D" w14:paraId="7F494238" w14:textId="77777777">
            <w:pPr>
              <w:autoSpaceDE/>
              <w:autoSpaceDN/>
              <w:adjustRightInd/>
              <w:jc w:val="center"/>
              <w:rPr>
                <w:rFonts w:cs="Arial"/>
                <w:color w:val="000000"/>
              </w:rPr>
            </w:pPr>
            <w:r w:rsidRPr="00ED264D">
              <w:rPr>
                <w:rFonts w:cs="Arial"/>
                <w:color w:val="000000"/>
              </w:rPr>
              <w:t>$56.18</w:t>
            </w:r>
          </w:p>
        </w:tc>
        <w:tc>
          <w:tcPr>
            <w:tcW w:w="489" w:type="pct"/>
            <w:shd w:val="clear" w:color="auto" w:fill="auto"/>
            <w:noWrap/>
            <w:vAlign w:val="center"/>
            <w:hideMark/>
          </w:tcPr>
          <w:p w:rsidR="00A0318C" w:rsidRPr="009E1A35" w:rsidP="00C8113D" w14:paraId="7F494239" w14:textId="77777777">
            <w:pPr>
              <w:autoSpaceDE/>
              <w:autoSpaceDN/>
              <w:adjustRightInd/>
              <w:jc w:val="center"/>
              <w:rPr>
                <w:rFonts w:cs="Arial"/>
                <w:color w:val="000000"/>
              </w:rPr>
            </w:pPr>
            <w:r w:rsidRPr="00ED264D">
              <w:rPr>
                <w:rFonts w:cs="Arial"/>
                <w:color w:val="000000"/>
              </w:rPr>
              <w:t>60%</w:t>
            </w:r>
          </w:p>
        </w:tc>
        <w:tc>
          <w:tcPr>
            <w:tcW w:w="338" w:type="pct"/>
            <w:shd w:val="clear" w:color="auto" w:fill="auto"/>
            <w:noWrap/>
            <w:vAlign w:val="center"/>
            <w:hideMark/>
          </w:tcPr>
          <w:p w:rsidR="00A0318C" w:rsidRPr="009E1A35" w:rsidP="00C8113D" w14:paraId="7F49423A" w14:textId="77777777">
            <w:pPr>
              <w:autoSpaceDE/>
              <w:autoSpaceDN/>
              <w:adjustRightInd/>
              <w:jc w:val="center"/>
              <w:rPr>
                <w:rFonts w:cs="Arial"/>
                <w:color w:val="000000"/>
              </w:rPr>
            </w:pPr>
            <w:r w:rsidRPr="00ED264D">
              <w:rPr>
                <w:rFonts w:cs="Arial"/>
                <w:color w:val="000000"/>
              </w:rPr>
              <w:t>65%</w:t>
            </w:r>
          </w:p>
        </w:tc>
        <w:tc>
          <w:tcPr>
            <w:tcW w:w="376" w:type="pct"/>
            <w:shd w:val="clear" w:color="auto" w:fill="auto"/>
            <w:noWrap/>
            <w:vAlign w:val="center"/>
            <w:hideMark/>
          </w:tcPr>
          <w:p w:rsidR="00A0318C" w:rsidRPr="009E1A35" w:rsidP="00C8113D" w14:paraId="7F49423B" w14:textId="77777777">
            <w:pPr>
              <w:autoSpaceDE/>
              <w:autoSpaceDN/>
              <w:adjustRightInd/>
              <w:jc w:val="center"/>
              <w:rPr>
                <w:rFonts w:cs="Arial"/>
                <w:color w:val="000000"/>
              </w:rPr>
            </w:pPr>
            <w:r w:rsidRPr="00ED264D">
              <w:rPr>
                <w:rFonts w:cs="Arial"/>
                <w:color w:val="000000"/>
              </w:rPr>
              <w:t>30%</w:t>
            </w:r>
          </w:p>
        </w:tc>
      </w:tr>
      <w:tr w14:paraId="7F494248"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3D"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3E" w14:textId="77777777">
            <w:pPr>
              <w:autoSpaceDE/>
              <w:autoSpaceDN/>
              <w:adjustRightInd/>
              <w:rPr>
                <w:rFonts w:cs="Arial"/>
                <w:color w:val="000000"/>
              </w:rPr>
            </w:pPr>
            <w:r w:rsidRPr="009E1A35">
              <w:rPr>
                <w:rFonts w:cs="Arial"/>
                <w:color w:val="000000"/>
              </w:rPr>
              <w:t>Nuclear Technician</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General Engineer</w:t>
            </w:r>
          </w:p>
        </w:tc>
        <w:tc>
          <w:tcPr>
            <w:tcW w:w="301" w:type="pct"/>
            <w:vMerge/>
            <w:vAlign w:val="center"/>
            <w:hideMark/>
          </w:tcPr>
          <w:p w:rsidR="00A0318C" w:rsidRPr="009E1A35" w:rsidP="00A0318C" w14:paraId="7F49423F" w14:textId="77777777">
            <w:pPr>
              <w:autoSpaceDE/>
              <w:autoSpaceDN/>
              <w:adjustRightInd/>
              <w:rPr>
                <w:rFonts w:cs="Arial"/>
              </w:rPr>
            </w:pPr>
          </w:p>
        </w:tc>
        <w:tc>
          <w:tcPr>
            <w:tcW w:w="413" w:type="pct"/>
            <w:vMerge/>
            <w:vAlign w:val="center"/>
            <w:hideMark/>
          </w:tcPr>
          <w:p w:rsidR="00A0318C" w:rsidRPr="009E1A35" w:rsidP="00A0318C" w14:paraId="7F494240" w14:textId="77777777">
            <w:pPr>
              <w:autoSpaceDE/>
              <w:autoSpaceDN/>
              <w:adjustRightInd/>
              <w:rPr>
                <w:rFonts w:cs="Arial"/>
              </w:rPr>
            </w:pPr>
          </w:p>
        </w:tc>
        <w:tc>
          <w:tcPr>
            <w:tcW w:w="415" w:type="pct"/>
            <w:vMerge/>
            <w:vAlign w:val="center"/>
            <w:hideMark/>
          </w:tcPr>
          <w:p w:rsidR="00A0318C" w:rsidRPr="009E1A35" w:rsidP="00A0318C" w14:paraId="7F494241" w14:textId="77777777">
            <w:pPr>
              <w:autoSpaceDE/>
              <w:autoSpaceDN/>
              <w:adjustRightInd/>
              <w:rPr>
                <w:rFonts w:cs="Arial"/>
              </w:rPr>
            </w:pPr>
          </w:p>
        </w:tc>
        <w:tc>
          <w:tcPr>
            <w:tcW w:w="451" w:type="pct"/>
            <w:vMerge/>
            <w:vAlign w:val="center"/>
            <w:hideMark/>
          </w:tcPr>
          <w:p w:rsidR="00A0318C" w:rsidRPr="009E1A35" w:rsidP="00A0318C" w14:paraId="7F494242"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43" w14:textId="77777777">
            <w:pPr>
              <w:autoSpaceDE/>
              <w:autoSpaceDN/>
              <w:adjustRightInd/>
              <w:jc w:val="center"/>
              <w:rPr>
                <w:rFonts w:cs="Arial"/>
                <w:color w:val="000000"/>
              </w:rPr>
            </w:pPr>
            <w:r w:rsidRPr="00ED264D">
              <w:rPr>
                <w:rFonts w:cs="Arial"/>
                <w:color w:val="000000"/>
              </w:rPr>
              <w:t>$41.27</w:t>
            </w:r>
          </w:p>
        </w:tc>
        <w:tc>
          <w:tcPr>
            <w:tcW w:w="414" w:type="pct"/>
            <w:shd w:val="clear" w:color="000000" w:fill="FFFFFF"/>
            <w:noWrap/>
            <w:vAlign w:val="center"/>
            <w:hideMark/>
          </w:tcPr>
          <w:p w:rsidR="00A0318C" w:rsidRPr="009E1A35" w:rsidP="00C8113D" w14:paraId="7F494244" w14:textId="77777777">
            <w:pPr>
              <w:autoSpaceDE/>
              <w:autoSpaceDN/>
              <w:adjustRightInd/>
              <w:jc w:val="center"/>
              <w:rPr>
                <w:rFonts w:cs="Arial"/>
                <w:color w:val="000000"/>
              </w:rPr>
            </w:pPr>
            <w:r w:rsidRPr="00ED264D">
              <w:rPr>
                <w:rFonts w:cs="Arial"/>
                <w:color w:val="000000"/>
              </w:rPr>
              <w:t>$50.65</w:t>
            </w:r>
          </w:p>
        </w:tc>
        <w:tc>
          <w:tcPr>
            <w:tcW w:w="489" w:type="pct"/>
            <w:shd w:val="clear" w:color="auto" w:fill="auto"/>
            <w:noWrap/>
            <w:vAlign w:val="center"/>
            <w:hideMark/>
          </w:tcPr>
          <w:p w:rsidR="00A0318C" w:rsidRPr="009E1A35" w:rsidP="00C8113D" w14:paraId="7F494245" w14:textId="77777777">
            <w:pPr>
              <w:autoSpaceDE/>
              <w:autoSpaceDN/>
              <w:adjustRightInd/>
              <w:jc w:val="center"/>
              <w:rPr>
                <w:rFonts w:cs="Arial"/>
                <w:color w:val="000000"/>
              </w:rPr>
            </w:pPr>
            <w:r w:rsidRPr="00ED264D">
              <w:rPr>
                <w:rFonts w:cs="Arial"/>
                <w:color w:val="000000"/>
              </w:rPr>
              <w:t>0%</w:t>
            </w:r>
          </w:p>
        </w:tc>
        <w:tc>
          <w:tcPr>
            <w:tcW w:w="338" w:type="pct"/>
            <w:shd w:val="clear" w:color="auto" w:fill="auto"/>
            <w:noWrap/>
            <w:vAlign w:val="center"/>
            <w:hideMark/>
          </w:tcPr>
          <w:p w:rsidR="00A0318C" w:rsidRPr="009E1A35" w:rsidP="00C8113D" w14:paraId="7F494246" w14:textId="77777777">
            <w:pPr>
              <w:autoSpaceDE/>
              <w:autoSpaceDN/>
              <w:adjustRightInd/>
              <w:jc w:val="center"/>
              <w:rPr>
                <w:rFonts w:cs="Arial"/>
                <w:color w:val="000000"/>
              </w:rPr>
            </w:pPr>
            <w:r w:rsidRPr="00ED264D">
              <w:rPr>
                <w:rFonts w:cs="Arial"/>
                <w:color w:val="000000"/>
              </w:rPr>
              <w:t>20%</w:t>
            </w:r>
          </w:p>
        </w:tc>
        <w:tc>
          <w:tcPr>
            <w:tcW w:w="376" w:type="pct"/>
            <w:shd w:val="clear" w:color="auto" w:fill="auto"/>
            <w:noWrap/>
            <w:vAlign w:val="center"/>
            <w:hideMark/>
          </w:tcPr>
          <w:p w:rsidR="00A0318C" w:rsidRPr="009E1A35" w:rsidP="00C8113D" w14:paraId="7F494247" w14:textId="77777777">
            <w:pPr>
              <w:autoSpaceDE/>
              <w:autoSpaceDN/>
              <w:adjustRightInd/>
              <w:jc w:val="center"/>
              <w:rPr>
                <w:rFonts w:cs="Arial"/>
                <w:color w:val="000000"/>
              </w:rPr>
            </w:pPr>
            <w:r w:rsidRPr="00ED264D">
              <w:rPr>
                <w:rFonts w:cs="Arial"/>
                <w:color w:val="000000"/>
              </w:rPr>
              <w:t>40%</w:t>
            </w:r>
          </w:p>
        </w:tc>
      </w:tr>
      <w:tr w14:paraId="7F494254"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49"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4A" w14:textId="77777777">
            <w:pPr>
              <w:autoSpaceDE/>
              <w:autoSpaceDN/>
              <w:adjustRightInd/>
              <w:rPr>
                <w:rFonts w:cs="Arial"/>
                <w:color w:val="000000"/>
              </w:rPr>
            </w:pPr>
            <w:r w:rsidRPr="009E1A35">
              <w:rPr>
                <w:rFonts w:cs="Arial"/>
                <w:color w:val="000000"/>
              </w:rPr>
              <w:t>Graduate Student</w:t>
            </w:r>
          </w:p>
        </w:tc>
        <w:tc>
          <w:tcPr>
            <w:tcW w:w="301" w:type="pct"/>
            <w:vMerge/>
            <w:vAlign w:val="center"/>
            <w:hideMark/>
          </w:tcPr>
          <w:p w:rsidR="00A0318C" w:rsidRPr="009E1A35" w:rsidP="00A0318C" w14:paraId="7F49424B" w14:textId="77777777">
            <w:pPr>
              <w:autoSpaceDE/>
              <w:autoSpaceDN/>
              <w:adjustRightInd/>
              <w:rPr>
                <w:rFonts w:cs="Arial"/>
              </w:rPr>
            </w:pPr>
          </w:p>
        </w:tc>
        <w:tc>
          <w:tcPr>
            <w:tcW w:w="413" w:type="pct"/>
            <w:vMerge/>
            <w:vAlign w:val="center"/>
            <w:hideMark/>
          </w:tcPr>
          <w:p w:rsidR="00A0318C" w:rsidRPr="009E1A35" w:rsidP="00A0318C" w14:paraId="7F49424C" w14:textId="77777777">
            <w:pPr>
              <w:autoSpaceDE/>
              <w:autoSpaceDN/>
              <w:adjustRightInd/>
              <w:rPr>
                <w:rFonts w:cs="Arial"/>
              </w:rPr>
            </w:pPr>
          </w:p>
        </w:tc>
        <w:tc>
          <w:tcPr>
            <w:tcW w:w="415" w:type="pct"/>
            <w:vMerge/>
            <w:vAlign w:val="center"/>
            <w:hideMark/>
          </w:tcPr>
          <w:p w:rsidR="00A0318C" w:rsidRPr="009E1A35" w:rsidP="00A0318C" w14:paraId="7F49424D" w14:textId="77777777">
            <w:pPr>
              <w:autoSpaceDE/>
              <w:autoSpaceDN/>
              <w:adjustRightInd/>
              <w:rPr>
                <w:rFonts w:cs="Arial"/>
              </w:rPr>
            </w:pPr>
          </w:p>
        </w:tc>
        <w:tc>
          <w:tcPr>
            <w:tcW w:w="451" w:type="pct"/>
            <w:vMerge/>
            <w:vAlign w:val="center"/>
            <w:hideMark/>
          </w:tcPr>
          <w:p w:rsidR="00A0318C" w:rsidRPr="009E1A35" w:rsidP="00A0318C" w14:paraId="7F49424E"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4F" w14:textId="77777777">
            <w:pPr>
              <w:autoSpaceDE/>
              <w:autoSpaceDN/>
              <w:adjustRightInd/>
              <w:jc w:val="center"/>
              <w:rPr>
                <w:rFonts w:cs="Arial"/>
                <w:color w:val="000000"/>
              </w:rPr>
            </w:pPr>
            <w:r w:rsidRPr="00ED264D">
              <w:rPr>
                <w:rFonts w:cs="Arial"/>
                <w:color w:val="000000"/>
              </w:rPr>
              <w:t>$19.46</w:t>
            </w:r>
          </w:p>
        </w:tc>
        <w:tc>
          <w:tcPr>
            <w:tcW w:w="414" w:type="pct"/>
            <w:shd w:val="clear" w:color="000000" w:fill="FFFFFF"/>
            <w:noWrap/>
            <w:vAlign w:val="center"/>
            <w:hideMark/>
          </w:tcPr>
          <w:p w:rsidR="00A0318C" w:rsidRPr="009E1A35" w:rsidP="00C8113D" w14:paraId="7F494250" w14:textId="77777777">
            <w:pPr>
              <w:autoSpaceDE/>
              <w:autoSpaceDN/>
              <w:adjustRightInd/>
              <w:jc w:val="center"/>
              <w:rPr>
                <w:rFonts w:cs="Arial"/>
                <w:color w:val="000000"/>
              </w:rPr>
            </w:pPr>
            <w:r w:rsidRPr="00ED264D">
              <w:rPr>
                <w:rFonts w:cs="Arial"/>
                <w:color w:val="000000"/>
              </w:rPr>
              <w:t>$19.46</w:t>
            </w:r>
          </w:p>
        </w:tc>
        <w:tc>
          <w:tcPr>
            <w:tcW w:w="489" w:type="pct"/>
            <w:shd w:val="clear" w:color="auto" w:fill="auto"/>
            <w:noWrap/>
            <w:vAlign w:val="center"/>
            <w:hideMark/>
          </w:tcPr>
          <w:p w:rsidR="00A0318C" w:rsidRPr="009E1A35" w:rsidP="00C8113D" w14:paraId="7F494251" w14:textId="77777777">
            <w:pPr>
              <w:autoSpaceDE/>
              <w:autoSpaceDN/>
              <w:adjustRightInd/>
              <w:jc w:val="center"/>
              <w:rPr>
                <w:rFonts w:cs="Arial"/>
                <w:color w:val="000000"/>
              </w:rPr>
            </w:pPr>
            <w:r w:rsidRPr="00ED264D">
              <w:rPr>
                <w:rFonts w:cs="Arial"/>
                <w:color w:val="000000"/>
              </w:rPr>
              <w:t>30%</w:t>
            </w:r>
          </w:p>
        </w:tc>
        <w:tc>
          <w:tcPr>
            <w:tcW w:w="338" w:type="pct"/>
            <w:shd w:val="clear" w:color="auto" w:fill="auto"/>
            <w:noWrap/>
            <w:vAlign w:val="center"/>
            <w:hideMark/>
          </w:tcPr>
          <w:p w:rsidR="00A0318C" w:rsidRPr="009E1A35" w:rsidP="00C8113D" w14:paraId="7F494252" w14:textId="77777777">
            <w:pPr>
              <w:autoSpaceDE/>
              <w:autoSpaceDN/>
              <w:adjustRightInd/>
              <w:jc w:val="center"/>
              <w:rPr>
                <w:rFonts w:cs="Arial"/>
                <w:color w:val="000000"/>
              </w:rPr>
            </w:pPr>
            <w:r w:rsidRPr="00ED264D">
              <w:rPr>
                <w:rFonts w:cs="Arial"/>
                <w:color w:val="000000"/>
              </w:rPr>
              <w:t>5%</w:t>
            </w:r>
          </w:p>
        </w:tc>
        <w:tc>
          <w:tcPr>
            <w:tcW w:w="376" w:type="pct"/>
            <w:shd w:val="clear" w:color="auto" w:fill="auto"/>
            <w:noWrap/>
            <w:vAlign w:val="center"/>
            <w:hideMark/>
          </w:tcPr>
          <w:p w:rsidR="00A0318C" w:rsidRPr="009E1A35" w:rsidP="00C8113D" w14:paraId="7F494253" w14:textId="77777777">
            <w:pPr>
              <w:autoSpaceDE/>
              <w:autoSpaceDN/>
              <w:adjustRightInd/>
              <w:jc w:val="center"/>
              <w:rPr>
                <w:rFonts w:cs="Arial"/>
                <w:color w:val="000000"/>
              </w:rPr>
            </w:pPr>
            <w:r w:rsidRPr="00ED264D">
              <w:rPr>
                <w:rFonts w:cs="Arial"/>
                <w:color w:val="000000"/>
              </w:rPr>
              <w:t>0%</w:t>
            </w:r>
          </w:p>
        </w:tc>
      </w:tr>
      <w:tr w14:paraId="7F494260" w14:textId="77777777" w:rsidTr="00346B95">
        <w:tblPrEx>
          <w:tblW w:w="4620" w:type="pct"/>
          <w:jc w:val="center"/>
          <w:tblLayout w:type="fixed"/>
          <w:tblLook w:val="04A0"/>
        </w:tblPrEx>
        <w:trPr>
          <w:trHeight w:val="390"/>
          <w:jc w:val="center"/>
        </w:trPr>
        <w:tc>
          <w:tcPr>
            <w:tcW w:w="600" w:type="pct"/>
            <w:vMerge/>
            <w:vAlign w:val="center"/>
            <w:hideMark/>
          </w:tcPr>
          <w:p w:rsidR="00A0318C" w:rsidRPr="009E1A35" w:rsidP="00A0318C" w14:paraId="7F494255" w14:textId="77777777">
            <w:pPr>
              <w:autoSpaceDE/>
              <w:autoSpaceDN/>
              <w:adjustRightInd/>
              <w:rPr>
                <w:rFonts w:cs="Arial"/>
                <w:b/>
                <w:bCs/>
              </w:rPr>
            </w:pPr>
          </w:p>
        </w:tc>
        <w:tc>
          <w:tcPr>
            <w:tcW w:w="752" w:type="pct"/>
            <w:shd w:val="clear" w:color="auto" w:fill="auto"/>
            <w:noWrap/>
            <w:vAlign w:val="center"/>
            <w:hideMark/>
          </w:tcPr>
          <w:p w:rsidR="00A0318C" w:rsidRPr="009E1A35" w:rsidP="00A0318C" w14:paraId="7F494256" w14:textId="77777777">
            <w:pPr>
              <w:autoSpaceDE/>
              <w:autoSpaceDN/>
              <w:adjustRightInd/>
              <w:rPr>
                <w:rFonts w:cs="Arial"/>
                <w:color w:val="000000"/>
              </w:rPr>
            </w:pPr>
            <w:r w:rsidRPr="009E1A35">
              <w:rPr>
                <w:rFonts w:cs="Arial"/>
                <w:color w:val="000000"/>
              </w:rPr>
              <w:t>Institution</w:t>
            </w:r>
            <w:r>
              <w:rPr>
                <w:rFonts w:cs="Arial"/>
                <w:color w:val="000000"/>
              </w:rPr>
              <w:t xml:space="preserve"> </w:t>
            </w:r>
            <w:r w:rsidRPr="009E1A35">
              <w:rPr>
                <w:rFonts w:cs="Arial"/>
                <w:color w:val="000000"/>
              </w:rPr>
              <w:t xml:space="preserve"> Admin</w:t>
            </w:r>
            <w:r>
              <w:rPr>
                <w:rFonts w:cs="Arial"/>
                <w:color w:val="000000"/>
              </w:rPr>
              <w:t xml:space="preserve">. </w:t>
            </w:r>
            <w:r w:rsidRPr="009E1A35">
              <w:rPr>
                <w:rFonts w:cs="Arial"/>
                <w:color w:val="000000"/>
              </w:rPr>
              <w:t>/</w:t>
            </w:r>
            <w:r>
              <w:rPr>
                <w:rFonts w:cs="Arial"/>
                <w:color w:val="000000"/>
              </w:rPr>
              <w:t xml:space="preserve"> </w:t>
            </w:r>
            <w:r w:rsidRPr="009E1A35">
              <w:rPr>
                <w:rFonts w:cs="Arial"/>
                <w:color w:val="000000"/>
              </w:rPr>
              <w:t>Technical Admin</w:t>
            </w:r>
            <w:r w:rsidR="00E37571">
              <w:rPr>
                <w:rFonts w:cs="Arial"/>
                <w:color w:val="000000"/>
              </w:rPr>
              <w:t>.</w:t>
            </w:r>
            <w:r w:rsidRPr="009E1A35">
              <w:rPr>
                <w:rFonts w:cs="Arial"/>
                <w:color w:val="000000"/>
              </w:rPr>
              <w:t xml:space="preserve"> (Writer)</w:t>
            </w:r>
          </w:p>
        </w:tc>
        <w:tc>
          <w:tcPr>
            <w:tcW w:w="301" w:type="pct"/>
            <w:vMerge/>
            <w:vAlign w:val="center"/>
            <w:hideMark/>
          </w:tcPr>
          <w:p w:rsidR="00A0318C" w:rsidRPr="009E1A35" w:rsidP="00A0318C" w14:paraId="7F494257" w14:textId="77777777">
            <w:pPr>
              <w:autoSpaceDE/>
              <w:autoSpaceDN/>
              <w:adjustRightInd/>
              <w:rPr>
                <w:rFonts w:cs="Arial"/>
              </w:rPr>
            </w:pPr>
          </w:p>
        </w:tc>
        <w:tc>
          <w:tcPr>
            <w:tcW w:w="413" w:type="pct"/>
            <w:vMerge/>
            <w:vAlign w:val="center"/>
            <w:hideMark/>
          </w:tcPr>
          <w:p w:rsidR="00A0318C" w:rsidRPr="009E1A35" w:rsidP="00A0318C" w14:paraId="7F494258" w14:textId="77777777">
            <w:pPr>
              <w:autoSpaceDE/>
              <w:autoSpaceDN/>
              <w:adjustRightInd/>
              <w:rPr>
                <w:rFonts w:cs="Arial"/>
              </w:rPr>
            </w:pPr>
          </w:p>
        </w:tc>
        <w:tc>
          <w:tcPr>
            <w:tcW w:w="415" w:type="pct"/>
            <w:vMerge/>
            <w:vAlign w:val="center"/>
            <w:hideMark/>
          </w:tcPr>
          <w:p w:rsidR="00A0318C" w:rsidRPr="009E1A35" w:rsidP="00A0318C" w14:paraId="7F494259" w14:textId="77777777">
            <w:pPr>
              <w:autoSpaceDE/>
              <w:autoSpaceDN/>
              <w:adjustRightInd/>
              <w:rPr>
                <w:rFonts w:cs="Arial"/>
              </w:rPr>
            </w:pPr>
          </w:p>
        </w:tc>
        <w:tc>
          <w:tcPr>
            <w:tcW w:w="451" w:type="pct"/>
            <w:vMerge/>
            <w:vAlign w:val="center"/>
            <w:hideMark/>
          </w:tcPr>
          <w:p w:rsidR="00A0318C" w:rsidRPr="009E1A35" w:rsidP="00A0318C" w14:paraId="7F49425A" w14:textId="77777777">
            <w:pPr>
              <w:autoSpaceDE/>
              <w:autoSpaceDN/>
              <w:adjustRightInd/>
              <w:rPr>
                <w:rFonts w:cs="Arial"/>
              </w:rPr>
            </w:pPr>
          </w:p>
        </w:tc>
        <w:tc>
          <w:tcPr>
            <w:tcW w:w="451" w:type="pct"/>
            <w:shd w:val="clear" w:color="000000" w:fill="FFFFFF"/>
            <w:noWrap/>
            <w:vAlign w:val="center"/>
            <w:hideMark/>
          </w:tcPr>
          <w:p w:rsidR="00A0318C" w:rsidRPr="009E1A35" w:rsidP="00C8113D" w14:paraId="7F49425B" w14:textId="77777777">
            <w:pPr>
              <w:autoSpaceDE/>
              <w:autoSpaceDN/>
              <w:adjustRightInd/>
              <w:jc w:val="center"/>
              <w:rPr>
                <w:rFonts w:cs="Arial"/>
                <w:color w:val="000000"/>
              </w:rPr>
            </w:pPr>
            <w:r w:rsidRPr="00ED264D">
              <w:rPr>
                <w:rFonts w:cs="Arial"/>
                <w:color w:val="000000"/>
              </w:rPr>
              <w:t>$55.54</w:t>
            </w:r>
          </w:p>
        </w:tc>
        <w:tc>
          <w:tcPr>
            <w:tcW w:w="414" w:type="pct"/>
            <w:shd w:val="clear" w:color="000000" w:fill="FFFFFF"/>
            <w:noWrap/>
            <w:vAlign w:val="center"/>
            <w:hideMark/>
          </w:tcPr>
          <w:p w:rsidR="00A0318C" w:rsidRPr="009E1A35" w:rsidP="00C8113D" w14:paraId="7F49425C" w14:textId="77777777">
            <w:pPr>
              <w:autoSpaceDE/>
              <w:autoSpaceDN/>
              <w:adjustRightInd/>
              <w:jc w:val="center"/>
              <w:rPr>
                <w:rFonts w:cs="Arial"/>
                <w:color w:val="000000"/>
              </w:rPr>
            </w:pPr>
            <w:r w:rsidRPr="00ED264D">
              <w:rPr>
                <w:rFonts w:cs="Arial"/>
                <w:color w:val="000000"/>
              </w:rPr>
              <w:t>$38.40</w:t>
            </w:r>
          </w:p>
        </w:tc>
        <w:tc>
          <w:tcPr>
            <w:tcW w:w="489" w:type="pct"/>
            <w:shd w:val="clear" w:color="auto" w:fill="auto"/>
            <w:noWrap/>
            <w:vAlign w:val="center"/>
            <w:hideMark/>
          </w:tcPr>
          <w:p w:rsidR="00A0318C" w:rsidRPr="009E1A35" w:rsidP="00C8113D" w14:paraId="7F49425D" w14:textId="77777777">
            <w:pPr>
              <w:autoSpaceDE/>
              <w:autoSpaceDN/>
              <w:adjustRightInd/>
              <w:jc w:val="center"/>
              <w:rPr>
                <w:rFonts w:cs="Arial"/>
                <w:color w:val="000000"/>
              </w:rPr>
            </w:pPr>
            <w:r w:rsidRPr="00ED264D">
              <w:rPr>
                <w:rFonts w:cs="Arial"/>
                <w:color w:val="000000"/>
              </w:rPr>
              <w:t>0%</w:t>
            </w:r>
          </w:p>
        </w:tc>
        <w:tc>
          <w:tcPr>
            <w:tcW w:w="338" w:type="pct"/>
            <w:shd w:val="clear" w:color="auto" w:fill="auto"/>
            <w:noWrap/>
            <w:vAlign w:val="center"/>
            <w:hideMark/>
          </w:tcPr>
          <w:p w:rsidR="00A0318C" w:rsidRPr="009E1A35" w:rsidP="00C8113D" w14:paraId="7F49425E" w14:textId="77777777">
            <w:pPr>
              <w:autoSpaceDE/>
              <w:autoSpaceDN/>
              <w:adjustRightInd/>
              <w:jc w:val="center"/>
              <w:rPr>
                <w:rFonts w:cs="Arial"/>
                <w:color w:val="000000"/>
              </w:rPr>
            </w:pPr>
            <w:r w:rsidRPr="00ED264D">
              <w:rPr>
                <w:rFonts w:cs="Arial"/>
                <w:color w:val="000000"/>
              </w:rPr>
              <w:t>0%</w:t>
            </w:r>
          </w:p>
        </w:tc>
        <w:tc>
          <w:tcPr>
            <w:tcW w:w="376" w:type="pct"/>
            <w:shd w:val="clear" w:color="auto" w:fill="auto"/>
            <w:noWrap/>
            <w:vAlign w:val="center"/>
            <w:hideMark/>
          </w:tcPr>
          <w:p w:rsidR="00A0318C" w:rsidRPr="009E1A35" w:rsidP="00C8113D" w14:paraId="7F49425F" w14:textId="77777777">
            <w:pPr>
              <w:autoSpaceDE/>
              <w:autoSpaceDN/>
              <w:adjustRightInd/>
              <w:jc w:val="center"/>
              <w:rPr>
                <w:rFonts w:cs="Arial"/>
                <w:color w:val="000000"/>
              </w:rPr>
            </w:pPr>
            <w:r w:rsidRPr="00ED264D">
              <w:rPr>
                <w:rFonts w:cs="Arial"/>
                <w:color w:val="000000"/>
              </w:rPr>
              <w:t>10%</w:t>
            </w:r>
          </w:p>
        </w:tc>
      </w:tr>
    </w:tbl>
    <w:p w:rsidR="00A0318C" w:rsidP="00A0318C" w14:paraId="7F494261" w14:textId="77777777">
      <w:pPr>
        <w:ind w:left="360"/>
        <w:contextualSpacing/>
        <w:rPr>
          <w:rFonts w:cs="Arial"/>
        </w:rPr>
      </w:pPr>
    </w:p>
    <w:p w:rsidR="00A0318C" w:rsidRPr="00D96410" w:rsidP="00A0318C" w14:paraId="7F494262" w14:textId="77777777">
      <w:pPr>
        <w:ind w:left="360"/>
        <w:contextualSpacing/>
        <w:rPr>
          <w:rFonts w:cs="Arial"/>
          <w:sz w:val="22"/>
        </w:rPr>
      </w:pPr>
    </w:p>
    <w:p w:rsidR="002C5DA2" w:rsidRPr="00D96410" w:rsidP="00D341C4" w14:paraId="7F494263" w14:textId="44420F1E">
      <w:pPr>
        <w:pStyle w:val="Caption"/>
        <w:keepNext/>
        <w:spacing w:after="0"/>
        <w:jc w:val="center"/>
        <w:rPr>
          <w:b/>
          <w:color w:val="auto"/>
          <w:sz w:val="20"/>
        </w:rPr>
      </w:pPr>
      <w:bookmarkStart w:id="553" w:name="_Toc534710031"/>
      <w:bookmarkStart w:id="554" w:name="_Toc534711716"/>
      <w:bookmarkStart w:id="555" w:name="_Toc534712149"/>
      <w:bookmarkStart w:id="556" w:name="_Toc534712726"/>
      <w:bookmarkStart w:id="557" w:name="_Toc534713235"/>
      <w:bookmarkStart w:id="558" w:name="_Toc9526495"/>
      <w:bookmarkStart w:id="559" w:name="_Toc536603444"/>
      <w:r w:rsidRPr="00D96410">
        <w:rPr>
          <w:b/>
          <w:i w:val="0"/>
          <w:color w:val="auto"/>
          <w:sz w:val="22"/>
        </w:rPr>
        <w:t>Exhibit A</w:t>
      </w:r>
      <w:r w:rsidRPr="00D96410">
        <w:rPr>
          <w:b/>
          <w:i w:val="0"/>
          <w:color w:val="auto"/>
          <w:sz w:val="22"/>
        </w:rPr>
        <w:noBreakHyphen/>
      </w:r>
      <w:r w:rsidRPr="00D96410">
        <w:rPr>
          <w:b/>
          <w:i w:val="0"/>
          <w:color w:val="auto"/>
          <w:sz w:val="22"/>
        </w:rPr>
        <w:fldChar w:fldCharType="begin"/>
      </w:r>
      <w:r w:rsidRPr="00D96410">
        <w:rPr>
          <w:b/>
          <w:i w:val="0"/>
          <w:color w:val="auto"/>
          <w:sz w:val="22"/>
        </w:rPr>
        <w:instrText xml:space="preserve"> SEQ Exhibit \* ARABIC \r 4 </w:instrText>
      </w:r>
      <w:r w:rsidRPr="00D96410">
        <w:rPr>
          <w:b/>
          <w:i w:val="0"/>
          <w:color w:val="auto"/>
          <w:sz w:val="22"/>
        </w:rPr>
        <w:fldChar w:fldCharType="separate"/>
      </w:r>
      <w:r w:rsidR="00977795">
        <w:rPr>
          <w:b/>
          <w:i w:val="0"/>
          <w:noProof/>
          <w:color w:val="auto"/>
          <w:sz w:val="22"/>
        </w:rPr>
        <w:t>4</w:t>
      </w:r>
      <w:r w:rsidRPr="00D96410">
        <w:rPr>
          <w:b/>
          <w:i w:val="0"/>
          <w:color w:val="auto"/>
          <w:sz w:val="22"/>
        </w:rPr>
        <w:fldChar w:fldCharType="end"/>
      </w:r>
      <w:r w:rsidRPr="00D96410">
        <w:rPr>
          <w:b/>
          <w:i w:val="0"/>
          <w:color w:val="auto"/>
          <w:sz w:val="22"/>
        </w:rPr>
        <w:t>c</w:t>
      </w:r>
      <w:r w:rsidRPr="00D96410" w:rsidR="000B0B63">
        <w:rPr>
          <w:b/>
          <w:i w:val="0"/>
          <w:color w:val="auto"/>
          <w:sz w:val="22"/>
        </w:rPr>
        <w:t>.</w:t>
      </w:r>
      <w:r w:rsidRPr="00D96410" w:rsidR="00A0318C">
        <w:rPr>
          <w:b/>
          <w:sz w:val="24"/>
        </w:rPr>
        <w:t xml:space="preserve"> </w:t>
      </w:r>
      <w:r w:rsidRPr="00D96410">
        <w:rPr>
          <w:b/>
          <w:i w:val="0"/>
          <w:color w:val="auto"/>
          <w:sz w:val="22"/>
        </w:rPr>
        <w:t>Licensee Operation Costs of the Final Rule</w:t>
      </w:r>
      <w:bookmarkEnd w:id="553"/>
      <w:bookmarkEnd w:id="554"/>
      <w:bookmarkEnd w:id="555"/>
      <w:bookmarkEnd w:id="556"/>
      <w:bookmarkEnd w:id="557"/>
      <w:bookmarkEnd w:id="558"/>
      <w:bookmarkEnd w:id="559"/>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1796"/>
        <w:gridCol w:w="2048"/>
        <w:gridCol w:w="2160"/>
        <w:gridCol w:w="2160"/>
      </w:tblGrid>
      <w:tr w14:paraId="7F494266" w14:textId="77777777" w:rsidTr="00D96410">
        <w:tblPrEx>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0"/>
          <w:tblHeader/>
          <w:jc w:val="center"/>
        </w:trPr>
        <w:tc>
          <w:tcPr>
            <w:tcW w:w="3171" w:type="dxa"/>
            <w:vMerge w:val="restart"/>
            <w:shd w:val="clear" w:color="auto" w:fill="auto"/>
            <w:vAlign w:val="center"/>
            <w:hideMark/>
          </w:tcPr>
          <w:p w:rsidR="00A0318C" w:rsidRPr="00BE7175" w:rsidP="00C8113D" w14:paraId="7F494264" w14:textId="77777777">
            <w:pPr>
              <w:keepNext/>
              <w:autoSpaceDE/>
              <w:autoSpaceDN/>
              <w:adjustRightInd/>
              <w:jc w:val="center"/>
              <w:rPr>
                <w:rFonts w:cs="Arial"/>
                <w:b/>
                <w:bCs/>
              </w:rPr>
            </w:pPr>
            <w:r w:rsidRPr="00BE7175">
              <w:rPr>
                <w:rFonts w:cs="Arial"/>
                <w:b/>
                <w:bCs/>
              </w:rPr>
              <w:t>Post-Rule Process Steps</w:t>
            </w:r>
          </w:p>
        </w:tc>
        <w:tc>
          <w:tcPr>
            <w:tcW w:w="8164" w:type="dxa"/>
            <w:gridSpan w:val="4"/>
            <w:shd w:val="clear" w:color="auto" w:fill="auto"/>
            <w:noWrap/>
            <w:vAlign w:val="center"/>
            <w:hideMark/>
          </w:tcPr>
          <w:p w:rsidR="00A0318C" w:rsidRPr="00BE7175" w:rsidP="00C8113D" w14:paraId="7F494265" w14:textId="77777777">
            <w:pPr>
              <w:keepNext/>
              <w:autoSpaceDE/>
              <w:autoSpaceDN/>
              <w:adjustRightInd/>
              <w:jc w:val="center"/>
              <w:rPr>
                <w:rFonts w:cs="Arial"/>
                <w:b/>
                <w:bCs/>
                <w:color w:val="000000"/>
              </w:rPr>
            </w:pPr>
            <w:r w:rsidRPr="00BE7175">
              <w:rPr>
                <w:rFonts w:cs="Arial"/>
                <w:b/>
                <w:bCs/>
                <w:color w:val="000000"/>
              </w:rPr>
              <w:t>Cost per Category</w:t>
            </w:r>
          </w:p>
        </w:tc>
      </w:tr>
      <w:tr w14:paraId="7F49426C" w14:textId="77777777" w:rsidTr="00D96410">
        <w:tblPrEx>
          <w:tblW w:w="11335" w:type="dxa"/>
          <w:jc w:val="center"/>
          <w:tblLook w:val="04A0"/>
        </w:tblPrEx>
        <w:trPr>
          <w:trHeight w:val="1226"/>
          <w:tblHeader/>
          <w:jc w:val="center"/>
        </w:trPr>
        <w:tc>
          <w:tcPr>
            <w:tcW w:w="3171" w:type="dxa"/>
            <w:vMerge/>
            <w:vAlign w:val="center"/>
            <w:hideMark/>
          </w:tcPr>
          <w:p w:rsidR="00A47352" w:rsidRPr="00BE7175" w:rsidP="00A0318C" w14:paraId="7F494267" w14:textId="77777777">
            <w:pPr>
              <w:autoSpaceDE/>
              <w:autoSpaceDN/>
              <w:adjustRightInd/>
              <w:rPr>
                <w:rFonts w:cs="Arial"/>
                <w:b/>
                <w:bCs/>
              </w:rPr>
            </w:pPr>
          </w:p>
        </w:tc>
        <w:tc>
          <w:tcPr>
            <w:tcW w:w="1796" w:type="dxa"/>
            <w:shd w:val="clear" w:color="auto" w:fill="auto"/>
            <w:noWrap/>
            <w:vAlign w:val="center"/>
            <w:hideMark/>
          </w:tcPr>
          <w:p w:rsidR="00A47352" w:rsidRPr="00BE7175" w:rsidP="00A0318C" w14:paraId="7F494268" w14:textId="77777777">
            <w:pPr>
              <w:autoSpaceDE/>
              <w:autoSpaceDN/>
              <w:adjustRightInd/>
              <w:jc w:val="center"/>
              <w:rPr>
                <w:rFonts w:cs="Arial"/>
                <w:b/>
                <w:bCs/>
                <w:color w:val="000000"/>
              </w:rPr>
            </w:pPr>
            <w:r w:rsidRPr="00BE7175">
              <w:rPr>
                <w:rFonts w:cs="Arial"/>
                <w:b/>
                <w:bCs/>
                <w:color w:val="000000"/>
              </w:rPr>
              <w:t>Low</w:t>
            </w:r>
          </w:p>
        </w:tc>
        <w:tc>
          <w:tcPr>
            <w:tcW w:w="2048" w:type="dxa"/>
            <w:shd w:val="clear" w:color="auto" w:fill="auto"/>
            <w:noWrap/>
            <w:vAlign w:val="center"/>
            <w:hideMark/>
          </w:tcPr>
          <w:p w:rsidR="00A47352" w:rsidRPr="00BE7175" w:rsidP="00A0318C" w14:paraId="7F494269" w14:textId="77777777">
            <w:pPr>
              <w:autoSpaceDE/>
              <w:autoSpaceDN/>
              <w:adjustRightInd/>
              <w:jc w:val="center"/>
              <w:rPr>
                <w:rFonts w:cs="Arial"/>
                <w:b/>
                <w:bCs/>
                <w:color w:val="000000"/>
              </w:rPr>
            </w:pPr>
            <w:r w:rsidRPr="00BE7175">
              <w:rPr>
                <w:rFonts w:cs="Arial"/>
                <w:b/>
                <w:bCs/>
                <w:color w:val="000000"/>
              </w:rPr>
              <w:t>Medium</w:t>
            </w:r>
          </w:p>
        </w:tc>
        <w:tc>
          <w:tcPr>
            <w:tcW w:w="2160" w:type="dxa"/>
            <w:shd w:val="clear" w:color="auto" w:fill="auto"/>
            <w:noWrap/>
            <w:vAlign w:val="center"/>
            <w:hideMark/>
          </w:tcPr>
          <w:p w:rsidR="00A47352" w:rsidRPr="00BE7175" w:rsidP="00A0318C" w14:paraId="7F49426A" w14:textId="77777777">
            <w:pPr>
              <w:autoSpaceDE/>
              <w:autoSpaceDN/>
              <w:adjustRightInd/>
              <w:jc w:val="center"/>
              <w:rPr>
                <w:rFonts w:cs="Arial"/>
                <w:b/>
                <w:bCs/>
                <w:color w:val="000000"/>
              </w:rPr>
            </w:pPr>
            <w:r w:rsidRPr="00BE7175">
              <w:rPr>
                <w:rFonts w:cs="Arial"/>
                <w:b/>
                <w:bCs/>
                <w:color w:val="000000"/>
              </w:rPr>
              <w:t>High</w:t>
            </w:r>
          </w:p>
        </w:tc>
        <w:tc>
          <w:tcPr>
            <w:tcW w:w="2160" w:type="dxa"/>
            <w:shd w:val="clear" w:color="auto" w:fill="auto"/>
            <w:noWrap/>
            <w:vAlign w:val="center"/>
            <w:hideMark/>
          </w:tcPr>
          <w:p w:rsidR="00A47352" w:rsidRPr="00BE7175" w:rsidP="00A0318C" w14:paraId="7F49426B" w14:textId="77777777">
            <w:pPr>
              <w:autoSpaceDE/>
              <w:autoSpaceDN/>
              <w:adjustRightInd/>
              <w:jc w:val="center"/>
              <w:rPr>
                <w:rFonts w:cs="Arial"/>
                <w:b/>
                <w:bCs/>
                <w:color w:val="000000"/>
              </w:rPr>
            </w:pPr>
            <w:r w:rsidRPr="00BE7175">
              <w:rPr>
                <w:rFonts w:cs="Arial"/>
                <w:b/>
                <w:bCs/>
                <w:color w:val="000000"/>
              </w:rPr>
              <w:t>Other NPUFs</w:t>
            </w:r>
          </w:p>
        </w:tc>
      </w:tr>
      <w:tr w14:paraId="7F49426E" w14:textId="77777777" w:rsidTr="00D96410">
        <w:tblPrEx>
          <w:tblW w:w="11335" w:type="dxa"/>
          <w:jc w:val="center"/>
          <w:tblLook w:val="04A0"/>
        </w:tblPrEx>
        <w:trPr>
          <w:trHeight w:val="390"/>
          <w:tblHeader/>
          <w:jc w:val="center"/>
        </w:trPr>
        <w:tc>
          <w:tcPr>
            <w:tcW w:w="11335" w:type="dxa"/>
            <w:gridSpan w:val="5"/>
            <w:shd w:val="clear" w:color="000000" w:fill="D9D9D9"/>
            <w:vAlign w:val="center"/>
            <w:hideMark/>
          </w:tcPr>
          <w:p w:rsidR="00A0318C" w:rsidRPr="00BE7175" w:rsidP="00A0318C" w14:paraId="7F49426D" w14:textId="77777777">
            <w:pPr>
              <w:autoSpaceDE/>
              <w:autoSpaceDN/>
              <w:adjustRightInd/>
              <w:jc w:val="center"/>
              <w:rPr>
                <w:rFonts w:cs="Arial"/>
                <w:b/>
                <w:bCs/>
                <w:color w:val="000000"/>
              </w:rPr>
            </w:pPr>
            <w:r>
              <w:rPr>
                <w:rFonts w:cs="Arial"/>
                <w:b/>
                <w:bCs/>
                <w:color w:val="000000"/>
              </w:rPr>
              <w:t>Licensee</w:t>
            </w:r>
            <w:r w:rsidRPr="00BE7175">
              <w:rPr>
                <w:rFonts w:cs="Arial"/>
                <w:b/>
                <w:bCs/>
                <w:color w:val="000000"/>
              </w:rPr>
              <w:t xml:space="preserve"> Operation (Ongoing) Costs</w:t>
            </w:r>
          </w:p>
        </w:tc>
      </w:tr>
      <w:tr w14:paraId="7F494278" w14:textId="77777777" w:rsidTr="00D96410">
        <w:tblPrEx>
          <w:tblW w:w="11335" w:type="dxa"/>
          <w:jc w:val="center"/>
          <w:tblLook w:val="04A0"/>
        </w:tblPrEx>
        <w:trPr>
          <w:trHeight w:val="390"/>
          <w:jc w:val="center"/>
        </w:trPr>
        <w:tc>
          <w:tcPr>
            <w:tcW w:w="3171" w:type="dxa"/>
            <w:vMerge w:val="restart"/>
            <w:shd w:val="clear" w:color="auto" w:fill="auto"/>
            <w:vAlign w:val="center"/>
            <w:hideMark/>
          </w:tcPr>
          <w:p w:rsidR="00B22733" w14:paraId="7F49426F" w14:textId="77777777">
            <w:pPr>
              <w:autoSpaceDE/>
              <w:autoSpaceDN/>
              <w:adjustRightInd/>
              <w:jc w:val="center"/>
              <w:rPr>
                <w:rFonts w:cs="Arial"/>
                <w:b/>
                <w:bCs/>
              </w:rPr>
            </w:pPr>
            <w:r w:rsidRPr="00BE7175">
              <w:rPr>
                <w:rFonts w:cs="Arial"/>
                <w:b/>
                <w:bCs/>
              </w:rPr>
              <w:t>Preparing Updated</w:t>
            </w:r>
          </w:p>
          <w:p w:rsidR="00E44505" w:rsidP="000B7903" w14:paraId="7F494270" w14:textId="77777777">
            <w:pPr>
              <w:autoSpaceDE/>
              <w:autoSpaceDN/>
              <w:adjustRightInd/>
              <w:jc w:val="center"/>
              <w:rPr>
                <w:rFonts w:cs="Arial"/>
                <w:b/>
                <w:bCs/>
              </w:rPr>
            </w:pPr>
          </w:p>
          <w:p w:rsidR="00E44505" w:rsidP="000B7903" w14:paraId="7F494271" w14:textId="77777777">
            <w:pPr>
              <w:autoSpaceDE/>
              <w:autoSpaceDN/>
              <w:adjustRightInd/>
              <w:jc w:val="center"/>
              <w:rPr>
                <w:rFonts w:cs="Arial"/>
                <w:b/>
                <w:bCs/>
              </w:rPr>
            </w:pPr>
          </w:p>
          <w:p w:rsidR="00E44505" w:rsidP="000B7903" w14:paraId="7F494272" w14:textId="77777777">
            <w:pPr>
              <w:autoSpaceDE/>
              <w:autoSpaceDN/>
              <w:adjustRightInd/>
              <w:jc w:val="center"/>
              <w:rPr>
                <w:rFonts w:cs="Arial"/>
                <w:b/>
                <w:bCs/>
              </w:rPr>
            </w:pPr>
          </w:p>
          <w:p w:rsidR="00A0318C" w:rsidRPr="00BE7175" w14:paraId="7F494273" w14:textId="77777777">
            <w:pPr>
              <w:autoSpaceDE/>
              <w:autoSpaceDN/>
              <w:adjustRightInd/>
              <w:jc w:val="center"/>
              <w:rPr>
                <w:rFonts w:cs="Arial"/>
                <w:b/>
                <w:bCs/>
              </w:rPr>
            </w:pPr>
            <w:r w:rsidRPr="00BE7175">
              <w:rPr>
                <w:rFonts w:cs="Arial"/>
                <w:b/>
                <w:bCs/>
              </w:rPr>
              <w:t>FSAR Initial Update</w:t>
            </w:r>
          </w:p>
        </w:tc>
        <w:tc>
          <w:tcPr>
            <w:tcW w:w="1796" w:type="dxa"/>
            <w:shd w:val="clear" w:color="auto" w:fill="auto"/>
            <w:noWrap/>
            <w:vAlign w:val="center"/>
            <w:hideMark/>
          </w:tcPr>
          <w:p w:rsidR="00A0318C" w:rsidRPr="00BE7175" w:rsidP="00C8113D" w14:paraId="7F494274" w14:textId="77777777">
            <w:pPr>
              <w:autoSpaceDE/>
              <w:autoSpaceDN/>
              <w:adjustRightInd/>
              <w:jc w:val="center"/>
              <w:rPr>
                <w:rFonts w:cs="Arial"/>
                <w:color w:val="000000"/>
              </w:rPr>
            </w:pPr>
            <w:r>
              <w:rPr>
                <w:rFonts w:cs="Arial"/>
                <w:color w:val="000000"/>
              </w:rPr>
              <w:t>(</w:t>
            </w:r>
            <w:r w:rsidRPr="00761217">
              <w:rPr>
                <w:rFonts w:cs="Arial"/>
                <w:color w:val="000000"/>
              </w:rPr>
              <w:t>$1,926</w:t>
            </w:r>
            <w:r>
              <w:rPr>
                <w:rFonts w:cs="Arial"/>
                <w:color w:val="000000"/>
              </w:rPr>
              <w:t>)</w:t>
            </w:r>
          </w:p>
        </w:tc>
        <w:tc>
          <w:tcPr>
            <w:tcW w:w="2048" w:type="dxa"/>
            <w:shd w:val="clear" w:color="auto" w:fill="auto"/>
            <w:noWrap/>
            <w:vAlign w:val="center"/>
            <w:hideMark/>
          </w:tcPr>
          <w:p w:rsidR="00A0318C" w:rsidRPr="00BE7175" w:rsidP="00C8113D" w14:paraId="7F494275" w14:textId="77777777">
            <w:pPr>
              <w:autoSpaceDE/>
              <w:autoSpaceDN/>
              <w:adjustRightInd/>
              <w:jc w:val="center"/>
              <w:rPr>
                <w:rFonts w:cs="Arial"/>
                <w:color w:val="000000"/>
              </w:rPr>
            </w:pPr>
            <w:r>
              <w:rPr>
                <w:rFonts w:cs="Arial"/>
                <w:color w:val="000000"/>
              </w:rPr>
              <w:t>(</w:t>
            </w:r>
            <w:r w:rsidRPr="00761217">
              <w:rPr>
                <w:rFonts w:cs="Arial"/>
                <w:color w:val="000000"/>
              </w:rPr>
              <w:t>$2,889</w:t>
            </w:r>
            <w:r>
              <w:rPr>
                <w:rFonts w:cs="Arial"/>
                <w:color w:val="000000"/>
              </w:rPr>
              <w:t>)</w:t>
            </w:r>
          </w:p>
        </w:tc>
        <w:tc>
          <w:tcPr>
            <w:tcW w:w="2160" w:type="dxa"/>
            <w:shd w:val="clear" w:color="auto" w:fill="auto"/>
            <w:noWrap/>
            <w:vAlign w:val="center"/>
            <w:hideMark/>
          </w:tcPr>
          <w:p w:rsidR="00A0318C" w:rsidRPr="00BE7175" w:rsidP="00C8113D" w14:paraId="7F494276" w14:textId="77777777">
            <w:pPr>
              <w:autoSpaceDE/>
              <w:autoSpaceDN/>
              <w:adjustRightInd/>
              <w:jc w:val="center"/>
              <w:rPr>
                <w:rFonts w:cs="Arial"/>
                <w:color w:val="000000"/>
              </w:rPr>
            </w:pPr>
            <w:r>
              <w:rPr>
                <w:rFonts w:cs="Arial"/>
                <w:color w:val="000000"/>
              </w:rPr>
              <w:t>(</w:t>
            </w:r>
            <w:r w:rsidRPr="00761217">
              <w:rPr>
                <w:rFonts w:cs="Arial"/>
                <w:color w:val="000000"/>
              </w:rPr>
              <w:t>$4,476</w:t>
            </w:r>
            <w:r>
              <w:rPr>
                <w:rFonts w:cs="Arial"/>
                <w:color w:val="000000"/>
              </w:rPr>
              <w:t>)</w:t>
            </w:r>
          </w:p>
        </w:tc>
        <w:tc>
          <w:tcPr>
            <w:tcW w:w="2160" w:type="dxa"/>
            <w:shd w:val="clear" w:color="auto" w:fill="auto"/>
            <w:noWrap/>
            <w:vAlign w:val="center"/>
            <w:hideMark/>
          </w:tcPr>
          <w:p w:rsidR="00A0318C" w:rsidRPr="00BE7175" w:rsidP="00C8113D" w14:paraId="7F494277" w14:textId="77777777">
            <w:pPr>
              <w:autoSpaceDE/>
              <w:autoSpaceDN/>
              <w:adjustRightInd/>
              <w:jc w:val="center"/>
              <w:rPr>
                <w:rFonts w:cs="Arial"/>
                <w:color w:val="000000"/>
              </w:rPr>
            </w:pPr>
            <w:r>
              <w:rPr>
                <w:rFonts w:cs="Arial"/>
                <w:color w:val="000000"/>
              </w:rPr>
              <w:t>(</w:t>
            </w:r>
            <w:r w:rsidRPr="00761217">
              <w:rPr>
                <w:rFonts w:cs="Arial"/>
                <w:color w:val="000000"/>
              </w:rPr>
              <w:t>$10,061</w:t>
            </w:r>
            <w:r>
              <w:rPr>
                <w:rFonts w:cs="Arial"/>
                <w:color w:val="000000"/>
              </w:rPr>
              <w:t>)</w:t>
            </w:r>
          </w:p>
        </w:tc>
      </w:tr>
      <w:tr w14:paraId="7F49427E"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79" w14:textId="77777777">
            <w:pPr>
              <w:autoSpaceDE/>
              <w:autoSpaceDN/>
              <w:adjustRightInd/>
              <w:jc w:val="center"/>
              <w:rPr>
                <w:rFonts w:cs="Arial"/>
                <w:b/>
                <w:bCs/>
              </w:rPr>
            </w:pPr>
          </w:p>
        </w:tc>
        <w:tc>
          <w:tcPr>
            <w:tcW w:w="1796" w:type="dxa"/>
            <w:shd w:val="clear" w:color="auto" w:fill="auto"/>
            <w:noWrap/>
            <w:vAlign w:val="center"/>
            <w:hideMark/>
          </w:tcPr>
          <w:p w:rsidR="00A0318C" w:rsidRPr="00BE7175" w:rsidP="00C8113D" w14:paraId="7F49427A" w14:textId="77777777">
            <w:pPr>
              <w:autoSpaceDE/>
              <w:autoSpaceDN/>
              <w:adjustRightInd/>
              <w:jc w:val="center"/>
              <w:rPr>
                <w:rFonts w:cs="Arial"/>
                <w:color w:val="000000"/>
              </w:rPr>
            </w:pPr>
            <w:r>
              <w:rPr>
                <w:rFonts w:cs="Arial"/>
                <w:color w:val="000000"/>
              </w:rPr>
              <w:t>(</w:t>
            </w:r>
            <w:r w:rsidRPr="00761217">
              <w:rPr>
                <w:rFonts w:cs="Arial"/>
                <w:color w:val="000000"/>
              </w:rPr>
              <w:t>$9,929</w:t>
            </w:r>
            <w:r>
              <w:rPr>
                <w:rFonts w:cs="Arial"/>
                <w:color w:val="000000"/>
              </w:rPr>
              <w:t>)</w:t>
            </w:r>
          </w:p>
        </w:tc>
        <w:tc>
          <w:tcPr>
            <w:tcW w:w="2048" w:type="dxa"/>
            <w:shd w:val="clear" w:color="auto" w:fill="auto"/>
            <w:noWrap/>
            <w:vAlign w:val="center"/>
            <w:hideMark/>
          </w:tcPr>
          <w:p w:rsidR="00A0318C" w:rsidRPr="00BE7175" w:rsidP="00C8113D" w14:paraId="7F49427B" w14:textId="77777777">
            <w:pPr>
              <w:autoSpaceDE/>
              <w:autoSpaceDN/>
              <w:adjustRightInd/>
              <w:jc w:val="center"/>
              <w:rPr>
                <w:rFonts w:cs="Arial"/>
                <w:color w:val="000000"/>
              </w:rPr>
            </w:pPr>
            <w:r>
              <w:rPr>
                <w:rFonts w:cs="Arial"/>
                <w:color w:val="000000"/>
              </w:rPr>
              <w:t>(</w:t>
            </w:r>
            <w:r w:rsidRPr="00761217">
              <w:rPr>
                <w:rFonts w:cs="Arial"/>
                <w:color w:val="000000"/>
              </w:rPr>
              <w:t>$14,893</w:t>
            </w:r>
            <w:r>
              <w:rPr>
                <w:rFonts w:cs="Arial"/>
                <w:color w:val="000000"/>
              </w:rPr>
              <w:t>)</w:t>
            </w:r>
          </w:p>
        </w:tc>
        <w:tc>
          <w:tcPr>
            <w:tcW w:w="2160" w:type="dxa"/>
            <w:shd w:val="clear" w:color="auto" w:fill="auto"/>
            <w:noWrap/>
            <w:vAlign w:val="center"/>
            <w:hideMark/>
          </w:tcPr>
          <w:p w:rsidR="00A0318C" w:rsidRPr="00BE7175" w:rsidP="00C8113D" w14:paraId="7F49427C" w14:textId="77777777">
            <w:pPr>
              <w:autoSpaceDE/>
              <w:autoSpaceDN/>
              <w:adjustRightInd/>
              <w:jc w:val="center"/>
              <w:rPr>
                <w:rFonts w:cs="Arial"/>
                <w:color w:val="000000"/>
              </w:rPr>
            </w:pPr>
            <w:r>
              <w:rPr>
                <w:rFonts w:cs="Arial"/>
                <w:color w:val="000000"/>
              </w:rPr>
              <w:t>(</w:t>
            </w:r>
            <w:r w:rsidRPr="00761217">
              <w:rPr>
                <w:rFonts w:cs="Arial"/>
                <w:color w:val="000000"/>
              </w:rPr>
              <w:t>$24,992</w:t>
            </w:r>
            <w:r>
              <w:rPr>
                <w:rFonts w:cs="Arial"/>
                <w:color w:val="000000"/>
              </w:rPr>
              <w:t>)</w:t>
            </w:r>
          </w:p>
        </w:tc>
        <w:tc>
          <w:tcPr>
            <w:tcW w:w="2160" w:type="dxa"/>
            <w:shd w:val="clear" w:color="auto" w:fill="auto"/>
            <w:noWrap/>
            <w:vAlign w:val="center"/>
            <w:hideMark/>
          </w:tcPr>
          <w:p w:rsidR="00A0318C" w:rsidRPr="00BE7175" w:rsidP="00C8113D" w14:paraId="7F49427D" w14:textId="77777777">
            <w:pPr>
              <w:autoSpaceDE/>
              <w:autoSpaceDN/>
              <w:adjustRightInd/>
              <w:jc w:val="center"/>
              <w:rPr>
                <w:rFonts w:cs="Arial"/>
                <w:color w:val="000000"/>
              </w:rPr>
            </w:pPr>
            <w:r>
              <w:rPr>
                <w:rFonts w:cs="Arial"/>
                <w:color w:val="000000"/>
              </w:rPr>
              <w:t>(</w:t>
            </w:r>
            <w:r w:rsidRPr="00761217">
              <w:rPr>
                <w:rFonts w:cs="Arial"/>
                <w:color w:val="000000"/>
              </w:rPr>
              <w:t>$13,315</w:t>
            </w:r>
            <w:r>
              <w:rPr>
                <w:rFonts w:cs="Arial"/>
                <w:color w:val="000000"/>
              </w:rPr>
              <w:t>)</w:t>
            </w:r>
          </w:p>
        </w:tc>
      </w:tr>
      <w:tr w14:paraId="7F494284"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7F" w14:textId="77777777">
            <w:pPr>
              <w:autoSpaceDE/>
              <w:autoSpaceDN/>
              <w:adjustRightInd/>
              <w:jc w:val="center"/>
              <w:rPr>
                <w:rFonts w:cs="Arial"/>
                <w:b/>
                <w:bCs/>
              </w:rPr>
            </w:pPr>
          </w:p>
        </w:tc>
        <w:tc>
          <w:tcPr>
            <w:tcW w:w="1796" w:type="dxa"/>
            <w:shd w:val="clear" w:color="auto" w:fill="auto"/>
            <w:noWrap/>
            <w:vAlign w:val="center"/>
            <w:hideMark/>
          </w:tcPr>
          <w:p w:rsidR="00A0318C" w:rsidRPr="00BE7175" w:rsidP="00C8113D" w14:paraId="7F494280"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048" w:type="dxa"/>
            <w:shd w:val="clear" w:color="auto" w:fill="auto"/>
            <w:noWrap/>
            <w:vAlign w:val="center"/>
            <w:hideMark/>
          </w:tcPr>
          <w:p w:rsidR="00A0318C" w:rsidRPr="00BE7175" w:rsidP="00C8113D" w14:paraId="7F494281"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160" w:type="dxa"/>
            <w:shd w:val="clear" w:color="auto" w:fill="auto"/>
            <w:noWrap/>
            <w:vAlign w:val="center"/>
            <w:hideMark/>
          </w:tcPr>
          <w:p w:rsidR="00A0318C" w:rsidRPr="00BE7175" w:rsidP="00C8113D" w14:paraId="7F494282" w14:textId="77777777">
            <w:pPr>
              <w:autoSpaceDE/>
              <w:autoSpaceDN/>
              <w:adjustRightInd/>
              <w:jc w:val="center"/>
              <w:rPr>
                <w:rFonts w:cs="Arial"/>
                <w:color w:val="000000"/>
              </w:rPr>
            </w:pPr>
            <w:r>
              <w:rPr>
                <w:rFonts w:cs="Arial"/>
                <w:color w:val="000000"/>
              </w:rPr>
              <w:t>(</w:t>
            </w:r>
            <w:r w:rsidRPr="00761217">
              <w:rPr>
                <w:rFonts w:cs="Arial"/>
                <w:color w:val="000000"/>
              </w:rPr>
              <w:t>$6,520</w:t>
            </w:r>
            <w:r>
              <w:rPr>
                <w:rFonts w:cs="Arial"/>
                <w:color w:val="000000"/>
              </w:rPr>
              <w:t>)</w:t>
            </w:r>
          </w:p>
        </w:tc>
        <w:tc>
          <w:tcPr>
            <w:tcW w:w="2160" w:type="dxa"/>
            <w:shd w:val="clear" w:color="auto" w:fill="auto"/>
            <w:noWrap/>
            <w:vAlign w:val="center"/>
            <w:hideMark/>
          </w:tcPr>
          <w:p w:rsidR="00A0318C" w:rsidRPr="00BE7175" w:rsidP="00C8113D" w14:paraId="7F494283" w14:textId="77777777">
            <w:pPr>
              <w:autoSpaceDE/>
              <w:autoSpaceDN/>
              <w:adjustRightInd/>
              <w:jc w:val="center"/>
              <w:rPr>
                <w:rFonts w:cs="Arial"/>
                <w:color w:val="000000"/>
              </w:rPr>
            </w:pPr>
            <w:r>
              <w:rPr>
                <w:rFonts w:cs="Arial"/>
                <w:color w:val="000000"/>
              </w:rPr>
              <w:t>(</w:t>
            </w:r>
            <w:r w:rsidRPr="00761217">
              <w:rPr>
                <w:rFonts w:cs="Arial"/>
                <w:color w:val="000000"/>
              </w:rPr>
              <w:t>$16,007</w:t>
            </w:r>
            <w:r>
              <w:rPr>
                <w:rFonts w:cs="Arial"/>
                <w:color w:val="000000"/>
              </w:rPr>
              <w:t>)</w:t>
            </w:r>
          </w:p>
        </w:tc>
      </w:tr>
      <w:tr w14:paraId="7F49428A"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85" w14:textId="77777777">
            <w:pPr>
              <w:autoSpaceDE/>
              <w:autoSpaceDN/>
              <w:adjustRightInd/>
              <w:jc w:val="center"/>
              <w:rPr>
                <w:rFonts w:cs="Arial"/>
                <w:b/>
                <w:bCs/>
              </w:rPr>
            </w:pPr>
          </w:p>
        </w:tc>
        <w:tc>
          <w:tcPr>
            <w:tcW w:w="1796" w:type="dxa"/>
            <w:shd w:val="clear" w:color="auto" w:fill="auto"/>
            <w:noWrap/>
            <w:vAlign w:val="center"/>
            <w:hideMark/>
          </w:tcPr>
          <w:p w:rsidR="00A0318C" w:rsidRPr="00BE7175" w:rsidP="00C8113D" w14:paraId="7F494286" w14:textId="77777777">
            <w:pPr>
              <w:autoSpaceDE/>
              <w:autoSpaceDN/>
              <w:adjustRightInd/>
              <w:jc w:val="center"/>
              <w:rPr>
                <w:rFonts w:cs="Arial"/>
                <w:color w:val="000000"/>
              </w:rPr>
            </w:pPr>
            <w:r>
              <w:rPr>
                <w:rFonts w:cs="Arial"/>
                <w:color w:val="000000"/>
              </w:rPr>
              <w:t>(</w:t>
            </w:r>
            <w:r w:rsidRPr="00761217">
              <w:rPr>
                <w:rFonts w:cs="Arial"/>
                <w:color w:val="000000"/>
              </w:rPr>
              <w:t>$1,985</w:t>
            </w:r>
            <w:r>
              <w:rPr>
                <w:rFonts w:cs="Arial"/>
                <w:color w:val="000000"/>
              </w:rPr>
              <w:t>)</w:t>
            </w:r>
          </w:p>
        </w:tc>
        <w:tc>
          <w:tcPr>
            <w:tcW w:w="2048" w:type="dxa"/>
            <w:shd w:val="clear" w:color="auto" w:fill="auto"/>
            <w:noWrap/>
            <w:vAlign w:val="center"/>
            <w:hideMark/>
          </w:tcPr>
          <w:p w:rsidR="00A0318C" w:rsidRPr="00BE7175" w:rsidP="00C8113D" w14:paraId="7F494287" w14:textId="77777777">
            <w:pPr>
              <w:autoSpaceDE/>
              <w:autoSpaceDN/>
              <w:adjustRightInd/>
              <w:jc w:val="center"/>
              <w:rPr>
                <w:rFonts w:cs="Arial"/>
                <w:color w:val="000000"/>
              </w:rPr>
            </w:pPr>
            <w:r>
              <w:rPr>
                <w:rFonts w:cs="Arial"/>
                <w:color w:val="000000"/>
              </w:rPr>
              <w:t>(</w:t>
            </w:r>
            <w:r w:rsidRPr="00761217">
              <w:rPr>
                <w:rFonts w:cs="Arial"/>
                <w:color w:val="000000"/>
              </w:rPr>
              <w:t>$2,977</w:t>
            </w:r>
            <w:r>
              <w:rPr>
                <w:rFonts w:cs="Arial"/>
                <w:color w:val="000000"/>
              </w:rPr>
              <w:t>)</w:t>
            </w:r>
          </w:p>
        </w:tc>
        <w:tc>
          <w:tcPr>
            <w:tcW w:w="2160" w:type="dxa"/>
            <w:shd w:val="clear" w:color="auto" w:fill="auto"/>
            <w:noWrap/>
            <w:vAlign w:val="center"/>
            <w:hideMark/>
          </w:tcPr>
          <w:p w:rsidR="00A0318C" w:rsidRPr="00BE7175" w:rsidP="00C8113D" w14:paraId="7F494288" w14:textId="77777777">
            <w:pPr>
              <w:autoSpaceDE/>
              <w:autoSpaceDN/>
              <w:adjustRightInd/>
              <w:jc w:val="center"/>
              <w:rPr>
                <w:rFonts w:cs="Arial"/>
                <w:color w:val="000000"/>
              </w:rPr>
            </w:pPr>
            <w:r>
              <w:rPr>
                <w:rFonts w:cs="Arial"/>
                <w:color w:val="000000"/>
              </w:rPr>
              <w:t>(</w:t>
            </w:r>
            <w:r w:rsidRPr="00761217">
              <w:rPr>
                <w:rFonts w:cs="Arial"/>
                <w:color w:val="000000"/>
              </w:rPr>
              <w:t>$769</w:t>
            </w:r>
            <w:r>
              <w:rPr>
                <w:rFonts w:cs="Arial"/>
                <w:color w:val="000000"/>
              </w:rPr>
              <w:t>)</w:t>
            </w:r>
          </w:p>
        </w:tc>
        <w:tc>
          <w:tcPr>
            <w:tcW w:w="2160" w:type="dxa"/>
            <w:shd w:val="clear" w:color="auto" w:fill="auto"/>
            <w:noWrap/>
            <w:vAlign w:val="center"/>
            <w:hideMark/>
          </w:tcPr>
          <w:p w:rsidR="00A0318C" w:rsidRPr="00BE7175" w:rsidP="00C8113D" w14:paraId="7F494289"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r>
      <w:tr w14:paraId="7F494290"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8B" w14:textId="77777777">
            <w:pPr>
              <w:autoSpaceDE/>
              <w:autoSpaceDN/>
              <w:adjustRightInd/>
              <w:jc w:val="center"/>
              <w:rPr>
                <w:rFonts w:cs="Arial"/>
                <w:b/>
                <w:bCs/>
              </w:rPr>
            </w:pPr>
          </w:p>
        </w:tc>
        <w:tc>
          <w:tcPr>
            <w:tcW w:w="1796" w:type="dxa"/>
            <w:shd w:val="clear" w:color="auto" w:fill="auto"/>
            <w:noWrap/>
            <w:vAlign w:val="center"/>
            <w:hideMark/>
          </w:tcPr>
          <w:p w:rsidR="00A0318C" w:rsidRPr="00BE7175" w:rsidP="00C8113D" w14:paraId="7F49428C"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048" w:type="dxa"/>
            <w:shd w:val="clear" w:color="auto" w:fill="auto"/>
            <w:noWrap/>
            <w:vAlign w:val="center"/>
            <w:hideMark/>
          </w:tcPr>
          <w:p w:rsidR="00A0318C" w:rsidRPr="00BE7175" w:rsidP="00C8113D" w14:paraId="7F49428D"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160" w:type="dxa"/>
            <w:shd w:val="clear" w:color="auto" w:fill="auto"/>
            <w:noWrap/>
            <w:vAlign w:val="center"/>
            <w:hideMark/>
          </w:tcPr>
          <w:p w:rsidR="00A0318C" w:rsidRPr="00BE7175" w:rsidP="00C8113D" w14:paraId="7F49428E"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160" w:type="dxa"/>
            <w:shd w:val="clear" w:color="auto" w:fill="auto"/>
            <w:noWrap/>
            <w:vAlign w:val="center"/>
            <w:hideMark/>
          </w:tcPr>
          <w:p w:rsidR="00A0318C" w:rsidRPr="00BE7175" w:rsidP="00C8113D" w14:paraId="7F49428F" w14:textId="77777777">
            <w:pPr>
              <w:autoSpaceDE/>
              <w:autoSpaceDN/>
              <w:adjustRightInd/>
              <w:jc w:val="center"/>
              <w:rPr>
                <w:rFonts w:cs="Arial"/>
                <w:color w:val="000000"/>
              </w:rPr>
            </w:pPr>
            <w:r>
              <w:rPr>
                <w:rFonts w:cs="Arial"/>
                <w:color w:val="000000"/>
              </w:rPr>
              <w:t>(</w:t>
            </w:r>
            <w:r w:rsidRPr="00761217">
              <w:rPr>
                <w:rFonts w:cs="Arial"/>
                <w:color w:val="000000"/>
              </w:rPr>
              <w:t>$3,034</w:t>
            </w:r>
            <w:r>
              <w:rPr>
                <w:rFonts w:cs="Arial"/>
                <w:color w:val="000000"/>
              </w:rPr>
              <w:t>)</w:t>
            </w:r>
          </w:p>
        </w:tc>
      </w:tr>
      <w:tr w14:paraId="7F494297" w14:textId="77777777" w:rsidTr="00D96410">
        <w:tblPrEx>
          <w:tblW w:w="11335" w:type="dxa"/>
          <w:jc w:val="center"/>
          <w:tblLook w:val="04A0"/>
        </w:tblPrEx>
        <w:trPr>
          <w:trHeight w:val="390"/>
          <w:jc w:val="center"/>
        </w:trPr>
        <w:tc>
          <w:tcPr>
            <w:tcW w:w="3171" w:type="dxa"/>
            <w:vMerge w:val="restart"/>
            <w:shd w:val="clear" w:color="000000" w:fill="FFFFFF"/>
            <w:vAlign w:val="center"/>
            <w:hideMark/>
          </w:tcPr>
          <w:p w:rsidR="00B22733" w:rsidP="00027F92" w14:paraId="7F494291" w14:textId="77777777">
            <w:pPr>
              <w:autoSpaceDE/>
              <w:autoSpaceDN/>
              <w:adjustRightInd/>
              <w:jc w:val="center"/>
              <w:rPr>
                <w:rFonts w:cs="Arial"/>
                <w:b/>
                <w:bCs/>
              </w:rPr>
            </w:pPr>
            <w:r w:rsidRPr="00BE7175">
              <w:rPr>
                <w:rFonts w:cs="Arial"/>
                <w:b/>
                <w:bCs/>
              </w:rPr>
              <w:t>Preparing Subsequent</w:t>
            </w:r>
          </w:p>
          <w:p w:rsidR="00A0318C" w:rsidRPr="00BE7175" w:rsidP="00027F92" w14:paraId="7F494292" w14:textId="77777777">
            <w:pPr>
              <w:autoSpaceDE/>
              <w:autoSpaceDN/>
              <w:adjustRightInd/>
              <w:jc w:val="center"/>
              <w:rPr>
                <w:rFonts w:cs="Arial"/>
                <w:b/>
                <w:bCs/>
              </w:rPr>
            </w:pPr>
            <w:r w:rsidRPr="00BE7175">
              <w:rPr>
                <w:rFonts w:cs="Arial"/>
                <w:b/>
                <w:bCs/>
              </w:rPr>
              <w:t>FSAR Updates</w:t>
            </w:r>
          </w:p>
        </w:tc>
        <w:tc>
          <w:tcPr>
            <w:tcW w:w="1796" w:type="dxa"/>
            <w:shd w:val="clear" w:color="000000" w:fill="FFFFFF"/>
            <w:noWrap/>
            <w:vAlign w:val="center"/>
            <w:hideMark/>
          </w:tcPr>
          <w:p w:rsidR="00A0318C" w:rsidRPr="00BE7175" w:rsidP="00C8113D" w14:paraId="7F494293" w14:textId="77777777">
            <w:pPr>
              <w:autoSpaceDE/>
              <w:autoSpaceDN/>
              <w:adjustRightInd/>
              <w:jc w:val="center"/>
              <w:rPr>
                <w:rFonts w:cs="Arial"/>
                <w:color w:val="000000"/>
              </w:rPr>
            </w:pPr>
            <w:r>
              <w:rPr>
                <w:rFonts w:cs="Arial"/>
                <w:color w:val="000000"/>
              </w:rPr>
              <w:t>(</w:t>
            </w:r>
            <w:r w:rsidRPr="00761217">
              <w:rPr>
                <w:rFonts w:cs="Arial"/>
                <w:color w:val="000000"/>
              </w:rPr>
              <w:t>$484</w:t>
            </w:r>
            <w:r>
              <w:rPr>
                <w:rFonts w:cs="Arial"/>
                <w:color w:val="000000"/>
              </w:rPr>
              <w:t>)</w:t>
            </w:r>
          </w:p>
        </w:tc>
        <w:tc>
          <w:tcPr>
            <w:tcW w:w="2048" w:type="dxa"/>
            <w:shd w:val="clear" w:color="000000" w:fill="FFFFFF"/>
            <w:noWrap/>
            <w:vAlign w:val="center"/>
            <w:hideMark/>
          </w:tcPr>
          <w:p w:rsidR="00A0318C" w:rsidRPr="00BE7175" w:rsidP="00C8113D" w14:paraId="7F494294" w14:textId="77777777">
            <w:pPr>
              <w:autoSpaceDE/>
              <w:autoSpaceDN/>
              <w:adjustRightInd/>
              <w:jc w:val="center"/>
              <w:rPr>
                <w:rFonts w:cs="Arial"/>
                <w:color w:val="000000"/>
              </w:rPr>
            </w:pPr>
            <w:r>
              <w:rPr>
                <w:rFonts w:cs="Arial"/>
                <w:color w:val="000000"/>
              </w:rPr>
              <w:t>(</w:t>
            </w:r>
            <w:r w:rsidRPr="00761217">
              <w:rPr>
                <w:rFonts w:cs="Arial"/>
                <w:color w:val="000000"/>
              </w:rPr>
              <w:t>$728</w:t>
            </w:r>
            <w:r>
              <w:rPr>
                <w:rFonts w:cs="Arial"/>
                <w:color w:val="000000"/>
              </w:rPr>
              <w:t>)</w:t>
            </w:r>
          </w:p>
        </w:tc>
        <w:tc>
          <w:tcPr>
            <w:tcW w:w="2160" w:type="dxa"/>
            <w:shd w:val="clear" w:color="000000" w:fill="FFFFFF"/>
            <w:noWrap/>
            <w:vAlign w:val="center"/>
            <w:hideMark/>
          </w:tcPr>
          <w:p w:rsidR="00A0318C" w:rsidRPr="00BE7175" w:rsidP="00C8113D" w14:paraId="7F494295" w14:textId="77777777">
            <w:pPr>
              <w:autoSpaceDE/>
              <w:autoSpaceDN/>
              <w:adjustRightInd/>
              <w:jc w:val="center"/>
              <w:rPr>
                <w:rFonts w:cs="Arial"/>
                <w:color w:val="000000"/>
              </w:rPr>
            </w:pPr>
            <w:r>
              <w:rPr>
                <w:rFonts w:cs="Arial"/>
                <w:color w:val="000000"/>
              </w:rPr>
              <w:t>(</w:t>
            </w:r>
            <w:r w:rsidRPr="00761217">
              <w:rPr>
                <w:rFonts w:cs="Arial"/>
                <w:color w:val="000000"/>
              </w:rPr>
              <w:t>$1,127</w:t>
            </w:r>
            <w:r>
              <w:rPr>
                <w:rFonts w:cs="Arial"/>
                <w:color w:val="000000"/>
              </w:rPr>
              <w:t>)</w:t>
            </w:r>
          </w:p>
        </w:tc>
        <w:tc>
          <w:tcPr>
            <w:tcW w:w="2160" w:type="dxa"/>
            <w:shd w:val="clear" w:color="000000" w:fill="FFFFFF"/>
            <w:noWrap/>
            <w:vAlign w:val="center"/>
            <w:hideMark/>
          </w:tcPr>
          <w:p w:rsidR="00A0318C" w:rsidRPr="00BE7175" w:rsidP="00C8113D" w14:paraId="7F494296" w14:textId="77777777">
            <w:pPr>
              <w:autoSpaceDE/>
              <w:autoSpaceDN/>
              <w:adjustRightInd/>
              <w:jc w:val="center"/>
              <w:rPr>
                <w:rFonts w:cs="Arial"/>
                <w:color w:val="000000"/>
              </w:rPr>
            </w:pPr>
            <w:r>
              <w:rPr>
                <w:rFonts w:cs="Arial"/>
                <w:color w:val="000000"/>
              </w:rPr>
              <w:t>(</w:t>
            </w:r>
            <w:r w:rsidRPr="00761217">
              <w:rPr>
                <w:rFonts w:cs="Arial"/>
                <w:color w:val="000000"/>
              </w:rPr>
              <w:t>$2,534</w:t>
            </w:r>
            <w:r>
              <w:rPr>
                <w:rFonts w:cs="Arial"/>
                <w:color w:val="000000"/>
              </w:rPr>
              <w:t>)</w:t>
            </w:r>
          </w:p>
        </w:tc>
      </w:tr>
      <w:tr w14:paraId="7F49429D"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98" w14:textId="77777777">
            <w:pPr>
              <w:autoSpaceDE/>
              <w:autoSpaceDN/>
              <w:adjustRightInd/>
              <w:jc w:val="center"/>
              <w:rPr>
                <w:rFonts w:cs="Arial"/>
                <w:b/>
                <w:bCs/>
              </w:rPr>
            </w:pPr>
          </w:p>
        </w:tc>
        <w:tc>
          <w:tcPr>
            <w:tcW w:w="1796" w:type="dxa"/>
            <w:shd w:val="clear" w:color="000000" w:fill="FFFFFF"/>
            <w:noWrap/>
            <w:vAlign w:val="center"/>
            <w:hideMark/>
          </w:tcPr>
          <w:p w:rsidR="00A0318C" w:rsidRPr="00BE7175" w:rsidP="00C8113D" w14:paraId="7F494299" w14:textId="77777777">
            <w:pPr>
              <w:autoSpaceDE/>
              <w:autoSpaceDN/>
              <w:adjustRightInd/>
              <w:jc w:val="center"/>
              <w:rPr>
                <w:rFonts w:cs="Arial"/>
                <w:color w:val="000000"/>
              </w:rPr>
            </w:pPr>
            <w:r>
              <w:rPr>
                <w:rFonts w:cs="Arial"/>
                <w:color w:val="000000"/>
              </w:rPr>
              <w:t>(</w:t>
            </w:r>
            <w:r w:rsidRPr="00761217">
              <w:rPr>
                <w:rFonts w:cs="Arial"/>
                <w:color w:val="000000"/>
              </w:rPr>
              <w:t>$2,497</w:t>
            </w:r>
            <w:r>
              <w:rPr>
                <w:rFonts w:cs="Arial"/>
                <w:color w:val="000000"/>
              </w:rPr>
              <w:t>)</w:t>
            </w:r>
          </w:p>
        </w:tc>
        <w:tc>
          <w:tcPr>
            <w:tcW w:w="2048" w:type="dxa"/>
            <w:shd w:val="clear" w:color="000000" w:fill="FFFFFF"/>
            <w:noWrap/>
            <w:vAlign w:val="center"/>
            <w:hideMark/>
          </w:tcPr>
          <w:p w:rsidR="00A0318C" w:rsidRPr="00BE7175" w:rsidP="00C8113D" w14:paraId="7F49429A" w14:textId="77777777">
            <w:pPr>
              <w:autoSpaceDE/>
              <w:autoSpaceDN/>
              <w:adjustRightInd/>
              <w:jc w:val="center"/>
              <w:rPr>
                <w:rFonts w:cs="Arial"/>
                <w:color w:val="000000"/>
              </w:rPr>
            </w:pPr>
            <w:r>
              <w:rPr>
                <w:rFonts w:cs="Arial"/>
                <w:color w:val="000000"/>
              </w:rPr>
              <w:t>(</w:t>
            </w:r>
            <w:r w:rsidRPr="00761217">
              <w:rPr>
                <w:rFonts w:cs="Arial"/>
                <w:color w:val="000000"/>
              </w:rPr>
              <w:t>$3,752</w:t>
            </w:r>
            <w:r>
              <w:rPr>
                <w:rFonts w:cs="Arial"/>
                <w:color w:val="000000"/>
              </w:rPr>
              <w:t>)</w:t>
            </w:r>
          </w:p>
        </w:tc>
        <w:tc>
          <w:tcPr>
            <w:tcW w:w="2160" w:type="dxa"/>
            <w:shd w:val="clear" w:color="000000" w:fill="FFFFFF"/>
            <w:noWrap/>
            <w:vAlign w:val="center"/>
            <w:hideMark/>
          </w:tcPr>
          <w:p w:rsidR="00A0318C" w:rsidRPr="00BE7175" w:rsidP="00C8113D" w14:paraId="7F49429B" w14:textId="77777777">
            <w:pPr>
              <w:autoSpaceDE/>
              <w:autoSpaceDN/>
              <w:adjustRightInd/>
              <w:jc w:val="center"/>
              <w:rPr>
                <w:rFonts w:cs="Arial"/>
                <w:color w:val="000000"/>
              </w:rPr>
            </w:pPr>
            <w:r>
              <w:rPr>
                <w:rFonts w:cs="Arial"/>
                <w:color w:val="000000"/>
              </w:rPr>
              <w:t>(</w:t>
            </w:r>
            <w:r w:rsidRPr="00761217">
              <w:rPr>
                <w:rFonts w:cs="Arial"/>
                <w:color w:val="000000"/>
              </w:rPr>
              <w:t>$6,295</w:t>
            </w:r>
            <w:r>
              <w:rPr>
                <w:rFonts w:cs="Arial"/>
                <w:color w:val="000000"/>
              </w:rPr>
              <w:t>)</w:t>
            </w:r>
          </w:p>
        </w:tc>
        <w:tc>
          <w:tcPr>
            <w:tcW w:w="2160" w:type="dxa"/>
            <w:shd w:val="clear" w:color="000000" w:fill="FFFFFF"/>
            <w:noWrap/>
            <w:vAlign w:val="center"/>
            <w:hideMark/>
          </w:tcPr>
          <w:p w:rsidR="00A0318C" w:rsidRPr="00BE7175" w:rsidP="00C8113D" w14:paraId="7F49429C" w14:textId="77777777">
            <w:pPr>
              <w:autoSpaceDE/>
              <w:autoSpaceDN/>
              <w:adjustRightInd/>
              <w:jc w:val="center"/>
              <w:rPr>
                <w:rFonts w:cs="Arial"/>
                <w:color w:val="000000"/>
              </w:rPr>
            </w:pPr>
            <w:r>
              <w:rPr>
                <w:rFonts w:cs="Arial"/>
                <w:color w:val="000000"/>
              </w:rPr>
              <w:t>(</w:t>
            </w:r>
            <w:r w:rsidRPr="00761217">
              <w:rPr>
                <w:rFonts w:cs="Arial"/>
                <w:color w:val="000000"/>
              </w:rPr>
              <w:t>$3,354</w:t>
            </w:r>
            <w:r>
              <w:rPr>
                <w:rFonts w:cs="Arial"/>
                <w:color w:val="000000"/>
              </w:rPr>
              <w:t>)</w:t>
            </w:r>
          </w:p>
        </w:tc>
      </w:tr>
      <w:tr w14:paraId="7F4942A3"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9E" w14:textId="77777777">
            <w:pPr>
              <w:autoSpaceDE/>
              <w:autoSpaceDN/>
              <w:adjustRightInd/>
              <w:jc w:val="center"/>
              <w:rPr>
                <w:rFonts w:cs="Arial"/>
                <w:b/>
                <w:bCs/>
              </w:rPr>
            </w:pPr>
          </w:p>
        </w:tc>
        <w:tc>
          <w:tcPr>
            <w:tcW w:w="1796" w:type="dxa"/>
            <w:shd w:val="clear" w:color="000000" w:fill="FFFFFF"/>
            <w:noWrap/>
            <w:vAlign w:val="center"/>
            <w:hideMark/>
          </w:tcPr>
          <w:p w:rsidR="00A0318C" w:rsidRPr="00BE7175" w:rsidP="00C8113D" w14:paraId="7F49429F"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048" w:type="dxa"/>
            <w:shd w:val="clear" w:color="000000" w:fill="FFFFFF"/>
            <w:noWrap/>
            <w:vAlign w:val="center"/>
            <w:hideMark/>
          </w:tcPr>
          <w:p w:rsidR="00A0318C" w:rsidRPr="00BE7175" w:rsidP="00C8113D" w14:paraId="7F4942A0"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160" w:type="dxa"/>
            <w:shd w:val="clear" w:color="000000" w:fill="FFFFFF"/>
            <w:noWrap/>
            <w:vAlign w:val="center"/>
            <w:hideMark/>
          </w:tcPr>
          <w:p w:rsidR="00A0318C" w:rsidRPr="00BE7175" w:rsidP="00C8113D" w14:paraId="7F4942A1" w14:textId="77777777">
            <w:pPr>
              <w:autoSpaceDE/>
              <w:autoSpaceDN/>
              <w:adjustRightInd/>
              <w:jc w:val="center"/>
              <w:rPr>
                <w:rFonts w:cs="Arial"/>
                <w:color w:val="000000"/>
              </w:rPr>
            </w:pPr>
            <w:r>
              <w:rPr>
                <w:rFonts w:cs="Arial"/>
                <w:color w:val="000000"/>
              </w:rPr>
              <w:t>(</w:t>
            </w:r>
            <w:r w:rsidRPr="00761217">
              <w:rPr>
                <w:rFonts w:cs="Arial"/>
                <w:color w:val="000000"/>
              </w:rPr>
              <w:t>$1,642</w:t>
            </w:r>
            <w:r>
              <w:rPr>
                <w:rFonts w:cs="Arial"/>
                <w:color w:val="000000"/>
              </w:rPr>
              <w:t>)</w:t>
            </w:r>
          </w:p>
        </w:tc>
        <w:tc>
          <w:tcPr>
            <w:tcW w:w="2160" w:type="dxa"/>
            <w:shd w:val="clear" w:color="000000" w:fill="FFFFFF"/>
            <w:noWrap/>
            <w:vAlign w:val="center"/>
            <w:hideMark/>
          </w:tcPr>
          <w:p w:rsidR="00A0318C" w:rsidRPr="00BE7175" w:rsidP="00C8113D" w14:paraId="7F4942A2" w14:textId="77777777">
            <w:pPr>
              <w:autoSpaceDE/>
              <w:autoSpaceDN/>
              <w:adjustRightInd/>
              <w:jc w:val="center"/>
              <w:rPr>
                <w:rFonts w:cs="Arial"/>
                <w:color w:val="000000"/>
              </w:rPr>
            </w:pPr>
            <w:r>
              <w:rPr>
                <w:rFonts w:cs="Arial"/>
                <w:color w:val="000000"/>
              </w:rPr>
              <w:t>(</w:t>
            </w:r>
            <w:r w:rsidRPr="00761217">
              <w:rPr>
                <w:rFonts w:cs="Arial"/>
                <w:color w:val="000000"/>
              </w:rPr>
              <w:t>$4,032</w:t>
            </w:r>
            <w:r>
              <w:rPr>
                <w:rFonts w:cs="Arial"/>
                <w:color w:val="000000"/>
              </w:rPr>
              <w:t>)</w:t>
            </w:r>
          </w:p>
        </w:tc>
      </w:tr>
      <w:tr w14:paraId="7F4942A9"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A4" w14:textId="77777777">
            <w:pPr>
              <w:autoSpaceDE/>
              <w:autoSpaceDN/>
              <w:adjustRightInd/>
              <w:jc w:val="center"/>
              <w:rPr>
                <w:rFonts w:cs="Arial"/>
                <w:b/>
                <w:bCs/>
              </w:rPr>
            </w:pPr>
          </w:p>
        </w:tc>
        <w:tc>
          <w:tcPr>
            <w:tcW w:w="1796" w:type="dxa"/>
            <w:shd w:val="clear" w:color="000000" w:fill="FFFFFF"/>
            <w:noWrap/>
            <w:vAlign w:val="center"/>
            <w:hideMark/>
          </w:tcPr>
          <w:p w:rsidR="00A0318C" w:rsidRPr="00BE7175" w:rsidP="00C8113D" w14:paraId="7F4942A5" w14:textId="77777777">
            <w:pPr>
              <w:autoSpaceDE/>
              <w:autoSpaceDN/>
              <w:adjustRightInd/>
              <w:jc w:val="center"/>
              <w:rPr>
                <w:rFonts w:cs="Arial"/>
                <w:color w:val="000000"/>
              </w:rPr>
            </w:pPr>
            <w:r>
              <w:rPr>
                <w:rFonts w:cs="Arial"/>
                <w:color w:val="000000"/>
              </w:rPr>
              <w:t>(</w:t>
            </w:r>
            <w:r w:rsidRPr="00761217">
              <w:rPr>
                <w:rFonts w:cs="Arial"/>
                <w:color w:val="000000"/>
              </w:rPr>
              <w:t>$499</w:t>
            </w:r>
            <w:r>
              <w:rPr>
                <w:rFonts w:cs="Arial"/>
                <w:color w:val="000000"/>
              </w:rPr>
              <w:t>)</w:t>
            </w:r>
          </w:p>
        </w:tc>
        <w:tc>
          <w:tcPr>
            <w:tcW w:w="2048" w:type="dxa"/>
            <w:shd w:val="clear" w:color="000000" w:fill="FFFFFF"/>
            <w:noWrap/>
            <w:vAlign w:val="center"/>
            <w:hideMark/>
          </w:tcPr>
          <w:p w:rsidR="00A0318C" w:rsidRPr="00BE7175" w:rsidP="00C8113D" w14:paraId="7F4942A6" w14:textId="77777777">
            <w:pPr>
              <w:autoSpaceDE/>
              <w:autoSpaceDN/>
              <w:adjustRightInd/>
              <w:jc w:val="center"/>
              <w:rPr>
                <w:rFonts w:cs="Arial"/>
                <w:color w:val="000000"/>
              </w:rPr>
            </w:pPr>
            <w:r>
              <w:rPr>
                <w:rFonts w:cs="Arial"/>
                <w:color w:val="000000"/>
              </w:rPr>
              <w:t>(</w:t>
            </w:r>
            <w:r w:rsidRPr="00761217">
              <w:rPr>
                <w:rFonts w:cs="Arial"/>
                <w:color w:val="000000"/>
              </w:rPr>
              <w:t>$750</w:t>
            </w:r>
            <w:r>
              <w:rPr>
                <w:rFonts w:cs="Arial"/>
                <w:color w:val="000000"/>
              </w:rPr>
              <w:t>)</w:t>
            </w:r>
          </w:p>
        </w:tc>
        <w:tc>
          <w:tcPr>
            <w:tcW w:w="2160" w:type="dxa"/>
            <w:shd w:val="clear" w:color="000000" w:fill="FFFFFF"/>
            <w:noWrap/>
            <w:vAlign w:val="center"/>
            <w:hideMark/>
          </w:tcPr>
          <w:p w:rsidR="00A0318C" w:rsidRPr="00BE7175" w:rsidP="00C8113D" w14:paraId="7F4942A7" w14:textId="77777777">
            <w:pPr>
              <w:autoSpaceDE/>
              <w:autoSpaceDN/>
              <w:adjustRightInd/>
              <w:jc w:val="center"/>
              <w:rPr>
                <w:rFonts w:cs="Arial"/>
                <w:color w:val="000000"/>
              </w:rPr>
            </w:pPr>
            <w:r>
              <w:rPr>
                <w:rFonts w:cs="Arial"/>
                <w:color w:val="000000"/>
              </w:rPr>
              <w:t>(</w:t>
            </w:r>
            <w:r w:rsidRPr="00761217">
              <w:rPr>
                <w:rFonts w:cs="Arial"/>
                <w:color w:val="000000"/>
              </w:rPr>
              <w:t>$194</w:t>
            </w:r>
            <w:r>
              <w:rPr>
                <w:rFonts w:cs="Arial"/>
                <w:color w:val="000000"/>
              </w:rPr>
              <w:t>)</w:t>
            </w:r>
          </w:p>
        </w:tc>
        <w:tc>
          <w:tcPr>
            <w:tcW w:w="2160" w:type="dxa"/>
            <w:shd w:val="clear" w:color="000000" w:fill="FFFFFF"/>
            <w:noWrap/>
            <w:vAlign w:val="center"/>
            <w:hideMark/>
          </w:tcPr>
          <w:p w:rsidR="00A0318C" w:rsidRPr="00BE7175" w:rsidP="00C8113D" w14:paraId="7F4942A8"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r>
      <w:tr w14:paraId="7F4942AF" w14:textId="77777777" w:rsidTr="00D96410">
        <w:tblPrEx>
          <w:tblW w:w="11335" w:type="dxa"/>
          <w:jc w:val="center"/>
          <w:tblLook w:val="04A0"/>
        </w:tblPrEx>
        <w:trPr>
          <w:trHeight w:val="390"/>
          <w:jc w:val="center"/>
        </w:trPr>
        <w:tc>
          <w:tcPr>
            <w:tcW w:w="3171" w:type="dxa"/>
            <w:vMerge/>
            <w:vAlign w:val="center"/>
            <w:hideMark/>
          </w:tcPr>
          <w:p w:rsidR="00A0318C" w:rsidRPr="00BE7175" w:rsidP="00027F92" w14:paraId="7F4942AA" w14:textId="77777777">
            <w:pPr>
              <w:autoSpaceDE/>
              <w:autoSpaceDN/>
              <w:adjustRightInd/>
              <w:jc w:val="center"/>
              <w:rPr>
                <w:rFonts w:cs="Arial"/>
                <w:b/>
                <w:bCs/>
              </w:rPr>
            </w:pPr>
          </w:p>
        </w:tc>
        <w:tc>
          <w:tcPr>
            <w:tcW w:w="1796" w:type="dxa"/>
            <w:shd w:val="clear" w:color="000000" w:fill="FFFFFF"/>
            <w:noWrap/>
            <w:vAlign w:val="center"/>
            <w:hideMark/>
          </w:tcPr>
          <w:p w:rsidR="00A0318C" w:rsidRPr="00BE7175" w:rsidP="00C8113D" w14:paraId="7F4942AB"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048" w:type="dxa"/>
            <w:shd w:val="clear" w:color="000000" w:fill="FFFFFF"/>
            <w:noWrap/>
            <w:vAlign w:val="center"/>
            <w:hideMark/>
          </w:tcPr>
          <w:p w:rsidR="00A0318C" w:rsidRPr="00BE7175" w:rsidP="00C8113D" w14:paraId="7F4942AC"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160" w:type="dxa"/>
            <w:shd w:val="clear" w:color="000000" w:fill="FFFFFF"/>
            <w:noWrap/>
            <w:vAlign w:val="center"/>
            <w:hideMark/>
          </w:tcPr>
          <w:p w:rsidR="00A0318C" w:rsidRPr="00BE7175" w:rsidP="00C8113D" w14:paraId="7F4942AD" w14:textId="77777777">
            <w:pPr>
              <w:autoSpaceDE/>
              <w:autoSpaceDN/>
              <w:adjustRightInd/>
              <w:jc w:val="center"/>
              <w:rPr>
                <w:rFonts w:cs="Arial"/>
                <w:color w:val="000000"/>
              </w:rPr>
            </w:pPr>
            <w:r>
              <w:rPr>
                <w:rFonts w:cs="Arial"/>
                <w:color w:val="000000"/>
              </w:rPr>
              <w:t>(</w:t>
            </w:r>
            <w:r w:rsidRPr="00761217">
              <w:rPr>
                <w:rFonts w:cs="Arial"/>
                <w:color w:val="000000"/>
              </w:rPr>
              <w:t>$0</w:t>
            </w:r>
            <w:r>
              <w:rPr>
                <w:rFonts w:cs="Arial"/>
                <w:color w:val="000000"/>
              </w:rPr>
              <w:t>)</w:t>
            </w:r>
          </w:p>
        </w:tc>
        <w:tc>
          <w:tcPr>
            <w:tcW w:w="2160" w:type="dxa"/>
            <w:shd w:val="clear" w:color="000000" w:fill="FFFFFF"/>
            <w:noWrap/>
            <w:vAlign w:val="center"/>
            <w:hideMark/>
          </w:tcPr>
          <w:p w:rsidR="00A0318C" w:rsidRPr="00BE7175" w:rsidP="00C8113D" w14:paraId="7F4942AE" w14:textId="77777777">
            <w:pPr>
              <w:autoSpaceDE/>
              <w:autoSpaceDN/>
              <w:adjustRightInd/>
              <w:jc w:val="center"/>
              <w:rPr>
                <w:rFonts w:cs="Arial"/>
                <w:color w:val="000000"/>
              </w:rPr>
            </w:pPr>
            <w:r>
              <w:rPr>
                <w:rFonts w:cs="Arial"/>
                <w:color w:val="000000"/>
              </w:rPr>
              <w:t>(</w:t>
            </w:r>
            <w:r w:rsidRPr="00761217">
              <w:rPr>
                <w:rFonts w:cs="Arial"/>
                <w:color w:val="000000"/>
              </w:rPr>
              <w:t>$764</w:t>
            </w:r>
            <w:r>
              <w:rPr>
                <w:rFonts w:cs="Arial"/>
                <w:color w:val="000000"/>
              </w:rPr>
              <w:t>)</w:t>
            </w:r>
          </w:p>
        </w:tc>
      </w:tr>
      <w:tr w14:paraId="7F4942B7" w14:textId="77777777" w:rsidTr="00D96410">
        <w:tblPrEx>
          <w:tblW w:w="11335" w:type="dxa"/>
          <w:jc w:val="center"/>
          <w:tblLook w:val="04A0"/>
        </w:tblPrEx>
        <w:trPr>
          <w:trHeight w:val="390"/>
          <w:jc w:val="center"/>
        </w:trPr>
        <w:tc>
          <w:tcPr>
            <w:tcW w:w="3171" w:type="dxa"/>
            <w:shd w:val="clear" w:color="auto" w:fill="auto"/>
            <w:noWrap/>
            <w:vAlign w:val="center"/>
            <w:hideMark/>
          </w:tcPr>
          <w:p w:rsidR="004B48C7" w:rsidP="00027F92" w14:paraId="7F4942B0" w14:textId="77777777">
            <w:pPr>
              <w:autoSpaceDE/>
              <w:autoSpaceDN/>
              <w:adjustRightInd/>
              <w:jc w:val="center"/>
              <w:rPr>
                <w:rFonts w:cs="Arial"/>
                <w:b/>
                <w:bCs/>
                <w:color w:val="000000"/>
              </w:rPr>
            </w:pPr>
            <w:r w:rsidRPr="00BE7175">
              <w:rPr>
                <w:rFonts w:cs="Arial"/>
                <w:b/>
                <w:bCs/>
                <w:color w:val="000000"/>
              </w:rPr>
              <w:t xml:space="preserve">Total </w:t>
            </w:r>
            <w:r w:rsidR="004315CD">
              <w:rPr>
                <w:rFonts w:cs="Arial"/>
                <w:b/>
                <w:bCs/>
                <w:color w:val="000000"/>
              </w:rPr>
              <w:t>Licensee</w:t>
            </w:r>
            <w:r w:rsidRPr="00BE7175">
              <w:rPr>
                <w:rFonts w:cs="Arial"/>
                <w:b/>
                <w:bCs/>
                <w:color w:val="000000"/>
              </w:rPr>
              <w:t xml:space="preserve"> Initial </w:t>
            </w:r>
          </w:p>
          <w:p w:rsidR="00027F92" w:rsidP="00027F92" w14:paraId="7F4942B1" w14:textId="77777777">
            <w:pPr>
              <w:autoSpaceDE/>
              <w:autoSpaceDN/>
              <w:adjustRightInd/>
              <w:jc w:val="center"/>
              <w:rPr>
                <w:rFonts w:cs="Arial"/>
                <w:b/>
                <w:bCs/>
                <w:color w:val="000000"/>
              </w:rPr>
            </w:pPr>
            <w:r w:rsidRPr="00BE7175">
              <w:rPr>
                <w:rFonts w:cs="Arial"/>
                <w:b/>
                <w:bCs/>
                <w:color w:val="000000"/>
              </w:rPr>
              <w:t xml:space="preserve">Operation Cost </w:t>
            </w:r>
          </w:p>
          <w:p w:rsidR="00A0318C" w:rsidRPr="00BE7175" w:rsidP="00027F92" w14:paraId="7F4942B2" w14:textId="77777777">
            <w:pPr>
              <w:autoSpaceDE/>
              <w:autoSpaceDN/>
              <w:adjustRightInd/>
              <w:jc w:val="center"/>
              <w:rPr>
                <w:rFonts w:cs="Arial"/>
                <w:b/>
                <w:bCs/>
                <w:color w:val="000000"/>
              </w:rPr>
            </w:pPr>
            <w:r w:rsidRPr="00BE7175">
              <w:rPr>
                <w:rFonts w:cs="Arial"/>
                <w:b/>
                <w:bCs/>
                <w:color w:val="000000"/>
              </w:rPr>
              <w:t>(</w:t>
            </w:r>
            <w:r w:rsidR="00BF5F8B">
              <w:rPr>
                <w:rFonts w:cs="Arial"/>
                <w:b/>
                <w:bCs/>
                <w:color w:val="000000"/>
              </w:rPr>
              <w:t>p</w:t>
            </w:r>
            <w:r w:rsidRPr="00BE7175">
              <w:rPr>
                <w:rFonts w:cs="Arial"/>
                <w:b/>
                <w:bCs/>
                <w:color w:val="000000"/>
              </w:rPr>
              <w:t>er NPUF)</w:t>
            </w:r>
          </w:p>
        </w:tc>
        <w:tc>
          <w:tcPr>
            <w:tcW w:w="1796" w:type="dxa"/>
            <w:shd w:val="clear" w:color="auto" w:fill="auto"/>
            <w:noWrap/>
            <w:vAlign w:val="center"/>
            <w:hideMark/>
          </w:tcPr>
          <w:p w:rsidR="00A0318C" w:rsidRPr="00BE7175" w:rsidP="00C8113D" w14:paraId="7F4942B3" w14:textId="77777777">
            <w:pPr>
              <w:autoSpaceDE/>
              <w:autoSpaceDN/>
              <w:adjustRightInd/>
              <w:jc w:val="center"/>
              <w:rPr>
                <w:rFonts w:cs="Arial"/>
                <w:color w:val="000000"/>
              </w:rPr>
            </w:pPr>
            <w:r>
              <w:rPr>
                <w:rFonts w:cs="Arial"/>
                <w:color w:val="000000"/>
              </w:rPr>
              <w:t>(</w:t>
            </w:r>
            <w:r w:rsidRPr="00761217">
              <w:rPr>
                <w:rFonts w:cs="Arial"/>
                <w:color w:val="000000"/>
              </w:rPr>
              <w:t>$13,839</w:t>
            </w:r>
            <w:r>
              <w:rPr>
                <w:rFonts w:cs="Arial"/>
                <w:color w:val="000000"/>
              </w:rPr>
              <w:t>)</w:t>
            </w:r>
          </w:p>
        </w:tc>
        <w:tc>
          <w:tcPr>
            <w:tcW w:w="2048" w:type="dxa"/>
            <w:shd w:val="clear" w:color="auto" w:fill="auto"/>
            <w:noWrap/>
            <w:vAlign w:val="center"/>
            <w:hideMark/>
          </w:tcPr>
          <w:p w:rsidR="00A0318C" w:rsidRPr="00BE7175" w:rsidP="00C8113D" w14:paraId="7F4942B4" w14:textId="77777777">
            <w:pPr>
              <w:autoSpaceDE/>
              <w:autoSpaceDN/>
              <w:adjustRightInd/>
              <w:jc w:val="center"/>
              <w:rPr>
                <w:rFonts w:cs="Arial"/>
                <w:color w:val="000000"/>
              </w:rPr>
            </w:pPr>
            <w:r>
              <w:rPr>
                <w:rFonts w:cs="Arial"/>
                <w:color w:val="000000"/>
              </w:rPr>
              <w:t>(</w:t>
            </w:r>
            <w:r w:rsidRPr="00761217">
              <w:rPr>
                <w:rFonts w:cs="Arial"/>
                <w:color w:val="000000"/>
              </w:rPr>
              <w:t>$20,759</w:t>
            </w:r>
            <w:r>
              <w:rPr>
                <w:rFonts w:cs="Arial"/>
                <w:color w:val="000000"/>
              </w:rPr>
              <w:t>)</w:t>
            </w:r>
          </w:p>
        </w:tc>
        <w:tc>
          <w:tcPr>
            <w:tcW w:w="2160" w:type="dxa"/>
            <w:shd w:val="clear" w:color="auto" w:fill="auto"/>
            <w:noWrap/>
            <w:vAlign w:val="center"/>
            <w:hideMark/>
          </w:tcPr>
          <w:p w:rsidR="00A0318C" w:rsidRPr="00BE7175" w:rsidP="00C8113D" w14:paraId="7F4942B5" w14:textId="77777777">
            <w:pPr>
              <w:autoSpaceDE/>
              <w:autoSpaceDN/>
              <w:adjustRightInd/>
              <w:jc w:val="center"/>
              <w:rPr>
                <w:rFonts w:cs="Arial"/>
                <w:color w:val="000000"/>
              </w:rPr>
            </w:pPr>
            <w:r>
              <w:rPr>
                <w:rFonts w:cs="Arial"/>
                <w:color w:val="000000"/>
              </w:rPr>
              <w:t>(</w:t>
            </w:r>
            <w:r w:rsidRPr="00761217">
              <w:rPr>
                <w:rFonts w:cs="Arial"/>
                <w:color w:val="000000"/>
              </w:rPr>
              <w:t>$36,756</w:t>
            </w:r>
            <w:r>
              <w:rPr>
                <w:rFonts w:cs="Arial"/>
                <w:color w:val="000000"/>
              </w:rPr>
              <w:t>)</w:t>
            </w:r>
          </w:p>
        </w:tc>
        <w:tc>
          <w:tcPr>
            <w:tcW w:w="2160" w:type="dxa"/>
            <w:shd w:val="clear" w:color="auto" w:fill="auto"/>
            <w:noWrap/>
            <w:vAlign w:val="center"/>
            <w:hideMark/>
          </w:tcPr>
          <w:p w:rsidR="00A0318C" w:rsidRPr="00BE7175" w:rsidP="00C8113D" w14:paraId="7F4942B6" w14:textId="77777777">
            <w:pPr>
              <w:autoSpaceDE/>
              <w:autoSpaceDN/>
              <w:adjustRightInd/>
              <w:jc w:val="center"/>
              <w:rPr>
                <w:rFonts w:cs="Arial"/>
                <w:color w:val="000000"/>
              </w:rPr>
            </w:pPr>
            <w:r>
              <w:rPr>
                <w:rFonts w:cs="Arial"/>
                <w:color w:val="000000"/>
              </w:rPr>
              <w:t>(</w:t>
            </w:r>
            <w:r w:rsidRPr="00761217">
              <w:rPr>
                <w:rFonts w:cs="Arial"/>
                <w:color w:val="000000"/>
              </w:rPr>
              <w:t>$42,416</w:t>
            </w:r>
            <w:r>
              <w:rPr>
                <w:rFonts w:cs="Arial"/>
                <w:color w:val="000000"/>
              </w:rPr>
              <w:t>)</w:t>
            </w:r>
          </w:p>
        </w:tc>
      </w:tr>
      <w:tr w14:paraId="7F4942BD" w14:textId="77777777" w:rsidTr="00D96410">
        <w:tblPrEx>
          <w:tblW w:w="11335" w:type="dxa"/>
          <w:jc w:val="center"/>
          <w:tblLook w:val="04A0"/>
        </w:tblPrEx>
        <w:trPr>
          <w:trHeight w:val="390"/>
          <w:jc w:val="center"/>
        </w:trPr>
        <w:tc>
          <w:tcPr>
            <w:tcW w:w="3171" w:type="dxa"/>
            <w:shd w:val="clear" w:color="auto" w:fill="auto"/>
            <w:vAlign w:val="center"/>
            <w:hideMark/>
          </w:tcPr>
          <w:p w:rsidR="00A0318C" w:rsidRPr="00BE7175" w:rsidP="00027F92" w14:paraId="7F4942B8" w14:textId="77777777">
            <w:pPr>
              <w:autoSpaceDE/>
              <w:autoSpaceDN/>
              <w:adjustRightInd/>
              <w:jc w:val="center"/>
              <w:rPr>
                <w:rFonts w:cs="Arial"/>
                <w:b/>
                <w:bCs/>
              </w:rPr>
            </w:pPr>
            <w:r w:rsidRPr="00BE7175">
              <w:rPr>
                <w:rFonts w:cs="Arial"/>
                <w:b/>
                <w:bCs/>
              </w:rPr>
              <w:t xml:space="preserve">Total </w:t>
            </w:r>
            <w:r w:rsidR="004315CD">
              <w:rPr>
                <w:rFonts w:cs="Arial"/>
                <w:b/>
                <w:bCs/>
              </w:rPr>
              <w:t>Licensee</w:t>
            </w:r>
            <w:r w:rsidRPr="00BE7175">
              <w:rPr>
                <w:rFonts w:cs="Arial"/>
                <w:b/>
                <w:bCs/>
              </w:rPr>
              <w:t xml:space="preserve"> Operation Cost Ongoing Updates (</w:t>
            </w:r>
            <w:r w:rsidR="00BF5F8B">
              <w:rPr>
                <w:rFonts w:cs="Arial"/>
                <w:b/>
                <w:bCs/>
              </w:rPr>
              <w:t>p</w:t>
            </w:r>
            <w:r w:rsidRPr="00BE7175">
              <w:rPr>
                <w:rFonts w:cs="Arial"/>
                <w:b/>
                <w:bCs/>
              </w:rPr>
              <w:t>er NPUF)</w:t>
            </w:r>
          </w:p>
        </w:tc>
        <w:tc>
          <w:tcPr>
            <w:tcW w:w="1796" w:type="dxa"/>
            <w:shd w:val="clear" w:color="auto" w:fill="auto"/>
            <w:noWrap/>
            <w:vAlign w:val="center"/>
            <w:hideMark/>
          </w:tcPr>
          <w:p w:rsidR="00A0318C" w:rsidRPr="00BE7175" w:rsidP="00C8113D" w14:paraId="7F4942B9" w14:textId="77777777">
            <w:pPr>
              <w:autoSpaceDE/>
              <w:autoSpaceDN/>
              <w:adjustRightInd/>
              <w:jc w:val="center"/>
              <w:rPr>
                <w:rFonts w:cs="Arial"/>
                <w:color w:val="000000"/>
              </w:rPr>
            </w:pPr>
            <w:r>
              <w:rPr>
                <w:rFonts w:cs="Arial"/>
                <w:color w:val="000000"/>
              </w:rPr>
              <w:t>(</w:t>
            </w:r>
            <w:r w:rsidRPr="00761217">
              <w:rPr>
                <w:rFonts w:cs="Arial"/>
                <w:color w:val="000000"/>
              </w:rPr>
              <w:t>$3,480</w:t>
            </w:r>
            <w:r>
              <w:rPr>
                <w:rFonts w:cs="Arial"/>
                <w:color w:val="000000"/>
              </w:rPr>
              <w:t>)</w:t>
            </w:r>
          </w:p>
        </w:tc>
        <w:tc>
          <w:tcPr>
            <w:tcW w:w="2048" w:type="dxa"/>
            <w:shd w:val="clear" w:color="auto" w:fill="auto"/>
            <w:noWrap/>
            <w:vAlign w:val="center"/>
            <w:hideMark/>
          </w:tcPr>
          <w:p w:rsidR="00A0318C" w:rsidRPr="00BE7175" w:rsidP="00C8113D" w14:paraId="7F4942BA" w14:textId="77777777">
            <w:pPr>
              <w:autoSpaceDE/>
              <w:autoSpaceDN/>
              <w:adjustRightInd/>
              <w:jc w:val="center"/>
              <w:rPr>
                <w:rFonts w:cs="Arial"/>
                <w:color w:val="000000"/>
              </w:rPr>
            </w:pPr>
            <w:r>
              <w:rPr>
                <w:rFonts w:cs="Arial"/>
                <w:color w:val="000000"/>
              </w:rPr>
              <w:t>(</w:t>
            </w:r>
            <w:r w:rsidRPr="00761217">
              <w:rPr>
                <w:rFonts w:cs="Arial"/>
                <w:color w:val="000000"/>
              </w:rPr>
              <w:t>$5,231</w:t>
            </w:r>
            <w:r>
              <w:rPr>
                <w:rFonts w:cs="Arial"/>
                <w:color w:val="000000"/>
              </w:rPr>
              <w:t>)</w:t>
            </w:r>
          </w:p>
        </w:tc>
        <w:tc>
          <w:tcPr>
            <w:tcW w:w="2160" w:type="dxa"/>
            <w:shd w:val="clear" w:color="auto" w:fill="auto"/>
            <w:noWrap/>
            <w:vAlign w:val="center"/>
            <w:hideMark/>
          </w:tcPr>
          <w:p w:rsidR="00A0318C" w:rsidRPr="00BE7175" w:rsidP="00C8113D" w14:paraId="7F4942BB" w14:textId="77777777">
            <w:pPr>
              <w:autoSpaceDE/>
              <w:autoSpaceDN/>
              <w:adjustRightInd/>
              <w:jc w:val="center"/>
              <w:rPr>
                <w:rFonts w:cs="Arial"/>
                <w:color w:val="000000"/>
              </w:rPr>
            </w:pPr>
            <w:r>
              <w:rPr>
                <w:rFonts w:cs="Arial"/>
                <w:color w:val="000000"/>
              </w:rPr>
              <w:t>(</w:t>
            </w:r>
            <w:r w:rsidRPr="00761217">
              <w:rPr>
                <w:rFonts w:cs="Arial"/>
                <w:color w:val="000000"/>
              </w:rPr>
              <w:t>$9,259</w:t>
            </w:r>
            <w:r>
              <w:rPr>
                <w:rFonts w:cs="Arial"/>
                <w:color w:val="000000"/>
              </w:rPr>
              <w:t>)</w:t>
            </w:r>
          </w:p>
        </w:tc>
        <w:tc>
          <w:tcPr>
            <w:tcW w:w="2160" w:type="dxa"/>
            <w:shd w:val="clear" w:color="auto" w:fill="auto"/>
            <w:noWrap/>
            <w:vAlign w:val="center"/>
            <w:hideMark/>
          </w:tcPr>
          <w:p w:rsidR="00A0318C" w:rsidRPr="00BE7175" w:rsidP="00C8113D" w14:paraId="7F4942BC" w14:textId="77777777">
            <w:pPr>
              <w:autoSpaceDE/>
              <w:autoSpaceDN/>
              <w:adjustRightInd/>
              <w:jc w:val="center"/>
              <w:rPr>
                <w:rFonts w:cs="Arial"/>
                <w:color w:val="000000"/>
              </w:rPr>
            </w:pPr>
            <w:r>
              <w:rPr>
                <w:rFonts w:cs="Arial"/>
                <w:color w:val="000000"/>
              </w:rPr>
              <w:t>(</w:t>
            </w:r>
            <w:r w:rsidRPr="00761217">
              <w:rPr>
                <w:rFonts w:cs="Arial"/>
                <w:color w:val="000000"/>
              </w:rPr>
              <w:t>$10,685</w:t>
            </w:r>
            <w:r>
              <w:rPr>
                <w:rFonts w:cs="Arial"/>
                <w:color w:val="000000"/>
              </w:rPr>
              <w:t>)</w:t>
            </w:r>
          </w:p>
        </w:tc>
      </w:tr>
      <w:tr w14:paraId="7F4942C3" w14:textId="77777777" w:rsidTr="00D96410">
        <w:tblPrEx>
          <w:tblW w:w="11335" w:type="dxa"/>
          <w:jc w:val="center"/>
          <w:tblLook w:val="04A0"/>
        </w:tblPrEx>
        <w:trPr>
          <w:trHeight w:val="390"/>
          <w:jc w:val="center"/>
        </w:trPr>
        <w:tc>
          <w:tcPr>
            <w:tcW w:w="3171" w:type="dxa"/>
            <w:shd w:val="clear" w:color="auto" w:fill="auto"/>
            <w:vAlign w:val="center"/>
            <w:hideMark/>
          </w:tcPr>
          <w:p w:rsidR="00A0318C" w:rsidRPr="00BE7175" w:rsidP="00027F92" w14:paraId="7F4942BE" w14:textId="77777777">
            <w:pPr>
              <w:autoSpaceDE/>
              <w:autoSpaceDN/>
              <w:adjustRightInd/>
              <w:jc w:val="center"/>
              <w:rPr>
                <w:rFonts w:cs="Arial"/>
                <w:b/>
                <w:bCs/>
              </w:rPr>
            </w:pPr>
            <w:r w:rsidRPr="00BE7175">
              <w:rPr>
                <w:rFonts w:cs="Arial"/>
                <w:b/>
                <w:bCs/>
              </w:rPr>
              <w:t>Number of NPUFs</w:t>
            </w:r>
          </w:p>
        </w:tc>
        <w:tc>
          <w:tcPr>
            <w:tcW w:w="1796" w:type="dxa"/>
            <w:shd w:val="clear" w:color="auto" w:fill="auto"/>
            <w:noWrap/>
            <w:vAlign w:val="center"/>
            <w:hideMark/>
          </w:tcPr>
          <w:p w:rsidR="00A0318C" w:rsidRPr="00BE7175" w:rsidP="00C8113D" w14:paraId="7F4942BF" w14:textId="77777777">
            <w:pPr>
              <w:autoSpaceDE/>
              <w:autoSpaceDN/>
              <w:adjustRightInd/>
              <w:jc w:val="center"/>
              <w:rPr>
                <w:rFonts w:cs="Arial"/>
                <w:color w:val="000000"/>
              </w:rPr>
            </w:pPr>
            <w:r w:rsidRPr="00BE7175">
              <w:rPr>
                <w:rFonts w:cs="Arial"/>
                <w:color w:val="000000"/>
              </w:rPr>
              <w:t>5</w:t>
            </w:r>
          </w:p>
        </w:tc>
        <w:tc>
          <w:tcPr>
            <w:tcW w:w="2048" w:type="dxa"/>
            <w:shd w:val="clear" w:color="auto" w:fill="auto"/>
            <w:noWrap/>
            <w:vAlign w:val="center"/>
            <w:hideMark/>
          </w:tcPr>
          <w:p w:rsidR="00A0318C" w:rsidRPr="00BE7175" w:rsidP="00C8113D" w14:paraId="7F4942C0" w14:textId="77777777">
            <w:pPr>
              <w:autoSpaceDE/>
              <w:autoSpaceDN/>
              <w:adjustRightInd/>
              <w:jc w:val="center"/>
              <w:rPr>
                <w:rFonts w:cs="Arial"/>
                <w:color w:val="000000"/>
              </w:rPr>
            </w:pPr>
            <w:r w:rsidRPr="00BE7175">
              <w:rPr>
                <w:rFonts w:cs="Arial"/>
                <w:color w:val="000000"/>
              </w:rPr>
              <w:t>21</w:t>
            </w:r>
          </w:p>
        </w:tc>
        <w:tc>
          <w:tcPr>
            <w:tcW w:w="2160" w:type="dxa"/>
            <w:shd w:val="clear" w:color="auto" w:fill="auto"/>
            <w:noWrap/>
            <w:vAlign w:val="center"/>
            <w:hideMark/>
          </w:tcPr>
          <w:p w:rsidR="00A0318C" w:rsidRPr="00BE7175" w:rsidP="00C8113D" w14:paraId="7F4942C1" w14:textId="77777777">
            <w:pPr>
              <w:autoSpaceDE/>
              <w:autoSpaceDN/>
              <w:adjustRightInd/>
              <w:jc w:val="center"/>
              <w:rPr>
                <w:rFonts w:cs="Arial"/>
                <w:color w:val="000000"/>
              </w:rPr>
            </w:pPr>
            <w:r w:rsidRPr="00BE7175">
              <w:rPr>
                <w:rFonts w:cs="Arial"/>
                <w:color w:val="000000"/>
              </w:rPr>
              <w:t>4</w:t>
            </w:r>
          </w:p>
        </w:tc>
        <w:tc>
          <w:tcPr>
            <w:tcW w:w="2160" w:type="dxa"/>
            <w:shd w:val="clear" w:color="auto" w:fill="auto"/>
            <w:noWrap/>
            <w:vAlign w:val="center"/>
            <w:hideMark/>
          </w:tcPr>
          <w:p w:rsidR="00A0318C" w:rsidRPr="00BE7175" w:rsidP="00C8113D" w14:paraId="7F4942C2" w14:textId="77777777">
            <w:pPr>
              <w:autoSpaceDE/>
              <w:autoSpaceDN/>
              <w:adjustRightInd/>
              <w:jc w:val="center"/>
              <w:rPr>
                <w:rFonts w:cs="Arial"/>
                <w:color w:val="000000"/>
              </w:rPr>
            </w:pPr>
            <w:r w:rsidRPr="00BE7175">
              <w:rPr>
                <w:rFonts w:cs="Arial"/>
                <w:color w:val="000000"/>
              </w:rPr>
              <w:t>3</w:t>
            </w:r>
          </w:p>
        </w:tc>
      </w:tr>
      <w:tr w14:paraId="7F4942C9" w14:textId="77777777" w:rsidTr="00D96410">
        <w:tblPrEx>
          <w:tblW w:w="11335" w:type="dxa"/>
          <w:jc w:val="center"/>
          <w:tblLook w:val="04A0"/>
        </w:tblPrEx>
        <w:trPr>
          <w:trHeight w:val="390"/>
          <w:jc w:val="center"/>
        </w:trPr>
        <w:tc>
          <w:tcPr>
            <w:tcW w:w="3171" w:type="dxa"/>
            <w:shd w:val="clear" w:color="auto" w:fill="auto"/>
            <w:vAlign w:val="center"/>
            <w:hideMark/>
          </w:tcPr>
          <w:p w:rsidR="00A0318C" w:rsidRPr="00BE7175" w:rsidP="004B48C7" w14:paraId="7F4942C4" w14:textId="77777777">
            <w:pPr>
              <w:autoSpaceDE/>
              <w:autoSpaceDN/>
              <w:adjustRightInd/>
              <w:jc w:val="center"/>
              <w:rPr>
                <w:rFonts w:cs="Arial"/>
                <w:b/>
                <w:bCs/>
              </w:rPr>
            </w:pPr>
            <w:r w:rsidRPr="00BE7175">
              <w:rPr>
                <w:rFonts w:cs="Arial"/>
                <w:b/>
                <w:bCs/>
              </w:rPr>
              <w:t xml:space="preserve">Total </w:t>
            </w:r>
            <w:r w:rsidR="004315CD">
              <w:rPr>
                <w:rFonts w:cs="Arial"/>
                <w:b/>
                <w:bCs/>
              </w:rPr>
              <w:t>Licensee</w:t>
            </w:r>
            <w:r w:rsidRPr="00BE7175">
              <w:rPr>
                <w:rFonts w:cs="Arial"/>
                <w:b/>
                <w:bCs/>
              </w:rPr>
              <w:t xml:space="preserve"> Operation Cost per Initial FSAR Update</w:t>
            </w:r>
          </w:p>
        </w:tc>
        <w:tc>
          <w:tcPr>
            <w:tcW w:w="1796" w:type="dxa"/>
            <w:shd w:val="clear" w:color="auto" w:fill="auto"/>
            <w:noWrap/>
            <w:vAlign w:val="center"/>
            <w:hideMark/>
          </w:tcPr>
          <w:p w:rsidR="00A0318C" w:rsidRPr="00BE7175" w:rsidP="00C8113D" w14:paraId="7F4942C5" w14:textId="77777777">
            <w:pPr>
              <w:autoSpaceDE/>
              <w:autoSpaceDN/>
              <w:adjustRightInd/>
              <w:jc w:val="center"/>
              <w:rPr>
                <w:rFonts w:cs="Arial"/>
                <w:color w:val="000000"/>
              </w:rPr>
            </w:pPr>
            <w:r>
              <w:rPr>
                <w:rFonts w:cs="Arial"/>
                <w:color w:val="000000"/>
              </w:rPr>
              <w:t>(</w:t>
            </w:r>
            <w:r w:rsidRPr="00761217">
              <w:rPr>
                <w:rFonts w:cs="Arial"/>
                <w:color w:val="000000"/>
              </w:rPr>
              <w:t>$69,197</w:t>
            </w:r>
            <w:r>
              <w:rPr>
                <w:rFonts w:cs="Arial"/>
                <w:color w:val="000000"/>
              </w:rPr>
              <w:t>)</w:t>
            </w:r>
          </w:p>
        </w:tc>
        <w:tc>
          <w:tcPr>
            <w:tcW w:w="2048" w:type="dxa"/>
            <w:shd w:val="clear" w:color="auto" w:fill="auto"/>
            <w:noWrap/>
            <w:vAlign w:val="center"/>
            <w:hideMark/>
          </w:tcPr>
          <w:p w:rsidR="00A0318C" w:rsidRPr="00BE7175" w:rsidP="00C8113D" w14:paraId="7F4942C6" w14:textId="77777777">
            <w:pPr>
              <w:autoSpaceDE/>
              <w:autoSpaceDN/>
              <w:adjustRightInd/>
              <w:jc w:val="center"/>
              <w:rPr>
                <w:rFonts w:cs="Arial"/>
                <w:color w:val="000000"/>
              </w:rPr>
            </w:pPr>
            <w:r>
              <w:rPr>
                <w:rFonts w:cs="Arial"/>
                <w:color w:val="000000"/>
              </w:rPr>
              <w:t>(</w:t>
            </w:r>
            <w:r w:rsidRPr="00761217">
              <w:rPr>
                <w:rFonts w:cs="Arial"/>
                <w:color w:val="000000"/>
              </w:rPr>
              <w:t>$435,943</w:t>
            </w:r>
            <w:r>
              <w:rPr>
                <w:rFonts w:cs="Arial"/>
                <w:color w:val="000000"/>
              </w:rPr>
              <w:t>)</w:t>
            </w:r>
          </w:p>
        </w:tc>
        <w:tc>
          <w:tcPr>
            <w:tcW w:w="2160" w:type="dxa"/>
            <w:shd w:val="clear" w:color="auto" w:fill="auto"/>
            <w:noWrap/>
            <w:vAlign w:val="center"/>
            <w:hideMark/>
          </w:tcPr>
          <w:p w:rsidR="00A0318C" w:rsidRPr="00BE7175" w:rsidP="00C8113D" w14:paraId="7F4942C7" w14:textId="77777777">
            <w:pPr>
              <w:autoSpaceDE/>
              <w:autoSpaceDN/>
              <w:adjustRightInd/>
              <w:jc w:val="center"/>
              <w:rPr>
                <w:rFonts w:cs="Arial"/>
                <w:color w:val="000000"/>
              </w:rPr>
            </w:pPr>
            <w:r>
              <w:rPr>
                <w:rFonts w:cs="Arial"/>
                <w:color w:val="000000"/>
              </w:rPr>
              <w:t>(</w:t>
            </w:r>
            <w:r w:rsidRPr="00761217">
              <w:rPr>
                <w:rFonts w:cs="Arial"/>
                <w:color w:val="000000"/>
              </w:rPr>
              <w:t>$147,025</w:t>
            </w:r>
            <w:r>
              <w:rPr>
                <w:rFonts w:cs="Arial"/>
                <w:color w:val="000000"/>
              </w:rPr>
              <w:t>)</w:t>
            </w:r>
          </w:p>
        </w:tc>
        <w:tc>
          <w:tcPr>
            <w:tcW w:w="2160" w:type="dxa"/>
            <w:shd w:val="clear" w:color="auto" w:fill="auto"/>
            <w:noWrap/>
            <w:vAlign w:val="center"/>
            <w:hideMark/>
          </w:tcPr>
          <w:p w:rsidR="00A0318C" w:rsidRPr="00BE7175" w:rsidP="00C8113D" w14:paraId="7F4942C8" w14:textId="77777777">
            <w:pPr>
              <w:autoSpaceDE/>
              <w:autoSpaceDN/>
              <w:adjustRightInd/>
              <w:jc w:val="center"/>
              <w:rPr>
                <w:rFonts w:cs="Arial"/>
                <w:color w:val="000000"/>
              </w:rPr>
            </w:pPr>
            <w:r>
              <w:rPr>
                <w:rFonts w:cs="Arial"/>
                <w:color w:val="000000"/>
              </w:rPr>
              <w:t>(</w:t>
            </w:r>
            <w:r w:rsidRPr="00761217">
              <w:rPr>
                <w:rFonts w:cs="Arial"/>
                <w:color w:val="000000"/>
              </w:rPr>
              <w:t>$127,248</w:t>
            </w:r>
            <w:r>
              <w:rPr>
                <w:rFonts w:cs="Arial"/>
                <w:color w:val="000000"/>
              </w:rPr>
              <w:t>)</w:t>
            </w:r>
          </w:p>
        </w:tc>
      </w:tr>
      <w:tr w14:paraId="7F4942CF" w14:textId="77777777" w:rsidTr="00D96410">
        <w:tblPrEx>
          <w:tblW w:w="11335" w:type="dxa"/>
          <w:jc w:val="center"/>
          <w:tblLook w:val="04A0"/>
        </w:tblPrEx>
        <w:trPr>
          <w:trHeight w:val="390"/>
          <w:jc w:val="center"/>
        </w:trPr>
        <w:tc>
          <w:tcPr>
            <w:tcW w:w="3171" w:type="dxa"/>
            <w:shd w:val="clear" w:color="auto" w:fill="auto"/>
            <w:noWrap/>
            <w:vAlign w:val="center"/>
            <w:hideMark/>
          </w:tcPr>
          <w:p w:rsidR="00A0318C" w:rsidRPr="00BE7175" w:rsidP="00027F92" w14:paraId="7F4942CA" w14:textId="77777777">
            <w:pPr>
              <w:autoSpaceDE/>
              <w:autoSpaceDN/>
              <w:adjustRightInd/>
              <w:jc w:val="center"/>
              <w:rPr>
                <w:rFonts w:cs="Arial"/>
                <w:b/>
                <w:bCs/>
              </w:rPr>
            </w:pPr>
            <w:r w:rsidRPr="00BE7175">
              <w:rPr>
                <w:rFonts w:cs="Arial"/>
                <w:b/>
                <w:bCs/>
              </w:rPr>
              <w:t xml:space="preserve">Total </w:t>
            </w:r>
            <w:r w:rsidR="004315CD">
              <w:rPr>
                <w:rFonts w:cs="Arial"/>
                <w:b/>
                <w:bCs/>
              </w:rPr>
              <w:t>Licensee</w:t>
            </w:r>
            <w:r w:rsidRPr="00BE7175">
              <w:rPr>
                <w:rFonts w:cs="Arial"/>
                <w:b/>
                <w:bCs/>
              </w:rPr>
              <w:t xml:space="preserve"> Operation Cost per Ongoing FSAR Update</w:t>
            </w:r>
            <w:r w:rsidR="00A47352">
              <w:rPr>
                <w:rFonts w:cs="Arial"/>
                <w:b/>
                <w:bCs/>
              </w:rPr>
              <w:t xml:space="preserve"> </w:t>
            </w:r>
            <w:r w:rsidRPr="00BE7175">
              <w:rPr>
                <w:rFonts w:cs="Arial"/>
                <w:b/>
                <w:bCs/>
              </w:rPr>
              <w:t>(</w:t>
            </w:r>
            <w:r w:rsidR="00D92E7E">
              <w:rPr>
                <w:rFonts w:cs="Arial"/>
                <w:b/>
                <w:bCs/>
              </w:rPr>
              <w:t>e</w:t>
            </w:r>
            <w:r w:rsidRPr="00BE7175">
              <w:rPr>
                <w:rFonts w:cs="Arial"/>
                <w:b/>
                <w:bCs/>
              </w:rPr>
              <w:t xml:space="preserve">very 4 </w:t>
            </w:r>
            <w:r w:rsidR="00D92E7E">
              <w:rPr>
                <w:rFonts w:cs="Arial"/>
                <w:b/>
                <w:bCs/>
              </w:rPr>
              <w:t>y</w:t>
            </w:r>
            <w:r w:rsidRPr="00BE7175">
              <w:rPr>
                <w:rFonts w:cs="Arial"/>
                <w:b/>
                <w:bCs/>
              </w:rPr>
              <w:t>ears)</w:t>
            </w:r>
          </w:p>
        </w:tc>
        <w:tc>
          <w:tcPr>
            <w:tcW w:w="1796" w:type="dxa"/>
            <w:shd w:val="clear" w:color="auto" w:fill="auto"/>
            <w:noWrap/>
            <w:vAlign w:val="center"/>
            <w:hideMark/>
          </w:tcPr>
          <w:p w:rsidR="00A0318C" w:rsidRPr="00BE7175" w:rsidP="00C8113D" w14:paraId="7F4942CB" w14:textId="77777777">
            <w:pPr>
              <w:autoSpaceDE/>
              <w:autoSpaceDN/>
              <w:adjustRightInd/>
              <w:jc w:val="center"/>
              <w:rPr>
                <w:rFonts w:cs="Arial"/>
                <w:color w:val="000000"/>
              </w:rPr>
            </w:pPr>
            <w:r>
              <w:rPr>
                <w:rFonts w:cs="Arial"/>
                <w:color w:val="000000"/>
              </w:rPr>
              <w:t>(</w:t>
            </w:r>
            <w:r w:rsidRPr="00761217">
              <w:rPr>
                <w:rFonts w:cs="Arial"/>
                <w:color w:val="000000"/>
              </w:rPr>
              <w:t>$17,401</w:t>
            </w:r>
            <w:r>
              <w:rPr>
                <w:rFonts w:cs="Arial"/>
                <w:color w:val="000000"/>
              </w:rPr>
              <w:t>)</w:t>
            </w:r>
          </w:p>
        </w:tc>
        <w:tc>
          <w:tcPr>
            <w:tcW w:w="2048" w:type="dxa"/>
            <w:shd w:val="clear" w:color="auto" w:fill="auto"/>
            <w:noWrap/>
            <w:vAlign w:val="center"/>
            <w:hideMark/>
          </w:tcPr>
          <w:p w:rsidR="00A0318C" w:rsidRPr="00BE7175" w:rsidP="00C8113D" w14:paraId="7F4942CC" w14:textId="77777777">
            <w:pPr>
              <w:autoSpaceDE/>
              <w:autoSpaceDN/>
              <w:adjustRightInd/>
              <w:jc w:val="center"/>
              <w:rPr>
                <w:rFonts w:cs="Arial"/>
                <w:color w:val="000000"/>
              </w:rPr>
            </w:pPr>
            <w:r>
              <w:rPr>
                <w:rFonts w:cs="Arial"/>
                <w:color w:val="000000"/>
              </w:rPr>
              <w:t>(</w:t>
            </w:r>
            <w:r w:rsidRPr="00761217">
              <w:rPr>
                <w:rFonts w:cs="Arial"/>
                <w:color w:val="000000"/>
              </w:rPr>
              <w:t>$109,841</w:t>
            </w:r>
            <w:r>
              <w:rPr>
                <w:rFonts w:cs="Arial"/>
                <w:color w:val="000000"/>
              </w:rPr>
              <w:t>)</w:t>
            </w:r>
          </w:p>
        </w:tc>
        <w:tc>
          <w:tcPr>
            <w:tcW w:w="2160" w:type="dxa"/>
            <w:shd w:val="clear" w:color="auto" w:fill="auto"/>
            <w:noWrap/>
            <w:vAlign w:val="center"/>
            <w:hideMark/>
          </w:tcPr>
          <w:p w:rsidR="00A0318C" w:rsidRPr="00BE7175" w:rsidP="00C8113D" w14:paraId="7F4942CD" w14:textId="77777777">
            <w:pPr>
              <w:autoSpaceDE/>
              <w:autoSpaceDN/>
              <w:adjustRightInd/>
              <w:jc w:val="center"/>
              <w:rPr>
                <w:rFonts w:cs="Arial"/>
                <w:color w:val="000000"/>
              </w:rPr>
            </w:pPr>
            <w:r>
              <w:rPr>
                <w:rFonts w:cs="Arial"/>
                <w:color w:val="000000"/>
              </w:rPr>
              <w:t>(</w:t>
            </w:r>
            <w:r w:rsidRPr="00761217">
              <w:rPr>
                <w:rFonts w:cs="Arial"/>
                <w:color w:val="000000"/>
              </w:rPr>
              <w:t>$37,035</w:t>
            </w:r>
            <w:r>
              <w:rPr>
                <w:rFonts w:cs="Arial"/>
                <w:color w:val="000000"/>
              </w:rPr>
              <w:t>)</w:t>
            </w:r>
          </w:p>
        </w:tc>
        <w:tc>
          <w:tcPr>
            <w:tcW w:w="2160" w:type="dxa"/>
            <w:shd w:val="clear" w:color="auto" w:fill="auto"/>
            <w:noWrap/>
            <w:vAlign w:val="center"/>
            <w:hideMark/>
          </w:tcPr>
          <w:p w:rsidR="00A0318C" w:rsidRPr="00BE7175" w:rsidP="00C8113D" w14:paraId="7F4942CE" w14:textId="77777777">
            <w:pPr>
              <w:autoSpaceDE/>
              <w:autoSpaceDN/>
              <w:adjustRightInd/>
              <w:jc w:val="center"/>
              <w:rPr>
                <w:rFonts w:cs="Arial"/>
                <w:color w:val="000000"/>
              </w:rPr>
            </w:pPr>
            <w:r>
              <w:rPr>
                <w:rFonts w:cs="Arial"/>
                <w:color w:val="000000"/>
              </w:rPr>
              <w:t>(</w:t>
            </w:r>
            <w:r w:rsidRPr="00761217">
              <w:rPr>
                <w:rFonts w:cs="Arial"/>
                <w:color w:val="000000"/>
              </w:rPr>
              <w:t>$32,054</w:t>
            </w:r>
            <w:r>
              <w:rPr>
                <w:rFonts w:cs="Arial"/>
                <w:color w:val="000000"/>
              </w:rPr>
              <w:t>)</w:t>
            </w:r>
          </w:p>
        </w:tc>
      </w:tr>
      <w:tr w14:paraId="7F4942D2" w14:textId="77777777" w:rsidTr="00D96410">
        <w:tblPrEx>
          <w:tblW w:w="11335" w:type="dxa"/>
          <w:jc w:val="center"/>
          <w:tblLook w:val="04A0"/>
        </w:tblPrEx>
        <w:trPr>
          <w:trHeight w:val="390"/>
          <w:jc w:val="center"/>
        </w:trPr>
        <w:tc>
          <w:tcPr>
            <w:tcW w:w="3171" w:type="dxa"/>
            <w:shd w:val="clear" w:color="auto" w:fill="auto"/>
            <w:noWrap/>
            <w:vAlign w:val="center"/>
            <w:hideMark/>
          </w:tcPr>
          <w:p w:rsidR="00A0318C" w:rsidRPr="00BE7175" w:rsidP="00027F92" w14:paraId="7F4942D0" w14:textId="77777777">
            <w:pPr>
              <w:autoSpaceDE/>
              <w:autoSpaceDN/>
              <w:adjustRightInd/>
              <w:jc w:val="center"/>
              <w:rPr>
                <w:rFonts w:cs="Arial"/>
                <w:b/>
                <w:bCs/>
                <w:color w:val="000000"/>
              </w:rPr>
            </w:pPr>
            <w:r w:rsidRPr="00BE7175">
              <w:rPr>
                <w:rFonts w:cs="Arial"/>
                <w:b/>
                <w:bCs/>
                <w:color w:val="000000"/>
              </w:rPr>
              <w:t xml:space="preserve">Total </w:t>
            </w:r>
            <w:r w:rsidR="004315CD">
              <w:rPr>
                <w:rFonts w:cs="Arial"/>
                <w:b/>
                <w:bCs/>
                <w:color w:val="000000"/>
              </w:rPr>
              <w:t>Licensee</w:t>
            </w:r>
            <w:r w:rsidRPr="00BE7175">
              <w:rPr>
                <w:rFonts w:cs="Arial"/>
                <w:b/>
                <w:bCs/>
                <w:color w:val="000000"/>
              </w:rPr>
              <w:t xml:space="preserve"> Operation Cost in </w:t>
            </w:r>
            <w:r w:rsidR="004B48C7">
              <w:rPr>
                <w:rFonts w:cs="Arial"/>
                <w:b/>
                <w:bCs/>
                <w:color w:val="000000"/>
              </w:rPr>
              <w:t>A</w:t>
            </w:r>
            <w:r w:rsidRPr="00BE7175">
              <w:rPr>
                <w:rFonts w:cs="Arial"/>
                <w:b/>
                <w:bCs/>
                <w:color w:val="000000"/>
              </w:rPr>
              <w:t xml:space="preserve">nalysis </w:t>
            </w:r>
            <w:r w:rsidR="004B48C7">
              <w:rPr>
                <w:rFonts w:cs="Arial"/>
                <w:b/>
                <w:bCs/>
                <w:color w:val="000000"/>
              </w:rPr>
              <w:t>P</w:t>
            </w:r>
            <w:r w:rsidRPr="00BE7175">
              <w:rPr>
                <w:rFonts w:cs="Arial"/>
                <w:b/>
                <w:bCs/>
                <w:color w:val="000000"/>
              </w:rPr>
              <w:t>eriod (20 years)</w:t>
            </w:r>
          </w:p>
        </w:tc>
        <w:tc>
          <w:tcPr>
            <w:tcW w:w="8164" w:type="dxa"/>
            <w:gridSpan w:val="4"/>
            <w:shd w:val="clear" w:color="auto" w:fill="auto"/>
            <w:noWrap/>
            <w:vAlign w:val="center"/>
            <w:hideMark/>
          </w:tcPr>
          <w:p w:rsidR="00A0318C" w:rsidRPr="00C8113D" w:rsidP="00C8113D" w14:paraId="7F4942D1" w14:textId="77777777">
            <w:pPr>
              <w:autoSpaceDE/>
              <w:autoSpaceDN/>
              <w:adjustRightInd/>
              <w:jc w:val="center"/>
              <w:rPr>
                <w:rFonts w:cs="Arial"/>
                <w:b/>
                <w:color w:val="000000"/>
              </w:rPr>
            </w:pPr>
            <w:r w:rsidRPr="001456B4">
              <w:rPr>
                <w:rFonts w:cs="Arial"/>
                <w:b/>
                <w:color w:val="000000"/>
              </w:rPr>
              <w:t>($1,323,836)</w:t>
            </w:r>
          </w:p>
        </w:tc>
      </w:tr>
    </w:tbl>
    <w:p w:rsidR="00A0318C" w:rsidP="00A0318C" w14:paraId="7F4942D3" w14:textId="77777777">
      <w:pPr>
        <w:keepNext/>
        <w:jc w:val="center"/>
        <w:rPr>
          <w:rFonts w:cs="Arial"/>
          <w:b/>
        </w:rPr>
      </w:pPr>
    </w:p>
    <w:p w:rsidR="00A0318C" w:rsidP="00A0318C" w14:paraId="7F4942D4" w14:textId="77777777">
      <w:pPr>
        <w:keepNext/>
        <w:jc w:val="center"/>
        <w:rPr>
          <w:rFonts w:cs="Arial"/>
          <w:b/>
        </w:rPr>
      </w:pPr>
    </w:p>
    <w:p w:rsidR="002C5DA2" w:rsidRPr="00D96410" w:rsidP="00D341C4" w14:paraId="7F4942D5" w14:textId="4010EC82">
      <w:pPr>
        <w:pStyle w:val="Caption"/>
        <w:keepNext/>
        <w:spacing w:after="0"/>
        <w:jc w:val="center"/>
        <w:rPr>
          <w:b/>
          <w:color w:val="auto"/>
          <w:sz w:val="20"/>
        </w:rPr>
      </w:pPr>
      <w:bookmarkStart w:id="560" w:name="_Toc534710032"/>
      <w:bookmarkStart w:id="561" w:name="_Toc534711717"/>
      <w:bookmarkStart w:id="562" w:name="_Toc534712150"/>
      <w:bookmarkStart w:id="563" w:name="_Toc534712727"/>
      <w:bookmarkStart w:id="564" w:name="_Toc534713236"/>
      <w:bookmarkStart w:id="565" w:name="_Toc9526496"/>
      <w:bookmarkStart w:id="566" w:name="_Toc536603445"/>
      <w:r w:rsidRPr="00D96410">
        <w:rPr>
          <w:b/>
          <w:i w:val="0"/>
          <w:color w:val="auto"/>
          <w:sz w:val="22"/>
        </w:rPr>
        <w:t>Exhibit A</w:t>
      </w:r>
      <w:r w:rsidRPr="00D96410">
        <w:rPr>
          <w:b/>
          <w:i w:val="0"/>
          <w:color w:val="auto"/>
          <w:sz w:val="22"/>
        </w:rPr>
        <w:noBreakHyphen/>
      </w:r>
      <w:r w:rsidRPr="00D96410">
        <w:rPr>
          <w:b/>
          <w:i w:val="0"/>
          <w:color w:val="auto"/>
          <w:sz w:val="22"/>
        </w:rPr>
        <w:fldChar w:fldCharType="begin"/>
      </w:r>
      <w:r w:rsidRPr="00D96410">
        <w:rPr>
          <w:b/>
          <w:i w:val="0"/>
          <w:color w:val="auto"/>
          <w:sz w:val="22"/>
        </w:rPr>
        <w:instrText xml:space="preserve"> SEQ Exhibit \* ARABIC \r 4 </w:instrText>
      </w:r>
      <w:r w:rsidRPr="00D96410">
        <w:rPr>
          <w:b/>
          <w:i w:val="0"/>
          <w:color w:val="auto"/>
          <w:sz w:val="22"/>
        </w:rPr>
        <w:fldChar w:fldCharType="separate"/>
      </w:r>
      <w:r w:rsidR="00977795">
        <w:rPr>
          <w:b/>
          <w:i w:val="0"/>
          <w:noProof/>
          <w:color w:val="auto"/>
          <w:sz w:val="22"/>
        </w:rPr>
        <w:t>4</w:t>
      </w:r>
      <w:r w:rsidRPr="00D96410">
        <w:rPr>
          <w:b/>
          <w:i w:val="0"/>
          <w:color w:val="auto"/>
          <w:sz w:val="22"/>
        </w:rPr>
        <w:fldChar w:fldCharType="end"/>
      </w:r>
      <w:r w:rsidRPr="00D96410">
        <w:rPr>
          <w:b/>
          <w:i w:val="0"/>
          <w:color w:val="auto"/>
          <w:sz w:val="22"/>
        </w:rPr>
        <w:t>d</w:t>
      </w:r>
      <w:r w:rsidRPr="00D96410">
        <w:rPr>
          <w:b/>
          <w:i w:val="0"/>
          <w:color w:val="auto"/>
          <w:sz w:val="22"/>
        </w:rPr>
        <w:t>. NRC Implementation Costs of the Final Rule</w:t>
      </w:r>
      <w:bookmarkEnd w:id="560"/>
      <w:bookmarkEnd w:id="561"/>
      <w:bookmarkEnd w:id="562"/>
      <w:bookmarkEnd w:id="563"/>
      <w:bookmarkEnd w:id="564"/>
      <w:bookmarkEnd w:id="565"/>
      <w:bookmarkEnd w:id="566"/>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6"/>
        <w:gridCol w:w="1239"/>
        <w:gridCol w:w="1891"/>
        <w:gridCol w:w="2251"/>
        <w:gridCol w:w="1349"/>
        <w:gridCol w:w="2399"/>
      </w:tblGrid>
      <w:tr w14:paraId="7F4942D9" w14:textId="77777777" w:rsidTr="00D96410">
        <w:tblPrEx>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blHeader/>
          <w:jc w:val="center"/>
        </w:trPr>
        <w:tc>
          <w:tcPr>
            <w:tcW w:w="1176" w:type="pct"/>
            <w:vMerge w:val="restart"/>
            <w:shd w:val="clear" w:color="auto" w:fill="auto"/>
            <w:vAlign w:val="center"/>
            <w:hideMark/>
          </w:tcPr>
          <w:p w:rsidR="00A47352" w:rsidRPr="0053787B" w:rsidP="00A0318C" w14:paraId="7F4942D6" w14:textId="77777777">
            <w:pPr>
              <w:autoSpaceDE/>
              <w:autoSpaceDN/>
              <w:adjustRightInd/>
              <w:jc w:val="center"/>
              <w:rPr>
                <w:rFonts w:cs="Arial"/>
                <w:b/>
                <w:bCs/>
              </w:rPr>
            </w:pPr>
            <w:r w:rsidRPr="0053787B">
              <w:rPr>
                <w:rFonts w:cs="Arial"/>
                <w:b/>
                <w:bCs/>
              </w:rPr>
              <w:t>Post-Rule Process Steps</w:t>
            </w:r>
          </w:p>
        </w:tc>
        <w:tc>
          <w:tcPr>
            <w:tcW w:w="2819" w:type="pct"/>
            <w:gridSpan w:val="4"/>
            <w:shd w:val="clear" w:color="auto" w:fill="auto"/>
            <w:noWrap/>
            <w:vAlign w:val="center"/>
            <w:hideMark/>
          </w:tcPr>
          <w:p w:rsidR="00A47352" w:rsidRPr="0053787B" w:rsidP="00A0318C" w14:paraId="7F4942D7" w14:textId="77777777">
            <w:pPr>
              <w:autoSpaceDE/>
              <w:autoSpaceDN/>
              <w:adjustRightInd/>
              <w:jc w:val="center"/>
              <w:rPr>
                <w:rFonts w:cs="Arial"/>
                <w:b/>
                <w:bCs/>
                <w:color w:val="000000"/>
              </w:rPr>
            </w:pPr>
            <w:r w:rsidRPr="0053787B">
              <w:rPr>
                <w:rFonts w:cs="Arial"/>
                <w:b/>
                <w:bCs/>
                <w:color w:val="000000"/>
              </w:rPr>
              <w:t>Cost Inputs</w:t>
            </w:r>
          </w:p>
        </w:tc>
        <w:tc>
          <w:tcPr>
            <w:tcW w:w="1005" w:type="pct"/>
            <w:shd w:val="clear" w:color="auto" w:fill="auto"/>
            <w:noWrap/>
            <w:vAlign w:val="center"/>
            <w:hideMark/>
          </w:tcPr>
          <w:p w:rsidR="00A47352" w:rsidRPr="0053787B" w:rsidP="00A0318C" w14:paraId="7F4942D8" w14:textId="77777777">
            <w:pPr>
              <w:autoSpaceDE/>
              <w:autoSpaceDN/>
              <w:adjustRightInd/>
              <w:jc w:val="center"/>
              <w:rPr>
                <w:rFonts w:cs="Arial"/>
                <w:b/>
                <w:bCs/>
                <w:color w:val="000000"/>
              </w:rPr>
            </w:pPr>
            <w:r w:rsidRPr="0053787B">
              <w:rPr>
                <w:rFonts w:cs="Arial"/>
                <w:b/>
                <w:bCs/>
                <w:color w:val="000000"/>
              </w:rPr>
              <w:t>Cost per Category</w:t>
            </w:r>
          </w:p>
        </w:tc>
      </w:tr>
      <w:tr w14:paraId="7F4942E0" w14:textId="77777777" w:rsidTr="00D96410">
        <w:tblPrEx>
          <w:tblW w:w="4608" w:type="pct"/>
          <w:jc w:val="center"/>
          <w:tblLayout w:type="fixed"/>
          <w:tblLook w:val="04A0"/>
        </w:tblPrEx>
        <w:trPr>
          <w:trHeight w:val="390"/>
          <w:tblHeader/>
          <w:jc w:val="center"/>
        </w:trPr>
        <w:tc>
          <w:tcPr>
            <w:tcW w:w="1176" w:type="pct"/>
            <w:vMerge/>
            <w:vAlign w:val="center"/>
            <w:hideMark/>
          </w:tcPr>
          <w:p w:rsidR="00A47352" w:rsidRPr="0053787B" w:rsidP="00A0318C" w14:paraId="7F4942DA" w14:textId="77777777">
            <w:pPr>
              <w:autoSpaceDE/>
              <w:autoSpaceDN/>
              <w:adjustRightInd/>
              <w:rPr>
                <w:rFonts w:cs="Arial"/>
                <w:b/>
                <w:bCs/>
              </w:rPr>
            </w:pPr>
          </w:p>
        </w:tc>
        <w:tc>
          <w:tcPr>
            <w:tcW w:w="519" w:type="pct"/>
            <w:vMerge w:val="restart"/>
            <w:shd w:val="clear" w:color="auto" w:fill="auto"/>
            <w:vAlign w:val="center"/>
            <w:hideMark/>
          </w:tcPr>
          <w:p w:rsidR="00A47352" w:rsidRPr="0053787B" w:rsidP="00A0318C" w14:paraId="7F4942DB" w14:textId="77777777">
            <w:pPr>
              <w:autoSpaceDE/>
              <w:autoSpaceDN/>
              <w:adjustRightInd/>
              <w:jc w:val="center"/>
              <w:rPr>
                <w:rFonts w:cs="Arial"/>
                <w:b/>
                <w:bCs/>
              </w:rPr>
            </w:pPr>
            <w:r w:rsidRPr="0053787B">
              <w:rPr>
                <w:rFonts w:cs="Arial"/>
                <w:b/>
                <w:bCs/>
              </w:rPr>
              <w:t>Labor Category or Input</w:t>
            </w:r>
          </w:p>
        </w:tc>
        <w:tc>
          <w:tcPr>
            <w:tcW w:w="792" w:type="pct"/>
            <w:shd w:val="clear" w:color="auto" w:fill="auto"/>
            <w:noWrap/>
            <w:vAlign w:val="center"/>
            <w:hideMark/>
          </w:tcPr>
          <w:p w:rsidR="00A47352" w:rsidRPr="0053787B" w:rsidP="00A0318C" w14:paraId="7F4942DC" w14:textId="77777777">
            <w:pPr>
              <w:autoSpaceDE/>
              <w:autoSpaceDN/>
              <w:adjustRightInd/>
              <w:jc w:val="center"/>
              <w:rPr>
                <w:rFonts w:cs="Arial"/>
                <w:b/>
                <w:bCs/>
              </w:rPr>
            </w:pPr>
            <w:r w:rsidRPr="0053787B">
              <w:rPr>
                <w:rFonts w:cs="Arial"/>
                <w:b/>
                <w:bCs/>
              </w:rPr>
              <w:t>Hours per Category</w:t>
            </w:r>
          </w:p>
        </w:tc>
        <w:tc>
          <w:tcPr>
            <w:tcW w:w="943" w:type="pct"/>
            <w:vMerge w:val="restart"/>
            <w:shd w:val="clear" w:color="auto" w:fill="auto"/>
            <w:noWrap/>
            <w:vAlign w:val="center"/>
            <w:hideMark/>
          </w:tcPr>
          <w:p w:rsidR="00A47352" w:rsidRPr="0053787B" w:rsidP="00A0318C" w14:paraId="7F4942DD" w14:textId="77777777">
            <w:pPr>
              <w:autoSpaceDE/>
              <w:autoSpaceDN/>
              <w:adjustRightInd/>
              <w:jc w:val="center"/>
              <w:rPr>
                <w:rFonts w:cs="Arial"/>
                <w:b/>
                <w:bCs/>
              </w:rPr>
            </w:pPr>
            <w:r w:rsidRPr="0053787B">
              <w:rPr>
                <w:rFonts w:cs="Arial"/>
                <w:b/>
                <w:bCs/>
              </w:rPr>
              <w:t>Rate</w:t>
            </w:r>
          </w:p>
        </w:tc>
        <w:tc>
          <w:tcPr>
            <w:tcW w:w="565" w:type="pct"/>
            <w:vMerge w:val="restart"/>
            <w:shd w:val="clear" w:color="auto" w:fill="auto"/>
            <w:noWrap/>
            <w:vAlign w:val="center"/>
            <w:hideMark/>
          </w:tcPr>
          <w:p w:rsidR="00A47352" w:rsidRPr="0053787B" w:rsidP="00A0318C" w14:paraId="7F4942DE" w14:textId="77777777">
            <w:pPr>
              <w:autoSpaceDE/>
              <w:autoSpaceDN/>
              <w:adjustRightInd/>
              <w:jc w:val="center"/>
              <w:rPr>
                <w:rFonts w:cs="Arial"/>
                <w:b/>
                <w:bCs/>
              </w:rPr>
            </w:pPr>
            <w:r w:rsidRPr="0053787B">
              <w:rPr>
                <w:rFonts w:cs="Arial"/>
                <w:b/>
                <w:bCs/>
              </w:rPr>
              <w:t>Workload</w:t>
            </w:r>
          </w:p>
        </w:tc>
        <w:tc>
          <w:tcPr>
            <w:tcW w:w="1005" w:type="pct"/>
            <w:vMerge w:val="restart"/>
            <w:shd w:val="clear" w:color="auto" w:fill="auto"/>
            <w:noWrap/>
            <w:vAlign w:val="center"/>
            <w:hideMark/>
          </w:tcPr>
          <w:p w:rsidR="00A47352" w:rsidRPr="0053787B" w:rsidP="00A0318C" w14:paraId="7F4942DF" w14:textId="77777777">
            <w:pPr>
              <w:autoSpaceDE/>
              <w:autoSpaceDN/>
              <w:adjustRightInd/>
              <w:jc w:val="center"/>
              <w:rPr>
                <w:rFonts w:cs="Arial"/>
                <w:b/>
                <w:bCs/>
                <w:color w:val="000000"/>
              </w:rPr>
            </w:pPr>
            <w:r w:rsidRPr="0053787B">
              <w:rPr>
                <w:rFonts w:cs="Arial"/>
                <w:b/>
                <w:bCs/>
                <w:color w:val="000000"/>
              </w:rPr>
              <w:t>All Categories</w:t>
            </w:r>
          </w:p>
        </w:tc>
      </w:tr>
      <w:tr w14:paraId="7F4942E7" w14:textId="77777777" w:rsidTr="00D96410">
        <w:tblPrEx>
          <w:tblW w:w="4608" w:type="pct"/>
          <w:jc w:val="center"/>
          <w:tblLayout w:type="fixed"/>
          <w:tblLook w:val="04A0"/>
        </w:tblPrEx>
        <w:trPr>
          <w:trHeight w:val="390"/>
          <w:tblHeader/>
          <w:jc w:val="center"/>
        </w:trPr>
        <w:tc>
          <w:tcPr>
            <w:tcW w:w="1176" w:type="pct"/>
            <w:vMerge/>
            <w:vAlign w:val="center"/>
            <w:hideMark/>
          </w:tcPr>
          <w:p w:rsidR="00A47352" w:rsidRPr="0053787B" w:rsidP="00A0318C" w14:paraId="7F4942E1" w14:textId="77777777">
            <w:pPr>
              <w:autoSpaceDE/>
              <w:autoSpaceDN/>
              <w:adjustRightInd/>
              <w:rPr>
                <w:rFonts w:cs="Arial"/>
                <w:b/>
                <w:bCs/>
              </w:rPr>
            </w:pPr>
          </w:p>
        </w:tc>
        <w:tc>
          <w:tcPr>
            <w:tcW w:w="519" w:type="pct"/>
            <w:vMerge/>
            <w:vAlign w:val="center"/>
            <w:hideMark/>
          </w:tcPr>
          <w:p w:rsidR="00A47352" w:rsidRPr="0053787B" w:rsidP="00A0318C" w14:paraId="7F4942E2" w14:textId="77777777">
            <w:pPr>
              <w:autoSpaceDE/>
              <w:autoSpaceDN/>
              <w:adjustRightInd/>
              <w:rPr>
                <w:rFonts w:cs="Arial"/>
                <w:b/>
                <w:bCs/>
              </w:rPr>
            </w:pPr>
          </w:p>
        </w:tc>
        <w:tc>
          <w:tcPr>
            <w:tcW w:w="792" w:type="pct"/>
            <w:shd w:val="clear" w:color="auto" w:fill="auto"/>
            <w:vAlign w:val="center"/>
            <w:hideMark/>
          </w:tcPr>
          <w:p w:rsidR="00A47352" w:rsidRPr="0053787B" w:rsidP="00A0318C" w14:paraId="7F4942E3" w14:textId="77777777">
            <w:pPr>
              <w:autoSpaceDE/>
              <w:autoSpaceDN/>
              <w:adjustRightInd/>
              <w:jc w:val="center"/>
              <w:rPr>
                <w:rFonts w:cs="Arial"/>
                <w:b/>
                <w:bCs/>
              </w:rPr>
            </w:pPr>
            <w:r w:rsidRPr="0053787B">
              <w:rPr>
                <w:rFonts w:cs="Arial"/>
                <w:b/>
                <w:bCs/>
              </w:rPr>
              <w:t>All Categories</w:t>
            </w:r>
          </w:p>
        </w:tc>
        <w:tc>
          <w:tcPr>
            <w:tcW w:w="943" w:type="pct"/>
            <w:vMerge/>
            <w:vAlign w:val="center"/>
            <w:hideMark/>
          </w:tcPr>
          <w:p w:rsidR="00A47352" w:rsidRPr="0053787B" w:rsidP="00A0318C" w14:paraId="7F4942E4" w14:textId="77777777">
            <w:pPr>
              <w:autoSpaceDE/>
              <w:autoSpaceDN/>
              <w:adjustRightInd/>
              <w:rPr>
                <w:rFonts w:cs="Arial"/>
                <w:b/>
                <w:bCs/>
              </w:rPr>
            </w:pPr>
          </w:p>
        </w:tc>
        <w:tc>
          <w:tcPr>
            <w:tcW w:w="565" w:type="pct"/>
            <w:vMerge/>
            <w:vAlign w:val="center"/>
            <w:hideMark/>
          </w:tcPr>
          <w:p w:rsidR="00A47352" w:rsidRPr="0053787B" w:rsidP="00A0318C" w14:paraId="7F4942E5" w14:textId="77777777">
            <w:pPr>
              <w:autoSpaceDE/>
              <w:autoSpaceDN/>
              <w:adjustRightInd/>
              <w:rPr>
                <w:rFonts w:cs="Arial"/>
                <w:b/>
                <w:bCs/>
              </w:rPr>
            </w:pPr>
          </w:p>
        </w:tc>
        <w:tc>
          <w:tcPr>
            <w:tcW w:w="1005" w:type="pct"/>
            <w:vMerge/>
            <w:vAlign w:val="center"/>
            <w:hideMark/>
          </w:tcPr>
          <w:p w:rsidR="00A47352" w:rsidRPr="0053787B" w:rsidP="00A0318C" w14:paraId="7F4942E6" w14:textId="77777777">
            <w:pPr>
              <w:autoSpaceDE/>
              <w:autoSpaceDN/>
              <w:adjustRightInd/>
              <w:rPr>
                <w:rFonts w:cs="Arial"/>
                <w:b/>
                <w:bCs/>
                <w:color w:val="000000"/>
              </w:rPr>
            </w:pPr>
          </w:p>
        </w:tc>
      </w:tr>
      <w:tr w14:paraId="7F4942E9" w14:textId="77777777" w:rsidTr="00D96410">
        <w:tblPrEx>
          <w:tblW w:w="4608" w:type="pct"/>
          <w:jc w:val="center"/>
          <w:tblLayout w:type="fixed"/>
          <w:tblLook w:val="04A0"/>
        </w:tblPrEx>
        <w:trPr>
          <w:trHeight w:val="390"/>
          <w:tblHeader/>
          <w:jc w:val="center"/>
        </w:trPr>
        <w:tc>
          <w:tcPr>
            <w:tcW w:w="5000" w:type="pct"/>
            <w:gridSpan w:val="6"/>
            <w:shd w:val="clear" w:color="000000" w:fill="D9D9D9"/>
            <w:vAlign w:val="center"/>
            <w:hideMark/>
          </w:tcPr>
          <w:p w:rsidR="00A0318C" w:rsidRPr="0053787B" w:rsidP="00A0318C" w14:paraId="7F4942E8" w14:textId="77777777">
            <w:pPr>
              <w:autoSpaceDE/>
              <w:autoSpaceDN/>
              <w:adjustRightInd/>
              <w:jc w:val="center"/>
              <w:rPr>
                <w:rFonts w:cs="Arial"/>
                <w:b/>
                <w:bCs/>
                <w:color w:val="000000"/>
              </w:rPr>
            </w:pPr>
            <w:r w:rsidRPr="0053787B">
              <w:rPr>
                <w:rFonts w:cs="Arial"/>
                <w:b/>
                <w:bCs/>
                <w:color w:val="000000"/>
              </w:rPr>
              <w:t>NRC Implementation (One-Time) Costs</w:t>
            </w:r>
          </w:p>
        </w:tc>
      </w:tr>
      <w:tr w14:paraId="7F4942F0" w14:textId="77777777" w:rsidTr="00D96410">
        <w:tblPrEx>
          <w:tblW w:w="4608" w:type="pct"/>
          <w:jc w:val="center"/>
          <w:tblLayout w:type="fixed"/>
          <w:tblLook w:val="04A0"/>
        </w:tblPrEx>
        <w:trPr>
          <w:trHeight w:val="390"/>
          <w:jc w:val="center"/>
        </w:trPr>
        <w:tc>
          <w:tcPr>
            <w:tcW w:w="1176" w:type="pct"/>
            <w:shd w:val="clear" w:color="000000" w:fill="FFFFFF"/>
            <w:vAlign w:val="center"/>
            <w:hideMark/>
          </w:tcPr>
          <w:p w:rsidR="00A0318C" w:rsidRPr="0053787B" w:rsidP="00A0318C" w14:paraId="7F4942EA" w14:textId="77777777">
            <w:pPr>
              <w:autoSpaceDE/>
              <w:autoSpaceDN/>
              <w:adjustRightInd/>
              <w:rPr>
                <w:rFonts w:cs="Arial"/>
                <w:b/>
                <w:bCs/>
              </w:rPr>
            </w:pPr>
            <w:r>
              <w:rPr>
                <w:rFonts w:cs="Arial"/>
                <w:b/>
                <w:bCs/>
              </w:rPr>
              <w:t>Updating</w:t>
            </w:r>
            <w:r w:rsidRPr="0053787B">
              <w:rPr>
                <w:rFonts w:cs="Arial"/>
                <w:b/>
                <w:bCs/>
              </w:rPr>
              <w:t xml:space="preserve"> </w:t>
            </w:r>
            <w:r w:rsidRPr="0053787B">
              <w:rPr>
                <w:rFonts w:cs="Arial"/>
                <w:b/>
                <w:bCs/>
              </w:rPr>
              <w:t xml:space="preserve">Guidance on </w:t>
            </w:r>
            <w:r w:rsidR="00027F92">
              <w:rPr>
                <w:rFonts w:cs="Arial"/>
                <w:b/>
                <w:bCs/>
              </w:rPr>
              <w:t>R</w:t>
            </w:r>
            <w:r w:rsidRPr="0053787B">
              <w:rPr>
                <w:rFonts w:cs="Arial"/>
                <w:b/>
                <w:bCs/>
              </w:rPr>
              <w:t>evised L</w:t>
            </w:r>
            <w:r w:rsidR="00E83986">
              <w:rPr>
                <w:rFonts w:cs="Arial"/>
                <w:b/>
                <w:bCs/>
              </w:rPr>
              <w:t xml:space="preserve">icense </w:t>
            </w:r>
            <w:r w:rsidRPr="0053787B">
              <w:rPr>
                <w:rFonts w:cs="Arial"/>
                <w:b/>
                <w:bCs/>
              </w:rPr>
              <w:t>R</w:t>
            </w:r>
            <w:r w:rsidR="00E83986">
              <w:rPr>
                <w:rFonts w:cs="Arial"/>
                <w:b/>
                <w:bCs/>
              </w:rPr>
              <w:t>enewal</w:t>
            </w:r>
            <w:r w:rsidRPr="0053787B">
              <w:rPr>
                <w:rFonts w:cs="Arial"/>
                <w:b/>
                <w:bCs/>
              </w:rPr>
              <w:t xml:space="preserve"> Process</w:t>
            </w:r>
          </w:p>
        </w:tc>
        <w:tc>
          <w:tcPr>
            <w:tcW w:w="519" w:type="pct"/>
            <w:shd w:val="clear" w:color="000000" w:fill="FFFFFF"/>
            <w:vAlign w:val="center"/>
            <w:hideMark/>
          </w:tcPr>
          <w:p w:rsidR="00A0318C" w:rsidRPr="0053787B" w:rsidP="00027F92" w14:paraId="7F4942EB" w14:textId="77777777">
            <w:pPr>
              <w:autoSpaceDE/>
              <w:autoSpaceDN/>
              <w:adjustRightInd/>
              <w:jc w:val="center"/>
              <w:rPr>
                <w:rFonts w:cs="Arial"/>
              </w:rPr>
            </w:pPr>
            <w:r w:rsidRPr="0053787B">
              <w:rPr>
                <w:rFonts w:cs="Arial"/>
              </w:rPr>
              <w:t>NRC Staff</w:t>
            </w:r>
          </w:p>
        </w:tc>
        <w:tc>
          <w:tcPr>
            <w:tcW w:w="792" w:type="pct"/>
            <w:shd w:val="clear" w:color="000000" w:fill="FFFFFF"/>
            <w:vAlign w:val="center"/>
            <w:hideMark/>
          </w:tcPr>
          <w:p w:rsidR="00A0318C" w:rsidRPr="0053787B" w:rsidP="00A0318C" w14:paraId="7F4942EC" w14:textId="77777777">
            <w:pPr>
              <w:autoSpaceDE/>
              <w:autoSpaceDN/>
              <w:adjustRightInd/>
              <w:jc w:val="center"/>
              <w:rPr>
                <w:rFonts w:cs="Arial"/>
              </w:rPr>
            </w:pPr>
            <w:r w:rsidRPr="005421E2">
              <w:rPr>
                <w:rFonts w:cs="Arial"/>
              </w:rPr>
              <w:t>200</w:t>
            </w:r>
          </w:p>
        </w:tc>
        <w:tc>
          <w:tcPr>
            <w:tcW w:w="943" w:type="pct"/>
            <w:shd w:val="clear" w:color="000000" w:fill="FFFFFF"/>
            <w:noWrap/>
            <w:vAlign w:val="center"/>
            <w:hideMark/>
          </w:tcPr>
          <w:p w:rsidR="00A0318C" w:rsidRPr="0053787B" w:rsidP="00985FB5" w14:paraId="7F4942ED" w14:textId="77777777">
            <w:pPr>
              <w:autoSpaceDE/>
              <w:autoSpaceDN/>
              <w:adjustRightInd/>
              <w:jc w:val="center"/>
              <w:rPr>
                <w:rFonts w:cs="Arial"/>
              </w:rPr>
            </w:pPr>
            <w:r w:rsidRPr="0053787B">
              <w:rPr>
                <w:rFonts w:cs="Arial"/>
              </w:rPr>
              <w:t>$</w:t>
            </w:r>
            <w:r w:rsidRPr="005421E2" w:rsidR="00824428">
              <w:rPr>
                <w:rFonts w:cs="Arial"/>
              </w:rPr>
              <w:t>132</w:t>
            </w:r>
            <w:r w:rsidRPr="0053787B">
              <w:rPr>
                <w:rFonts w:cs="Arial"/>
              </w:rPr>
              <w:t>/hr</w:t>
            </w:r>
          </w:p>
        </w:tc>
        <w:tc>
          <w:tcPr>
            <w:tcW w:w="565" w:type="pct"/>
            <w:shd w:val="clear" w:color="auto" w:fill="auto"/>
            <w:noWrap/>
            <w:vAlign w:val="center"/>
            <w:hideMark/>
          </w:tcPr>
          <w:p w:rsidR="00A0318C" w:rsidRPr="0053787B" w:rsidP="00A0318C" w14:paraId="7F4942EE" w14:textId="77777777">
            <w:pPr>
              <w:autoSpaceDE/>
              <w:autoSpaceDN/>
              <w:adjustRightInd/>
              <w:jc w:val="center"/>
              <w:rPr>
                <w:rFonts w:cs="Arial"/>
                <w:color w:val="000000"/>
              </w:rPr>
            </w:pPr>
            <w:r w:rsidRPr="005421E2">
              <w:rPr>
                <w:rFonts w:cs="Arial"/>
                <w:color w:val="000000"/>
              </w:rPr>
              <w:t>100%</w:t>
            </w:r>
          </w:p>
        </w:tc>
        <w:tc>
          <w:tcPr>
            <w:tcW w:w="1005" w:type="pct"/>
            <w:shd w:val="clear" w:color="auto" w:fill="auto"/>
            <w:noWrap/>
            <w:vAlign w:val="center"/>
            <w:hideMark/>
          </w:tcPr>
          <w:p w:rsidR="00A0318C" w:rsidRPr="0053787B" w:rsidP="00A0318C" w14:paraId="7F4942EF" w14:textId="77777777">
            <w:pPr>
              <w:autoSpaceDE/>
              <w:autoSpaceDN/>
              <w:adjustRightInd/>
              <w:jc w:val="center"/>
              <w:rPr>
                <w:rFonts w:cs="Arial"/>
                <w:color w:val="000000"/>
              </w:rPr>
            </w:pPr>
            <w:r>
              <w:rPr>
                <w:rFonts w:cs="Arial"/>
                <w:color w:val="000000"/>
              </w:rPr>
              <w:t>(</w:t>
            </w:r>
            <w:r w:rsidRPr="005421E2">
              <w:rPr>
                <w:rFonts w:cs="Arial"/>
                <w:color w:val="000000"/>
              </w:rPr>
              <w:t>$26,351</w:t>
            </w:r>
            <w:r>
              <w:rPr>
                <w:rFonts w:cs="Arial"/>
                <w:color w:val="000000"/>
              </w:rPr>
              <w:t>)</w:t>
            </w:r>
            <w:r w:rsidRPr="005421E2">
              <w:rPr>
                <w:rFonts w:cs="Arial"/>
                <w:color w:val="000000"/>
              </w:rPr>
              <w:t xml:space="preserve"> </w:t>
            </w:r>
          </w:p>
        </w:tc>
      </w:tr>
      <w:tr w14:paraId="7F4942F7" w14:textId="77777777" w:rsidTr="00D96410">
        <w:tblPrEx>
          <w:tblW w:w="4608" w:type="pct"/>
          <w:jc w:val="center"/>
          <w:tblLayout w:type="fixed"/>
          <w:tblLook w:val="04A0"/>
        </w:tblPrEx>
        <w:trPr>
          <w:trHeight w:val="390"/>
          <w:jc w:val="center"/>
        </w:trPr>
        <w:tc>
          <w:tcPr>
            <w:tcW w:w="1176" w:type="pct"/>
            <w:shd w:val="clear" w:color="000000" w:fill="FFFFFF"/>
            <w:vAlign w:val="center"/>
            <w:hideMark/>
          </w:tcPr>
          <w:p w:rsidR="00A0318C" w:rsidRPr="0053787B" w:rsidP="00A0318C" w14:paraId="7F4942F1" w14:textId="77777777">
            <w:pPr>
              <w:autoSpaceDE/>
              <w:autoSpaceDN/>
              <w:adjustRightInd/>
              <w:rPr>
                <w:rFonts w:cs="Arial"/>
                <w:b/>
                <w:bCs/>
              </w:rPr>
            </w:pPr>
            <w:r w:rsidRPr="0053787B">
              <w:rPr>
                <w:rFonts w:cs="Arial"/>
                <w:b/>
                <w:bCs/>
              </w:rPr>
              <w:t>Issue Orders</w:t>
            </w:r>
            <w:r w:rsidR="004729CC">
              <w:rPr>
                <w:rFonts w:cs="Arial"/>
                <w:b/>
                <w:bCs/>
              </w:rPr>
              <w:t>**</w:t>
            </w:r>
          </w:p>
        </w:tc>
        <w:tc>
          <w:tcPr>
            <w:tcW w:w="519" w:type="pct"/>
            <w:shd w:val="clear" w:color="000000" w:fill="FFFFFF"/>
            <w:vAlign w:val="center"/>
            <w:hideMark/>
          </w:tcPr>
          <w:p w:rsidR="00A0318C" w:rsidRPr="0053787B" w:rsidP="00027F92" w14:paraId="7F4942F2" w14:textId="77777777">
            <w:pPr>
              <w:autoSpaceDE/>
              <w:autoSpaceDN/>
              <w:adjustRightInd/>
              <w:jc w:val="center"/>
              <w:rPr>
                <w:rFonts w:cs="Arial"/>
              </w:rPr>
            </w:pPr>
            <w:r w:rsidRPr="0053787B">
              <w:rPr>
                <w:rFonts w:cs="Arial"/>
              </w:rPr>
              <w:t>NRC Staff</w:t>
            </w:r>
          </w:p>
        </w:tc>
        <w:tc>
          <w:tcPr>
            <w:tcW w:w="792" w:type="pct"/>
            <w:shd w:val="clear" w:color="000000" w:fill="FFFFFF"/>
            <w:vAlign w:val="center"/>
            <w:hideMark/>
          </w:tcPr>
          <w:p w:rsidR="00A0318C" w:rsidRPr="0053787B" w:rsidP="00A0318C" w14:paraId="7F4942F3" w14:textId="77777777">
            <w:pPr>
              <w:autoSpaceDE/>
              <w:autoSpaceDN/>
              <w:adjustRightInd/>
              <w:jc w:val="center"/>
              <w:rPr>
                <w:rFonts w:cs="Arial"/>
              </w:rPr>
            </w:pPr>
            <w:r w:rsidRPr="005421E2">
              <w:rPr>
                <w:rFonts w:cs="Arial"/>
              </w:rPr>
              <w:t>160</w:t>
            </w:r>
          </w:p>
        </w:tc>
        <w:tc>
          <w:tcPr>
            <w:tcW w:w="943" w:type="pct"/>
            <w:shd w:val="clear" w:color="000000" w:fill="FFFFFF"/>
            <w:noWrap/>
            <w:vAlign w:val="center"/>
            <w:hideMark/>
          </w:tcPr>
          <w:p w:rsidR="00A0318C" w:rsidRPr="0053787B" w:rsidP="00A0318C" w14:paraId="7F4942F4" w14:textId="77777777">
            <w:pPr>
              <w:autoSpaceDE/>
              <w:autoSpaceDN/>
              <w:adjustRightInd/>
              <w:jc w:val="center"/>
              <w:rPr>
                <w:rFonts w:cs="Arial"/>
              </w:rPr>
            </w:pPr>
            <w:r w:rsidRPr="005421E2">
              <w:rPr>
                <w:rFonts w:cs="Arial"/>
              </w:rPr>
              <w:t>$132/hr</w:t>
            </w:r>
          </w:p>
        </w:tc>
        <w:tc>
          <w:tcPr>
            <w:tcW w:w="565" w:type="pct"/>
            <w:shd w:val="clear" w:color="auto" w:fill="auto"/>
            <w:noWrap/>
            <w:vAlign w:val="center"/>
            <w:hideMark/>
          </w:tcPr>
          <w:p w:rsidR="00A0318C" w:rsidRPr="0053787B" w:rsidP="00A0318C" w14:paraId="7F4942F5" w14:textId="77777777">
            <w:pPr>
              <w:autoSpaceDE/>
              <w:autoSpaceDN/>
              <w:adjustRightInd/>
              <w:jc w:val="center"/>
              <w:rPr>
                <w:rFonts w:cs="Arial"/>
                <w:color w:val="000000"/>
              </w:rPr>
            </w:pPr>
            <w:r w:rsidRPr="005421E2">
              <w:rPr>
                <w:rFonts w:cs="Arial"/>
                <w:color w:val="000000"/>
              </w:rPr>
              <w:t>100%</w:t>
            </w:r>
          </w:p>
        </w:tc>
        <w:tc>
          <w:tcPr>
            <w:tcW w:w="1005" w:type="pct"/>
            <w:shd w:val="clear" w:color="auto" w:fill="auto"/>
            <w:noWrap/>
            <w:vAlign w:val="center"/>
            <w:hideMark/>
          </w:tcPr>
          <w:p w:rsidR="00A0318C" w:rsidRPr="0053787B" w:rsidP="00A0318C" w14:paraId="7F4942F6" w14:textId="77777777">
            <w:pPr>
              <w:autoSpaceDE/>
              <w:autoSpaceDN/>
              <w:adjustRightInd/>
              <w:jc w:val="center"/>
              <w:rPr>
                <w:rFonts w:cs="Arial"/>
                <w:color w:val="000000"/>
              </w:rPr>
            </w:pPr>
            <w:r>
              <w:rPr>
                <w:rFonts w:cs="Arial"/>
                <w:color w:val="000000"/>
              </w:rPr>
              <w:t>(</w:t>
            </w:r>
            <w:r w:rsidRPr="005421E2">
              <w:rPr>
                <w:rFonts w:cs="Arial"/>
                <w:color w:val="000000"/>
              </w:rPr>
              <w:t>$21,081</w:t>
            </w:r>
            <w:r>
              <w:rPr>
                <w:rFonts w:cs="Arial"/>
                <w:color w:val="000000"/>
              </w:rPr>
              <w:t>)</w:t>
            </w:r>
          </w:p>
        </w:tc>
      </w:tr>
      <w:tr w14:paraId="7F4942FE" w14:textId="77777777" w:rsidTr="00D96410">
        <w:tblPrEx>
          <w:tblW w:w="4608" w:type="pct"/>
          <w:jc w:val="center"/>
          <w:tblLayout w:type="fixed"/>
          <w:tblLook w:val="04A0"/>
        </w:tblPrEx>
        <w:trPr>
          <w:trHeight w:val="390"/>
          <w:jc w:val="center"/>
        </w:trPr>
        <w:tc>
          <w:tcPr>
            <w:tcW w:w="1176" w:type="pct"/>
            <w:shd w:val="clear" w:color="000000" w:fill="FFFFFF"/>
            <w:vAlign w:val="center"/>
            <w:hideMark/>
          </w:tcPr>
          <w:p w:rsidR="00A0318C" w:rsidRPr="0053787B" w:rsidP="00A0318C" w14:paraId="7F4942F8" w14:textId="77777777">
            <w:pPr>
              <w:autoSpaceDE/>
              <w:autoSpaceDN/>
              <w:adjustRightInd/>
              <w:rPr>
                <w:rFonts w:cs="Arial"/>
                <w:b/>
                <w:bCs/>
              </w:rPr>
            </w:pPr>
            <w:r w:rsidRPr="0053787B">
              <w:rPr>
                <w:rFonts w:cs="Arial"/>
                <w:b/>
                <w:bCs/>
              </w:rPr>
              <w:t>Training NRC Staff</w:t>
            </w:r>
          </w:p>
        </w:tc>
        <w:tc>
          <w:tcPr>
            <w:tcW w:w="519" w:type="pct"/>
            <w:shd w:val="clear" w:color="000000" w:fill="FFFFFF"/>
            <w:vAlign w:val="center"/>
            <w:hideMark/>
          </w:tcPr>
          <w:p w:rsidR="00A0318C" w:rsidRPr="0053787B" w:rsidP="00027F92" w14:paraId="7F4942F9" w14:textId="77777777">
            <w:pPr>
              <w:autoSpaceDE/>
              <w:autoSpaceDN/>
              <w:adjustRightInd/>
              <w:jc w:val="center"/>
              <w:rPr>
                <w:rFonts w:cs="Arial"/>
              </w:rPr>
            </w:pPr>
            <w:r w:rsidRPr="0053787B">
              <w:rPr>
                <w:rFonts w:cs="Arial"/>
              </w:rPr>
              <w:t>NRC Staff</w:t>
            </w:r>
          </w:p>
        </w:tc>
        <w:tc>
          <w:tcPr>
            <w:tcW w:w="792" w:type="pct"/>
            <w:shd w:val="clear" w:color="000000" w:fill="FFFFFF"/>
            <w:vAlign w:val="center"/>
            <w:hideMark/>
          </w:tcPr>
          <w:p w:rsidR="00A0318C" w:rsidRPr="0053787B" w:rsidP="00A0318C" w14:paraId="7F4942FA" w14:textId="77777777">
            <w:pPr>
              <w:autoSpaceDE/>
              <w:autoSpaceDN/>
              <w:adjustRightInd/>
              <w:jc w:val="center"/>
              <w:rPr>
                <w:rFonts w:cs="Arial"/>
              </w:rPr>
            </w:pPr>
            <w:r w:rsidRPr="005421E2">
              <w:rPr>
                <w:rFonts w:cs="Arial"/>
              </w:rPr>
              <w:t>170</w:t>
            </w:r>
          </w:p>
        </w:tc>
        <w:tc>
          <w:tcPr>
            <w:tcW w:w="943" w:type="pct"/>
            <w:shd w:val="clear" w:color="000000" w:fill="FFFFFF"/>
            <w:noWrap/>
            <w:vAlign w:val="center"/>
            <w:hideMark/>
          </w:tcPr>
          <w:p w:rsidR="00A0318C" w:rsidRPr="0053787B" w:rsidP="00A0318C" w14:paraId="7F4942FB" w14:textId="77777777">
            <w:pPr>
              <w:autoSpaceDE/>
              <w:autoSpaceDN/>
              <w:adjustRightInd/>
              <w:jc w:val="center"/>
              <w:rPr>
                <w:rFonts w:cs="Arial"/>
              </w:rPr>
            </w:pPr>
            <w:r w:rsidRPr="005421E2">
              <w:rPr>
                <w:rFonts w:cs="Arial"/>
              </w:rPr>
              <w:t>$132/hr</w:t>
            </w:r>
          </w:p>
        </w:tc>
        <w:tc>
          <w:tcPr>
            <w:tcW w:w="565" w:type="pct"/>
            <w:shd w:val="clear" w:color="auto" w:fill="auto"/>
            <w:noWrap/>
            <w:vAlign w:val="center"/>
            <w:hideMark/>
          </w:tcPr>
          <w:p w:rsidR="00A0318C" w:rsidRPr="0053787B" w:rsidP="00A0318C" w14:paraId="7F4942FC" w14:textId="77777777">
            <w:pPr>
              <w:autoSpaceDE/>
              <w:autoSpaceDN/>
              <w:adjustRightInd/>
              <w:jc w:val="center"/>
              <w:rPr>
                <w:rFonts w:cs="Arial"/>
                <w:color w:val="000000"/>
              </w:rPr>
            </w:pPr>
            <w:r w:rsidRPr="005421E2">
              <w:rPr>
                <w:rFonts w:cs="Arial"/>
                <w:color w:val="000000"/>
              </w:rPr>
              <w:t>100%</w:t>
            </w:r>
          </w:p>
        </w:tc>
        <w:tc>
          <w:tcPr>
            <w:tcW w:w="1005" w:type="pct"/>
            <w:shd w:val="clear" w:color="auto" w:fill="auto"/>
            <w:noWrap/>
            <w:vAlign w:val="center"/>
            <w:hideMark/>
          </w:tcPr>
          <w:p w:rsidR="00A0318C" w:rsidRPr="0053787B" w:rsidP="00A0318C" w14:paraId="7F4942FD" w14:textId="77777777">
            <w:pPr>
              <w:autoSpaceDE/>
              <w:autoSpaceDN/>
              <w:adjustRightInd/>
              <w:jc w:val="center"/>
              <w:rPr>
                <w:rFonts w:cs="Arial"/>
                <w:color w:val="000000"/>
              </w:rPr>
            </w:pPr>
            <w:r>
              <w:rPr>
                <w:rFonts w:cs="Arial"/>
                <w:color w:val="000000"/>
              </w:rPr>
              <w:t>(</w:t>
            </w:r>
            <w:r w:rsidRPr="005421E2">
              <w:rPr>
                <w:rFonts w:cs="Arial"/>
                <w:color w:val="000000"/>
              </w:rPr>
              <w:t>$22,398</w:t>
            </w:r>
            <w:r>
              <w:rPr>
                <w:rFonts w:cs="Arial"/>
                <w:color w:val="000000"/>
              </w:rPr>
              <w:t>)</w:t>
            </w:r>
            <w:r w:rsidRPr="005421E2">
              <w:rPr>
                <w:rFonts w:cs="Arial"/>
                <w:color w:val="000000"/>
              </w:rPr>
              <w:t xml:space="preserve"> </w:t>
            </w:r>
          </w:p>
        </w:tc>
      </w:tr>
      <w:tr w14:paraId="7F494305" w14:textId="77777777" w:rsidTr="00D96410">
        <w:tblPrEx>
          <w:tblW w:w="4608" w:type="pct"/>
          <w:jc w:val="center"/>
          <w:tblLayout w:type="fixed"/>
          <w:tblLook w:val="04A0"/>
        </w:tblPrEx>
        <w:trPr>
          <w:trHeight w:val="390"/>
          <w:jc w:val="center"/>
        </w:trPr>
        <w:tc>
          <w:tcPr>
            <w:tcW w:w="1176" w:type="pct"/>
            <w:shd w:val="clear" w:color="000000" w:fill="FFFFFF"/>
            <w:vAlign w:val="center"/>
            <w:hideMark/>
          </w:tcPr>
          <w:p w:rsidR="00A0318C" w:rsidRPr="0053787B" w:rsidP="00A0318C" w14:paraId="7F4942FF" w14:textId="77777777">
            <w:pPr>
              <w:autoSpaceDE/>
              <w:autoSpaceDN/>
              <w:adjustRightInd/>
              <w:rPr>
                <w:rFonts w:cs="Arial"/>
                <w:b/>
                <w:bCs/>
              </w:rPr>
            </w:pPr>
            <w:r w:rsidRPr="0053787B">
              <w:rPr>
                <w:rFonts w:cs="Arial"/>
                <w:b/>
                <w:bCs/>
              </w:rPr>
              <w:t>Updating Project Manager Qualification Program</w:t>
            </w:r>
          </w:p>
        </w:tc>
        <w:tc>
          <w:tcPr>
            <w:tcW w:w="519" w:type="pct"/>
            <w:shd w:val="clear" w:color="000000" w:fill="FFFFFF"/>
            <w:vAlign w:val="center"/>
            <w:hideMark/>
          </w:tcPr>
          <w:p w:rsidR="00A0318C" w:rsidRPr="0053787B" w:rsidP="00027F92" w14:paraId="7F494300" w14:textId="77777777">
            <w:pPr>
              <w:autoSpaceDE/>
              <w:autoSpaceDN/>
              <w:adjustRightInd/>
              <w:jc w:val="center"/>
              <w:rPr>
                <w:rFonts w:cs="Arial"/>
              </w:rPr>
            </w:pPr>
            <w:r w:rsidRPr="0053787B">
              <w:rPr>
                <w:rFonts w:cs="Arial"/>
              </w:rPr>
              <w:t>NRC Staff</w:t>
            </w:r>
          </w:p>
        </w:tc>
        <w:tc>
          <w:tcPr>
            <w:tcW w:w="792" w:type="pct"/>
            <w:shd w:val="clear" w:color="000000" w:fill="FFFFFF"/>
            <w:vAlign w:val="center"/>
            <w:hideMark/>
          </w:tcPr>
          <w:p w:rsidR="00A0318C" w:rsidRPr="0053787B" w:rsidP="00A0318C" w14:paraId="7F494301" w14:textId="77777777">
            <w:pPr>
              <w:autoSpaceDE/>
              <w:autoSpaceDN/>
              <w:adjustRightInd/>
              <w:jc w:val="center"/>
              <w:rPr>
                <w:rFonts w:cs="Arial"/>
              </w:rPr>
            </w:pPr>
            <w:r w:rsidRPr="005421E2">
              <w:rPr>
                <w:rFonts w:cs="Arial"/>
              </w:rPr>
              <w:t>12</w:t>
            </w:r>
          </w:p>
        </w:tc>
        <w:tc>
          <w:tcPr>
            <w:tcW w:w="943" w:type="pct"/>
            <w:shd w:val="clear" w:color="000000" w:fill="FFFFFF"/>
            <w:noWrap/>
            <w:vAlign w:val="center"/>
            <w:hideMark/>
          </w:tcPr>
          <w:p w:rsidR="00A0318C" w:rsidRPr="0053787B" w:rsidP="00A0318C" w14:paraId="7F494302" w14:textId="77777777">
            <w:pPr>
              <w:autoSpaceDE/>
              <w:autoSpaceDN/>
              <w:adjustRightInd/>
              <w:jc w:val="center"/>
              <w:rPr>
                <w:rFonts w:cs="Arial"/>
              </w:rPr>
            </w:pPr>
            <w:r w:rsidRPr="005421E2">
              <w:rPr>
                <w:rFonts w:cs="Arial"/>
              </w:rPr>
              <w:t>$132/hr</w:t>
            </w:r>
          </w:p>
        </w:tc>
        <w:tc>
          <w:tcPr>
            <w:tcW w:w="565" w:type="pct"/>
            <w:shd w:val="clear" w:color="auto" w:fill="auto"/>
            <w:noWrap/>
            <w:vAlign w:val="center"/>
            <w:hideMark/>
          </w:tcPr>
          <w:p w:rsidR="00A0318C" w:rsidRPr="0053787B" w:rsidP="00A0318C" w14:paraId="7F494303" w14:textId="77777777">
            <w:pPr>
              <w:autoSpaceDE/>
              <w:autoSpaceDN/>
              <w:adjustRightInd/>
              <w:jc w:val="center"/>
              <w:rPr>
                <w:rFonts w:cs="Arial"/>
                <w:color w:val="000000"/>
              </w:rPr>
            </w:pPr>
            <w:r w:rsidRPr="005421E2">
              <w:rPr>
                <w:rFonts w:cs="Arial"/>
                <w:color w:val="000000"/>
              </w:rPr>
              <w:t>100%</w:t>
            </w:r>
          </w:p>
        </w:tc>
        <w:tc>
          <w:tcPr>
            <w:tcW w:w="1005" w:type="pct"/>
            <w:shd w:val="clear" w:color="auto" w:fill="auto"/>
            <w:noWrap/>
            <w:vAlign w:val="center"/>
            <w:hideMark/>
          </w:tcPr>
          <w:p w:rsidR="00A0318C" w:rsidRPr="0053787B" w:rsidP="00A0318C" w14:paraId="7F494304" w14:textId="77777777">
            <w:pPr>
              <w:autoSpaceDE/>
              <w:autoSpaceDN/>
              <w:adjustRightInd/>
              <w:jc w:val="center"/>
              <w:rPr>
                <w:rFonts w:cs="Arial"/>
                <w:color w:val="000000"/>
              </w:rPr>
            </w:pPr>
            <w:r>
              <w:rPr>
                <w:rFonts w:cs="Arial"/>
                <w:color w:val="000000"/>
              </w:rPr>
              <w:t>(</w:t>
            </w:r>
            <w:r w:rsidRPr="005421E2">
              <w:rPr>
                <w:rFonts w:cs="Arial"/>
                <w:color w:val="000000"/>
              </w:rPr>
              <w:t>$1,581</w:t>
            </w:r>
            <w:r>
              <w:rPr>
                <w:rFonts w:cs="Arial"/>
                <w:color w:val="000000"/>
              </w:rPr>
              <w:t>)</w:t>
            </w:r>
          </w:p>
        </w:tc>
      </w:tr>
      <w:tr w14:paraId="7F494308" w14:textId="77777777" w:rsidTr="00D96410">
        <w:tblPrEx>
          <w:tblW w:w="4608" w:type="pct"/>
          <w:jc w:val="center"/>
          <w:tblLayout w:type="fixed"/>
          <w:tblLook w:val="04A0"/>
        </w:tblPrEx>
        <w:trPr>
          <w:trHeight w:val="390"/>
          <w:jc w:val="center"/>
        </w:trPr>
        <w:tc>
          <w:tcPr>
            <w:tcW w:w="3995" w:type="pct"/>
            <w:gridSpan w:val="5"/>
            <w:shd w:val="clear" w:color="000000" w:fill="FFFFFF"/>
            <w:vAlign w:val="center"/>
            <w:hideMark/>
          </w:tcPr>
          <w:p w:rsidR="00A0318C" w:rsidRPr="0053787B" w:rsidP="00A0318C" w14:paraId="7F494306" w14:textId="77777777">
            <w:pPr>
              <w:autoSpaceDE/>
              <w:autoSpaceDN/>
              <w:adjustRightInd/>
              <w:rPr>
                <w:rFonts w:cs="Arial"/>
                <w:b/>
                <w:bCs/>
              </w:rPr>
            </w:pPr>
            <w:r w:rsidRPr="0053787B">
              <w:rPr>
                <w:rFonts w:cs="Arial"/>
                <w:b/>
                <w:bCs/>
              </w:rPr>
              <w:t>Total NRC Implementation Cost</w:t>
            </w:r>
          </w:p>
        </w:tc>
        <w:tc>
          <w:tcPr>
            <w:tcW w:w="1005" w:type="pct"/>
            <w:shd w:val="clear" w:color="auto" w:fill="auto"/>
            <w:noWrap/>
            <w:vAlign w:val="center"/>
            <w:hideMark/>
          </w:tcPr>
          <w:p w:rsidR="00A0318C" w:rsidRPr="00C8113D" w:rsidP="00A0318C" w14:paraId="7F494307" w14:textId="77777777">
            <w:pPr>
              <w:autoSpaceDE/>
              <w:autoSpaceDN/>
              <w:adjustRightInd/>
              <w:jc w:val="center"/>
              <w:rPr>
                <w:rFonts w:cs="Arial"/>
                <w:b/>
                <w:color w:val="000000"/>
              </w:rPr>
            </w:pPr>
            <w:r w:rsidRPr="001456B4">
              <w:rPr>
                <w:rFonts w:cs="Arial"/>
                <w:b/>
                <w:color w:val="000000"/>
              </w:rPr>
              <w:t>($71,411)</w:t>
            </w:r>
          </w:p>
        </w:tc>
      </w:tr>
    </w:tbl>
    <w:p w:rsidR="004729CC" w:rsidRPr="00D839EE" w:rsidP="004729CC" w14:paraId="7F494309" w14:textId="77777777">
      <w:pPr>
        <w:rPr>
          <w:rFonts w:cs="Arial"/>
          <w:sz w:val="18"/>
          <w:szCs w:val="18"/>
        </w:rPr>
      </w:pPr>
      <w:r>
        <w:rPr>
          <w:rFonts w:cs="Arial"/>
          <w:sz w:val="18"/>
        </w:rPr>
        <w:t>*</w:t>
      </w:r>
      <w:r w:rsidRPr="004729CC">
        <w:rPr>
          <w:rFonts w:cs="Arial"/>
          <w:sz w:val="18"/>
          <w:szCs w:val="18"/>
        </w:rPr>
        <w:t xml:space="preserve"> </w:t>
      </w:r>
      <w:r w:rsidRPr="00D839EE">
        <w:rPr>
          <w:rFonts w:cs="Arial"/>
          <w:sz w:val="18"/>
          <w:szCs w:val="18"/>
        </w:rPr>
        <w:t>The NRC staff loaded labor rates are estimated to be $12</w:t>
      </w:r>
      <w:r>
        <w:rPr>
          <w:rFonts w:cs="Arial"/>
          <w:sz w:val="18"/>
          <w:szCs w:val="18"/>
        </w:rPr>
        <w:t>9</w:t>
      </w:r>
      <w:r w:rsidRPr="00D839EE">
        <w:rPr>
          <w:rFonts w:cs="Arial"/>
          <w:sz w:val="18"/>
          <w:szCs w:val="18"/>
        </w:rPr>
        <w:t xml:space="preserve"> per hour </w:t>
      </w:r>
      <w:r>
        <w:rPr>
          <w:rFonts w:cs="Arial"/>
          <w:sz w:val="18"/>
          <w:szCs w:val="18"/>
        </w:rPr>
        <w:t xml:space="preserve">(2019$) </w:t>
      </w:r>
      <w:r w:rsidRPr="00D839EE">
        <w:rPr>
          <w:rFonts w:cs="Arial"/>
          <w:sz w:val="18"/>
          <w:szCs w:val="18"/>
        </w:rPr>
        <w:t>and are calculated based on actual labor and benefit costs from the prior fiscal year (201</w:t>
      </w:r>
      <w:r>
        <w:rPr>
          <w:rFonts w:cs="Arial"/>
          <w:sz w:val="18"/>
          <w:szCs w:val="18"/>
        </w:rPr>
        <w:t>8</w:t>
      </w:r>
      <w:r w:rsidRPr="00D839EE">
        <w:rPr>
          <w:rFonts w:cs="Arial"/>
          <w:sz w:val="18"/>
          <w:szCs w:val="18"/>
        </w:rPr>
        <w:t>) by office and grade.</w:t>
      </w:r>
      <w:r>
        <w:rPr>
          <w:rFonts w:cs="Arial"/>
          <w:sz w:val="18"/>
          <w:szCs w:val="18"/>
        </w:rPr>
        <w:t xml:space="preserve"> This rate has been scaled to 2020$ in this table.</w:t>
      </w:r>
    </w:p>
    <w:p w:rsidR="00A0318C" w:rsidP="00D96410" w14:paraId="7F49430A" w14:textId="77777777">
      <w:pPr>
        <w:contextualSpacing/>
        <w:rPr>
          <w:rFonts w:cs="Arial"/>
          <w:sz w:val="18"/>
        </w:rPr>
      </w:pPr>
      <w:r>
        <w:rPr>
          <w:rFonts w:cs="Arial"/>
          <w:sz w:val="18"/>
        </w:rPr>
        <w:t>**Issuance of order to remove license terms (with the exception of NIST) and add FSAR update requirements</w:t>
      </w:r>
    </w:p>
    <w:p w:rsidR="00A47352" w:rsidP="00A0318C" w14:paraId="7F49430B" w14:textId="77777777">
      <w:pPr>
        <w:ind w:left="360"/>
        <w:contextualSpacing/>
        <w:rPr>
          <w:rFonts w:cs="Arial"/>
        </w:rPr>
      </w:pPr>
    </w:p>
    <w:p w:rsidR="002C5DA2" w:rsidRPr="00D96410" w:rsidP="00D341C4" w14:paraId="7F49430C" w14:textId="5BFE1955">
      <w:pPr>
        <w:pStyle w:val="Caption"/>
        <w:keepNext/>
        <w:spacing w:after="0"/>
        <w:jc w:val="center"/>
        <w:rPr>
          <w:b/>
          <w:color w:val="auto"/>
          <w:sz w:val="20"/>
        </w:rPr>
      </w:pPr>
      <w:bookmarkStart w:id="567" w:name="_Toc534710033"/>
      <w:bookmarkStart w:id="568" w:name="_Toc534711718"/>
      <w:bookmarkStart w:id="569" w:name="_Toc534712151"/>
      <w:bookmarkStart w:id="570" w:name="_Toc534712728"/>
      <w:bookmarkStart w:id="571" w:name="_Toc534713237"/>
      <w:bookmarkStart w:id="572" w:name="_Toc9526497"/>
      <w:bookmarkStart w:id="573" w:name="_Toc536603446"/>
      <w:r w:rsidRPr="00D96410">
        <w:rPr>
          <w:b/>
          <w:i w:val="0"/>
          <w:color w:val="auto"/>
          <w:sz w:val="22"/>
        </w:rPr>
        <w:t>Exhibit A</w:t>
      </w:r>
      <w:r w:rsidRPr="00D96410">
        <w:rPr>
          <w:b/>
          <w:i w:val="0"/>
          <w:color w:val="auto"/>
          <w:sz w:val="22"/>
        </w:rPr>
        <w:noBreakHyphen/>
      </w:r>
      <w:r w:rsidRPr="00D96410">
        <w:rPr>
          <w:b/>
          <w:i w:val="0"/>
          <w:color w:val="auto"/>
          <w:sz w:val="22"/>
        </w:rPr>
        <w:fldChar w:fldCharType="begin"/>
      </w:r>
      <w:r w:rsidRPr="00D96410">
        <w:rPr>
          <w:b/>
          <w:i w:val="0"/>
          <w:color w:val="auto"/>
          <w:sz w:val="22"/>
        </w:rPr>
        <w:instrText xml:space="preserve"> SEQ Exhibit \* ARABIC \r 4 </w:instrText>
      </w:r>
      <w:r w:rsidRPr="00D96410">
        <w:rPr>
          <w:b/>
          <w:i w:val="0"/>
          <w:color w:val="auto"/>
          <w:sz w:val="22"/>
        </w:rPr>
        <w:fldChar w:fldCharType="separate"/>
      </w:r>
      <w:r w:rsidR="00977795">
        <w:rPr>
          <w:b/>
          <w:i w:val="0"/>
          <w:noProof/>
          <w:color w:val="auto"/>
          <w:sz w:val="22"/>
        </w:rPr>
        <w:t>4</w:t>
      </w:r>
      <w:r w:rsidRPr="00D96410">
        <w:rPr>
          <w:b/>
          <w:i w:val="0"/>
          <w:color w:val="auto"/>
          <w:sz w:val="22"/>
        </w:rPr>
        <w:fldChar w:fldCharType="end"/>
      </w:r>
      <w:r w:rsidRPr="00D96410">
        <w:rPr>
          <w:b/>
          <w:i w:val="0"/>
          <w:color w:val="auto"/>
          <w:sz w:val="22"/>
        </w:rPr>
        <w:t>e</w:t>
      </w:r>
      <w:r w:rsidRPr="00D96410">
        <w:rPr>
          <w:b/>
          <w:i w:val="0"/>
          <w:color w:val="auto"/>
          <w:sz w:val="22"/>
        </w:rPr>
        <w:t>. NRC Operation Costs of the Final Rule</w:t>
      </w:r>
      <w:bookmarkEnd w:id="567"/>
      <w:bookmarkEnd w:id="568"/>
      <w:bookmarkEnd w:id="569"/>
      <w:bookmarkEnd w:id="570"/>
      <w:bookmarkEnd w:id="571"/>
      <w:bookmarkEnd w:id="572"/>
      <w:bookmarkEnd w:id="5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5"/>
        <w:gridCol w:w="1129"/>
        <w:gridCol w:w="720"/>
        <w:gridCol w:w="992"/>
        <w:gridCol w:w="1077"/>
        <w:gridCol w:w="992"/>
        <w:gridCol w:w="1168"/>
        <w:gridCol w:w="1083"/>
        <w:gridCol w:w="1259"/>
        <w:gridCol w:w="1075"/>
      </w:tblGrid>
      <w:tr w14:paraId="7F494310" w14:textId="77777777" w:rsidTr="00D9641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blHeader/>
          <w:jc w:val="center"/>
        </w:trPr>
        <w:tc>
          <w:tcPr>
            <w:tcW w:w="1334" w:type="pct"/>
            <w:vMerge w:val="restart"/>
            <w:shd w:val="clear" w:color="auto" w:fill="auto"/>
            <w:vAlign w:val="center"/>
            <w:hideMark/>
          </w:tcPr>
          <w:p w:rsidR="00A0318C" w:rsidRPr="004A038C" w:rsidP="00A0318C" w14:paraId="7F49430D" w14:textId="77777777">
            <w:pPr>
              <w:autoSpaceDE/>
              <w:autoSpaceDN/>
              <w:adjustRightInd/>
              <w:jc w:val="center"/>
              <w:rPr>
                <w:rFonts w:cs="Arial"/>
                <w:b/>
                <w:bCs/>
              </w:rPr>
            </w:pPr>
            <w:r w:rsidRPr="004A038C">
              <w:rPr>
                <w:rFonts w:cs="Arial"/>
                <w:b/>
                <w:bCs/>
              </w:rPr>
              <w:t>Post-Rule Process Steps</w:t>
            </w:r>
          </w:p>
        </w:tc>
        <w:tc>
          <w:tcPr>
            <w:tcW w:w="2347" w:type="pct"/>
            <w:gridSpan w:val="6"/>
            <w:shd w:val="clear" w:color="auto" w:fill="auto"/>
            <w:noWrap/>
            <w:vAlign w:val="center"/>
            <w:hideMark/>
          </w:tcPr>
          <w:p w:rsidR="00A0318C" w:rsidRPr="004A038C" w:rsidP="00A0318C" w14:paraId="7F49430E" w14:textId="77777777">
            <w:pPr>
              <w:autoSpaceDE/>
              <w:autoSpaceDN/>
              <w:adjustRightInd/>
              <w:jc w:val="center"/>
              <w:rPr>
                <w:rFonts w:cs="Arial"/>
                <w:b/>
                <w:bCs/>
                <w:color w:val="000000"/>
              </w:rPr>
            </w:pPr>
            <w:r w:rsidRPr="004A038C">
              <w:rPr>
                <w:rFonts w:cs="Arial"/>
                <w:b/>
                <w:bCs/>
                <w:color w:val="000000"/>
              </w:rPr>
              <w:t>Cost Inputs</w:t>
            </w:r>
          </w:p>
        </w:tc>
        <w:tc>
          <w:tcPr>
            <w:tcW w:w="1319" w:type="pct"/>
            <w:gridSpan w:val="3"/>
            <w:shd w:val="clear" w:color="auto" w:fill="auto"/>
            <w:noWrap/>
            <w:vAlign w:val="center"/>
            <w:hideMark/>
          </w:tcPr>
          <w:p w:rsidR="00A0318C" w:rsidRPr="004A038C" w:rsidP="00A0318C" w14:paraId="7F49430F" w14:textId="77777777">
            <w:pPr>
              <w:autoSpaceDE/>
              <w:autoSpaceDN/>
              <w:adjustRightInd/>
              <w:jc w:val="center"/>
              <w:rPr>
                <w:rFonts w:cs="Arial"/>
                <w:b/>
                <w:bCs/>
                <w:color w:val="000000"/>
              </w:rPr>
            </w:pPr>
            <w:r w:rsidRPr="004A038C">
              <w:rPr>
                <w:rFonts w:cs="Arial"/>
                <w:b/>
                <w:bCs/>
                <w:color w:val="000000"/>
              </w:rPr>
              <w:t>Cost per Category</w:t>
            </w:r>
          </w:p>
        </w:tc>
      </w:tr>
      <w:tr w14:paraId="7F494319" w14:textId="77777777" w:rsidTr="00D96410">
        <w:tblPrEx>
          <w:tblW w:w="5000" w:type="pct"/>
          <w:jc w:val="center"/>
          <w:tblLayout w:type="fixed"/>
          <w:tblLook w:val="04A0"/>
        </w:tblPrEx>
        <w:trPr>
          <w:trHeight w:val="390"/>
          <w:tblHeader/>
          <w:jc w:val="center"/>
        </w:trPr>
        <w:tc>
          <w:tcPr>
            <w:tcW w:w="1334" w:type="pct"/>
            <w:vMerge/>
            <w:vAlign w:val="center"/>
            <w:hideMark/>
          </w:tcPr>
          <w:p w:rsidR="00A0318C" w:rsidRPr="004A038C" w:rsidP="00A0318C" w14:paraId="7F494311" w14:textId="77777777">
            <w:pPr>
              <w:autoSpaceDE/>
              <w:autoSpaceDN/>
              <w:adjustRightInd/>
              <w:rPr>
                <w:rFonts w:cs="Arial"/>
                <w:b/>
                <w:bCs/>
              </w:rPr>
            </w:pPr>
          </w:p>
        </w:tc>
        <w:tc>
          <w:tcPr>
            <w:tcW w:w="436" w:type="pct"/>
            <w:vMerge w:val="restart"/>
            <w:shd w:val="clear" w:color="auto" w:fill="auto"/>
            <w:vAlign w:val="center"/>
            <w:hideMark/>
          </w:tcPr>
          <w:p w:rsidR="00A0318C" w:rsidRPr="004A038C" w:rsidP="00A0318C" w14:paraId="7F494312" w14:textId="77777777">
            <w:pPr>
              <w:autoSpaceDE/>
              <w:autoSpaceDN/>
              <w:adjustRightInd/>
              <w:jc w:val="center"/>
              <w:rPr>
                <w:rFonts w:cs="Arial"/>
                <w:b/>
                <w:bCs/>
              </w:rPr>
            </w:pPr>
            <w:r w:rsidRPr="004A038C">
              <w:rPr>
                <w:rFonts w:cs="Arial"/>
                <w:b/>
                <w:bCs/>
              </w:rPr>
              <w:t>Labor Category or Input</w:t>
            </w:r>
          </w:p>
        </w:tc>
        <w:tc>
          <w:tcPr>
            <w:tcW w:w="1077" w:type="pct"/>
            <w:gridSpan w:val="3"/>
            <w:shd w:val="clear" w:color="auto" w:fill="auto"/>
            <w:noWrap/>
            <w:vAlign w:val="center"/>
            <w:hideMark/>
          </w:tcPr>
          <w:p w:rsidR="00A0318C" w:rsidRPr="004A038C" w:rsidP="00A0318C" w14:paraId="7F494313" w14:textId="77777777">
            <w:pPr>
              <w:autoSpaceDE/>
              <w:autoSpaceDN/>
              <w:adjustRightInd/>
              <w:jc w:val="center"/>
              <w:rPr>
                <w:rFonts w:cs="Arial"/>
                <w:b/>
                <w:bCs/>
              </w:rPr>
            </w:pPr>
            <w:r w:rsidRPr="004A038C">
              <w:rPr>
                <w:rFonts w:cs="Arial"/>
                <w:b/>
                <w:bCs/>
              </w:rPr>
              <w:t>Hours per Category</w:t>
            </w:r>
          </w:p>
        </w:tc>
        <w:tc>
          <w:tcPr>
            <w:tcW w:w="383" w:type="pct"/>
            <w:vMerge w:val="restart"/>
            <w:shd w:val="clear" w:color="auto" w:fill="auto"/>
            <w:noWrap/>
            <w:vAlign w:val="center"/>
            <w:hideMark/>
          </w:tcPr>
          <w:p w:rsidR="00A0318C" w:rsidRPr="004A038C" w:rsidP="00A0318C" w14:paraId="7F494314" w14:textId="77777777">
            <w:pPr>
              <w:autoSpaceDE/>
              <w:autoSpaceDN/>
              <w:adjustRightInd/>
              <w:jc w:val="center"/>
              <w:rPr>
                <w:rFonts w:cs="Arial"/>
                <w:b/>
                <w:bCs/>
              </w:rPr>
            </w:pPr>
            <w:r w:rsidRPr="004A038C">
              <w:rPr>
                <w:rFonts w:cs="Arial"/>
                <w:b/>
                <w:bCs/>
              </w:rPr>
              <w:t>Rate</w:t>
            </w:r>
          </w:p>
        </w:tc>
        <w:tc>
          <w:tcPr>
            <w:tcW w:w="451" w:type="pct"/>
            <w:vMerge w:val="restart"/>
            <w:shd w:val="clear" w:color="auto" w:fill="auto"/>
            <w:noWrap/>
            <w:vAlign w:val="center"/>
            <w:hideMark/>
          </w:tcPr>
          <w:p w:rsidR="00A0318C" w:rsidRPr="004A038C" w:rsidP="00A0318C" w14:paraId="7F494315" w14:textId="77777777">
            <w:pPr>
              <w:autoSpaceDE/>
              <w:autoSpaceDN/>
              <w:adjustRightInd/>
              <w:jc w:val="center"/>
              <w:rPr>
                <w:rFonts w:cs="Arial"/>
                <w:b/>
                <w:bCs/>
              </w:rPr>
            </w:pPr>
            <w:r w:rsidRPr="004A038C">
              <w:rPr>
                <w:rFonts w:cs="Arial"/>
                <w:b/>
                <w:bCs/>
              </w:rPr>
              <w:t>Workload</w:t>
            </w:r>
          </w:p>
        </w:tc>
        <w:tc>
          <w:tcPr>
            <w:tcW w:w="418" w:type="pct"/>
            <w:vMerge w:val="restart"/>
            <w:shd w:val="clear" w:color="auto" w:fill="auto"/>
            <w:noWrap/>
            <w:vAlign w:val="center"/>
            <w:hideMark/>
          </w:tcPr>
          <w:p w:rsidR="00A0318C" w:rsidRPr="004A038C" w:rsidP="00A0318C" w14:paraId="7F494316" w14:textId="77777777">
            <w:pPr>
              <w:autoSpaceDE/>
              <w:autoSpaceDN/>
              <w:adjustRightInd/>
              <w:jc w:val="center"/>
              <w:rPr>
                <w:rFonts w:cs="Arial"/>
                <w:b/>
                <w:bCs/>
                <w:color w:val="000000"/>
              </w:rPr>
            </w:pPr>
            <w:r w:rsidRPr="004A038C">
              <w:rPr>
                <w:rFonts w:cs="Arial"/>
                <w:b/>
                <w:bCs/>
                <w:color w:val="000000"/>
              </w:rPr>
              <w:t>Low</w:t>
            </w:r>
          </w:p>
        </w:tc>
        <w:tc>
          <w:tcPr>
            <w:tcW w:w="486" w:type="pct"/>
            <w:vMerge w:val="restart"/>
            <w:shd w:val="clear" w:color="auto" w:fill="auto"/>
            <w:noWrap/>
            <w:vAlign w:val="center"/>
            <w:hideMark/>
          </w:tcPr>
          <w:p w:rsidR="00A0318C" w:rsidRPr="004A038C" w:rsidP="00A0318C" w14:paraId="7F494317" w14:textId="77777777">
            <w:pPr>
              <w:autoSpaceDE/>
              <w:autoSpaceDN/>
              <w:adjustRightInd/>
              <w:jc w:val="center"/>
              <w:rPr>
                <w:rFonts w:cs="Arial"/>
                <w:b/>
                <w:bCs/>
                <w:color w:val="000000"/>
              </w:rPr>
            </w:pPr>
            <w:r w:rsidRPr="004A038C">
              <w:rPr>
                <w:rFonts w:cs="Arial"/>
                <w:b/>
                <w:bCs/>
                <w:color w:val="000000"/>
              </w:rPr>
              <w:t>Medium</w:t>
            </w:r>
          </w:p>
        </w:tc>
        <w:tc>
          <w:tcPr>
            <w:tcW w:w="415" w:type="pct"/>
            <w:vMerge w:val="restart"/>
            <w:shd w:val="clear" w:color="auto" w:fill="auto"/>
            <w:vAlign w:val="center"/>
            <w:hideMark/>
          </w:tcPr>
          <w:p w:rsidR="00A0318C" w:rsidRPr="004A038C" w:rsidP="00A0318C" w14:paraId="7F494318" w14:textId="77777777">
            <w:pPr>
              <w:autoSpaceDE/>
              <w:autoSpaceDN/>
              <w:adjustRightInd/>
              <w:jc w:val="center"/>
              <w:rPr>
                <w:rFonts w:cs="Arial"/>
                <w:b/>
                <w:bCs/>
                <w:color w:val="000000"/>
              </w:rPr>
            </w:pPr>
            <w:r w:rsidRPr="004A038C">
              <w:rPr>
                <w:rFonts w:cs="Arial"/>
                <w:b/>
                <w:bCs/>
                <w:color w:val="000000"/>
              </w:rPr>
              <w:t>High and Other NPUFs</w:t>
            </w:r>
          </w:p>
        </w:tc>
      </w:tr>
      <w:tr w14:paraId="7F494324" w14:textId="77777777" w:rsidTr="00D96410">
        <w:tblPrEx>
          <w:tblW w:w="5000" w:type="pct"/>
          <w:jc w:val="center"/>
          <w:tblLayout w:type="fixed"/>
          <w:tblLook w:val="04A0"/>
        </w:tblPrEx>
        <w:trPr>
          <w:trHeight w:val="764"/>
          <w:tblHeader/>
          <w:jc w:val="center"/>
        </w:trPr>
        <w:tc>
          <w:tcPr>
            <w:tcW w:w="1334" w:type="pct"/>
            <w:vMerge/>
            <w:vAlign w:val="center"/>
            <w:hideMark/>
          </w:tcPr>
          <w:p w:rsidR="00A0318C" w:rsidRPr="004A038C" w:rsidP="00A0318C" w14:paraId="7F49431A" w14:textId="77777777">
            <w:pPr>
              <w:autoSpaceDE/>
              <w:autoSpaceDN/>
              <w:adjustRightInd/>
              <w:rPr>
                <w:rFonts w:cs="Arial"/>
                <w:b/>
                <w:bCs/>
              </w:rPr>
            </w:pPr>
          </w:p>
        </w:tc>
        <w:tc>
          <w:tcPr>
            <w:tcW w:w="436" w:type="pct"/>
            <w:vMerge/>
            <w:vAlign w:val="center"/>
            <w:hideMark/>
          </w:tcPr>
          <w:p w:rsidR="00A0318C" w:rsidRPr="004A038C" w:rsidP="00A0318C" w14:paraId="7F49431B" w14:textId="77777777">
            <w:pPr>
              <w:autoSpaceDE/>
              <w:autoSpaceDN/>
              <w:adjustRightInd/>
              <w:rPr>
                <w:rFonts w:cs="Arial"/>
                <w:b/>
                <w:bCs/>
              </w:rPr>
            </w:pPr>
          </w:p>
        </w:tc>
        <w:tc>
          <w:tcPr>
            <w:tcW w:w="278" w:type="pct"/>
            <w:shd w:val="clear" w:color="auto" w:fill="auto"/>
            <w:vAlign w:val="center"/>
            <w:hideMark/>
          </w:tcPr>
          <w:p w:rsidR="00A0318C" w:rsidRPr="004A038C" w:rsidP="00A0318C" w14:paraId="7F49431C" w14:textId="77777777">
            <w:pPr>
              <w:autoSpaceDE/>
              <w:autoSpaceDN/>
              <w:adjustRightInd/>
              <w:jc w:val="center"/>
              <w:rPr>
                <w:rFonts w:cs="Arial"/>
                <w:b/>
                <w:bCs/>
              </w:rPr>
            </w:pPr>
            <w:r w:rsidRPr="004A038C">
              <w:rPr>
                <w:rFonts w:cs="Arial"/>
                <w:b/>
                <w:bCs/>
              </w:rPr>
              <w:t>Low</w:t>
            </w:r>
          </w:p>
        </w:tc>
        <w:tc>
          <w:tcPr>
            <w:tcW w:w="383" w:type="pct"/>
            <w:shd w:val="clear" w:color="auto" w:fill="auto"/>
            <w:vAlign w:val="center"/>
            <w:hideMark/>
          </w:tcPr>
          <w:p w:rsidR="00A0318C" w:rsidRPr="004A038C" w:rsidP="00A0318C" w14:paraId="7F49431D" w14:textId="77777777">
            <w:pPr>
              <w:autoSpaceDE/>
              <w:autoSpaceDN/>
              <w:adjustRightInd/>
              <w:jc w:val="center"/>
              <w:rPr>
                <w:rFonts w:cs="Arial"/>
                <w:b/>
                <w:bCs/>
              </w:rPr>
            </w:pPr>
            <w:r w:rsidRPr="004A038C">
              <w:rPr>
                <w:rFonts w:cs="Arial"/>
                <w:b/>
                <w:bCs/>
              </w:rPr>
              <w:t>Medium</w:t>
            </w:r>
          </w:p>
        </w:tc>
        <w:tc>
          <w:tcPr>
            <w:tcW w:w="416" w:type="pct"/>
            <w:shd w:val="clear" w:color="auto" w:fill="auto"/>
            <w:vAlign w:val="center"/>
            <w:hideMark/>
          </w:tcPr>
          <w:p w:rsidR="00A0318C" w:rsidRPr="004A038C" w:rsidP="00A0318C" w14:paraId="7F49431E" w14:textId="77777777">
            <w:pPr>
              <w:autoSpaceDE/>
              <w:autoSpaceDN/>
              <w:adjustRightInd/>
              <w:jc w:val="center"/>
              <w:rPr>
                <w:rFonts w:cs="Arial"/>
                <w:b/>
                <w:bCs/>
                <w:color w:val="000000"/>
              </w:rPr>
            </w:pPr>
            <w:r w:rsidRPr="004A038C">
              <w:rPr>
                <w:rFonts w:cs="Arial"/>
                <w:b/>
                <w:bCs/>
                <w:color w:val="000000"/>
              </w:rPr>
              <w:t>High and Other NPUFs</w:t>
            </w:r>
          </w:p>
        </w:tc>
        <w:tc>
          <w:tcPr>
            <w:tcW w:w="383" w:type="pct"/>
            <w:vMerge/>
            <w:vAlign w:val="center"/>
            <w:hideMark/>
          </w:tcPr>
          <w:p w:rsidR="00A0318C" w:rsidRPr="004A038C" w:rsidP="00A0318C" w14:paraId="7F49431F" w14:textId="77777777">
            <w:pPr>
              <w:autoSpaceDE/>
              <w:autoSpaceDN/>
              <w:adjustRightInd/>
              <w:rPr>
                <w:rFonts w:cs="Arial"/>
                <w:b/>
                <w:bCs/>
              </w:rPr>
            </w:pPr>
          </w:p>
        </w:tc>
        <w:tc>
          <w:tcPr>
            <w:tcW w:w="451" w:type="pct"/>
            <w:vMerge/>
            <w:vAlign w:val="center"/>
            <w:hideMark/>
          </w:tcPr>
          <w:p w:rsidR="00A0318C" w:rsidRPr="004A038C" w:rsidP="00A0318C" w14:paraId="7F494320" w14:textId="77777777">
            <w:pPr>
              <w:autoSpaceDE/>
              <w:autoSpaceDN/>
              <w:adjustRightInd/>
              <w:rPr>
                <w:rFonts w:cs="Arial"/>
                <w:b/>
                <w:bCs/>
              </w:rPr>
            </w:pPr>
          </w:p>
        </w:tc>
        <w:tc>
          <w:tcPr>
            <w:tcW w:w="418" w:type="pct"/>
            <w:vMerge/>
            <w:vAlign w:val="center"/>
            <w:hideMark/>
          </w:tcPr>
          <w:p w:rsidR="00A0318C" w:rsidRPr="004A038C" w:rsidP="00A0318C" w14:paraId="7F494321" w14:textId="77777777">
            <w:pPr>
              <w:autoSpaceDE/>
              <w:autoSpaceDN/>
              <w:adjustRightInd/>
              <w:rPr>
                <w:rFonts w:cs="Arial"/>
                <w:b/>
                <w:bCs/>
                <w:color w:val="000000"/>
              </w:rPr>
            </w:pPr>
          </w:p>
        </w:tc>
        <w:tc>
          <w:tcPr>
            <w:tcW w:w="486" w:type="pct"/>
            <w:vMerge/>
            <w:vAlign w:val="center"/>
            <w:hideMark/>
          </w:tcPr>
          <w:p w:rsidR="00A0318C" w:rsidRPr="004A038C" w:rsidP="00A0318C" w14:paraId="7F494322" w14:textId="77777777">
            <w:pPr>
              <w:autoSpaceDE/>
              <w:autoSpaceDN/>
              <w:adjustRightInd/>
              <w:rPr>
                <w:rFonts w:cs="Arial"/>
                <w:b/>
                <w:bCs/>
                <w:color w:val="000000"/>
              </w:rPr>
            </w:pPr>
          </w:p>
        </w:tc>
        <w:tc>
          <w:tcPr>
            <w:tcW w:w="415" w:type="pct"/>
            <w:vMerge/>
            <w:vAlign w:val="center"/>
            <w:hideMark/>
          </w:tcPr>
          <w:p w:rsidR="00A0318C" w:rsidRPr="004A038C" w:rsidP="00A0318C" w14:paraId="7F494323" w14:textId="77777777">
            <w:pPr>
              <w:autoSpaceDE/>
              <w:autoSpaceDN/>
              <w:adjustRightInd/>
              <w:rPr>
                <w:rFonts w:cs="Arial"/>
                <w:b/>
                <w:bCs/>
                <w:color w:val="000000"/>
              </w:rPr>
            </w:pPr>
          </w:p>
        </w:tc>
      </w:tr>
      <w:tr w14:paraId="7F494326" w14:textId="77777777" w:rsidTr="00D96410">
        <w:tblPrEx>
          <w:tblW w:w="5000" w:type="pct"/>
          <w:jc w:val="center"/>
          <w:tblLayout w:type="fixed"/>
          <w:tblLook w:val="04A0"/>
        </w:tblPrEx>
        <w:trPr>
          <w:trHeight w:val="341"/>
          <w:tblHeader/>
          <w:jc w:val="center"/>
        </w:trPr>
        <w:tc>
          <w:tcPr>
            <w:tcW w:w="5000" w:type="pct"/>
            <w:gridSpan w:val="10"/>
            <w:shd w:val="clear" w:color="000000" w:fill="D9D9D9"/>
            <w:vAlign w:val="center"/>
            <w:hideMark/>
          </w:tcPr>
          <w:p w:rsidR="00A0318C" w:rsidRPr="004A038C" w:rsidP="00A0318C" w14:paraId="7F494325" w14:textId="77777777">
            <w:pPr>
              <w:autoSpaceDE/>
              <w:autoSpaceDN/>
              <w:adjustRightInd/>
              <w:jc w:val="center"/>
              <w:rPr>
                <w:rFonts w:cs="Arial"/>
                <w:b/>
                <w:bCs/>
                <w:color w:val="000000"/>
              </w:rPr>
            </w:pPr>
            <w:r w:rsidRPr="004A038C">
              <w:rPr>
                <w:rFonts w:cs="Arial"/>
                <w:b/>
                <w:bCs/>
                <w:color w:val="000000"/>
              </w:rPr>
              <w:t>NRC Operation (per FSAR Update) Costs</w:t>
            </w:r>
          </w:p>
        </w:tc>
      </w:tr>
      <w:tr w14:paraId="7F494332" w14:textId="77777777" w:rsidTr="00D96410">
        <w:tblPrEx>
          <w:tblW w:w="5000" w:type="pct"/>
          <w:jc w:val="center"/>
          <w:tblLayout w:type="fixed"/>
          <w:tblLook w:val="04A0"/>
        </w:tblPrEx>
        <w:trPr>
          <w:trHeight w:val="359"/>
          <w:jc w:val="center"/>
        </w:trPr>
        <w:tc>
          <w:tcPr>
            <w:tcW w:w="1334" w:type="pct"/>
            <w:vMerge w:val="restart"/>
            <w:shd w:val="clear" w:color="auto" w:fill="auto"/>
            <w:vAlign w:val="center"/>
            <w:hideMark/>
          </w:tcPr>
          <w:p w:rsidR="00E83986" w:rsidP="00E83986" w14:paraId="7F494327" w14:textId="77777777">
            <w:pPr>
              <w:autoSpaceDE/>
              <w:autoSpaceDN/>
              <w:adjustRightInd/>
              <w:rPr>
                <w:rFonts w:cs="Arial"/>
                <w:b/>
                <w:bCs/>
              </w:rPr>
            </w:pPr>
            <w:r w:rsidRPr="004A038C">
              <w:rPr>
                <w:rFonts w:cs="Arial"/>
                <w:b/>
                <w:bCs/>
              </w:rPr>
              <w:t>Reviewing Updated FSAR</w:t>
            </w:r>
            <w:r>
              <w:rPr>
                <w:rFonts w:cs="Arial"/>
                <w:b/>
                <w:bCs/>
              </w:rPr>
              <w:t>—</w:t>
            </w:r>
          </w:p>
          <w:p w:rsidR="00A0318C" w:rsidRPr="004A038C" w:rsidP="00E83986" w14:paraId="7F494328" w14:textId="77777777">
            <w:pPr>
              <w:autoSpaceDE/>
              <w:autoSpaceDN/>
              <w:adjustRightInd/>
              <w:rPr>
                <w:rFonts w:cs="Arial"/>
                <w:b/>
                <w:bCs/>
              </w:rPr>
            </w:pPr>
            <w:r w:rsidRPr="004A038C">
              <w:rPr>
                <w:rFonts w:cs="Arial"/>
                <w:b/>
                <w:bCs/>
              </w:rPr>
              <w:t>Initial Update</w:t>
            </w:r>
          </w:p>
        </w:tc>
        <w:tc>
          <w:tcPr>
            <w:tcW w:w="436" w:type="pct"/>
            <w:shd w:val="clear" w:color="000000" w:fill="FFFFFF"/>
            <w:vAlign w:val="center"/>
            <w:hideMark/>
          </w:tcPr>
          <w:p w:rsidR="00A0318C" w:rsidRPr="004A038C" w:rsidP="0051344C" w14:paraId="7F494329"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2A" w14:textId="77777777">
            <w:pPr>
              <w:autoSpaceDE/>
              <w:autoSpaceDN/>
              <w:adjustRightInd/>
              <w:jc w:val="center"/>
              <w:rPr>
                <w:rFonts w:cs="Arial"/>
              </w:rPr>
            </w:pPr>
            <w:r w:rsidRPr="004A038C">
              <w:rPr>
                <w:rFonts w:cs="Arial"/>
              </w:rPr>
              <w:t>6</w:t>
            </w:r>
          </w:p>
        </w:tc>
        <w:tc>
          <w:tcPr>
            <w:tcW w:w="383" w:type="pct"/>
            <w:shd w:val="clear" w:color="000000" w:fill="FFFFFF"/>
            <w:vAlign w:val="center"/>
            <w:hideMark/>
          </w:tcPr>
          <w:p w:rsidR="00A0318C" w:rsidRPr="004A038C" w:rsidP="00A0318C" w14:paraId="7F49432B" w14:textId="77777777">
            <w:pPr>
              <w:autoSpaceDE/>
              <w:autoSpaceDN/>
              <w:adjustRightInd/>
              <w:jc w:val="center"/>
              <w:rPr>
                <w:rFonts w:cs="Arial"/>
              </w:rPr>
            </w:pPr>
            <w:r w:rsidRPr="004A038C">
              <w:rPr>
                <w:rFonts w:cs="Arial"/>
              </w:rPr>
              <w:t>8</w:t>
            </w:r>
          </w:p>
        </w:tc>
        <w:tc>
          <w:tcPr>
            <w:tcW w:w="416" w:type="pct"/>
            <w:shd w:val="clear" w:color="000000" w:fill="FFFFFF"/>
            <w:vAlign w:val="center"/>
            <w:hideMark/>
          </w:tcPr>
          <w:p w:rsidR="00A0318C" w:rsidRPr="004A038C" w:rsidP="00A0318C" w14:paraId="7F49432C" w14:textId="77777777">
            <w:pPr>
              <w:autoSpaceDE/>
              <w:autoSpaceDN/>
              <w:adjustRightInd/>
              <w:jc w:val="center"/>
              <w:rPr>
                <w:rFonts w:cs="Arial"/>
              </w:rPr>
            </w:pPr>
            <w:r w:rsidRPr="004A038C">
              <w:rPr>
                <w:rFonts w:cs="Arial"/>
              </w:rPr>
              <w:t>10</w:t>
            </w:r>
          </w:p>
        </w:tc>
        <w:tc>
          <w:tcPr>
            <w:tcW w:w="383" w:type="pct"/>
            <w:shd w:val="clear" w:color="000000" w:fill="FFFFFF"/>
            <w:noWrap/>
            <w:vAlign w:val="center"/>
            <w:hideMark/>
          </w:tcPr>
          <w:p w:rsidR="00A0318C" w:rsidRPr="004A038C" w:rsidP="00A0318C" w14:paraId="7F49432D"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2E"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2F" w14:textId="77777777">
            <w:pPr>
              <w:autoSpaceDE/>
              <w:autoSpaceDN/>
              <w:adjustRightInd/>
              <w:jc w:val="center"/>
              <w:rPr>
                <w:rFonts w:cs="Arial"/>
                <w:color w:val="000000"/>
              </w:rPr>
            </w:pPr>
            <w:r>
              <w:rPr>
                <w:rFonts w:cs="Arial"/>
                <w:color w:val="000000"/>
              </w:rPr>
              <w:t>(</w:t>
            </w:r>
            <w:r w:rsidRPr="00151FC8">
              <w:rPr>
                <w:rFonts w:cs="Arial"/>
                <w:color w:val="000000"/>
              </w:rPr>
              <w:t>$791</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30" w14:textId="77777777">
            <w:pPr>
              <w:autoSpaceDE/>
              <w:autoSpaceDN/>
              <w:adjustRightInd/>
              <w:jc w:val="center"/>
              <w:rPr>
                <w:rFonts w:cs="Arial"/>
                <w:color w:val="000000"/>
              </w:rPr>
            </w:pPr>
            <w:r>
              <w:rPr>
                <w:rFonts w:cs="Arial"/>
                <w:color w:val="000000"/>
              </w:rPr>
              <w:t>(</w:t>
            </w:r>
            <w:r w:rsidRPr="00151FC8">
              <w:rPr>
                <w:rFonts w:cs="Arial"/>
                <w:color w:val="000000"/>
              </w:rPr>
              <w:t>$1,054</w:t>
            </w:r>
            <w:r>
              <w:rPr>
                <w:rFonts w:cs="Arial"/>
                <w:color w:val="000000"/>
              </w:rPr>
              <w:t>)</w:t>
            </w:r>
          </w:p>
        </w:tc>
        <w:tc>
          <w:tcPr>
            <w:tcW w:w="415" w:type="pct"/>
            <w:shd w:val="clear" w:color="auto" w:fill="auto"/>
            <w:noWrap/>
            <w:vAlign w:val="center"/>
            <w:hideMark/>
          </w:tcPr>
          <w:p w:rsidR="00A0318C" w:rsidRPr="004A038C" w:rsidP="00A0318C" w14:paraId="7F494331" w14:textId="77777777">
            <w:pPr>
              <w:autoSpaceDE/>
              <w:autoSpaceDN/>
              <w:adjustRightInd/>
              <w:jc w:val="center"/>
              <w:rPr>
                <w:rFonts w:cs="Arial"/>
                <w:color w:val="000000"/>
              </w:rPr>
            </w:pPr>
            <w:r>
              <w:rPr>
                <w:rFonts w:cs="Arial"/>
                <w:color w:val="000000"/>
              </w:rPr>
              <w:t>(</w:t>
            </w:r>
            <w:r w:rsidRPr="00151FC8">
              <w:rPr>
                <w:rFonts w:cs="Arial"/>
                <w:color w:val="000000"/>
              </w:rPr>
              <w:t>$1,318</w:t>
            </w:r>
            <w:r>
              <w:rPr>
                <w:rFonts w:cs="Arial"/>
                <w:color w:val="000000"/>
              </w:rPr>
              <w:t>)</w:t>
            </w:r>
            <w:r w:rsidRPr="00151FC8">
              <w:rPr>
                <w:rFonts w:cs="Arial"/>
                <w:color w:val="000000"/>
              </w:rPr>
              <w:t xml:space="preserve"> </w:t>
            </w:r>
          </w:p>
        </w:tc>
      </w:tr>
      <w:tr w14:paraId="7F49433D" w14:textId="77777777" w:rsidTr="00D96410">
        <w:tblPrEx>
          <w:tblW w:w="5000" w:type="pct"/>
          <w:jc w:val="center"/>
          <w:tblLayout w:type="fixed"/>
          <w:tblLook w:val="04A0"/>
        </w:tblPrEx>
        <w:trPr>
          <w:trHeight w:val="341"/>
          <w:jc w:val="center"/>
        </w:trPr>
        <w:tc>
          <w:tcPr>
            <w:tcW w:w="1334" w:type="pct"/>
            <w:vMerge/>
            <w:vAlign w:val="center"/>
            <w:hideMark/>
          </w:tcPr>
          <w:p w:rsidR="00A0318C" w:rsidRPr="004A038C" w:rsidP="00A0318C" w14:paraId="7F494333" w14:textId="77777777">
            <w:pPr>
              <w:autoSpaceDE/>
              <w:autoSpaceDN/>
              <w:adjustRightInd/>
              <w:rPr>
                <w:rFonts w:cs="Arial"/>
                <w:b/>
                <w:bCs/>
              </w:rPr>
            </w:pPr>
          </w:p>
        </w:tc>
        <w:tc>
          <w:tcPr>
            <w:tcW w:w="436" w:type="pct"/>
            <w:shd w:val="clear" w:color="000000" w:fill="FFFFFF"/>
            <w:vAlign w:val="center"/>
            <w:hideMark/>
          </w:tcPr>
          <w:p w:rsidR="00A0318C" w:rsidRPr="004A038C" w:rsidP="0051344C" w14:paraId="7F494334"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35" w14:textId="77777777">
            <w:pPr>
              <w:autoSpaceDE/>
              <w:autoSpaceDN/>
              <w:adjustRightInd/>
              <w:jc w:val="center"/>
              <w:rPr>
                <w:rFonts w:cs="Arial"/>
              </w:rPr>
            </w:pPr>
            <w:r w:rsidRPr="004A038C">
              <w:rPr>
                <w:rFonts w:cs="Arial"/>
              </w:rPr>
              <w:t>18</w:t>
            </w:r>
          </w:p>
        </w:tc>
        <w:tc>
          <w:tcPr>
            <w:tcW w:w="383" w:type="pct"/>
            <w:shd w:val="clear" w:color="000000" w:fill="FFFFFF"/>
            <w:vAlign w:val="center"/>
            <w:hideMark/>
          </w:tcPr>
          <w:p w:rsidR="00A0318C" w:rsidRPr="004A038C" w:rsidP="00A0318C" w14:paraId="7F494336" w14:textId="77777777">
            <w:pPr>
              <w:autoSpaceDE/>
              <w:autoSpaceDN/>
              <w:adjustRightInd/>
              <w:jc w:val="center"/>
              <w:rPr>
                <w:rFonts w:cs="Arial"/>
              </w:rPr>
            </w:pPr>
            <w:r w:rsidRPr="004A038C">
              <w:rPr>
                <w:rFonts w:cs="Arial"/>
              </w:rPr>
              <w:t>24</w:t>
            </w:r>
          </w:p>
        </w:tc>
        <w:tc>
          <w:tcPr>
            <w:tcW w:w="416" w:type="pct"/>
            <w:shd w:val="clear" w:color="000000" w:fill="FFFFFF"/>
            <w:vAlign w:val="center"/>
            <w:hideMark/>
          </w:tcPr>
          <w:p w:rsidR="00A0318C" w:rsidRPr="004A038C" w:rsidP="00A0318C" w14:paraId="7F494337" w14:textId="77777777">
            <w:pPr>
              <w:autoSpaceDE/>
              <w:autoSpaceDN/>
              <w:adjustRightInd/>
              <w:jc w:val="center"/>
              <w:rPr>
                <w:rFonts w:cs="Arial"/>
              </w:rPr>
            </w:pPr>
            <w:r w:rsidRPr="004A038C">
              <w:rPr>
                <w:rFonts w:cs="Arial"/>
              </w:rPr>
              <w:t>170</w:t>
            </w:r>
          </w:p>
        </w:tc>
        <w:tc>
          <w:tcPr>
            <w:tcW w:w="383" w:type="pct"/>
            <w:shd w:val="clear" w:color="000000" w:fill="FFFFFF"/>
            <w:noWrap/>
            <w:vAlign w:val="center"/>
            <w:hideMark/>
          </w:tcPr>
          <w:p w:rsidR="00A0318C" w:rsidRPr="004A038C" w:rsidP="00A0318C" w14:paraId="7F494338"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39"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3A" w14:textId="77777777">
            <w:pPr>
              <w:autoSpaceDE/>
              <w:autoSpaceDN/>
              <w:adjustRightInd/>
              <w:jc w:val="center"/>
              <w:rPr>
                <w:rFonts w:cs="Arial"/>
                <w:color w:val="000000"/>
              </w:rPr>
            </w:pPr>
            <w:r>
              <w:rPr>
                <w:rFonts w:cs="Arial"/>
                <w:color w:val="000000"/>
              </w:rPr>
              <w:t>(</w:t>
            </w:r>
            <w:r w:rsidRPr="00151FC8">
              <w:rPr>
                <w:rFonts w:cs="Arial"/>
                <w:color w:val="000000"/>
              </w:rPr>
              <w:t>$2,372</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3B" w14:textId="77777777">
            <w:pPr>
              <w:autoSpaceDE/>
              <w:autoSpaceDN/>
              <w:adjustRightInd/>
              <w:jc w:val="center"/>
              <w:rPr>
                <w:rFonts w:cs="Arial"/>
                <w:color w:val="000000"/>
              </w:rPr>
            </w:pPr>
            <w:r>
              <w:rPr>
                <w:rFonts w:cs="Arial"/>
                <w:color w:val="000000"/>
              </w:rPr>
              <w:t>(</w:t>
            </w:r>
            <w:r w:rsidRPr="00151FC8">
              <w:rPr>
                <w:rFonts w:cs="Arial"/>
                <w:color w:val="000000"/>
              </w:rPr>
              <w:t>$3,162</w:t>
            </w:r>
            <w:r>
              <w:rPr>
                <w:rFonts w:cs="Arial"/>
                <w:color w:val="000000"/>
              </w:rPr>
              <w:t>)</w:t>
            </w:r>
          </w:p>
        </w:tc>
        <w:tc>
          <w:tcPr>
            <w:tcW w:w="415" w:type="pct"/>
            <w:shd w:val="clear" w:color="auto" w:fill="auto"/>
            <w:noWrap/>
            <w:vAlign w:val="center"/>
            <w:hideMark/>
          </w:tcPr>
          <w:p w:rsidR="00A0318C" w:rsidRPr="004A038C" w:rsidP="00A0318C" w14:paraId="7F49433C" w14:textId="77777777">
            <w:pPr>
              <w:autoSpaceDE/>
              <w:autoSpaceDN/>
              <w:adjustRightInd/>
              <w:jc w:val="center"/>
              <w:rPr>
                <w:rFonts w:cs="Arial"/>
                <w:color w:val="000000"/>
              </w:rPr>
            </w:pPr>
            <w:r>
              <w:rPr>
                <w:rFonts w:cs="Arial"/>
                <w:color w:val="000000"/>
              </w:rPr>
              <w:t>(</w:t>
            </w:r>
            <w:r w:rsidRPr="00151FC8">
              <w:rPr>
                <w:rFonts w:cs="Arial"/>
                <w:color w:val="000000"/>
              </w:rPr>
              <w:t>$3,953</w:t>
            </w:r>
            <w:r>
              <w:rPr>
                <w:rFonts w:cs="Arial"/>
                <w:color w:val="000000"/>
              </w:rPr>
              <w:t>)</w:t>
            </w:r>
            <w:r w:rsidRPr="00151FC8">
              <w:rPr>
                <w:rFonts w:cs="Arial"/>
                <w:color w:val="000000"/>
              </w:rPr>
              <w:t xml:space="preserve"> </w:t>
            </w:r>
          </w:p>
        </w:tc>
      </w:tr>
      <w:tr w14:paraId="7F494348" w14:textId="77777777" w:rsidTr="00D96410">
        <w:tblPrEx>
          <w:tblW w:w="5000" w:type="pct"/>
          <w:jc w:val="center"/>
          <w:tblLayout w:type="fixed"/>
          <w:tblLook w:val="04A0"/>
        </w:tblPrEx>
        <w:trPr>
          <w:trHeight w:val="359"/>
          <w:jc w:val="center"/>
        </w:trPr>
        <w:tc>
          <w:tcPr>
            <w:tcW w:w="1334" w:type="pct"/>
            <w:vMerge/>
            <w:vAlign w:val="center"/>
            <w:hideMark/>
          </w:tcPr>
          <w:p w:rsidR="00A0318C" w:rsidRPr="004A038C" w:rsidP="00A0318C" w14:paraId="7F49433E" w14:textId="77777777">
            <w:pPr>
              <w:autoSpaceDE/>
              <w:autoSpaceDN/>
              <w:adjustRightInd/>
              <w:rPr>
                <w:rFonts w:cs="Arial"/>
                <w:b/>
                <w:bCs/>
              </w:rPr>
            </w:pPr>
          </w:p>
        </w:tc>
        <w:tc>
          <w:tcPr>
            <w:tcW w:w="436" w:type="pct"/>
            <w:shd w:val="clear" w:color="000000" w:fill="FFFFFF"/>
            <w:vAlign w:val="center"/>
            <w:hideMark/>
          </w:tcPr>
          <w:p w:rsidR="00A0318C" w:rsidRPr="004A038C" w:rsidP="0051344C" w14:paraId="7F49433F"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40" w14:textId="77777777">
            <w:pPr>
              <w:autoSpaceDE/>
              <w:autoSpaceDN/>
              <w:adjustRightInd/>
              <w:jc w:val="center"/>
              <w:rPr>
                <w:rFonts w:cs="Arial"/>
              </w:rPr>
            </w:pPr>
            <w:r w:rsidRPr="004A038C">
              <w:rPr>
                <w:rFonts w:cs="Arial"/>
              </w:rPr>
              <w:t>24</w:t>
            </w:r>
          </w:p>
        </w:tc>
        <w:tc>
          <w:tcPr>
            <w:tcW w:w="383" w:type="pct"/>
            <w:shd w:val="clear" w:color="000000" w:fill="FFFFFF"/>
            <w:vAlign w:val="center"/>
            <w:hideMark/>
          </w:tcPr>
          <w:p w:rsidR="00A0318C" w:rsidRPr="004A038C" w:rsidP="00A0318C" w14:paraId="7F494341" w14:textId="77777777">
            <w:pPr>
              <w:autoSpaceDE/>
              <w:autoSpaceDN/>
              <w:adjustRightInd/>
              <w:jc w:val="center"/>
              <w:rPr>
                <w:rFonts w:cs="Arial"/>
              </w:rPr>
            </w:pPr>
            <w:r w:rsidRPr="004A038C">
              <w:rPr>
                <w:rFonts w:cs="Arial"/>
              </w:rPr>
              <w:t>32</w:t>
            </w:r>
          </w:p>
        </w:tc>
        <w:tc>
          <w:tcPr>
            <w:tcW w:w="416" w:type="pct"/>
            <w:shd w:val="clear" w:color="000000" w:fill="FFFFFF"/>
            <w:vAlign w:val="center"/>
            <w:hideMark/>
          </w:tcPr>
          <w:p w:rsidR="00A0318C" w:rsidRPr="004A038C" w:rsidP="00A0318C" w14:paraId="7F494342" w14:textId="77777777">
            <w:pPr>
              <w:autoSpaceDE/>
              <w:autoSpaceDN/>
              <w:adjustRightInd/>
              <w:jc w:val="center"/>
              <w:rPr>
                <w:rFonts w:cs="Arial"/>
              </w:rPr>
            </w:pPr>
            <w:r w:rsidRPr="004A038C">
              <w:rPr>
                <w:rFonts w:cs="Arial"/>
              </w:rPr>
              <w:t>12</w:t>
            </w:r>
          </w:p>
        </w:tc>
        <w:tc>
          <w:tcPr>
            <w:tcW w:w="383" w:type="pct"/>
            <w:shd w:val="clear" w:color="000000" w:fill="FFFFFF"/>
            <w:noWrap/>
            <w:vAlign w:val="center"/>
            <w:hideMark/>
          </w:tcPr>
          <w:p w:rsidR="00A0318C" w:rsidRPr="004A038C" w:rsidP="00A0318C" w14:paraId="7F494343"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44"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45" w14:textId="77777777">
            <w:pPr>
              <w:autoSpaceDE/>
              <w:autoSpaceDN/>
              <w:adjustRightInd/>
              <w:jc w:val="center"/>
              <w:rPr>
                <w:rFonts w:cs="Arial"/>
                <w:color w:val="000000"/>
              </w:rPr>
            </w:pPr>
            <w:r>
              <w:rPr>
                <w:rFonts w:cs="Arial"/>
                <w:color w:val="000000"/>
              </w:rPr>
              <w:t>(</w:t>
            </w:r>
            <w:r w:rsidRPr="00151FC8">
              <w:rPr>
                <w:rFonts w:cs="Arial"/>
                <w:color w:val="000000"/>
              </w:rPr>
              <w:t>$3,162</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46" w14:textId="77777777">
            <w:pPr>
              <w:autoSpaceDE/>
              <w:autoSpaceDN/>
              <w:adjustRightInd/>
              <w:jc w:val="center"/>
              <w:rPr>
                <w:rFonts w:cs="Arial"/>
                <w:color w:val="000000"/>
              </w:rPr>
            </w:pPr>
            <w:r>
              <w:rPr>
                <w:rFonts w:cs="Arial"/>
                <w:color w:val="000000"/>
              </w:rPr>
              <w:t>(</w:t>
            </w:r>
            <w:r w:rsidRPr="00151FC8">
              <w:rPr>
                <w:rFonts w:cs="Arial"/>
                <w:color w:val="000000"/>
              </w:rPr>
              <w:t>$4,216</w:t>
            </w:r>
            <w:r>
              <w:rPr>
                <w:rFonts w:cs="Arial"/>
                <w:color w:val="000000"/>
              </w:rPr>
              <w:t>)</w:t>
            </w:r>
          </w:p>
        </w:tc>
        <w:tc>
          <w:tcPr>
            <w:tcW w:w="415" w:type="pct"/>
            <w:shd w:val="clear" w:color="auto" w:fill="auto"/>
            <w:noWrap/>
            <w:vAlign w:val="center"/>
            <w:hideMark/>
          </w:tcPr>
          <w:p w:rsidR="00A0318C" w:rsidRPr="004A038C" w:rsidP="00A0318C" w14:paraId="7F494347" w14:textId="77777777">
            <w:pPr>
              <w:autoSpaceDE/>
              <w:autoSpaceDN/>
              <w:adjustRightInd/>
              <w:jc w:val="center"/>
              <w:rPr>
                <w:rFonts w:cs="Arial"/>
                <w:color w:val="000000"/>
              </w:rPr>
            </w:pPr>
            <w:r>
              <w:rPr>
                <w:rFonts w:cs="Arial"/>
                <w:color w:val="000000"/>
              </w:rPr>
              <w:t>(</w:t>
            </w:r>
            <w:r w:rsidRPr="00151FC8">
              <w:rPr>
                <w:rFonts w:cs="Arial"/>
                <w:color w:val="000000"/>
              </w:rPr>
              <w:t>$5,270</w:t>
            </w:r>
            <w:r>
              <w:rPr>
                <w:rFonts w:cs="Arial"/>
                <w:color w:val="000000"/>
              </w:rPr>
              <w:t>)</w:t>
            </w:r>
            <w:r w:rsidRPr="00151FC8">
              <w:rPr>
                <w:rFonts w:cs="Arial"/>
                <w:color w:val="000000"/>
              </w:rPr>
              <w:t xml:space="preserve"> </w:t>
            </w:r>
          </w:p>
        </w:tc>
      </w:tr>
      <w:tr w14:paraId="7F494353" w14:textId="77777777" w:rsidTr="00D96410">
        <w:tblPrEx>
          <w:tblW w:w="5000" w:type="pct"/>
          <w:jc w:val="center"/>
          <w:tblLayout w:type="fixed"/>
          <w:tblLook w:val="04A0"/>
        </w:tblPrEx>
        <w:trPr>
          <w:trHeight w:val="341"/>
          <w:jc w:val="center"/>
        </w:trPr>
        <w:tc>
          <w:tcPr>
            <w:tcW w:w="1334" w:type="pct"/>
            <w:vMerge/>
            <w:vAlign w:val="center"/>
            <w:hideMark/>
          </w:tcPr>
          <w:p w:rsidR="00A0318C" w:rsidRPr="004A038C" w:rsidP="00A0318C" w14:paraId="7F494349" w14:textId="77777777">
            <w:pPr>
              <w:autoSpaceDE/>
              <w:autoSpaceDN/>
              <w:adjustRightInd/>
              <w:rPr>
                <w:rFonts w:cs="Arial"/>
                <w:b/>
                <w:bCs/>
              </w:rPr>
            </w:pPr>
          </w:p>
        </w:tc>
        <w:tc>
          <w:tcPr>
            <w:tcW w:w="436" w:type="pct"/>
            <w:shd w:val="clear" w:color="000000" w:fill="FFFFFF"/>
            <w:vAlign w:val="center"/>
            <w:hideMark/>
          </w:tcPr>
          <w:p w:rsidR="00A0318C" w:rsidRPr="004A038C" w:rsidP="0051344C" w14:paraId="7F49434A"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4B" w14:textId="77777777">
            <w:pPr>
              <w:autoSpaceDE/>
              <w:autoSpaceDN/>
              <w:adjustRightInd/>
              <w:jc w:val="center"/>
              <w:rPr>
                <w:rFonts w:cs="Arial"/>
              </w:rPr>
            </w:pPr>
            <w:r w:rsidRPr="004A038C">
              <w:rPr>
                <w:rFonts w:cs="Arial"/>
              </w:rPr>
              <w:t>3.5</w:t>
            </w:r>
          </w:p>
        </w:tc>
        <w:tc>
          <w:tcPr>
            <w:tcW w:w="383" w:type="pct"/>
            <w:shd w:val="clear" w:color="000000" w:fill="FFFFFF"/>
            <w:vAlign w:val="center"/>
            <w:hideMark/>
          </w:tcPr>
          <w:p w:rsidR="00A0318C" w:rsidRPr="004A038C" w:rsidP="00A0318C" w14:paraId="7F49434C" w14:textId="77777777">
            <w:pPr>
              <w:autoSpaceDE/>
              <w:autoSpaceDN/>
              <w:adjustRightInd/>
              <w:jc w:val="center"/>
              <w:rPr>
                <w:rFonts w:cs="Arial"/>
              </w:rPr>
            </w:pPr>
            <w:r w:rsidRPr="004A038C">
              <w:rPr>
                <w:rFonts w:cs="Arial"/>
              </w:rPr>
              <w:t>4.5</w:t>
            </w:r>
          </w:p>
        </w:tc>
        <w:tc>
          <w:tcPr>
            <w:tcW w:w="416" w:type="pct"/>
            <w:shd w:val="clear" w:color="000000" w:fill="FFFFFF"/>
            <w:vAlign w:val="center"/>
            <w:hideMark/>
          </w:tcPr>
          <w:p w:rsidR="00A0318C" w:rsidRPr="004A038C" w:rsidP="00A0318C" w14:paraId="7F49434D" w14:textId="77777777">
            <w:pPr>
              <w:autoSpaceDE/>
              <w:autoSpaceDN/>
              <w:adjustRightInd/>
              <w:jc w:val="center"/>
              <w:rPr>
                <w:rFonts w:cs="Arial"/>
              </w:rPr>
            </w:pPr>
            <w:r w:rsidRPr="004A038C">
              <w:rPr>
                <w:rFonts w:cs="Arial"/>
              </w:rPr>
              <w:t>0</w:t>
            </w:r>
          </w:p>
        </w:tc>
        <w:tc>
          <w:tcPr>
            <w:tcW w:w="383" w:type="pct"/>
            <w:shd w:val="clear" w:color="000000" w:fill="FFFFFF"/>
            <w:noWrap/>
            <w:vAlign w:val="center"/>
            <w:hideMark/>
          </w:tcPr>
          <w:p w:rsidR="00A0318C" w:rsidRPr="004A038C" w:rsidP="00A0318C" w14:paraId="7F49434E"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4F"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50" w14:textId="77777777">
            <w:pPr>
              <w:autoSpaceDE/>
              <w:autoSpaceDN/>
              <w:adjustRightInd/>
              <w:jc w:val="center"/>
              <w:rPr>
                <w:rFonts w:cs="Arial"/>
                <w:color w:val="000000"/>
              </w:rPr>
            </w:pPr>
            <w:r>
              <w:rPr>
                <w:rFonts w:cs="Arial"/>
                <w:color w:val="000000"/>
              </w:rPr>
              <w:t>(</w:t>
            </w:r>
            <w:r w:rsidRPr="00151FC8">
              <w:rPr>
                <w:rFonts w:cs="Arial"/>
                <w:color w:val="000000"/>
              </w:rPr>
              <w:t>$461</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51" w14:textId="77777777">
            <w:pPr>
              <w:autoSpaceDE/>
              <w:autoSpaceDN/>
              <w:adjustRightInd/>
              <w:jc w:val="center"/>
              <w:rPr>
                <w:rFonts w:cs="Arial"/>
                <w:color w:val="000000"/>
              </w:rPr>
            </w:pPr>
            <w:r>
              <w:rPr>
                <w:rFonts w:cs="Arial"/>
                <w:color w:val="000000"/>
              </w:rPr>
              <w:t>(</w:t>
            </w:r>
            <w:r w:rsidRPr="00151FC8">
              <w:rPr>
                <w:rFonts w:cs="Arial"/>
                <w:color w:val="000000"/>
              </w:rPr>
              <w:t>$593</w:t>
            </w:r>
            <w:r>
              <w:rPr>
                <w:rFonts w:cs="Arial"/>
                <w:color w:val="000000"/>
              </w:rPr>
              <w:t>)</w:t>
            </w:r>
          </w:p>
        </w:tc>
        <w:tc>
          <w:tcPr>
            <w:tcW w:w="415" w:type="pct"/>
            <w:shd w:val="clear" w:color="auto" w:fill="auto"/>
            <w:noWrap/>
            <w:vAlign w:val="center"/>
            <w:hideMark/>
          </w:tcPr>
          <w:p w:rsidR="00A0318C" w:rsidRPr="004A038C" w:rsidP="00A0318C" w14:paraId="7F494352" w14:textId="77777777">
            <w:pPr>
              <w:autoSpaceDE/>
              <w:autoSpaceDN/>
              <w:adjustRightInd/>
              <w:jc w:val="center"/>
              <w:rPr>
                <w:rFonts w:cs="Arial"/>
                <w:color w:val="000000"/>
              </w:rPr>
            </w:pPr>
            <w:r>
              <w:rPr>
                <w:rFonts w:cs="Arial"/>
                <w:color w:val="000000"/>
              </w:rPr>
              <w:t>(</w:t>
            </w:r>
            <w:r w:rsidRPr="00151FC8">
              <w:rPr>
                <w:rFonts w:cs="Arial"/>
                <w:color w:val="000000"/>
              </w:rPr>
              <w:t>$725</w:t>
            </w:r>
            <w:r>
              <w:rPr>
                <w:rFonts w:cs="Arial"/>
                <w:color w:val="000000"/>
              </w:rPr>
              <w:t>)</w:t>
            </w:r>
            <w:r w:rsidRPr="00151FC8">
              <w:rPr>
                <w:rFonts w:cs="Arial"/>
                <w:color w:val="000000"/>
              </w:rPr>
              <w:t xml:space="preserve"> </w:t>
            </w:r>
          </w:p>
        </w:tc>
      </w:tr>
      <w:tr w14:paraId="7F49435E" w14:textId="77777777" w:rsidTr="00D96410">
        <w:tblPrEx>
          <w:tblW w:w="5000" w:type="pct"/>
          <w:jc w:val="center"/>
          <w:tblLayout w:type="fixed"/>
          <w:tblLook w:val="04A0"/>
        </w:tblPrEx>
        <w:trPr>
          <w:trHeight w:val="359"/>
          <w:jc w:val="center"/>
        </w:trPr>
        <w:tc>
          <w:tcPr>
            <w:tcW w:w="1334" w:type="pct"/>
            <w:vMerge w:val="restart"/>
            <w:shd w:val="clear" w:color="auto" w:fill="auto"/>
            <w:vAlign w:val="center"/>
            <w:hideMark/>
          </w:tcPr>
          <w:p w:rsidR="00A0318C" w:rsidRPr="004A038C" w:rsidP="00E83986" w14:paraId="7F494354" w14:textId="77777777">
            <w:pPr>
              <w:autoSpaceDE/>
              <w:autoSpaceDN/>
              <w:adjustRightInd/>
              <w:rPr>
                <w:rFonts w:cs="Arial"/>
                <w:b/>
                <w:bCs/>
              </w:rPr>
            </w:pPr>
            <w:r w:rsidRPr="004A038C">
              <w:rPr>
                <w:rFonts w:cs="Arial"/>
                <w:b/>
                <w:bCs/>
              </w:rPr>
              <w:t>Reviewing Updated FSAR</w:t>
            </w:r>
            <w:r w:rsidR="00E83986">
              <w:rPr>
                <w:rFonts w:cs="Arial"/>
                <w:b/>
                <w:bCs/>
              </w:rPr>
              <w:t>—</w:t>
            </w:r>
            <w:r w:rsidRPr="004A038C">
              <w:rPr>
                <w:rFonts w:cs="Arial"/>
                <w:b/>
                <w:bCs/>
              </w:rPr>
              <w:t xml:space="preserve"> Subsequent Updates</w:t>
            </w:r>
          </w:p>
        </w:tc>
        <w:tc>
          <w:tcPr>
            <w:tcW w:w="436" w:type="pct"/>
            <w:shd w:val="clear" w:color="000000" w:fill="FFFFFF"/>
            <w:vAlign w:val="center"/>
            <w:hideMark/>
          </w:tcPr>
          <w:p w:rsidR="00A0318C" w:rsidRPr="004A038C" w:rsidP="0051344C" w14:paraId="7F494355"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56" w14:textId="77777777">
            <w:pPr>
              <w:autoSpaceDE/>
              <w:autoSpaceDN/>
              <w:adjustRightInd/>
              <w:jc w:val="center"/>
              <w:rPr>
                <w:rFonts w:cs="Arial"/>
              </w:rPr>
            </w:pPr>
            <w:r w:rsidRPr="004A038C">
              <w:rPr>
                <w:rFonts w:cs="Arial"/>
              </w:rPr>
              <w:t>3</w:t>
            </w:r>
          </w:p>
        </w:tc>
        <w:tc>
          <w:tcPr>
            <w:tcW w:w="383" w:type="pct"/>
            <w:shd w:val="clear" w:color="000000" w:fill="FFFFFF"/>
            <w:vAlign w:val="center"/>
            <w:hideMark/>
          </w:tcPr>
          <w:p w:rsidR="00A0318C" w:rsidRPr="004A038C" w:rsidP="00A0318C" w14:paraId="7F494357" w14:textId="77777777">
            <w:pPr>
              <w:autoSpaceDE/>
              <w:autoSpaceDN/>
              <w:adjustRightInd/>
              <w:jc w:val="center"/>
              <w:rPr>
                <w:rFonts w:cs="Arial"/>
              </w:rPr>
            </w:pPr>
            <w:r w:rsidRPr="004A038C">
              <w:rPr>
                <w:rFonts w:cs="Arial"/>
              </w:rPr>
              <w:t>4</w:t>
            </w:r>
          </w:p>
        </w:tc>
        <w:tc>
          <w:tcPr>
            <w:tcW w:w="416" w:type="pct"/>
            <w:shd w:val="clear" w:color="000000" w:fill="FFFFFF"/>
            <w:vAlign w:val="center"/>
            <w:hideMark/>
          </w:tcPr>
          <w:p w:rsidR="00A0318C" w:rsidRPr="004A038C" w:rsidP="00A0318C" w14:paraId="7F494358" w14:textId="77777777">
            <w:pPr>
              <w:autoSpaceDE/>
              <w:autoSpaceDN/>
              <w:adjustRightInd/>
              <w:jc w:val="center"/>
              <w:rPr>
                <w:rFonts w:cs="Arial"/>
              </w:rPr>
            </w:pPr>
            <w:r w:rsidRPr="004A038C">
              <w:rPr>
                <w:rFonts w:cs="Arial"/>
              </w:rPr>
              <w:t>5</w:t>
            </w:r>
          </w:p>
        </w:tc>
        <w:tc>
          <w:tcPr>
            <w:tcW w:w="383" w:type="pct"/>
            <w:shd w:val="clear" w:color="000000" w:fill="FFFFFF"/>
            <w:noWrap/>
            <w:vAlign w:val="center"/>
            <w:hideMark/>
          </w:tcPr>
          <w:p w:rsidR="00A0318C" w:rsidRPr="004A038C" w:rsidP="00A0318C" w14:paraId="7F494359"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5A"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5B" w14:textId="77777777">
            <w:pPr>
              <w:autoSpaceDE/>
              <w:autoSpaceDN/>
              <w:adjustRightInd/>
              <w:jc w:val="center"/>
              <w:rPr>
                <w:rFonts w:cs="Arial"/>
                <w:color w:val="000000"/>
              </w:rPr>
            </w:pPr>
            <w:r>
              <w:rPr>
                <w:rFonts w:cs="Arial"/>
                <w:color w:val="000000"/>
              </w:rPr>
              <w:t>(</w:t>
            </w:r>
            <w:r w:rsidRPr="00151FC8">
              <w:rPr>
                <w:rFonts w:cs="Arial"/>
                <w:color w:val="000000"/>
              </w:rPr>
              <w:t>$395</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5C" w14:textId="77777777">
            <w:pPr>
              <w:autoSpaceDE/>
              <w:autoSpaceDN/>
              <w:adjustRightInd/>
              <w:jc w:val="center"/>
              <w:rPr>
                <w:rFonts w:cs="Arial"/>
                <w:color w:val="000000"/>
              </w:rPr>
            </w:pPr>
            <w:r>
              <w:rPr>
                <w:rFonts w:cs="Arial"/>
                <w:color w:val="000000"/>
              </w:rPr>
              <w:t>(</w:t>
            </w:r>
            <w:r w:rsidRPr="00151FC8">
              <w:rPr>
                <w:rFonts w:cs="Arial"/>
                <w:color w:val="000000"/>
              </w:rPr>
              <w:t>$527</w:t>
            </w:r>
            <w:r>
              <w:rPr>
                <w:rFonts w:cs="Arial"/>
                <w:color w:val="000000"/>
              </w:rPr>
              <w:t>)</w:t>
            </w:r>
          </w:p>
        </w:tc>
        <w:tc>
          <w:tcPr>
            <w:tcW w:w="415" w:type="pct"/>
            <w:shd w:val="clear" w:color="auto" w:fill="auto"/>
            <w:noWrap/>
            <w:vAlign w:val="center"/>
            <w:hideMark/>
          </w:tcPr>
          <w:p w:rsidR="00A0318C" w:rsidRPr="004A038C" w:rsidP="00A0318C" w14:paraId="7F49435D" w14:textId="77777777">
            <w:pPr>
              <w:autoSpaceDE/>
              <w:autoSpaceDN/>
              <w:adjustRightInd/>
              <w:jc w:val="center"/>
              <w:rPr>
                <w:rFonts w:cs="Arial"/>
                <w:color w:val="000000"/>
              </w:rPr>
            </w:pPr>
            <w:r>
              <w:rPr>
                <w:rFonts w:cs="Arial"/>
                <w:color w:val="000000"/>
              </w:rPr>
              <w:t>(</w:t>
            </w:r>
            <w:r w:rsidRPr="00151FC8">
              <w:rPr>
                <w:rFonts w:cs="Arial"/>
                <w:color w:val="000000"/>
              </w:rPr>
              <w:t>$659</w:t>
            </w:r>
            <w:r>
              <w:rPr>
                <w:rFonts w:cs="Arial"/>
                <w:color w:val="000000"/>
              </w:rPr>
              <w:t>)</w:t>
            </w:r>
            <w:r w:rsidRPr="00151FC8">
              <w:rPr>
                <w:rFonts w:cs="Arial"/>
                <w:color w:val="000000"/>
              </w:rPr>
              <w:t xml:space="preserve"> </w:t>
            </w:r>
          </w:p>
        </w:tc>
      </w:tr>
      <w:tr w14:paraId="7F494369" w14:textId="77777777" w:rsidTr="00D96410">
        <w:tblPrEx>
          <w:tblW w:w="5000" w:type="pct"/>
          <w:jc w:val="center"/>
          <w:tblLayout w:type="fixed"/>
          <w:tblLook w:val="04A0"/>
        </w:tblPrEx>
        <w:trPr>
          <w:trHeight w:val="341"/>
          <w:jc w:val="center"/>
        </w:trPr>
        <w:tc>
          <w:tcPr>
            <w:tcW w:w="1334" w:type="pct"/>
            <w:vMerge/>
            <w:vAlign w:val="center"/>
            <w:hideMark/>
          </w:tcPr>
          <w:p w:rsidR="00A0318C" w:rsidRPr="004A038C" w:rsidP="00A0318C" w14:paraId="7F49435F" w14:textId="77777777">
            <w:pPr>
              <w:autoSpaceDE/>
              <w:autoSpaceDN/>
              <w:adjustRightInd/>
              <w:rPr>
                <w:rFonts w:cs="Arial"/>
                <w:b/>
                <w:bCs/>
              </w:rPr>
            </w:pPr>
          </w:p>
        </w:tc>
        <w:tc>
          <w:tcPr>
            <w:tcW w:w="436" w:type="pct"/>
            <w:shd w:val="clear" w:color="000000" w:fill="FFFFFF"/>
            <w:vAlign w:val="center"/>
            <w:hideMark/>
          </w:tcPr>
          <w:p w:rsidR="00A0318C" w:rsidRPr="004A038C" w:rsidP="0051344C" w14:paraId="7F494360"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61" w14:textId="77777777">
            <w:pPr>
              <w:autoSpaceDE/>
              <w:autoSpaceDN/>
              <w:adjustRightInd/>
              <w:jc w:val="center"/>
              <w:rPr>
                <w:rFonts w:cs="Arial"/>
              </w:rPr>
            </w:pPr>
            <w:r w:rsidRPr="004A038C">
              <w:rPr>
                <w:rFonts w:cs="Arial"/>
              </w:rPr>
              <w:t>9</w:t>
            </w:r>
          </w:p>
        </w:tc>
        <w:tc>
          <w:tcPr>
            <w:tcW w:w="383" w:type="pct"/>
            <w:shd w:val="clear" w:color="000000" w:fill="FFFFFF"/>
            <w:vAlign w:val="center"/>
            <w:hideMark/>
          </w:tcPr>
          <w:p w:rsidR="00A0318C" w:rsidRPr="004A038C" w:rsidP="00A0318C" w14:paraId="7F494362" w14:textId="77777777">
            <w:pPr>
              <w:autoSpaceDE/>
              <w:autoSpaceDN/>
              <w:adjustRightInd/>
              <w:jc w:val="center"/>
              <w:rPr>
                <w:rFonts w:cs="Arial"/>
              </w:rPr>
            </w:pPr>
            <w:r w:rsidRPr="004A038C">
              <w:rPr>
                <w:rFonts w:cs="Arial"/>
              </w:rPr>
              <w:t>12</w:t>
            </w:r>
          </w:p>
        </w:tc>
        <w:tc>
          <w:tcPr>
            <w:tcW w:w="416" w:type="pct"/>
            <w:shd w:val="clear" w:color="000000" w:fill="FFFFFF"/>
            <w:vAlign w:val="center"/>
            <w:hideMark/>
          </w:tcPr>
          <w:p w:rsidR="00A0318C" w:rsidRPr="004A038C" w:rsidP="00A0318C" w14:paraId="7F494363" w14:textId="77777777">
            <w:pPr>
              <w:autoSpaceDE/>
              <w:autoSpaceDN/>
              <w:adjustRightInd/>
              <w:jc w:val="center"/>
              <w:rPr>
                <w:rFonts w:cs="Arial"/>
              </w:rPr>
            </w:pPr>
            <w:r w:rsidRPr="004A038C">
              <w:rPr>
                <w:rFonts w:cs="Arial"/>
              </w:rPr>
              <w:t>15</w:t>
            </w:r>
          </w:p>
        </w:tc>
        <w:tc>
          <w:tcPr>
            <w:tcW w:w="383" w:type="pct"/>
            <w:shd w:val="clear" w:color="000000" w:fill="FFFFFF"/>
            <w:noWrap/>
            <w:vAlign w:val="center"/>
            <w:hideMark/>
          </w:tcPr>
          <w:p w:rsidR="00A0318C" w:rsidRPr="004A038C" w:rsidP="00A0318C" w14:paraId="7F494364"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65"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66" w14:textId="77777777">
            <w:pPr>
              <w:autoSpaceDE/>
              <w:autoSpaceDN/>
              <w:adjustRightInd/>
              <w:jc w:val="center"/>
              <w:rPr>
                <w:rFonts w:cs="Arial"/>
                <w:color w:val="000000"/>
              </w:rPr>
            </w:pPr>
            <w:r>
              <w:rPr>
                <w:rFonts w:cs="Arial"/>
                <w:color w:val="000000"/>
              </w:rPr>
              <w:t>(</w:t>
            </w:r>
            <w:r w:rsidRPr="00151FC8">
              <w:rPr>
                <w:rFonts w:cs="Arial"/>
                <w:color w:val="000000"/>
              </w:rPr>
              <w:t>$1,186</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67" w14:textId="77777777">
            <w:pPr>
              <w:autoSpaceDE/>
              <w:autoSpaceDN/>
              <w:adjustRightInd/>
              <w:jc w:val="center"/>
              <w:rPr>
                <w:rFonts w:cs="Arial"/>
                <w:color w:val="000000"/>
              </w:rPr>
            </w:pPr>
            <w:r>
              <w:rPr>
                <w:rFonts w:cs="Arial"/>
                <w:color w:val="000000"/>
              </w:rPr>
              <w:t>(</w:t>
            </w:r>
            <w:r w:rsidRPr="00151FC8">
              <w:rPr>
                <w:rFonts w:cs="Arial"/>
                <w:color w:val="000000"/>
              </w:rPr>
              <w:t>$1,58</w:t>
            </w:r>
            <w:r>
              <w:rPr>
                <w:rFonts w:cs="Arial"/>
                <w:color w:val="000000"/>
              </w:rPr>
              <w:t>1)</w:t>
            </w:r>
            <w:r w:rsidRPr="00151FC8">
              <w:rPr>
                <w:rFonts w:cs="Arial"/>
                <w:color w:val="000000"/>
              </w:rPr>
              <w:t xml:space="preserve"> </w:t>
            </w:r>
          </w:p>
        </w:tc>
        <w:tc>
          <w:tcPr>
            <w:tcW w:w="415" w:type="pct"/>
            <w:shd w:val="clear" w:color="auto" w:fill="auto"/>
            <w:noWrap/>
            <w:vAlign w:val="center"/>
            <w:hideMark/>
          </w:tcPr>
          <w:p w:rsidR="00A0318C" w:rsidRPr="004A038C" w:rsidP="00A0318C" w14:paraId="7F494368" w14:textId="77777777">
            <w:pPr>
              <w:autoSpaceDE/>
              <w:autoSpaceDN/>
              <w:adjustRightInd/>
              <w:jc w:val="center"/>
              <w:rPr>
                <w:rFonts w:cs="Arial"/>
                <w:color w:val="000000"/>
              </w:rPr>
            </w:pPr>
            <w:r>
              <w:rPr>
                <w:rFonts w:cs="Arial"/>
                <w:color w:val="000000"/>
              </w:rPr>
              <w:t>(</w:t>
            </w:r>
            <w:r w:rsidRPr="00151FC8">
              <w:rPr>
                <w:rFonts w:cs="Arial"/>
                <w:color w:val="000000"/>
              </w:rPr>
              <w:t>$1,976</w:t>
            </w:r>
            <w:r>
              <w:rPr>
                <w:rFonts w:cs="Arial"/>
                <w:color w:val="000000"/>
              </w:rPr>
              <w:t>)</w:t>
            </w:r>
            <w:r w:rsidRPr="00151FC8">
              <w:rPr>
                <w:rFonts w:cs="Arial"/>
                <w:color w:val="000000"/>
              </w:rPr>
              <w:t xml:space="preserve"> </w:t>
            </w:r>
          </w:p>
        </w:tc>
      </w:tr>
      <w:tr w14:paraId="7F494374" w14:textId="77777777" w:rsidTr="00D96410">
        <w:tblPrEx>
          <w:tblW w:w="5000" w:type="pct"/>
          <w:jc w:val="center"/>
          <w:tblLayout w:type="fixed"/>
          <w:tblLook w:val="04A0"/>
        </w:tblPrEx>
        <w:trPr>
          <w:trHeight w:val="359"/>
          <w:jc w:val="center"/>
        </w:trPr>
        <w:tc>
          <w:tcPr>
            <w:tcW w:w="1334" w:type="pct"/>
            <w:vMerge/>
            <w:vAlign w:val="center"/>
            <w:hideMark/>
          </w:tcPr>
          <w:p w:rsidR="00A0318C" w:rsidRPr="004A038C" w:rsidP="00A0318C" w14:paraId="7F49436A" w14:textId="77777777">
            <w:pPr>
              <w:autoSpaceDE/>
              <w:autoSpaceDN/>
              <w:adjustRightInd/>
              <w:rPr>
                <w:rFonts w:cs="Arial"/>
                <w:b/>
                <w:bCs/>
              </w:rPr>
            </w:pPr>
          </w:p>
        </w:tc>
        <w:tc>
          <w:tcPr>
            <w:tcW w:w="436" w:type="pct"/>
            <w:shd w:val="clear" w:color="000000" w:fill="FFFFFF"/>
            <w:vAlign w:val="center"/>
            <w:hideMark/>
          </w:tcPr>
          <w:p w:rsidR="00A0318C" w:rsidRPr="004A038C" w:rsidP="0051344C" w14:paraId="7F49436B"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6C" w14:textId="77777777">
            <w:pPr>
              <w:autoSpaceDE/>
              <w:autoSpaceDN/>
              <w:adjustRightInd/>
              <w:jc w:val="center"/>
              <w:rPr>
                <w:rFonts w:cs="Arial"/>
              </w:rPr>
            </w:pPr>
            <w:r w:rsidRPr="004A038C">
              <w:rPr>
                <w:rFonts w:cs="Arial"/>
              </w:rPr>
              <w:t>12</w:t>
            </w:r>
          </w:p>
        </w:tc>
        <w:tc>
          <w:tcPr>
            <w:tcW w:w="383" w:type="pct"/>
            <w:shd w:val="clear" w:color="000000" w:fill="FFFFFF"/>
            <w:vAlign w:val="center"/>
            <w:hideMark/>
          </w:tcPr>
          <w:p w:rsidR="00A0318C" w:rsidRPr="004A038C" w:rsidP="00A0318C" w14:paraId="7F49436D" w14:textId="77777777">
            <w:pPr>
              <w:autoSpaceDE/>
              <w:autoSpaceDN/>
              <w:adjustRightInd/>
              <w:jc w:val="center"/>
              <w:rPr>
                <w:rFonts w:cs="Arial"/>
              </w:rPr>
            </w:pPr>
            <w:r w:rsidRPr="004A038C">
              <w:rPr>
                <w:rFonts w:cs="Arial"/>
              </w:rPr>
              <w:t>16</w:t>
            </w:r>
          </w:p>
        </w:tc>
        <w:tc>
          <w:tcPr>
            <w:tcW w:w="416" w:type="pct"/>
            <w:shd w:val="clear" w:color="000000" w:fill="FFFFFF"/>
            <w:vAlign w:val="center"/>
            <w:hideMark/>
          </w:tcPr>
          <w:p w:rsidR="00A0318C" w:rsidRPr="004A038C" w:rsidP="00A0318C" w14:paraId="7F49436E" w14:textId="77777777">
            <w:pPr>
              <w:autoSpaceDE/>
              <w:autoSpaceDN/>
              <w:adjustRightInd/>
              <w:jc w:val="center"/>
              <w:rPr>
                <w:rFonts w:cs="Arial"/>
              </w:rPr>
            </w:pPr>
            <w:r w:rsidRPr="004A038C">
              <w:rPr>
                <w:rFonts w:cs="Arial"/>
              </w:rPr>
              <w:t>20</w:t>
            </w:r>
          </w:p>
        </w:tc>
        <w:tc>
          <w:tcPr>
            <w:tcW w:w="383" w:type="pct"/>
            <w:shd w:val="clear" w:color="000000" w:fill="FFFFFF"/>
            <w:noWrap/>
            <w:vAlign w:val="center"/>
            <w:hideMark/>
          </w:tcPr>
          <w:p w:rsidR="00A0318C" w:rsidRPr="004A038C" w:rsidP="00A0318C" w14:paraId="7F49436F"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70"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71" w14:textId="77777777">
            <w:pPr>
              <w:autoSpaceDE/>
              <w:autoSpaceDN/>
              <w:adjustRightInd/>
              <w:jc w:val="center"/>
              <w:rPr>
                <w:rFonts w:cs="Arial"/>
                <w:color w:val="000000"/>
              </w:rPr>
            </w:pPr>
            <w:r>
              <w:rPr>
                <w:rFonts w:cs="Arial"/>
                <w:color w:val="000000"/>
              </w:rPr>
              <w:t>(</w:t>
            </w:r>
            <w:r w:rsidRPr="00151FC8">
              <w:rPr>
                <w:rFonts w:cs="Arial"/>
                <w:color w:val="000000"/>
              </w:rPr>
              <w:t>$1,581</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72" w14:textId="77777777">
            <w:pPr>
              <w:autoSpaceDE/>
              <w:autoSpaceDN/>
              <w:adjustRightInd/>
              <w:jc w:val="center"/>
              <w:rPr>
                <w:rFonts w:cs="Arial"/>
                <w:color w:val="000000"/>
              </w:rPr>
            </w:pPr>
            <w:r>
              <w:rPr>
                <w:rFonts w:cs="Arial"/>
                <w:color w:val="000000"/>
              </w:rPr>
              <w:t>(</w:t>
            </w:r>
            <w:r w:rsidRPr="00151FC8">
              <w:rPr>
                <w:rFonts w:cs="Arial"/>
                <w:color w:val="000000"/>
              </w:rPr>
              <w:t>$2,108</w:t>
            </w:r>
            <w:r>
              <w:rPr>
                <w:rFonts w:cs="Arial"/>
                <w:color w:val="000000"/>
              </w:rPr>
              <w:t>)</w:t>
            </w:r>
          </w:p>
        </w:tc>
        <w:tc>
          <w:tcPr>
            <w:tcW w:w="415" w:type="pct"/>
            <w:shd w:val="clear" w:color="auto" w:fill="auto"/>
            <w:noWrap/>
            <w:vAlign w:val="center"/>
            <w:hideMark/>
          </w:tcPr>
          <w:p w:rsidR="00A0318C" w:rsidRPr="004A038C" w:rsidP="00A0318C" w14:paraId="7F494373" w14:textId="77777777">
            <w:pPr>
              <w:autoSpaceDE/>
              <w:autoSpaceDN/>
              <w:adjustRightInd/>
              <w:jc w:val="center"/>
              <w:rPr>
                <w:rFonts w:cs="Arial"/>
                <w:color w:val="000000"/>
              </w:rPr>
            </w:pPr>
            <w:r>
              <w:rPr>
                <w:rFonts w:cs="Arial"/>
                <w:color w:val="000000"/>
              </w:rPr>
              <w:t>(</w:t>
            </w:r>
            <w:r w:rsidRPr="00151FC8">
              <w:rPr>
                <w:rFonts w:cs="Arial"/>
                <w:color w:val="000000"/>
              </w:rPr>
              <w:t>$2,635</w:t>
            </w:r>
            <w:r>
              <w:rPr>
                <w:rFonts w:cs="Arial"/>
                <w:color w:val="000000"/>
              </w:rPr>
              <w:t>)</w:t>
            </w:r>
            <w:r w:rsidRPr="00151FC8">
              <w:rPr>
                <w:rFonts w:cs="Arial"/>
                <w:color w:val="000000"/>
              </w:rPr>
              <w:t xml:space="preserve"> </w:t>
            </w:r>
          </w:p>
        </w:tc>
      </w:tr>
      <w:tr w14:paraId="7F49437F" w14:textId="77777777" w:rsidTr="00D96410">
        <w:tblPrEx>
          <w:tblW w:w="5000" w:type="pct"/>
          <w:jc w:val="center"/>
          <w:tblLayout w:type="fixed"/>
          <w:tblLook w:val="04A0"/>
        </w:tblPrEx>
        <w:trPr>
          <w:trHeight w:val="341"/>
          <w:jc w:val="center"/>
        </w:trPr>
        <w:tc>
          <w:tcPr>
            <w:tcW w:w="1334" w:type="pct"/>
            <w:vMerge/>
            <w:vAlign w:val="center"/>
            <w:hideMark/>
          </w:tcPr>
          <w:p w:rsidR="00A0318C" w:rsidRPr="004A038C" w:rsidP="00A0318C" w14:paraId="7F494375" w14:textId="77777777">
            <w:pPr>
              <w:autoSpaceDE/>
              <w:autoSpaceDN/>
              <w:adjustRightInd/>
              <w:rPr>
                <w:rFonts w:cs="Arial"/>
                <w:b/>
                <w:bCs/>
              </w:rPr>
            </w:pPr>
          </w:p>
        </w:tc>
        <w:tc>
          <w:tcPr>
            <w:tcW w:w="436" w:type="pct"/>
            <w:shd w:val="clear" w:color="000000" w:fill="FFFFFF"/>
            <w:vAlign w:val="center"/>
            <w:hideMark/>
          </w:tcPr>
          <w:p w:rsidR="00A0318C" w:rsidRPr="004A038C" w:rsidP="0051344C" w14:paraId="7F494376" w14:textId="77777777">
            <w:pPr>
              <w:autoSpaceDE/>
              <w:autoSpaceDN/>
              <w:adjustRightInd/>
              <w:jc w:val="center"/>
              <w:rPr>
                <w:rFonts w:cs="Arial"/>
              </w:rPr>
            </w:pPr>
            <w:r w:rsidRPr="004A038C">
              <w:rPr>
                <w:rFonts w:cs="Arial"/>
              </w:rPr>
              <w:t>NRC Staff</w:t>
            </w:r>
          </w:p>
        </w:tc>
        <w:tc>
          <w:tcPr>
            <w:tcW w:w="278" w:type="pct"/>
            <w:shd w:val="clear" w:color="000000" w:fill="FFFFFF"/>
            <w:vAlign w:val="center"/>
            <w:hideMark/>
          </w:tcPr>
          <w:p w:rsidR="00A0318C" w:rsidRPr="004A038C" w:rsidP="00A0318C" w14:paraId="7F494377" w14:textId="77777777">
            <w:pPr>
              <w:autoSpaceDE/>
              <w:autoSpaceDN/>
              <w:adjustRightInd/>
              <w:jc w:val="center"/>
              <w:rPr>
                <w:rFonts w:cs="Arial"/>
              </w:rPr>
            </w:pPr>
            <w:r w:rsidRPr="004A038C">
              <w:rPr>
                <w:rFonts w:cs="Arial"/>
              </w:rPr>
              <w:t>2</w:t>
            </w:r>
          </w:p>
        </w:tc>
        <w:tc>
          <w:tcPr>
            <w:tcW w:w="383" w:type="pct"/>
            <w:shd w:val="clear" w:color="000000" w:fill="FFFFFF"/>
            <w:vAlign w:val="center"/>
            <w:hideMark/>
          </w:tcPr>
          <w:p w:rsidR="00A0318C" w:rsidRPr="004A038C" w:rsidP="00A0318C" w14:paraId="7F494378" w14:textId="77777777">
            <w:pPr>
              <w:autoSpaceDE/>
              <w:autoSpaceDN/>
              <w:adjustRightInd/>
              <w:jc w:val="center"/>
              <w:rPr>
                <w:rFonts w:cs="Arial"/>
              </w:rPr>
            </w:pPr>
            <w:r w:rsidRPr="004A038C">
              <w:rPr>
                <w:rFonts w:cs="Arial"/>
              </w:rPr>
              <w:t>2</w:t>
            </w:r>
          </w:p>
        </w:tc>
        <w:tc>
          <w:tcPr>
            <w:tcW w:w="416" w:type="pct"/>
            <w:shd w:val="clear" w:color="000000" w:fill="FFFFFF"/>
            <w:vAlign w:val="center"/>
            <w:hideMark/>
          </w:tcPr>
          <w:p w:rsidR="00A0318C" w:rsidRPr="004A038C" w:rsidP="00A0318C" w14:paraId="7F494379" w14:textId="77777777">
            <w:pPr>
              <w:autoSpaceDE/>
              <w:autoSpaceDN/>
              <w:adjustRightInd/>
              <w:jc w:val="center"/>
              <w:rPr>
                <w:rFonts w:cs="Arial"/>
              </w:rPr>
            </w:pPr>
            <w:r w:rsidRPr="004A038C">
              <w:rPr>
                <w:rFonts w:cs="Arial"/>
              </w:rPr>
              <w:t>2.75</w:t>
            </w:r>
          </w:p>
        </w:tc>
        <w:tc>
          <w:tcPr>
            <w:tcW w:w="383" w:type="pct"/>
            <w:shd w:val="clear" w:color="000000" w:fill="FFFFFF"/>
            <w:noWrap/>
            <w:vAlign w:val="center"/>
            <w:hideMark/>
          </w:tcPr>
          <w:p w:rsidR="00A0318C" w:rsidRPr="004A038C" w:rsidP="00A0318C" w14:paraId="7F49437A" w14:textId="77777777">
            <w:pPr>
              <w:autoSpaceDE/>
              <w:autoSpaceDN/>
              <w:adjustRightInd/>
              <w:jc w:val="center"/>
              <w:rPr>
                <w:rFonts w:cs="Arial"/>
              </w:rPr>
            </w:pPr>
            <w:r w:rsidRPr="00151FC8">
              <w:rPr>
                <w:rFonts w:cs="Arial"/>
              </w:rPr>
              <w:t>$132/hr</w:t>
            </w:r>
          </w:p>
        </w:tc>
        <w:tc>
          <w:tcPr>
            <w:tcW w:w="451" w:type="pct"/>
            <w:shd w:val="clear" w:color="auto" w:fill="auto"/>
            <w:noWrap/>
            <w:vAlign w:val="center"/>
            <w:hideMark/>
          </w:tcPr>
          <w:p w:rsidR="00A0318C" w:rsidRPr="004A038C" w:rsidP="00A0318C" w14:paraId="7F49437B" w14:textId="77777777">
            <w:pPr>
              <w:autoSpaceDE/>
              <w:autoSpaceDN/>
              <w:adjustRightInd/>
              <w:jc w:val="center"/>
              <w:rPr>
                <w:rFonts w:cs="Arial"/>
                <w:color w:val="000000"/>
              </w:rPr>
            </w:pPr>
            <w:r w:rsidRPr="00151FC8">
              <w:rPr>
                <w:rFonts w:cs="Arial"/>
                <w:color w:val="000000"/>
              </w:rPr>
              <w:t>100%</w:t>
            </w:r>
          </w:p>
        </w:tc>
        <w:tc>
          <w:tcPr>
            <w:tcW w:w="418" w:type="pct"/>
            <w:shd w:val="clear" w:color="auto" w:fill="auto"/>
            <w:noWrap/>
            <w:vAlign w:val="center"/>
            <w:hideMark/>
          </w:tcPr>
          <w:p w:rsidR="00A0318C" w:rsidRPr="004A038C" w:rsidP="00A0318C" w14:paraId="7F49437C" w14:textId="77777777">
            <w:pPr>
              <w:autoSpaceDE/>
              <w:autoSpaceDN/>
              <w:adjustRightInd/>
              <w:jc w:val="center"/>
              <w:rPr>
                <w:rFonts w:cs="Arial"/>
                <w:color w:val="000000"/>
              </w:rPr>
            </w:pPr>
            <w:r>
              <w:rPr>
                <w:rFonts w:cs="Arial"/>
                <w:color w:val="000000"/>
              </w:rPr>
              <w:t>(</w:t>
            </w:r>
            <w:r w:rsidRPr="00151FC8">
              <w:rPr>
                <w:rFonts w:cs="Arial"/>
                <w:color w:val="000000"/>
              </w:rPr>
              <w:t>$231</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7D" w14:textId="77777777">
            <w:pPr>
              <w:autoSpaceDE/>
              <w:autoSpaceDN/>
              <w:adjustRightInd/>
              <w:jc w:val="center"/>
              <w:rPr>
                <w:rFonts w:cs="Arial"/>
                <w:color w:val="000000"/>
              </w:rPr>
            </w:pPr>
            <w:r>
              <w:rPr>
                <w:rFonts w:cs="Arial"/>
                <w:color w:val="000000"/>
              </w:rPr>
              <w:t>(</w:t>
            </w:r>
            <w:r w:rsidRPr="00151FC8">
              <w:rPr>
                <w:rFonts w:cs="Arial"/>
                <w:color w:val="000000"/>
              </w:rPr>
              <w:t>$296</w:t>
            </w:r>
            <w:r>
              <w:rPr>
                <w:rFonts w:cs="Arial"/>
                <w:color w:val="000000"/>
              </w:rPr>
              <w:t>)</w:t>
            </w:r>
          </w:p>
        </w:tc>
        <w:tc>
          <w:tcPr>
            <w:tcW w:w="415" w:type="pct"/>
            <w:shd w:val="clear" w:color="auto" w:fill="auto"/>
            <w:noWrap/>
            <w:vAlign w:val="center"/>
            <w:hideMark/>
          </w:tcPr>
          <w:p w:rsidR="00A0318C" w:rsidRPr="004A038C" w:rsidP="00A0318C" w14:paraId="7F49437E" w14:textId="77777777">
            <w:pPr>
              <w:autoSpaceDE/>
              <w:autoSpaceDN/>
              <w:adjustRightInd/>
              <w:jc w:val="center"/>
              <w:rPr>
                <w:rFonts w:cs="Arial"/>
                <w:color w:val="000000"/>
              </w:rPr>
            </w:pPr>
            <w:r>
              <w:rPr>
                <w:rFonts w:cs="Arial"/>
                <w:color w:val="000000"/>
              </w:rPr>
              <w:t>(</w:t>
            </w:r>
            <w:r w:rsidRPr="00151FC8">
              <w:rPr>
                <w:rFonts w:cs="Arial"/>
                <w:color w:val="000000"/>
              </w:rPr>
              <w:t>$362</w:t>
            </w:r>
            <w:r>
              <w:rPr>
                <w:rFonts w:cs="Arial"/>
                <w:color w:val="000000"/>
              </w:rPr>
              <w:t>)</w:t>
            </w:r>
            <w:r w:rsidRPr="00151FC8">
              <w:rPr>
                <w:rFonts w:cs="Arial"/>
                <w:color w:val="000000"/>
              </w:rPr>
              <w:t xml:space="preserve"> </w:t>
            </w:r>
          </w:p>
        </w:tc>
      </w:tr>
      <w:tr w14:paraId="7F494384" w14:textId="77777777" w:rsidTr="00D96410">
        <w:tblPrEx>
          <w:tblW w:w="5000" w:type="pct"/>
          <w:jc w:val="center"/>
          <w:tblLayout w:type="fixed"/>
          <w:tblLook w:val="04A0"/>
        </w:tblPrEx>
        <w:trPr>
          <w:trHeight w:val="390"/>
          <w:jc w:val="center"/>
        </w:trPr>
        <w:tc>
          <w:tcPr>
            <w:tcW w:w="3681" w:type="pct"/>
            <w:gridSpan w:val="7"/>
            <w:shd w:val="clear" w:color="000000" w:fill="FFFFFF"/>
            <w:vAlign w:val="center"/>
            <w:hideMark/>
          </w:tcPr>
          <w:p w:rsidR="00A0318C" w:rsidRPr="004A038C" w:rsidP="00A0318C" w14:paraId="7F494380" w14:textId="77777777">
            <w:pPr>
              <w:autoSpaceDE/>
              <w:autoSpaceDN/>
              <w:adjustRightInd/>
              <w:rPr>
                <w:rFonts w:cs="Arial"/>
                <w:b/>
                <w:bCs/>
              </w:rPr>
            </w:pPr>
            <w:r w:rsidRPr="004A038C">
              <w:rPr>
                <w:rFonts w:cs="Arial"/>
                <w:b/>
                <w:bCs/>
              </w:rPr>
              <w:t>NRC Operation Cost (per Initial FSAR Update)</w:t>
            </w:r>
          </w:p>
        </w:tc>
        <w:tc>
          <w:tcPr>
            <w:tcW w:w="418" w:type="pct"/>
            <w:shd w:val="clear" w:color="auto" w:fill="auto"/>
            <w:noWrap/>
            <w:vAlign w:val="center"/>
            <w:hideMark/>
          </w:tcPr>
          <w:p w:rsidR="00A0318C" w:rsidRPr="004A038C" w:rsidP="00A0318C" w14:paraId="7F494381" w14:textId="77777777">
            <w:pPr>
              <w:autoSpaceDE/>
              <w:autoSpaceDN/>
              <w:adjustRightInd/>
              <w:jc w:val="center"/>
              <w:rPr>
                <w:rFonts w:cs="Arial"/>
                <w:color w:val="000000"/>
              </w:rPr>
            </w:pPr>
            <w:r>
              <w:rPr>
                <w:rFonts w:cs="Arial"/>
                <w:color w:val="000000"/>
              </w:rPr>
              <w:t>(</w:t>
            </w:r>
            <w:r w:rsidRPr="00151FC8">
              <w:rPr>
                <w:rFonts w:cs="Arial"/>
                <w:color w:val="000000"/>
              </w:rPr>
              <w:t>$6,785</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82" w14:textId="77777777">
            <w:pPr>
              <w:autoSpaceDE/>
              <w:autoSpaceDN/>
              <w:adjustRightInd/>
              <w:jc w:val="center"/>
              <w:rPr>
                <w:rFonts w:cs="Arial"/>
                <w:color w:val="000000"/>
              </w:rPr>
            </w:pPr>
            <w:r>
              <w:rPr>
                <w:rFonts w:cs="Arial"/>
                <w:color w:val="000000"/>
              </w:rPr>
              <w:t>(</w:t>
            </w:r>
            <w:r w:rsidRPr="00151FC8">
              <w:rPr>
                <w:rFonts w:cs="Arial"/>
                <w:color w:val="000000"/>
              </w:rPr>
              <w:t>$9,025</w:t>
            </w:r>
            <w:r>
              <w:rPr>
                <w:rFonts w:cs="Arial"/>
                <w:color w:val="000000"/>
              </w:rPr>
              <w:t>)</w:t>
            </w:r>
            <w:r w:rsidRPr="00151FC8">
              <w:rPr>
                <w:rFonts w:cs="Arial"/>
                <w:color w:val="000000"/>
              </w:rPr>
              <w:t xml:space="preserve"> </w:t>
            </w:r>
          </w:p>
        </w:tc>
        <w:tc>
          <w:tcPr>
            <w:tcW w:w="415" w:type="pct"/>
            <w:shd w:val="clear" w:color="auto" w:fill="auto"/>
            <w:noWrap/>
            <w:vAlign w:val="center"/>
            <w:hideMark/>
          </w:tcPr>
          <w:p w:rsidR="00A0318C" w:rsidRPr="004A038C" w:rsidP="00A0318C" w14:paraId="7F494383" w14:textId="77777777">
            <w:pPr>
              <w:autoSpaceDE/>
              <w:autoSpaceDN/>
              <w:adjustRightInd/>
              <w:jc w:val="center"/>
              <w:rPr>
                <w:rFonts w:cs="Arial"/>
                <w:color w:val="000000"/>
              </w:rPr>
            </w:pPr>
            <w:r>
              <w:rPr>
                <w:rFonts w:cs="Arial"/>
                <w:color w:val="000000"/>
              </w:rPr>
              <w:t>(</w:t>
            </w:r>
            <w:r w:rsidRPr="00151FC8">
              <w:rPr>
                <w:rFonts w:cs="Arial"/>
                <w:color w:val="000000"/>
              </w:rPr>
              <w:t>$11,265</w:t>
            </w:r>
            <w:r>
              <w:rPr>
                <w:rFonts w:cs="Arial"/>
                <w:color w:val="000000"/>
              </w:rPr>
              <w:t>)</w:t>
            </w:r>
          </w:p>
        </w:tc>
      </w:tr>
      <w:tr w14:paraId="7F494389" w14:textId="77777777" w:rsidTr="00D96410">
        <w:tblPrEx>
          <w:tblW w:w="5000" w:type="pct"/>
          <w:jc w:val="center"/>
          <w:tblLayout w:type="fixed"/>
          <w:tblLook w:val="04A0"/>
        </w:tblPrEx>
        <w:trPr>
          <w:trHeight w:val="390"/>
          <w:jc w:val="center"/>
        </w:trPr>
        <w:tc>
          <w:tcPr>
            <w:tcW w:w="3681" w:type="pct"/>
            <w:gridSpan w:val="7"/>
            <w:shd w:val="clear" w:color="000000" w:fill="FFFFFF"/>
            <w:vAlign w:val="center"/>
            <w:hideMark/>
          </w:tcPr>
          <w:p w:rsidR="00A0318C" w:rsidRPr="004A038C" w:rsidP="00A0318C" w14:paraId="7F494385" w14:textId="77777777">
            <w:pPr>
              <w:autoSpaceDE/>
              <w:autoSpaceDN/>
              <w:adjustRightInd/>
              <w:rPr>
                <w:rFonts w:cs="Arial"/>
                <w:b/>
                <w:bCs/>
              </w:rPr>
            </w:pPr>
            <w:r w:rsidRPr="004A038C">
              <w:rPr>
                <w:rFonts w:cs="Arial"/>
                <w:b/>
                <w:bCs/>
              </w:rPr>
              <w:t>NRC Operation Cost (per Subsequent FSAR Update)</w:t>
            </w:r>
          </w:p>
        </w:tc>
        <w:tc>
          <w:tcPr>
            <w:tcW w:w="418" w:type="pct"/>
            <w:shd w:val="clear" w:color="auto" w:fill="auto"/>
            <w:noWrap/>
            <w:vAlign w:val="center"/>
            <w:hideMark/>
          </w:tcPr>
          <w:p w:rsidR="00A0318C" w:rsidRPr="004A038C" w:rsidP="00A0318C" w14:paraId="7F494386" w14:textId="77777777">
            <w:pPr>
              <w:autoSpaceDE/>
              <w:autoSpaceDN/>
              <w:adjustRightInd/>
              <w:jc w:val="center"/>
              <w:rPr>
                <w:rFonts w:cs="Arial"/>
                <w:color w:val="000000"/>
              </w:rPr>
            </w:pPr>
            <w:r>
              <w:rPr>
                <w:rFonts w:cs="Arial"/>
                <w:color w:val="000000"/>
              </w:rPr>
              <w:t>(</w:t>
            </w:r>
            <w:r w:rsidRPr="00151FC8">
              <w:rPr>
                <w:rFonts w:cs="Arial"/>
                <w:color w:val="000000"/>
              </w:rPr>
              <w:t>$3,393</w:t>
            </w:r>
            <w:r>
              <w:rPr>
                <w:rFonts w:cs="Arial"/>
                <w:color w:val="000000"/>
              </w:rPr>
              <w:t>)</w:t>
            </w:r>
            <w:r w:rsidRPr="00151FC8">
              <w:rPr>
                <w:rFonts w:cs="Arial"/>
                <w:color w:val="000000"/>
              </w:rPr>
              <w:t xml:space="preserve"> </w:t>
            </w:r>
          </w:p>
        </w:tc>
        <w:tc>
          <w:tcPr>
            <w:tcW w:w="486" w:type="pct"/>
            <w:shd w:val="clear" w:color="auto" w:fill="auto"/>
            <w:noWrap/>
            <w:vAlign w:val="center"/>
            <w:hideMark/>
          </w:tcPr>
          <w:p w:rsidR="00A0318C" w:rsidRPr="004A038C" w:rsidP="00A0318C" w14:paraId="7F494387" w14:textId="77777777">
            <w:pPr>
              <w:autoSpaceDE/>
              <w:autoSpaceDN/>
              <w:adjustRightInd/>
              <w:jc w:val="center"/>
              <w:rPr>
                <w:rFonts w:cs="Arial"/>
                <w:color w:val="000000"/>
              </w:rPr>
            </w:pPr>
            <w:r>
              <w:rPr>
                <w:rFonts w:cs="Arial"/>
                <w:color w:val="000000"/>
              </w:rPr>
              <w:t>(</w:t>
            </w:r>
            <w:r w:rsidRPr="00151FC8">
              <w:rPr>
                <w:rFonts w:cs="Arial"/>
                <w:color w:val="000000"/>
              </w:rPr>
              <w:t>$4,513</w:t>
            </w:r>
            <w:r>
              <w:rPr>
                <w:rFonts w:cs="Arial"/>
                <w:color w:val="000000"/>
              </w:rPr>
              <w:t>)</w:t>
            </w:r>
          </w:p>
        </w:tc>
        <w:tc>
          <w:tcPr>
            <w:tcW w:w="415" w:type="pct"/>
            <w:shd w:val="clear" w:color="auto" w:fill="auto"/>
            <w:noWrap/>
            <w:vAlign w:val="center"/>
            <w:hideMark/>
          </w:tcPr>
          <w:p w:rsidR="00A0318C" w:rsidRPr="004A038C" w:rsidP="00A0318C" w14:paraId="7F494388" w14:textId="77777777">
            <w:pPr>
              <w:autoSpaceDE/>
              <w:autoSpaceDN/>
              <w:adjustRightInd/>
              <w:jc w:val="center"/>
              <w:rPr>
                <w:rFonts w:cs="Arial"/>
                <w:color w:val="000000"/>
              </w:rPr>
            </w:pPr>
            <w:r>
              <w:rPr>
                <w:rFonts w:cs="Arial"/>
                <w:color w:val="000000"/>
              </w:rPr>
              <w:t>(</w:t>
            </w:r>
            <w:r w:rsidRPr="00151FC8">
              <w:rPr>
                <w:rFonts w:cs="Arial"/>
                <w:color w:val="000000"/>
              </w:rPr>
              <w:t>$5,633</w:t>
            </w:r>
            <w:r>
              <w:rPr>
                <w:rFonts w:cs="Arial"/>
                <w:color w:val="000000"/>
              </w:rPr>
              <w:t>)</w:t>
            </w:r>
            <w:r w:rsidRPr="00151FC8">
              <w:rPr>
                <w:rFonts w:cs="Arial"/>
                <w:color w:val="000000"/>
              </w:rPr>
              <w:t xml:space="preserve"> </w:t>
            </w:r>
          </w:p>
        </w:tc>
      </w:tr>
      <w:tr w14:paraId="7F49438E" w14:textId="77777777" w:rsidTr="00D96410">
        <w:tblPrEx>
          <w:tblW w:w="5000" w:type="pct"/>
          <w:jc w:val="center"/>
          <w:tblLayout w:type="fixed"/>
          <w:tblLook w:val="04A0"/>
        </w:tblPrEx>
        <w:trPr>
          <w:trHeight w:val="390"/>
          <w:jc w:val="center"/>
        </w:trPr>
        <w:tc>
          <w:tcPr>
            <w:tcW w:w="3681" w:type="pct"/>
            <w:gridSpan w:val="7"/>
            <w:shd w:val="clear" w:color="000000" w:fill="FFFFFF"/>
            <w:vAlign w:val="center"/>
            <w:hideMark/>
          </w:tcPr>
          <w:p w:rsidR="00A0318C" w:rsidRPr="004A038C" w:rsidP="00A0318C" w14:paraId="7F49438A" w14:textId="77777777">
            <w:pPr>
              <w:autoSpaceDE/>
              <w:autoSpaceDN/>
              <w:adjustRightInd/>
              <w:rPr>
                <w:rFonts w:cs="Arial"/>
                <w:b/>
                <w:bCs/>
              </w:rPr>
            </w:pPr>
            <w:r w:rsidRPr="004A038C">
              <w:rPr>
                <w:rFonts w:cs="Arial"/>
                <w:b/>
                <w:bCs/>
              </w:rPr>
              <w:t>Number of NPUFs</w:t>
            </w:r>
          </w:p>
        </w:tc>
        <w:tc>
          <w:tcPr>
            <w:tcW w:w="418" w:type="pct"/>
            <w:shd w:val="clear" w:color="000000" w:fill="FFFFFF"/>
            <w:noWrap/>
            <w:vAlign w:val="center"/>
            <w:hideMark/>
          </w:tcPr>
          <w:p w:rsidR="00A0318C" w:rsidRPr="004A038C" w:rsidP="00A0318C" w14:paraId="7F49438B" w14:textId="77777777">
            <w:pPr>
              <w:autoSpaceDE/>
              <w:autoSpaceDN/>
              <w:adjustRightInd/>
              <w:jc w:val="center"/>
              <w:rPr>
                <w:rFonts w:cs="Arial"/>
                <w:color w:val="000000"/>
              </w:rPr>
            </w:pPr>
            <w:r w:rsidRPr="004A038C">
              <w:rPr>
                <w:rFonts w:cs="Arial"/>
                <w:color w:val="000000"/>
              </w:rPr>
              <w:t>5</w:t>
            </w:r>
          </w:p>
        </w:tc>
        <w:tc>
          <w:tcPr>
            <w:tcW w:w="486" w:type="pct"/>
            <w:shd w:val="clear" w:color="000000" w:fill="FFFFFF"/>
            <w:noWrap/>
            <w:vAlign w:val="center"/>
            <w:hideMark/>
          </w:tcPr>
          <w:p w:rsidR="00A0318C" w:rsidRPr="004A038C" w:rsidP="00A0318C" w14:paraId="7F49438C" w14:textId="77777777">
            <w:pPr>
              <w:autoSpaceDE/>
              <w:autoSpaceDN/>
              <w:adjustRightInd/>
              <w:jc w:val="center"/>
              <w:rPr>
                <w:rFonts w:cs="Arial"/>
                <w:color w:val="000000"/>
              </w:rPr>
            </w:pPr>
            <w:r w:rsidRPr="004A038C">
              <w:rPr>
                <w:rFonts w:cs="Arial"/>
                <w:color w:val="000000"/>
              </w:rPr>
              <w:t>21</w:t>
            </w:r>
          </w:p>
        </w:tc>
        <w:tc>
          <w:tcPr>
            <w:tcW w:w="415" w:type="pct"/>
            <w:shd w:val="clear" w:color="000000" w:fill="FFFFFF"/>
            <w:noWrap/>
            <w:vAlign w:val="center"/>
            <w:hideMark/>
          </w:tcPr>
          <w:p w:rsidR="00A0318C" w:rsidRPr="004A038C" w:rsidP="00A0318C" w14:paraId="7F49438D" w14:textId="77777777">
            <w:pPr>
              <w:autoSpaceDE/>
              <w:autoSpaceDN/>
              <w:adjustRightInd/>
              <w:jc w:val="center"/>
              <w:rPr>
                <w:rFonts w:cs="Arial"/>
                <w:color w:val="000000"/>
              </w:rPr>
            </w:pPr>
            <w:r w:rsidRPr="004A038C">
              <w:rPr>
                <w:rFonts w:cs="Arial"/>
                <w:color w:val="000000"/>
              </w:rPr>
              <w:t>7</w:t>
            </w:r>
          </w:p>
        </w:tc>
      </w:tr>
      <w:tr w14:paraId="7F494393" w14:textId="77777777" w:rsidTr="00D96410">
        <w:tblPrEx>
          <w:tblW w:w="5000" w:type="pct"/>
          <w:jc w:val="center"/>
          <w:tblLayout w:type="fixed"/>
          <w:tblLook w:val="04A0"/>
        </w:tblPrEx>
        <w:trPr>
          <w:trHeight w:val="390"/>
          <w:jc w:val="center"/>
        </w:trPr>
        <w:tc>
          <w:tcPr>
            <w:tcW w:w="3681" w:type="pct"/>
            <w:gridSpan w:val="7"/>
            <w:shd w:val="clear" w:color="000000" w:fill="FFFFFF"/>
            <w:vAlign w:val="center"/>
            <w:hideMark/>
          </w:tcPr>
          <w:p w:rsidR="00A0318C" w:rsidRPr="004A038C" w:rsidP="00A0318C" w14:paraId="7F49438F" w14:textId="77777777">
            <w:pPr>
              <w:autoSpaceDE/>
              <w:autoSpaceDN/>
              <w:adjustRightInd/>
              <w:rPr>
                <w:rFonts w:cs="Arial"/>
                <w:b/>
                <w:bCs/>
              </w:rPr>
            </w:pPr>
            <w:r w:rsidRPr="004A038C">
              <w:rPr>
                <w:rFonts w:cs="Arial"/>
                <w:b/>
                <w:bCs/>
              </w:rPr>
              <w:t>Total NRC Operation Cost per Initial FSAR Update</w:t>
            </w:r>
          </w:p>
        </w:tc>
        <w:tc>
          <w:tcPr>
            <w:tcW w:w="418" w:type="pct"/>
            <w:shd w:val="clear" w:color="000000" w:fill="FFFFFF"/>
            <w:noWrap/>
            <w:vAlign w:val="center"/>
            <w:hideMark/>
          </w:tcPr>
          <w:p w:rsidR="00A0318C" w:rsidRPr="004A038C" w:rsidP="00A0318C" w14:paraId="7F494390" w14:textId="77777777">
            <w:pPr>
              <w:autoSpaceDE/>
              <w:autoSpaceDN/>
              <w:adjustRightInd/>
              <w:jc w:val="center"/>
              <w:rPr>
                <w:rFonts w:cs="Arial"/>
                <w:color w:val="000000"/>
              </w:rPr>
            </w:pPr>
            <w:r>
              <w:rPr>
                <w:rFonts w:cs="Arial"/>
                <w:color w:val="000000"/>
              </w:rPr>
              <w:t>(</w:t>
            </w:r>
            <w:r w:rsidRPr="00151FC8">
              <w:rPr>
                <w:rFonts w:cs="Arial"/>
                <w:color w:val="000000"/>
              </w:rPr>
              <w:t>$33,927</w:t>
            </w:r>
            <w:r>
              <w:rPr>
                <w:rFonts w:cs="Arial"/>
                <w:color w:val="000000"/>
              </w:rPr>
              <w:t>)</w:t>
            </w:r>
          </w:p>
        </w:tc>
        <w:tc>
          <w:tcPr>
            <w:tcW w:w="486" w:type="pct"/>
            <w:shd w:val="clear" w:color="000000" w:fill="FFFFFF"/>
            <w:noWrap/>
            <w:vAlign w:val="center"/>
            <w:hideMark/>
          </w:tcPr>
          <w:p w:rsidR="00A0318C" w:rsidRPr="004A038C" w:rsidP="00A0318C" w14:paraId="7F494391" w14:textId="77777777">
            <w:pPr>
              <w:autoSpaceDE/>
              <w:autoSpaceDN/>
              <w:adjustRightInd/>
              <w:jc w:val="center"/>
              <w:rPr>
                <w:rFonts w:cs="Arial"/>
                <w:color w:val="000000"/>
              </w:rPr>
            </w:pPr>
            <w:r>
              <w:rPr>
                <w:rFonts w:cs="Arial"/>
                <w:color w:val="000000"/>
              </w:rPr>
              <w:t>(</w:t>
            </w:r>
            <w:r w:rsidRPr="00151FC8">
              <w:rPr>
                <w:rFonts w:cs="Arial"/>
                <w:color w:val="000000"/>
              </w:rPr>
              <w:t>$189,530</w:t>
            </w:r>
            <w:r>
              <w:rPr>
                <w:rFonts w:cs="Arial"/>
                <w:color w:val="000000"/>
              </w:rPr>
              <w:t>)</w:t>
            </w:r>
          </w:p>
        </w:tc>
        <w:tc>
          <w:tcPr>
            <w:tcW w:w="415" w:type="pct"/>
            <w:shd w:val="clear" w:color="000000" w:fill="FFFFFF"/>
            <w:noWrap/>
            <w:vAlign w:val="center"/>
            <w:hideMark/>
          </w:tcPr>
          <w:p w:rsidR="00A0318C" w:rsidRPr="004A038C" w:rsidP="00A0318C" w14:paraId="7F494392" w14:textId="77777777">
            <w:pPr>
              <w:autoSpaceDE/>
              <w:autoSpaceDN/>
              <w:adjustRightInd/>
              <w:jc w:val="center"/>
              <w:rPr>
                <w:rFonts w:cs="Arial"/>
                <w:color w:val="000000"/>
              </w:rPr>
            </w:pPr>
            <w:r>
              <w:rPr>
                <w:rFonts w:cs="Arial"/>
                <w:color w:val="000000"/>
              </w:rPr>
              <w:t>(</w:t>
            </w:r>
            <w:r w:rsidRPr="00151FC8">
              <w:rPr>
                <w:rFonts w:cs="Arial"/>
                <w:color w:val="000000"/>
              </w:rPr>
              <w:t>$78,856</w:t>
            </w:r>
            <w:r>
              <w:rPr>
                <w:rFonts w:cs="Arial"/>
                <w:color w:val="000000"/>
              </w:rPr>
              <w:t>)</w:t>
            </w:r>
          </w:p>
        </w:tc>
      </w:tr>
      <w:tr w14:paraId="7F494398" w14:textId="77777777" w:rsidTr="00D96410">
        <w:tblPrEx>
          <w:tblW w:w="5000" w:type="pct"/>
          <w:jc w:val="center"/>
          <w:tblLayout w:type="fixed"/>
          <w:tblLook w:val="04A0"/>
        </w:tblPrEx>
        <w:trPr>
          <w:trHeight w:val="390"/>
          <w:jc w:val="center"/>
        </w:trPr>
        <w:tc>
          <w:tcPr>
            <w:tcW w:w="3681" w:type="pct"/>
            <w:gridSpan w:val="7"/>
            <w:shd w:val="clear" w:color="000000" w:fill="FFFFFF"/>
            <w:vAlign w:val="center"/>
            <w:hideMark/>
          </w:tcPr>
          <w:p w:rsidR="00A0318C" w:rsidRPr="004A038C" w:rsidP="00A0318C" w14:paraId="7F494394" w14:textId="77777777">
            <w:pPr>
              <w:autoSpaceDE/>
              <w:autoSpaceDN/>
              <w:adjustRightInd/>
              <w:rPr>
                <w:rFonts w:cs="Arial"/>
                <w:b/>
                <w:bCs/>
              </w:rPr>
            </w:pPr>
            <w:r w:rsidRPr="004A038C">
              <w:rPr>
                <w:rFonts w:cs="Arial"/>
                <w:b/>
                <w:bCs/>
              </w:rPr>
              <w:t>Total NRC Operation Cost per Subsequent FSAR Update</w:t>
            </w:r>
          </w:p>
        </w:tc>
        <w:tc>
          <w:tcPr>
            <w:tcW w:w="418" w:type="pct"/>
            <w:shd w:val="clear" w:color="000000" w:fill="FFFFFF"/>
            <w:noWrap/>
            <w:vAlign w:val="center"/>
            <w:hideMark/>
          </w:tcPr>
          <w:p w:rsidR="00A0318C" w:rsidRPr="004A038C" w:rsidP="00A0318C" w14:paraId="7F494395" w14:textId="77777777">
            <w:pPr>
              <w:autoSpaceDE/>
              <w:autoSpaceDN/>
              <w:adjustRightInd/>
              <w:jc w:val="center"/>
              <w:rPr>
                <w:rFonts w:cs="Arial"/>
                <w:color w:val="000000"/>
              </w:rPr>
            </w:pPr>
            <w:r>
              <w:rPr>
                <w:rFonts w:cs="Arial"/>
                <w:color w:val="000000"/>
              </w:rPr>
              <w:t>(</w:t>
            </w:r>
            <w:r w:rsidRPr="00151FC8">
              <w:rPr>
                <w:rFonts w:cs="Arial"/>
                <w:color w:val="000000"/>
              </w:rPr>
              <w:t>$16,964</w:t>
            </w:r>
            <w:r>
              <w:rPr>
                <w:rFonts w:cs="Arial"/>
                <w:color w:val="000000"/>
              </w:rPr>
              <w:t>)</w:t>
            </w:r>
          </w:p>
        </w:tc>
        <w:tc>
          <w:tcPr>
            <w:tcW w:w="486" w:type="pct"/>
            <w:shd w:val="clear" w:color="000000" w:fill="FFFFFF"/>
            <w:noWrap/>
            <w:vAlign w:val="center"/>
            <w:hideMark/>
          </w:tcPr>
          <w:p w:rsidR="00A0318C" w:rsidRPr="004A038C" w:rsidP="00A0318C" w14:paraId="7F494396" w14:textId="77777777">
            <w:pPr>
              <w:autoSpaceDE/>
              <w:autoSpaceDN/>
              <w:adjustRightInd/>
              <w:jc w:val="center"/>
              <w:rPr>
                <w:rFonts w:cs="Arial"/>
                <w:color w:val="000000"/>
              </w:rPr>
            </w:pPr>
            <w:r>
              <w:rPr>
                <w:rFonts w:cs="Arial"/>
                <w:color w:val="000000"/>
              </w:rPr>
              <w:t>(</w:t>
            </w:r>
            <w:r w:rsidRPr="00151FC8">
              <w:rPr>
                <w:rFonts w:cs="Arial"/>
                <w:color w:val="000000"/>
              </w:rPr>
              <w:t>$94,765</w:t>
            </w:r>
            <w:r>
              <w:rPr>
                <w:rFonts w:cs="Arial"/>
                <w:color w:val="000000"/>
              </w:rPr>
              <w:t>)</w:t>
            </w:r>
          </w:p>
        </w:tc>
        <w:tc>
          <w:tcPr>
            <w:tcW w:w="415" w:type="pct"/>
            <w:shd w:val="clear" w:color="000000" w:fill="FFFFFF"/>
            <w:noWrap/>
            <w:vAlign w:val="center"/>
            <w:hideMark/>
          </w:tcPr>
          <w:p w:rsidR="00A0318C" w:rsidRPr="004A038C" w:rsidP="00A0318C" w14:paraId="7F494397" w14:textId="77777777">
            <w:pPr>
              <w:autoSpaceDE/>
              <w:autoSpaceDN/>
              <w:adjustRightInd/>
              <w:jc w:val="center"/>
              <w:rPr>
                <w:rFonts w:cs="Arial"/>
                <w:color w:val="000000"/>
              </w:rPr>
            </w:pPr>
            <w:r>
              <w:rPr>
                <w:rFonts w:cs="Arial"/>
                <w:color w:val="000000"/>
              </w:rPr>
              <w:t>(</w:t>
            </w:r>
            <w:r w:rsidRPr="00151FC8">
              <w:rPr>
                <w:rFonts w:cs="Arial"/>
                <w:color w:val="000000"/>
              </w:rPr>
              <w:t>$39,428</w:t>
            </w:r>
            <w:r>
              <w:rPr>
                <w:rFonts w:cs="Arial"/>
                <w:color w:val="000000"/>
              </w:rPr>
              <w:t>)</w:t>
            </w:r>
          </w:p>
        </w:tc>
      </w:tr>
      <w:tr w14:paraId="7F49439B" w14:textId="77777777" w:rsidTr="00D96410">
        <w:tblPrEx>
          <w:tblW w:w="5000" w:type="pct"/>
          <w:jc w:val="center"/>
          <w:tblLayout w:type="fixed"/>
          <w:tblLook w:val="04A0"/>
        </w:tblPrEx>
        <w:trPr>
          <w:trHeight w:val="390"/>
          <w:jc w:val="center"/>
        </w:trPr>
        <w:tc>
          <w:tcPr>
            <w:tcW w:w="3681" w:type="pct"/>
            <w:gridSpan w:val="7"/>
            <w:shd w:val="clear" w:color="000000" w:fill="FFFFFF"/>
            <w:vAlign w:val="center"/>
            <w:hideMark/>
          </w:tcPr>
          <w:p w:rsidR="00A0318C" w:rsidRPr="004A038C" w:rsidP="00A0318C" w14:paraId="7F494399" w14:textId="77777777">
            <w:pPr>
              <w:autoSpaceDE/>
              <w:autoSpaceDN/>
              <w:adjustRightInd/>
              <w:rPr>
                <w:rFonts w:cs="Arial"/>
                <w:b/>
                <w:bCs/>
              </w:rPr>
            </w:pPr>
            <w:r w:rsidRPr="004A038C">
              <w:rPr>
                <w:rFonts w:cs="Arial"/>
                <w:b/>
                <w:bCs/>
              </w:rPr>
              <w:t xml:space="preserve">Total NRC Operation Cost in </w:t>
            </w:r>
            <w:r w:rsidR="00D05902">
              <w:rPr>
                <w:rFonts w:cs="Arial"/>
                <w:b/>
                <w:bCs/>
              </w:rPr>
              <w:t>A</w:t>
            </w:r>
            <w:r w:rsidRPr="004A038C">
              <w:rPr>
                <w:rFonts w:cs="Arial"/>
                <w:b/>
                <w:bCs/>
              </w:rPr>
              <w:t xml:space="preserve">nalysis </w:t>
            </w:r>
            <w:r w:rsidR="00D05902">
              <w:rPr>
                <w:rFonts w:cs="Arial"/>
                <w:b/>
                <w:bCs/>
              </w:rPr>
              <w:t>P</w:t>
            </w:r>
            <w:r w:rsidRPr="004A038C">
              <w:rPr>
                <w:rFonts w:cs="Arial"/>
                <w:b/>
                <w:bCs/>
              </w:rPr>
              <w:t>eriod (20 years)</w:t>
            </w:r>
          </w:p>
        </w:tc>
        <w:tc>
          <w:tcPr>
            <w:tcW w:w="1319" w:type="pct"/>
            <w:gridSpan w:val="3"/>
            <w:shd w:val="clear" w:color="000000" w:fill="FFFFFF"/>
            <w:noWrap/>
            <w:vAlign w:val="center"/>
            <w:hideMark/>
          </w:tcPr>
          <w:p w:rsidR="00A0318C" w:rsidRPr="00C8113D" w:rsidP="00A0318C" w14:paraId="7F49439A" w14:textId="77777777">
            <w:pPr>
              <w:autoSpaceDE/>
              <w:autoSpaceDN/>
              <w:adjustRightInd/>
              <w:jc w:val="center"/>
              <w:rPr>
                <w:rFonts w:cs="Arial"/>
                <w:b/>
                <w:color w:val="000000"/>
              </w:rPr>
            </w:pPr>
            <w:r w:rsidRPr="001456B4">
              <w:rPr>
                <w:rFonts w:cs="Arial"/>
                <w:b/>
                <w:color w:val="000000"/>
              </w:rPr>
              <w:t xml:space="preserve">($726,466) </w:t>
            </w:r>
          </w:p>
        </w:tc>
      </w:tr>
    </w:tbl>
    <w:p w:rsidR="00A065C0" w:rsidP="00C92F74" w14:paraId="7F49439C" w14:textId="77777777">
      <w:pPr>
        <w:rPr>
          <w:b/>
        </w:rPr>
      </w:pPr>
    </w:p>
    <w:p w:rsidR="00721D82" w:rsidRPr="00D839EE" w:rsidP="00721D82" w14:paraId="7F49439D" w14:textId="77777777">
      <w:pPr>
        <w:ind w:left="360"/>
        <w:contextualSpacing/>
        <w:rPr>
          <w:rFonts w:cs="Arial"/>
        </w:rPr>
      </w:pPr>
    </w:p>
    <w:p w:rsidR="00721D82" w:rsidRPr="00D96410" w:rsidP="00D341C4" w14:paraId="7F49439E" w14:textId="17E324CD">
      <w:pPr>
        <w:pStyle w:val="Caption"/>
        <w:keepNext/>
        <w:spacing w:after="0"/>
        <w:jc w:val="center"/>
        <w:rPr>
          <w:b/>
          <w:i w:val="0"/>
          <w:color w:val="auto"/>
          <w:sz w:val="22"/>
        </w:rPr>
      </w:pPr>
      <w:bookmarkStart w:id="574" w:name="_Toc534710034"/>
      <w:bookmarkStart w:id="575" w:name="_Toc534711719"/>
      <w:bookmarkStart w:id="576" w:name="_Toc534712152"/>
      <w:bookmarkStart w:id="577" w:name="_Toc534712729"/>
      <w:bookmarkStart w:id="578" w:name="_Toc534713238"/>
      <w:bookmarkStart w:id="579" w:name="_Toc9526498"/>
      <w:bookmarkStart w:id="580" w:name="_Toc536603447"/>
      <w:r w:rsidRPr="00D96410">
        <w:rPr>
          <w:b/>
          <w:i w:val="0"/>
          <w:color w:val="auto"/>
          <w:sz w:val="22"/>
        </w:rPr>
        <w:t>Exhibit A</w:t>
      </w:r>
      <w:r w:rsidRPr="00D96410">
        <w:rPr>
          <w:b/>
          <w:i w:val="0"/>
          <w:color w:val="auto"/>
          <w:sz w:val="22"/>
        </w:rPr>
        <w:noBreakHyphen/>
      </w:r>
      <w:r w:rsidRPr="00D96410">
        <w:rPr>
          <w:b/>
          <w:i w:val="0"/>
          <w:color w:val="auto"/>
          <w:sz w:val="22"/>
        </w:rPr>
        <w:fldChar w:fldCharType="begin"/>
      </w:r>
      <w:r w:rsidRPr="00D96410">
        <w:rPr>
          <w:b/>
          <w:i w:val="0"/>
          <w:color w:val="auto"/>
          <w:sz w:val="22"/>
        </w:rPr>
        <w:instrText xml:space="preserve"> SEQ Exhibit \* ARABIC </w:instrText>
      </w:r>
      <w:r w:rsidRPr="00D96410">
        <w:rPr>
          <w:b/>
          <w:i w:val="0"/>
          <w:color w:val="auto"/>
          <w:sz w:val="22"/>
        </w:rPr>
        <w:fldChar w:fldCharType="separate"/>
      </w:r>
      <w:r w:rsidR="00977795">
        <w:rPr>
          <w:b/>
          <w:i w:val="0"/>
          <w:noProof/>
          <w:color w:val="auto"/>
          <w:sz w:val="22"/>
        </w:rPr>
        <w:t>5</w:t>
      </w:r>
      <w:r w:rsidRPr="00D96410">
        <w:rPr>
          <w:b/>
          <w:i w:val="0"/>
          <w:color w:val="auto"/>
          <w:sz w:val="22"/>
        </w:rPr>
        <w:fldChar w:fldCharType="end"/>
      </w:r>
      <w:r w:rsidRPr="00D96410">
        <w:rPr>
          <w:b/>
          <w:i w:val="0"/>
          <w:color w:val="auto"/>
          <w:sz w:val="22"/>
        </w:rPr>
        <w:t>. Uncertainty Analysis Distributions</w:t>
      </w:r>
      <w:bookmarkEnd w:id="574"/>
      <w:bookmarkEnd w:id="575"/>
      <w:bookmarkEnd w:id="576"/>
      <w:bookmarkEnd w:id="577"/>
      <w:bookmarkEnd w:id="578"/>
      <w:bookmarkEnd w:id="579"/>
      <w:bookmarkEnd w:id="580"/>
    </w:p>
    <w:tbl>
      <w:tblPr>
        <w:tblStyle w:val="TableGrid"/>
        <w:tblW w:w="0" w:type="auto"/>
        <w:jc w:val="center"/>
        <w:tblLook w:val="04A0"/>
      </w:tblPr>
      <w:tblGrid>
        <w:gridCol w:w="5097"/>
        <w:gridCol w:w="1450"/>
      </w:tblGrid>
      <w:tr w14:paraId="7F4943A1" w14:textId="77777777" w:rsidTr="00721D82">
        <w:tblPrEx>
          <w:tblW w:w="0" w:type="auto"/>
          <w:jc w:val="center"/>
          <w:tblLook w:val="04A0"/>
        </w:tblPrEx>
        <w:trPr>
          <w:jc w:val="center"/>
        </w:trPr>
        <w:tc>
          <w:tcPr>
            <w:tcW w:w="5097" w:type="dxa"/>
          </w:tcPr>
          <w:p w:rsidR="003E1F09" w:rsidRPr="00DB79AE" w:rsidP="00DB79AE" w14:paraId="7F49439F" w14:textId="77777777">
            <w:pPr>
              <w:keepNext/>
              <w:jc w:val="center"/>
              <w:rPr>
                <w:rFonts w:cs="Arial"/>
                <w:b/>
              </w:rPr>
            </w:pPr>
            <w:r w:rsidRPr="00DB79AE">
              <w:rPr>
                <w:rFonts w:cs="Arial"/>
                <w:b/>
              </w:rPr>
              <w:t>Variable</w:t>
            </w:r>
          </w:p>
        </w:tc>
        <w:tc>
          <w:tcPr>
            <w:tcW w:w="1450" w:type="dxa"/>
          </w:tcPr>
          <w:p w:rsidR="003E1F09" w:rsidRPr="00DB79AE" w:rsidP="00DB79AE" w14:paraId="7F4943A0" w14:textId="77777777">
            <w:pPr>
              <w:keepNext/>
              <w:jc w:val="center"/>
              <w:rPr>
                <w:rFonts w:cs="Arial"/>
                <w:b/>
              </w:rPr>
            </w:pPr>
            <w:r w:rsidRPr="00DB79AE">
              <w:rPr>
                <w:rFonts w:cs="Arial"/>
                <w:b/>
              </w:rPr>
              <w:t>Distribution</w:t>
            </w:r>
          </w:p>
        </w:tc>
      </w:tr>
      <w:tr w14:paraId="7F4943A3" w14:textId="77777777" w:rsidTr="003E1F09">
        <w:tblPrEx>
          <w:tblW w:w="0" w:type="auto"/>
          <w:jc w:val="center"/>
          <w:tblLook w:val="04A0"/>
        </w:tblPrEx>
        <w:trPr>
          <w:jc w:val="center"/>
        </w:trPr>
        <w:tc>
          <w:tcPr>
            <w:tcW w:w="6547" w:type="dxa"/>
            <w:gridSpan w:val="2"/>
          </w:tcPr>
          <w:p w:rsidR="003E1F09" w:rsidRPr="00054386" w:rsidP="00DB79AE" w14:paraId="7F4943A2" w14:textId="77777777">
            <w:pPr>
              <w:keepNext/>
              <w:jc w:val="center"/>
              <w:rPr>
                <w:b/>
              </w:rPr>
            </w:pPr>
            <w:r w:rsidRPr="00054386">
              <w:rPr>
                <w:b/>
              </w:rPr>
              <w:t>Licensee Averted Cost</w:t>
            </w:r>
          </w:p>
        </w:tc>
      </w:tr>
      <w:tr w14:paraId="7F4943A6" w14:textId="77777777" w:rsidTr="00721D82">
        <w:tblPrEx>
          <w:tblW w:w="0" w:type="auto"/>
          <w:jc w:val="center"/>
          <w:tblLook w:val="04A0"/>
        </w:tblPrEx>
        <w:trPr>
          <w:jc w:val="center"/>
        </w:trPr>
        <w:tc>
          <w:tcPr>
            <w:tcW w:w="5097" w:type="dxa"/>
          </w:tcPr>
          <w:p w:rsidR="003E1F09" w:rsidP="00DB79AE" w14:paraId="7F4943A4" w14:textId="77777777">
            <w:pPr>
              <w:keepNext/>
            </w:pPr>
            <w:r>
              <w:t>Preparing License Renewal Application Workload</w:t>
            </w:r>
          </w:p>
        </w:tc>
        <w:tc>
          <w:tcPr>
            <w:tcW w:w="1450" w:type="dxa"/>
          </w:tcPr>
          <w:p w:rsidR="003E1F09" w:rsidP="00DB79AE" w14:paraId="7F4943A5" w14:textId="77777777">
            <w:pPr>
              <w:keepNext/>
            </w:pPr>
            <w:r>
              <w:t>Triangular</w:t>
            </w:r>
          </w:p>
        </w:tc>
      </w:tr>
      <w:tr w14:paraId="7F4943A9" w14:textId="77777777" w:rsidTr="00721D82">
        <w:tblPrEx>
          <w:tblW w:w="0" w:type="auto"/>
          <w:jc w:val="center"/>
          <w:tblLook w:val="04A0"/>
        </w:tblPrEx>
        <w:trPr>
          <w:jc w:val="center"/>
        </w:trPr>
        <w:tc>
          <w:tcPr>
            <w:tcW w:w="5097" w:type="dxa"/>
          </w:tcPr>
          <w:p w:rsidR="003E1F09" w:rsidP="00DB79AE" w14:paraId="7F4943A7" w14:textId="77777777">
            <w:pPr>
              <w:keepNext/>
            </w:pPr>
            <w:r>
              <w:t>Preparing License Renewal Application Level of Effort</w:t>
            </w:r>
          </w:p>
        </w:tc>
        <w:tc>
          <w:tcPr>
            <w:tcW w:w="1450" w:type="dxa"/>
          </w:tcPr>
          <w:p w:rsidR="003E1F09" w:rsidP="00DB79AE" w14:paraId="7F4943A8" w14:textId="77777777">
            <w:pPr>
              <w:keepNext/>
            </w:pPr>
            <w:r>
              <w:t>Triangular</w:t>
            </w:r>
          </w:p>
        </w:tc>
      </w:tr>
      <w:tr w14:paraId="7F4943AC" w14:textId="77777777" w:rsidTr="00721D82">
        <w:tblPrEx>
          <w:tblW w:w="0" w:type="auto"/>
          <w:jc w:val="center"/>
          <w:tblLook w:val="04A0"/>
        </w:tblPrEx>
        <w:trPr>
          <w:jc w:val="center"/>
        </w:trPr>
        <w:tc>
          <w:tcPr>
            <w:tcW w:w="5097" w:type="dxa"/>
          </w:tcPr>
          <w:p w:rsidR="003E1F09" w:rsidP="00DB79AE" w14:paraId="7F4943AA" w14:textId="77777777">
            <w:pPr>
              <w:keepNext/>
            </w:pPr>
            <w:r>
              <w:t>Responding to all RAIs Workload</w:t>
            </w:r>
          </w:p>
        </w:tc>
        <w:tc>
          <w:tcPr>
            <w:tcW w:w="1450" w:type="dxa"/>
          </w:tcPr>
          <w:p w:rsidR="003E1F09" w:rsidP="00DB79AE" w14:paraId="7F4943AB" w14:textId="77777777">
            <w:pPr>
              <w:keepNext/>
            </w:pPr>
            <w:r>
              <w:t>Triangular</w:t>
            </w:r>
          </w:p>
        </w:tc>
      </w:tr>
      <w:tr w14:paraId="7F4943AF" w14:textId="77777777" w:rsidTr="00721D82">
        <w:tblPrEx>
          <w:tblW w:w="0" w:type="auto"/>
          <w:jc w:val="center"/>
          <w:tblLook w:val="04A0"/>
        </w:tblPrEx>
        <w:trPr>
          <w:jc w:val="center"/>
        </w:trPr>
        <w:tc>
          <w:tcPr>
            <w:tcW w:w="5097" w:type="dxa"/>
          </w:tcPr>
          <w:p w:rsidR="003E1F09" w:rsidP="00DB79AE" w14:paraId="7F4943AD" w14:textId="77777777">
            <w:pPr>
              <w:keepNext/>
            </w:pPr>
            <w:r>
              <w:t>Responding to all RAIs Level of Effort</w:t>
            </w:r>
          </w:p>
        </w:tc>
        <w:tc>
          <w:tcPr>
            <w:tcW w:w="1450" w:type="dxa"/>
          </w:tcPr>
          <w:p w:rsidR="003E1F09" w:rsidP="00DB79AE" w14:paraId="7F4943AE" w14:textId="77777777">
            <w:pPr>
              <w:keepNext/>
            </w:pPr>
            <w:r>
              <w:t>Triangular</w:t>
            </w:r>
          </w:p>
        </w:tc>
      </w:tr>
      <w:tr w14:paraId="7F4943B2" w14:textId="77777777" w:rsidTr="00721D82">
        <w:tblPrEx>
          <w:tblW w:w="0" w:type="auto"/>
          <w:jc w:val="center"/>
          <w:tblLook w:val="04A0"/>
        </w:tblPrEx>
        <w:trPr>
          <w:jc w:val="center"/>
        </w:trPr>
        <w:tc>
          <w:tcPr>
            <w:tcW w:w="5097" w:type="dxa"/>
          </w:tcPr>
          <w:p w:rsidR="003E1F09" w:rsidP="00DB79AE" w14:paraId="7F4943B0" w14:textId="77777777">
            <w:pPr>
              <w:keepNext/>
            </w:pPr>
            <w:r>
              <w:t>Revising License Renewal Application Workload</w:t>
            </w:r>
          </w:p>
        </w:tc>
        <w:tc>
          <w:tcPr>
            <w:tcW w:w="1450" w:type="dxa"/>
          </w:tcPr>
          <w:p w:rsidR="003E1F09" w:rsidP="00DB79AE" w14:paraId="7F4943B1" w14:textId="77777777">
            <w:pPr>
              <w:keepNext/>
            </w:pPr>
            <w:r>
              <w:t>Triangular</w:t>
            </w:r>
          </w:p>
        </w:tc>
      </w:tr>
      <w:tr w14:paraId="7F4943B5" w14:textId="77777777" w:rsidTr="00721D82">
        <w:tblPrEx>
          <w:tblW w:w="0" w:type="auto"/>
          <w:jc w:val="center"/>
          <w:tblLook w:val="04A0"/>
        </w:tblPrEx>
        <w:trPr>
          <w:jc w:val="center"/>
        </w:trPr>
        <w:tc>
          <w:tcPr>
            <w:tcW w:w="5097" w:type="dxa"/>
          </w:tcPr>
          <w:p w:rsidR="003E1F09" w:rsidP="00DB79AE" w14:paraId="7F4943B3" w14:textId="77777777">
            <w:pPr>
              <w:keepNext/>
            </w:pPr>
            <w:r>
              <w:t>Revising License Renewal Application Level of Effort</w:t>
            </w:r>
          </w:p>
        </w:tc>
        <w:tc>
          <w:tcPr>
            <w:tcW w:w="1450" w:type="dxa"/>
          </w:tcPr>
          <w:p w:rsidR="003E1F09" w:rsidP="00DB79AE" w14:paraId="7F4943B4" w14:textId="77777777">
            <w:pPr>
              <w:keepNext/>
            </w:pPr>
            <w:r>
              <w:t>Triangular</w:t>
            </w:r>
          </w:p>
        </w:tc>
      </w:tr>
      <w:tr w14:paraId="7F4943B7" w14:textId="77777777" w:rsidTr="003E1F09">
        <w:tblPrEx>
          <w:tblW w:w="0" w:type="auto"/>
          <w:jc w:val="center"/>
          <w:tblLook w:val="04A0"/>
        </w:tblPrEx>
        <w:trPr>
          <w:jc w:val="center"/>
        </w:trPr>
        <w:tc>
          <w:tcPr>
            <w:tcW w:w="6547" w:type="dxa"/>
            <w:gridSpan w:val="2"/>
          </w:tcPr>
          <w:p w:rsidR="003E1F09" w:rsidRPr="00054386" w:rsidP="00DB79AE" w14:paraId="7F4943B6" w14:textId="77777777">
            <w:pPr>
              <w:keepNext/>
              <w:jc w:val="center"/>
              <w:rPr>
                <w:b/>
              </w:rPr>
            </w:pPr>
            <w:r w:rsidRPr="00054386">
              <w:rPr>
                <w:b/>
              </w:rPr>
              <w:t>Licensee One-Time Implementation Activities</w:t>
            </w:r>
          </w:p>
        </w:tc>
      </w:tr>
      <w:tr w14:paraId="7F4943BA" w14:textId="77777777" w:rsidTr="00721D82">
        <w:tblPrEx>
          <w:tblW w:w="0" w:type="auto"/>
          <w:jc w:val="center"/>
          <w:tblLook w:val="04A0"/>
        </w:tblPrEx>
        <w:trPr>
          <w:jc w:val="center"/>
        </w:trPr>
        <w:tc>
          <w:tcPr>
            <w:tcW w:w="5097" w:type="dxa"/>
          </w:tcPr>
          <w:p w:rsidR="003E1F09" w:rsidP="00DB79AE" w14:paraId="7F4943B8" w14:textId="77777777">
            <w:pPr>
              <w:keepNext/>
            </w:pPr>
            <w:r>
              <w:t>Reviewing Finalized Rule</w:t>
            </w:r>
          </w:p>
        </w:tc>
        <w:tc>
          <w:tcPr>
            <w:tcW w:w="1450" w:type="dxa"/>
          </w:tcPr>
          <w:p w:rsidR="003E1F09" w:rsidP="00DB79AE" w14:paraId="7F4943B9" w14:textId="77777777">
            <w:pPr>
              <w:keepNext/>
            </w:pPr>
            <w:r>
              <w:t>Triangular</w:t>
            </w:r>
          </w:p>
        </w:tc>
      </w:tr>
      <w:tr w14:paraId="7F4943BD" w14:textId="77777777" w:rsidTr="00721D82">
        <w:tblPrEx>
          <w:tblW w:w="0" w:type="auto"/>
          <w:jc w:val="center"/>
          <w:tblLook w:val="04A0"/>
        </w:tblPrEx>
        <w:trPr>
          <w:jc w:val="center"/>
        </w:trPr>
        <w:tc>
          <w:tcPr>
            <w:tcW w:w="5097" w:type="dxa"/>
          </w:tcPr>
          <w:p w:rsidR="003E1F09" w:rsidP="00DB79AE" w14:paraId="7F4943BB" w14:textId="77777777">
            <w:pPr>
              <w:keepNext/>
            </w:pPr>
            <w:r>
              <w:t>Reviewing NRC Issued Guidance Documents</w:t>
            </w:r>
          </w:p>
        </w:tc>
        <w:tc>
          <w:tcPr>
            <w:tcW w:w="1450" w:type="dxa"/>
          </w:tcPr>
          <w:p w:rsidR="003E1F09" w:rsidP="00DB79AE" w14:paraId="7F4943BC" w14:textId="77777777">
            <w:pPr>
              <w:keepNext/>
            </w:pPr>
            <w:r>
              <w:t>Triangular</w:t>
            </w:r>
          </w:p>
        </w:tc>
      </w:tr>
      <w:tr w14:paraId="7F4943C0" w14:textId="77777777" w:rsidTr="00721D82">
        <w:tblPrEx>
          <w:tblW w:w="0" w:type="auto"/>
          <w:jc w:val="center"/>
          <w:tblLook w:val="04A0"/>
        </w:tblPrEx>
        <w:trPr>
          <w:jc w:val="center"/>
        </w:trPr>
        <w:tc>
          <w:tcPr>
            <w:tcW w:w="5097" w:type="dxa"/>
          </w:tcPr>
          <w:p w:rsidR="003E1F09" w:rsidP="00DB79AE" w14:paraId="7F4943BE" w14:textId="77777777">
            <w:pPr>
              <w:keepNext/>
            </w:pPr>
            <w:r>
              <w:t>Reviewing and Updating Procedures</w:t>
            </w:r>
          </w:p>
        </w:tc>
        <w:tc>
          <w:tcPr>
            <w:tcW w:w="1450" w:type="dxa"/>
          </w:tcPr>
          <w:p w:rsidR="003E1F09" w:rsidP="00DB79AE" w14:paraId="7F4943BF" w14:textId="77777777">
            <w:pPr>
              <w:keepNext/>
            </w:pPr>
            <w:r>
              <w:t>Triangular</w:t>
            </w:r>
          </w:p>
        </w:tc>
      </w:tr>
      <w:tr w14:paraId="7F4943C3" w14:textId="77777777" w:rsidTr="00721D82">
        <w:tblPrEx>
          <w:tblW w:w="0" w:type="auto"/>
          <w:jc w:val="center"/>
          <w:tblLook w:val="04A0"/>
        </w:tblPrEx>
        <w:trPr>
          <w:jc w:val="center"/>
        </w:trPr>
        <w:tc>
          <w:tcPr>
            <w:tcW w:w="5097" w:type="dxa"/>
          </w:tcPr>
          <w:p w:rsidR="003E1F09" w:rsidP="00DB79AE" w14:paraId="7F4943C1" w14:textId="77777777">
            <w:pPr>
              <w:keepNext/>
            </w:pPr>
            <w:r>
              <w:t>Safety Review Board</w:t>
            </w:r>
          </w:p>
        </w:tc>
        <w:tc>
          <w:tcPr>
            <w:tcW w:w="1450" w:type="dxa"/>
          </w:tcPr>
          <w:p w:rsidR="003E1F09" w:rsidP="00DB79AE" w14:paraId="7F4943C2" w14:textId="77777777">
            <w:pPr>
              <w:keepNext/>
            </w:pPr>
            <w:r>
              <w:t>Triangular</w:t>
            </w:r>
          </w:p>
        </w:tc>
      </w:tr>
      <w:tr w14:paraId="7F4943C5" w14:textId="77777777" w:rsidTr="003E1F09">
        <w:tblPrEx>
          <w:tblW w:w="0" w:type="auto"/>
          <w:jc w:val="center"/>
          <w:tblLook w:val="04A0"/>
        </w:tblPrEx>
        <w:trPr>
          <w:jc w:val="center"/>
        </w:trPr>
        <w:tc>
          <w:tcPr>
            <w:tcW w:w="6547" w:type="dxa"/>
            <w:gridSpan w:val="2"/>
          </w:tcPr>
          <w:p w:rsidR="003E1F09" w:rsidRPr="00054386" w:rsidP="00DB79AE" w14:paraId="7F4943C4" w14:textId="77777777">
            <w:pPr>
              <w:keepNext/>
              <w:jc w:val="center"/>
              <w:rPr>
                <w:b/>
              </w:rPr>
            </w:pPr>
            <w:r w:rsidRPr="00054386">
              <w:rPr>
                <w:b/>
              </w:rPr>
              <w:t>Licensee Ongoing Operational Activities</w:t>
            </w:r>
          </w:p>
        </w:tc>
      </w:tr>
      <w:tr w14:paraId="7F4943C8" w14:textId="77777777" w:rsidTr="00721D82">
        <w:tblPrEx>
          <w:tblW w:w="0" w:type="auto"/>
          <w:jc w:val="center"/>
          <w:tblLook w:val="04A0"/>
        </w:tblPrEx>
        <w:trPr>
          <w:jc w:val="center"/>
        </w:trPr>
        <w:tc>
          <w:tcPr>
            <w:tcW w:w="5097" w:type="dxa"/>
          </w:tcPr>
          <w:p w:rsidR="003E1F09" w:rsidP="00DB79AE" w14:paraId="7F4943C6" w14:textId="77777777">
            <w:pPr>
              <w:keepNext/>
            </w:pPr>
            <w:r>
              <w:t>Preparing Updated FSAR Level of Effort</w:t>
            </w:r>
          </w:p>
        </w:tc>
        <w:tc>
          <w:tcPr>
            <w:tcW w:w="1450" w:type="dxa"/>
          </w:tcPr>
          <w:p w:rsidR="003E1F09" w:rsidP="00DB79AE" w14:paraId="7F4943C7" w14:textId="77777777">
            <w:pPr>
              <w:keepNext/>
            </w:pPr>
            <w:r>
              <w:t>Triangular</w:t>
            </w:r>
          </w:p>
        </w:tc>
      </w:tr>
      <w:tr w14:paraId="7F4943CB" w14:textId="77777777" w:rsidTr="00721D82">
        <w:tblPrEx>
          <w:tblW w:w="0" w:type="auto"/>
          <w:jc w:val="center"/>
          <w:tblLook w:val="04A0"/>
        </w:tblPrEx>
        <w:trPr>
          <w:jc w:val="center"/>
        </w:trPr>
        <w:tc>
          <w:tcPr>
            <w:tcW w:w="5097" w:type="dxa"/>
          </w:tcPr>
          <w:p w:rsidR="003E1F09" w:rsidP="00DB79AE" w14:paraId="7F4943C9" w14:textId="77777777">
            <w:pPr>
              <w:keepNext/>
            </w:pPr>
            <w:r>
              <w:t>Preparing Subsequent FSAR Updates Level of Effort</w:t>
            </w:r>
          </w:p>
        </w:tc>
        <w:tc>
          <w:tcPr>
            <w:tcW w:w="1450" w:type="dxa"/>
          </w:tcPr>
          <w:p w:rsidR="003E1F09" w:rsidP="00DB79AE" w14:paraId="7F4943CA" w14:textId="77777777">
            <w:pPr>
              <w:keepNext/>
            </w:pPr>
            <w:r>
              <w:t>Triangular</w:t>
            </w:r>
          </w:p>
        </w:tc>
      </w:tr>
      <w:tr w14:paraId="7F4943CE" w14:textId="77777777" w:rsidTr="00721D82">
        <w:tblPrEx>
          <w:tblW w:w="0" w:type="auto"/>
          <w:jc w:val="center"/>
          <w:tblLook w:val="04A0"/>
        </w:tblPrEx>
        <w:trPr>
          <w:jc w:val="center"/>
        </w:trPr>
        <w:tc>
          <w:tcPr>
            <w:tcW w:w="5097" w:type="dxa"/>
          </w:tcPr>
          <w:p w:rsidR="003E1F09" w:rsidP="00DB79AE" w14:paraId="7F4943CC" w14:textId="77777777">
            <w:pPr>
              <w:keepNext/>
            </w:pPr>
            <w:r>
              <w:t>Preparing Updated FSAR Workload</w:t>
            </w:r>
          </w:p>
        </w:tc>
        <w:tc>
          <w:tcPr>
            <w:tcW w:w="1450" w:type="dxa"/>
          </w:tcPr>
          <w:p w:rsidR="003E1F09" w:rsidP="00DB79AE" w14:paraId="7F4943CD" w14:textId="77777777">
            <w:pPr>
              <w:keepNext/>
            </w:pPr>
            <w:r>
              <w:t>Triangular</w:t>
            </w:r>
          </w:p>
        </w:tc>
      </w:tr>
      <w:tr w14:paraId="7F4943D1" w14:textId="77777777" w:rsidTr="00DB79AE">
        <w:tblPrEx>
          <w:tblW w:w="0" w:type="auto"/>
          <w:jc w:val="center"/>
          <w:tblLook w:val="04A0"/>
        </w:tblPrEx>
        <w:trPr>
          <w:trHeight w:val="143"/>
          <w:jc w:val="center"/>
        </w:trPr>
        <w:tc>
          <w:tcPr>
            <w:tcW w:w="5097" w:type="dxa"/>
          </w:tcPr>
          <w:p w:rsidR="003E1F09" w:rsidP="00DB79AE" w14:paraId="7F4943CF" w14:textId="77777777">
            <w:pPr>
              <w:keepNext/>
            </w:pPr>
            <w:r>
              <w:t>Preparing Subsequent FSAR Updates Workload</w:t>
            </w:r>
          </w:p>
        </w:tc>
        <w:tc>
          <w:tcPr>
            <w:tcW w:w="1450" w:type="dxa"/>
          </w:tcPr>
          <w:p w:rsidR="003E1F09" w:rsidP="00DB79AE" w14:paraId="7F4943D0" w14:textId="77777777">
            <w:pPr>
              <w:keepNext/>
            </w:pPr>
            <w:r>
              <w:t>Triangular</w:t>
            </w:r>
          </w:p>
        </w:tc>
      </w:tr>
    </w:tbl>
    <w:p w:rsidR="00A065C0" w:rsidRPr="00A065C0" w:rsidP="00C92F74" w14:paraId="7F4943D3" w14:textId="77777777">
      <w:pPr>
        <w:rPr>
          <w:b/>
        </w:rPr>
      </w:pPr>
    </w:p>
    <w:sectPr w:rsidSect="00F4101C">
      <w:headerReference w:type="default" r:id="rId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970A4A" w:rsidP="00346B95" w14:paraId="7F4943ED" w14:textId="77777777">
    <w:pPr>
      <w:pStyle w:val="Header"/>
      <w:jc w:val="right"/>
    </w:pPr>
    <w:sdt>
      <w:sdtPr>
        <w:rPr>
          <w:rFonts w:cs="Arial"/>
        </w:rPr>
        <w:id w:val="1131597261"/>
        <w:docPartObj>
          <w:docPartGallery w:val="Page Numbers (Top of Page)"/>
          <w:docPartUnique/>
        </w:docPartObj>
      </w:sdtPr>
      <w:sdtEndPr>
        <w:rPr>
          <w:noProof/>
        </w:rPr>
      </w:sdtEndPr>
      <w:sdtContent>
        <w:r w:rsidRPr="001176AF">
          <w:fldChar w:fldCharType="begin"/>
        </w:r>
        <w:r w:rsidRPr="001176AF">
          <w:rPr>
            <w:rFonts w:ascii="Arial" w:hAnsi="Arial" w:cs="Arial"/>
          </w:rPr>
          <w:instrText xml:space="preserve"> PAGE   \* MERGEFORMAT </w:instrText>
        </w:r>
        <w:r w:rsidRPr="001176AF">
          <w:fldChar w:fldCharType="separate"/>
        </w:r>
        <w:r w:rsidRPr="001176AF">
          <w:rPr>
            <w:rFonts w:ascii="Arial" w:hAnsi="Arial" w:cs="Arial"/>
            <w:noProof/>
          </w:rPr>
          <w:t>61</w:t>
        </w:r>
        <w:r w:rsidRPr="001176AF">
          <w:fldChar w:fldCharType="end"/>
        </w:r>
        <w:r w:rsidRPr="00346B95">
          <w:rPr>
            <w:rFonts w:ascii="Arial" w:hAnsi="Arial"/>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1B529B" w:rsidP="004915D9" w14:paraId="7F4943EE" w14:textId="77777777">
    <w:pPr>
      <w:pStyle w:val="Footer"/>
      <w:jc w:val="center"/>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970A4A" w:rsidP="00346B95" w14:paraId="7F4943F1" w14:textId="77777777">
    <w:pPr>
      <w:pStyle w:val="Head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713303117"/>
      <w:docPartObj>
        <w:docPartGallery w:val="Page Numbers (Bottom of Page)"/>
        <w:docPartUnique/>
      </w:docPartObj>
    </w:sdtPr>
    <w:sdtEndPr>
      <w:rPr>
        <w:noProof/>
      </w:rPr>
    </w:sdtEndPr>
    <w:sdtContent>
      <w:p w:rsidR="003C4E07" w:rsidRPr="008A2F46" w14:paraId="7F4943F5" w14:textId="77777777">
        <w:pPr>
          <w:pStyle w:val="Footer"/>
          <w:jc w:val="right"/>
          <w:rPr>
            <w:rFonts w:ascii="Arial" w:hAnsi="Arial" w:cs="Arial"/>
          </w:rPr>
        </w:pPr>
      </w:p>
      <w:p w:rsidR="003C4E07" w:rsidRPr="008A2F46" w14:paraId="7F4943F6" w14:textId="77777777">
        <w:pPr>
          <w:pStyle w:val="Footer"/>
          <w:jc w:val="right"/>
          <w:rPr>
            <w:rFonts w:ascii="Arial" w:hAnsi="Arial" w:cs="Arial"/>
          </w:rPr>
        </w:pPr>
        <w:r w:rsidRPr="008A2F46">
          <w:rPr>
            <w:rFonts w:ascii="Arial" w:hAnsi="Arial" w:cs="Arial"/>
          </w:rPr>
          <w:fldChar w:fldCharType="begin"/>
        </w:r>
        <w:r w:rsidRPr="008A2F46">
          <w:rPr>
            <w:rFonts w:ascii="Arial" w:hAnsi="Arial" w:cs="Arial"/>
          </w:rPr>
          <w:instrText xml:space="preserve"> PAGE   \* MERGEFORMAT </w:instrText>
        </w:r>
        <w:r w:rsidRPr="008A2F46">
          <w:rPr>
            <w:rFonts w:ascii="Arial" w:hAnsi="Arial" w:cs="Arial"/>
          </w:rPr>
          <w:fldChar w:fldCharType="separate"/>
        </w:r>
        <w:r>
          <w:rPr>
            <w:rFonts w:ascii="Arial" w:hAnsi="Arial" w:cs="Arial"/>
            <w:noProof/>
          </w:rPr>
          <w:t>30</w:t>
        </w:r>
        <w:r w:rsidRPr="008A2F46">
          <w:rPr>
            <w:rFonts w:ascii="Arial" w:hAnsi="Arial" w:cs="Arial"/>
            <w:noProof/>
          </w:rPr>
          <w:fldChar w:fldCharType="end"/>
        </w:r>
      </w:p>
    </w:sdtContent>
  </w:sdt>
  <w:p w:rsidR="003C4E07" w:rsidRPr="008A2F46" w:rsidP="00346B95" w14:paraId="7F4943F7" w14:textId="77777777">
    <w:pPr>
      <w:pStyle w:val="Head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4E07" w14:paraId="1AE09953" w14:textId="77777777">
      <w:r>
        <w:separator/>
      </w:r>
    </w:p>
  </w:footnote>
  <w:footnote w:type="continuationSeparator" w:id="1">
    <w:p w:rsidR="003C4E07" w14:paraId="42D0F29F" w14:textId="77777777">
      <w:r>
        <w:continuationSeparator/>
      </w:r>
    </w:p>
  </w:footnote>
  <w:footnote w:type="continuationNotice" w:id="2">
    <w:p w:rsidR="003C4E07" w14:paraId="3260A3A6" w14:textId="77777777"/>
  </w:footnote>
  <w:footnote w:id="3">
    <w:p w:rsidR="00763207" w14:paraId="00278F74" w14:textId="47B29B88">
      <w:pPr>
        <w:pStyle w:val="FootnoteText"/>
      </w:pPr>
      <w:r>
        <w:rPr>
          <w:rStyle w:val="FootnoteReference"/>
        </w:rPr>
        <w:footnoteRef/>
      </w:r>
      <w:r>
        <w:t xml:space="preserve"> </w:t>
      </w:r>
      <w:r w:rsidRPr="00E41970">
        <w:rPr>
          <w:sz w:val="18"/>
          <w:szCs w:val="18"/>
        </w:rPr>
        <w:t xml:space="preserve">This regulatory analysis was conducted in 2019 and 2020, when the NRC regulated 36 NPUFs and 31 research or testing facilities </w:t>
      </w:r>
      <w:r w:rsidRPr="00E41970" w:rsidR="008959CD">
        <w:rPr>
          <w:sz w:val="18"/>
          <w:szCs w:val="18"/>
        </w:rPr>
        <w:t xml:space="preserve">were </w:t>
      </w:r>
      <w:r w:rsidRPr="00E41970">
        <w:rPr>
          <w:sz w:val="18"/>
          <w:szCs w:val="18"/>
        </w:rPr>
        <w:t>licensed to operate.  A</w:t>
      </w:r>
      <w:r w:rsidRPr="00E41970" w:rsidR="00A52990">
        <w:rPr>
          <w:sz w:val="18"/>
          <w:szCs w:val="18"/>
        </w:rPr>
        <w:t>n explanation of why the analysis was left</w:t>
      </w:r>
      <w:r w:rsidRPr="00E41970" w:rsidR="00212F03">
        <w:rPr>
          <w:sz w:val="18"/>
          <w:szCs w:val="18"/>
        </w:rPr>
        <w:t xml:space="preserve"> mostly</w:t>
      </w:r>
      <w:r w:rsidR="00EB27CD">
        <w:rPr>
          <w:sz w:val="18"/>
          <w:szCs w:val="18"/>
        </w:rPr>
        <w:t xml:space="preserve"> </w:t>
      </w:r>
      <w:r w:rsidRPr="00E41970" w:rsidR="00A52990">
        <w:rPr>
          <w:sz w:val="18"/>
          <w:szCs w:val="18"/>
        </w:rPr>
        <w:t xml:space="preserve">unchanged is documented </w:t>
      </w:r>
      <w:r w:rsidRPr="00E41970">
        <w:rPr>
          <w:sz w:val="18"/>
          <w:szCs w:val="18"/>
        </w:rPr>
        <w:t>in Section 3.1.1, “Affected Universe</w:t>
      </w:r>
      <w:r w:rsidRPr="00E41970" w:rsidR="005E51DE">
        <w:rPr>
          <w:sz w:val="18"/>
          <w:szCs w:val="18"/>
        </w:rPr>
        <w:t>.</w:t>
      </w:r>
      <w:r w:rsidR="00717728">
        <w:rPr>
          <w:sz w:val="18"/>
          <w:szCs w:val="18"/>
        </w:rPr>
        <w:t>”</w:t>
      </w:r>
    </w:p>
  </w:footnote>
  <w:footnote w:id="4">
    <w:p w:rsidR="003C4E07" w:rsidRPr="00F70AB6" w:rsidP="00F70AB6" w14:paraId="7F4943FB" w14:textId="77777777">
      <w:pPr>
        <w:pStyle w:val="FootnoteText"/>
        <w:tabs>
          <w:tab w:val="left" w:pos="180"/>
        </w:tabs>
        <w:ind w:left="180" w:hanging="180"/>
        <w:rPr>
          <w:sz w:val="18"/>
          <w:szCs w:val="18"/>
        </w:rPr>
      </w:pPr>
      <w:r w:rsidRPr="00F70AB6">
        <w:rPr>
          <w:rStyle w:val="FootnoteReference"/>
          <w:sz w:val="18"/>
          <w:szCs w:val="18"/>
        </w:rPr>
        <w:footnoteRef/>
      </w:r>
      <w:r w:rsidRPr="00F70AB6">
        <w:rPr>
          <w:sz w:val="18"/>
          <w:szCs w:val="18"/>
        </w:rPr>
        <w:t xml:space="preserve"> </w:t>
      </w:r>
      <w:r>
        <w:rPr>
          <w:sz w:val="18"/>
          <w:szCs w:val="18"/>
        </w:rPr>
        <w:tab/>
      </w:r>
      <w:r w:rsidRPr="00F70AB6">
        <w:rPr>
          <w:sz w:val="18"/>
          <w:szCs w:val="18"/>
        </w:rPr>
        <w:t>Under the final rule, the 30-day timely renewal period will still apply to the one remaining license renewal application for a research reactor that is expected to be submitted after the final rule is published.  This change from the proposed rule does not affect the costs evaluated in this regulatory analysis.</w:t>
      </w:r>
    </w:p>
  </w:footnote>
  <w:footnote w:id="5">
    <w:p w:rsidR="003C4E07" w:rsidP="00C520D9" w14:paraId="7F4943FC" w14:textId="77777777">
      <w:pPr>
        <w:pStyle w:val="FootnoteText"/>
        <w:ind w:left="180" w:hanging="180"/>
      </w:pPr>
      <w:r w:rsidRPr="00E05218">
        <w:rPr>
          <w:rStyle w:val="FootnoteReference"/>
          <w:sz w:val="18"/>
        </w:rPr>
        <w:footnoteRef/>
      </w:r>
      <w:r w:rsidRPr="00E05218">
        <w:rPr>
          <w:sz w:val="18"/>
        </w:rPr>
        <w:t xml:space="preserve"> </w:t>
      </w:r>
      <w:r>
        <w:rPr>
          <w:sz w:val="18"/>
        </w:rPr>
        <w:t xml:space="preserve"> </w:t>
      </w:r>
      <w:r>
        <w:rPr>
          <w:sz w:val="18"/>
        </w:rPr>
        <w:tab/>
      </w:r>
      <w:r w:rsidRPr="00230802">
        <w:rPr>
          <w:rFonts w:cs="Arial"/>
          <w:sz w:val="18"/>
          <w:szCs w:val="18"/>
        </w:rPr>
        <w:t>The NRC estimates the costs associated with the amendment to the timely renewal provision to amount to between $700 and $7,000 per licensee over the analysis period.  This provision will also result in additional public health and safety benefits (see Section 3.4) that will offset this cost.</w:t>
      </w:r>
    </w:p>
  </w:footnote>
  <w:footnote w:id="6">
    <w:p w:rsidR="003C4E07" w:rsidRPr="00346B95" w:rsidP="00B634DF" w14:paraId="7F4943FD" w14:textId="77777777">
      <w:pPr>
        <w:pStyle w:val="FootnoteText"/>
        <w:tabs>
          <w:tab w:val="left" w:pos="180"/>
        </w:tabs>
        <w:ind w:left="180" w:hanging="180"/>
        <w:rPr>
          <w:sz w:val="18"/>
        </w:rPr>
      </w:pPr>
      <w:r w:rsidRPr="00346B95">
        <w:rPr>
          <w:rStyle w:val="FootnoteReference"/>
          <w:sz w:val="18"/>
        </w:rPr>
        <w:footnoteRef/>
      </w:r>
      <w:r w:rsidRPr="00346B95">
        <w:rPr>
          <w:sz w:val="18"/>
        </w:rPr>
        <w:t xml:space="preserve"> </w:t>
      </w:r>
      <w:r>
        <w:rPr>
          <w:sz w:val="18"/>
        </w:rPr>
        <w:tab/>
      </w:r>
      <w:r w:rsidRPr="007D1A06">
        <w:rPr>
          <w:rFonts w:cs="Arial"/>
          <w:sz w:val="18"/>
          <w:szCs w:val="18"/>
        </w:rPr>
        <w:t xml:space="preserve">The NRC Atomic Safety and Licensing Appeal Board suggested that the standards in </w:t>
      </w:r>
      <w:r w:rsidRPr="00EC79F7">
        <w:rPr>
          <w:sz w:val="18"/>
        </w:rPr>
        <w:t xml:space="preserve">10 CFR Part 20 are unduly restrictive as accident dose criteria for research reactors (Ref. </w:t>
      </w:r>
      <w:r w:rsidRPr="00C520D9">
        <w:rPr>
          <w:rFonts w:cs="Arial"/>
          <w:sz w:val="18"/>
          <w:szCs w:val="18"/>
        </w:rPr>
        <w:t>21</w:t>
      </w:r>
      <w:r w:rsidRPr="00EC79F7">
        <w:rPr>
          <w:sz w:val="18"/>
        </w:rPr>
        <w:t>).</w:t>
      </w:r>
      <w:r>
        <w:rPr>
          <w:rFonts w:cs="Arial"/>
          <w:sz w:val="18"/>
          <w:szCs w:val="18"/>
        </w:rPr>
        <w:t xml:space="preserve"> </w:t>
      </w:r>
    </w:p>
  </w:footnote>
  <w:footnote w:id="7">
    <w:p w:rsidR="003C4E07" w:rsidRPr="00644E7C" w:rsidP="00644E7C" w14:paraId="7F4943FE" w14:textId="77777777">
      <w:pPr>
        <w:pStyle w:val="FootnoteText"/>
        <w:tabs>
          <w:tab w:val="left" w:pos="180"/>
        </w:tabs>
        <w:ind w:left="180" w:hanging="180"/>
        <w:rPr>
          <w:sz w:val="18"/>
          <w:szCs w:val="18"/>
        </w:rPr>
      </w:pPr>
      <w:r>
        <w:rPr>
          <w:rStyle w:val="FootnoteReference"/>
        </w:rPr>
        <w:footnoteRef/>
      </w:r>
      <w:r>
        <w:tab/>
      </w:r>
      <w:r>
        <w:rPr>
          <w:sz w:val="18"/>
          <w:szCs w:val="18"/>
        </w:rPr>
        <w:t>The draft final NUREG/BR-0058 was under Commission review at the time this regulatory analysis was conducted; however, it was applied to this analysis to ensure updated guidance was followed regarding evaluation of qualitative factors, as well as other best practices in regulatory analysis.</w:t>
      </w:r>
    </w:p>
  </w:footnote>
  <w:footnote w:id="8">
    <w:p w:rsidR="003C4E07" w:rsidP="000D69E7" w14:paraId="7F4943FF" w14:textId="77777777">
      <w:pPr>
        <w:pStyle w:val="FootnoteText"/>
        <w:ind w:left="180" w:hanging="180"/>
      </w:pPr>
      <w:r w:rsidRPr="00545C95">
        <w:rPr>
          <w:rStyle w:val="FootnoteReference"/>
          <w:sz w:val="18"/>
        </w:rPr>
        <w:footnoteRef/>
      </w:r>
      <w:r w:rsidRPr="00545C95">
        <w:rPr>
          <w:sz w:val="18"/>
        </w:rPr>
        <w:t xml:space="preserve"> </w:t>
      </w:r>
      <w:r>
        <w:rPr>
          <w:sz w:val="18"/>
        </w:rPr>
        <w:tab/>
      </w:r>
      <w:r w:rsidRPr="00545C95">
        <w:rPr>
          <w:sz w:val="18"/>
        </w:rPr>
        <w:t xml:space="preserve">Where appropriate, values were scaled to </w:t>
      </w:r>
      <w:r w:rsidRPr="00B14C00">
        <w:rPr>
          <w:sz w:val="18"/>
        </w:rPr>
        <w:t>20</w:t>
      </w:r>
      <w:r>
        <w:rPr>
          <w:sz w:val="18"/>
        </w:rPr>
        <w:t>20</w:t>
      </w:r>
      <w:r w:rsidRPr="00545C95">
        <w:rPr>
          <w:sz w:val="18"/>
        </w:rPr>
        <w:t xml:space="preserve"> dollars using </w:t>
      </w:r>
      <w:r>
        <w:rPr>
          <w:sz w:val="18"/>
        </w:rPr>
        <w:t>Bureau of Labor Statistics (BLS) Consumer Price Index data (Ref. 27).</w:t>
      </w:r>
    </w:p>
  </w:footnote>
  <w:footnote w:id="9">
    <w:p w:rsidR="003C4E07" w:rsidP="000D69E7" w14:paraId="7F494400" w14:textId="77777777">
      <w:pPr>
        <w:pStyle w:val="FootnoteText"/>
        <w:ind w:left="180" w:hanging="180"/>
      </w:pPr>
      <w:r w:rsidRPr="00DB79AE">
        <w:rPr>
          <w:rStyle w:val="FootnoteReference"/>
          <w:sz w:val="18"/>
        </w:rPr>
        <w:footnoteRef/>
      </w:r>
      <w:r>
        <w:rPr>
          <w:sz w:val="18"/>
        </w:rPr>
        <w:tab/>
        <w:t xml:space="preserve">The </w:t>
      </w:r>
      <w:r w:rsidRPr="00DB79AE">
        <w:rPr>
          <w:sz w:val="18"/>
        </w:rPr>
        <w:t xml:space="preserve">NRC expects </w:t>
      </w:r>
      <w:r>
        <w:rPr>
          <w:sz w:val="18"/>
        </w:rPr>
        <w:t xml:space="preserve">that the licenses for </w:t>
      </w:r>
      <w:r w:rsidRPr="00DB79AE">
        <w:rPr>
          <w:sz w:val="18"/>
        </w:rPr>
        <w:t xml:space="preserve">the two General Atomics facilities </w:t>
      </w:r>
      <w:r>
        <w:rPr>
          <w:sz w:val="18"/>
        </w:rPr>
        <w:t>will be</w:t>
      </w:r>
      <w:r w:rsidRPr="00DB79AE">
        <w:rPr>
          <w:sz w:val="18"/>
        </w:rPr>
        <w:t xml:space="preserve"> terminated in 2019, before implementation of the rule.  Additionally, </w:t>
      </w:r>
      <w:r>
        <w:rPr>
          <w:sz w:val="18"/>
        </w:rPr>
        <w:t xml:space="preserve">the </w:t>
      </w:r>
      <w:r w:rsidRPr="00DB79AE">
        <w:rPr>
          <w:sz w:val="18"/>
        </w:rPr>
        <w:t>NRC expects the General Electric Co.</w:t>
      </w:r>
      <w:r>
        <w:rPr>
          <w:sz w:val="18"/>
        </w:rPr>
        <w:t xml:space="preserve"> (GE)</w:t>
      </w:r>
      <w:r w:rsidRPr="00DB79AE">
        <w:rPr>
          <w:sz w:val="18"/>
        </w:rPr>
        <w:t xml:space="preserve"> General Electric Test Reactor to stay in SAFSTOR until 2041, and then be decommissioned. </w:t>
      </w:r>
      <w:r>
        <w:rPr>
          <w:sz w:val="18"/>
        </w:rPr>
        <w:t xml:space="preserve"> As a sensitivity, NRC examined the costs associated with a facility in SAFSTOR.  See Section 3.6.4 for more information.</w:t>
      </w:r>
    </w:p>
  </w:footnote>
  <w:footnote w:id="10">
    <w:p w:rsidR="003C4E07" w:rsidRPr="006B721D" w:rsidP="00282C4C" w14:paraId="7F494401" w14:textId="77777777">
      <w:pPr>
        <w:pStyle w:val="FootnoteText"/>
        <w:ind w:left="180" w:hanging="180"/>
      </w:pPr>
      <w:r w:rsidRPr="00DB79AE">
        <w:rPr>
          <w:rStyle w:val="FootnoteReference"/>
          <w:sz w:val="18"/>
          <w:szCs w:val="18"/>
        </w:rPr>
        <w:footnoteRef/>
      </w:r>
      <w:r w:rsidRPr="00DB79AE">
        <w:rPr>
          <w:sz w:val="18"/>
          <w:szCs w:val="18"/>
        </w:rPr>
        <w:t xml:space="preserve"> </w:t>
      </w:r>
      <w:r>
        <w:rPr>
          <w:sz w:val="18"/>
          <w:szCs w:val="18"/>
        </w:rPr>
        <w:tab/>
      </w:r>
      <w:r w:rsidRPr="00DB79AE">
        <w:rPr>
          <w:rFonts w:cs="Arial"/>
          <w:sz w:val="18"/>
          <w:szCs w:val="18"/>
        </w:rPr>
        <w:t>The NRC decided on a 5-year periodicity for FSAR submittals for two reasons.  First, 5 years is less frequent than what is required of power reactors</w:t>
      </w:r>
      <w:r>
        <w:rPr>
          <w:rFonts w:cs="Arial"/>
          <w:sz w:val="18"/>
          <w:szCs w:val="18"/>
        </w:rPr>
        <w:t>, reflecting the “minimum regulation” standard applied to most NPUF licensees</w:t>
      </w:r>
      <w:r w:rsidRPr="00DB79AE">
        <w:rPr>
          <w:rFonts w:cs="Arial"/>
          <w:sz w:val="18"/>
          <w:szCs w:val="18"/>
        </w:rPr>
        <w:t xml:space="preserve">.  Second, this period of time provides an appropriate level of oversight because the design bases of these facilities evolve slowly over time, with approximately five license amendment requests from all NPUF licensees combined each year and, on average, only five </w:t>
      </w:r>
      <w:r>
        <w:rPr>
          <w:rFonts w:cs="Arial"/>
          <w:sz w:val="18"/>
          <w:szCs w:val="18"/>
        </w:rPr>
        <w:t>10 CFR</w:t>
      </w:r>
      <w:r w:rsidRPr="00DB79AE">
        <w:rPr>
          <w:rFonts w:cs="Arial"/>
          <w:sz w:val="18"/>
          <w:szCs w:val="18"/>
        </w:rPr>
        <w:t> 50.59 evaluations per facility per year for</w:t>
      </w:r>
      <w:r>
        <w:rPr>
          <w:rFonts w:cs="Arial"/>
          <w:sz w:val="18"/>
          <w:szCs w:val="18"/>
        </w:rPr>
        <w:t xml:space="preserve"> </w:t>
      </w:r>
      <w:r w:rsidRPr="00DB79AE">
        <w:rPr>
          <w:rFonts w:cs="Arial"/>
          <w:sz w:val="18"/>
          <w:szCs w:val="18"/>
        </w:rPr>
        <w:t>changes that do not require prior NRC approval</w:t>
      </w:r>
      <w:r w:rsidRPr="00E17F30">
        <w:rPr>
          <w:rFonts w:cs="Arial"/>
          <w:sz w:val="18"/>
          <w:szCs w:val="18"/>
        </w:rPr>
        <w:t>.</w:t>
      </w:r>
    </w:p>
  </w:footnote>
  <w:footnote w:id="11">
    <w:p w:rsidR="003C4E07" w:rsidRPr="00DB79AE" w:rsidP="00D60490" w14:paraId="7F494402" w14:textId="77777777">
      <w:pPr>
        <w:pStyle w:val="FootnoteText"/>
        <w:ind w:left="180" w:hanging="180"/>
        <w:rPr>
          <w:sz w:val="18"/>
          <w:szCs w:val="18"/>
        </w:rPr>
      </w:pPr>
      <w:r w:rsidRPr="00DB79AE">
        <w:rPr>
          <w:rStyle w:val="FootnoteReference"/>
          <w:sz w:val="18"/>
          <w:szCs w:val="18"/>
        </w:rPr>
        <w:footnoteRef/>
      </w:r>
      <w:r w:rsidRPr="00DB79AE">
        <w:rPr>
          <w:sz w:val="18"/>
          <w:szCs w:val="18"/>
        </w:rPr>
        <w:t xml:space="preserve"> </w:t>
      </w:r>
      <w:r>
        <w:rPr>
          <w:sz w:val="18"/>
          <w:szCs w:val="18"/>
        </w:rPr>
        <w:tab/>
        <w:t xml:space="preserve">The </w:t>
      </w:r>
      <w:r w:rsidRPr="00DB79AE">
        <w:rPr>
          <w:rFonts w:cs="Arial"/>
          <w:sz w:val="18"/>
          <w:szCs w:val="18"/>
        </w:rPr>
        <w:t xml:space="preserve">NRC anticipates that licensees will document changes in </w:t>
      </w:r>
      <w:r>
        <w:rPr>
          <w:rFonts w:cs="Arial"/>
          <w:sz w:val="18"/>
          <w:szCs w:val="18"/>
        </w:rPr>
        <w:t xml:space="preserve">their </w:t>
      </w:r>
      <w:r w:rsidRPr="00DB79AE">
        <w:rPr>
          <w:rFonts w:cs="Arial"/>
          <w:sz w:val="18"/>
          <w:szCs w:val="18"/>
        </w:rPr>
        <w:t>licensing bases as they occur</w:t>
      </w:r>
      <w:r w:rsidRPr="004B2AAF">
        <w:rPr>
          <w:rFonts w:cs="Arial"/>
          <w:sz w:val="18"/>
          <w:szCs w:val="18"/>
        </w:rPr>
        <w:t>.</w:t>
      </w:r>
      <w:r w:rsidRPr="00DB79AE">
        <w:rPr>
          <w:sz w:val="18"/>
          <w:szCs w:val="18"/>
        </w:rPr>
        <w:t xml:space="preserve">  This requirement will </w:t>
      </w:r>
      <w:r>
        <w:rPr>
          <w:sz w:val="18"/>
          <w:szCs w:val="18"/>
        </w:rPr>
        <w:t xml:space="preserve">result in </w:t>
      </w:r>
      <w:r w:rsidRPr="00DB79AE">
        <w:rPr>
          <w:sz w:val="18"/>
          <w:szCs w:val="18"/>
        </w:rPr>
        <w:t>licensees reflect</w:t>
      </w:r>
      <w:r>
        <w:rPr>
          <w:sz w:val="18"/>
          <w:szCs w:val="18"/>
        </w:rPr>
        <w:t>ing</w:t>
      </w:r>
      <w:r w:rsidRPr="00DB79AE">
        <w:rPr>
          <w:sz w:val="18"/>
          <w:szCs w:val="18"/>
        </w:rPr>
        <w:t xml:space="preserve"> operation or design changes in their FSARs </w:t>
      </w:r>
      <w:r>
        <w:rPr>
          <w:sz w:val="18"/>
          <w:szCs w:val="18"/>
        </w:rPr>
        <w:t xml:space="preserve">frequently </w:t>
      </w:r>
      <w:r w:rsidRPr="00DB79AE">
        <w:rPr>
          <w:sz w:val="18"/>
          <w:szCs w:val="18"/>
        </w:rPr>
        <w:t xml:space="preserve">over time, ensuring that their licensing basis is kept current.  These continual updates </w:t>
      </w:r>
      <w:r>
        <w:rPr>
          <w:sz w:val="18"/>
          <w:szCs w:val="18"/>
        </w:rPr>
        <w:t>will require</w:t>
      </w:r>
      <w:r w:rsidRPr="00DB79AE">
        <w:rPr>
          <w:sz w:val="18"/>
          <w:szCs w:val="18"/>
        </w:rPr>
        <w:t xml:space="preserve"> less effort</w:t>
      </w:r>
      <w:r>
        <w:rPr>
          <w:sz w:val="18"/>
          <w:szCs w:val="18"/>
        </w:rPr>
        <w:t xml:space="preserve"> than it takes should the licensee wait to incorporate and submit the updates after 20 years have passed</w:t>
      </w:r>
      <w:r w:rsidRPr="00DB79AE">
        <w:rPr>
          <w:sz w:val="18"/>
          <w:szCs w:val="18"/>
        </w:rPr>
        <w:t>.</w:t>
      </w:r>
    </w:p>
  </w:footnote>
  <w:footnote w:id="12">
    <w:p w:rsidR="003C4E07" w:rsidRPr="008F0E50" w:rsidP="00282C4C" w14:paraId="7F494403" w14:textId="198CFE9A">
      <w:pPr>
        <w:pStyle w:val="FootnoteText"/>
        <w:ind w:left="180" w:hanging="180"/>
        <w:rPr>
          <w:sz w:val="18"/>
          <w:szCs w:val="18"/>
        </w:rPr>
      </w:pPr>
      <w:r>
        <w:rPr>
          <w:rStyle w:val="FootnoteReference"/>
        </w:rPr>
        <w:footnoteRef/>
      </w:r>
      <w:r>
        <w:t xml:space="preserve"> </w:t>
      </w:r>
      <w:r>
        <w:rPr>
          <w:sz w:val="18"/>
          <w:szCs w:val="18"/>
        </w:rPr>
        <w:t>T</w:t>
      </w:r>
      <w:r w:rsidRPr="008F0E50">
        <w:rPr>
          <w:sz w:val="18"/>
          <w:szCs w:val="18"/>
        </w:rPr>
        <w:t xml:space="preserve">he </w:t>
      </w:r>
      <w:r>
        <w:rPr>
          <w:sz w:val="18"/>
          <w:szCs w:val="18"/>
        </w:rPr>
        <w:t xml:space="preserve">revised timely renewal provision and the </w:t>
      </w:r>
      <w:r w:rsidRPr="008F0E50">
        <w:rPr>
          <w:sz w:val="18"/>
          <w:szCs w:val="18"/>
        </w:rPr>
        <w:t xml:space="preserve">requirement of licensees to submit updated FSARs and subsequent FSAR updates to the NRC at intervals not to exceed 5 years </w:t>
      </w:r>
      <w:r>
        <w:rPr>
          <w:sz w:val="18"/>
          <w:szCs w:val="18"/>
        </w:rPr>
        <w:t>would</w:t>
      </w:r>
      <w:r w:rsidRPr="008F0E50">
        <w:rPr>
          <w:sz w:val="18"/>
          <w:szCs w:val="18"/>
        </w:rPr>
        <w:t xml:space="preserve"> result in efficienc</w:t>
      </w:r>
      <w:r>
        <w:rPr>
          <w:sz w:val="18"/>
          <w:szCs w:val="18"/>
        </w:rPr>
        <w:t>ies and burden reductions</w:t>
      </w:r>
      <w:r w:rsidRPr="008F0E50">
        <w:rPr>
          <w:sz w:val="18"/>
          <w:szCs w:val="18"/>
        </w:rPr>
        <w:t xml:space="preserve"> during the license renewal process</w:t>
      </w:r>
      <w:r>
        <w:rPr>
          <w:sz w:val="18"/>
          <w:szCs w:val="18"/>
        </w:rPr>
        <w:t>.  The NRC did not monetize these impacts because of a lack of data and reliable assumptions.</w:t>
      </w:r>
    </w:p>
  </w:footnote>
  <w:footnote w:id="13">
    <w:p w:rsidR="003C4E07" w:rsidRPr="00F749B4" w:rsidP="00F749B4" w14:paraId="7F494404" w14:textId="77777777">
      <w:pPr>
        <w:pStyle w:val="FootnoteText"/>
        <w:tabs>
          <w:tab w:val="left" w:pos="180"/>
        </w:tabs>
        <w:rPr>
          <w:sz w:val="18"/>
          <w:szCs w:val="18"/>
        </w:rPr>
      </w:pPr>
      <w:r>
        <w:rPr>
          <w:rStyle w:val="FootnoteReference"/>
        </w:rPr>
        <w:footnoteRef/>
      </w:r>
      <w:r>
        <w:tab/>
      </w:r>
      <w:r w:rsidRPr="00F749B4">
        <w:rPr>
          <w:sz w:val="18"/>
          <w:szCs w:val="18"/>
        </w:rPr>
        <w:t xml:space="preserve">One decommissioning facility is separately assessed in </w:t>
      </w:r>
      <w:r w:rsidRPr="00DA2022">
        <w:rPr>
          <w:sz w:val="18"/>
          <w:szCs w:val="18"/>
        </w:rPr>
        <w:t>Section 3.6.4.</w:t>
      </w:r>
    </w:p>
  </w:footnote>
  <w:footnote w:id="14">
    <w:p w:rsidR="003C4E07" w:rsidP="00AC71D8" w14:paraId="7F494405" w14:textId="77777777">
      <w:pPr>
        <w:pStyle w:val="FootnoteText"/>
        <w:ind w:left="180" w:hanging="180"/>
      </w:pPr>
      <w:r>
        <w:rPr>
          <w:rStyle w:val="FootnoteReference"/>
        </w:rPr>
        <w:footnoteRef/>
      </w:r>
      <w:r>
        <w:t xml:space="preserve"> </w:t>
      </w:r>
      <w:r w:rsidRPr="00DB79AE">
        <w:rPr>
          <w:sz w:val="18"/>
        </w:rPr>
        <w:t>NRC anticipates issuing 27 orders.  Group 1 licensees, Group 2 licensees, and NIST will each receive an order.</w:t>
      </w:r>
    </w:p>
  </w:footnote>
  <w:footnote w:id="15">
    <w:p w:rsidR="003C4E07" w:rsidRPr="008F0E50" w:rsidP="00672B60" w14:paraId="7F494406" w14:textId="77777777">
      <w:pPr>
        <w:pStyle w:val="FootnoteText"/>
        <w:spacing w:after="120"/>
        <w:ind w:left="187" w:hanging="187"/>
        <w:rPr>
          <w:sz w:val="18"/>
          <w:szCs w:val="18"/>
        </w:rPr>
      </w:pPr>
      <w:r>
        <w:rPr>
          <w:rStyle w:val="FootnoteReference"/>
        </w:rPr>
        <w:footnoteRef/>
      </w:r>
      <w:r>
        <w:t xml:space="preserve"> </w:t>
      </w:r>
      <w:r w:rsidRPr="008F0E50">
        <w:rPr>
          <w:sz w:val="18"/>
          <w:szCs w:val="18"/>
        </w:rPr>
        <w:t>By the time the rule is effective, all but four NPUFs</w:t>
      </w:r>
      <w:r>
        <w:rPr>
          <w:sz w:val="18"/>
          <w:szCs w:val="18"/>
        </w:rPr>
        <w:t xml:space="preserve"> will have undergone license renewal using the guidance in NUREG-1537</w:t>
      </w:r>
      <w:r w:rsidRPr="008F0E50">
        <w:rPr>
          <w:sz w:val="18"/>
          <w:szCs w:val="18"/>
        </w:rPr>
        <w:t xml:space="preserve">.  These four NPUFs will be subject to license renewal </w:t>
      </w:r>
      <w:r>
        <w:rPr>
          <w:sz w:val="18"/>
          <w:szCs w:val="18"/>
        </w:rPr>
        <w:t>before</w:t>
      </w:r>
      <w:r w:rsidRPr="008F0E50">
        <w:rPr>
          <w:sz w:val="18"/>
          <w:szCs w:val="18"/>
        </w:rPr>
        <w:t xml:space="preserve"> being granted a non</w:t>
      </w:r>
      <w:r>
        <w:rPr>
          <w:sz w:val="18"/>
          <w:szCs w:val="18"/>
        </w:rPr>
        <w:t>-</w:t>
      </w:r>
      <w:r w:rsidRPr="008F0E50">
        <w:rPr>
          <w:sz w:val="18"/>
          <w:szCs w:val="18"/>
        </w:rPr>
        <w:t>expiring license.</w:t>
      </w:r>
    </w:p>
  </w:footnote>
  <w:footnote w:id="16">
    <w:p w:rsidR="003C4E07" w:rsidRPr="006B721D" w:rsidP="00672B60" w14:paraId="7F494407" w14:textId="77777777">
      <w:pPr>
        <w:pStyle w:val="FootnoteText"/>
        <w:ind w:left="180" w:hanging="180"/>
      </w:pPr>
      <w:r>
        <w:rPr>
          <w:rStyle w:val="FootnoteReference"/>
        </w:rPr>
        <w:footnoteRef/>
      </w:r>
      <w:r>
        <w:t xml:space="preserve"> </w:t>
      </w:r>
      <w:r w:rsidRPr="001F3201">
        <w:rPr>
          <w:sz w:val="18"/>
          <w:szCs w:val="18"/>
        </w:rPr>
        <w:t xml:space="preserve">As discussed previously, </w:t>
      </w:r>
      <w:r>
        <w:rPr>
          <w:rFonts w:cs="Arial"/>
          <w:sz w:val="18"/>
          <w:szCs w:val="18"/>
        </w:rPr>
        <w:t>t</w:t>
      </w:r>
      <w:r w:rsidRPr="006F3CA2">
        <w:rPr>
          <w:rFonts w:cs="Arial"/>
          <w:sz w:val="18"/>
          <w:szCs w:val="18"/>
        </w:rPr>
        <w:t>he NRC decided on a 5-year periodicity for FSAR submittals for two reasons.  First, 5 years is less frequent than what is required of power reactors</w:t>
      </w:r>
      <w:r>
        <w:rPr>
          <w:rFonts w:cs="Arial"/>
          <w:sz w:val="18"/>
          <w:szCs w:val="18"/>
        </w:rPr>
        <w:t>, reflecting the “minimum regulation” standard applied to most NPUF licensees.</w:t>
      </w:r>
      <w:r w:rsidRPr="006F3CA2">
        <w:rPr>
          <w:rFonts w:cs="Arial"/>
          <w:sz w:val="18"/>
          <w:szCs w:val="18"/>
        </w:rPr>
        <w:t xml:space="preserve">  Second, the design bases of these facilities evolve slowly over time, with approximately five license amendment requests from all NPUF licensees combined each year and, on average, only five </w:t>
      </w:r>
      <w:r>
        <w:rPr>
          <w:rFonts w:cs="Arial"/>
          <w:sz w:val="18"/>
          <w:szCs w:val="18"/>
        </w:rPr>
        <w:t>10 CFR</w:t>
      </w:r>
      <w:r w:rsidRPr="006F3CA2">
        <w:rPr>
          <w:rFonts w:cs="Arial"/>
          <w:sz w:val="18"/>
          <w:szCs w:val="18"/>
        </w:rPr>
        <w:t> 50.59 evaluations per facility per year for changes that do not require prior NRC approval</w:t>
      </w:r>
      <w:r w:rsidRPr="001F3201">
        <w:rPr>
          <w:rFonts w:cs="Arial"/>
          <w:sz w:val="18"/>
          <w:szCs w:val="18"/>
        </w:rPr>
        <w:t>.</w:t>
      </w:r>
    </w:p>
    <w:p w:rsidR="003C4E07" w14:paraId="7F494408" w14:textId="77777777">
      <w:pPr>
        <w:pStyle w:val="FootnoteText"/>
      </w:pPr>
    </w:p>
  </w:footnote>
  <w:footnote w:id="17">
    <w:p w:rsidR="003C4E07" w:rsidRPr="00103168" w:rsidP="00C520D9" w14:paraId="7F494409" w14:textId="77777777">
      <w:pPr>
        <w:pStyle w:val="FootnoteText"/>
        <w:tabs>
          <w:tab w:val="left" w:pos="180"/>
        </w:tabs>
        <w:ind w:left="180" w:hanging="180"/>
        <w:rPr>
          <w:rFonts w:cs="Arial"/>
        </w:rPr>
      </w:pPr>
      <w:r w:rsidRPr="00103168">
        <w:rPr>
          <w:rStyle w:val="FootnoteReference"/>
          <w:rFonts w:cs="Arial"/>
        </w:rPr>
        <w:footnoteRef/>
      </w:r>
      <w:r w:rsidRPr="00103168">
        <w:rPr>
          <w:rFonts w:cs="Arial"/>
        </w:rPr>
        <w:t xml:space="preserve"> </w:t>
      </w:r>
      <w:r w:rsidRPr="008F0E50">
        <w:rPr>
          <w:rFonts w:cs="Arial"/>
          <w:sz w:val="18"/>
          <w:szCs w:val="18"/>
        </w:rPr>
        <w:t xml:space="preserve">Information about this software is available at </w:t>
      </w:r>
      <w:hyperlink r:id="rId1" w:history="1">
        <w:r w:rsidRPr="00A4475E">
          <w:rPr>
            <w:rStyle w:val="Hyperlink"/>
            <w:rFonts w:cs="Arial"/>
            <w:sz w:val="18"/>
            <w:szCs w:val="18"/>
          </w:rPr>
          <w:t>http://www.palisade.com</w:t>
        </w:r>
      </w:hyperlink>
      <w:r w:rsidRPr="00A4475E">
        <w:rPr>
          <w:rFonts w:cs="Arial"/>
          <w:sz w:val="18"/>
          <w:szCs w:val="18"/>
        </w:rPr>
        <w:t xml:space="preserve"> (Ref. </w:t>
      </w:r>
      <w:r>
        <w:rPr>
          <w:rFonts w:cs="Arial"/>
          <w:sz w:val="18"/>
          <w:szCs w:val="18"/>
        </w:rPr>
        <w:t>35</w:t>
      </w:r>
      <w:r w:rsidRPr="00A4475E">
        <w:rPr>
          <w:rFonts w:cs="Arial"/>
          <w:sz w:val="18"/>
          <w:szCs w:val="18"/>
        </w:rPr>
        <w:t>)</w:t>
      </w:r>
      <w:r w:rsidRPr="008F0E50">
        <w:rPr>
          <w:rFonts w:cs="Arial"/>
          <w:sz w:val="18"/>
          <w:szCs w:val="18"/>
        </w:rPr>
        <w:t>.</w:t>
      </w:r>
    </w:p>
  </w:footnote>
  <w:footnote w:id="18">
    <w:p w:rsidR="003C4E07" w:rsidRPr="00F749B4" w:rsidP="00F749B4" w14:paraId="7F49440A" w14:textId="77777777">
      <w:pPr>
        <w:pStyle w:val="FootnoteText"/>
        <w:tabs>
          <w:tab w:val="left" w:pos="180"/>
        </w:tabs>
        <w:ind w:left="180" w:hanging="180"/>
        <w:rPr>
          <w:sz w:val="18"/>
          <w:szCs w:val="18"/>
        </w:rPr>
      </w:pPr>
      <w:r>
        <w:rPr>
          <w:rStyle w:val="FootnoteReference"/>
        </w:rPr>
        <w:footnoteRef/>
      </w:r>
      <w:r>
        <w:tab/>
      </w:r>
      <w:r w:rsidRPr="00F749B4">
        <w:rPr>
          <w:sz w:val="18"/>
          <w:szCs w:val="18"/>
        </w:rPr>
        <w:t>For those NPUFs licensed under the authority of Section 104 of the AEA, however, the Commission is directed to impose the minimum amount of regulation on the licensee consistent with its obligations under the AEA to promote the common defense and security, protect public health and safety, and permit the conduct of widespread and diverse research and development and the widest amount of effective medical therapy possible.  The final rule would meet this standard by removing license renewal requirements for many entities licensed under Section 104 of the AEA, defining the license renewal process for testing facilities licensed under Section 104 of the AEA, and eliminating the requirement for NPUF licensees to submit financial qualification information at the time of license renewal.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5045EF" w:rsidP="004915D9" w14:paraId="7F4943EC" w14:textId="77777777">
    <w:pPr>
      <w:pStyle w:val="Header"/>
      <w:rPr>
        <w:rFonts w:ascii="Arial Narrow" w:hAnsi="Arial Narrow"/>
      </w:rPr>
    </w:pPr>
    <w:r w:rsidRPr="000A28DC">
      <w:rPr>
        <w:rFonts w:ascii="Arial Narrow" w:hAnsi="Arial Narrow"/>
        <w:i/>
      </w:rPr>
      <w:t xml:space="preserve">Regulatory Analysis: Proposed Rulemaking to Address </w:t>
    </w:r>
    <w:r>
      <w:rPr>
        <w:rFonts w:ascii="Arial Narrow" w:hAnsi="Arial Narrow"/>
        <w:i/>
      </w:rPr>
      <w:t>Mitigation of Beyond-Design-Basis Events</w:t>
    </w:r>
    <w:r w:rsidRPr="005045EF">
      <w:rPr>
        <w:rFonts w:ascii="Arial Narrow" w:hAnsi="Arial Narrow"/>
      </w:rPr>
      <w:tab/>
      <w:t xml:space="preserve">Page </w:t>
    </w:r>
    <w:r w:rsidRPr="005045EF">
      <w:rPr>
        <w:rFonts w:ascii="Arial Narrow" w:hAnsi="Arial Narrow"/>
      </w:rPr>
      <w:fldChar w:fldCharType="begin"/>
    </w:r>
    <w:r w:rsidRPr="005045EF">
      <w:rPr>
        <w:rFonts w:ascii="Arial Narrow" w:hAnsi="Arial Narrow"/>
      </w:rPr>
      <w:instrText xml:space="preserve"> PAGE   \* MERGEFORMAT </w:instrText>
    </w:r>
    <w:r w:rsidRPr="005045EF">
      <w:rPr>
        <w:rFonts w:ascii="Arial Narrow" w:hAnsi="Arial Narrow"/>
      </w:rPr>
      <w:fldChar w:fldCharType="separate"/>
    </w:r>
    <w:r>
      <w:rPr>
        <w:rFonts w:ascii="Arial Narrow" w:hAnsi="Arial Narrow"/>
        <w:noProof/>
      </w:rPr>
      <w:t>vi</w:t>
    </w:r>
    <w:r w:rsidRPr="005045EF">
      <w:rPr>
        <w:rFonts w:ascii="Arial Narrow" w:hAnsi="Arial Narrow"/>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14:paraId="7F4943EF" w14:textId="77777777">
    <w:pPr>
      <w:pStyle w:val="Header"/>
      <w:jc w:val="right"/>
    </w:pPr>
  </w:p>
  <w:p w:rsidR="003C4E07" w:rsidRPr="00F6196A" w:rsidP="0025130D" w14:paraId="7F4943F0" w14:textId="77777777">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644E7C" w:rsidP="004F1F61" w14:paraId="7F4943F2" w14:textId="77777777">
    <w:pPr>
      <w:pStyle w:val="Header"/>
      <w:jc w:val="center"/>
      <w:rPr>
        <w:rFonts w:ascii="Arial" w:hAnsi="Arial" w:cs="Arial"/>
        <w:b/>
        <w:i/>
      </w:rPr>
    </w:pPr>
    <w:r w:rsidRPr="00644E7C">
      <w:rPr>
        <w:rFonts w:ascii="Arial" w:hAnsi="Arial" w:cs="Arial"/>
        <w:b/>
        <w:i/>
      </w:rPr>
      <w:t>Regulatory Analysis:  Non-Power Production or</w:t>
    </w:r>
  </w:p>
  <w:p w:rsidR="003C4E07" w:rsidRPr="00644E7C" w:rsidP="004F1F61" w14:paraId="7F4943F3" w14:textId="77777777">
    <w:pPr>
      <w:pStyle w:val="Header"/>
      <w:jc w:val="center"/>
      <w:rPr>
        <w:rFonts w:ascii="Arial" w:hAnsi="Arial" w:cs="Arial"/>
        <w:b/>
        <w:i/>
      </w:rPr>
    </w:pPr>
    <w:r w:rsidRPr="00644E7C">
      <w:rPr>
        <w:rFonts w:ascii="Arial" w:hAnsi="Arial" w:cs="Arial"/>
        <w:b/>
        <w:i/>
      </w:rPr>
      <w:t xml:space="preserve">Utilization Facility License Renewal </w:t>
    </w:r>
  </w:p>
  <w:p w:rsidR="003C4E07" w:rsidRPr="00F6196A" w:rsidP="004F1F61" w14:paraId="7F4943F4" w14:textId="77777777">
    <w:pPr>
      <w:pStyle w:val="Header"/>
      <w:jc w:val="center"/>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644E7C" w:rsidP="00742A6F" w14:paraId="7F4943F8" w14:textId="77777777">
    <w:pPr>
      <w:pStyle w:val="Header"/>
      <w:jc w:val="center"/>
      <w:rPr>
        <w:rFonts w:ascii="Arial" w:hAnsi="Arial" w:cs="Arial"/>
      </w:rPr>
    </w:pPr>
    <w:r w:rsidRPr="00644E7C">
      <w:rPr>
        <w:rFonts w:ascii="Arial" w:hAnsi="Arial" w:cs="Arial"/>
        <w:b/>
        <w:i/>
      </w:rPr>
      <w:t>Regulatory Analysis:  Non-Power Production or Utilization Facility License Renewal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07" w:rsidRPr="00644E7C" w14:paraId="7F4943F9" w14:textId="77777777">
    <w:pPr>
      <w:pStyle w:val="Header"/>
      <w:jc w:val="center"/>
      <w:rPr>
        <w:rFonts w:ascii="Arial" w:hAnsi="Arial" w:cs="Arial"/>
      </w:rPr>
    </w:pPr>
    <w:r w:rsidRPr="00644E7C">
      <w:rPr>
        <w:rFonts w:ascii="Arial" w:hAnsi="Arial" w:cs="Arial"/>
        <w:b/>
        <w:i/>
      </w:rPr>
      <w:t>Regulatory Analysis:  Non-Power Production or Utilization Facility License Renewal</w:t>
    </w:r>
  </w:p>
  <w:p w:rsidR="003C4E07" w:rsidRPr="00493A8F" w:rsidP="004915D9" w14:paraId="7F4943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370C4"/>
    <w:multiLevelType w:val="hybridMultilevel"/>
    <w:tmpl w:val="B8123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8325ED"/>
    <w:multiLevelType w:val="hybridMultilevel"/>
    <w:tmpl w:val="4920A0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B6ACD"/>
    <w:multiLevelType w:val="hybridMultilevel"/>
    <w:tmpl w:val="0C9C3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E56F08"/>
    <w:multiLevelType w:val="hybridMultilevel"/>
    <w:tmpl w:val="B734E46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7777E3"/>
    <w:multiLevelType w:val="hybridMultilevel"/>
    <w:tmpl w:val="D1BC9926"/>
    <w:lvl w:ilvl="0">
      <w:start w:val="1537"/>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283BC1"/>
    <w:multiLevelType w:val="hybridMultilevel"/>
    <w:tmpl w:val="55981A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A2504C"/>
    <w:multiLevelType w:val="hybridMultilevel"/>
    <w:tmpl w:val="376EFD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56AC7"/>
    <w:multiLevelType w:val="hybridMultilevel"/>
    <w:tmpl w:val="2A345D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7B70D2B"/>
    <w:multiLevelType w:val="hybridMultilevel"/>
    <w:tmpl w:val="D2AA5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2746A7"/>
    <w:multiLevelType w:val="hybridMultilevel"/>
    <w:tmpl w:val="4D74BCC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604278"/>
    <w:multiLevelType w:val="hybridMultilevel"/>
    <w:tmpl w:val="5D32C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692CED"/>
    <w:multiLevelType w:val="hybridMultilevel"/>
    <w:tmpl w:val="8FA89680"/>
    <w:lvl w:ilvl="0">
      <w:start w:val="1"/>
      <w:numFmt w:val="decimal"/>
      <w:lvlText w:val="(%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2">
    <w:nsid w:val="18773BCF"/>
    <w:multiLevelType w:val="hybridMultilevel"/>
    <w:tmpl w:val="52EC8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A87E45"/>
    <w:multiLevelType w:val="hybridMultilevel"/>
    <w:tmpl w:val="1E1466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0C7F55"/>
    <w:multiLevelType w:val="multilevel"/>
    <w:tmpl w:val="56C4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ED5466"/>
    <w:multiLevelType w:val="hybridMultilevel"/>
    <w:tmpl w:val="237A55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CD608D"/>
    <w:multiLevelType w:val="hybridMultilevel"/>
    <w:tmpl w:val="9ED26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973985"/>
    <w:multiLevelType w:val="hybridMultilevel"/>
    <w:tmpl w:val="D11A6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C9032D"/>
    <w:multiLevelType w:val="hybridMultilevel"/>
    <w:tmpl w:val="7C3CA920"/>
    <w:lvl w:ilvl="0">
      <w:start w:val="1"/>
      <w:numFmt w:val="decimal"/>
      <w:lvlText w:val="%1."/>
      <w:lvlJc w:val="left"/>
      <w:pPr>
        <w:ind w:left="360" w:hanging="360"/>
      </w:pPr>
      <w:rPr>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8F3683"/>
    <w:multiLevelType w:val="hybridMultilevel"/>
    <w:tmpl w:val="E03E4D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49572E"/>
    <w:multiLevelType w:val="hybridMultilevel"/>
    <w:tmpl w:val="96DAD70A"/>
    <w:lvl w:ilvl="0">
      <w:start w:val="1"/>
      <w:numFmt w:val="bullet"/>
      <w:pStyle w:val="Reference"/>
      <w:lvlText w:val=""/>
      <w:lvlJc w:val="left"/>
      <w:pPr>
        <w:ind w:left="720" w:hanging="360"/>
      </w:pPr>
      <w:rPr>
        <w:rFonts w:ascii="Symbol" w:hAnsi="Symbol" w:hint="default"/>
      </w:rPr>
    </w:lvl>
    <w:lvl w:ilvl="1">
      <w:start w:val="1"/>
      <w:numFmt w:val="bullet"/>
      <w:pStyle w:val="NUREGBulletsecond-level"/>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560AA5"/>
    <w:multiLevelType w:val="hybridMultilevel"/>
    <w:tmpl w:val="2710F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8B71A6"/>
    <w:multiLevelType w:val="hybridMultilevel"/>
    <w:tmpl w:val="95C658DC"/>
    <w:lvl w:ilvl="0">
      <w:start w:val="1"/>
      <w:numFmt w:val="decimal"/>
      <w:lvlText w:val="(%1)"/>
      <w:lvlJc w:val="left"/>
      <w:pPr>
        <w:ind w:left="360" w:hanging="360"/>
      </w:pPr>
      <w:rPr>
        <w:rFonts w:hint="default"/>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3">
    <w:nsid w:val="3B143107"/>
    <w:multiLevelType w:val="hybridMultilevel"/>
    <w:tmpl w:val="0908F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BE2194E"/>
    <w:multiLevelType w:val="hybridMultilevel"/>
    <w:tmpl w:val="F8126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5C12C5"/>
    <w:multiLevelType w:val="hybridMultilevel"/>
    <w:tmpl w:val="6A0266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E43913"/>
    <w:multiLevelType w:val="hybridMultilevel"/>
    <w:tmpl w:val="A59CE52E"/>
    <w:lvl w:ilvl="0">
      <w:start w:val="3"/>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58354C"/>
    <w:multiLevelType w:val="hybridMultilevel"/>
    <w:tmpl w:val="E48A1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9193C"/>
    <w:multiLevelType w:val="hybridMultilevel"/>
    <w:tmpl w:val="6EC6158C"/>
    <w:lvl w:ilvl="0">
      <w:start w:val="3"/>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6667DB"/>
    <w:multiLevelType w:val="hybridMultilevel"/>
    <w:tmpl w:val="F71C7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B71997"/>
    <w:multiLevelType w:val="hybridMultilevel"/>
    <w:tmpl w:val="0AB89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110408"/>
    <w:multiLevelType w:val="hybridMultilevel"/>
    <w:tmpl w:val="CC928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C54EA8"/>
    <w:multiLevelType w:val="hybridMultilevel"/>
    <w:tmpl w:val="6136C92E"/>
    <w:lvl w:ilvl="0">
      <w:start w:val="1"/>
      <w:numFmt w:val="bullet"/>
      <w:lvlText w:val=""/>
      <w:lvlJc w:val="left"/>
      <w:pPr>
        <w:ind w:left="1505" w:hanging="360"/>
      </w:pPr>
      <w:rPr>
        <w:rFonts w:ascii="Symbol" w:hAnsi="Symbol" w:hint="default"/>
      </w:rPr>
    </w:lvl>
    <w:lvl w:ilvl="1" w:tentative="1">
      <w:start w:val="1"/>
      <w:numFmt w:val="bullet"/>
      <w:lvlText w:val="o"/>
      <w:lvlJc w:val="left"/>
      <w:pPr>
        <w:ind w:left="2225" w:hanging="360"/>
      </w:pPr>
      <w:rPr>
        <w:rFonts w:ascii="Courier New" w:hAnsi="Courier New" w:cs="Courier New" w:hint="default"/>
      </w:rPr>
    </w:lvl>
    <w:lvl w:ilvl="2" w:tentative="1">
      <w:start w:val="1"/>
      <w:numFmt w:val="bullet"/>
      <w:lvlText w:val=""/>
      <w:lvlJc w:val="left"/>
      <w:pPr>
        <w:ind w:left="2945" w:hanging="360"/>
      </w:pPr>
      <w:rPr>
        <w:rFonts w:ascii="Wingdings" w:hAnsi="Wingdings" w:hint="default"/>
      </w:rPr>
    </w:lvl>
    <w:lvl w:ilvl="3" w:tentative="1">
      <w:start w:val="1"/>
      <w:numFmt w:val="bullet"/>
      <w:lvlText w:val=""/>
      <w:lvlJc w:val="left"/>
      <w:pPr>
        <w:ind w:left="3665" w:hanging="360"/>
      </w:pPr>
      <w:rPr>
        <w:rFonts w:ascii="Symbol" w:hAnsi="Symbol" w:hint="default"/>
      </w:rPr>
    </w:lvl>
    <w:lvl w:ilvl="4" w:tentative="1">
      <w:start w:val="1"/>
      <w:numFmt w:val="bullet"/>
      <w:lvlText w:val="o"/>
      <w:lvlJc w:val="left"/>
      <w:pPr>
        <w:ind w:left="4385" w:hanging="360"/>
      </w:pPr>
      <w:rPr>
        <w:rFonts w:ascii="Courier New" w:hAnsi="Courier New" w:cs="Courier New" w:hint="default"/>
      </w:rPr>
    </w:lvl>
    <w:lvl w:ilvl="5" w:tentative="1">
      <w:start w:val="1"/>
      <w:numFmt w:val="bullet"/>
      <w:lvlText w:val=""/>
      <w:lvlJc w:val="left"/>
      <w:pPr>
        <w:ind w:left="5105" w:hanging="360"/>
      </w:pPr>
      <w:rPr>
        <w:rFonts w:ascii="Wingdings" w:hAnsi="Wingdings" w:hint="default"/>
      </w:rPr>
    </w:lvl>
    <w:lvl w:ilvl="6" w:tentative="1">
      <w:start w:val="1"/>
      <w:numFmt w:val="bullet"/>
      <w:lvlText w:val=""/>
      <w:lvlJc w:val="left"/>
      <w:pPr>
        <w:ind w:left="5825" w:hanging="360"/>
      </w:pPr>
      <w:rPr>
        <w:rFonts w:ascii="Symbol" w:hAnsi="Symbol" w:hint="default"/>
      </w:rPr>
    </w:lvl>
    <w:lvl w:ilvl="7" w:tentative="1">
      <w:start w:val="1"/>
      <w:numFmt w:val="bullet"/>
      <w:lvlText w:val="o"/>
      <w:lvlJc w:val="left"/>
      <w:pPr>
        <w:ind w:left="6545" w:hanging="360"/>
      </w:pPr>
      <w:rPr>
        <w:rFonts w:ascii="Courier New" w:hAnsi="Courier New" w:cs="Courier New" w:hint="default"/>
      </w:rPr>
    </w:lvl>
    <w:lvl w:ilvl="8" w:tentative="1">
      <w:start w:val="1"/>
      <w:numFmt w:val="bullet"/>
      <w:lvlText w:val=""/>
      <w:lvlJc w:val="left"/>
      <w:pPr>
        <w:ind w:left="7265" w:hanging="360"/>
      </w:pPr>
      <w:rPr>
        <w:rFonts w:ascii="Wingdings" w:hAnsi="Wingdings" w:hint="default"/>
      </w:rPr>
    </w:lvl>
  </w:abstractNum>
  <w:abstractNum w:abstractNumId="33">
    <w:nsid w:val="538551FF"/>
    <w:multiLevelType w:val="hybridMultilevel"/>
    <w:tmpl w:val="4976B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1C4C0E"/>
    <w:multiLevelType w:val="hybridMultilevel"/>
    <w:tmpl w:val="BBAEB616"/>
    <w:lvl w:ilvl="0">
      <w:start w:val="1"/>
      <w:numFmt w:val="bullet"/>
      <w:lvlText w:val=""/>
      <w:lvlJc w:val="left"/>
      <w:pPr>
        <w:tabs>
          <w:tab w:val="num" w:pos="720"/>
        </w:tabs>
        <w:ind w:left="936"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A98555A"/>
    <w:multiLevelType w:val="hybridMultilevel"/>
    <w:tmpl w:val="565ED9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2B1AA2"/>
    <w:multiLevelType w:val="hybridMultilevel"/>
    <w:tmpl w:val="7944928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BA666C"/>
    <w:multiLevelType w:val="hybridMultilevel"/>
    <w:tmpl w:val="17F69FE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E24F3C"/>
    <w:multiLevelType w:val="hybridMultilevel"/>
    <w:tmpl w:val="D6BEE3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12333E7"/>
    <w:multiLevelType w:val="hybridMultilevel"/>
    <w:tmpl w:val="DC04228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F56A3F"/>
    <w:multiLevelType w:val="hybridMultilevel"/>
    <w:tmpl w:val="B9C0A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B542F4"/>
    <w:multiLevelType w:val="hybridMultilevel"/>
    <w:tmpl w:val="151C5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18A7AB2"/>
    <w:multiLevelType w:val="hybridMultilevel"/>
    <w:tmpl w:val="681801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5C71667"/>
    <w:multiLevelType w:val="hybridMultilevel"/>
    <w:tmpl w:val="69C2A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8651C66"/>
    <w:multiLevelType w:val="hybridMultilevel"/>
    <w:tmpl w:val="4B3E1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F67A95"/>
    <w:multiLevelType w:val="hybridMultilevel"/>
    <w:tmpl w:val="CB4CE0BC"/>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B995E13"/>
    <w:multiLevelType w:val="hybridMultilevel"/>
    <w:tmpl w:val="D79C3790"/>
    <w:lvl w:ilvl="0">
      <w:start w:val="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4137084">
    <w:abstractNumId w:val="20"/>
  </w:num>
  <w:num w:numId="2" w16cid:durableId="1556114102">
    <w:abstractNumId w:val="42"/>
  </w:num>
  <w:num w:numId="3" w16cid:durableId="149516724">
    <w:abstractNumId w:val="38"/>
  </w:num>
  <w:num w:numId="4" w16cid:durableId="1645158055">
    <w:abstractNumId w:val="31"/>
  </w:num>
  <w:num w:numId="5" w16cid:durableId="1632710181">
    <w:abstractNumId w:val="13"/>
  </w:num>
  <w:num w:numId="6" w16cid:durableId="1559244493">
    <w:abstractNumId w:val="41"/>
  </w:num>
  <w:num w:numId="7" w16cid:durableId="1713115604">
    <w:abstractNumId w:val="0"/>
  </w:num>
  <w:num w:numId="8" w16cid:durableId="1739086104">
    <w:abstractNumId w:val="33"/>
  </w:num>
  <w:num w:numId="9" w16cid:durableId="254285615">
    <w:abstractNumId w:val="17"/>
  </w:num>
  <w:num w:numId="10" w16cid:durableId="1990744698">
    <w:abstractNumId w:val="44"/>
  </w:num>
  <w:num w:numId="11" w16cid:durableId="743837184">
    <w:abstractNumId w:val="22"/>
  </w:num>
  <w:num w:numId="12" w16cid:durableId="1357653136">
    <w:abstractNumId w:val="45"/>
  </w:num>
  <w:num w:numId="13" w16cid:durableId="1578788973">
    <w:abstractNumId w:val="5"/>
  </w:num>
  <w:num w:numId="14" w16cid:durableId="470371865">
    <w:abstractNumId w:val="25"/>
  </w:num>
  <w:num w:numId="15" w16cid:durableId="141703053">
    <w:abstractNumId w:val="29"/>
  </w:num>
  <w:num w:numId="16" w16cid:durableId="498229671">
    <w:abstractNumId w:val="11"/>
  </w:num>
  <w:num w:numId="17" w16cid:durableId="1762069990">
    <w:abstractNumId w:val="26"/>
  </w:num>
  <w:num w:numId="18" w16cid:durableId="805321406">
    <w:abstractNumId w:val="28"/>
  </w:num>
  <w:num w:numId="19" w16cid:durableId="2045128575">
    <w:abstractNumId w:val="23"/>
  </w:num>
  <w:num w:numId="20" w16cid:durableId="1772630625">
    <w:abstractNumId w:val="8"/>
  </w:num>
  <w:num w:numId="21" w16cid:durableId="802113484">
    <w:abstractNumId w:val="32"/>
  </w:num>
  <w:num w:numId="22" w16cid:durableId="208497910">
    <w:abstractNumId w:val="1"/>
  </w:num>
  <w:num w:numId="23" w16cid:durableId="754283776">
    <w:abstractNumId w:val="19"/>
  </w:num>
  <w:num w:numId="24" w16cid:durableId="1049842411">
    <w:abstractNumId w:val="24"/>
  </w:num>
  <w:num w:numId="25" w16cid:durableId="435248699">
    <w:abstractNumId w:val="3"/>
  </w:num>
  <w:num w:numId="26" w16cid:durableId="187526845">
    <w:abstractNumId w:val="3"/>
  </w:num>
  <w:num w:numId="27" w16cid:durableId="1012100155">
    <w:abstractNumId w:val="18"/>
  </w:num>
  <w:num w:numId="28" w16cid:durableId="468548852">
    <w:abstractNumId w:val="34"/>
  </w:num>
  <w:num w:numId="29" w16cid:durableId="1699745150">
    <w:abstractNumId w:val="30"/>
  </w:num>
  <w:num w:numId="30" w16cid:durableId="1550721719">
    <w:abstractNumId w:val="43"/>
  </w:num>
  <w:num w:numId="31" w16cid:durableId="854615321">
    <w:abstractNumId w:val="40"/>
  </w:num>
  <w:num w:numId="32" w16cid:durableId="1035811270">
    <w:abstractNumId w:val="35"/>
  </w:num>
  <w:num w:numId="33" w16cid:durableId="767851263">
    <w:abstractNumId w:val="37"/>
  </w:num>
  <w:num w:numId="34" w16cid:durableId="1088579199">
    <w:abstractNumId w:val="39"/>
  </w:num>
  <w:num w:numId="35" w16cid:durableId="403992032">
    <w:abstractNumId w:val="10"/>
  </w:num>
  <w:num w:numId="36" w16cid:durableId="579023299">
    <w:abstractNumId w:val="2"/>
  </w:num>
  <w:num w:numId="37" w16cid:durableId="1133015366">
    <w:abstractNumId w:val="9"/>
  </w:num>
  <w:num w:numId="38" w16cid:durableId="1348629313">
    <w:abstractNumId w:val="4"/>
  </w:num>
  <w:num w:numId="39" w16cid:durableId="1980499808">
    <w:abstractNumId w:val="12"/>
  </w:num>
  <w:num w:numId="40" w16cid:durableId="873735145">
    <w:abstractNumId w:val="15"/>
  </w:num>
  <w:num w:numId="41" w16cid:durableId="594098016">
    <w:abstractNumId w:val="27"/>
  </w:num>
  <w:num w:numId="42" w16cid:durableId="1865824177">
    <w:abstractNumId w:val="7"/>
  </w:num>
  <w:num w:numId="43" w16cid:durableId="603416849">
    <w:abstractNumId w:val="14"/>
  </w:num>
  <w:num w:numId="44" w16cid:durableId="472331455">
    <w:abstractNumId w:val="46"/>
  </w:num>
  <w:num w:numId="45" w16cid:durableId="1633708706">
    <w:abstractNumId w:val="36"/>
  </w:num>
  <w:num w:numId="46" w16cid:durableId="365953141">
    <w:abstractNumId w:val="16"/>
  </w:num>
  <w:num w:numId="47" w16cid:durableId="1774285061">
    <w:abstractNumId w:val="6"/>
  </w:num>
  <w:num w:numId="48" w16cid:durableId="206460183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D9"/>
    <w:rsid w:val="000001E6"/>
    <w:rsid w:val="000002C7"/>
    <w:rsid w:val="00000A63"/>
    <w:rsid w:val="00000EC9"/>
    <w:rsid w:val="00000F2B"/>
    <w:rsid w:val="00001E08"/>
    <w:rsid w:val="00001E57"/>
    <w:rsid w:val="000020B5"/>
    <w:rsid w:val="000027C8"/>
    <w:rsid w:val="00002C5B"/>
    <w:rsid w:val="000031F5"/>
    <w:rsid w:val="00003958"/>
    <w:rsid w:val="00003A37"/>
    <w:rsid w:val="000047F2"/>
    <w:rsid w:val="00004886"/>
    <w:rsid w:val="000057FB"/>
    <w:rsid w:val="000064C0"/>
    <w:rsid w:val="00006772"/>
    <w:rsid w:val="00007161"/>
    <w:rsid w:val="000072E9"/>
    <w:rsid w:val="000073AF"/>
    <w:rsid w:val="0001074D"/>
    <w:rsid w:val="00010809"/>
    <w:rsid w:val="00011C51"/>
    <w:rsid w:val="00011FAB"/>
    <w:rsid w:val="00012090"/>
    <w:rsid w:val="000121DE"/>
    <w:rsid w:val="00012645"/>
    <w:rsid w:val="000126FD"/>
    <w:rsid w:val="0001272F"/>
    <w:rsid w:val="00012843"/>
    <w:rsid w:val="00012F40"/>
    <w:rsid w:val="00013339"/>
    <w:rsid w:val="00013478"/>
    <w:rsid w:val="00014662"/>
    <w:rsid w:val="00014EB9"/>
    <w:rsid w:val="0001557C"/>
    <w:rsid w:val="000156BB"/>
    <w:rsid w:val="000158F3"/>
    <w:rsid w:val="00015E97"/>
    <w:rsid w:val="00016192"/>
    <w:rsid w:val="000173BF"/>
    <w:rsid w:val="000176DC"/>
    <w:rsid w:val="0001772B"/>
    <w:rsid w:val="00017A13"/>
    <w:rsid w:val="00020137"/>
    <w:rsid w:val="0002082D"/>
    <w:rsid w:val="00020945"/>
    <w:rsid w:val="00020A64"/>
    <w:rsid w:val="00020C54"/>
    <w:rsid w:val="00020DE2"/>
    <w:rsid w:val="00020FE8"/>
    <w:rsid w:val="00021128"/>
    <w:rsid w:val="000215BF"/>
    <w:rsid w:val="00021D29"/>
    <w:rsid w:val="00023DE7"/>
    <w:rsid w:val="00024694"/>
    <w:rsid w:val="00024D10"/>
    <w:rsid w:val="00024DD2"/>
    <w:rsid w:val="00025947"/>
    <w:rsid w:val="0002596A"/>
    <w:rsid w:val="00026780"/>
    <w:rsid w:val="00026DA7"/>
    <w:rsid w:val="000273D1"/>
    <w:rsid w:val="00027C46"/>
    <w:rsid w:val="00027F25"/>
    <w:rsid w:val="00027F92"/>
    <w:rsid w:val="00031048"/>
    <w:rsid w:val="0003137F"/>
    <w:rsid w:val="000316C1"/>
    <w:rsid w:val="00031AB7"/>
    <w:rsid w:val="00031B3A"/>
    <w:rsid w:val="000323D4"/>
    <w:rsid w:val="0003244F"/>
    <w:rsid w:val="00033338"/>
    <w:rsid w:val="0003359A"/>
    <w:rsid w:val="000338BA"/>
    <w:rsid w:val="000339C5"/>
    <w:rsid w:val="00033E9D"/>
    <w:rsid w:val="00033F3E"/>
    <w:rsid w:val="00034D96"/>
    <w:rsid w:val="00034E9B"/>
    <w:rsid w:val="00035B7D"/>
    <w:rsid w:val="00035D7A"/>
    <w:rsid w:val="00036094"/>
    <w:rsid w:val="000365E1"/>
    <w:rsid w:val="00036990"/>
    <w:rsid w:val="00036DAB"/>
    <w:rsid w:val="00036E09"/>
    <w:rsid w:val="00037478"/>
    <w:rsid w:val="000374B5"/>
    <w:rsid w:val="0003783E"/>
    <w:rsid w:val="00037FBC"/>
    <w:rsid w:val="00040190"/>
    <w:rsid w:val="000406FE"/>
    <w:rsid w:val="000414BA"/>
    <w:rsid w:val="00041760"/>
    <w:rsid w:val="0004263D"/>
    <w:rsid w:val="00042701"/>
    <w:rsid w:val="00042844"/>
    <w:rsid w:val="00043027"/>
    <w:rsid w:val="000437DA"/>
    <w:rsid w:val="000445A8"/>
    <w:rsid w:val="00044AA9"/>
    <w:rsid w:val="00044AEE"/>
    <w:rsid w:val="00044F9C"/>
    <w:rsid w:val="00046510"/>
    <w:rsid w:val="000468C2"/>
    <w:rsid w:val="00047E23"/>
    <w:rsid w:val="000508F7"/>
    <w:rsid w:val="000510E2"/>
    <w:rsid w:val="00052167"/>
    <w:rsid w:val="000525B4"/>
    <w:rsid w:val="000526D7"/>
    <w:rsid w:val="000526F2"/>
    <w:rsid w:val="0005336D"/>
    <w:rsid w:val="00053430"/>
    <w:rsid w:val="00053E19"/>
    <w:rsid w:val="00053E39"/>
    <w:rsid w:val="00053E83"/>
    <w:rsid w:val="00053EE7"/>
    <w:rsid w:val="0005411B"/>
    <w:rsid w:val="00054386"/>
    <w:rsid w:val="00054A9B"/>
    <w:rsid w:val="00054C5A"/>
    <w:rsid w:val="000554A8"/>
    <w:rsid w:val="000554EF"/>
    <w:rsid w:val="000555B6"/>
    <w:rsid w:val="000558D5"/>
    <w:rsid w:val="000559E1"/>
    <w:rsid w:val="00055B5C"/>
    <w:rsid w:val="00055E80"/>
    <w:rsid w:val="00055E89"/>
    <w:rsid w:val="00055FB0"/>
    <w:rsid w:val="000560A4"/>
    <w:rsid w:val="00056977"/>
    <w:rsid w:val="00056C37"/>
    <w:rsid w:val="00056D56"/>
    <w:rsid w:val="0005708C"/>
    <w:rsid w:val="00057301"/>
    <w:rsid w:val="000574C4"/>
    <w:rsid w:val="00057577"/>
    <w:rsid w:val="000575F6"/>
    <w:rsid w:val="00057667"/>
    <w:rsid w:val="00057D5C"/>
    <w:rsid w:val="00057F5E"/>
    <w:rsid w:val="0006026A"/>
    <w:rsid w:val="000604E9"/>
    <w:rsid w:val="00060812"/>
    <w:rsid w:val="000610C4"/>
    <w:rsid w:val="0006126E"/>
    <w:rsid w:val="00061D5C"/>
    <w:rsid w:val="00062909"/>
    <w:rsid w:val="0006298C"/>
    <w:rsid w:val="00063063"/>
    <w:rsid w:val="000639A7"/>
    <w:rsid w:val="00063A74"/>
    <w:rsid w:val="00063BDE"/>
    <w:rsid w:val="00064171"/>
    <w:rsid w:val="00064618"/>
    <w:rsid w:val="00064EA2"/>
    <w:rsid w:val="0006526E"/>
    <w:rsid w:val="0006535A"/>
    <w:rsid w:val="00065469"/>
    <w:rsid w:val="000657AF"/>
    <w:rsid w:val="00065DEE"/>
    <w:rsid w:val="00065F56"/>
    <w:rsid w:val="000662E2"/>
    <w:rsid w:val="000663B3"/>
    <w:rsid w:val="0006658B"/>
    <w:rsid w:val="00066997"/>
    <w:rsid w:val="00066CC3"/>
    <w:rsid w:val="0006785A"/>
    <w:rsid w:val="000679A9"/>
    <w:rsid w:val="00067DB8"/>
    <w:rsid w:val="00067FC7"/>
    <w:rsid w:val="0007099E"/>
    <w:rsid w:val="00070E13"/>
    <w:rsid w:val="00070FE1"/>
    <w:rsid w:val="00071144"/>
    <w:rsid w:val="0007116F"/>
    <w:rsid w:val="0007222A"/>
    <w:rsid w:val="00072899"/>
    <w:rsid w:val="0007295E"/>
    <w:rsid w:val="00072D58"/>
    <w:rsid w:val="00072EA1"/>
    <w:rsid w:val="00072F8D"/>
    <w:rsid w:val="00073030"/>
    <w:rsid w:val="000730C1"/>
    <w:rsid w:val="000730F6"/>
    <w:rsid w:val="00073416"/>
    <w:rsid w:val="00073CCB"/>
    <w:rsid w:val="00074280"/>
    <w:rsid w:val="000742B0"/>
    <w:rsid w:val="00074AB1"/>
    <w:rsid w:val="0007510D"/>
    <w:rsid w:val="0007543A"/>
    <w:rsid w:val="000758FC"/>
    <w:rsid w:val="00075F4A"/>
    <w:rsid w:val="00076069"/>
    <w:rsid w:val="000763C6"/>
    <w:rsid w:val="000768B9"/>
    <w:rsid w:val="00076C4B"/>
    <w:rsid w:val="00076EB8"/>
    <w:rsid w:val="00076EEF"/>
    <w:rsid w:val="00076F16"/>
    <w:rsid w:val="00077144"/>
    <w:rsid w:val="0007722A"/>
    <w:rsid w:val="00077489"/>
    <w:rsid w:val="00077852"/>
    <w:rsid w:val="000778CA"/>
    <w:rsid w:val="00080187"/>
    <w:rsid w:val="000804E6"/>
    <w:rsid w:val="00080923"/>
    <w:rsid w:val="000809C8"/>
    <w:rsid w:val="0008169A"/>
    <w:rsid w:val="00081B8F"/>
    <w:rsid w:val="00081D63"/>
    <w:rsid w:val="0008275B"/>
    <w:rsid w:val="000828C5"/>
    <w:rsid w:val="000828D5"/>
    <w:rsid w:val="00082B61"/>
    <w:rsid w:val="00082C90"/>
    <w:rsid w:val="00082E6C"/>
    <w:rsid w:val="00082FAF"/>
    <w:rsid w:val="00083233"/>
    <w:rsid w:val="000833FD"/>
    <w:rsid w:val="00083B92"/>
    <w:rsid w:val="00083C28"/>
    <w:rsid w:val="00083CAB"/>
    <w:rsid w:val="000841A2"/>
    <w:rsid w:val="00084862"/>
    <w:rsid w:val="000848D0"/>
    <w:rsid w:val="00084F90"/>
    <w:rsid w:val="00085172"/>
    <w:rsid w:val="00085425"/>
    <w:rsid w:val="000854A9"/>
    <w:rsid w:val="00085E84"/>
    <w:rsid w:val="00085EE0"/>
    <w:rsid w:val="00086216"/>
    <w:rsid w:val="00086306"/>
    <w:rsid w:val="0008631B"/>
    <w:rsid w:val="00086862"/>
    <w:rsid w:val="00086DE8"/>
    <w:rsid w:val="00086F52"/>
    <w:rsid w:val="00087986"/>
    <w:rsid w:val="00087D5C"/>
    <w:rsid w:val="00087EC9"/>
    <w:rsid w:val="000905C4"/>
    <w:rsid w:val="00090F1B"/>
    <w:rsid w:val="000914FD"/>
    <w:rsid w:val="00091722"/>
    <w:rsid w:val="00091727"/>
    <w:rsid w:val="0009178B"/>
    <w:rsid w:val="00091D2E"/>
    <w:rsid w:val="0009207F"/>
    <w:rsid w:val="000927C0"/>
    <w:rsid w:val="000933E4"/>
    <w:rsid w:val="0009379A"/>
    <w:rsid w:val="0009399F"/>
    <w:rsid w:val="00093E71"/>
    <w:rsid w:val="00094494"/>
    <w:rsid w:val="000948A5"/>
    <w:rsid w:val="00094926"/>
    <w:rsid w:val="0009567E"/>
    <w:rsid w:val="00095974"/>
    <w:rsid w:val="00096026"/>
    <w:rsid w:val="00097126"/>
    <w:rsid w:val="0009727C"/>
    <w:rsid w:val="00097AE4"/>
    <w:rsid w:val="00097D4E"/>
    <w:rsid w:val="00097F64"/>
    <w:rsid w:val="00097FFA"/>
    <w:rsid w:val="000A059A"/>
    <w:rsid w:val="000A1047"/>
    <w:rsid w:val="000A144E"/>
    <w:rsid w:val="000A1C23"/>
    <w:rsid w:val="000A1C37"/>
    <w:rsid w:val="000A1DBF"/>
    <w:rsid w:val="000A247B"/>
    <w:rsid w:val="000A28DC"/>
    <w:rsid w:val="000A2C27"/>
    <w:rsid w:val="000A375E"/>
    <w:rsid w:val="000A3E08"/>
    <w:rsid w:val="000A4667"/>
    <w:rsid w:val="000A4B10"/>
    <w:rsid w:val="000A5460"/>
    <w:rsid w:val="000A5BC6"/>
    <w:rsid w:val="000A60B2"/>
    <w:rsid w:val="000A64DE"/>
    <w:rsid w:val="000A6761"/>
    <w:rsid w:val="000A689F"/>
    <w:rsid w:val="000A68A6"/>
    <w:rsid w:val="000A68E2"/>
    <w:rsid w:val="000A6ABF"/>
    <w:rsid w:val="000A6DD4"/>
    <w:rsid w:val="000A6E75"/>
    <w:rsid w:val="000A70C0"/>
    <w:rsid w:val="000A713E"/>
    <w:rsid w:val="000A75A2"/>
    <w:rsid w:val="000A7D94"/>
    <w:rsid w:val="000B055D"/>
    <w:rsid w:val="000B0B63"/>
    <w:rsid w:val="000B1A97"/>
    <w:rsid w:val="000B2076"/>
    <w:rsid w:val="000B2323"/>
    <w:rsid w:val="000B2563"/>
    <w:rsid w:val="000B26C8"/>
    <w:rsid w:val="000B2752"/>
    <w:rsid w:val="000B2D5E"/>
    <w:rsid w:val="000B30E3"/>
    <w:rsid w:val="000B373F"/>
    <w:rsid w:val="000B4457"/>
    <w:rsid w:val="000B4B94"/>
    <w:rsid w:val="000B4BD7"/>
    <w:rsid w:val="000B5298"/>
    <w:rsid w:val="000B5AC3"/>
    <w:rsid w:val="000B5B23"/>
    <w:rsid w:val="000B604B"/>
    <w:rsid w:val="000B6286"/>
    <w:rsid w:val="000B6E25"/>
    <w:rsid w:val="000B7903"/>
    <w:rsid w:val="000B79BF"/>
    <w:rsid w:val="000B79C9"/>
    <w:rsid w:val="000B7B49"/>
    <w:rsid w:val="000B7DB8"/>
    <w:rsid w:val="000B7E7E"/>
    <w:rsid w:val="000C0159"/>
    <w:rsid w:val="000C1133"/>
    <w:rsid w:val="000C19BD"/>
    <w:rsid w:val="000C1F23"/>
    <w:rsid w:val="000C242E"/>
    <w:rsid w:val="000C25C0"/>
    <w:rsid w:val="000C290B"/>
    <w:rsid w:val="000C2B1A"/>
    <w:rsid w:val="000C3029"/>
    <w:rsid w:val="000C35CC"/>
    <w:rsid w:val="000C35D2"/>
    <w:rsid w:val="000C37A6"/>
    <w:rsid w:val="000C3BE5"/>
    <w:rsid w:val="000C3CFA"/>
    <w:rsid w:val="000C3F7E"/>
    <w:rsid w:val="000C4161"/>
    <w:rsid w:val="000C4482"/>
    <w:rsid w:val="000C4BFA"/>
    <w:rsid w:val="000C4E6D"/>
    <w:rsid w:val="000C5AD8"/>
    <w:rsid w:val="000C5CA4"/>
    <w:rsid w:val="000C5D8D"/>
    <w:rsid w:val="000C68A1"/>
    <w:rsid w:val="000C6CFA"/>
    <w:rsid w:val="000C79C5"/>
    <w:rsid w:val="000D0068"/>
    <w:rsid w:val="000D0276"/>
    <w:rsid w:val="000D0845"/>
    <w:rsid w:val="000D0DF8"/>
    <w:rsid w:val="000D0EAB"/>
    <w:rsid w:val="000D0EDD"/>
    <w:rsid w:val="000D10A5"/>
    <w:rsid w:val="000D1484"/>
    <w:rsid w:val="000D2A84"/>
    <w:rsid w:val="000D3341"/>
    <w:rsid w:val="000D3B30"/>
    <w:rsid w:val="000D3C9F"/>
    <w:rsid w:val="000D4432"/>
    <w:rsid w:val="000D4DB5"/>
    <w:rsid w:val="000D4DB8"/>
    <w:rsid w:val="000D546C"/>
    <w:rsid w:val="000D562F"/>
    <w:rsid w:val="000D58AA"/>
    <w:rsid w:val="000D5C76"/>
    <w:rsid w:val="000D6861"/>
    <w:rsid w:val="000D69E7"/>
    <w:rsid w:val="000D798D"/>
    <w:rsid w:val="000D7C03"/>
    <w:rsid w:val="000D7EAA"/>
    <w:rsid w:val="000E028B"/>
    <w:rsid w:val="000E02E2"/>
    <w:rsid w:val="000E0A96"/>
    <w:rsid w:val="000E1AFB"/>
    <w:rsid w:val="000E1D6B"/>
    <w:rsid w:val="000E2977"/>
    <w:rsid w:val="000E2B37"/>
    <w:rsid w:val="000E33A6"/>
    <w:rsid w:val="000E34E3"/>
    <w:rsid w:val="000E3CDE"/>
    <w:rsid w:val="000E3DAF"/>
    <w:rsid w:val="000E4A77"/>
    <w:rsid w:val="000E4E85"/>
    <w:rsid w:val="000E51FA"/>
    <w:rsid w:val="000E54D2"/>
    <w:rsid w:val="000E575A"/>
    <w:rsid w:val="000E5785"/>
    <w:rsid w:val="000E5A92"/>
    <w:rsid w:val="000E6849"/>
    <w:rsid w:val="000E70CE"/>
    <w:rsid w:val="000E70E2"/>
    <w:rsid w:val="000E7136"/>
    <w:rsid w:val="000E72F3"/>
    <w:rsid w:val="000E7C1C"/>
    <w:rsid w:val="000F0122"/>
    <w:rsid w:val="000F04F4"/>
    <w:rsid w:val="000F063F"/>
    <w:rsid w:val="000F0886"/>
    <w:rsid w:val="000F08A5"/>
    <w:rsid w:val="000F10A5"/>
    <w:rsid w:val="000F1D61"/>
    <w:rsid w:val="000F209D"/>
    <w:rsid w:val="000F215A"/>
    <w:rsid w:val="000F24EB"/>
    <w:rsid w:val="000F2538"/>
    <w:rsid w:val="000F2548"/>
    <w:rsid w:val="000F29F6"/>
    <w:rsid w:val="000F2C9E"/>
    <w:rsid w:val="000F2CFB"/>
    <w:rsid w:val="000F2FBF"/>
    <w:rsid w:val="000F3E36"/>
    <w:rsid w:val="000F3FDF"/>
    <w:rsid w:val="000F438B"/>
    <w:rsid w:val="000F45D7"/>
    <w:rsid w:val="000F4699"/>
    <w:rsid w:val="000F4741"/>
    <w:rsid w:val="000F48D5"/>
    <w:rsid w:val="000F49F1"/>
    <w:rsid w:val="000F53C5"/>
    <w:rsid w:val="000F5547"/>
    <w:rsid w:val="000F5818"/>
    <w:rsid w:val="000F5C32"/>
    <w:rsid w:val="000F5C9C"/>
    <w:rsid w:val="000F5D5E"/>
    <w:rsid w:val="000F6345"/>
    <w:rsid w:val="000F6AF8"/>
    <w:rsid w:val="000F74C6"/>
    <w:rsid w:val="000F7631"/>
    <w:rsid w:val="000F7ABE"/>
    <w:rsid w:val="000F7BAB"/>
    <w:rsid w:val="000F7C55"/>
    <w:rsid w:val="000F7EBE"/>
    <w:rsid w:val="000F7FD1"/>
    <w:rsid w:val="001002BA"/>
    <w:rsid w:val="00100704"/>
    <w:rsid w:val="001019E0"/>
    <w:rsid w:val="00101E48"/>
    <w:rsid w:val="00101FC7"/>
    <w:rsid w:val="0010214A"/>
    <w:rsid w:val="0010282A"/>
    <w:rsid w:val="0010293E"/>
    <w:rsid w:val="00103168"/>
    <w:rsid w:val="0010332A"/>
    <w:rsid w:val="001037BF"/>
    <w:rsid w:val="001038C6"/>
    <w:rsid w:val="00103B96"/>
    <w:rsid w:val="00103C4C"/>
    <w:rsid w:val="00104127"/>
    <w:rsid w:val="00104C44"/>
    <w:rsid w:val="00104DE8"/>
    <w:rsid w:val="00104FA4"/>
    <w:rsid w:val="00105D39"/>
    <w:rsid w:val="001065A1"/>
    <w:rsid w:val="00106DA4"/>
    <w:rsid w:val="00106F61"/>
    <w:rsid w:val="00107257"/>
    <w:rsid w:val="00107AC8"/>
    <w:rsid w:val="00107C9F"/>
    <w:rsid w:val="001109CD"/>
    <w:rsid w:val="00110FBE"/>
    <w:rsid w:val="0011123A"/>
    <w:rsid w:val="001112A4"/>
    <w:rsid w:val="0011156B"/>
    <w:rsid w:val="001115CA"/>
    <w:rsid w:val="0011177B"/>
    <w:rsid w:val="00112365"/>
    <w:rsid w:val="001123BC"/>
    <w:rsid w:val="001130B2"/>
    <w:rsid w:val="0011348A"/>
    <w:rsid w:val="0011350C"/>
    <w:rsid w:val="00113544"/>
    <w:rsid w:val="00113929"/>
    <w:rsid w:val="00114552"/>
    <w:rsid w:val="0011487B"/>
    <w:rsid w:val="00114EFF"/>
    <w:rsid w:val="00115549"/>
    <w:rsid w:val="001156F5"/>
    <w:rsid w:val="0011575E"/>
    <w:rsid w:val="001164E1"/>
    <w:rsid w:val="00116AC4"/>
    <w:rsid w:val="001170B7"/>
    <w:rsid w:val="001176AF"/>
    <w:rsid w:val="0012074D"/>
    <w:rsid w:val="00121206"/>
    <w:rsid w:val="00121A3E"/>
    <w:rsid w:val="00121A95"/>
    <w:rsid w:val="00121B0B"/>
    <w:rsid w:val="0012209E"/>
    <w:rsid w:val="00122267"/>
    <w:rsid w:val="0012271F"/>
    <w:rsid w:val="00122766"/>
    <w:rsid w:val="00122BBF"/>
    <w:rsid w:val="00123938"/>
    <w:rsid w:val="00123EAA"/>
    <w:rsid w:val="00124458"/>
    <w:rsid w:val="00124545"/>
    <w:rsid w:val="00125256"/>
    <w:rsid w:val="00125293"/>
    <w:rsid w:val="0012580F"/>
    <w:rsid w:val="001266A0"/>
    <w:rsid w:val="0012693A"/>
    <w:rsid w:val="00127422"/>
    <w:rsid w:val="001274DB"/>
    <w:rsid w:val="00127A13"/>
    <w:rsid w:val="00127B94"/>
    <w:rsid w:val="00130EDB"/>
    <w:rsid w:val="00131393"/>
    <w:rsid w:val="0013182E"/>
    <w:rsid w:val="00133783"/>
    <w:rsid w:val="00133A97"/>
    <w:rsid w:val="00133F41"/>
    <w:rsid w:val="0013464F"/>
    <w:rsid w:val="001349A6"/>
    <w:rsid w:val="00134B6C"/>
    <w:rsid w:val="001357E7"/>
    <w:rsid w:val="00135835"/>
    <w:rsid w:val="00135933"/>
    <w:rsid w:val="0013599F"/>
    <w:rsid w:val="00135A71"/>
    <w:rsid w:val="00136638"/>
    <w:rsid w:val="001366A3"/>
    <w:rsid w:val="001370E0"/>
    <w:rsid w:val="00137786"/>
    <w:rsid w:val="00137847"/>
    <w:rsid w:val="00137B87"/>
    <w:rsid w:val="00137D42"/>
    <w:rsid w:val="00137EBC"/>
    <w:rsid w:val="00137EE2"/>
    <w:rsid w:val="00140020"/>
    <w:rsid w:val="00140505"/>
    <w:rsid w:val="00141AD7"/>
    <w:rsid w:val="00141B7A"/>
    <w:rsid w:val="00141FD0"/>
    <w:rsid w:val="00143255"/>
    <w:rsid w:val="0014354F"/>
    <w:rsid w:val="00143648"/>
    <w:rsid w:val="00143ACA"/>
    <w:rsid w:val="00143BBF"/>
    <w:rsid w:val="00143C1F"/>
    <w:rsid w:val="0014450D"/>
    <w:rsid w:val="001446BB"/>
    <w:rsid w:val="00144731"/>
    <w:rsid w:val="001447E7"/>
    <w:rsid w:val="001456B4"/>
    <w:rsid w:val="00145848"/>
    <w:rsid w:val="00145AD3"/>
    <w:rsid w:val="00145D38"/>
    <w:rsid w:val="00145F2C"/>
    <w:rsid w:val="00145F36"/>
    <w:rsid w:val="0014638E"/>
    <w:rsid w:val="001467A3"/>
    <w:rsid w:val="00146A89"/>
    <w:rsid w:val="001479A0"/>
    <w:rsid w:val="00147EF0"/>
    <w:rsid w:val="00150151"/>
    <w:rsid w:val="001503D9"/>
    <w:rsid w:val="00150575"/>
    <w:rsid w:val="00150A28"/>
    <w:rsid w:val="00151012"/>
    <w:rsid w:val="0015141D"/>
    <w:rsid w:val="00151932"/>
    <w:rsid w:val="00151BDF"/>
    <w:rsid w:val="00151FC8"/>
    <w:rsid w:val="0015210F"/>
    <w:rsid w:val="00152163"/>
    <w:rsid w:val="001525AB"/>
    <w:rsid w:val="00152828"/>
    <w:rsid w:val="00152A45"/>
    <w:rsid w:val="0015370B"/>
    <w:rsid w:val="0015379B"/>
    <w:rsid w:val="00154121"/>
    <w:rsid w:val="00154C16"/>
    <w:rsid w:val="001551F1"/>
    <w:rsid w:val="0015568B"/>
    <w:rsid w:val="001556BF"/>
    <w:rsid w:val="00155A5C"/>
    <w:rsid w:val="00156A7C"/>
    <w:rsid w:val="00156E51"/>
    <w:rsid w:val="00157733"/>
    <w:rsid w:val="00160078"/>
    <w:rsid w:val="0016017C"/>
    <w:rsid w:val="00160901"/>
    <w:rsid w:val="00160D51"/>
    <w:rsid w:val="0016129F"/>
    <w:rsid w:val="001624C0"/>
    <w:rsid w:val="001629C6"/>
    <w:rsid w:val="00162F86"/>
    <w:rsid w:val="0016321A"/>
    <w:rsid w:val="00163298"/>
    <w:rsid w:val="00163358"/>
    <w:rsid w:val="001638FC"/>
    <w:rsid w:val="00163A74"/>
    <w:rsid w:val="001641BA"/>
    <w:rsid w:val="00164FD1"/>
    <w:rsid w:val="0016500B"/>
    <w:rsid w:val="00165BF3"/>
    <w:rsid w:val="001665C1"/>
    <w:rsid w:val="0016695E"/>
    <w:rsid w:val="00166E12"/>
    <w:rsid w:val="0016714F"/>
    <w:rsid w:val="00167778"/>
    <w:rsid w:val="00167875"/>
    <w:rsid w:val="001678E3"/>
    <w:rsid w:val="00167E0D"/>
    <w:rsid w:val="00167F1C"/>
    <w:rsid w:val="0017016F"/>
    <w:rsid w:val="00170291"/>
    <w:rsid w:val="00170AEA"/>
    <w:rsid w:val="001711B3"/>
    <w:rsid w:val="0017144F"/>
    <w:rsid w:val="00171859"/>
    <w:rsid w:val="00171914"/>
    <w:rsid w:val="00171C08"/>
    <w:rsid w:val="00172076"/>
    <w:rsid w:val="00172B1B"/>
    <w:rsid w:val="00173258"/>
    <w:rsid w:val="0017397C"/>
    <w:rsid w:val="00174506"/>
    <w:rsid w:val="00175361"/>
    <w:rsid w:val="00175761"/>
    <w:rsid w:val="00175A34"/>
    <w:rsid w:val="00175C9F"/>
    <w:rsid w:val="00175F6D"/>
    <w:rsid w:val="00176653"/>
    <w:rsid w:val="001767E8"/>
    <w:rsid w:val="001768B1"/>
    <w:rsid w:val="00176E86"/>
    <w:rsid w:val="001770AD"/>
    <w:rsid w:val="00177194"/>
    <w:rsid w:val="00177DFD"/>
    <w:rsid w:val="001800EF"/>
    <w:rsid w:val="0018023E"/>
    <w:rsid w:val="0018078E"/>
    <w:rsid w:val="001809E9"/>
    <w:rsid w:val="00180B66"/>
    <w:rsid w:val="00180D68"/>
    <w:rsid w:val="0018128C"/>
    <w:rsid w:val="001817DA"/>
    <w:rsid w:val="001819A1"/>
    <w:rsid w:val="00181A57"/>
    <w:rsid w:val="00181EA0"/>
    <w:rsid w:val="001828BA"/>
    <w:rsid w:val="00182F47"/>
    <w:rsid w:val="00183504"/>
    <w:rsid w:val="00183D95"/>
    <w:rsid w:val="00183F66"/>
    <w:rsid w:val="001843BF"/>
    <w:rsid w:val="001843E7"/>
    <w:rsid w:val="001846A1"/>
    <w:rsid w:val="0018494C"/>
    <w:rsid w:val="00184C1B"/>
    <w:rsid w:val="00184C23"/>
    <w:rsid w:val="00184F15"/>
    <w:rsid w:val="00185000"/>
    <w:rsid w:val="001854F5"/>
    <w:rsid w:val="001857B1"/>
    <w:rsid w:val="00185C22"/>
    <w:rsid w:val="00186010"/>
    <w:rsid w:val="001864E4"/>
    <w:rsid w:val="00186639"/>
    <w:rsid w:val="00186B35"/>
    <w:rsid w:val="00186BD6"/>
    <w:rsid w:val="0018767C"/>
    <w:rsid w:val="00187DEF"/>
    <w:rsid w:val="00187F0F"/>
    <w:rsid w:val="00187F5D"/>
    <w:rsid w:val="001909BE"/>
    <w:rsid w:val="0019196A"/>
    <w:rsid w:val="00191D68"/>
    <w:rsid w:val="00191FA6"/>
    <w:rsid w:val="0019372F"/>
    <w:rsid w:val="00194166"/>
    <w:rsid w:val="001949E8"/>
    <w:rsid w:val="00194AAC"/>
    <w:rsid w:val="001951CB"/>
    <w:rsid w:val="0019531F"/>
    <w:rsid w:val="00196736"/>
    <w:rsid w:val="00197633"/>
    <w:rsid w:val="001976DF"/>
    <w:rsid w:val="001A01F1"/>
    <w:rsid w:val="001A0322"/>
    <w:rsid w:val="001A0B80"/>
    <w:rsid w:val="001A0BAC"/>
    <w:rsid w:val="001A0E60"/>
    <w:rsid w:val="001A16B0"/>
    <w:rsid w:val="001A1BB2"/>
    <w:rsid w:val="001A1ECB"/>
    <w:rsid w:val="001A2433"/>
    <w:rsid w:val="001A25C3"/>
    <w:rsid w:val="001A2D7A"/>
    <w:rsid w:val="001A34E7"/>
    <w:rsid w:val="001A384B"/>
    <w:rsid w:val="001A3B3B"/>
    <w:rsid w:val="001A3E31"/>
    <w:rsid w:val="001A40D0"/>
    <w:rsid w:val="001A43B0"/>
    <w:rsid w:val="001A449B"/>
    <w:rsid w:val="001A4567"/>
    <w:rsid w:val="001A4F6A"/>
    <w:rsid w:val="001A5671"/>
    <w:rsid w:val="001A56EB"/>
    <w:rsid w:val="001A5715"/>
    <w:rsid w:val="001A57BC"/>
    <w:rsid w:val="001A671E"/>
    <w:rsid w:val="001A7563"/>
    <w:rsid w:val="001A7880"/>
    <w:rsid w:val="001B05E1"/>
    <w:rsid w:val="001B0A44"/>
    <w:rsid w:val="001B102D"/>
    <w:rsid w:val="001B1783"/>
    <w:rsid w:val="001B188A"/>
    <w:rsid w:val="001B1CF8"/>
    <w:rsid w:val="001B31D6"/>
    <w:rsid w:val="001B3289"/>
    <w:rsid w:val="001B3466"/>
    <w:rsid w:val="001B3DEB"/>
    <w:rsid w:val="001B3F04"/>
    <w:rsid w:val="001B41D4"/>
    <w:rsid w:val="001B442F"/>
    <w:rsid w:val="001B5126"/>
    <w:rsid w:val="001B529B"/>
    <w:rsid w:val="001B5CCD"/>
    <w:rsid w:val="001B5EBC"/>
    <w:rsid w:val="001B60FE"/>
    <w:rsid w:val="001B667D"/>
    <w:rsid w:val="001B68E2"/>
    <w:rsid w:val="001B7B92"/>
    <w:rsid w:val="001B7CE7"/>
    <w:rsid w:val="001B7E7F"/>
    <w:rsid w:val="001C0097"/>
    <w:rsid w:val="001C07E0"/>
    <w:rsid w:val="001C0B66"/>
    <w:rsid w:val="001C0D4B"/>
    <w:rsid w:val="001C0F43"/>
    <w:rsid w:val="001C12C8"/>
    <w:rsid w:val="001C1571"/>
    <w:rsid w:val="001C1DE6"/>
    <w:rsid w:val="001C1E46"/>
    <w:rsid w:val="001C2788"/>
    <w:rsid w:val="001C28AB"/>
    <w:rsid w:val="001C2C34"/>
    <w:rsid w:val="001C35B4"/>
    <w:rsid w:val="001C3A18"/>
    <w:rsid w:val="001C3DE9"/>
    <w:rsid w:val="001C4450"/>
    <w:rsid w:val="001C4A9A"/>
    <w:rsid w:val="001C4ED4"/>
    <w:rsid w:val="001C57D2"/>
    <w:rsid w:val="001C59E9"/>
    <w:rsid w:val="001C5BF6"/>
    <w:rsid w:val="001C5C4C"/>
    <w:rsid w:val="001C5D62"/>
    <w:rsid w:val="001C5EE9"/>
    <w:rsid w:val="001C61D8"/>
    <w:rsid w:val="001C753B"/>
    <w:rsid w:val="001C7D2B"/>
    <w:rsid w:val="001D014C"/>
    <w:rsid w:val="001D084D"/>
    <w:rsid w:val="001D1013"/>
    <w:rsid w:val="001D1100"/>
    <w:rsid w:val="001D12F4"/>
    <w:rsid w:val="001D1B97"/>
    <w:rsid w:val="001D242B"/>
    <w:rsid w:val="001D2725"/>
    <w:rsid w:val="001D3036"/>
    <w:rsid w:val="001D32AE"/>
    <w:rsid w:val="001D34DF"/>
    <w:rsid w:val="001D3805"/>
    <w:rsid w:val="001D382A"/>
    <w:rsid w:val="001D3D4D"/>
    <w:rsid w:val="001D3ED3"/>
    <w:rsid w:val="001D52C4"/>
    <w:rsid w:val="001D5486"/>
    <w:rsid w:val="001D61A4"/>
    <w:rsid w:val="001D63D9"/>
    <w:rsid w:val="001D6478"/>
    <w:rsid w:val="001D677F"/>
    <w:rsid w:val="001D6BF4"/>
    <w:rsid w:val="001D6C64"/>
    <w:rsid w:val="001D7747"/>
    <w:rsid w:val="001D7AE0"/>
    <w:rsid w:val="001D7D6E"/>
    <w:rsid w:val="001E027C"/>
    <w:rsid w:val="001E07C3"/>
    <w:rsid w:val="001E16A8"/>
    <w:rsid w:val="001E19C6"/>
    <w:rsid w:val="001E1D8A"/>
    <w:rsid w:val="001E2D54"/>
    <w:rsid w:val="001E2D62"/>
    <w:rsid w:val="001E3093"/>
    <w:rsid w:val="001E3384"/>
    <w:rsid w:val="001E39CF"/>
    <w:rsid w:val="001E41D8"/>
    <w:rsid w:val="001E4B36"/>
    <w:rsid w:val="001E5084"/>
    <w:rsid w:val="001E5588"/>
    <w:rsid w:val="001E5A08"/>
    <w:rsid w:val="001E6277"/>
    <w:rsid w:val="001E6372"/>
    <w:rsid w:val="001E6CF0"/>
    <w:rsid w:val="001E74E1"/>
    <w:rsid w:val="001E774E"/>
    <w:rsid w:val="001F00FB"/>
    <w:rsid w:val="001F0702"/>
    <w:rsid w:val="001F11D8"/>
    <w:rsid w:val="001F12FC"/>
    <w:rsid w:val="001F19E9"/>
    <w:rsid w:val="001F19FA"/>
    <w:rsid w:val="001F1E05"/>
    <w:rsid w:val="001F1F66"/>
    <w:rsid w:val="001F1F7B"/>
    <w:rsid w:val="001F29D2"/>
    <w:rsid w:val="001F3201"/>
    <w:rsid w:val="001F3346"/>
    <w:rsid w:val="001F3842"/>
    <w:rsid w:val="001F39BA"/>
    <w:rsid w:val="001F3B80"/>
    <w:rsid w:val="001F3FE9"/>
    <w:rsid w:val="001F4ACC"/>
    <w:rsid w:val="001F50C0"/>
    <w:rsid w:val="001F511A"/>
    <w:rsid w:val="001F519A"/>
    <w:rsid w:val="001F5ABC"/>
    <w:rsid w:val="001F69B7"/>
    <w:rsid w:val="001F6C48"/>
    <w:rsid w:val="001F6C85"/>
    <w:rsid w:val="001F7088"/>
    <w:rsid w:val="001F773D"/>
    <w:rsid w:val="0020038E"/>
    <w:rsid w:val="002008A6"/>
    <w:rsid w:val="00200914"/>
    <w:rsid w:val="00200C6D"/>
    <w:rsid w:val="00200CE6"/>
    <w:rsid w:val="002015EA"/>
    <w:rsid w:val="00201D58"/>
    <w:rsid w:val="00201FD8"/>
    <w:rsid w:val="002020EE"/>
    <w:rsid w:val="00202447"/>
    <w:rsid w:val="00202BF6"/>
    <w:rsid w:val="00202C4B"/>
    <w:rsid w:val="00202C59"/>
    <w:rsid w:val="0020309B"/>
    <w:rsid w:val="00203952"/>
    <w:rsid w:val="00203F28"/>
    <w:rsid w:val="002041E6"/>
    <w:rsid w:val="002043FC"/>
    <w:rsid w:val="00204A23"/>
    <w:rsid w:val="00204B26"/>
    <w:rsid w:val="00205038"/>
    <w:rsid w:val="002051CC"/>
    <w:rsid w:val="0020539E"/>
    <w:rsid w:val="00205A88"/>
    <w:rsid w:val="00205BF6"/>
    <w:rsid w:val="00206939"/>
    <w:rsid w:val="00206A9B"/>
    <w:rsid w:val="0020725D"/>
    <w:rsid w:val="0020731D"/>
    <w:rsid w:val="00207C2E"/>
    <w:rsid w:val="002104DC"/>
    <w:rsid w:val="00211984"/>
    <w:rsid w:val="00211C0F"/>
    <w:rsid w:val="002120D2"/>
    <w:rsid w:val="00212185"/>
    <w:rsid w:val="00212CB4"/>
    <w:rsid w:val="00212F03"/>
    <w:rsid w:val="00213960"/>
    <w:rsid w:val="00214004"/>
    <w:rsid w:val="002143B5"/>
    <w:rsid w:val="0021485B"/>
    <w:rsid w:val="00214C51"/>
    <w:rsid w:val="00215DE6"/>
    <w:rsid w:val="002161A3"/>
    <w:rsid w:val="002164F4"/>
    <w:rsid w:val="00216896"/>
    <w:rsid w:val="002169B5"/>
    <w:rsid w:val="002173D4"/>
    <w:rsid w:val="0021746A"/>
    <w:rsid w:val="0021782D"/>
    <w:rsid w:val="00217AF0"/>
    <w:rsid w:val="00217F31"/>
    <w:rsid w:val="00220B8F"/>
    <w:rsid w:val="00221958"/>
    <w:rsid w:val="00221B8C"/>
    <w:rsid w:val="00221BD5"/>
    <w:rsid w:val="00221F18"/>
    <w:rsid w:val="00221FCE"/>
    <w:rsid w:val="00222ABC"/>
    <w:rsid w:val="00222C8B"/>
    <w:rsid w:val="0022331B"/>
    <w:rsid w:val="0022397E"/>
    <w:rsid w:val="00223A31"/>
    <w:rsid w:val="00223E35"/>
    <w:rsid w:val="002245F9"/>
    <w:rsid w:val="00224A56"/>
    <w:rsid w:val="00224D57"/>
    <w:rsid w:val="00224EFA"/>
    <w:rsid w:val="00225154"/>
    <w:rsid w:val="00225409"/>
    <w:rsid w:val="002255F2"/>
    <w:rsid w:val="0022584C"/>
    <w:rsid w:val="00225C75"/>
    <w:rsid w:val="00226512"/>
    <w:rsid w:val="00226C1A"/>
    <w:rsid w:val="00226C55"/>
    <w:rsid w:val="00227982"/>
    <w:rsid w:val="00230614"/>
    <w:rsid w:val="00230802"/>
    <w:rsid w:val="00230B02"/>
    <w:rsid w:val="00231331"/>
    <w:rsid w:val="0023192D"/>
    <w:rsid w:val="00231A0D"/>
    <w:rsid w:val="00231C26"/>
    <w:rsid w:val="0023328A"/>
    <w:rsid w:val="002346D4"/>
    <w:rsid w:val="0023478C"/>
    <w:rsid w:val="00234EC4"/>
    <w:rsid w:val="00234FB4"/>
    <w:rsid w:val="00235C8D"/>
    <w:rsid w:val="00236C6F"/>
    <w:rsid w:val="00236FA7"/>
    <w:rsid w:val="002374E5"/>
    <w:rsid w:val="0023773E"/>
    <w:rsid w:val="002405A7"/>
    <w:rsid w:val="00240CD8"/>
    <w:rsid w:val="00241260"/>
    <w:rsid w:val="00241930"/>
    <w:rsid w:val="00242037"/>
    <w:rsid w:val="00242158"/>
    <w:rsid w:val="0024286A"/>
    <w:rsid w:val="0024350E"/>
    <w:rsid w:val="00243E5B"/>
    <w:rsid w:val="00243FC2"/>
    <w:rsid w:val="0024484E"/>
    <w:rsid w:val="00244AB9"/>
    <w:rsid w:val="0024519B"/>
    <w:rsid w:val="00245707"/>
    <w:rsid w:val="0024599A"/>
    <w:rsid w:val="002461AA"/>
    <w:rsid w:val="00247544"/>
    <w:rsid w:val="0024786F"/>
    <w:rsid w:val="002478F3"/>
    <w:rsid w:val="00247BE4"/>
    <w:rsid w:val="00247D25"/>
    <w:rsid w:val="00247D7A"/>
    <w:rsid w:val="002503E1"/>
    <w:rsid w:val="002506F6"/>
    <w:rsid w:val="00250BA3"/>
    <w:rsid w:val="00250F40"/>
    <w:rsid w:val="0025130D"/>
    <w:rsid w:val="002514A1"/>
    <w:rsid w:val="00251764"/>
    <w:rsid w:val="00251C2A"/>
    <w:rsid w:val="00251DD7"/>
    <w:rsid w:val="00251EE0"/>
    <w:rsid w:val="002527C5"/>
    <w:rsid w:val="00252916"/>
    <w:rsid w:val="00252B48"/>
    <w:rsid w:val="002535DC"/>
    <w:rsid w:val="00253B7F"/>
    <w:rsid w:val="00253BA2"/>
    <w:rsid w:val="00253DD1"/>
    <w:rsid w:val="0025429B"/>
    <w:rsid w:val="00254CF3"/>
    <w:rsid w:val="002556E1"/>
    <w:rsid w:val="00255BA9"/>
    <w:rsid w:val="00255CFE"/>
    <w:rsid w:val="00255D23"/>
    <w:rsid w:val="00255E98"/>
    <w:rsid w:val="00255FE0"/>
    <w:rsid w:val="002564F7"/>
    <w:rsid w:val="002566F6"/>
    <w:rsid w:val="00256FFF"/>
    <w:rsid w:val="0025706C"/>
    <w:rsid w:val="0025741D"/>
    <w:rsid w:val="002602F9"/>
    <w:rsid w:val="002603F7"/>
    <w:rsid w:val="0026116A"/>
    <w:rsid w:val="0026134F"/>
    <w:rsid w:val="00262151"/>
    <w:rsid w:val="0026225E"/>
    <w:rsid w:val="00262377"/>
    <w:rsid w:val="00262437"/>
    <w:rsid w:val="00262676"/>
    <w:rsid w:val="00262B1A"/>
    <w:rsid w:val="002632A8"/>
    <w:rsid w:val="00263755"/>
    <w:rsid w:val="00263774"/>
    <w:rsid w:val="00263945"/>
    <w:rsid w:val="00263ABF"/>
    <w:rsid w:val="00263B2F"/>
    <w:rsid w:val="0026432E"/>
    <w:rsid w:val="002648D8"/>
    <w:rsid w:val="00264A2A"/>
    <w:rsid w:val="00264B44"/>
    <w:rsid w:val="00264C55"/>
    <w:rsid w:val="00264D2A"/>
    <w:rsid w:val="0026527A"/>
    <w:rsid w:val="00265761"/>
    <w:rsid w:val="002657B3"/>
    <w:rsid w:val="00265DA7"/>
    <w:rsid w:val="00265EE8"/>
    <w:rsid w:val="00265FEC"/>
    <w:rsid w:val="00266220"/>
    <w:rsid w:val="00266435"/>
    <w:rsid w:val="002664E4"/>
    <w:rsid w:val="002666CE"/>
    <w:rsid w:val="00266D0D"/>
    <w:rsid w:val="002677D0"/>
    <w:rsid w:val="00267F51"/>
    <w:rsid w:val="00267F87"/>
    <w:rsid w:val="00267F92"/>
    <w:rsid w:val="002700B1"/>
    <w:rsid w:val="00270439"/>
    <w:rsid w:val="002709E2"/>
    <w:rsid w:val="00270A37"/>
    <w:rsid w:val="00270B3A"/>
    <w:rsid w:val="00270EA0"/>
    <w:rsid w:val="0027115C"/>
    <w:rsid w:val="00271B20"/>
    <w:rsid w:val="00271D6C"/>
    <w:rsid w:val="002727E7"/>
    <w:rsid w:val="00272D81"/>
    <w:rsid w:val="00272F7E"/>
    <w:rsid w:val="00273246"/>
    <w:rsid w:val="00273490"/>
    <w:rsid w:val="002746A0"/>
    <w:rsid w:val="00274832"/>
    <w:rsid w:val="002748B5"/>
    <w:rsid w:val="00274B08"/>
    <w:rsid w:val="00274E8D"/>
    <w:rsid w:val="0027507A"/>
    <w:rsid w:val="0027561C"/>
    <w:rsid w:val="00275EA1"/>
    <w:rsid w:val="002762F8"/>
    <w:rsid w:val="00276B07"/>
    <w:rsid w:val="00277670"/>
    <w:rsid w:val="002776BE"/>
    <w:rsid w:val="00280092"/>
    <w:rsid w:val="00280BDC"/>
    <w:rsid w:val="00281B66"/>
    <w:rsid w:val="00281D40"/>
    <w:rsid w:val="00282070"/>
    <w:rsid w:val="0028267B"/>
    <w:rsid w:val="0028276B"/>
    <w:rsid w:val="002828F7"/>
    <w:rsid w:val="00282C4C"/>
    <w:rsid w:val="00283414"/>
    <w:rsid w:val="0028367A"/>
    <w:rsid w:val="00283780"/>
    <w:rsid w:val="002838D1"/>
    <w:rsid w:val="00283FA4"/>
    <w:rsid w:val="0028425E"/>
    <w:rsid w:val="002844A2"/>
    <w:rsid w:val="00284A60"/>
    <w:rsid w:val="00284BEB"/>
    <w:rsid w:val="00284D43"/>
    <w:rsid w:val="0028583C"/>
    <w:rsid w:val="00285878"/>
    <w:rsid w:val="00286654"/>
    <w:rsid w:val="002866C6"/>
    <w:rsid w:val="00286911"/>
    <w:rsid w:val="002879BA"/>
    <w:rsid w:val="00287AD2"/>
    <w:rsid w:val="00287DD4"/>
    <w:rsid w:val="0029008B"/>
    <w:rsid w:val="0029083E"/>
    <w:rsid w:val="00290A49"/>
    <w:rsid w:val="00291288"/>
    <w:rsid w:val="0029183E"/>
    <w:rsid w:val="00291A29"/>
    <w:rsid w:val="0029213A"/>
    <w:rsid w:val="002930BE"/>
    <w:rsid w:val="002936C5"/>
    <w:rsid w:val="00293790"/>
    <w:rsid w:val="00293C44"/>
    <w:rsid w:val="00293EB4"/>
    <w:rsid w:val="0029410B"/>
    <w:rsid w:val="0029504A"/>
    <w:rsid w:val="002955DF"/>
    <w:rsid w:val="002957B0"/>
    <w:rsid w:val="002965CA"/>
    <w:rsid w:val="002968A4"/>
    <w:rsid w:val="002968A9"/>
    <w:rsid w:val="0029691D"/>
    <w:rsid w:val="00296C07"/>
    <w:rsid w:val="002970AD"/>
    <w:rsid w:val="00297869"/>
    <w:rsid w:val="00297DA0"/>
    <w:rsid w:val="002A040F"/>
    <w:rsid w:val="002A0512"/>
    <w:rsid w:val="002A052B"/>
    <w:rsid w:val="002A0714"/>
    <w:rsid w:val="002A0E08"/>
    <w:rsid w:val="002A14D5"/>
    <w:rsid w:val="002A1F51"/>
    <w:rsid w:val="002A2B36"/>
    <w:rsid w:val="002A2FCA"/>
    <w:rsid w:val="002A300D"/>
    <w:rsid w:val="002A34A4"/>
    <w:rsid w:val="002A3B9C"/>
    <w:rsid w:val="002A3D73"/>
    <w:rsid w:val="002A4352"/>
    <w:rsid w:val="002A49EF"/>
    <w:rsid w:val="002A4BFE"/>
    <w:rsid w:val="002A525D"/>
    <w:rsid w:val="002A5BED"/>
    <w:rsid w:val="002A64F1"/>
    <w:rsid w:val="002A653A"/>
    <w:rsid w:val="002A6639"/>
    <w:rsid w:val="002A6E03"/>
    <w:rsid w:val="002A7179"/>
    <w:rsid w:val="002A761B"/>
    <w:rsid w:val="002A780F"/>
    <w:rsid w:val="002A7915"/>
    <w:rsid w:val="002A7CD4"/>
    <w:rsid w:val="002B0134"/>
    <w:rsid w:val="002B0173"/>
    <w:rsid w:val="002B076A"/>
    <w:rsid w:val="002B08C9"/>
    <w:rsid w:val="002B0C73"/>
    <w:rsid w:val="002B0E6C"/>
    <w:rsid w:val="002B1378"/>
    <w:rsid w:val="002B1B13"/>
    <w:rsid w:val="002B2515"/>
    <w:rsid w:val="002B2F55"/>
    <w:rsid w:val="002B3062"/>
    <w:rsid w:val="002B32D8"/>
    <w:rsid w:val="002B37F1"/>
    <w:rsid w:val="002B3F16"/>
    <w:rsid w:val="002B4ADA"/>
    <w:rsid w:val="002B4D55"/>
    <w:rsid w:val="002B5BFD"/>
    <w:rsid w:val="002B5E79"/>
    <w:rsid w:val="002B653E"/>
    <w:rsid w:val="002B7013"/>
    <w:rsid w:val="002B7E24"/>
    <w:rsid w:val="002C0115"/>
    <w:rsid w:val="002C029A"/>
    <w:rsid w:val="002C0553"/>
    <w:rsid w:val="002C0EDF"/>
    <w:rsid w:val="002C0FA3"/>
    <w:rsid w:val="002C10E0"/>
    <w:rsid w:val="002C2019"/>
    <w:rsid w:val="002C2B09"/>
    <w:rsid w:val="002C33CB"/>
    <w:rsid w:val="002C3F27"/>
    <w:rsid w:val="002C44BC"/>
    <w:rsid w:val="002C4B19"/>
    <w:rsid w:val="002C4D62"/>
    <w:rsid w:val="002C58AF"/>
    <w:rsid w:val="002C5A92"/>
    <w:rsid w:val="002C5B56"/>
    <w:rsid w:val="002C5DA2"/>
    <w:rsid w:val="002C61A9"/>
    <w:rsid w:val="002C708A"/>
    <w:rsid w:val="002C70E5"/>
    <w:rsid w:val="002C7426"/>
    <w:rsid w:val="002C7B02"/>
    <w:rsid w:val="002C7B28"/>
    <w:rsid w:val="002C7C32"/>
    <w:rsid w:val="002C7FB1"/>
    <w:rsid w:val="002D07F7"/>
    <w:rsid w:val="002D0B51"/>
    <w:rsid w:val="002D0B65"/>
    <w:rsid w:val="002D14B7"/>
    <w:rsid w:val="002D1C8F"/>
    <w:rsid w:val="002D205C"/>
    <w:rsid w:val="002D3A06"/>
    <w:rsid w:val="002D421F"/>
    <w:rsid w:val="002D42C7"/>
    <w:rsid w:val="002D4548"/>
    <w:rsid w:val="002D48F7"/>
    <w:rsid w:val="002D4DEF"/>
    <w:rsid w:val="002D5325"/>
    <w:rsid w:val="002D5A32"/>
    <w:rsid w:val="002D5DC8"/>
    <w:rsid w:val="002D668A"/>
    <w:rsid w:val="002D6B0A"/>
    <w:rsid w:val="002D752E"/>
    <w:rsid w:val="002D77F0"/>
    <w:rsid w:val="002E03FA"/>
    <w:rsid w:val="002E07B9"/>
    <w:rsid w:val="002E0DB3"/>
    <w:rsid w:val="002E1107"/>
    <w:rsid w:val="002E2932"/>
    <w:rsid w:val="002E2A9C"/>
    <w:rsid w:val="002E3451"/>
    <w:rsid w:val="002E39D2"/>
    <w:rsid w:val="002E45C9"/>
    <w:rsid w:val="002E4A8C"/>
    <w:rsid w:val="002E543C"/>
    <w:rsid w:val="002E564F"/>
    <w:rsid w:val="002E565C"/>
    <w:rsid w:val="002E5CFB"/>
    <w:rsid w:val="002E5F03"/>
    <w:rsid w:val="002E6134"/>
    <w:rsid w:val="002E66DD"/>
    <w:rsid w:val="002E672C"/>
    <w:rsid w:val="002E683C"/>
    <w:rsid w:val="002E6E9D"/>
    <w:rsid w:val="002E7636"/>
    <w:rsid w:val="002E7B38"/>
    <w:rsid w:val="002E7E0C"/>
    <w:rsid w:val="002F035E"/>
    <w:rsid w:val="002F0E30"/>
    <w:rsid w:val="002F0F5F"/>
    <w:rsid w:val="002F1E61"/>
    <w:rsid w:val="002F240B"/>
    <w:rsid w:val="002F2706"/>
    <w:rsid w:val="002F2E58"/>
    <w:rsid w:val="002F30CB"/>
    <w:rsid w:val="002F31E2"/>
    <w:rsid w:val="002F3313"/>
    <w:rsid w:val="002F35C1"/>
    <w:rsid w:val="002F3ADD"/>
    <w:rsid w:val="002F41C0"/>
    <w:rsid w:val="002F4356"/>
    <w:rsid w:val="002F435E"/>
    <w:rsid w:val="002F4584"/>
    <w:rsid w:val="002F4588"/>
    <w:rsid w:val="002F4B47"/>
    <w:rsid w:val="002F5349"/>
    <w:rsid w:val="002F559C"/>
    <w:rsid w:val="002F5C34"/>
    <w:rsid w:val="002F6505"/>
    <w:rsid w:val="002F68B1"/>
    <w:rsid w:val="002F68E5"/>
    <w:rsid w:val="002F6BD9"/>
    <w:rsid w:val="003004CD"/>
    <w:rsid w:val="0030058D"/>
    <w:rsid w:val="00300C5C"/>
    <w:rsid w:val="00301136"/>
    <w:rsid w:val="00301AF2"/>
    <w:rsid w:val="003022B4"/>
    <w:rsid w:val="003026BD"/>
    <w:rsid w:val="0030272B"/>
    <w:rsid w:val="00303695"/>
    <w:rsid w:val="003042B8"/>
    <w:rsid w:val="003046CB"/>
    <w:rsid w:val="0030579A"/>
    <w:rsid w:val="00305AF9"/>
    <w:rsid w:val="00305E1E"/>
    <w:rsid w:val="00306D5F"/>
    <w:rsid w:val="00307344"/>
    <w:rsid w:val="003074A5"/>
    <w:rsid w:val="0030785E"/>
    <w:rsid w:val="003078CA"/>
    <w:rsid w:val="0031070F"/>
    <w:rsid w:val="00310A7B"/>
    <w:rsid w:val="00310CFE"/>
    <w:rsid w:val="00310E42"/>
    <w:rsid w:val="00311937"/>
    <w:rsid w:val="0031195B"/>
    <w:rsid w:val="003119FB"/>
    <w:rsid w:val="00311F0E"/>
    <w:rsid w:val="0031218B"/>
    <w:rsid w:val="00312427"/>
    <w:rsid w:val="00312494"/>
    <w:rsid w:val="003133FD"/>
    <w:rsid w:val="003134D3"/>
    <w:rsid w:val="00313F4C"/>
    <w:rsid w:val="00314248"/>
    <w:rsid w:val="003142A0"/>
    <w:rsid w:val="003146B3"/>
    <w:rsid w:val="00315652"/>
    <w:rsid w:val="0031582E"/>
    <w:rsid w:val="003159DE"/>
    <w:rsid w:val="00315A3E"/>
    <w:rsid w:val="0031674F"/>
    <w:rsid w:val="00316C01"/>
    <w:rsid w:val="003179F3"/>
    <w:rsid w:val="00317B18"/>
    <w:rsid w:val="00317EDD"/>
    <w:rsid w:val="0032047F"/>
    <w:rsid w:val="0032048B"/>
    <w:rsid w:val="003205F4"/>
    <w:rsid w:val="00320C78"/>
    <w:rsid w:val="00320EE8"/>
    <w:rsid w:val="003210A7"/>
    <w:rsid w:val="00321738"/>
    <w:rsid w:val="00321D5D"/>
    <w:rsid w:val="00322692"/>
    <w:rsid w:val="00322DE8"/>
    <w:rsid w:val="00323315"/>
    <w:rsid w:val="003237DE"/>
    <w:rsid w:val="00323F17"/>
    <w:rsid w:val="0032444D"/>
    <w:rsid w:val="00324847"/>
    <w:rsid w:val="00325218"/>
    <w:rsid w:val="003263BE"/>
    <w:rsid w:val="003263CC"/>
    <w:rsid w:val="003264DD"/>
    <w:rsid w:val="0032669E"/>
    <w:rsid w:val="00326FFB"/>
    <w:rsid w:val="0032747D"/>
    <w:rsid w:val="0032762B"/>
    <w:rsid w:val="00327670"/>
    <w:rsid w:val="0033020C"/>
    <w:rsid w:val="00330253"/>
    <w:rsid w:val="00330376"/>
    <w:rsid w:val="003309FF"/>
    <w:rsid w:val="00330ADC"/>
    <w:rsid w:val="00330EE4"/>
    <w:rsid w:val="003311E6"/>
    <w:rsid w:val="003317B8"/>
    <w:rsid w:val="003322E7"/>
    <w:rsid w:val="0033252B"/>
    <w:rsid w:val="003337C1"/>
    <w:rsid w:val="00333889"/>
    <w:rsid w:val="00333CD5"/>
    <w:rsid w:val="003341AB"/>
    <w:rsid w:val="00334211"/>
    <w:rsid w:val="003342E1"/>
    <w:rsid w:val="003354A5"/>
    <w:rsid w:val="00335894"/>
    <w:rsid w:val="00336030"/>
    <w:rsid w:val="00336384"/>
    <w:rsid w:val="00336AC9"/>
    <w:rsid w:val="00336D83"/>
    <w:rsid w:val="003404D1"/>
    <w:rsid w:val="003404E7"/>
    <w:rsid w:val="00340955"/>
    <w:rsid w:val="00340A1F"/>
    <w:rsid w:val="00340E36"/>
    <w:rsid w:val="00341061"/>
    <w:rsid w:val="0034111C"/>
    <w:rsid w:val="0034139F"/>
    <w:rsid w:val="00342036"/>
    <w:rsid w:val="003421E1"/>
    <w:rsid w:val="0034222C"/>
    <w:rsid w:val="003422DE"/>
    <w:rsid w:val="0034268A"/>
    <w:rsid w:val="0034268F"/>
    <w:rsid w:val="003430C1"/>
    <w:rsid w:val="0034318B"/>
    <w:rsid w:val="0034499E"/>
    <w:rsid w:val="00345333"/>
    <w:rsid w:val="003455A1"/>
    <w:rsid w:val="00345D27"/>
    <w:rsid w:val="00345DB0"/>
    <w:rsid w:val="00345F48"/>
    <w:rsid w:val="003464BE"/>
    <w:rsid w:val="00346714"/>
    <w:rsid w:val="00346B95"/>
    <w:rsid w:val="00347407"/>
    <w:rsid w:val="003476F9"/>
    <w:rsid w:val="00347BDF"/>
    <w:rsid w:val="00347BFE"/>
    <w:rsid w:val="00347FCC"/>
    <w:rsid w:val="00350300"/>
    <w:rsid w:val="00352E14"/>
    <w:rsid w:val="00352F39"/>
    <w:rsid w:val="0035302B"/>
    <w:rsid w:val="0035431E"/>
    <w:rsid w:val="0035437C"/>
    <w:rsid w:val="003545FA"/>
    <w:rsid w:val="00354972"/>
    <w:rsid w:val="00354EDD"/>
    <w:rsid w:val="00355192"/>
    <w:rsid w:val="003559F7"/>
    <w:rsid w:val="003562E2"/>
    <w:rsid w:val="0035639A"/>
    <w:rsid w:val="00356B42"/>
    <w:rsid w:val="00356D9A"/>
    <w:rsid w:val="003577BF"/>
    <w:rsid w:val="0036065C"/>
    <w:rsid w:val="00361871"/>
    <w:rsid w:val="0036188A"/>
    <w:rsid w:val="00361BCB"/>
    <w:rsid w:val="00361BD2"/>
    <w:rsid w:val="00361FE6"/>
    <w:rsid w:val="003628C1"/>
    <w:rsid w:val="00362A26"/>
    <w:rsid w:val="00362C21"/>
    <w:rsid w:val="003633C1"/>
    <w:rsid w:val="00363421"/>
    <w:rsid w:val="0036376E"/>
    <w:rsid w:val="00363B1B"/>
    <w:rsid w:val="00363C80"/>
    <w:rsid w:val="00363DC0"/>
    <w:rsid w:val="00364173"/>
    <w:rsid w:val="00364AF0"/>
    <w:rsid w:val="00364B15"/>
    <w:rsid w:val="00365282"/>
    <w:rsid w:val="00365504"/>
    <w:rsid w:val="00365B86"/>
    <w:rsid w:val="00366037"/>
    <w:rsid w:val="003670E8"/>
    <w:rsid w:val="0036762C"/>
    <w:rsid w:val="00367723"/>
    <w:rsid w:val="003679D4"/>
    <w:rsid w:val="00367C20"/>
    <w:rsid w:val="00370442"/>
    <w:rsid w:val="00370A90"/>
    <w:rsid w:val="00370BBA"/>
    <w:rsid w:val="00371B4C"/>
    <w:rsid w:val="00371D72"/>
    <w:rsid w:val="00371EED"/>
    <w:rsid w:val="00372681"/>
    <w:rsid w:val="003726BB"/>
    <w:rsid w:val="00372969"/>
    <w:rsid w:val="003729A9"/>
    <w:rsid w:val="00372D46"/>
    <w:rsid w:val="00372F4C"/>
    <w:rsid w:val="00373B3B"/>
    <w:rsid w:val="00373C0A"/>
    <w:rsid w:val="00374F0F"/>
    <w:rsid w:val="003752A7"/>
    <w:rsid w:val="003756E3"/>
    <w:rsid w:val="00375D33"/>
    <w:rsid w:val="003762AF"/>
    <w:rsid w:val="00376602"/>
    <w:rsid w:val="00376641"/>
    <w:rsid w:val="00376EED"/>
    <w:rsid w:val="00377479"/>
    <w:rsid w:val="00377744"/>
    <w:rsid w:val="00377C65"/>
    <w:rsid w:val="003800E3"/>
    <w:rsid w:val="00380606"/>
    <w:rsid w:val="0038097E"/>
    <w:rsid w:val="003811A2"/>
    <w:rsid w:val="00381E18"/>
    <w:rsid w:val="003821F4"/>
    <w:rsid w:val="00382DC4"/>
    <w:rsid w:val="00383292"/>
    <w:rsid w:val="00383A74"/>
    <w:rsid w:val="00384B62"/>
    <w:rsid w:val="00384C82"/>
    <w:rsid w:val="00384DDD"/>
    <w:rsid w:val="003856C8"/>
    <w:rsid w:val="00385DF7"/>
    <w:rsid w:val="00386071"/>
    <w:rsid w:val="00386076"/>
    <w:rsid w:val="003861EE"/>
    <w:rsid w:val="0038642C"/>
    <w:rsid w:val="00387408"/>
    <w:rsid w:val="0038759F"/>
    <w:rsid w:val="00387655"/>
    <w:rsid w:val="00387D15"/>
    <w:rsid w:val="00387D9A"/>
    <w:rsid w:val="00387F93"/>
    <w:rsid w:val="00390875"/>
    <w:rsid w:val="003909BE"/>
    <w:rsid w:val="00390E68"/>
    <w:rsid w:val="00391708"/>
    <w:rsid w:val="003917C6"/>
    <w:rsid w:val="00391AF7"/>
    <w:rsid w:val="00391FFB"/>
    <w:rsid w:val="003925D4"/>
    <w:rsid w:val="00393981"/>
    <w:rsid w:val="00393A57"/>
    <w:rsid w:val="00393F89"/>
    <w:rsid w:val="00393FBA"/>
    <w:rsid w:val="00394166"/>
    <w:rsid w:val="0039486F"/>
    <w:rsid w:val="00394A43"/>
    <w:rsid w:val="00394E00"/>
    <w:rsid w:val="00395418"/>
    <w:rsid w:val="0039573C"/>
    <w:rsid w:val="003967CE"/>
    <w:rsid w:val="003969C3"/>
    <w:rsid w:val="00397357"/>
    <w:rsid w:val="003973A2"/>
    <w:rsid w:val="00397FAD"/>
    <w:rsid w:val="003A0744"/>
    <w:rsid w:val="003A09F7"/>
    <w:rsid w:val="003A1ACA"/>
    <w:rsid w:val="003A2612"/>
    <w:rsid w:val="003A3088"/>
    <w:rsid w:val="003A3501"/>
    <w:rsid w:val="003A3578"/>
    <w:rsid w:val="003A3B07"/>
    <w:rsid w:val="003A423C"/>
    <w:rsid w:val="003A4339"/>
    <w:rsid w:val="003A5005"/>
    <w:rsid w:val="003A5AAC"/>
    <w:rsid w:val="003A5C94"/>
    <w:rsid w:val="003A5CDD"/>
    <w:rsid w:val="003A70F1"/>
    <w:rsid w:val="003A733D"/>
    <w:rsid w:val="003A782A"/>
    <w:rsid w:val="003A7F24"/>
    <w:rsid w:val="003B002C"/>
    <w:rsid w:val="003B0EF4"/>
    <w:rsid w:val="003B0FCF"/>
    <w:rsid w:val="003B143F"/>
    <w:rsid w:val="003B1949"/>
    <w:rsid w:val="003B197B"/>
    <w:rsid w:val="003B19DA"/>
    <w:rsid w:val="003B1A5F"/>
    <w:rsid w:val="003B1CFA"/>
    <w:rsid w:val="003B1DAB"/>
    <w:rsid w:val="003B27EF"/>
    <w:rsid w:val="003B29A0"/>
    <w:rsid w:val="003B2C9E"/>
    <w:rsid w:val="003B2E5E"/>
    <w:rsid w:val="003B35A5"/>
    <w:rsid w:val="003B3960"/>
    <w:rsid w:val="003B3B87"/>
    <w:rsid w:val="003B41FA"/>
    <w:rsid w:val="003B4C0C"/>
    <w:rsid w:val="003B55F3"/>
    <w:rsid w:val="003B594D"/>
    <w:rsid w:val="003B5958"/>
    <w:rsid w:val="003B617B"/>
    <w:rsid w:val="003B6225"/>
    <w:rsid w:val="003B6279"/>
    <w:rsid w:val="003B627E"/>
    <w:rsid w:val="003B6EDD"/>
    <w:rsid w:val="003B720C"/>
    <w:rsid w:val="003B75D5"/>
    <w:rsid w:val="003B76AA"/>
    <w:rsid w:val="003C0564"/>
    <w:rsid w:val="003C075B"/>
    <w:rsid w:val="003C0A41"/>
    <w:rsid w:val="003C0B31"/>
    <w:rsid w:val="003C0F0A"/>
    <w:rsid w:val="003C1520"/>
    <w:rsid w:val="003C16F1"/>
    <w:rsid w:val="003C174F"/>
    <w:rsid w:val="003C19D3"/>
    <w:rsid w:val="003C1C41"/>
    <w:rsid w:val="003C22FC"/>
    <w:rsid w:val="003C2A96"/>
    <w:rsid w:val="003C2C27"/>
    <w:rsid w:val="003C49B4"/>
    <w:rsid w:val="003C4D3C"/>
    <w:rsid w:val="003C4E07"/>
    <w:rsid w:val="003C4E11"/>
    <w:rsid w:val="003C54A7"/>
    <w:rsid w:val="003C5D56"/>
    <w:rsid w:val="003C5FB6"/>
    <w:rsid w:val="003C64ED"/>
    <w:rsid w:val="003C6D82"/>
    <w:rsid w:val="003C712D"/>
    <w:rsid w:val="003C718D"/>
    <w:rsid w:val="003D07C5"/>
    <w:rsid w:val="003D0ECD"/>
    <w:rsid w:val="003D0F77"/>
    <w:rsid w:val="003D1315"/>
    <w:rsid w:val="003D139D"/>
    <w:rsid w:val="003D23AB"/>
    <w:rsid w:val="003D2AD4"/>
    <w:rsid w:val="003D2B71"/>
    <w:rsid w:val="003D307A"/>
    <w:rsid w:val="003D3698"/>
    <w:rsid w:val="003D370D"/>
    <w:rsid w:val="003D3FBA"/>
    <w:rsid w:val="003D4505"/>
    <w:rsid w:val="003D4693"/>
    <w:rsid w:val="003D4C7B"/>
    <w:rsid w:val="003D4F2B"/>
    <w:rsid w:val="003D5DD6"/>
    <w:rsid w:val="003D6AE4"/>
    <w:rsid w:val="003D748D"/>
    <w:rsid w:val="003D7D5A"/>
    <w:rsid w:val="003E06C8"/>
    <w:rsid w:val="003E0C30"/>
    <w:rsid w:val="003E0D6A"/>
    <w:rsid w:val="003E0E1B"/>
    <w:rsid w:val="003E1104"/>
    <w:rsid w:val="003E118D"/>
    <w:rsid w:val="003E168E"/>
    <w:rsid w:val="003E1F09"/>
    <w:rsid w:val="003E214E"/>
    <w:rsid w:val="003E21C5"/>
    <w:rsid w:val="003E256E"/>
    <w:rsid w:val="003E2640"/>
    <w:rsid w:val="003E2998"/>
    <w:rsid w:val="003E36D9"/>
    <w:rsid w:val="003E3881"/>
    <w:rsid w:val="003E38AE"/>
    <w:rsid w:val="003E3906"/>
    <w:rsid w:val="003E39F0"/>
    <w:rsid w:val="003E3A49"/>
    <w:rsid w:val="003E3DBC"/>
    <w:rsid w:val="003E42A9"/>
    <w:rsid w:val="003E462A"/>
    <w:rsid w:val="003E46C5"/>
    <w:rsid w:val="003E5A68"/>
    <w:rsid w:val="003E60C6"/>
    <w:rsid w:val="003E643F"/>
    <w:rsid w:val="003E6492"/>
    <w:rsid w:val="003E67B9"/>
    <w:rsid w:val="003E6DCF"/>
    <w:rsid w:val="003E6DF7"/>
    <w:rsid w:val="003E7118"/>
    <w:rsid w:val="003E7673"/>
    <w:rsid w:val="003E7769"/>
    <w:rsid w:val="003E79FB"/>
    <w:rsid w:val="003E7B30"/>
    <w:rsid w:val="003F0101"/>
    <w:rsid w:val="003F049C"/>
    <w:rsid w:val="003F0CA9"/>
    <w:rsid w:val="003F1360"/>
    <w:rsid w:val="003F150B"/>
    <w:rsid w:val="003F1664"/>
    <w:rsid w:val="003F1D11"/>
    <w:rsid w:val="003F2128"/>
    <w:rsid w:val="003F29C1"/>
    <w:rsid w:val="003F355D"/>
    <w:rsid w:val="003F4002"/>
    <w:rsid w:val="003F41D0"/>
    <w:rsid w:val="003F478F"/>
    <w:rsid w:val="003F4B15"/>
    <w:rsid w:val="003F4B9F"/>
    <w:rsid w:val="003F4BAD"/>
    <w:rsid w:val="003F4F23"/>
    <w:rsid w:val="003F5188"/>
    <w:rsid w:val="003F528D"/>
    <w:rsid w:val="003F5452"/>
    <w:rsid w:val="003F5727"/>
    <w:rsid w:val="003F5FA8"/>
    <w:rsid w:val="003F621B"/>
    <w:rsid w:val="003F6C00"/>
    <w:rsid w:val="003F784A"/>
    <w:rsid w:val="003F7897"/>
    <w:rsid w:val="003F78B8"/>
    <w:rsid w:val="00400305"/>
    <w:rsid w:val="00400BCE"/>
    <w:rsid w:val="004010B2"/>
    <w:rsid w:val="0040135D"/>
    <w:rsid w:val="004018B6"/>
    <w:rsid w:val="004019F7"/>
    <w:rsid w:val="00401D0A"/>
    <w:rsid w:val="00401FBE"/>
    <w:rsid w:val="004021A0"/>
    <w:rsid w:val="004027EC"/>
    <w:rsid w:val="00403440"/>
    <w:rsid w:val="00403F0D"/>
    <w:rsid w:val="004044C1"/>
    <w:rsid w:val="004045CF"/>
    <w:rsid w:val="00404697"/>
    <w:rsid w:val="00404C9E"/>
    <w:rsid w:val="00405815"/>
    <w:rsid w:val="0040587D"/>
    <w:rsid w:val="00405AF8"/>
    <w:rsid w:val="00405E92"/>
    <w:rsid w:val="004064E3"/>
    <w:rsid w:val="004075F8"/>
    <w:rsid w:val="00407D8B"/>
    <w:rsid w:val="00410688"/>
    <w:rsid w:val="004108F5"/>
    <w:rsid w:val="00410AC9"/>
    <w:rsid w:val="004113F3"/>
    <w:rsid w:val="00411F36"/>
    <w:rsid w:val="004120C5"/>
    <w:rsid w:val="00412710"/>
    <w:rsid w:val="00413323"/>
    <w:rsid w:val="004140F4"/>
    <w:rsid w:val="0041466E"/>
    <w:rsid w:val="00414C5A"/>
    <w:rsid w:val="00414C8F"/>
    <w:rsid w:val="00415D21"/>
    <w:rsid w:val="00416143"/>
    <w:rsid w:val="00416473"/>
    <w:rsid w:val="004165C0"/>
    <w:rsid w:val="004165C4"/>
    <w:rsid w:val="004165CD"/>
    <w:rsid w:val="004200DD"/>
    <w:rsid w:val="004205DB"/>
    <w:rsid w:val="00420B78"/>
    <w:rsid w:val="0042192E"/>
    <w:rsid w:val="00422156"/>
    <w:rsid w:val="004223CC"/>
    <w:rsid w:val="00422611"/>
    <w:rsid w:val="00423653"/>
    <w:rsid w:val="004243F1"/>
    <w:rsid w:val="00424751"/>
    <w:rsid w:val="004250A7"/>
    <w:rsid w:val="004251A7"/>
    <w:rsid w:val="004251BF"/>
    <w:rsid w:val="004268E1"/>
    <w:rsid w:val="004269B0"/>
    <w:rsid w:val="00427139"/>
    <w:rsid w:val="004274F0"/>
    <w:rsid w:val="00427CD1"/>
    <w:rsid w:val="00427DEF"/>
    <w:rsid w:val="00427E6C"/>
    <w:rsid w:val="00427F7C"/>
    <w:rsid w:val="004306A0"/>
    <w:rsid w:val="004309BD"/>
    <w:rsid w:val="00430FF4"/>
    <w:rsid w:val="004315CD"/>
    <w:rsid w:val="00431783"/>
    <w:rsid w:val="0043202E"/>
    <w:rsid w:val="004321C7"/>
    <w:rsid w:val="00432574"/>
    <w:rsid w:val="00432692"/>
    <w:rsid w:val="004326D2"/>
    <w:rsid w:val="00432787"/>
    <w:rsid w:val="00433E4A"/>
    <w:rsid w:val="00434088"/>
    <w:rsid w:val="00435189"/>
    <w:rsid w:val="004352A1"/>
    <w:rsid w:val="0043562A"/>
    <w:rsid w:val="00435858"/>
    <w:rsid w:val="00435C35"/>
    <w:rsid w:val="00435E6A"/>
    <w:rsid w:val="00436324"/>
    <w:rsid w:val="00436A89"/>
    <w:rsid w:val="00437575"/>
    <w:rsid w:val="00437762"/>
    <w:rsid w:val="00437F1F"/>
    <w:rsid w:val="00440134"/>
    <w:rsid w:val="0044020F"/>
    <w:rsid w:val="00440707"/>
    <w:rsid w:val="00440FB9"/>
    <w:rsid w:val="0044141A"/>
    <w:rsid w:val="004417A8"/>
    <w:rsid w:val="00442434"/>
    <w:rsid w:val="004424F6"/>
    <w:rsid w:val="00442817"/>
    <w:rsid w:val="0044296C"/>
    <w:rsid w:val="004432D1"/>
    <w:rsid w:val="0044389D"/>
    <w:rsid w:val="00443DBE"/>
    <w:rsid w:val="004443F4"/>
    <w:rsid w:val="004444C5"/>
    <w:rsid w:val="0044454E"/>
    <w:rsid w:val="004446FF"/>
    <w:rsid w:val="00444A57"/>
    <w:rsid w:val="00444B78"/>
    <w:rsid w:val="00444D3F"/>
    <w:rsid w:val="00444DC7"/>
    <w:rsid w:val="00445358"/>
    <w:rsid w:val="004453B4"/>
    <w:rsid w:val="0044572B"/>
    <w:rsid w:val="00446888"/>
    <w:rsid w:val="00447D05"/>
    <w:rsid w:val="00447E7F"/>
    <w:rsid w:val="00447F80"/>
    <w:rsid w:val="00450393"/>
    <w:rsid w:val="00450441"/>
    <w:rsid w:val="00450A09"/>
    <w:rsid w:val="00450ECF"/>
    <w:rsid w:val="00450F2A"/>
    <w:rsid w:val="0045113B"/>
    <w:rsid w:val="00451243"/>
    <w:rsid w:val="00452164"/>
    <w:rsid w:val="00452783"/>
    <w:rsid w:val="004528ED"/>
    <w:rsid w:val="00453FF5"/>
    <w:rsid w:val="00454142"/>
    <w:rsid w:val="0045416D"/>
    <w:rsid w:val="00454241"/>
    <w:rsid w:val="00456117"/>
    <w:rsid w:val="00456382"/>
    <w:rsid w:val="00457083"/>
    <w:rsid w:val="00457259"/>
    <w:rsid w:val="0045769F"/>
    <w:rsid w:val="00457780"/>
    <w:rsid w:val="00457B32"/>
    <w:rsid w:val="0046001A"/>
    <w:rsid w:val="00460165"/>
    <w:rsid w:val="004608B1"/>
    <w:rsid w:val="00460AAB"/>
    <w:rsid w:val="00460B31"/>
    <w:rsid w:val="004611FB"/>
    <w:rsid w:val="00461F16"/>
    <w:rsid w:val="00461F70"/>
    <w:rsid w:val="00462900"/>
    <w:rsid w:val="00462E55"/>
    <w:rsid w:val="00463547"/>
    <w:rsid w:val="00463C6C"/>
    <w:rsid w:val="00463DE7"/>
    <w:rsid w:val="00464412"/>
    <w:rsid w:val="00464C37"/>
    <w:rsid w:val="00465781"/>
    <w:rsid w:val="004657AF"/>
    <w:rsid w:val="00465D5A"/>
    <w:rsid w:val="0046616A"/>
    <w:rsid w:val="00466689"/>
    <w:rsid w:val="00466994"/>
    <w:rsid w:val="00466DC7"/>
    <w:rsid w:val="004671FA"/>
    <w:rsid w:val="0046726C"/>
    <w:rsid w:val="0046764E"/>
    <w:rsid w:val="00467E45"/>
    <w:rsid w:val="00470675"/>
    <w:rsid w:val="00470958"/>
    <w:rsid w:val="00471334"/>
    <w:rsid w:val="00471500"/>
    <w:rsid w:val="00471525"/>
    <w:rsid w:val="00471BCB"/>
    <w:rsid w:val="00471FA6"/>
    <w:rsid w:val="0047222E"/>
    <w:rsid w:val="00472355"/>
    <w:rsid w:val="004729CC"/>
    <w:rsid w:val="00472F11"/>
    <w:rsid w:val="004734FC"/>
    <w:rsid w:val="00473D78"/>
    <w:rsid w:val="00473F6F"/>
    <w:rsid w:val="00474275"/>
    <w:rsid w:val="00474572"/>
    <w:rsid w:val="0047463D"/>
    <w:rsid w:val="00474AC7"/>
    <w:rsid w:val="00474D58"/>
    <w:rsid w:val="00475A64"/>
    <w:rsid w:val="004760B5"/>
    <w:rsid w:val="00476502"/>
    <w:rsid w:val="00476764"/>
    <w:rsid w:val="00476B58"/>
    <w:rsid w:val="00477107"/>
    <w:rsid w:val="00477236"/>
    <w:rsid w:val="004773B5"/>
    <w:rsid w:val="00477890"/>
    <w:rsid w:val="004778F0"/>
    <w:rsid w:val="00477BEB"/>
    <w:rsid w:val="004800EA"/>
    <w:rsid w:val="004803F3"/>
    <w:rsid w:val="00480940"/>
    <w:rsid w:val="00480F36"/>
    <w:rsid w:val="00481597"/>
    <w:rsid w:val="00482018"/>
    <w:rsid w:val="00482F1D"/>
    <w:rsid w:val="004834CE"/>
    <w:rsid w:val="0048356D"/>
    <w:rsid w:val="00483849"/>
    <w:rsid w:val="00483865"/>
    <w:rsid w:val="00483B10"/>
    <w:rsid w:val="004849A4"/>
    <w:rsid w:val="00485062"/>
    <w:rsid w:val="004851A7"/>
    <w:rsid w:val="00486892"/>
    <w:rsid w:val="00486AD9"/>
    <w:rsid w:val="00487474"/>
    <w:rsid w:val="00487E9C"/>
    <w:rsid w:val="004915D9"/>
    <w:rsid w:val="00491A3A"/>
    <w:rsid w:val="0049290C"/>
    <w:rsid w:val="00492F1B"/>
    <w:rsid w:val="00493A8F"/>
    <w:rsid w:val="0049412B"/>
    <w:rsid w:val="00494364"/>
    <w:rsid w:val="004946C4"/>
    <w:rsid w:val="00494929"/>
    <w:rsid w:val="00494D28"/>
    <w:rsid w:val="00494E31"/>
    <w:rsid w:val="00495EEF"/>
    <w:rsid w:val="004967D4"/>
    <w:rsid w:val="00496D9C"/>
    <w:rsid w:val="0049733F"/>
    <w:rsid w:val="004A0141"/>
    <w:rsid w:val="004A038C"/>
    <w:rsid w:val="004A06B7"/>
    <w:rsid w:val="004A0EEF"/>
    <w:rsid w:val="004A1794"/>
    <w:rsid w:val="004A1EEE"/>
    <w:rsid w:val="004A23AD"/>
    <w:rsid w:val="004A2B71"/>
    <w:rsid w:val="004A3BC8"/>
    <w:rsid w:val="004A3E2D"/>
    <w:rsid w:val="004A41AC"/>
    <w:rsid w:val="004A4232"/>
    <w:rsid w:val="004A42D6"/>
    <w:rsid w:val="004A4664"/>
    <w:rsid w:val="004A50D4"/>
    <w:rsid w:val="004A51E3"/>
    <w:rsid w:val="004A53E0"/>
    <w:rsid w:val="004A568E"/>
    <w:rsid w:val="004A5A68"/>
    <w:rsid w:val="004A5B55"/>
    <w:rsid w:val="004A63BF"/>
    <w:rsid w:val="004A653B"/>
    <w:rsid w:val="004A6ABB"/>
    <w:rsid w:val="004A70EF"/>
    <w:rsid w:val="004A72CC"/>
    <w:rsid w:val="004A7872"/>
    <w:rsid w:val="004A7F2A"/>
    <w:rsid w:val="004A7F65"/>
    <w:rsid w:val="004B07F1"/>
    <w:rsid w:val="004B128E"/>
    <w:rsid w:val="004B1A43"/>
    <w:rsid w:val="004B1D18"/>
    <w:rsid w:val="004B1DC9"/>
    <w:rsid w:val="004B1DF6"/>
    <w:rsid w:val="004B23AB"/>
    <w:rsid w:val="004B2AAF"/>
    <w:rsid w:val="004B371D"/>
    <w:rsid w:val="004B48C7"/>
    <w:rsid w:val="004B4B0D"/>
    <w:rsid w:val="004B4F71"/>
    <w:rsid w:val="004B532F"/>
    <w:rsid w:val="004B55E3"/>
    <w:rsid w:val="004B5AFA"/>
    <w:rsid w:val="004B5C47"/>
    <w:rsid w:val="004B635C"/>
    <w:rsid w:val="004B6803"/>
    <w:rsid w:val="004B6AE2"/>
    <w:rsid w:val="004B72B3"/>
    <w:rsid w:val="004B7488"/>
    <w:rsid w:val="004B777C"/>
    <w:rsid w:val="004B77AB"/>
    <w:rsid w:val="004B7914"/>
    <w:rsid w:val="004B7A48"/>
    <w:rsid w:val="004B7EE9"/>
    <w:rsid w:val="004C05E6"/>
    <w:rsid w:val="004C15E9"/>
    <w:rsid w:val="004C2359"/>
    <w:rsid w:val="004C24AF"/>
    <w:rsid w:val="004C38D5"/>
    <w:rsid w:val="004C4202"/>
    <w:rsid w:val="004C42D7"/>
    <w:rsid w:val="004C4772"/>
    <w:rsid w:val="004C478B"/>
    <w:rsid w:val="004C47F0"/>
    <w:rsid w:val="004C4880"/>
    <w:rsid w:val="004C4F50"/>
    <w:rsid w:val="004C5FCF"/>
    <w:rsid w:val="004C6242"/>
    <w:rsid w:val="004C62A2"/>
    <w:rsid w:val="004C67FA"/>
    <w:rsid w:val="004C69F1"/>
    <w:rsid w:val="004C751F"/>
    <w:rsid w:val="004C7560"/>
    <w:rsid w:val="004C76F0"/>
    <w:rsid w:val="004C7730"/>
    <w:rsid w:val="004C791D"/>
    <w:rsid w:val="004D059F"/>
    <w:rsid w:val="004D0A48"/>
    <w:rsid w:val="004D11CE"/>
    <w:rsid w:val="004D142E"/>
    <w:rsid w:val="004D16CD"/>
    <w:rsid w:val="004D2833"/>
    <w:rsid w:val="004D2BE2"/>
    <w:rsid w:val="004D3597"/>
    <w:rsid w:val="004D387D"/>
    <w:rsid w:val="004D46D9"/>
    <w:rsid w:val="004D4A32"/>
    <w:rsid w:val="004D4CCF"/>
    <w:rsid w:val="004D64BB"/>
    <w:rsid w:val="004D6AED"/>
    <w:rsid w:val="004D6F1A"/>
    <w:rsid w:val="004D7530"/>
    <w:rsid w:val="004D77CD"/>
    <w:rsid w:val="004D78C4"/>
    <w:rsid w:val="004D7F4E"/>
    <w:rsid w:val="004E06C3"/>
    <w:rsid w:val="004E1684"/>
    <w:rsid w:val="004E1F6F"/>
    <w:rsid w:val="004E1F78"/>
    <w:rsid w:val="004E206C"/>
    <w:rsid w:val="004E2125"/>
    <w:rsid w:val="004E215D"/>
    <w:rsid w:val="004E2F36"/>
    <w:rsid w:val="004E2F39"/>
    <w:rsid w:val="004E3276"/>
    <w:rsid w:val="004E35D4"/>
    <w:rsid w:val="004E3621"/>
    <w:rsid w:val="004E3F8A"/>
    <w:rsid w:val="004E43E7"/>
    <w:rsid w:val="004E4971"/>
    <w:rsid w:val="004E52AC"/>
    <w:rsid w:val="004E5A59"/>
    <w:rsid w:val="004E5ADD"/>
    <w:rsid w:val="004E5FAC"/>
    <w:rsid w:val="004E601C"/>
    <w:rsid w:val="004E6425"/>
    <w:rsid w:val="004E6588"/>
    <w:rsid w:val="004E69FE"/>
    <w:rsid w:val="004E724E"/>
    <w:rsid w:val="004E740B"/>
    <w:rsid w:val="004E7B12"/>
    <w:rsid w:val="004F034E"/>
    <w:rsid w:val="004F0650"/>
    <w:rsid w:val="004F0A09"/>
    <w:rsid w:val="004F0AF3"/>
    <w:rsid w:val="004F115F"/>
    <w:rsid w:val="004F19B6"/>
    <w:rsid w:val="004F1F61"/>
    <w:rsid w:val="004F2C89"/>
    <w:rsid w:val="004F302F"/>
    <w:rsid w:val="004F3A68"/>
    <w:rsid w:val="004F45AD"/>
    <w:rsid w:val="004F4958"/>
    <w:rsid w:val="004F5456"/>
    <w:rsid w:val="004F5AD5"/>
    <w:rsid w:val="004F65DC"/>
    <w:rsid w:val="004F6A2A"/>
    <w:rsid w:val="004F6B36"/>
    <w:rsid w:val="004F7678"/>
    <w:rsid w:val="004F786D"/>
    <w:rsid w:val="005002B0"/>
    <w:rsid w:val="00500A93"/>
    <w:rsid w:val="005014A1"/>
    <w:rsid w:val="00501522"/>
    <w:rsid w:val="00501C47"/>
    <w:rsid w:val="00501E9D"/>
    <w:rsid w:val="00502380"/>
    <w:rsid w:val="005024B9"/>
    <w:rsid w:val="00502957"/>
    <w:rsid w:val="00502A2E"/>
    <w:rsid w:val="00502CB1"/>
    <w:rsid w:val="005031F1"/>
    <w:rsid w:val="0050369B"/>
    <w:rsid w:val="00503705"/>
    <w:rsid w:val="00503A68"/>
    <w:rsid w:val="00503C51"/>
    <w:rsid w:val="00504159"/>
    <w:rsid w:val="005045EF"/>
    <w:rsid w:val="00504F02"/>
    <w:rsid w:val="00505007"/>
    <w:rsid w:val="00505265"/>
    <w:rsid w:val="00505996"/>
    <w:rsid w:val="0050631C"/>
    <w:rsid w:val="00506585"/>
    <w:rsid w:val="00506C53"/>
    <w:rsid w:val="00507028"/>
    <w:rsid w:val="005071F5"/>
    <w:rsid w:val="0050757B"/>
    <w:rsid w:val="005076C5"/>
    <w:rsid w:val="00507937"/>
    <w:rsid w:val="00507D0D"/>
    <w:rsid w:val="0051008F"/>
    <w:rsid w:val="005107A2"/>
    <w:rsid w:val="00510AF8"/>
    <w:rsid w:val="005111B6"/>
    <w:rsid w:val="00511898"/>
    <w:rsid w:val="005122D4"/>
    <w:rsid w:val="005125CC"/>
    <w:rsid w:val="00512688"/>
    <w:rsid w:val="00512C8E"/>
    <w:rsid w:val="00512F9B"/>
    <w:rsid w:val="0051344C"/>
    <w:rsid w:val="00513FF3"/>
    <w:rsid w:val="005141EE"/>
    <w:rsid w:val="00514595"/>
    <w:rsid w:val="00514EA9"/>
    <w:rsid w:val="00514F57"/>
    <w:rsid w:val="005152B9"/>
    <w:rsid w:val="00515311"/>
    <w:rsid w:val="00515683"/>
    <w:rsid w:val="005158BA"/>
    <w:rsid w:val="005161C8"/>
    <w:rsid w:val="0051723E"/>
    <w:rsid w:val="005172F1"/>
    <w:rsid w:val="005173AE"/>
    <w:rsid w:val="005175B0"/>
    <w:rsid w:val="00517942"/>
    <w:rsid w:val="00517EAA"/>
    <w:rsid w:val="00520859"/>
    <w:rsid w:val="00520983"/>
    <w:rsid w:val="005209C5"/>
    <w:rsid w:val="00520A6F"/>
    <w:rsid w:val="00520C24"/>
    <w:rsid w:val="00521941"/>
    <w:rsid w:val="00521A73"/>
    <w:rsid w:val="00521BDD"/>
    <w:rsid w:val="00521C12"/>
    <w:rsid w:val="00522139"/>
    <w:rsid w:val="0052260A"/>
    <w:rsid w:val="0052371D"/>
    <w:rsid w:val="005237A1"/>
    <w:rsid w:val="00523BD7"/>
    <w:rsid w:val="00524619"/>
    <w:rsid w:val="0052488E"/>
    <w:rsid w:val="005248C8"/>
    <w:rsid w:val="00524D28"/>
    <w:rsid w:val="00524FF3"/>
    <w:rsid w:val="0052506A"/>
    <w:rsid w:val="005255DD"/>
    <w:rsid w:val="005260CF"/>
    <w:rsid w:val="005260D2"/>
    <w:rsid w:val="0052633A"/>
    <w:rsid w:val="00526967"/>
    <w:rsid w:val="005300BA"/>
    <w:rsid w:val="00531A87"/>
    <w:rsid w:val="0053238A"/>
    <w:rsid w:val="00533159"/>
    <w:rsid w:val="005332C5"/>
    <w:rsid w:val="005333BE"/>
    <w:rsid w:val="0053388A"/>
    <w:rsid w:val="00533CAA"/>
    <w:rsid w:val="00534594"/>
    <w:rsid w:val="00535160"/>
    <w:rsid w:val="005351B8"/>
    <w:rsid w:val="005351CE"/>
    <w:rsid w:val="005351EE"/>
    <w:rsid w:val="00535A7D"/>
    <w:rsid w:val="00535D78"/>
    <w:rsid w:val="005363BA"/>
    <w:rsid w:val="0053647B"/>
    <w:rsid w:val="00536606"/>
    <w:rsid w:val="00536E60"/>
    <w:rsid w:val="0053730A"/>
    <w:rsid w:val="00537354"/>
    <w:rsid w:val="0053767B"/>
    <w:rsid w:val="0053787B"/>
    <w:rsid w:val="00537BB2"/>
    <w:rsid w:val="00540072"/>
    <w:rsid w:val="005415B8"/>
    <w:rsid w:val="00541EA6"/>
    <w:rsid w:val="005421E2"/>
    <w:rsid w:val="0054228F"/>
    <w:rsid w:val="005423A2"/>
    <w:rsid w:val="00542767"/>
    <w:rsid w:val="005428EE"/>
    <w:rsid w:val="00542A40"/>
    <w:rsid w:val="00542C66"/>
    <w:rsid w:val="00542FFA"/>
    <w:rsid w:val="00543036"/>
    <w:rsid w:val="00543B3C"/>
    <w:rsid w:val="00544815"/>
    <w:rsid w:val="005448C3"/>
    <w:rsid w:val="00544A2A"/>
    <w:rsid w:val="00544F11"/>
    <w:rsid w:val="00545666"/>
    <w:rsid w:val="00545C95"/>
    <w:rsid w:val="005463F1"/>
    <w:rsid w:val="005465C1"/>
    <w:rsid w:val="00546944"/>
    <w:rsid w:val="0054768B"/>
    <w:rsid w:val="005478D2"/>
    <w:rsid w:val="00547D0E"/>
    <w:rsid w:val="0055085E"/>
    <w:rsid w:val="00550D84"/>
    <w:rsid w:val="00551551"/>
    <w:rsid w:val="005515B6"/>
    <w:rsid w:val="005518A2"/>
    <w:rsid w:val="005524C8"/>
    <w:rsid w:val="00552705"/>
    <w:rsid w:val="005528A0"/>
    <w:rsid w:val="00553612"/>
    <w:rsid w:val="0055390F"/>
    <w:rsid w:val="00553BE3"/>
    <w:rsid w:val="00554238"/>
    <w:rsid w:val="00555245"/>
    <w:rsid w:val="0055582B"/>
    <w:rsid w:val="00555CF5"/>
    <w:rsid w:val="00555D08"/>
    <w:rsid w:val="00556203"/>
    <w:rsid w:val="005563B8"/>
    <w:rsid w:val="005565AB"/>
    <w:rsid w:val="00556777"/>
    <w:rsid w:val="0055679C"/>
    <w:rsid w:val="00556E83"/>
    <w:rsid w:val="005573EB"/>
    <w:rsid w:val="0055743D"/>
    <w:rsid w:val="00557834"/>
    <w:rsid w:val="00557DA7"/>
    <w:rsid w:val="0056044E"/>
    <w:rsid w:val="005605DC"/>
    <w:rsid w:val="00560B77"/>
    <w:rsid w:val="00561AAB"/>
    <w:rsid w:val="005620F9"/>
    <w:rsid w:val="005627BE"/>
    <w:rsid w:val="00562DFB"/>
    <w:rsid w:val="00563D64"/>
    <w:rsid w:val="0056408D"/>
    <w:rsid w:val="00564470"/>
    <w:rsid w:val="00564ADF"/>
    <w:rsid w:val="00564C0D"/>
    <w:rsid w:val="0056747A"/>
    <w:rsid w:val="005702D9"/>
    <w:rsid w:val="00570788"/>
    <w:rsid w:val="00571806"/>
    <w:rsid w:val="00571824"/>
    <w:rsid w:val="00571BB1"/>
    <w:rsid w:val="00571C98"/>
    <w:rsid w:val="00571D97"/>
    <w:rsid w:val="00571F23"/>
    <w:rsid w:val="0057200F"/>
    <w:rsid w:val="00572436"/>
    <w:rsid w:val="00572757"/>
    <w:rsid w:val="00572D09"/>
    <w:rsid w:val="0057308D"/>
    <w:rsid w:val="005739A8"/>
    <w:rsid w:val="0057476C"/>
    <w:rsid w:val="005748C5"/>
    <w:rsid w:val="00574961"/>
    <w:rsid w:val="005749EA"/>
    <w:rsid w:val="0057634D"/>
    <w:rsid w:val="00576F34"/>
    <w:rsid w:val="0058003B"/>
    <w:rsid w:val="005803E5"/>
    <w:rsid w:val="005807AE"/>
    <w:rsid w:val="00580A36"/>
    <w:rsid w:val="005815C2"/>
    <w:rsid w:val="005815DD"/>
    <w:rsid w:val="005816D7"/>
    <w:rsid w:val="00581B84"/>
    <w:rsid w:val="00582219"/>
    <w:rsid w:val="00582295"/>
    <w:rsid w:val="005826E1"/>
    <w:rsid w:val="00582833"/>
    <w:rsid w:val="00582AD1"/>
    <w:rsid w:val="00582FC2"/>
    <w:rsid w:val="0058324F"/>
    <w:rsid w:val="00583CEC"/>
    <w:rsid w:val="005843B8"/>
    <w:rsid w:val="00584A5A"/>
    <w:rsid w:val="00584D18"/>
    <w:rsid w:val="0058505F"/>
    <w:rsid w:val="00585602"/>
    <w:rsid w:val="00585C86"/>
    <w:rsid w:val="00585CD9"/>
    <w:rsid w:val="00586287"/>
    <w:rsid w:val="005862AD"/>
    <w:rsid w:val="005869B5"/>
    <w:rsid w:val="005901FC"/>
    <w:rsid w:val="005907DF"/>
    <w:rsid w:val="00590ECF"/>
    <w:rsid w:val="00591284"/>
    <w:rsid w:val="0059151F"/>
    <w:rsid w:val="005919F0"/>
    <w:rsid w:val="00591C12"/>
    <w:rsid w:val="005926BC"/>
    <w:rsid w:val="00592C73"/>
    <w:rsid w:val="00592FF1"/>
    <w:rsid w:val="0059345D"/>
    <w:rsid w:val="00594142"/>
    <w:rsid w:val="00594D26"/>
    <w:rsid w:val="00595219"/>
    <w:rsid w:val="00596011"/>
    <w:rsid w:val="00596896"/>
    <w:rsid w:val="00596FAF"/>
    <w:rsid w:val="005973AD"/>
    <w:rsid w:val="00597AE2"/>
    <w:rsid w:val="005A0B29"/>
    <w:rsid w:val="005A0C89"/>
    <w:rsid w:val="005A145F"/>
    <w:rsid w:val="005A1AEF"/>
    <w:rsid w:val="005A242C"/>
    <w:rsid w:val="005A248B"/>
    <w:rsid w:val="005A2837"/>
    <w:rsid w:val="005A2875"/>
    <w:rsid w:val="005A2901"/>
    <w:rsid w:val="005A2A4C"/>
    <w:rsid w:val="005A2A56"/>
    <w:rsid w:val="005A2F01"/>
    <w:rsid w:val="005A3613"/>
    <w:rsid w:val="005A367E"/>
    <w:rsid w:val="005A3AA7"/>
    <w:rsid w:val="005A3DDD"/>
    <w:rsid w:val="005A49DA"/>
    <w:rsid w:val="005A4DE2"/>
    <w:rsid w:val="005A4F71"/>
    <w:rsid w:val="005A5322"/>
    <w:rsid w:val="005A55BD"/>
    <w:rsid w:val="005A56EE"/>
    <w:rsid w:val="005A5B39"/>
    <w:rsid w:val="005A5F0D"/>
    <w:rsid w:val="005A6C41"/>
    <w:rsid w:val="005B0029"/>
    <w:rsid w:val="005B0F04"/>
    <w:rsid w:val="005B11F7"/>
    <w:rsid w:val="005B19CF"/>
    <w:rsid w:val="005B2467"/>
    <w:rsid w:val="005B257D"/>
    <w:rsid w:val="005B283D"/>
    <w:rsid w:val="005B2B2D"/>
    <w:rsid w:val="005B2FB9"/>
    <w:rsid w:val="005B3050"/>
    <w:rsid w:val="005B30F5"/>
    <w:rsid w:val="005B3847"/>
    <w:rsid w:val="005B38C3"/>
    <w:rsid w:val="005B3DB0"/>
    <w:rsid w:val="005B3DC0"/>
    <w:rsid w:val="005B3EAB"/>
    <w:rsid w:val="005B54E9"/>
    <w:rsid w:val="005B58F1"/>
    <w:rsid w:val="005B5A71"/>
    <w:rsid w:val="005B5EA1"/>
    <w:rsid w:val="005B5F00"/>
    <w:rsid w:val="005B5F56"/>
    <w:rsid w:val="005B6272"/>
    <w:rsid w:val="005B64CB"/>
    <w:rsid w:val="005B66B7"/>
    <w:rsid w:val="005B6BE9"/>
    <w:rsid w:val="005B7226"/>
    <w:rsid w:val="005B7742"/>
    <w:rsid w:val="005B7CDC"/>
    <w:rsid w:val="005C028F"/>
    <w:rsid w:val="005C0792"/>
    <w:rsid w:val="005C0DA2"/>
    <w:rsid w:val="005C1571"/>
    <w:rsid w:val="005C199E"/>
    <w:rsid w:val="005C23D9"/>
    <w:rsid w:val="005C31B4"/>
    <w:rsid w:val="005C331B"/>
    <w:rsid w:val="005C3593"/>
    <w:rsid w:val="005C35FE"/>
    <w:rsid w:val="005C4869"/>
    <w:rsid w:val="005C49D3"/>
    <w:rsid w:val="005C4AB2"/>
    <w:rsid w:val="005C4AC5"/>
    <w:rsid w:val="005C4B08"/>
    <w:rsid w:val="005C53F5"/>
    <w:rsid w:val="005C54F7"/>
    <w:rsid w:val="005C572F"/>
    <w:rsid w:val="005C63FD"/>
    <w:rsid w:val="005C67CF"/>
    <w:rsid w:val="005D032E"/>
    <w:rsid w:val="005D0548"/>
    <w:rsid w:val="005D05E7"/>
    <w:rsid w:val="005D05EF"/>
    <w:rsid w:val="005D08A0"/>
    <w:rsid w:val="005D090F"/>
    <w:rsid w:val="005D0D81"/>
    <w:rsid w:val="005D1BF2"/>
    <w:rsid w:val="005D1E63"/>
    <w:rsid w:val="005D2268"/>
    <w:rsid w:val="005D23A0"/>
    <w:rsid w:val="005D2980"/>
    <w:rsid w:val="005D2B5C"/>
    <w:rsid w:val="005D30AE"/>
    <w:rsid w:val="005D34D8"/>
    <w:rsid w:val="005D3754"/>
    <w:rsid w:val="005D378B"/>
    <w:rsid w:val="005D3947"/>
    <w:rsid w:val="005D3A89"/>
    <w:rsid w:val="005D3C58"/>
    <w:rsid w:val="005D3E3A"/>
    <w:rsid w:val="005D3FBB"/>
    <w:rsid w:val="005D54FF"/>
    <w:rsid w:val="005D5505"/>
    <w:rsid w:val="005D6989"/>
    <w:rsid w:val="005D6DFC"/>
    <w:rsid w:val="005D71C6"/>
    <w:rsid w:val="005D791F"/>
    <w:rsid w:val="005E02F5"/>
    <w:rsid w:val="005E0621"/>
    <w:rsid w:val="005E0730"/>
    <w:rsid w:val="005E189B"/>
    <w:rsid w:val="005E19EA"/>
    <w:rsid w:val="005E1A77"/>
    <w:rsid w:val="005E1B6C"/>
    <w:rsid w:val="005E1C60"/>
    <w:rsid w:val="005E1F22"/>
    <w:rsid w:val="005E22A1"/>
    <w:rsid w:val="005E24AF"/>
    <w:rsid w:val="005E25E5"/>
    <w:rsid w:val="005E269C"/>
    <w:rsid w:val="005E2D6F"/>
    <w:rsid w:val="005E33A5"/>
    <w:rsid w:val="005E4557"/>
    <w:rsid w:val="005E4C27"/>
    <w:rsid w:val="005E4C58"/>
    <w:rsid w:val="005E4F60"/>
    <w:rsid w:val="005E51DE"/>
    <w:rsid w:val="005E588D"/>
    <w:rsid w:val="005E5ADA"/>
    <w:rsid w:val="005E5E99"/>
    <w:rsid w:val="005E6053"/>
    <w:rsid w:val="005E67BE"/>
    <w:rsid w:val="005E68C3"/>
    <w:rsid w:val="005E6E22"/>
    <w:rsid w:val="005E729D"/>
    <w:rsid w:val="005E735A"/>
    <w:rsid w:val="005E78D1"/>
    <w:rsid w:val="005E7DB6"/>
    <w:rsid w:val="005F06FC"/>
    <w:rsid w:val="005F0976"/>
    <w:rsid w:val="005F12C8"/>
    <w:rsid w:val="005F14E7"/>
    <w:rsid w:val="005F197C"/>
    <w:rsid w:val="005F1B9E"/>
    <w:rsid w:val="005F1C53"/>
    <w:rsid w:val="005F1F9B"/>
    <w:rsid w:val="005F20DA"/>
    <w:rsid w:val="005F284B"/>
    <w:rsid w:val="005F2BB9"/>
    <w:rsid w:val="005F3F34"/>
    <w:rsid w:val="005F433F"/>
    <w:rsid w:val="005F4463"/>
    <w:rsid w:val="005F48E7"/>
    <w:rsid w:val="005F4A41"/>
    <w:rsid w:val="005F4EE4"/>
    <w:rsid w:val="005F51FA"/>
    <w:rsid w:val="005F58A1"/>
    <w:rsid w:val="005F5C64"/>
    <w:rsid w:val="005F5D4B"/>
    <w:rsid w:val="005F6062"/>
    <w:rsid w:val="005F65B0"/>
    <w:rsid w:val="005F65EA"/>
    <w:rsid w:val="005F70DC"/>
    <w:rsid w:val="005F752F"/>
    <w:rsid w:val="005F7571"/>
    <w:rsid w:val="005F7B10"/>
    <w:rsid w:val="005F7D8B"/>
    <w:rsid w:val="00600271"/>
    <w:rsid w:val="006003E7"/>
    <w:rsid w:val="006004DF"/>
    <w:rsid w:val="006004F2"/>
    <w:rsid w:val="00600550"/>
    <w:rsid w:val="00600AF0"/>
    <w:rsid w:val="0060130D"/>
    <w:rsid w:val="006013D4"/>
    <w:rsid w:val="0060144F"/>
    <w:rsid w:val="00601666"/>
    <w:rsid w:val="00601936"/>
    <w:rsid w:val="00601D4F"/>
    <w:rsid w:val="006025D4"/>
    <w:rsid w:val="00602E8F"/>
    <w:rsid w:val="00603095"/>
    <w:rsid w:val="006030AB"/>
    <w:rsid w:val="0060354C"/>
    <w:rsid w:val="00603769"/>
    <w:rsid w:val="00603C81"/>
    <w:rsid w:val="00603CF5"/>
    <w:rsid w:val="00603E6F"/>
    <w:rsid w:val="00604062"/>
    <w:rsid w:val="00604491"/>
    <w:rsid w:val="006046A1"/>
    <w:rsid w:val="00604851"/>
    <w:rsid w:val="00604ED1"/>
    <w:rsid w:val="006050F5"/>
    <w:rsid w:val="00605FEF"/>
    <w:rsid w:val="0060659E"/>
    <w:rsid w:val="0060701B"/>
    <w:rsid w:val="006074C1"/>
    <w:rsid w:val="00607BCD"/>
    <w:rsid w:val="00607C46"/>
    <w:rsid w:val="0061010B"/>
    <w:rsid w:val="0061010D"/>
    <w:rsid w:val="00610512"/>
    <w:rsid w:val="00610DC1"/>
    <w:rsid w:val="00610FA4"/>
    <w:rsid w:val="0061127B"/>
    <w:rsid w:val="00611416"/>
    <w:rsid w:val="0061176A"/>
    <w:rsid w:val="00611804"/>
    <w:rsid w:val="00612022"/>
    <w:rsid w:val="006124B9"/>
    <w:rsid w:val="00612BA2"/>
    <w:rsid w:val="00612D2E"/>
    <w:rsid w:val="00612EC7"/>
    <w:rsid w:val="00612FAC"/>
    <w:rsid w:val="00613224"/>
    <w:rsid w:val="00613486"/>
    <w:rsid w:val="0061371F"/>
    <w:rsid w:val="006137D2"/>
    <w:rsid w:val="00613B18"/>
    <w:rsid w:val="006141EE"/>
    <w:rsid w:val="00614F1A"/>
    <w:rsid w:val="00615E01"/>
    <w:rsid w:val="00615F5A"/>
    <w:rsid w:val="006162DC"/>
    <w:rsid w:val="00617604"/>
    <w:rsid w:val="00617794"/>
    <w:rsid w:val="006179FA"/>
    <w:rsid w:val="00617D9D"/>
    <w:rsid w:val="00617F63"/>
    <w:rsid w:val="00621002"/>
    <w:rsid w:val="006219C8"/>
    <w:rsid w:val="00623131"/>
    <w:rsid w:val="00623743"/>
    <w:rsid w:val="006242EB"/>
    <w:rsid w:val="006246DB"/>
    <w:rsid w:val="00624B37"/>
    <w:rsid w:val="00625706"/>
    <w:rsid w:val="006258B7"/>
    <w:rsid w:val="00625BD2"/>
    <w:rsid w:val="00625C1A"/>
    <w:rsid w:val="00625CF1"/>
    <w:rsid w:val="00625F38"/>
    <w:rsid w:val="0062619D"/>
    <w:rsid w:val="006261BC"/>
    <w:rsid w:val="00626F25"/>
    <w:rsid w:val="00626F8D"/>
    <w:rsid w:val="00627137"/>
    <w:rsid w:val="006274A5"/>
    <w:rsid w:val="00627548"/>
    <w:rsid w:val="00627891"/>
    <w:rsid w:val="006278AF"/>
    <w:rsid w:val="00627C74"/>
    <w:rsid w:val="00630419"/>
    <w:rsid w:val="006304C6"/>
    <w:rsid w:val="00630F9D"/>
    <w:rsid w:val="0063220A"/>
    <w:rsid w:val="00632622"/>
    <w:rsid w:val="0063265C"/>
    <w:rsid w:val="00632691"/>
    <w:rsid w:val="00632863"/>
    <w:rsid w:val="00632C77"/>
    <w:rsid w:val="00633AC0"/>
    <w:rsid w:val="0063449C"/>
    <w:rsid w:val="00634D93"/>
    <w:rsid w:val="00634EB9"/>
    <w:rsid w:val="006352F2"/>
    <w:rsid w:val="00635806"/>
    <w:rsid w:val="00635B33"/>
    <w:rsid w:val="0063642E"/>
    <w:rsid w:val="00636543"/>
    <w:rsid w:val="00636A23"/>
    <w:rsid w:val="00636CDD"/>
    <w:rsid w:val="00636F12"/>
    <w:rsid w:val="006377ED"/>
    <w:rsid w:val="006379F8"/>
    <w:rsid w:val="006400A4"/>
    <w:rsid w:val="00640AA9"/>
    <w:rsid w:val="00640F95"/>
    <w:rsid w:val="0064143A"/>
    <w:rsid w:val="00641810"/>
    <w:rsid w:val="006419A2"/>
    <w:rsid w:val="006421D8"/>
    <w:rsid w:val="00642467"/>
    <w:rsid w:val="006424B4"/>
    <w:rsid w:val="00642562"/>
    <w:rsid w:val="00642D3C"/>
    <w:rsid w:val="00642DB2"/>
    <w:rsid w:val="0064320B"/>
    <w:rsid w:val="00643415"/>
    <w:rsid w:val="00643A3C"/>
    <w:rsid w:val="006446AD"/>
    <w:rsid w:val="00644861"/>
    <w:rsid w:val="00644CAB"/>
    <w:rsid w:val="00644E54"/>
    <w:rsid w:val="00644E7C"/>
    <w:rsid w:val="00645796"/>
    <w:rsid w:val="00645B4F"/>
    <w:rsid w:val="00645ECD"/>
    <w:rsid w:val="00646B9A"/>
    <w:rsid w:val="00646C91"/>
    <w:rsid w:val="00646F0D"/>
    <w:rsid w:val="006479BD"/>
    <w:rsid w:val="00647E67"/>
    <w:rsid w:val="00647FC8"/>
    <w:rsid w:val="00650DAE"/>
    <w:rsid w:val="00651B22"/>
    <w:rsid w:val="00651BE0"/>
    <w:rsid w:val="0065207E"/>
    <w:rsid w:val="00652293"/>
    <w:rsid w:val="00652CB0"/>
    <w:rsid w:val="00652CCE"/>
    <w:rsid w:val="00652D5E"/>
    <w:rsid w:val="006531A2"/>
    <w:rsid w:val="006538BD"/>
    <w:rsid w:val="0065590D"/>
    <w:rsid w:val="00655C2C"/>
    <w:rsid w:val="00655F45"/>
    <w:rsid w:val="006563E1"/>
    <w:rsid w:val="006564F2"/>
    <w:rsid w:val="006578B9"/>
    <w:rsid w:val="00660163"/>
    <w:rsid w:val="006601A8"/>
    <w:rsid w:val="006617CF"/>
    <w:rsid w:val="00661EFF"/>
    <w:rsid w:val="0066230D"/>
    <w:rsid w:val="00662847"/>
    <w:rsid w:val="00662B3D"/>
    <w:rsid w:val="00662FCD"/>
    <w:rsid w:val="006636E9"/>
    <w:rsid w:val="00663EF2"/>
    <w:rsid w:val="00663FE5"/>
    <w:rsid w:val="0066558D"/>
    <w:rsid w:val="00665F6F"/>
    <w:rsid w:val="00666E58"/>
    <w:rsid w:val="00667648"/>
    <w:rsid w:val="006677A0"/>
    <w:rsid w:val="00667B1C"/>
    <w:rsid w:val="00670302"/>
    <w:rsid w:val="0067059C"/>
    <w:rsid w:val="0067276E"/>
    <w:rsid w:val="00672A18"/>
    <w:rsid w:val="00672B60"/>
    <w:rsid w:val="00672B8A"/>
    <w:rsid w:val="00672CE1"/>
    <w:rsid w:val="00672E95"/>
    <w:rsid w:val="006730E7"/>
    <w:rsid w:val="006736DB"/>
    <w:rsid w:val="00673EF8"/>
    <w:rsid w:val="006745EE"/>
    <w:rsid w:val="0067510A"/>
    <w:rsid w:val="0067543C"/>
    <w:rsid w:val="006758F9"/>
    <w:rsid w:val="00675925"/>
    <w:rsid w:val="00675F31"/>
    <w:rsid w:val="006767BD"/>
    <w:rsid w:val="00676FCD"/>
    <w:rsid w:val="006771D1"/>
    <w:rsid w:val="0067788C"/>
    <w:rsid w:val="00680058"/>
    <w:rsid w:val="006800F6"/>
    <w:rsid w:val="00680202"/>
    <w:rsid w:val="00680739"/>
    <w:rsid w:val="00680B3A"/>
    <w:rsid w:val="00680F6D"/>
    <w:rsid w:val="00681179"/>
    <w:rsid w:val="00681B6F"/>
    <w:rsid w:val="00682988"/>
    <w:rsid w:val="0068298B"/>
    <w:rsid w:val="00682ABA"/>
    <w:rsid w:val="00682BF2"/>
    <w:rsid w:val="0068343B"/>
    <w:rsid w:val="006836D8"/>
    <w:rsid w:val="00683B19"/>
    <w:rsid w:val="00684BD2"/>
    <w:rsid w:val="0068589E"/>
    <w:rsid w:val="00685942"/>
    <w:rsid w:val="00685ED4"/>
    <w:rsid w:val="00685F1A"/>
    <w:rsid w:val="00685F98"/>
    <w:rsid w:val="0068709D"/>
    <w:rsid w:val="00687CBB"/>
    <w:rsid w:val="0069036B"/>
    <w:rsid w:val="00690954"/>
    <w:rsid w:val="00690AFC"/>
    <w:rsid w:val="006914CF"/>
    <w:rsid w:val="0069196F"/>
    <w:rsid w:val="00691D7F"/>
    <w:rsid w:val="00692448"/>
    <w:rsid w:val="00692AF1"/>
    <w:rsid w:val="006937D8"/>
    <w:rsid w:val="00693840"/>
    <w:rsid w:val="00694356"/>
    <w:rsid w:val="00694E23"/>
    <w:rsid w:val="00695416"/>
    <w:rsid w:val="006954B4"/>
    <w:rsid w:val="00695666"/>
    <w:rsid w:val="006956B7"/>
    <w:rsid w:val="00695928"/>
    <w:rsid w:val="00695C84"/>
    <w:rsid w:val="00695FDA"/>
    <w:rsid w:val="00696582"/>
    <w:rsid w:val="006965D6"/>
    <w:rsid w:val="00696FBF"/>
    <w:rsid w:val="006A0008"/>
    <w:rsid w:val="006A04F8"/>
    <w:rsid w:val="006A0984"/>
    <w:rsid w:val="006A0C83"/>
    <w:rsid w:val="006A1A9B"/>
    <w:rsid w:val="006A1B84"/>
    <w:rsid w:val="006A216B"/>
    <w:rsid w:val="006A27E1"/>
    <w:rsid w:val="006A3E27"/>
    <w:rsid w:val="006A4382"/>
    <w:rsid w:val="006A4490"/>
    <w:rsid w:val="006A4A53"/>
    <w:rsid w:val="006A5B22"/>
    <w:rsid w:val="006A68BB"/>
    <w:rsid w:val="006A69D6"/>
    <w:rsid w:val="006A6D58"/>
    <w:rsid w:val="006A6DF2"/>
    <w:rsid w:val="006A6F2C"/>
    <w:rsid w:val="006A7396"/>
    <w:rsid w:val="006A7460"/>
    <w:rsid w:val="006A7CCE"/>
    <w:rsid w:val="006A7DD3"/>
    <w:rsid w:val="006A7E7D"/>
    <w:rsid w:val="006A7FDF"/>
    <w:rsid w:val="006B0DBA"/>
    <w:rsid w:val="006B113D"/>
    <w:rsid w:val="006B1688"/>
    <w:rsid w:val="006B18DE"/>
    <w:rsid w:val="006B279E"/>
    <w:rsid w:val="006B27B4"/>
    <w:rsid w:val="006B27F5"/>
    <w:rsid w:val="006B2BED"/>
    <w:rsid w:val="006B2E24"/>
    <w:rsid w:val="006B3648"/>
    <w:rsid w:val="006B42C0"/>
    <w:rsid w:val="006B52E4"/>
    <w:rsid w:val="006B5735"/>
    <w:rsid w:val="006B5782"/>
    <w:rsid w:val="006B632E"/>
    <w:rsid w:val="006B721D"/>
    <w:rsid w:val="006B7771"/>
    <w:rsid w:val="006C017E"/>
    <w:rsid w:val="006C02F0"/>
    <w:rsid w:val="006C06DB"/>
    <w:rsid w:val="006C1198"/>
    <w:rsid w:val="006C1A34"/>
    <w:rsid w:val="006C217B"/>
    <w:rsid w:val="006C2529"/>
    <w:rsid w:val="006C25D8"/>
    <w:rsid w:val="006C2769"/>
    <w:rsid w:val="006C312D"/>
    <w:rsid w:val="006C3C05"/>
    <w:rsid w:val="006C3CC8"/>
    <w:rsid w:val="006C411B"/>
    <w:rsid w:val="006C45C1"/>
    <w:rsid w:val="006C565D"/>
    <w:rsid w:val="006C59A4"/>
    <w:rsid w:val="006C671B"/>
    <w:rsid w:val="006C67D5"/>
    <w:rsid w:val="006C6EDB"/>
    <w:rsid w:val="006C70F9"/>
    <w:rsid w:val="006C7271"/>
    <w:rsid w:val="006C75AD"/>
    <w:rsid w:val="006C761A"/>
    <w:rsid w:val="006C7B34"/>
    <w:rsid w:val="006C7E5F"/>
    <w:rsid w:val="006D025D"/>
    <w:rsid w:val="006D055F"/>
    <w:rsid w:val="006D0C49"/>
    <w:rsid w:val="006D1864"/>
    <w:rsid w:val="006D2076"/>
    <w:rsid w:val="006D361A"/>
    <w:rsid w:val="006D36D7"/>
    <w:rsid w:val="006D4FA5"/>
    <w:rsid w:val="006D4FF2"/>
    <w:rsid w:val="006D52CF"/>
    <w:rsid w:val="006D5B5C"/>
    <w:rsid w:val="006D6719"/>
    <w:rsid w:val="006D6B21"/>
    <w:rsid w:val="006D6B33"/>
    <w:rsid w:val="006D7D2D"/>
    <w:rsid w:val="006D7F7C"/>
    <w:rsid w:val="006E09CA"/>
    <w:rsid w:val="006E0ECB"/>
    <w:rsid w:val="006E1364"/>
    <w:rsid w:val="006E156A"/>
    <w:rsid w:val="006E1A53"/>
    <w:rsid w:val="006E1B5D"/>
    <w:rsid w:val="006E1E00"/>
    <w:rsid w:val="006E2431"/>
    <w:rsid w:val="006E24A1"/>
    <w:rsid w:val="006E24A4"/>
    <w:rsid w:val="006E27C2"/>
    <w:rsid w:val="006E2A9A"/>
    <w:rsid w:val="006E2D01"/>
    <w:rsid w:val="006E30DF"/>
    <w:rsid w:val="006E3E57"/>
    <w:rsid w:val="006E4235"/>
    <w:rsid w:val="006E463D"/>
    <w:rsid w:val="006E5374"/>
    <w:rsid w:val="006E58C9"/>
    <w:rsid w:val="006E6003"/>
    <w:rsid w:val="006E6114"/>
    <w:rsid w:val="006E6833"/>
    <w:rsid w:val="006E6A59"/>
    <w:rsid w:val="006F0A5D"/>
    <w:rsid w:val="006F0D77"/>
    <w:rsid w:val="006F1452"/>
    <w:rsid w:val="006F15FF"/>
    <w:rsid w:val="006F161A"/>
    <w:rsid w:val="006F18B2"/>
    <w:rsid w:val="006F1B1C"/>
    <w:rsid w:val="006F1BD7"/>
    <w:rsid w:val="006F1C5E"/>
    <w:rsid w:val="006F20E1"/>
    <w:rsid w:val="006F211B"/>
    <w:rsid w:val="006F213C"/>
    <w:rsid w:val="006F26BB"/>
    <w:rsid w:val="006F27FE"/>
    <w:rsid w:val="006F3229"/>
    <w:rsid w:val="006F375F"/>
    <w:rsid w:val="006F3951"/>
    <w:rsid w:val="006F3A79"/>
    <w:rsid w:val="006F3BFE"/>
    <w:rsid w:val="006F3CA2"/>
    <w:rsid w:val="006F428C"/>
    <w:rsid w:val="006F4543"/>
    <w:rsid w:val="006F4559"/>
    <w:rsid w:val="006F4870"/>
    <w:rsid w:val="006F5A93"/>
    <w:rsid w:val="006F627B"/>
    <w:rsid w:val="006F67C9"/>
    <w:rsid w:val="006F6B13"/>
    <w:rsid w:val="006F6BE9"/>
    <w:rsid w:val="006F6C16"/>
    <w:rsid w:val="006F6C9F"/>
    <w:rsid w:val="006F761B"/>
    <w:rsid w:val="006F7949"/>
    <w:rsid w:val="006F7A12"/>
    <w:rsid w:val="006F7B83"/>
    <w:rsid w:val="006F7CA4"/>
    <w:rsid w:val="006F7FCF"/>
    <w:rsid w:val="00700130"/>
    <w:rsid w:val="007009C1"/>
    <w:rsid w:val="00700DDB"/>
    <w:rsid w:val="00701834"/>
    <w:rsid w:val="007019DC"/>
    <w:rsid w:val="00701D77"/>
    <w:rsid w:val="007021AD"/>
    <w:rsid w:val="00702F2B"/>
    <w:rsid w:val="00702F2F"/>
    <w:rsid w:val="007037E4"/>
    <w:rsid w:val="00703BB1"/>
    <w:rsid w:val="0070489B"/>
    <w:rsid w:val="00704AE7"/>
    <w:rsid w:val="00704AFA"/>
    <w:rsid w:val="00704C0E"/>
    <w:rsid w:val="00704F16"/>
    <w:rsid w:val="007053A6"/>
    <w:rsid w:val="0070551A"/>
    <w:rsid w:val="00705A56"/>
    <w:rsid w:val="00705AC2"/>
    <w:rsid w:val="00705F5D"/>
    <w:rsid w:val="007063EC"/>
    <w:rsid w:val="00706A56"/>
    <w:rsid w:val="00706EDB"/>
    <w:rsid w:val="0070706D"/>
    <w:rsid w:val="00710127"/>
    <w:rsid w:val="007101D0"/>
    <w:rsid w:val="00710858"/>
    <w:rsid w:val="00710F5A"/>
    <w:rsid w:val="00711312"/>
    <w:rsid w:val="00711650"/>
    <w:rsid w:val="007117CF"/>
    <w:rsid w:val="00711C34"/>
    <w:rsid w:val="00712263"/>
    <w:rsid w:val="00712422"/>
    <w:rsid w:val="00712740"/>
    <w:rsid w:val="00712743"/>
    <w:rsid w:val="00712EC2"/>
    <w:rsid w:val="00712EC3"/>
    <w:rsid w:val="007133E4"/>
    <w:rsid w:val="0071350C"/>
    <w:rsid w:val="00713B5A"/>
    <w:rsid w:val="00713ECF"/>
    <w:rsid w:val="00713F67"/>
    <w:rsid w:val="007140D3"/>
    <w:rsid w:val="0071413D"/>
    <w:rsid w:val="0071512B"/>
    <w:rsid w:val="007151BE"/>
    <w:rsid w:val="00715205"/>
    <w:rsid w:val="0071551D"/>
    <w:rsid w:val="00715EE7"/>
    <w:rsid w:val="0071604D"/>
    <w:rsid w:val="0071654D"/>
    <w:rsid w:val="0071655A"/>
    <w:rsid w:val="007166B3"/>
    <w:rsid w:val="00717728"/>
    <w:rsid w:val="007179AB"/>
    <w:rsid w:val="00717BC0"/>
    <w:rsid w:val="007200E5"/>
    <w:rsid w:val="00720723"/>
    <w:rsid w:val="0072098C"/>
    <w:rsid w:val="00720EF2"/>
    <w:rsid w:val="00721453"/>
    <w:rsid w:val="00721D82"/>
    <w:rsid w:val="00721DB1"/>
    <w:rsid w:val="0072243A"/>
    <w:rsid w:val="00722961"/>
    <w:rsid w:val="0072318F"/>
    <w:rsid w:val="00723310"/>
    <w:rsid w:val="007234B8"/>
    <w:rsid w:val="00723F7B"/>
    <w:rsid w:val="0072470E"/>
    <w:rsid w:val="00724B18"/>
    <w:rsid w:val="00724D1D"/>
    <w:rsid w:val="0072505D"/>
    <w:rsid w:val="0072517A"/>
    <w:rsid w:val="007257D0"/>
    <w:rsid w:val="00725B40"/>
    <w:rsid w:val="00725CFF"/>
    <w:rsid w:val="00726949"/>
    <w:rsid w:val="00726C22"/>
    <w:rsid w:val="00727228"/>
    <w:rsid w:val="00727AD9"/>
    <w:rsid w:val="00730424"/>
    <w:rsid w:val="0073067B"/>
    <w:rsid w:val="007309C3"/>
    <w:rsid w:val="00730B5F"/>
    <w:rsid w:val="00730BE4"/>
    <w:rsid w:val="00730FE7"/>
    <w:rsid w:val="007311C8"/>
    <w:rsid w:val="007311F1"/>
    <w:rsid w:val="00731534"/>
    <w:rsid w:val="007318E0"/>
    <w:rsid w:val="00731B71"/>
    <w:rsid w:val="00731DAB"/>
    <w:rsid w:val="00731F35"/>
    <w:rsid w:val="00731F84"/>
    <w:rsid w:val="00732342"/>
    <w:rsid w:val="00732CB0"/>
    <w:rsid w:val="007331A4"/>
    <w:rsid w:val="007336AF"/>
    <w:rsid w:val="00733AA0"/>
    <w:rsid w:val="00733D02"/>
    <w:rsid w:val="00734740"/>
    <w:rsid w:val="00734FDF"/>
    <w:rsid w:val="00734FEE"/>
    <w:rsid w:val="00735011"/>
    <w:rsid w:val="0073537C"/>
    <w:rsid w:val="00735C57"/>
    <w:rsid w:val="00735C74"/>
    <w:rsid w:val="00736535"/>
    <w:rsid w:val="00736C85"/>
    <w:rsid w:val="007375D2"/>
    <w:rsid w:val="007376EC"/>
    <w:rsid w:val="007377C5"/>
    <w:rsid w:val="00737F2C"/>
    <w:rsid w:val="00737F32"/>
    <w:rsid w:val="0074039E"/>
    <w:rsid w:val="00740C4E"/>
    <w:rsid w:val="007412F9"/>
    <w:rsid w:val="0074131E"/>
    <w:rsid w:val="0074143D"/>
    <w:rsid w:val="007417EA"/>
    <w:rsid w:val="00741D29"/>
    <w:rsid w:val="00741DE1"/>
    <w:rsid w:val="00742838"/>
    <w:rsid w:val="00742A6F"/>
    <w:rsid w:val="00743291"/>
    <w:rsid w:val="007439A9"/>
    <w:rsid w:val="00743A44"/>
    <w:rsid w:val="00743BCC"/>
    <w:rsid w:val="00743DD8"/>
    <w:rsid w:val="00743ED2"/>
    <w:rsid w:val="0074534F"/>
    <w:rsid w:val="007464BB"/>
    <w:rsid w:val="00746558"/>
    <w:rsid w:val="00746842"/>
    <w:rsid w:val="00747252"/>
    <w:rsid w:val="0074730E"/>
    <w:rsid w:val="00747422"/>
    <w:rsid w:val="0074756A"/>
    <w:rsid w:val="007475AB"/>
    <w:rsid w:val="00747F30"/>
    <w:rsid w:val="0075041F"/>
    <w:rsid w:val="00750D47"/>
    <w:rsid w:val="00751049"/>
    <w:rsid w:val="007513D0"/>
    <w:rsid w:val="00751B8B"/>
    <w:rsid w:val="007521B4"/>
    <w:rsid w:val="00752435"/>
    <w:rsid w:val="007525CF"/>
    <w:rsid w:val="0075313D"/>
    <w:rsid w:val="00753348"/>
    <w:rsid w:val="0075368E"/>
    <w:rsid w:val="00753A69"/>
    <w:rsid w:val="0075402E"/>
    <w:rsid w:val="007542F3"/>
    <w:rsid w:val="0075453D"/>
    <w:rsid w:val="00755FBD"/>
    <w:rsid w:val="00756063"/>
    <w:rsid w:val="007564F2"/>
    <w:rsid w:val="0075681C"/>
    <w:rsid w:val="00756E8A"/>
    <w:rsid w:val="007570A2"/>
    <w:rsid w:val="00757780"/>
    <w:rsid w:val="00757A81"/>
    <w:rsid w:val="00757BF4"/>
    <w:rsid w:val="00757C28"/>
    <w:rsid w:val="00757E70"/>
    <w:rsid w:val="0076016E"/>
    <w:rsid w:val="00760228"/>
    <w:rsid w:val="00760C4B"/>
    <w:rsid w:val="00760F6C"/>
    <w:rsid w:val="00761217"/>
    <w:rsid w:val="00761897"/>
    <w:rsid w:val="00761CA0"/>
    <w:rsid w:val="007627A2"/>
    <w:rsid w:val="007628D1"/>
    <w:rsid w:val="007629C9"/>
    <w:rsid w:val="00762E45"/>
    <w:rsid w:val="00763207"/>
    <w:rsid w:val="007632A9"/>
    <w:rsid w:val="0076369D"/>
    <w:rsid w:val="00763750"/>
    <w:rsid w:val="00763811"/>
    <w:rsid w:val="00763BD4"/>
    <w:rsid w:val="00763D41"/>
    <w:rsid w:val="0076417E"/>
    <w:rsid w:val="007643C0"/>
    <w:rsid w:val="00764AB7"/>
    <w:rsid w:val="00764E75"/>
    <w:rsid w:val="00764EC9"/>
    <w:rsid w:val="0076501D"/>
    <w:rsid w:val="00765AF5"/>
    <w:rsid w:val="0076659E"/>
    <w:rsid w:val="00766FDB"/>
    <w:rsid w:val="00767748"/>
    <w:rsid w:val="0076781C"/>
    <w:rsid w:val="00770917"/>
    <w:rsid w:val="00770BEB"/>
    <w:rsid w:val="007711C2"/>
    <w:rsid w:val="007714E2"/>
    <w:rsid w:val="0077166E"/>
    <w:rsid w:val="00771939"/>
    <w:rsid w:val="00772325"/>
    <w:rsid w:val="007725D9"/>
    <w:rsid w:val="00772970"/>
    <w:rsid w:val="00772CAB"/>
    <w:rsid w:val="007735C9"/>
    <w:rsid w:val="007744C1"/>
    <w:rsid w:val="007744EE"/>
    <w:rsid w:val="007744FB"/>
    <w:rsid w:val="00774ECA"/>
    <w:rsid w:val="007755BF"/>
    <w:rsid w:val="00775C81"/>
    <w:rsid w:val="007761C4"/>
    <w:rsid w:val="00776832"/>
    <w:rsid w:val="007771DD"/>
    <w:rsid w:val="00777488"/>
    <w:rsid w:val="0077770D"/>
    <w:rsid w:val="007779BB"/>
    <w:rsid w:val="0078094C"/>
    <w:rsid w:val="00780AE3"/>
    <w:rsid w:val="00780F19"/>
    <w:rsid w:val="00780FFF"/>
    <w:rsid w:val="00781076"/>
    <w:rsid w:val="00781133"/>
    <w:rsid w:val="00781611"/>
    <w:rsid w:val="00781C66"/>
    <w:rsid w:val="00781D35"/>
    <w:rsid w:val="00781E98"/>
    <w:rsid w:val="007828DF"/>
    <w:rsid w:val="0078294F"/>
    <w:rsid w:val="00782BAE"/>
    <w:rsid w:val="00782D25"/>
    <w:rsid w:val="00782D4D"/>
    <w:rsid w:val="00783139"/>
    <w:rsid w:val="00783396"/>
    <w:rsid w:val="00783E6D"/>
    <w:rsid w:val="007842DC"/>
    <w:rsid w:val="0078472B"/>
    <w:rsid w:val="0078479F"/>
    <w:rsid w:val="007849B8"/>
    <w:rsid w:val="00784B0C"/>
    <w:rsid w:val="00784E66"/>
    <w:rsid w:val="007852BD"/>
    <w:rsid w:val="007854B3"/>
    <w:rsid w:val="00785CAD"/>
    <w:rsid w:val="0078615C"/>
    <w:rsid w:val="00786440"/>
    <w:rsid w:val="00786446"/>
    <w:rsid w:val="0078710B"/>
    <w:rsid w:val="0078748D"/>
    <w:rsid w:val="00787967"/>
    <w:rsid w:val="00787F28"/>
    <w:rsid w:val="00790937"/>
    <w:rsid w:val="00790CEF"/>
    <w:rsid w:val="00790E89"/>
    <w:rsid w:val="00791416"/>
    <w:rsid w:val="007919E4"/>
    <w:rsid w:val="00791A75"/>
    <w:rsid w:val="00792255"/>
    <w:rsid w:val="00792F75"/>
    <w:rsid w:val="0079316B"/>
    <w:rsid w:val="00793CD1"/>
    <w:rsid w:val="00794A23"/>
    <w:rsid w:val="00794B50"/>
    <w:rsid w:val="00794BB9"/>
    <w:rsid w:val="00795336"/>
    <w:rsid w:val="00795614"/>
    <w:rsid w:val="007956DF"/>
    <w:rsid w:val="007959CA"/>
    <w:rsid w:val="00795A83"/>
    <w:rsid w:val="00795DC5"/>
    <w:rsid w:val="00795FC9"/>
    <w:rsid w:val="007960AC"/>
    <w:rsid w:val="00796B7C"/>
    <w:rsid w:val="0079797A"/>
    <w:rsid w:val="007979C6"/>
    <w:rsid w:val="00797A50"/>
    <w:rsid w:val="007A0014"/>
    <w:rsid w:val="007A06CA"/>
    <w:rsid w:val="007A06F7"/>
    <w:rsid w:val="007A16FC"/>
    <w:rsid w:val="007A182E"/>
    <w:rsid w:val="007A1E12"/>
    <w:rsid w:val="007A24CC"/>
    <w:rsid w:val="007A2637"/>
    <w:rsid w:val="007A294C"/>
    <w:rsid w:val="007A2DAA"/>
    <w:rsid w:val="007A32F5"/>
    <w:rsid w:val="007A3D55"/>
    <w:rsid w:val="007A4C7D"/>
    <w:rsid w:val="007A5606"/>
    <w:rsid w:val="007A5A93"/>
    <w:rsid w:val="007A5BEB"/>
    <w:rsid w:val="007A5F33"/>
    <w:rsid w:val="007A6690"/>
    <w:rsid w:val="007A673F"/>
    <w:rsid w:val="007A6CEE"/>
    <w:rsid w:val="007A6D93"/>
    <w:rsid w:val="007A72FE"/>
    <w:rsid w:val="007A7DC2"/>
    <w:rsid w:val="007B0680"/>
    <w:rsid w:val="007B08DF"/>
    <w:rsid w:val="007B1385"/>
    <w:rsid w:val="007B160A"/>
    <w:rsid w:val="007B1896"/>
    <w:rsid w:val="007B1CB2"/>
    <w:rsid w:val="007B1CDC"/>
    <w:rsid w:val="007B2C15"/>
    <w:rsid w:val="007B2E8C"/>
    <w:rsid w:val="007B3298"/>
    <w:rsid w:val="007B3937"/>
    <w:rsid w:val="007B398D"/>
    <w:rsid w:val="007B3E47"/>
    <w:rsid w:val="007B3EF1"/>
    <w:rsid w:val="007B40CC"/>
    <w:rsid w:val="007B40D5"/>
    <w:rsid w:val="007B4840"/>
    <w:rsid w:val="007B48C4"/>
    <w:rsid w:val="007B4B8E"/>
    <w:rsid w:val="007B4BD9"/>
    <w:rsid w:val="007B5636"/>
    <w:rsid w:val="007B5CA4"/>
    <w:rsid w:val="007B5CC4"/>
    <w:rsid w:val="007B61AA"/>
    <w:rsid w:val="007B6594"/>
    <w:rsid w:val="007B6A17"/>
    <w:rsid w:val="007B7D85"/>
    <w:rsid w:val="007B7E26"/>
    <w:rsid w:val="007C0B4F"/>
    <w:rsid w:val="007C1213"/>
    <w:rsid w:val="007C1A54"/>
    <w:rsid w:val="007C1B47"/>
    <w:rsid w:val="007C21D3"/>
    <w:rsid w:val="007C280A"/>
    <w:rsid w:val="007C2C15"/>
    <w:rsid w:val="007C2C79"/>
    <w:rsid w:val="007C3041"/>
    <w:rsid w:val="007C398E"/>
    <w:rsid w:val="007C3B47"/>
    <w:rsid w:val="007C445C"/>
    <w:rsid w:val="007C4576"/>
    <w:rsid w:val="007C4FD5"/>
    <w:rsid w:val="007C6079"/>
    <w:rsid w:val="007C61F0"/>
    <w:rsid w:val="007C6BBC"/>
    <w:rsid w:val="007C7E30"/>
    <w:rsid w:val="007D0086"/>
    <w:rsid w:val="007D0943"/>
    <w:rsid w:val="007D0CF2"/>
    <w:rsid w:val="007D0D39"/>
    <w:rsid w:val="007D0E17"/>
    <w:rsid w:val="007D1151"/>
    <w:rsid w:val="007D1362"/>
    <w:rsid w:val="007D16D6"/>
    <w:rsid w:val="007D1A06"/>
    <w:rsid w:val="007D217C"/>
    <w:rsid w:val="007D2956"/>
    <w:rsid w:val="007D2D2C"/>
    <w:rsid w:val="007D3409"/>
    <w:rsid w:val="007D3648"/>
    <w:rsid w:val="007D36D9"/>
    <w:rsid w:val="007D37BE"/>
    <w:rsid w:val="007D38F7"/>
    <w:rsid w:val="007D3A46"/>
    <w:rsid w:val="007D3F96"/>
    <w:rsid w:val="007D403E"/>
    <w:rsid w:val="007D4070"/>
    <w:rsid w:val="007D42D6"/>
    <w:rsid w:val="007D44B2"/>
    <w:rsid w:val="007D4D9E"/>
    <w:rsid w:val="007D55F3"/>
    <w:rsid w:val="007D566B"/>
    <w:rsid w:val="007D57E3"/>
    <w:rsid w:val="007D751A"/>
    <w:rsid w:val="007D7AEB"/>
    <w:rsid w:val="007D7B38"/>
    <w:rsid w:val="007E00DA"/>
    <w:rsid w:val="007E0247"/>
    <w:rsid w:val="007E05C9"/>
    <w:rsid w:val="007E099A"/>
    <w:rsid w:val="007E0E28"/>
    <w:rsid w:val="007E1287"/>
    <w:rsid w:val="007E14E0"/>
    <w:rsid w:val="007E1A21"/>
    <w:rsid w:val="007E1D73"/>
    <w:rsid w:val="007E2251"/>
    <w:rsid w:val="007E28C1"/>
    <w:rsid w:val="007E2B02"/>
    <w:rsid w:val="007E2D66"/>
    <w:rsid w:val="007E33CD"/>
    <w:rsid w:val="007E3C4D"/>
    <w:rsid w:val="007E4745"/>
    <w:rsid w:val="007E539C"/>
    <w:rsid w:val="007E5429"/>
    <w:rsid w:val="007E58A1"/>
    <w:rsid w:val="007E5DBC"/>
    <w:rsid w:val="007E64E5"/>
    <w:rsid w:val="007E67E5"/>
    <w:rsid w:val="007E6BF5"/>
    <w:rsid w:val="007E6E02"/>
    <w:rsid w:val="007E6FA1"/>
    <w:rsid w:val="007E7402"/>
    <w:rsid w:val="007E798E"/>
    <w:rsid w:val="007F023A"/>
    <w:rsid w:val="007F04A6"/>
    <w:rsid w:val="007F0979"/>
    <w:rsid w:val="007F0B10"/>
    <w:rsid w:val="007F130F"/>
    <w:rsid w:val="007F1616"/>
    <w:rsid w:val="007F1883"/>
    <w:rsid w:val="007F1FA1"/>
    <w:rsid w:val="007F22A0"/>
    <w:rsid w:val="007F25B2"/>
    <w:rsid w:val="007F2673"/>
    <w:rsid w:val="007F26DF"/>
    <w:rsid w:val="007F2762"/>
    <w:rsid w:val="007F2B3C"/>
    <w:rsid w:val="007F31E4"/>
    <w:rsid w:val="007F3572"/>
    <w:rsid w:val="007F36BB"/>
    <w:rsid w:val="007F3CAD"/>
    <w:rsid w:val="007F3CB8"/>
    <w:rsid w:val="007F3D2B"/>
    <w:rsid w:val="007F3FEC"/>
    <w:rsid w:val="007F4A9A"/>
    <w:rsid w:val="007F4DE0"/>
    <w:rsid w:val="007F51AA"/>
    <w:rsid w:val="007F53EE"/>
    <w:rsid w:val="007F58B5"/>
    <w:rsid w:val="007F5A3B"/>
    <w:rsid w:val="007F64E0"/>
    <w:rsid w:val="007F6F6A"/>
    <w:rsid w:val="007F739D"/>
    <w:rsid w:val="007F73B4"/>
    <w:rsid w:val="007F75E2"/>
    <w:rsid w:val="007F7E7F"/>
    <w:rsid w:val="0080033C"/>
    <w:rsid w:val="00800D46"/>
    <w:rsid w:val="008013EB"/>
    <w:rsid w:val="008015D6"/>
    <w:rsid w:val="008018E4"/>
    <w:rsid w:val="008019F1"/>
    <w:rsid w:val="00801E01"/>
    <w:rsid w:val="00802E4F"/>
    <w:rsid w:val="008030F0"/>
    <w:rsid w:val="00803788"/>
    <w:rsid w:val="00804CC5"/>
    <w:rsid w:val="00804CDA"/>
    <w:rsid w:val="00804F18"/>
    <w:rsid w:val="008050FA"/>
    <w:rsid w:val="008051F0"/>
    <w:rsid w:val="008052B1"/>
    <w:rsid w:val="00805772"/>
    <w:rsid w:val="0080584F"/>
    <w:rsid w:val="00805D29"/>
    <w:rsid w:val="00806475"/>
    <w:rsid w:val="00806515"/>
    <w:rsid w:val="00806843"/>
    <w:rsid w:val="00806BD3"/>
    <w:rsid w:val="00806CD3"/>
    <w:rsid w:val="00807131"/>
    <w:rsid w:val="0080732A"/>
    <w:rsid w:val="00807674"/>
    <w:rsid w:val="00807D4F"/>
    <w:rsid w:val="00807E7B"/>
    <w:rsid w:val="008102FB"/>
    <w:rsid w:val="008102FC"/>
    <w:rsid w:val="008107CE"/>
    <w:rsid w:val="008110C9"/>
    <w:rsid w:val="00811160"/>
    <w:rsid w:val="008112B1"/>
    <w:rsid w:val="00811BB5"/>
    <w:rsid w:val="008134B7"/>
    <w:rsid w:val="00813B42"/>
    <w:rsid w:val="00814422"/>
    <w:rsid w:val="008146C2"/>
    <w:rsid w:val="008148F9"/>
    <w:rsid w:val="00814CEA"/>
    <w:rsid w:val="00815530"/>
    <w:rsid w:val="0081559A"/>
    <w:rsid w:val="00815622"/>
    <w:rsid w:val="00815FAB"/>
    <w:rsid w:val="00815FC5"/>
    <w:rsid w:val="0081648A"/>
    <w:rsid w:val="00817382"/>
    <w:rsid w:val="00817E6D"/>
    <w:rsid w:val="00817E80"/>
    <w:rsid w:val="00820172"/>
    <w:rsid w:val="00820BF2"/>
    <w:rsid w:val="00820C2F"/>
    <w:rsid w:val="00820DFF"/>
    <w:rsid w:val="00821D58"/>
    <w:rsid w:val="0082250E"/>
    <w:rsid w:val="008225B6"/>
    <w:rsid w:val="00822C9F"/>
    <w:rsid w:val="00822DDB"/>
    <w:rsid w:val="0082343B"/>
    <w:rsid w:val="0082381C"/>
    <w:rsid w:val="00823EDD"/>
    <w:rsid w:val="00824428"/>
    <w:rsid w:val="00824A73"/>
    <w:rsid w:val="00824D3A"/>
    <w:rsid w:val="00824D75"/>
    <w:rsid w:val="0082531D"/>
    <w:rsid w:val="008261FE"/>
    <w:rsid w:val="00826C92"/>
    <w:rsid w:val="00826F79"/>
    <w:rsid w:val="00827373"/>
    <w:rsid w:val="0083049E"/>
    <w:rsid w:val="00830672"/>
    <w:rsid w:val="00830883"/>
    <w:rsid w:val="00830CDB"/>
    <w:rsid w:val="008314AE"/>
    <w:rsid w:val="00831BAC"/>
    <w:rsid w:val="00832313"/>
    <w:rsid w:val="0083253B"/>
    <w:rsid w:val="00833116"/>
    <w:rsid w:val="00833711"/>
    <w:rsid w:val="008337A9"/>
    <w:rsid w:val="00833B89"/>
    <w:rsid w:val="00833F62"/>
    <w:rsid w:val="008344C8"/>
    <w:rsid w:val="0083453B"/>
    <w:rsid w:val="008351DD"/>
    <w:rsid w:val="0083525A"/>
    <w:rsid w:val="0083566A"/>
    <w:rsid w:val="00835863"/>
    <w:rsid w:val="00835D98"/>
    <w:rsid w:val="00837D8B"/>
    <w:rsid w:val="0084045D"/>
    <w:rsid w:val="00840DDC"/>
    <w:rsid w:val="00841A05"/>
    <w:rsid w:val="00842BDB"/>
    <w:rsid w:val="00842ED4"/>
    <w:rsid w:val="0084316D"/>
    <w:rsid w:val="00843633"/>
    <w:rsid w:val="00843823"/>
    <w:rsid w:val="008439F1"/>
    <w:rsid w:val="00844084"/>
    <w:rsid w:val="008442EE"/>
    <w:rsid w:val="00844968"/>
    <w:rsid w:val="00844E7B"/>
    <w:rsid w:val="00844EB7"/>
    <w:rsid w:val="00844FAA"/>
    <w:rsid w:val="00845974"/>
    <w:rsid w:val="00845B07"/>
    <w:rsid w:val="00845C91"/>
    <w:rsid w:val="008476C9"/>
    <w:rsid w:val="00850023"/>
    <w:rsid w:val="0085071F"/>
    <w:rsid w:val="00850EF7"/>
    <w:rsid w:val="00851284"/>
    <w:rsid w:val="008516B3"/>
    <w:rsid w:val="00851785"/>
    <w:rsid w:val="00851C07"/>
    <w:rsid w:val="00851C64"/>
    <w:rsid w:val="00851DEA"/>
    <w:rsid w:val="0085227F"/>
    <w:rsid w:val="008526AA"/>
    <w:rsid w:val="008528C0"/>
    <w:rsid w:val="00852A1F"/>
    <w:rsid w:val="00852CBC"/>
    <w:rsid w:val="00852EA4"/>
    <w:rsid w:val="0085412A"/>
    <w:rsid w:val="00854921"/>
    <w:rsid w:val="00854EA9"/>
    <w:rsid w:val="00855C60"/>
    <w:rsid w:val="008560D1"/>
    <w:rsid w:val="008563D7"/>
    <w:rsid w:val="008564B7"/>
    <w:rsid w:val="00856ACF"/>
    <w:rsid w:val="00856BC3"/>
    <w:rsid w:val="00857735"/>
    <w:rsid w:val="0086057C"/>
    <w:rsid w:val="0086070D"/>
    <w:rsid w:val="00860E34"/>
    <w:rsid w:val="008617DA"/>
    <w:rsid w:val="00861D9F"/>
    <w:rsid w:val="00861DB3"/>
    <w:rsid w:val="00861E0D"/>
    <w:rsid w:val="008622C6"/>
    <w:rsid w:val="008626A1"/>
    <w:rsid w:val="00862705"/>
    <w:rsid w:val="00862781"/>
    <w:rsid w:val="00862A70"/>
    <w:rsid w:val="00863715"/>
    <w:rsid w:val="00863B8E"/>
    <w:rsid w:val="00863ECE"/>
    <w:rsid w:val="008645FA"/>
    <w:rsid w:val="00864D28"/>
    <w:rsid w:val="0086554C"/>
    <w:rsid w:val="00865804"/>
    <w:rsid w:val="00865D73"/>
    <w:rsid w:val="00866114"/>
    <w:rsid w:val="00866988"/>
    <w:rsid w:val="00866C7F"/>
    <w:rsid w:val="00866FF2"/>
    <w:rsid w:val="0086773F"/>
    <w:rsid w:val="008703D6"/>
    <w:rsid w:val="008708EA"/>
    <w:rsid w:val="00870BDD"/>
    <w:rsid w:val="00870FA5"/>
    <w:rsid w:val="0087105C"/>
    <w:rsid w:val="008711AD"/>
    <w:rsid w:val="00871402"/>
    <w:rsid w:val="008716C0"/>
    <w:rsid w:val="00871801"/>
    <w:rsid w:val="008719BD"/>
    <w:rsid w:val="00872148"/>
    <w:rsid w:val="0087233A"/>
    <w:rsid w:val="0087250E"/>
    <w:rsid w:val="00872563"/>
    <w:rsid w:val="008726D6"/>
    <w:rsid w:val="00872D31"/>
    <w:rsid w:val="00872F16"/>
    <w:rsid w:val="0087346B"/>
    <w:rsid w:val="008734D0"/>
    <w:rsid w:val="008738FF"/>
    <w:rsid w:val="00873DD4"/>
    <w:rsid w:val="00874955"/>
    <w:rsid w:val="00874E35"/>
    <w:rsid w:val="0087517A"/>
    <w:rsid w:val="00876345"/>
    <w:rsid w:val="00876426"/>
    <w:rsid w:val="008764A9"/>
    <w:rsid w:val="00876982"/>
    <w:rsid w:val="00876F86"/>
    <w:rsid w:val="008774DB"/>
    <w:rsid w:val="00877A8B"/>
    <w:rsid w:val="00877C42"/>
    <w:rsid w:val="008809D6"/>
    <w:rsid w:val="00880C47"/>
    <w:rsid w:val="00880D8F"/>
    <w:rsid w:val="0088179A"/>
    <w:rsid w:val="00881E5C"/>
    <w:rsid w:val="00881F75"/>
    <w:rsid w:val="008821AD"/>
    <w:rsid w:val="0088277C"/>
    <w:rsid w:val="008829F0"/>
    <w:rsid w:val="00883885"/>
    <w:rsid w:val="00883969"/>
    <w:rsid w:val="00883D28"/>
    <w:rsid w:val="00883EB7"/>
    <w:rsid w:val="00884252"/>
    <w:rsid w:val="00884344"/>
    <w:rsid w:val="008843B1"/>
    <w:rsid w:val="00884715"/>
    <w:rsid w:val="0088483D"/>
    <w:rsid w:val="008851A0"/>
    <w:rsid w:val="008851A6"/>
    <w:rsid w:val="008851F4"/>
    <w:rsid w:val="00885274"/>
    <w:rsid w:val="00886053"/>
    <w:rsid w:val="0088707B"/>
    <w:rsid w:val="00887474"/>
    <w:rsid w:val="008874A9"/>
    <w:rsid w:val="00887A23"/>
    <w:rsid w:val="00887AEE"/>
    <w:rsid w:val="008908BB"/>
    <w:rsid w:val="00890F3A"/>
    <w:rsid w:val="00892A82"/>
    <w:rsid w:val="00892D46"/>
    <w:rsid w:val="00893045"/>
    <w:rsid w:val="00893113"/>
    <w:rsid w:val="0089346F"/>
    <w:rsid w:val="00893D8E"/>
    <w:rsid w:val="0089404B"/>
    <w:rsid w:val="00894125"/>
    <w:rsid w:val="00894286"/>
    <w:rsid w:val="008945BD"/>
    <w:rsid w:val="00894F3A"/>
    <w:rsid w:val="00895068"/>
    <w:rsid w:val="00895567"/>
    <w:rsid w:val="008958F6"/>
    <w:rsid w:val="00895969"/>
    <w:rsid w:val="008959CD"/>
    <w:rsid w:val="00895B4F"/>
    <w:rsid w:val="00895E69"/>
    <w:rsid w:val="00896238"/>
    <w:rsid w:val="008965D2"/>
    <w:rsid w:val="00896818"/>
    <w:rsid w:val="008971AE"/>
    <w:rsid w:val="008972B1"/>
    <w:rsid w:val="0089794D"/>
    <w:rsid w:val="008979AD"/>
    <w:rsid w:val="00897AC1"/>
    <w:rsid w:val="00897DE5"/>
    <w:rsid w:val="008A0536"/>
    <w:rsid w:val="008A0C56"/>
    <w:rsid w:val="008A106A"/>
    <w:rsid w:val="008A1383"/>
    <w:rsid w:val="008A1DCE"/>
    <w:rsid w:val="008A24CB"/>
    <w:rsid w:val="008A2626"/>
    <w:rsid w:val="008A2F46"/>
    <w:rsid w:val="008A36C3"/>
    <w:rsid w:val="008A36CA"/>
    <w:rsid w:val="008A382D"/>
    <w:rsid w:val="008A3BA9"/>
    <w:rsid w:val="008A4AD1"/>
    <w:rsid w:val="008A4E66"/>
    <w:rsid w:val="008A6010"/>
    <w:rsid w:val="008A622A"/>
    <w:rsid w:val="008A65BE"/>
    <w:rsid w:val="008A697B"/>
    <w:rsid w:val="008A6C0E"/>
    <w:rsid w:val="008A70D8"/>
    <w:rsid w:val="008A7339"/>
    <w:rsid w:val="008A7C50"/>
    <w:rsid w:val="008A7E85"/>
    <w:rsid w:val="008B02BB"/>
    <w:rsid w:val="008B0588"/>
    <w:rsid w:val="008B06CB"/>
    <w:rsid w:val="008B111C"/>
    <w:rsid w:val="008B121C"/>
    <w:rsid w:val="008B12F0"/>
    <w:rsid w:val="008B1A02"/>
    <w:rsid w:val="008B2672"/>
    <w:rsid w:val="008B2A72"/>
    <w:rsid w:val="008B2F04"/>
    <w:rsid w:val="008B32CC"/>
    <w:rsid w:val="008B4321"/>
    <w:rsid w:val="008B47AE"/>
    <w:rsid w:val="008B5A19"/>
    <w:rsid w:val="008B67C3"/>
    <w:rsid w:val="008B6967"/>
    <w:rsid w:val="008B758F"/>
    <w:rsid w:val="008B7794"/>
    <w:rsid w:val="008B7B6B"/>
    <w:rsid w:val="008B7C97"/>
    <w:rsid w:val="008B7FF8"/>
    <w:rsid w:val="008C069A"/>
    <w:rsid w:val="008C0701"/>
    <w:rsid w:val="008C093D"/>
    <w:rsid w:val="008C0B2F"/>
    <w:rsid w:val="008C0CD8"/>
    <w:rsid w:val="008C0F9A"/>
    <w:rsid w:val="008C13C6"/>
    <w:rsid w:val="008C13D8"/>
    <w:rsid w:val="008C1FD2"/>
    <w:rsid w:val="008C2B2C"/>
    <w:rsid w:val="008C318D"/>
    <w:rsid w:val="008C3C22"/>
    <w:rsid w:val="008C4543"/>
    <w:rsid w:val="008C4F60"/>
    <w:rsid w:val="008C58BD"/>
    <w:rsid w:val="008C5AA6"/>
    <w:rsid w:val="008C5CDF"/>
    <w:rsid w:val="008C5E31"/>
    <w:rsid w:val="008C6140"/>
    <w:rsid w:val="008C642C"/>
    <w:rsid w:val="008C66CC"/>
    <w:rsid w:val="008C6B64"/>
    <w:rsid w:val="008C74D6"/>
    <w:rsid w:val="008D0034"/>
    <w:rsid w:val="008D0038"/>
    <w:rsid w:val="008D03FE"/>
    <w:rsid w:val="008D0FA0"/>
    <w:rsid w:val="008D13E0"/>
    <w:rsid w:val="008D16CE"/>
    <w:rsid w:val="008D17A1"/>
    <w:rsid w:val="008D1952"/>
    <w:rsid w:val="008D1A70"/>
    <w:rsid w:val="008D1A9D"/>
    <w:rsid w:val="008D1D33"/>
    <w:rsid w:val="008D2226"/>
    <w:rsid w:val="008D24E6"/>
    <w:rsid w:val="008D24EA"/>
    <w:rsid w:val="008D2591"/>
    <w:rsid w:val="008D261E"/>
    <w:rsid w:val="008D26FE"/>
    <w:rsid w:val="008D2E46"/>
    <w:rsid w:val="008D2FDC"/>
    <w:rsid w:val="008D36E7"/>
    <w:rsid w:val="008D3A06"/>
    <w:rsid w:val="008D40D7"/>
    <w:rsid w:val="008D4EE4"/>
    <w:rsid w:val="008D5C0D"/>
    <w:rsid w:val="008D653E"/>
    <w:rsid w:val="008D6E93"/>
    <w:rsid w:val="008D6F24"/>
    <w:rsid w:val="008D6F5E"/>
    <w:rsid w:val="008D73A0"/>
    <w:rsid w:val="008D7941"/>
    <w:rsid w:val="008D7A49"/>
    <w:rsid w:val="008D7CF5"/>
    <w:rsid w:val="008D7FB7"/>
    <w:rsid w:val="008E0525"/>
    <w:rsid w:val="008E065F"/>
    <w:rsid w:val="008E0BE2"/>
    <w:rsid w:val="008E1F4E"/>
    <w:rsid w:val="008E2729"/>
    <w:rsid w:val="008E2807"/>
    <w:rsid w:val="008E2F52"/>
    <w:rsid w:val="008E3030"/>
    <w:rsid w:val="008E4328"/>
    <w:rsid w:val="008E43D1"/>
    <w:rsid w:val="008E490A"/>
    <w:rsid w:val="008E4E8C"/>
    <w:rsid w:val="008E4EA4"/>
    <w:rsid w:val="008E5CFF"/>
    <w:rsid w:val="008E60CE"/>
    <w:rsid w:val="008E65C1"/>
    <w:rsid w:val="008E68CA"/>
    <w:rsid w:val="008E7055"/>
    <w:rsid w:val="008E79FB"/>
    <w:rsid w:val="008E7C27"/>
    <w:rsid w:val="008F06FD"/>
    <w:rsid w:val="008F093F"/>
    <w:rsid w:val="008F098B"/>
    <w:rsid w:val="008F0A89"/>
    <w:rsid w:val="008F0C01"/>
    <w:rsid w:val="008F0E50"/>
    <w:rsid w:val="008F102F"/>
    <w:rsid w:val="008F12CA"/>
    <w:rsid w:val="008F1529"/>
    <w:rsid w:val="008F284E"/>
    <w:rsid w:val="008F410B"/>
    <w:rsid w:val="008F41DE"/>
    <w:rsid w:val="008F42FC"/>
    <w:rsid w:val="008F4E0A"/>
    <w:rsid w:val="008F4E29"/>
    <w:rsid w:val="008F532D"/>
    <w:rsid w:val="008F5446"/>
    <w:rsid w:val="008F54FF"/>
    <w:rsid w:val="008F5B48"/>
    <w:rsid w:val="008F60CE"/>
    <w:rsid w:val="008F6C19"/>
    <w:rsid w:val="008F6D83"/>
    <w:rsid w:val="008F6F7E"/>
    <w:rsid w:val="008F76BC"/>
    <w:rsid w:val="008F78EA"/>
    <w:rsid w:val="008F7E2A"/>
    <w:rsid w:val="009003F2"/>
    <w:rsid w:val="009008C7"/>
    <w:rsid w:val="009009AC"/>
    <w:rsid w:val="00900B51"/>
    <w:rsid w:val="00900D8E"/>
    <w:rsid w:val="0090182B"/>
    <w:rsid w:val="00901C01"/>
    <w:rsid w:val="00902FB1"/>
    <w:rsid w:val="0090352B"/>
    <w:rsid w:val="00903848"/>
    <w:rsid w:val="00904EB1"/>
    <w:rsid w:val="0090561C"/>
    <w:rsid w:val="0090582B"/>
    <w:rsid w:val="00905A99"/>
    <w:rsid w:val="00905E15"/>
    <w:rsid w:val="009067C7"/>
    <w:rsid w:val="00906FFB"/>
    <w:rsid w:val="00907499"/>
    <w:rsid w:val="0090765E"/>
    <w:rsid w:val="00907B32"/>
    <w:rsid w:val="00907BA9"/>
    <w:rsid w:val="00907F14"/>
    <w:rsid w:val="009102B9"/>
    <w:rsid w:val="009105B6"/>
    <w:rsid w:val="00910FBB"/>
    <w:rsid w:val="009111AC"/>
    <w:rsid w:val="009112F8"/>
    <w:rsid w:val="00911667"/>
    <w:rsid w:val="00911DF2"/>
    <w:rsid w:val="00911F08"/>
    <w:rsid w:val="009121FB"/>
    <w:rsid w:val="009126D5"/>
    <w:rsid w:val="009128C9"/>
    <w:rsid w:val="009129D9"/>
    <w:rsid w:val="009129EF"/>
    <w:rsid w:val="0091378A"/>
    <w:rsid w:val="00913B77"/>
    <w:rsid w:val="00913C04"/>
    <w:rsid w:val="00914D9B"/>
    <w:rsid w:val="009150F8"/>
    <w:rsid w:val="009157B4"/>
    <w:rsid w:val="00915B2E"/>
    <w:rsid w:val="00915EEF"/>
    <w:rsid w:val="00916398"/>
    <w:rsid w:val="0091699F"/>
    <w:rsid w:val="00916CDA"/>
    <w:rsid w:val="009170F7"/>
    <w:rsid w:val="00917451"/>
    <w:rsid w:val="00917973"/>
    <w:rsid w:val="00920CA1"/>
    <w:rsid w:val="00920D2E"/>
    <w:rsid w:val="00920E16"/>
    <w:rsid w:val="009214B2"/>
    <w:rsid w:val="009217F6"/>
    <w:rsid w:val="009221DF"/>
    <w:rsid w:val="009228D9"/>
    <w:rsid w:val="00924158"/>
    <w:rsid w:val="00924383"/>
    <w:rsid w:val="009244AE"/>
    <w:rsid w:val="00924849"/>
    <w:rsid w:val="00924E41"/>
    <w:rsid w:val="00924F36"/>
    <w:rsid w:val="0092545F"/>
    <w:rsid w:val="009256A1"/>
    <w:rsid w:val="009259BF"/>
    <w:rsid w:val="0092605D"/>
    <w:rsid w:val="009264B5"/>
    <w:rsid w:val="00926DFB"/>
    <w:rsid w:val="00927BF1"/>
    <w:rsid w:val="00927D02"/>
    <w:rsid w:val="00930F7A"/>
    <w:rsid w:val="00931563"/>
    <w:rsid w:val="009320F6"/>
    <w:rsid w:val="0093258B"/>
    <w:rsid w:val="00932B4C"/>
    <w:rsid w:val="00932FF0"/>
    <w:rsid w:val="009337A9"/>
    <w:rsid w:val="00933BA3"/>
    <w:rsid w:val="00933F3C"/>
    <w:rsid w:val="00934251"/>
    <w:rsid w:val="00934777"/>
    <w:rsid w:val="00934829"/>
    <w:rsid w:val="00934F0E"/>
    <w:rsid w:val="009352BA"/>
    <w:rsid w:val="00935625"/>
    <w:rsid w:val="00935E57"/>
    <w:rsid w:val="00936352"/>
    <w:rsid w:val="00936C3A"/>
    <w:rsid w:val="00936D36"/>
    <w:rsid w:val="00936EFC"/>
    <w:rsid w:val="00937080"/>
    <w:rsid w:val="00937347"/>
    <w:rsid w:val="00937390"/>
    <w:rsid w:val="009400A9"/>
    <w:rsid w:val="009403B2"/>
    <w:rsid w:val="00940674"/>
    <w:rsid w:val="00940A76"/>
    <w:rsid w:val="00940B6A"/>
    <w:rsid w:val="00940C64"/>
    <w:rsid w:val="00941140"/>
    <w:rsid w:val="00941AA3"/>
    <w:rsid w:val="00941EE0"/>
    <w:rsid w:val="0094248F"/>
    <w:rsid w:val="00942DBE"/>
    <w:rsid w:val="00943440"/>
    <w:rsid w:val="009447A6"/>
    <w:rsid w:val="009448A1"/>
    <w:rsid w:val="009452C4"/>
    <w:rsid w:val="009452F3"/>
    <w:rsid w:val="00945DF0"/>
    <w:rsid w:val="009469EE"/>
    <w:rsid w:val="00946DCB"/>
    <w:rsid w:val="009474A7"/>
    <w:rsid w:val="00947577"/>
    <w:rsid w:val="009477D8"/>
    <w:rsid w:val="009479F5"/>
    <w:rsid w:val="009504B8"/>
    <w:rsid w:val="009509F1"/>
    <w:rsid w:val="00951226"/>
    <w:rsid w:val="0095169D"/>
    <w:rsid w:val="0095179E"/>
    <w:rsid w:val="00951C47"/>
    <w:rsid w:val="00952A47"/>
    <w:rsid w:val="00952D0D"/>
    <w:rsid w:val="009530AD"/>
    <w:rsid w:val="009538FD"/>
    <w:rsid w:val="00953ADA"/>
    <w:rsid w:val="00953ECB"/>
    <w:rsid w:val="009545A8"/>
    <w:rsid w:val="00955526"/>
    <w:rsid w:val="00955C18"/>
    <w:rsid w:val="00955E84"/>
    <w:rsid w:val="0095619D"/>
    <w:rsid w:val="00956702"/>
    <w:rsid w:val="009577E5"/>
    <w:rsid w:val="00957CA3"/>
    <w:rsid w:val="00957F79"/>
    <w:rsid w:val="0096060C"/>
    <w:rsid w:val="00960F72"/>
    <w:rsid w:val="009610D7"/>
    <w:rsid w:val="00961D0A"/>
    <w:rsid w:val="00962E0C"/>
    <w:rsid w:val="00962EE2"/>
    <w:rsid w:val="00963055"/>
    <w:rsid w:val="00963BBA"/>
    <w:rsid w:val="00964109"/>
    <w:rsid w:val="00964974"/>
    <w:rsid w:val="00964AA1"/>
    <w:rsid w:val="00964AA4"/>
    <w:rsid w:val="00964CA5"/>
    <w:rsid w:val="009653AD"/>
    <w:rsid w:val="009655C3"/>
    <w:rsid w:val="009655E9"/>
    <w:rsid w:val="009661EB"/>
    <w:rsid w:val="00966836"/>
    <w:rsid w:val="00966C47"/>
    <w:rsid w:val="00966DAE"/>
    <w:rsid w:val="00967642"/>
    <w:rsid w:val="00967B33"/>
    <w:rsid w:val="00967C78"/>
    <w:rsid w:val="009709D2"/>
    <w:rsid w:val="00970A4A"/>
    <w:rsid w:val="00970AA5"/>
    <w:rsid w:val="00970FE1"/>
    <w:rsid w:val="00970FE4"/>
    <w:rsid w:val="009713B1"/>
    <w:rsid w:val="009717D4"/>
    <w:rsid w:val="00972524"/>
    <w:rsid w:val="00972C75"/>
    <w:rsid w:val="00973158"/>
    <w:rsid w:val="009735FF"/>
    <w:rsid w:val="009736F8"/>
    <w:rsid w:val="009738AE"/>
    <w:rsid w:val="00974373"/>
    <w:rsid w:val="009743A8"/>
    <w:rsid w:val="0097458D"/>
    <w:rsid w:val="00974875"/>
    <w:rsid w:val="0097487E"/>
    <w:rsid w:val="009756F3"/>
    <w:rsid w:val="00975DD8"/>
    <w:rsid w:val="009763E0"/>
    <w:rsid w:val="009764DE"/>
    <w:rsid w:val="00976A74"/>
    <w:rsid w:val="00976D5A"/>
    <w:rsid w:val="00977122"/>
    <w:rsid w:val="00977646"/>
    <w:rsid w:val="00977795"/>
    <w:rsid w:val="00977FD0"/>
    <w:rsid w:val="0098030D"/>
    <w:rsid w:val="009806FD"/>
    <w:rsid w:val="00980DC6"/>
    <w:rsid w:val="00980DFD"/>
    <w:rsid w:val="00980FFA"/>
    <w:rsid w:val="009810D2"/>
    <w:rsid w:val="00981226"/>
    <w:rsid w:val="009816E2"/>
    <w:rsid w:val="00981944"/>
    <w:rsid w:val="00981C19"/>
    <w:rsid w:val="00981CAA"/>
    <w:rsid w:val="00982112"/>
    <w:rsid w:val="00982EFC"/>
    <w:rsid w:val="00983232"/>
    <w:rsid w:val="0098400F"/>
    <w:rsid w:val="00984A46"/>
    <w:rsid w:val="00984FE2"/>
    <w:rsid w:val="0098587E"/>
    <w:rsid w:val="00985C66"/>
    <w:rsid w:val="00985FB5"/>
    <w:rsid w:val="009862C6"/>
    <w:rsid w:val="009865E5"/>
    <w:rsid w:val="00986969"/>
    <w:rsid w:val="00986ACA"/>
    <w:rsid w:val="00987105"/>
    <w:rsid w:val="00987161"/>
    <w:rsid w:val="00987695"/>
    <w:rsid w:val="00987891"/>
    <w:rsid w:val="00987A55"/>
    <w:rsid w:val="00990FF3"/>
    <w:rsid w:val="00991671"/>
    <w:rsid w:val="009917A7"/>
    <w:rsid w:val="00992493"/>
    <w:rsid w:val="009927A8"/>
    <w:rsid w:val="00992B90"/>
    <w:rsid w:val="0099354E"/>
    <w:rsid w:val="00993751"/>
    <w:rsid w:val="00993C97"/>
    <w:rsid w:val="009940DE"/>
    <w:rsid w:val="0099446C"/>
    <w:rsid w:val="009948AF"/>
    <w:rsid w:val="00995921"/>
    <w:rsid w:val="00995A09"/>
    <w:rsid w:val="00995E96"/>
    <w:rsid w:val="009960DD"/>
    <w:rsid w:val="0099750A"/>
    <w:rsid w:val="009975F5"/>
    <w:rsid w:val="009A04C5"/>
    <w:rsid w:val="009A0880"/>
    <w:rsid w:val="009A0A09"/>
    <w:rsid w:val="009A0C56"/>
    <w:rsid w:val="009A0E9D"/>
    <w:rsid w:val="009A11AE"/>
    <w:rsid w:val="009A11D4"/>
    <w:rsid w:val="009A18D8"/>
    <w:rsid w:val="009A19E0"/>
    <w:rsid w:val="009A23B4"/>
    <w:rsid w:val="009A2547"/>
    <w:rsid w:val="009A26E9"/>
    <w:rsid w:val="009A2847"/>
    <w:rsid w:val="009A29B9"/>
    <w:rsid w:val="009A2FF3"/>
    <w:rsid w:val="009A380B"/>
    <w:rsid w:val="009A3D27"/>
    <w:rsid w:val="009A3F8A"/>
    <w:rsid w:val="009A3F99"/>
    <w:rsid w:val="009A4B8B"/>
    <w:rsid w:val="009A575D"/>
    <w:rsid w:val="009A6A4A"/>
    <w:rsid w:val="009A793C"/>
    <w:rsid w:val="009A7BBD"/>
    <w:rsid w:val="009A7C76"/>
    <w:rsid w:val="009B0293"/>
    <w:rsid w:val="009B03D0"/>
    <w:rsid w:val="009B04FF"/>
    <w:rsid w:val="009B0563"/>
    <w:rsid w:val="009B1830"/>
    <w:rsid w:val="009B1D15"/>
    <w:rsid w:val="009B3128"/>
    <w:rsid w:val="009B3131"/>
    <w:rsid w:val="009B3418"/>
    <w:rsid w:val="009B34B3"/>
    <w:rsid w:val="009B34DC"/>
    <w:rsid w:val="009B3D89"/>
    <w:rsid w:val="009B4412"/>
    <w:rsid w:val="009B44D2"/>
    <w:rsid w:val="009B4B3C"/>
    <w:rsid w:val="009B4C51"/>
    <w:rsid w:val="009B5511"/>
    <w:rsid w:val="009B5D7A"/>
    <w:rsid w:val="009B61AB"/>
    <w:rsid w:val="009B6848"/>
    <w:rsid w:val="009B6AF7"/>
    <w:rsid w:val="009B6B0C"/>
    <w:rsid w:val="009B6C08"/>
    <w:rsid w:val="009B7395"/>
    <w:rsid w:val="009B7928"/>
    <w:rsid w:val="009C0191"/>
    <w:rsid w:val="009C04AE"/>
    <w:rsid w:val="009C12AD"/>
    <w:rsid w:val="009C19EE"/>
    <w:rsid w:val="009C1B4D"/>
    <w:rsid w:val="009C1DF5"/>
    <w:rsid w:val="009C1EDD"/>
    <w:rsid w:val="009C24F8"/>
    <w:rsid w:val="009C25D2"/>
    <w:rsid w:val="009C2713"/>
    <w:rsid w:val="009C29C0"/>
    <w:rsid w:val="009C2DB3"/>
    <w:rsid w:val="009C3527"/>
    <w:rsid w:val="009C3BD4"/>
    <w:rsid w:val="009C406F"/>
    <w:rsid w:val="009C4A90"/>
    <w:rsid w:val="009C4AF6"/>
    <w:rsid w:val="009C4DA9"/>
    <w:rsid w:val="009C567C"/>
    <w:rsid w:val="009C58B0"/>
    <w:rsid w:val="009C5A90"/>
    <w:rsid w:val="009C5DDA"/>
    <w:rsid w:val="009C5F7E"/>
    <w:rsid w:val="009C6A2A"/>
    <w:rsid w:val="009C71FA"/>
    <w:rsid w:val="009D01BF"/>
    <w:rsid w:val="009D020A"/>
    <w:rsid w:val="009D06D8"/>
    <w:rsid w:val="009D072F"/>
    <w:rsid w:val="009D0904"/>
    <w:rsid w:val="009D0BE1"/>
    <w:rsid w:val="009D1CBF"/>
    <w:rsid w:val="009D1DC4"/>
    <w:rsid w:val="009D1F27"/>
    <w:rsid w:val="009D2601"/>
    <w:rsid w:val="009D3BE9"/>
    <w:rsid w:val="009D3E4F"/>
    <w:rsid w:val="009D441A"/>
    <w:rsid w:val="009D4871"/>
    <w:rsid w:val="009D4CA7"/>
    <w:rsid w:val="009D5B95"/>
    <w:rsid w:val="009D5C29"/>
    <w:rsid w:val="009D6087"/>
    <w:rsid w:val="009D6540"/>
    <w:rsid w:val="009D66E4"/>
    <w:rsid w:val="009D7D9C"/>
    <w:rsid w:val="009E00A6"/>
    <w:rsid w:val="009E0A62"/>
    <w:rsid w:val="009E1284"/>
    <w:rsid w:val="009E1310"/>
    <w:rsid w:val="009E159B"/>
    <w:rsid w:val="009E1679"/>
    <w:rsid w:val="009E1A35"/>
    <w:rsid w:val="009E1BD2"/>
    <w:rsid w:val="009E1C03"/>
    <w:rsid w:val="009E210B"/>
    <w:rsid w:val="009E2351"/>
    <w:rsid w:val="009E2641"/>
    <w:rsid w:val="009E2B8B"/>
    <w:rsid w:val="009E3214"/>
    <w:rsid w:val="009E3425"/>
    <w:rsid w:val="009E34DE"/>
    <w:rsid w:val="009E3F7C"/>
    <w:rsid w:val="009E402C"/>
    <w:rsid w:val="009E45B2"/>
    <w:rsid w:val="009E4A30"/>
    <w:rsid w:val="009E4D57"/>
    <w:rsid w:val="009E54E9"/>
    <w:rsid w:val="009E5928"/>
    <w:rsid w:val="009E59B3"/>
    <w:rsid w:val="009E5E37"/>
    <w:rsid w:val="009E768C"/>
    <w:rsid w:val="009E778A"/>
    <w:rsid w:val="009E7894"/>
    <w:rsid w:val="009E7A6B"/>
    <w:rsid w:val="009F193D"/>
    <w:rsid w:val="009F1E1E"/>
    <w:rsid w:val="009F2AF8"/>
    <w:rsid w:val="009F3497"/>
    <w:rsid w:val="009F3A7D"/>
    <w:rsid w:val="009F3A80"/>
    <w:rsid w:val="009F41B1"/>
    <w:rsid w:val="009F42CC"/>
    <w:rsid w:val="009F4889"/>
    <w:rsid w:val="009F53C5"/>
    <w:rsid w:val="009F5C8F"/>
    <w:rsid w:val="009F5DB5"/>
    <w:rsid w:val="009F5FD1"/>
    <w:rsid w:val="009F6273"/>
    <w:rsid w:val="009F66B2"/>
    <w:rsid w:val="009F69E6"/>
    <w:rsid w:val="009F6C37"/>
    <w:rsid w:val="009F6C55"/>
    <w:rsid w:val="009F6D93"/>
    <w:rsid w:val="009F7DA0"/>
    <w:rsid w:val="00A002D2"/>
    <w:rsid w:val="00A005F8"/>
    <w:rsid w:val="00A0064B"/>
    <w:rsid w:val="00A00886"/>
    <w:rsid w:val="00A009DD"/>
    <w:rsid w:val="00A00A10"/>
    <w:rsid w:val="00A00BD0"/>
    <w:rsid w:val="00A00EFB"/>
    <w:rsid w:val="00A01883"/>
    <w:rsid w:val="00A02466"/>
    <w:rsid w:val="00A0318C"/>
    <w:rsid w:val="00A03967"/>
    <w:rsid w:val="00A04112"/>
    <w:rsid w:val="00A04432"/>
    <w:rsid w:val="00A044F8"/>
    <w:rsid w:val="00A0460D"/>
    <w:rsid w:val="00A05449"/>
    <w:rsid w:val="00A054E6"/>
    <w:rsid w:val="00A05E10"/>
    <w:rsid w:val="00A06540"/>
    <w:rsid w:val="00A06587"/>
    <w:rsid w:val="00A065C0"/>
    <w:rsid w:val="00A0680F"/>
    <w:rsid w:val="00A06D6D"/>
    <w:rsid w:val="00A0799A"/>
    <w:rsid w:val="00A10060"/>
    <w:rsid w:val="00A10106"/>
    <w:rsid w:val="00A10272"/>
    <w:rsid w:val="00A10576"/>
    <w:rsid w:val="00A10648"/>
    <w:rsid w:val="00A10867"/>
    <w:rsid w:val="00A1143A"/>
    <w:rsid w:val="00A1220A"/>
    <w:rsid w:val="00A123FE"/>
    <w:rsid w:val="00A12833"/>
    <w:rsid w:val="00A12887"/>
    <w:rsid w:val="00A12B1A"/>
    <w:rsid w:val="00A12EAD"/>
    <w:rsid w:val="00A13BB6"/>
    <w:rsid w:val="00A149DE"/>
    <w:rsid w:val="00A15246"/>
    <w:rsid w:val="00A155AE"/>
    <w:rsid w:val="00A15697"/>
    <w:rsid w:val="00A15CF9"/>
    <w:rsid w:val="00A15D5E"/>
    <w:rsid w:val="00A160B7"/>
    <w:rsid w:val="00A16689"/>
    <w:rsid w:val="00A16C6E"/>
    <w:rsid w:val="00A16F24"/>
    <w:rsid w:val="00A17590"/>
    <w:rsid w:val="00A176CA"/>
    <w:rsid w:val="00A176DD"/>
    <w:rsid w:val="00A17E3A"/>
    <w:rsid w:val="00A211AC"/>
    <w:rsid w:val="00A21720"/>
    <w:rsid w:val="00A221C0"/>
    <w:rsid w:val="00A22B67"/>
    <w:rsid w:val="00A22BDF"/>
    <w:rsid w:val="00A22F39"/>
    <w:rsid w:val="00A2300E"/>
    <w:rsid w:val="00A23580"/>
    <w:rsid w:val="00A23B49"/>
    <w:rsid w:val="00A254FA"/>
    <w:rsid w:val="00A257DA"/>
    <w:rsid w:val="00A265F1"/>
    <w:rsid w:val="00A267FD"/>
    <w:rsid w:val="00A26D4D"/>
    <w:rsid w:val="00A271CD"/>
    <w:rsid w:val="00A273B3"/>
    <w:rsid w:val="00A277DB"/>
    <w:rsid w:val="00A27D65"/>
    <w:rsid w:val="00A27DF2"/>
    <w:rsid w:val="00A27E61"/>
    <w:rsid w:val="00A30AF9"/>
    <w:rsid w:val="00A312AE"/>
    <w:rsid w:val="00A314EA"/>
    <w:rsid w:val="00A31616"/>
    <w:rsid w:val="00A31668"/>
    <w:rsid w:val="00A31864"/>
    <w:rsid w:val="00A31D8D"/>
    <w:rsid w:val="00A31F72"/>
    <w:rsid w:val="00A32CE0"/>
    <w:rsid w:val="00A33040"/>
    <w:rsid w:val="00A333CD"/>
    <w:rsid w:val="00A33544"/>
    <w:rsid w:val="00A3356C"/>
    <w:rsid w:val="00A33787"/>
    <w:rsid w:val="00A337B1"/>
    <w:rsid w:val="00A33B72"/>
    <w:rsid w:val="00A33D50"/>
    <w:rsid w:val="00A34E8E"/>
    <w:rsid w:val="00A352B9"/>
    <w:rsid w:val="00A3530D"/>
    <w:rsid w:val="00A356E7"/>
    <w:rsid w:val="00A35884"/>
    <w:rsid w:val="00A360CC"/>
    <w:rsid w:val="00A364EF"/>
    <w:rsid w:val="00A368CD"/>
    <w:rsid w:val="00A36D2D"/>
    <w:rsid w:val="00A36ECC"/>
    <w:rsid w:val="00A36FF0"/>
    <w:rsid w:val="00A3741B"/>
    <w:rsid w:val="00A37C03"/>
    <w:rsid w:val="00A37D67"/>
    <w:rsid w:val="00A40763"/>
    <w:rsid w:val="00A409E9"/>
    <w:rsid w:val="00A40F99"/>
    <w:rsid w:val="00A417A6"/>
    <w:rsid w:val="00A41837"/>
    <w:rsid w:val="00A41D4F"/>
    <w:rsid w:val="00A4287A"/>
    <w:rsid w:val="00A42D33"/>
    <w:rsid w:val="00A432B2"/>
    <w:rsid w:val="00A43397"/>
    <w:rsid w:val="00A43CE3"/>
    <w:rsid w:val="00A43E19"/>
    <w:rsid w:val="00A43ED1"/>
    <w:rsid w:val="00A440A1"/>
    <w:rsid w:val="00A440DE"/>
    <w:rsid w:val="00A444AA"/>
    <w:rsid w:val="00A4475E"/>
    <w:rsid w:val="00A44F56"/>
    <w:rsid w:val="00A456BB"/>
    <w:rsid w:val="00A45B95"/>
    <w:rsid w:val="00A45C84"/>
    <w:rsid w:val="00A45D56"/>
    <w:rsid w:val="00A4609D"/>
    <w:rsid w:val="00A46111"/>
    <w:rsid w:val="00A462B7"/>
    <w:rsid w:val="00A463C6"/>
    <w:rsid w:val="00A46BD4"/>
    <w:rsid w:val="00A47352"/>
    <w:rsid w:val="00A47A62"/>
    <w:rsid w:val="00A47BBC"/>
    <w:rsid w:val="00A47E40"/>
    <w:rsid w:val="00A47EF6"/>
    <w:rsid w:val="00A507F4"/>
    <w:rsid w:val="00A50D29"/>
    <w:rsid w:val="00A50D4F"/>
    <w:rsid w:val="00A5118A"/>
    <w:rsid w:val="00A515E9"/>
    <w:rsid w:val="00A516CD"/>
    <w:rsid w:val="00A519BA"/>
    <w:rsid w:val="00A51C1E"/>
    <w:rsid w:val="00A52171"/>
    <w:rsid w:val="00A52990"/>
    <w:rsid w:val="00A53AD8"/>
    <w:rsid w:val="00A53C13"/>
    <w:rsid w:val="00A543E6"/>
    <w:rsid w:val="00A54D23"/>
    <w:rsid w:val="00A555E9"/>
    <w:rsid w:val="00A5572A"/>
    <w:rsid w:val="00A55AD8"/>
    <w:rsid w:val="00A55E49"/>
    <w:rsid w:val="00A5664D"/>
    <w:rsid w:val="00A56CAF"/>
    <w:rsid w:val="00A5724D"/>
    <w:rsid w:val="00A574BA"/>
    <w:rsid w:val="00A577F6"/>
    <w:rsid w:val="00A609A6"/>
    <w:rsid w:val="00A60C95"/>
    <w:rsid w:val="00A6100A"/>
    <w:rsid w:val="00A6146A"/>
    <w:rsid w:val="00A616BC"/>
    <w:rsid w:val="00A61841"/>
    <w:rsid w:val="00A61A67"/>
    <w:rsid w:val="00A61C4E"/>
    <w:rsid w:val="00A61C7C"/>
    <w:rsid w:val="00A61D93"/>
    <w:rsid w:val="00A628DF"/>
    <w:rsid w:val="00A62D7A"/>
    <w:rsid w:val="00A638AB"/>
    <w:rsid w:val="00A63C1F"/>
    <w:rsid w:val="00A63E01"/>
    <w:rsid w:val="00A645F3"/>
    <w:rsid w:val="00A64717"/>
    <w:rsid w:val="00A64763"/>
    <w:rsid w:val="00A64B36"/>
    <w:rsid w:val="00A65213"/>
    <w:rsid w:val="00A65703"/>
    <w:rsid w:val="00A65A2D"/>
    <w:rsid w:val="00A6600F"/>
    <w:rsid w:val="00A66474"/>
    <w:rsid w:val="00A66748"/>
    <w:rsid w:val="00A669C8"/>
    <w:rsid w:val="00A673E9"/>
    <w:rsid w:val="00A67D71"/>
    <w:rsid w:val="00A70193"/>
    <w:rsid w:val="00A7039A"/>
    <w:rsid w:val="00A70B3F"/>
    <w:rsid w:val="00A70CD5"/>
    <w:rsid w:val="00A720C8"/>
    <w:rsid w:val="00A720E8"/>
    <w:rsid w:val="00A73A21"/>
    <w:rsid w:val="00A73CCF"/>
    <w:rsid w:val="00A73EFF"/>
    <w:rsid w:val="00A7416B"/>
    <w:rsid w:val="00A744E3"/>
    <w:rsid w:val="00A751B1"/>
    <w:rsid w:val="00A75324"/>
    <w:rsid w:val="00A7553C"/>
    <w:rsid w:val="00A755DB"/>
    <w:rsid w:val="00A75921"/>
    <w:rsid w:val="00A75925"/>
    <w:rsid w:val="00A75959"/>
    <w:rsid w:val="00A75967"/>
    <w:rsid w:val="00A75B5C"/>
    <w:rsid w:val="00A760DD"/>
    <w:rsid w:val="00A761D4"/>
    <w:rsid w:val="00A7630B"/>
    <w:rsid w:val="00A76E5C"/>
    <w:rsid w:val="00A771FD"/>
    <w:rsid w:val="00A77422"/>
    <w:rsid w:val="00A7769D"/>
    <w:rsid w:val="00A77AAD"/>
    <w:rsid w:val="00A77B5F"/>
    <w:rsid w:val="00A77C61"/>
    <w:rsid w:val="00A77EFE"/>
    <w:rsid w:val="00A8006A"/>
    <w:rsid w:val="00A80597"/>
    <w:rsid w:val="00A806CE"/>
    <w:rsid w:val="00A8088E"/>
    <w:rsid w:val="00A809BD"/>
    <w:rsid w:val="00A80B45"/>
    <w:rsid w:val="00A80C01"/>
    <w:rsid w:val="00A81339"/>
    <w:rsid w:val="00A8145A"/>
    <w:rsid w:val="00A814D6"/>
    <w:rsid w:val="00A81A0C"/>
    <w:rsid w:val="00A81DF5"/>
    <w:rsid w:val="00A82463"/>
    <w:rsid w:val="00A824D8"/>
    <w:rsid w:val="00A8280C"/>
    <w:rsid w:val="00A828C9"/>
    <w:rsid w:val="00A82CEB"/>
    <w:rsid w:val="00A8355D"/>
    <w:rsid w:val="00A838D8"/>
    <w:rsid w:val="00A83CA8"/>
    <w:rsid w:val="00A843D6"/>
    <w:rsid w:val="00A84DD6"/>
    <w:rsid w:val="00A8524B"/>
    <w:rsid w:val="00A86433"/>
    <w:rsid w:val="00A86E5D"/>
    <w:rsid w:val="00A870E6"/>
    <w:rsid w:val="00A876D7"/>
    <w:rsid w:val="00A87B67"/>
    <w:rsid w:val="00A87BB2"/>
    <w:rsid w:val="00A87D4C"/>
    <w:rsid w:val="00A902F7"/>
    <w:rsid w:val="00A906BA"/>
    <w:rsid w:val="00A90A61"/>
    <w:rsid w:val="00A90C44"/>
    <w:rsid w:val="00A91027"/>
    <w:rsid w:val="00A91353"/>
    <w:rsid w:val="00A9176B"/>
    <w:rsid w:val="00A91A73"/>
    <w:rsid w:val="00A91AC8"/>
    <w:rsid w:val="00A91E7E"/>
    <w:rsid w:val="00A92745"/>
    <w:rsid w:val="00A92DBE"/>
    <w:rsid w:val="00A93817"/>
    <w:rsid w:val="00A948F8"/>
    <w:rsid w:val="00A94A40"/>
    <w:rsid w:val="00A94C3B"/>
    <w:rsid w:val="00A950A5"/>
    <w:rsid w:val="00A95B01"/>
    <w:rsid w:val="00A95E95"/>
    <w:rsid w:val="00A95FF1"/>
    <w:rsid w:val="00A96171"/>
    <w:rsid w:val="00A96534"/>
    <w:rsid w:val="00A9664F"/>
    <w:rsid w:val="00A96AC0"/>
    <w:rsid w:val="00A97704"/>
    <w:rsid w:val="00A97836"/>
    <w:rsid w:val="00A97910"/>
    <w:rsid w:val="00AA0643"/>
    <w:rsid w:val="00AA0696"/>
    <w:rsid w:val="00AA0BF3"/>
    <w:rsid w:val="00AA0F67"/>
    <w:rsid w:val="00AA1088"/>
    <w:rsid w:val="00AA1704"/>
    <w:rsid w:val="00AA17FA"/>
    <w:rsid w:val="00AA1BDF"/>
    <w:rsid w:val="00AA1FD6"/>
    <w:rsid w:val="00AA22A5"/>
    <w:rsid w:val="00AA2C2F"/>
    <w:rsid w:val="00AA2D39"/>
    <w:rsid w:val="00AA3136"/>
    <w:rsid w:val="00AA37BB"/>
    <w:rsid w:val="00AA3AAA"/>
    <w:rsid w:val="00AA3B36"/>
    <w:rsid w:val="00AA4410"/>
    <w:rsid w:val="00AA4A56"/>
    <w:rsid w:val="00AA4AEF"/>
    <w:rsid w:val="00AA4E48"/>
    <w:rsid w:val="00AA5416"/>
    <w:rsid w:val="00AA558A"/>
    <w:rsid w:val="00AA56A2"/>
    <w:rsid w:val="00AA56F9"/>
    <w:rsid w:val="00AA6761"/>
    <w:rsid w:val="00AA67FB"/>
    <w:rsid w:val="00AA683F"/>
    <w:rsid w:val="00AA7505"/>
    <w:rsid w:val="00AA7578"/>
    <w:rsid w:val="00AA77C4"/>
    <w:rsid w:val="00AA7A56"/>
    <w:rsid w:val="00AB04EB"/>
    <w:rsid w:val="00AB0AF6"/>
    <w:rsid w:val="00AB17D3"/>
    <w:rsid w:val="00AB188F"/>
    <w:rsid w:val="00AB23F3"/>
    <w:rsid w:val="00AB257F"/>
    <w:rsid w:val="00AB2749"/>
    <w:rsid w:val="00AB2A7D"/>
    <w:rsid w:val="00AB31F1"/>
    <w:rsid w:val="00AB3264"/>
    <w:rsid w:val="00AB375C"/>
    <w:rsid w:val="00AB4064"/>
    <w:rsid w:val="00AB40E0"/>
    <w:rsid w:val="00AB41AB"/>
    <w:rsid w:val="00AB4604"/>
    <w:rsid w:val="00AB4683"/>
    <w:rsid w:val="00AB4706"/>
    <w:rsid w:val="00AB4A15"/>
    <w:rsid w:val="00AB62F4"/>
    <w:rsid w:val="00AB645D"/>
    <w:rsid w:val="00AB64DD"/>
    <w:rsid w:val="00AB6829"/>
    <w:rsid w:val="00AB6845"/>
    <w:rsid w:val="00AB684C"/>
    <w:rsid w:val="00AB795A"/>
    <w:rsid w:val="00AB79CC"/>
    <w:rsid w:val="00AC016E"/>
    <w:rsid w:val="00AC0EBD"/>
    <w:rsid w:val="00AC11C1"/>
    <w:rsid w:val="00AC120C"/>
    <w:rsid w:val="00AC1904"/>
    <w:rsid w:val="00AC1A3D"/>
    <w:rsid w:val="00AC1C19"/>
    <w:rsid w:val="00AC1FDD"/>
    <w:rsid w:val="00AC23D6"/>
    <w:rsid w:val="00AC2568"/>
    <w:rsid w:val="00AC29AC"/>
    <w:rsid w:val="00AC2C58"/>
    <w:rsid w:val="00AC2E83"/>
    <w:rsid w:val="00AC2FF0"/>
    <w:rsid w:val="00AC410D"/>
    <w:rsid w:val="00AC466A"/>
    <w:rsid w:val="00AC4E39"/>
    <w:rsid w:val="00AC4EE1"/>
    <w:rsid w:val="00AC515D"/>
    <w:rsid w:val="00AC5314"/>
    <w:rsid w:val="00AC5398"/>
    <w:rsid w:val="00AC673F"/>
    <w:rsid w:val="00AC675D"/>
    <w:rsid w:val="00AC71D8"/>
    <w:rsid w:val="00AC77C4"/>
    <w:rsid w:val="00AD0E08"/>
    <w:rsid w:val="00AD1054"/>
    <w:rsid w:val="00AD11E9"/>
    <w:rsid w:val="00AD1363"/>
    <w:rsid w:val="00AD21E2"/>
    <w:rsid w:val="00AD2C35"/>
    <w:rsid w:val="00AD2D94"/>
    <w:rsid w:val="00AD2EB1"/>
    <w:rsid w:val="00AD3372"/>
    <w:rsid w:val="00AD353E"/>
    <w:rsid w:val="00AD3E1A"/>
    <w:rsid w:val="00AD411B"/>
    <w:rsid w:val="00AD4D0A"/>
    <w:rsid w:val="00AD500C"/>
    <w:rsid w:val="00AD5698"/>
    <w:rsid w:val="00AD56C4"/>
    <w:rsid w:val="00AD57EF"/>
    <w:rsid w:val="00AD5F99"/>
    <w:rsid w:val="00AD6063"/>
    <w:rsid w:val="00AD6169"/>
    <w:rsid w:val="00AD6A7A"/>
    <w:rsid w:val="00AD6AD1"/>
    <w:rsid w:val="00AD6B15"/>
    <w:rsid w:val="00AD6B9A"/>
    <w:rsid w:val="00AD79FB"/>
    <w:rsid w:val="00AD7BBB"/>
    <w:rsid w:val="00AE0A0C"/>
    <w:rsid w:val="00AE0BB8"/>
    <w:rsid w:val="00AE1ED5"/>
    <w:rsid w:val="00AE2152"/>
    <w:rsid w:val="00AE258A"/>
    <w:rsid w:val="00AE2D4C"/>
    <w:rsid w:val="00AE2DB7"/>
    <w:rsid w:val="00AE3098"/>
    <w:rsid w:val="00AE430C"/>
    <w:rsid w:val="00AE4BB0"/>
    <w:rsid w:val="00AE5205"/>
    <w:rsid w:val="00AE5A1C"/>
    <w:rsid w:val="00AE5C91"/>
    <w:rsid w:val="00AE5DF1"/>
    <w:rsid w:val="00AE613D"/>
    <w:rsid w:val="00AE622D"/>
    <w:rsid w:val="00AE62EC"/>
    <w:rsid w:val="00AE779E"/>
    <w:rsid w:val="00AE7D6A"/>
    <w:rsid w:val="00AE7E6D"/>
    <w:rsid w:val="00AF073C"/>
    <w:rsid w:val="00AF094F"/>
    <w:rsid w:val="00AF115A"/>
    <w:rsid w:val="00AF1286"/>
    <w:rsid w:val="00AF178B"/>
    <w:rsid w:val="00AF1B9E"/>
    <w:rsid w:val="00AF2B94"/>
    <w:rsid w:val="00AF3BF4"/>
    <w:rsid w:val="00AF3D41"/>
    <w:rsid w:val="00AF3E08"/>
    <w:rsid w:val="00AF44C2"/>
    <w:rsid w:val="00AF4A5A"/>
    <w:rsid w:val="00AF5086"/>
    <w:rsid w:val="00AF535F"/>
    <w:rsid w:val="00AF6F28"/>
    <w:rsid w:val="00AF7343"/>
    <w:rsid w:val="00AF74CA"/>
    <w:rsid w:val="00AF7677"/>
    <w:rsid w:val="00AF7DB1"/>
    <w:rsid w:val="00AF7FF1"/>
    <w:rsid w:val="00B0002C"/>
    <w:rsid w:val="00B00663"/>
    <w:rsid w:val="00B006CC"/>
    <w:rsid w:val="00B00F35"/>
    <w:rsid w:val="00B00FA1"/>
    <w:rsid w:val="00B018F8"/>
    <w:rsid w:val="00B01AF5"/>
    <w:rsid w:val="00B01BC0"/>
    <w:rsid w:val="00B01D34"/>
    <w:rsid w:val="00B01EA1"/>
    <w:rsid w:val="00B02022"/>
    <w:rsid w:val="00B02469"/>
    <w:rsid w:val="00B026F1"/>
    <w:rsid w:val="00B02AD3"/>
    <w:rsid w:val="00B02D86"/>
    <w:rsid w:val="00B02E28"/>
    <w:rsid w:val="00B02EE3"/>
    <w:rsid w:val="00B030A7"/>
    <w:rsid w:val="00B03183"/>
    <w:rsid w:val="00B032F6"/>
    <w:rsid w:val="00B03B28"/>
    <w:rsid w:val="00B03DB3"/>
    <w:rsid w:val="00B04964"/>
    <w:rsid w:val="00B050BB"/>
    <w:rsid w:val="00B053D8"/>
    <w:rsid w:val="00B06807"/>
    <w:rsid w:val="00B069AD"/>
    <w:rsid w:val="00B06DF8"/>
    <w:rsid w:val="00B0723F"/>
    <w:rsid w:val="00B07379"/>
    <w:rsid w:val="00B07395"/>
    <w:rsid w:val="00B073B5"/>
    <w:rsid w:val="00B07665"/>
    <w:rsid w:val="00B0786D"/>
    <w:rsid w:val="00B1099D"/>
    <w:rsid w:val="00B1105D"/>
    <w:rsid w:val="00B1142D"/>
    <w:rsid w:val="00B1149C"/>
    <w:rsid w:val="00B1156D"/>
    <w:rsid w:val="00B116BC"/>
    <w:rsid w:val="00B12370"/>
    <w:rsid w:val="00B12EFD"/>
    <w:rsid w:val="00B134B8"/>
    <w:rsid w:val="00B138C1"/>
    <w:rsid w:val="00B145C9"/>
    <w:rsid w:val="00B14949"/>
    <w:rsid w:val="00B14C00"/>
    <w:rsid w:val="00B152B6"/>
    <w:rsid w:val="00B153B1"/>
    <w:rsid w:val="00B1547E"/>
    <w:rsid w:val="00B15491"/>
    <w:rsid w:val="00B15835"/>
    <w:rsid w:val="00B1586C"/>
    <w:rsid w:val="00B15D87"/>
    <w:rsid w:val="00B15F0E"/>
    <w:rsid w:val="00B1618B"/>
    <w:rsid w:val="00B166BE"/>
    <w:rsid w:val="00B169FB"/>
    <w:rsid w:val="00B16D25"/>
    <w:rsid w:val="00B16D3C"/>
    <w:rsid w:val="00B179F5"/>
    <w:rsid w:val="00B17A2D"/>
    <w:rsid w:val="00B2040D"/>
    <w:rsid w:val="00B20705"/>
    <w:rsid w:val="00B20ACC"/>
    <w:rsid w:val="00B20C36"/>
    <w:rsid w:val="00B21927"/>
    <w:rsid w:val="00B21F94"/>
    <w:rsid w:val="00B22539"/>
    <w:rsid w:val="00B225CD"/>
    <w:rsid w:val="00B22714"/>
    <w:rsid w:val="00B22733"/>
    <w:rsid w:val="00B231BA"/>
    <w:rsid w:val="00B2415B"/>
    <w:rsid w:val="00B244C3"/>
    <w:rsid w:val="00B24696"/>
    <w:rsid w:val="00B247A7"/>
    <w:rsid w:val="00B24BC8"/>
    <w:rsid w:val="00B250C1"/>
    <w:rsid w:val="00B25459"/>
    <w:rsid w:val="00B258E0"/>
    <w:rsid w:val="00B25980"/>
    <w:rsid w:val="00B26479"/>
    <w:rsid w:val="00B2666A"/>
    <w:rsid w:val="00B26783"/>
    <w:rsid w:val="00B26937"/>
    <w:rsid w:val="00B26DCC"/>
    <w:rsid w:val="00B26E99"/>
    <w:rsid w:val="00B2745B"/>
    <w:rsid w:val="00B275F6"/>
    <w:rsid w:val="00B276AD"/>
    <w:rsid w:val="00B27871"/>
    <w:rsid w:val="00B278B3"/>
    <w:rsid w:val="00B27CC0"/>
    <w:rsid w:val="00B27E6D"/>
    <w:rsid w:val="00B30133"/>
    <w:rsid w:val="00B30493"/>
    <w:rsid w:val="00B30754"/>
    <w:rsid w:val="00B30AEC"/>
    <w:rsid w:val="00B30DCF"/>
    <w:rsid w:val="00B31075"/>
    <w:rsid w:val="00B31235"/>
    <w:rsid w:val="00B31A3A"/>
    <w:rsid w:val="00B31B59"/>
    <w:rsid w:val="00B32659"/>
    <w:rsid w:val="00B328A6"/>
    <w:rsid w:val="00B32A54"/>
    <w:rsid w:val="00B33B48"/>
    <w:rsid w:val="00B33F19"/>
    <w:rsid w:val="00B3416F"/>
    <w:rsid w:val="00B34AEF"/>
    <w:rsid w:val="00B34FA9"/>
    <w:rsid w:val="00B35342"/>
    <w:rsid w:val="00B355C2"/>
    <w:rsid w:val="00B35FAD"/>
    <w:rsid w:val="00B36291"/>
    <w:rsid w:val="00B36616"/>
    <w:rsid w:val="00B3696E"/>
    <w:rsid w:val="00B37394"/>
    <w:rsid w:val="00B37803"/>
    <w:rsid w:val="00B37B33"/>
    <w:rsid w:val="00B40675"/>
    <w:rsid w:val="00B407F6"/>
    <w:rsid w:val="00B40ABE"/>
    <w:rsid w:val="00B40C1E"/>
    <w:rsid w:val="00B40FA4"/>
    <w:rsid w:val="00B4145B"/>
    <w:rsid w:val="00B423B2"/>
    <w:rsid w:val="00B424EC"/>
    <w:rsid w:val="00B42814"/>
    <w:rsid w:val="00B42854"/>
    <w:rsid w:val="00B42AE4"/>
    <w:rsid w:val="00B4302E"/>
    <w:rsid w:val="00B43440"/>
    <w:rsid w:val="00B43D10"/>
    <w:rsid w:val="00B43FDE"/>
    <w:rsid w:val="00B443D4"/>
    <w:rsid w:val="00B44562"/>
    <w:rsid w:val="00B4477E"/>
    <w:rsid w:val="00B44CF3"/>
    <w:rsid w:val="00B4557F"/>
    <w:rsid w:val="00B456B7"/>
    <w:rsid w:val="00B45BB6"/>
    <w:rsid w:val="00B46332"/>
    <w:rsid w:val="00B46FA3"/>
    <w:rsid w:val="00B47387"/>
    <w:rsid w:val="00B47405"/>
    <w:rsid w:val="00B4757F"/>
    <w:rsid w:val="00B5068B"/>
    <w:rsid w:val="00B5085A"/>
    <w:rsid w:val="00B50A80"/>
    <w:rsid w:val="00B50F3D"/>
    <w:rsid w:val="00B51092"/>
    <w:rsid w:val="00B514B9"/>
    <w:rsid w:val="00B521E6"/>
    <w:rsid w:val="00B524DE"/>
    <w:rsid w:val="00B53367"/>
    <w:rsid w:val="00B538F8"/>
    <w:rsid w:val="00B545A4"/>
    <w:rsid w:val="00B54647"/>
    <w:rsid w:val="00B54A73"/>
    <w:rsid w:val="00B55739"/>
    <w:rsid w:val="00B56162"/>
    <w:rsid w:val="00B5618A"/>
    <w:rsid w:val="00B5619F"/>
    <w:rsid w:val="00B563CE"/>
    <w:rsid w:val="00B56482"/>
    <w:rsid w:val="00B56504"/>
    <w:rsid w:val="00B567EC"/>
    <w:rsid w:val="00B56F32"/>
    <w:rsid w:val="00B56F42"/>
    <w:rsid w:val="00B57460"/>
    <w:rsid w:val="00B57591"/>
    <w:rsid w:val="00B575F2"/>
    <w:rsid w:val="00B57D81"/>
    <w:rsid w:val="00B601A7"/>
    <w:rsid w:val="00B607D0"/>
    <w:rsid w:val="00B60C61"/>
    <w:rsid w:val="00B611AA"/>
    <w:rsid w:val="00B618F6"/>
    <w:rsid w:val="00B61CD4"/>
    <w:rsid w:val="00B61DF6"/>
    <w:rsid w:val="00B62960"/>
    <w:rsid w:val="00B62A73"/>
    <w:rsid w:val="00B6327C"/>
    <w:rsid w:val="00B634DF"/>
    <w:rsid w:val="00B63750"/>
    <w:rsid w:val="00B64202"/>
    <w:rsid w:val="00B6443C"/>
    <w:rsid w:val="00B64712"/>
    <w:rsid w:val="00B64CB1"/>
    <w:rsid w:val="00B65058"/>
    <w:rsid w:val="00B65135"/>
    <w:rsid w:val="00B652AA"/>
    <w:rsid w:val="00B652E7"/>
    <w:rsid w:val="00B653DF"/>
    <w:rsid w:val="00B6576C"/>
    <w:rsid w:val="00B65CC3"/>
    <w:rsid w:val="00B66425"/>
    <w:rsid w:val="00B66741"/>
    <w:rsid w:val="00B6690B"/>
    <w:rsid w:val="00B669BE"/>
    <w:rsid w:val="00B67076"/>
    <w:rsid w:val="00B67396"/>
    <w:rsid w:val="00B67884"/>
    <w:rsid w:val="00B67B35"/>
    <w:rsid w:val="00B67BF8"/>
    <w:rsid w:val="00B67E03"/>
    <w:rsid w:val="00B700C7"/>
    <w:rsid w:val="00B7017B"/>
    <w:rsid w:val="00B70604"/>
    <w:rsid w:val="00B7066E"/>
    <w:rsid w:val="00B70C3A"/>
    <w:rsid w:val="00B710D8"/>
    <w:rsid w:val="00B71248"/>
    <w:rsid w:val="00B713A0"/>
    <w:rsid w:val="00B71893"/>
    <w:rsid w:val="00B730DE"/>
    <w:rsid w:val="00B733FA"/>
    <w:rsid w:val="00B73698"/>
    <w:rsid w:val="00B73CFE"/>
    <w:rsid w:val="00B746F8"/>
    <w:rsid w:val="00B749F8"/>
    <w:rsid w:val="00B754BB"/>
    <w:rsid w:val="00B755ED"/>
    <w:rsid w:val="00B75B69"/>
    <w:rsid w:val="00B75C10"/>
    <w:rsid w:val="00B75EC0"/>
    <w:rsid w:val="00B760E6"/>
    <w:rsid w:val="00B7684D"/>
    <w:rsid w:val="00B76C4D"/>
    <w:rsid w:val="00B76FF6"/>
    <w:rsid w:val="00B77200"/>
    <w:rsid w:val="00B775A7"/>
    <w:rsid w:val="00B77886"/>
    <w:rsid w:val="00B778AB"/>
    <w:rsid w:val="00B80136"/>
    <w:rsid w:val="00B8018A"/>
    <w:rsid w:val="00B80887"/>
    <w:rsid w:val="00B809BE"/>
    <w:rsid w:val="00B80A5F"/>
    <w:rsid w:val="00B80C6F"/>
    <w:rsid w:val="00B8161A"/>
    <w:rsid w:val="00B81802"/>
    <w:rsid w:val="00B81B17"/>
    <w:rsid w:val="00B8224D"/>
    <w:rsid w:val="00B8228B"/>
    <w:rsid w:val="00B82563"/>
    <w:rsid w:val="00B82F65"/>
    <w:rsid w:val="00B83023"/>
    <w:rsid w:val="00B8328E"/>
    <w:rsid w:val="00B8367D"/>
    <w:rsid w:val="00B836F7"/>
    <w:rsid w:val="00B84431"/>
    <w:rsid w:val="00B8475A"/>
    <w:rsid w:val="00B84DF4"/>
    <w:rsid w:val="00B84EB0"/>
    <w:rsid w:val="00B84F0F"/>
    <w:rsid w:val="00B851F4"/>
    <w:rsid w:val="00B854A1"/>
    <w:rsid w:val="00B8556D"/>
    <w:rsid w:val="00B858B9"/>
    <w:rsid w:val="00B8592D"/>
    <w:rsid w:val="00B85D21"/>
    <w:rsid w:val="00B8621D"/>
    <w:rsid w:val="00B8648A"/>
    <w:rsid w:val="00B86B6E"/>
    <w:rsid w:val="00B86BB4"/>
    <w:rsid w:val="00B87443"/>
    <w:rsid w:val="00B874A6"/>
    <w:rsid w:val="00B87740"/>
    <w:rsid w:val="00B87A48"/>
    <w:rsid w:val="00B90BE1"/>
    <w:rsid w:val="00B90BEC"/>
    <w:rsid w:val="00B9144B"/>
    <w:rsid w:val="00B91A61"/>
    <w:rsid w:val="00B91A63"/>
    <w:rsid w:val="00B91A9D"/>
    <w:rsid w:val="00B91DEA"/>
    <w:rsid w:val="00B92468"/>
    <w:rsid w:val="00B9271E"/>
    <w:rsid w:val="00B92A0C"/>
    <w:rsid w:val="00B92B0E"/>
    <w:rsid w:val="00B93A6F"/>
    <w:rsid w:val="00B93B53"/>
    <w:rsid w:val="00B93E52"/>
    <w:rsid w:val="00B9427C"/>
    <w:rsid w:val="00B948FD"/>
    <w:rsid w:val="00B94B64"/>
    <w:rsid w:val="00B950B1"/>
    <w:rsid w:val="00B955F2"/>
    <w:rsid w:val="00B95652"/>
    <w:rsid w:val="00B9572F"/>
    <w:rsid w:val="00B95DA5"/>
    <w:rsid w:val="00B95F51"/>
    <w:rsid w:val="00B9683A"/>
    <w:rsid w:val="00B9700D"/>
    <w:rsid w:val="00B971F4"/>
    <w:rsid w:val="00B97878"/>
    <w:rsid w:val="00BA017C"/>
    <w:rsid w:val="00BA04D1"/>
    <w:rsid w:val="00BA1553"/>
    <w:rsid w:val="00BA1570"/>
    <w:rsid w:val="00BA1BE5"/>
    <w:rsid w:val="00BA20E1"/>
    <w:rsid w:val="00BA26D7"/>
    <w:rsid w:val="00BA2AA1"/>
    <w:rsid w:val="00BA2D9C"/>
    <w:rsid w:val="00BA2FD6"/>
    <w:rsid w:val="00BA31DA"/>
    <w:rsid w:val="00BA42D3"/>
    <w:rsid w:val="00BA431F"/>
    <w:rsid w:val="00BA4914"/>
    <w:rsid w:val="00BA4FA4"/>
    <w:rsid w:val="00BA5317"/>
    <w:rsid w:val="00BA55BB"/>
    <w:rsid w:val="00BA5624"/>
    <w:rsid w:val="00BA571D"/>
    <w:rsid w:val="00BA5D1F"/>
    <w:rsid w:val="00BA64CB"/>
    <w:rsid w:val="00BA7117"/>
    <w:rsid w:val="00BA7E69"/>
    <w:rsid w:val="00BB0196"/>
    <w:rsid w:val="00BB02CB"/>
    <w:rsid w:val="00BB02EA"/>
    <w:rsid w:val="00BB0545"/>
    <w:rsid w:val="00BB0622"/>
    <w:rsid w:val="00BB0A39"/>
    <w:rsid w:val="00BB0B3B"/>
    <w:rsid w:val="00BB0DD9"/>
    <w:rsid w:val="00BB1A3C"/>
    <w:rsid w:val="00BB1C75"/>
    <w:rsid w:val="00BB1D89"/>
    <w:rsid w:val="00BB20AE"/>
    <w:rsid w:val="00BB28F0"/>
    <w:rsid w:val="00BB2A61"/>
    <w:rsid w:val="00BB3117"/>
    <w:rsid w:val="00BB350F"/>
    <w:rsid w:val="00BB35AC"/>
    <w:rsid w:val="00BB3668"/>
    <w:rsid w:val="00BB445E"/>
    <w:rsid w:val="00BB4F14"/>
    <w:rsid w:val="00BB58EF"/>
    <w:rsid w:val="00BB5CF6"/>
    <w:rsid w:val="00BB7009"/>
    <w:rsid w:val="00BC0708"/>
    <w:rsid w:val="00BC08B6"/>
    <w:rsid w:val="00BC0BC5"/>
    <w:rsid w:val="00BC0E90"/>
    <w:rsid w:val="00BC0EC7"/>
    <w:rsid w:val="00BC11DE"/>
    <w:rsid w:val="00BC18EA"/>
    <w:rsid w:val="00BC1D11"/>
    <w:rsid w:val="00BC1F71"/>
    <w:rsid w:val="00BC286B"/>
    <w:rsid w:val="00BC30FA"/>
    <w:rsid w:val="00BC3779"/>
    <w:rsid w:val="00BC4279"/>
    <w:rsid w:val="00BC44B6"/>
    <w:rsid w:val="00BC50E4"/>
    <w:rsid w:val="00BC5211"/>
    <w:rsid w:val="00BC598C"/>
    <w:rsid w:val="00BC5E9F"/>
    <w:rsid w:val="00BC5F2A"/>
    <w:rsid w:val="00BC5F32"/>
    <w:rsid w:val="00BC5FF2"/>
    <w:rsid w:val="00BC67E1"/>
    <w:rsid w:val="00BC6BEC"/>
    <w:rsid w:val="00BC6E04"/>
    <w:rsid w:val="00BC6F04"/>
    <w:rsid w:val="00BC7680"/>
    <w:rsid w:val="00BC7BFA"/>
    <w:rsid w:val="00BD06BE"/>
    <w:rsid w:val="00BD084E"/>
    <w:rsid w:val="00BD1A1C"/>
    <w:rsid w:val="00BD1B90"/>
    <w:rsid w:val="00BD2BFD"/>
    <w:rsid w:val="00BD3109"/>
    <w:rsid w:val="00BD38A4"/>
    <w:rsid w:val="00BD39AA"/>
    <w:rsid w:val="00BD3B3D"/>
    <w:rsid w:val="00BD4E74"/>
    <w:rsid w:val="00BD542F"/>
    <w:rsid w:val="00BD55D2"/>
    <w:rsid w:val="00BD5961"/>
    <w:rsid w:val="00BD6AB4"/>
    <w:rsid w:val="00BD6C65"/>
    <w:rsid w:val="00BE05F4"/>
    <w:rsid w:val="00BE07A6"/>
    <w:rsid w:val="00BE0895"/>
    <w:rsid w:val="00BE0F4A"/>
    <w:rsid w:val="00BE1224"/>
    <w:rsid w:val="00BE158D"/>
    <w:rsid w:val="00BE1806"/>
    <w:rsid w:val="00BE1937"/>
    <w:rsid w:val="00BE2238"/>
    <w:rsid w:val="00BE2815"/>
    <w:rsid w:val="00BE2FE8"/>
    <w:rsid w:val="00BE3D48"/>
    <w:rsid w:val="00BE3FED"/>
    <w:rsid w:val="00BE4044"/>
    <w:rsid w:val="00BE4146"/>
    <w:rsid w:val="00BE46DE"/>
    <w:rsid w:val="00BE4D0C"/>
    <w:rsid w:val="00BE558B"/>
    <w:rsid w:val="00BE56D1"/>
    <w:rsid w:val="00BE5E31"/>
    <w:rsid w:val="00BE6111"/>
    <w:rsid w:val="00BE619F"/>
    <w:rsid w:val="00BE6A28"/>
    <w:rsid w:val="00BE6B34"/>
    <w:rsid w:val="00BE707E"/>
    <w:rsid w:val="00BE70BB"/>
    <w:rsid w:val="00BE7175"/>
    <w:rsid w:val="00BE7248"/>
    <w:rsid w:val="00BE7AC7"/>
    <w:rsid w:val="00BE7E55"/>
    <w:rsid w:val="00BF02C0"/>
    <w:rsid w:val="00BF0460"/>
    <w:rsid w:val="00BF080E"/>
    <w:rsid w:val="00BF1C29"/>
    <w:rsid w:val="00BF2122"/>
    <w:rsid w:val="00BF2A36"/>
    <w:rsid w:val="00BF3D60"/>
    <w:rsid w:val="00BF42F9"/>
    <w:rsid w:val="00BF470A"/>
    <w:rsid w:val="00BF4C73"/>
    <w:rsid w:val="00BF5057"/>
    <w:rsid w:val="00BF542E"/>
    <w:rsid w:val="00BF562D"/>
    <w:rsid w:val="00BF5665"/>
    <w:rsid w:val="00BF5AC4"/>
    <w:rsid w:val="00BF5C81"/>
    <w:rsid w:val="00BF5F8B"/>
    <w:rsid w:val="00BF64EE"/>
    <w:rsid w:val="00BF693C"/>
    <w:rsid w:val="00BF78A8"/>
    <w:rsid w:val="00C00101"/>
    <w:rsid w:val="00C00F2A"/>
    <w:rsid w:val="00C0188B"/>
    <w:rsid w:val="00C01A96"/>
    <w:rsid w:val="00C01A9C"/>
    <w:rsid w:val="00C01FDC"/>
    <w:rsid w:val="00C020D6"/>
    <w:rsid w:val="00C0249D"/>
    <w:rsid w:val="00C02D8C"/>
    <w:rsid w:val="00C036AC"/>
    <w:rsid w:val="00C03CBE"/>
    <w:rsid w:val="00C03F04"/>
    <w:rsid w:val="00C04C42"/>
    <w:rsid w:val="00C04C5F"/>
    <w:rsid w:val="00C05787"/>
    <w:rsid w:val="00C05CC7"/>
    <w:rsid w:val="00C05D55"/>
    <w:rsid w:val="00C05E44"/>
    <w:rsid w:val="00C0621A"/>
    <w:rsid w:val="00C068EE"/>
    <w:rsid w:val="00C06929"/>
    <w:rsid w:val="00C06FA2"/>
    <w:rsid w:val="00C07107"/>
    <w:rsid w:val="00C07324"/>
    <w:rsid w:val="00C076EE"/>
    <w:rsid w:val="00C07866"/>
    <w:rsid w:val="00C0794A"/>
    <w:rsid w:val="00C07B26"/>
    <w:rsid w:val="00C07E78"/>
    <w:rsid w:val="00C10379"/>
    <w:rsid w:val="00C10653"/>
    <w:rsid w:val="00C110C2"/>
    <w:rsid w:val="00C110F8"/>
    <w:rsid w:val="00C1128E"/>
    <w:rsid w:val="00C115E7"/>
    <w:rsid w:val="00C12302"/>
    <w:rsid w:val="00C12D16"/>
    <w:rsid w:val="00C12EAB"/>
    <w:rsid w:val="00C12EEC"/>
    <w:rsid w:val="00C1308F"/>
    <w:rsid w:val="00C139A4"/>
    <w:rsid w:val="00C14442"/>
    <w:rsid w:val="00C14492"/>
    <w:rsid w:val="00C14611"/>
    <w:rsid w:val="00C1464A"/>
    <w:rsid w:val="00C14AC6"/>
    <w:rsid w:val="00C1533C"/>
    <w:rsid w:val="00C153D6"/>
    <w:rsid w:val="00C15483"/>
    <w:rsid w:val="00C154B3"/>
    <w:rsid w:val="00C1619B"/>
    <w:rsid w:val="00C16494"/>
    <w:rsid w:val="00C16EC7"/>
    <w:rsid w:val="00C2030C"/>
    <w:rsid w:val="00C20464"/>
    <w:rsid w:val="00C2085B"/>
    <w:rsid w:val="00C21DE8"/>
    <w:rsid w:val="00C2261C"/>
    <w:rsid w:val="00C2283B"/>
    <w:rsid w:val="00C22BBF"/>
    <w:rsid w:val="00C22EF6"/>
    <w:rsid w:val="00C23784"/>
    <w:rsid w:val="00C23847"/>
    <w:rsid w:val="00C23ECE"/>
    <w:rsid w:val="00C23F56"/>
    <w:rsid w:val="00C248AA"/>
    <w:rsid w:val="00C24A12"/>
    <w:rsid w:val="00C24BCA"/>
    <w:rsid w:val="00C2523E"/>
    <w:rsid w:val="00C2526C"/>
    <w:rsid w:val="00C25517"/>
    <w:rsid w:val="00C25565"/>
    <w:rsid w:val="00C25720"/>
    <w:rsid w:val="00C2610E"/>
    <w:rsid w:val="00C262EC"/>
    <w:rsid w:val="00C26592"/>
    <w:rsid w:val="00C26B8C"/>
    <w:rsid w:val="00C26D1B"/>
    <w:rsid w:val="00C26DAE"/>
    <w:rsid w:val="00C276FC"/>
    <w:rsid w:val="00C27888"/>
    <w:rsid w:val="00C27CED"/>
    <w:rsid w:val="00C30194"/>
    <w:rsid w:val="00C3024F"/>
    <w:rsid w:val="00C303CF"/>
    <w:rsid w:val="00C308BB"/>
    <w:rsid w:val="00C30C07"/>
    <w:rsid w:val="00C31E2D"/>
    <w:rsid w:val="00C32816"/>
    <w:rsid w:val="00C32ED8"/>
    <w:rsid w:val="00C33176"/>
    <w:rsid w:val="00C33969"/>
    <w:rsid w:val="00C342DA"/>
    <w:rsid w:val="00C34444"/>
    <w:rsid w:val="00C3482C"/>
    <w:rsid w:val="00C34A3F"/>
    <w:rsid w:val="00C34E97"/>
    <w:rsid w:val="00C355AE"/>
    <w:rsid w:val="00C357FB"/>
    <w:rsid w:val="00C35D7A"/>
    <w:rsid w:val="00C360D7"/>
    <w:rsid w:val="00C36118"/>
    <w:rsid w:val="00C362EC"/>
    <w:rsid w:val="00C36413"/>
    <w:rsid w:val="00C3650D"/>
    <w:rsid w:val="00C37910"/>
    <w:rsid w:val="00C37CE1"/>
    <w:rsid w:val="00C40649"/>
    <w:rsid w:val="00C408FF"/>
    <w:rsid w:val="00C41433"/>
    <w:rsid w:val="00C418A3"/>
    <w:rsid w:val="00C42166"/>
    <w:rsid w:val="00C42230"/>
    <w:rsid w:val="00C42368"/>
    <w:rsid w:val="00C424CF"/>
    <w:rsid w:val="00C425D2"/>
    <w:rsid w:val="00C42677"/>
    <w:rsid w:val="00C426B2"/>
    <w:rsid w:val="00C4278F"/>
    <w:rsid w:val="00C42961"/>
    <w:rsid w:val="00C42B22"/>
    <w:rsid w:val="00C43365"/>
    <w:rsid w:val="00C43509"/>
    <w:rsid w:val="00C43958"/>
    <w:rsid w:val="00C43BD1"/>
    <w:rsid w:val="00C44896"/>
    <w:rsid w:val="00C44ED4"/>
    <w:rsid w:val="00C45302"/>
    <w:rsid w:val="00C455B2"/>
    <w:rsid w:val="00C45631"/>
    <w:rsid w:val="00C45AD0"/>
    <w:rsid w:val="00C464ED"/>
    <w:rsid w:val="00C46774"/>
    <w:rsid w:val="00C46A9A"/>
    <w:rsid w:val="00C46D8E"/>
    <w:rsid w:val="00C46FD8"/>
    <w:rsid w:val="00C471AC"/>
    <w:rsid w:val="00C473AC"/>
    <w:rsid w:val="00C475FC"/>
    <w:rsid w:val="00C47836"/>
    <w:rsid w:val="00C47B4E"/>
    <w:rsid w:val="00C47CC4"/>
    <w:rsid w:val="00C47E5F"/>
    <w:rsid w:val="00C50020"/>
    <w:rsid w:val="00C503D4"/>
    <w:rsid w:val="00C50688"/>
    <w:rsid w:val="00C50A82"/>
    <w:rsid w:val="00C511AF"/>
    <w:rsid w:val="00C51CBD"/>
    <w:rsid w:val="00C51E9B"/>
    <w:rsid w:val="00C520D9"/>
    <w:rsid w:val="00C5277E"/>
    <w:rsid w:val="00C52883"/>
    <w:rsid w:val="00C52908"/>
    <w:rsid w:val="00C52B47"/>
    <w:rsid w:val="00C5362D"/>
    <w:rsid w:val="00C5422F"/>
    <w:rsid w:val="00C5427A"/>
    <w:rsid w:val="00C54392"/>
    <w:rsid w:val="00C54638"/>
    <w:rsid w:val="00C54692"/>
    <w:rsid w:val="00C54B3E"/>
    <w:rsid w:val="00C54E8A"/>
    <w:rsid w:val="00C55A2E"/>
    <w:rsid w:val="00C56394"/>
    <w:rsid w:val="00C566D5"/>
    <w:rsid w:val="00C57350"/>
    <w:rsid w:val="00C5751C"/>
    <w:rsid w:val="00C576C0"/>
    <w:rsid w:val="00C576F9"/>
    <w:rsid w:val="00C57AD5"/>
    <w:rsid w:val="00C57F82"/>
    <w:rsid w:val="00C60326"/>
    <w:rsid w:val="00C60A71"/>
    <w:rsid w:val="00C60B63"/>
    <w:rsid w:val="00C61950"/>
    <w:rsid w:val="00C62654"/>
    <w:rsid w:val="00C62CCD"/>
    <w:rsid w:val="00C63C18"/>
    <w:rsid w:val="00C6403D"/>
    <w:rsid w:val="00C64517"/>
    <w:rsid w:val="00C64F04"/>
    <w:rsid w:val="00C650B6"/>
    <w:rsid w:val="00C650BD"/>
    <w:rsid w:val="00C651B3"/>
    <w:rsid w:val="00C654AD"/>
    <w:rsid w:val="00C656EB"/>
    <w:rsid w:val="00C664C6"/>
    <w:rsid w:val="00C67905"/>
    <w:rsid w:val="00C67E91"/>
    <w:rsid w:val="00C70380"/>
    <w:rsid w:val="00C70891"/>
    <w:rsid w:val="00C70F10"/>
    <w:rsid w:val="00C7198E"/>
    <w:rsid w:val="00C71DC4"/>
    <w:rsid w:val="00C72433"/>
    <w:rsid w:val="00C72E94"/>
    <w:rsid w:val="00C73115"/>
    <w:rsid w:val="00C73799"/>
    <w:rsid w:val="00C7385C"/>
    <w:rsid w:val="00C74533"/>
    <w:rsid w:val="00C74EBC"/>
    <w:rsid w:val="00C75C34"/>
    <w:rsid w:val="00C75C52"/>
    <w:rsid w:val="00C76CBC"/>
    <w:rsid w:val="00C7744A"/>
    <w:rsid w:val="00C77604"/>
    <w:rsid w:val="00C77A96"/>
    <w:rsid w:val="00C77CEB"/>
    <w:rsid w:val="00C77D35"/>
    <w:rsid w:val="00C77F1D"/>
    <w:rsid w:val="00C80168"/>
    <w:rsid w:val="00C8113D"/>
    <w:rsid w:val="00C81BE5"/>
    <w:rsid w:val="00C820E1"/>
    <w:rsid w:val="00C822AA"/>
    <w:rsid w:val="00C835AE"/>
    <w:rsid w:val="00C83766"/>
    <w:rsid w:val="00C837DB"/>
    <w:rsid w:val="00C848D7"/>
    <w:rsid w:val="00C84CF8"/>
    <w:rsid w:val="00C84DD1"/>
    <w:rsid w:val="00C85001"/>
    <w:rsid w:val="00C85440"/>
    <w:rsid w:val="00C85BA6"/>
    <w:rsid w:val="00C8611A"/>
    <w:rsid w:val="00C86806"/>
    <w:rsid w:val="00C869A8"/>
    <w:rsid w:val="00C870EC"/>
    <w:rsid w:val="00C87B85"/>
    <w:rsid w:val="00C90055"/>
    <w:rsid w:val="00C90745"/>
    <w:rsid w:val="00C90D57"/>
    <w:rsid w:val="00C925CA"/>
    <w:rsid w:val="00C92930"/>
    <w:rsid w:val="00C92AFD"/>
    <w:rsid w:val="00C92BF1"/>
    <w:rsid w:val="00C92D68"/>
    <w:rsid w:val="00C92F74"/>
    <w:rsid w:val="00C93459"/>
    <w:rsid w:val="00C93A43"/>
    <w:rsid w:val="00C93E78"/>
    <w:rsid w:val="00C954DE"/>
    <w:rsid w:val="00C9553F"/>
    <w:rsid w:val="00C95889"/>
    <w:rsid w:val="00C95A61"/>
    <w:rsid w:val="00C9602F"/>
    <w:rsid w:val="00C961B2"/>
    <w:rsid w:val="00C9669F"/>
    <w:rsid w:val="00C96791"/>
    <w:rsid w:val="00C96A91"/>
    <w:rsid w:val="00C96BE6"/>
    <w:rsid w:val="00C96CBA"/>
    <w:rsid w:val="00C97012"/>
    <w:rsid w:val="00C971A0"/>
    <w:rsid w:val="00C97579"/>
    <w:rsid w:val="00C97E72"/>
    <w:rsid w:val="00CA0075"/>
    <w:rsid w:val="00CA0179"/>
    <w:rsid w:val="00CA0236"/>
    <w:rsid w:val="00CA04D3"/>
    <w:rsid w:val="00CA071C"/>
    <w:rsid w:val="00CA09D7"/>
    <w:rsid w:val="00CA106E"/>
    <w:rsid w:val="00CA1268"/>
    <w:rsid w:val="00CA1C99"/>
    <w:rsid w:val="00CA2010"/>
    <w:rsid w:val="00CA2801"/>
    <w:rsid w:val="00CA3296"/>
    <w:rsid w:val="00CA3CBC"/>
    <w:rsid w:val="00CA4560"/>
    <w:rsid w:val="00CA4D54"/>
    <w:rsid w:val="00CA4EC0"/>
    <w:rsid w:val="00CA6E4C"/>
    <w:rsid w:val="00CA6FFD"/>
    <w:rsid w:val="00CA71BA"/>
    <w:rsid w:val="00CA7929"/>
    <w:rsid w:val="00CA7E0D"/>
    <w:rsid w:val="00CA7EA6"/>
    <w:rsid w:val="00CB0619"/>
    <w:rsid w:val="00CB06A7"/>
    <w:rsid w:val="00CB0CB6"/>
    <w:rsid w:val="00CB1EF0"/>
    <w:rsid w:val="00CB21BE"/>
    <w:rsid w:val="00CB2311"/>
    <w:rsid w:val="00CB2887"/>
    <w:rsid w:val="00CB308D"/>
    <w:rsid w:val="00CB364A"/>
    <w:rsid w:val="00CB4110"/>
    <w:rsid w:val="00CB46BA"/>
    <w:rsid w:val="00CB48F7"/>
    <w:rsid w:val="00CB4F51"/>
    <w:rsid w:val="00CB5381"/>
    <w:rsid w:val="00CB5468"/>
    <w:rsid w:val="00CB5749"/>
    <w:rsid w:val="00CB5A4B"/>
    <w:rsid w:val="00CB6B21"/>
    <w:rsid w:val="00CC0258"/>
    <w:rsid w:val="00CC0E82"/>
    <w:rsid w:val="00CC1184"/>
    <w:rsid w:val="00CC14C9"/>
    <w:rsid w:val="00CC1513"/>
    <w:rsid w:val="00CC2167"/>
    <w:rsid w:val="00CC30B5"/>
    <w:rsid w:val="00CC314F"/>
    <w:rsid w:val="00CC34E5"/>
    <w:rsid w:val="00CC352E"/>
    <w:rsid w:val="00CC3CC1"/>
    <w:rsid w:val="00CC3CE5"/>
    <w:rsid w:val="00CC3F65"/>
    <w:rsid w:val="00CC3F69"/>
    <w:rsid w:val="00CC4F22"/>
    <w:rsid w:val="00CC564B"/>
    <w:rsid w:val="00CC56F6"/>
    <w:rsid w:val="00CC5719"/>
    <w:rsid w:val="00CC5D66"/>
    <w:rsid w:val="00CC5F44"/>
    <w:rsid w:val="00CC6371"/>
    <w:rsid w:val="00CC648F"/>
    <w:rsid w:val="00CC6574"/>
    <w:rsid w:val="00CC6C48"/>
    <w:rsid w:val="00CC7A2D"/>
    <w:rsid w:val="00CC7AFB"/>
    <w:rsid w:val="00CC7CA8"/>
    <w:rsid w:val="00CD0D10"/>
    <w:rsid w:val="00CD19CB"/>
    <w:rsid w:val="00CD1B69"/>
    <w:rsid w:val="00CD21C1"/>
    <w:rsid w:val="00CD2876"/>
    <w:rsid w:val="00CD2981"/>
    <w:rsid w:val="00CD2D26"/>
    <w:rsid w:val="00CD2D54"/>
    <w:rsid w:val="00CD2DBC"/>
    <w:rsid w:val="00CD300F"/>
    <w:rsid w:val="00CD360A"/>
    <w:rsid w:val="00CD40B2"/>
    <w:rsid w:val="00CD4270"/>
    <w:rsid w:val="00CD482C"/>
    <w:rsid w:val="00CD4D1C"/>
    <w:rsid w:val="00CD4EB3"/>
    <w:rsid w:val="00CD593D"/>
    <w:rsid w:val="00CD5A0E"/>
    <w:rsid w:val="00CD69DA"/>
    <w:rsid w:val="00CD6C68"/>
    <w:rsid w:val="00CD75EA"/>
    <w:rsid w:val="00CD7DDE"/>
    <w:rsid w:val="00CD7DEA"/>
    <w:rsid w:val="00CE0818"/>
    <w:rsid w:val="00CE08B0"/>
    <w:rsid w:val="00CE1566"/>
    <w:rsid w:val="00CE214F"/>
    <w:rsid w:val="00CE22EC"/>
    <w:rsid w:val="00CE25D5"/>
    <w:rsid w:val="00CE2F84"/>
    <w:rsid w:val="00CE3351"/>
    <w:rsid w:val="00CE3AE7"/>
    <w:rsid w:val="00CE43A3"/>
    <w:rsid w:val="00CE4555"/>
    <w:rsid w:val="00CE46A1"/>
    <w:rsid w:val="00CE49A8"/>
    <w:rsid w:val="00CE4CAA"/>
    <w:rsid w:val="00CE4E38"/>
    <w:rsid w:val="00CE511F"/>
    <w:rsid w:val="00CE5506"/>
    <w:rsid w:val="00CE5AAA"/>
    <w:rsid w:val="00CE5ED4"/>
    <w:rsid w:val="00CE6077"/>
    <w:rsid w:val="00CE6C34"/>
    <w:rsid w:val="00CE72AC"/>
    <w:rsid w:val="00CE7589"/>
    <w:rsid w:val="00CE78EA"/>
    <w:rsid w:val="00CF1172"/>
    <w:rsid w:val="00CF11B7"/>
    <w:rsid w:val="00CF11FD"/>
    <w:rsid w:val="00CF14E7"/>
    <w:rsid w:val="00CF1BED"/>
    <w:rsid w:val="00CF24EE"/>
    <w:rsid w:val="00CF2D1C"/>
    <w:rsid w:val="00CF316D"/>
    <w:rsid w:val="00CF38DA"/>
    <w:rsid w:val="00CF3AA4"/>
    <w:rsid w:val="00CF3B0A"/>
    <w:rsid w:val="00CF3E37"/>
    <w:rsid w:val="00CF41A7"/>
    <w:rsid w:val="00CF4393"/>
    <w:rsid w:val="00CF444B"/>
    <w:rsid w:val="00CF4A36"/>
    <w:rsid w:val="00CF56F8"/>
    <w:rsid w:val="00CF5FBB"/>
    <w:rsid w:val="00CF6BB4"/>
    <w:rsid w:val="00CF7315"/>
    <w:rsid w:val="00CF75DB"/>
    <w:rsid w:val="00CF7ADC"/>
    <w:rsid w:val="00CF7FC5"/>
    <w:rsid w:val="00D005CA"/>
    <w:rsid w:val="00D01039"/>
    <w:rsid w:val="00D01443"/>
    <w:rsid w:val="00D024C1"/>
    <w:rsid w:val="00D02BF5"/>
    <w:rsid w:val="00D02C66"/>
    <w:rsid w:val="00D02E5B"/>
    <w:rsid w:val="00D02F6A"/>
    <w:rsid w:val="00D031D9"/>
    <w:rsid w:val="00D03206"/>
    <w:rsid w:val="00D03E71"/>
    <w:rsid w:val="00D048E0"/>
    <w:rsid w:val="00D04EFE"/>
    <w:rsid w:val="00D0502B"/>
    <w:rsid w:val="00D052C8"/>
    <w:rsid w:val="00D05649"/>
    <w:rsid w:val="00D056CC"/>
    <w:rsid w:val="00D05902"/>
    <w:rsid w:val="00D05B32"/>
    <w:rsid w:val="00D0615E"/>
    <w:rsid w:val="00D0656D"/>
    <w:rsid w:val="00D07308"/>
    <w:rsid w:val="00D075B8"/>
    <w:rsid w:val="00D07BCD"/>
    <w:rsid w:val="00D07E2F"/>
    <w:rsid w:val="00D10727"/>
    <w:rsid w:val="00D10751"/>
    <w:rsid w:val="00D107B4"/>
    <w:rsid w:val="00D10AF1"/>
    <w:rsid w:val="00D10D48"/>
    <w:rsid w:val="00D10D5C"/>
    <w:rsid w:val="00D11332"/>
    <w:rsid w:val="00D1196A"/>
    <w:rsid w:val="00D127C2"/>
    <w:rsid w:val="00D1321E"/>
    <w:rsid w:val="00D13891"/>
    <w:rsid w:val="00D13BFC"/>
    <w:rsid w:val="00D1513A"/>
    <w:rsid w:val="00D158BE"/>
    <w:rsid w:val="00D16163"/>
    <w:rsid w:val="00D1642B"/>
    <w:rsid w:val="00D1643F"/>
    <w:rsid w:val="00D168E7"/>
    <w:rsid w:val="00D171DF"/>
    <w:rsid w:val="00D175AE"/>
    <w:rsid w:val="00D17B9D"/>
    <w:rsid w:val="00D20583"/>
    <w:rsid w:val="00D205D2"/>
    <w:rsid w:val="00D20C8E"/>
    <w:rsid w:val="00D21283"/>
    <w:rsid w:val="00D214B1"/>
    <w:rsid w:val="00D22BF2"/>
    <w:rsid w:val="00D2378C"/>
    <w:rsid w:val="00D23988"/>
    <w:rsid w:val="00D24B6D"/>
    <w:rsid w:val="00D24FA1"/>
    <w:rsid w:val="00D251CA"/>
    <w:rsid w:val="00D261D5"/>
    <w:rsid w:val="00D2673E"/>
    <w:rsid w:val="00D26C4F"/>
    <w:rsid w:val="00D26DD1"/>
    <w:rsid w:val="00D27027"/>
    <w:rsid w:val="00D270DE"/>
    <w:rsid w:val="00D2736B"/>
    <w:rsid w:val="00D27E00"/>
    <w:rsid w:val="00D307EB"/>
    <w:rsid w:val="00D30E10"/>
    <w:rsid w:val="00D30E88"/>
    <w:rsid w:val="00D312DF"/>
    <w:rsid w:val="00D31A25"/>
    <w:rsid w:val="00D32030"/>
    <w:rsid w:val="00D32531"/>
    <w:rsid w:val="00D329FC"/>
    <w:rsid w:val="00D32EC9"/>
    <w:rsid w:val="00D33817"/>
    <w:rsid w:val="00D33854"/>
    <w:rsid w:val="00D338B7"/>
    <w:rsid w:val="00D33A1B"/>
    <w:rsid w:val="00D33D71"/>
    <w:rsid w:val="00D3403D"/>
    <w:rsid w:val="00D341C4"/>
    <w:rsid w:val="00D34474"/>
    <w:rsid w:val="00D3465A"/>
    <w:rsid w:val="00D348A1"/>
    <w:rsid w:val="00D34AD6"/>
    <w:rsid w:val="00D34CC4"/>
    <w:rsid w:val="00D34CC8"/>
    <w:rsid w:val="00D35884"/>
    <w:rsid w:val="00D35B10"/>
    <w:rsid w:val="00D36D88"/>
    <w:rsid w:val="00D36DA9"/>
    <w:rsid w:val="00D37328"/>
    <w:rsid w:val="00D379A4"/>
    <w:rsid w:val="00D37AF9"/>
    <w:rsid w:val="00D37B68"/>
    <w:rsid w:val="00D37C9A"/>
    <w:rsid w:val="00D400CE"/>
    <w:rsid w:val="00D40ADC"/>
    <w:rsid w:val="00D40DBC"/>
    <w:rsid w:val="00D414F4"/>
    <w:rsid w:val="00D41871"/>
    <w:rsid w:val="00D41D63"/>
    <w:rsid w:val="00D421ED"/>
    <w:rsid w:val="00D42708"/>
    <w:rsid w:val="00D42740"/>
    <w:rsid w:val="00D42948"/>
    <w:rsid w:val="00D429D6"/>
    <w:rsid w:val="00D42F9B"/>
    <w:rsid w:val="00D43416"/>
    <w:rsid w:val="00D43574"/>
    <w:rsid w:val="00D435B1"/>
    <w:rsid w:val="00D43AAA"/>
    <w:rsid w:val="00D43B65"/>
    <w:rsid w:val="00D44403"/>
    <w:rsid w:val="00D44D36"/>
    <w:rsid w:val="00D4502C"/>
    <w:rsid w:val="00D450FC"/>
    <w:rsid w:val="00D45C50"/>
    <w:rsid w:val="00D45ECF"/>
    <w:rsid w:val="00D46C1D"/>
    <w:rsid w:val="00D46E4B"/>
    <w:rsid w:val="00D47390"/>
    <w:rsid w:val="00D47742"/>
    <w:rsid w:val="00D5021F"/>
    <w:rsid w:val="00D5029F"/>
    <w:rsid w:val="00D50309"/>
    <w:rsid w:val="00D50345"/>
    <w:rsid w:val="00D50B90"/>
    <w:rsid w:val="00D50C79"/>
    <w:rsid w:val="00D50E98"/>
    <w:rsid w:val="00D51168"/>
    <w:rsid w:val="00D517A5"/>
    <w:rsid w:val="00D5191C"/>
    <w:rsid w:val="00D5193F"/>
    <w:rsid w:val="00D52010"/>
    <w:rsid w:val="00D527FB"/>
    <w:rsid w:val="00D52A0F"/>
    <w:rsid w:val="00D5452A"/>
    <w:rsid w:val="00D54BD1"/>
    <w:rsid w:val="00D54F61"/>
    <w:rsid w:val="00D54F89"/>
    <w:rsid w:val="00D55560"/>
    <w:rsid w:val="00D555EB"/>
    <w:rsid w:val="00D5564B"/>
    <w:rsid w:val="00D55779"/>
    <w:rsid w:val="00D559B9"/>
    <w:rsid w:val="00D55F5E"/>
    <w:rsid w:val="00D564FD"/>
    <w:rsid w:val="00D5657C"/>
    <w:rsid w:val="00D5677C"/>
    <w:rsid w:val="00D56C94"/>
    <w:rsid w:val="00D57600"/>
    <w:rsid w:val="00D57C2D"/>
    <w:rsid w:val="00D57CE4"/>
    <w:rsid w:val="00D603FA"/>
    <w:rsid w:val="00D60490"/>
    <w:rsid w:val="00D60920"/>
    <w:rsid w:val="00D60AAF"/>
    <w:rsid w:val="00D60BAE"/>
    <w:rsid w:val="00D61226"/>
    <w:rsid w:val="00D61329"/>
    <w:rsid w:val="00D61742"/>
    <w:rsid w:val="00D6197C"/>
    <w:rsid w:val="00D625AE"/>
    <w:rsid w:val="00D62AB9"/>
    <w:rsid w:val="00D62B6F"/>
    <w:rsid w:val="00D62C91"/>
    <w:rsid w:val="00D62E8E"/>
    <w:rsid w:val="00D632BC"/>
    <w:rsid w:val="00D635C9"/>
    <w:rsid w:val="00D64088"/>
    <w:rsid w:val="00D642F3"/>
    <w:rsid w:val="00D64782"/>
    <w:rsid w:val="00D6486D"/>
    <w:rsid w:val="00D64C93"/>
    <w:rsid w:val="00D64CBA"/>
    <w:rsid w:val="00D65028"/>
    <w:rsid w:val="00D6559D"/>
    <w:rsid w:val="00D6566D"/>
    <w:rsid w:val="00D658DD"/>
    <w:rsid w:val="00D66301"/>
    <w:rsid w:val="00D668FA"/>
    <w:rsid w:val="00D66939"/>
    <w:rsid w:val="00D66ECE"/>
    <w:rsid w:val="00D70004"/>
    <w:rsid w:val="00D702FD"/>
    <w:rsid w:val="00D70C5A"/>
    <w:rsid w:val="00D70D6E"/>
    <w:rsid w:val="00D70E7A"/>
    <w:rsid w:val="00D70F45"/>
    <w:rsid w:val="00D70FEB"/>
    <w:rsid w:val="00D71167"/>
    <w:rsid w:val="00D71770"/>
    <w:rsid w:val="00D7185D"/>
    <w:rsid w:val="00D71E07"/>
    <w:rsid w:val="00D71E2E"/>
    <w:rsid w:val="00D72356"/>
    <w:rsid w:val="00D72357"/>
    <w:rsid w:val="00D72817"/>
    <w:rsid w:val="00D72ADF"/>
    <w:rsid w:val="00D73441"/>
    <w:rsid w:val="00D734CD"/>
    <w:rsid w:val="00D73535"/>
    <w:rsid w:val="00D73990"/>
    <w:rsid w:val="00D746DE"/>
    <w:rsid w:val="00D74EE6"/>
    <w:rsid w:val="00D76E91"/>
    <w:rsid w:val="00D77367"/>
    <w:rsid w:val="00D778D4"/>
    <w:rsid w:val="00D77BD7"/>
    <w:rsid w:val="00D80A27"/>
    <w:rsid w:val="00D80B5E"/>
    <w:rsid w:val="00D80C7F"/>
    <w:rsid w:val="00D80CD0"/>
    <w:rsid w:val="00D81F6C"/>
    <w:rsid w:val="00D82CA2"/>
    <w:rsid w:val="00D82D02"/>
    <w:rsid w:val="00D82D0B"/>
    <w:rsid w:val="00D83318"/>
    <w:rsid w:val="00D83939"/>
    <w:rsid w:val="00D839EE"/>
    <w:rsid w:val="00D83F0D"/>
    <w:rsid w:val="00D84348"/>
    <w:rsid w:val="00D845F0"/>
    <w:rsid w:val="00D846C2"/>
    <w:rsid w:val="00D84B49"/>
    <w:rsid w:val="00D84D79"/>
    <w:rsid w:val="00D84F8E"/>
    <w:rsid w:val="00D85119"/>
    <w:rsid w:val="00D851DB"/>
    <w:rsid w:val="00D85C83"/>
    <w:rsid w:val="00D868AB"/>
    <w:rsid w:val="00D86E0B"/>
    <w:rsid w:val="00D86E4A"/>
    <w:rsid w:val="00D870E5"/>
    <w:rsid w:val="00D87259"/>
    <w:rsid w:val="00D87F3C"/>
    <w:rsid w:val="00D90473"/>
    <w:rsid w:val="00D90757"/>
    <w:rsid w:val="00D90844"/>
    <w:rsid w:val="00D91225"/>
    <w:rsid w:val="00D91313"/>
    <w:rsid w:val="00D918C5"/>
    <w:rsid w:val="00D91A67"/>
    <w:rsid w:val="00D91BBF"/>
    <w:rsid w:val="00D91CA5"/>
    <w:rsid w:val="00D9244F"/>
    <w:rsid w:val="00D92915"/>
    <w:rsid w:val="00D92E7E"/>
    <w:rsid w:val="00D93486"/>
    <w:rsid w:val="00D94F6A"/>
    <w:rsid w:val="00D95276"/>
    <w:rsid w:val="00D9538B"/>
    <w:rsid w:val="00D9601D"/>
    <w:rsid w:val="00D962B3"/>
    <w:rsid w:val="00D9638A"/>
    <w:rsid w:val="00D96410"/>
    <w:rsid w:val="00D96A9C"/>
    <w:rsid w:val="00D96F2F"/>
    <w:rsid w:val="00D97625"/>
    <w:rsid w:val="00D977A8"/>
    <w:rsid w:val="00D97B38"/>
    <w:rsid w:val="00D97CFD"/>
    <w:rsid w:val="00D97D52"/>
    <w:rsid w:val="00D97DF4"/>
    <w:rsid w:val="00DA006D"/>
    <w:rsid w:val="00DA01F8"/>
    <w:rsid w:val="00DA0751"/>
    <w:rsid w:val="00DA0CCB"/>
    <w:rsid w:val="00DA0D12"/>
    <w:rsid w:val="00DA14BB"/>
    <w:rsid w:val="00DA1D68"/>
    <w:rsid w:val="00DA1E43"/>
    <w:rsid w:val="00DA2022"/>
    <w:rsid w:val="00DA24A4"/>
    <w:rsid w:val="00DA265F"/>
    <w:rsid w:val="00DA2D8F"/>
    <w:rsid w:val="00DA3131"/>
    <w:rsid w:val="00DA3AD9"/>
    <w:rsid w:val="00DA3E12"/>
    <w:rsid w:val="00DA51C3"/>
    <w:rsid w:val="00DA5409"/>
    <w:rsid w:val="00DA5684"/>
    <w:rsid w:val="00DA593E"/>
    <w:rsid w:val="00DA5CEE"/>
    <w:rsid w:val="00DA612D"/>
    <w:rsid w:val="00DA6596"/>
    <w:rsid w:val="00DA6C47"/>
    <w:rsid w:val="00DA6EA1"/>
    <w:rsid w:val="00DA6F7A"/>
    <w:rsid w:val="00DA6F92"/>
    <w:rsid w:val="00DA7C80"/>
    <w:rsid w:val="00DA7D85"/>
    <w:rsid w:val="00DB00B9"/>
    <w:rsid w:val="00DB02BD"/>
    <w:rsid w:val="00DB036C"/>
    <w:rsid w:val="00DB0CC3"/>
    <w:rsid w:val="00DB0DE6"/>
    <w:rsid w:val="00DB0E7F"/>
    <w:rsid w:val="00DB148A"/>
    <w:rsid w:val="00DB1F0E"/>
    <w:rsid w:val="00DB2081"/>
    <w:rsid w:val="00DB20AB"/>
    <w:rsid w:val="00DB27D6"/>
    <w:rsid w:val="00DB27DF"/>
    <w:rsid w:val="00DB2C01"/>
    <w:rsid w:val="00DB3727"/>
    <w:rsid w:val="00DB376F"/>
    <w:rsid w:val="00DB3A70"/>
    <w:rsid w:val="00DB3BF1"/>
    <w:rsid w:val="00DB3E58"/>
    <w:rsid w:val="00DB4060"/>
    <w:rsid w:val="00DB46FD"/>
    <w:rsid w:val="00DB4BF6"/>
    <w:rsid w:val="00DB5E70"/>
    <w:rsid w:val="00DB5FC0"/>
    <w:rsid w:val="00DB67E5"/>
    <w:rsid w:val="00DB6E23"/>
    <w:rsid w:val="00DB72E5"/>
    <w:rsid w:val="00DB79AE"/>
    <w:rsid w:val="00DB7A6A"/>
    <w:rsid w:val="00DB7B19"/>
    <w:rsid w:val="00DC04CC"/>
    <w:rsid w:val="00DC0FE5"/>
    <w:rsid w:val="00DC12B8"/>
    <w:rsid w:val="00DC16E0"/>
    <w:rsid w:val="00DC1E36"/>
    <w:rsid w:val="00DC223A"/>
    <w:rsid w:val="00DC2696"/>
    <w:rsid w:val="00DC2A54"/>
    <w:rsid w:val="00DC2BCE"/>
    <w:rsid w:val="00DC30EB"/>
    <w:rsid w:val="00DC30FD"/>
    <w:rsid w:val="00DC317A"/>
    <w:rsid w:val="00DC3337"/>
    <w:rsid w:val="00DC34FF"/>
    <w:rsid w:val="00DC35B4"/>
    <w:rsid w:val="00DC3988"/>
    <w:rsid w:val="00DC4396"/>
    <w:rsid w:val="00DC4677"/>
    <w:rsid w:val="00DC4BEC"/>
    <w:rsid w:val="00DC4EAA"/>
    <w:rsid w:val="00DC5199"/>
    <w:rsid w:val="00DC5240"/>
    <w:rsid w:val="00DC5268"/>
    <w:rsid w:val="00DC5EC2"/>
    <w:rsid w:val="00DC60E3"/>
    <w:rsid w:val="00DC6218"/>
    <w:rsid w:val="00DC62FE"/>
    <w:rsid w:val="00DC63B5"/>
    <w:rsid w:val="00DC6831"/>
    <w:rsid w:val="00DC6CE9"/>
    <w:rsid w:val="00DC6D27"/>
    <w:rsid w:val="00DC7090"/>
    <w:rsid w:val="00DC74FC"/>
    <w:rsid w:val="00DC7CD5"/>
    <w:rsid w:val="00DD18A9"/>
    <w:rsid w:val="00DD1EE4"/>
    <w:rsid w:val="00DD253B"/>
    <w:rsid w:val="00DD2875"/>
    <w:rsid w:val="00DD2925"/>
    <w:rsid w:val="00DD2A8E"/>
    <w:rsid w:val="00DD2BFB"/>
    <w:rsid w:val="00DD30BA"/>
    <w:rsid w:val="00DD31E5"/>
    <w:rsid w:val="00DD339C"/>
    <w:rsid w:val="00DD35B0"/>
    <w:rsid w:val="00DD3761"/>
    <w:rsid w:val="00DD3DBA"/>
    <w:rsid w:val="00DD41C6"/>
    <w:rsid w:val="00DD422B"/>
    <w:rsid w:val="00DD4281"/>
    <w:rsid w:val="00DD4840"/>
    <w:rsid w:val="00DD49B1"/>
    <w:rsid w:val="00DD4FF8"/>
    <w:rsid w:val="00DD52CD"/>
    <w:rsid w:val="00DD5C2A"/>
    <w:rsid w:val="00DD60BC"/>
    <w:rsid w:val="00DD634A"/>
    <w:rsid w:val="00DD657B"/>
    <w:rsid w:val="00DD6659"/>
    <w:rsid w:val="00DE02E2"/>
    <w:rsid w:val="00DE0391"/>
    <w:rsid w:val="00DE03AC"/>
    <w:rsid w:val="00DE0981"/>
    <w:rsid w:val="00DE176C"/>
    <w:rsid w:val="00DE22F4"/>
    <w:rsid w:val="00DE2498"/>
    <w:rsid w:val="00DE2774"/>
    <w:rsid w:val="00DE2D60"/>
    <w:rsid w:val="00DE31C8"/>
    <w:rsid w:val="00DE36EC"/>
    <w:rsid w:val="00DE4049"/>
    <w:rsid w:val="00DE413F"/>
    <w:rsid w:val="00DE4AA4"/>
    <w:rsid w:val="00DE6111"/>
    <w:rsid w:val="00DE6678"/>
    <w:rsid w:val="00DE6C9E"/>
    <w:rsid w:val="00DE6D65"/>
    <w:rsid w:val="00DE6F13"/>
    <w:rsid w:val="00DE769D"/>
    <w:rsid w:val="00DE7D18"/>
    <w:rsid w:val="00DF0808"/>
    <w:rsid w:val="00DF1123"/>
    <w:rsid w:val="00DF1B78"/>
    <w:rsid w:val="00DF1D09"/>
    <w:rsid w:val="00DF28B2"/>
    <w:rsid w:val="00DF30AE"/>
    <w:rsid w:val="00DF334E"/>
    <w:rsid w:val="00DF3B3C"/>
    <w:rsid w:val="00DF3BE4"/>
    <w:rsid w:val="00DF41C8"/>
    <w:rsid w:val="00DF4AAD"/>
    <w:rsid w:val="00DF55B3"/>
    <w:rsid w:val="00DF5729"/>
    <w:rsid w:val="00DF5990"/>
    <w:rsid w:val="00DF5A07"/>
    <w:rsid w:val="00DF5A56"/>
    <w:rsid w:val="00DF60D6"/>
    <w:rsid w:val="00DF6587"/>
    <w:rsid w:val="00DF6A04"/>
    <w:rsid w:val="00DF6B17"/>
    <w:rsid w:val="00DF6CD0"/>
    <w:rsid w:val="00DF7B76"/>
    <w:rsid w:val="00DF7EBA"/>
    <w:rsid w:val="00E00FD1"/>
    <w:rsid w:val="00E00FEC"/>
    <w:rsid w:val="00E0127B"/>
    <w:rsid w:val="00E01B31"/>
    <w:rsid w:val="00E01C51"/>
    <w:rsid w:val="00E02AAD"/>
    <w:rsid w:val="00E02B8B"/>
    <w:rsid w:val="00E02EBA"/>
    <w:rsid w:val="00E03023"/>
    <w:rsid w:val="00E03BA0"/>
    <w:rsid w:val="00E03D8E"/>
    <w:rsid w:val="00E03E6A"/>
    <w:rsid w:val="00E04A07"/>
    <w:rsid w:val="00E04CEB"/>
    <w:rsid w:val="00E04EA5"/>
    <w:rsid w:val="00E04FCE"/>
    <w:rsid w:val="00E05218"/>
    <w:rsid w:val="00E05A51"/>
    <w:rsid w:val="00E05E53"/>
    <w:rsid w:val="00E05F2C"/>
    <w:rsid w:val="00E05F76"/>
    <w:rsid w:val="00E064CA"/>
    <w:rsid w:val="00E071E9"/>
    <w:rsid w:val="00E075D7"/>
    <w:rsid w:val="00E07AF5"/>
    <w:rsid w:val="00E07D41"/>
    <w:rsid w:val="00E100F1"/>
    <w:rsid w:val="00E107A8"/>
    <w:rsid w:val="00E10E19"/>
    <w:rsid w:val="00E10F4E"/>
    <w:rsid w:val="00E1129A"/>
    <w:rsid w:val="00E11609"/>
    <w:rsid w:val="00E11AC1"/>
    <w:rsid w:val="00E11FF6"/>
    <w:rsid w:val="00E12A70"/>
    <w:rsid w:val="00E130B2"/>
    <w:rsid w:val="00E1315F"/>
    <w:rsid w:val="00E13A4E"/>
    <w:rsid w:val="00E13D4C"/>
    <w:rsid w:val="00E13FDF"/>
    <w:rsid w:val="00E1484E"/>
    <w:rsid w:val="00E14C35"/>
    <w:rsid w:val="00E14E34"/>
    <w:rsid w:val="00E14EA7"/>
    <w:rsid w:val="00E15B5E"/>
    <w:rsid w:val="00E15B93"/>
    <w:rsid w:val="00E161CC"/>
    <w:rsid w:val="00E17178"/>
    <w:rsid w:val="00E176D8"/>
    <w:rsid w:val="00E178D7"/>
    <w:rsid w:val="00E1792F"/>
    <w:rsid w:val="00E17B62"/>
    <w:rsid w:val="00E17F30"/>
    <w:rsid w:val="00E20799"/>
    <w:rsid w:val="00E20B71"/>
    <w:rsid w:val="00E212E8"/>
    <w:rsid w:val="00E22616"/>
    <w:rsid w:val="00E23310"/>
    <w:rsid w:val="00E239FD"/>
    <w:rsid w:val="00E2415B"/>
    <w:rsid w:val="00E2470C"/>
    <w:rsid w:val="00E2576F"/>
    <w:rsid w:val="00E25817"/>
    <w:rsid w:val="00E26372"/>
    <w:rsid w:val="00E26C0E"/>
    <w:rsid w:val="00E27226"/>
    <w:rsid w:val="00E27908"/>
    <w:rsid w:val="00E27B3E"/>
    <w:rsid w:val="00E302A6"/>
    <w:rsid w:val="00E30E3D"/>
    <w:rsid w:val="00E31451"/>
    <w:rsid w:val="00E3145C"/>
    <w:rsid w:val="00E31523"/>
    <w:rsid w:val="00E322C7"/>
    <w:rsid w:val="00E322F1"/>
    <w:rsid w:val="00E32431"/>
    <w:rsid w:val="00E32EF9"/>
    <w:rsid w:val="00E32F46"/>
    <w:rsid w:val="00E330DB"/>
    <w:rsid w:val="00E334E8"/>
    <w:rsid w:val="00E3384C"/>
    <w:rsid w:val="00E33CFB"/>
    <w:rsid w:val="00E33F4E"/>
    <w:rsid w:val="00E34D00"/>
    <w:rsid w:val="00E34D02"/>
    <w:rsid w:val="00E352EF"/>
    <w:rsid w:val="00E35817"/>
    <w:rsid w:val="00E358F5"/>
    <w:rsid w:val="00E360BC"/>
    <w:rsid w:val="00E365E4"/>
    <w:rsid w:val="00E36966"/>
    <w:rsid w:val="00E36D63"/>
    <w:rsid w:val="00E37179"/>
    <w:rsid w:val="00E37306"/>
    <w:rsid w:val="00E37571"/>
    <w:rsid w:val="00E40024"/>
    <w:rsid w:val="00E403D5"/>
    <w:rsid w:val="00E406D8"/>
    <w:rsid w:val="00E41610"/>
    <w:rsid w:val="00E416D8"/>
    <w:rsid w:val="00E41970"/>
    <w:rsid w:val="00E41D2A"/>
    <w:rsid w:val="00E42130"/>
    <w:rsid w:val="00E427FD"/>
    <w:rsid w:val="00E42EDD"/>
    <w:rsid w:val="00E431B5"/>
    <w:rsid w:val="00E4361B"/>
    <w:rsid w:val="00E43F7E"/>
    <w:rsid w:val="00E44505"/>
    <w:rsid w:val="00E4478F"/>
    <w:rsid w:val="00E448BE"/>
    <w:rsid w:val="00E448CE"/>
    <w:rsid w:val="00E45D13"/>
    <w:rsid w:val="00E45DBF"/>
    <w:rsid w:val="00E4617B"/>
    <w:rsid w:val="00E461F3"/>
    <w:rsid w:val="00E46644"/>
    <w:rsid w:val="00E46B97"/>
    <w:rsid w:val="00E473C1"/>
    <w:rsid w:val="00E474FE"/>
    <w:rsid w:val="00E479D7"/>
    <w:rsid w:val="00E500A2"/>
    <w:rsid w:val="00E5084E"/>
    <w:rsid w:val="00E50B6A"/>
    <w:rsid w:val="00E51347"/>
    <w:rsid w:val="00E51377"/>
    <w:rsid w:val="00E51A7B"/>
    <w:rsid w:val="00E52050"/>
    <w:rsid w:val="00E5231B"/>
    <w:rsid w:val="00E525E8"/>
    <w:rsid w:val="00E5291D"/>
    <w:rsid w:val="00E52B85"/>
    <w:rsid w:val="00E536C2"/>
    <w:rsid w:val="00E53766"/>
    <w:rsid w:val="00E53A93"/>
    <w:rsid w:val="00E541C4"/>
    <w:rsid w:val="00E5421D"/>
    <w:rsid w:val="00E544B8"/>
    <w:rsid w:val="00E54B94"/>
    <w:rsid w:val="00E54C1E"/>
    <w:rsid w:val="00E54E86"/>
    <w:rsid w:val="00E55D0C"/>
    <w:rsid w:val="00E55F1F"/>
    <w:rsid w:val="00E560D0"/>
    <w:rsid w:val="00E56DF2"/>
    <w:rsid w:val="00E56E25"/>
    <w:rsid w:val="00E570DB"/>
    <w:rsid w:val="00E57328"/>
    <w:rsid w:val="00E576C6"/>
    <w:rsid w:val="00E57824"/>
    <w:rsid w:val="00E57911"/>
    <w:rsid w:val="00E602E2"/>
    <w:rsid w:val="00E60C83"/>
    <w:rsid w:val="00E60E23"/>
    <w:rsid w:val="00E61129"/>
    <w:rsid w:val="00E6154B"/>
    <w:rsid w:val="00E6186D"/>
    <w:rsid w:val="00E61E52"/>
    <w:rsid w:val="00E624FE"/>
    <w:rsid w:val="00E629F3"/>
    <w:rsid w:val="00E6375E"/>
    <w:rsid w:val="00E637B7"/>
    <w:rsid w:val="00E6398D"/>
    <w:rsid w:val="00E63A5E"/>
    <w:rsid w:val="00E63DD3"/>
    <w:rsid w:val="00E63F88"/>
    <w:rsid w:val="00E64B63"/>
    <w:rsid w:val="00E64C7B"/>
    <w:rsid w:val="00E65854"/>
    <w:rsid w:val="00E659E7"/>
    <w:rsid w:val="00E65B12"/>
    <w:rsid w:val="00E65CFB"/>
    <w:rsid w:val="00E6688F"/>
    <w:rsid w:val="00E66A9F"/>
    <w:rsid w:val="00E66EA8"/>
    <w:rsid w:val="00E675B1"/>
    <w:rsid w:val="00E679E9"/>
    <w:rsid w:val="00E70048"/>
    <w:rsid w:val="00E708F3"/>
    <w:rsid w:val="00E70B0B"/>
    <w:rsid w:val="00E71A5B"/>
    <w:rsid w:val="00E71B66"/>
    <w:rsid w:val="00E72C28"/>
    <w:rsid w:val="00E72E92"/>
    <w:rsid w:val="00E738F3"/>
    <w:rsid w:val="00E73C91"/>
    <w:rsid w:val="00E73FBF"/>
    <w:rsid w:val="00E7417D"/>
    <w:rsid w:val="00E74ECE"/>
    <w:rsid w:val="00E7514A"/>
    <w:rsid w:val="00E75A65"/>
    <w:rsid w:val="00E764D0"/>
    <w:rsid w:val="00E765B3"/>
    <w:rsid w:val="00E766FF"/>
    <w:rsid w:val="00E7693D"/>
    <w:rsid w:val="00E76A7F"/>
    <w:rsid w:val="00E76EA8"/>
    <w:rsid w:val="00E76EE5"/>
    <w:rsid w:val="00E77033"/>
    <w:rsid w:val="00E775EC"/>
    <w:rsid w:val="00E777DA"/>
    <w:rsid w:val="00E77C2F"/>
    <w:rsid w:val="00E8000B"/>
    <w:rsid w:val="00E80185"/>
    <w:rsid w:val="00E80361"/>
    <w:rsid w:val="00E816B3"/>
    <w:rsid w:val="00E81920"/>
    <w:rsid w:val="00E81D9B"/>
    <w:rsid w:val="00E81F75"/>
    <w:rsid w:val="00E8226D"/>
    <w:rsid w:val="00E8278C"/>
    <w:rsid w:val="00E82AD8"/>
    <w:rsid w:val="00E83684"/>
    <w:rsid w:val="00E83875"/>
    <w:rsid w:val="00E83986"/>
    <w:rsid w:val="00E83B04"/>
    <w:rsid w:val="00E83F7E"/>
    <w:rsid w:val="00E84A6A"/>
    <w:rsid w:val="00E84BFE"/>
    <w:rsid w:val="00E858E7"/>
    <w:rsid w:val="00E867D0"/>
    <w:rsid w:val="00E86A78"/>
    <w:rsid w:val="00E86BA2"/>
    <w:rsid w:val="00E87E3E"/>
    <w:rsid w:val="00E900A6"/>
    <w:rsid w:val="00E902DD"/>
    <w:rsid w:val="00E90D81"/>
    <w:rsid w:val="00E910B1"/>
    <w:rsid w:val="00E910DE"/>
    <w:rsid w:val="00E91496"/>
    <w:rsid w:val="00E91615"/>
    <w:rsid w:val="00E91BE0"/>
    <w:rsid w:val="00E91C4A"/>
    <w:rsid w:val="00E92325"/>
    <w:rsid w:val="00E92501"/>
    <w:rsid w:val="00E9259E"/>
    <w:rsid w:val="00E9263B"/>
    <w:rsid w:val="00E9280C"/>
    <w:rsid w:val="00E92835"/>
    <w:rsid w:val="00E92952"/>
    <w:rsid w:val="00E9297C"/>
    <w:rsid w:val="00E939D0"/>
    <w:rsid w:val="00E939F3"/>
    <w:rsid w:val="00E940DF"/>
    <w:rsid w:val="00E94107"/>
    <w:rsid w:val="00E943D3"/>
    <w:rsid w:val="00E945FE"/>
    <w:rsid w:val="00E94763"/>
    <w:rsid w:val="00E94882"/>
    <w:rsid w:val="00E9490E"/>
    <w:rsid w:val="00E94E74"/>
    <w:rsid w:val="00E95140"/>
    <w:rsid w:val="00E95E7A"/>
    <w:rsid w:val="00E95FD8"/>
    <w:rsid w:val="00E9701E"/>
    <w:rsid w:val="00E9754E"/>
    <w:rsid w:val="00E9769F"/>
    <w:rsid w:val="00E978CD"/>
    <w:rsid w:val="00E97D8E"/>
    <w:rsid w:val="00E97E89"/>
    <w:rsid w:val="00E97F5C"/>
    <w:rsid w:val="00EA0645"/>
    <w:rsid w:val="00EA1518"/>
    <w:rsid w:val="00EA1570"/>
    <w:rsid w:val="00EA16E0"/>
    <w:rsid w:val="00EA1737"/>
    <w:rsid w:val="00EA1DA8"/>
    <w:rsid w:val="00EA25C6"/>
    <w:rsid w:val="00EA30A1"/>
    <w:rsid w:val="00EA3205"/>
    <w:rsid w:val="00EA4239"/>
    <w:rsid w:val="00EA499B"/>
    <w:rsid w:val="00EA4E66"/>
    <w:rsid w:val="00EA4EAA"/>
    <w:rsid w:val="00EA50F4"/>
    <w:rsid w:val="00EA53EB"/>
    <w:rsid w:val="00EA5BD8"/>
    <w:rsid w:val="00EA5DB1"/>
    <w:rsid w:val="00EA5E34"/>
    <w:rsid w:val="00EA6010"/>
    <w:rsid w:val="00EA60BF"/>
    <w:rsid w:val="00EA65B4"/>
    <w:rsid w:val="00EA65C7"/>
    <w:rsid w:val="00EA6FF3"/>
    <w:rsid w:val="00EA7656"/>
    <w:rsid w:val="00EB030F"/>
    <w:rsid w:val="00EB05D0"/>
    <w:rsid w:val="00EB09E6"/>
    <w:rsid w:val="00EB0A14"/>
    <w:rsid w:val="00EB1277"/>
    <w:rsid w:val="00EB15A8"/>
    <w:rsid w:val="00EB1E74"/>
    <w:rsid w:val="00EB25E3"/>
    <w:rsid w:val="00EB27CD"/>
    <w:rsid w:val="00EB294A"/>
    <w:rsid w:val="00EB2DED"/>
    <w:rsid w:val="00EB33E7"/>
    <w:rsid w:val="00EB3565"/>
    <w:rsid w:val="00EB359A"/>
    <w:rsid w:val="00EB3631"/>
    <w:rsid w:val="00EB444E"/>
    <w:rsid w:val="00EB453C"/>
    <w:rsid w:val="00EB47DD"/>
    <w:rsid w:val="00EB4C71"/>
    <w:rsid w:val="00EB4D09"/>
    <w:rsid w:val="00EB4D76"/>
    <w:rsid w:val="00EB5027"/>
    <w:rsid w:val="00EB534E"/>
    <w:rsid w:val="00EB5511"/>
    <w:rsid w:val="00EB5537"/>
    <w:rsid w:val="00EB5D06"/>
    <w:rsid w:val="00EB5DB7"/>
    <w:rsid w:val="00EB61DD"/>
    <w:rsid w:val="00EB6CD4"/>
    <w:rsid w:val="00EB6D4D"/>
    <w:rsid w:val="00EB708C"/>
    <w:rsid w:val="00EB74F3"/>
    <w:rsid w:val="00EC05CA"/>
    <w:rsid w:val="00EC0A02"/>
    <w:rsid w:val="00EC0CCF"/>
    <w:rsid w:val="00EC1091"/>
    <w:rsid w:val="00EC13F6"/>
    <w:rsid w:val="00EC165B"/>
    <w:rsid w:val="00EC1AC4"/>
    <w:rsid w:val="00EC1BA7"/>
    <w:rsid w:val="00EC1E64"/>
    <w:rsid w:val="00EC316E"/>
    <w:rsid w:val="00EC3209"/>
    <w:rsid w:val="00EC3333"/>
    <w:rsid w:val="00EC3D84"/>
    <w:rsid w:val="00EC4343"/>
    <w:rsid w:val="00EC4345"/>
    <w:rsid w:val="00EC44AD"/>
    <w:rsid w:val="00EC4F83"/>
    <w:rsid w:val="00EC515F"/>
    <w:rsid w:val="00EC551F"/>
    <w:rsid w:val="00EC5DBE"/>
    <w:rsid w:val="00EC6303"/>
    <w:rsid w:val="00EC6C64"/>
    <w:rsid w:val="00EC74E9"/>
    <w:rsid w:val="00EC7665"/>
    <w:rsid w:val="00EC7729"/>
    <w:rsid w:val="00EC79F7"/>
    <w:rsid w:val="00EC7AE9"/>
    <w:rsid w:val="00ED129B"/>
    <w:rsid w:val="00ED1599"/>
    <w:rsid w:val="00ED1D1F"/>
    <w:rsid w:val="00ED1F19"/>
    <w:rsid w:val="00ED21D8"/>
    <w:rsid w:val="00ED264D"/>
    <w:rsid w:val="00ED277B"/>
    <w:rsid w:val="00ED2895"/>
    <w:rsid w:val="00ED2B5A"/>
    <w:rsid w:val="00ED3465"/>
    <w:rsid w:val="00ED423A"/>
    <w:rsid w:val="00ED4247"/>
    <w:rsid w:val="00ED472F"/>
    <w:rsid w:val="00ED49B1"/>
    <w:rsid w:val="00ED4C42"/>
    <w:rsid w:val="00ED4FCC"/>
    <w:rsid w:val="00ED520D"/>
    <w:rsid w:val="00ED5445"/>
    <w:rsid w:val="00ED668C"/>
    <w:rsid w:val="00ED6B7B"/>
    <w:rsid w:val="00ED6EF8"/>
    <w:rsid w:val="00ED79BA"/>
    <w:rsid w:val="00ED7D9A"/>
    <w:rsid w:val="00EE10AA"/>
    <w:rsid w:val="00EE1115"/>
    <w:rsid w:val="00EE125C"/>
    <w:rsid w:val="00EE17BC"/>
    <w:rsid w:val="00EE2197"/>
    <w:rsid w:val="00EE22D0"/>
    <w:rsid w:val="00EE23E8"/>
    <w:rsid w:val="00EE2BAF"/>
    <w:rsid w:val="00EE2EB1"/>
    <w:rsid w:val="00EE32E5"/>
    <w:rsid w:val="00EE5D99"/>
    <w:rsid w:val="00EE6865"/>
    <w:rsid w:val="00EE6B28"/>
    <w:rsid w:val="00EE6B85"/>
    <w:rsid w:val="00EE70BF"/>
    <w:rsid w:val="00EE72DC"/>
    <w:rsid w:val="00EE7391"/>
    <w:rsid w:val="00EE787E"/>
    <w:rsid w:val="00EE7CF2"/>
    <w:rsid w:val="00EE7E92"/>
    <w:rsid w:val="00EF0684"/>
    <w:rsid w:val="00EF0AF1"/>
    <w:rsid w:val="00EF1EB6"/>
    <w:rsid w:val="00EF1F22"/>
    <w:rsid w:val="00EF22AA"/>
    <w:rsid w:val="00EF27DF"/>
    <w:rsid w:val="00EF2C73"/>
    <w:rsid w:val="00EF2EDC"/>
    <w:rsid w:val="00EF314E"/>
    <w:rsid w:val="00EF3204"/>
    <w:rsid w:val="00EF3423"/>
    <w:rsid w:val="00EF39F0"/>
    <w:rsid w:val="00EF3C7B"/>
    <w:rsid w:val="00EF3E22"/>
    <w:rsid w:val="00EF42A6"/>
    <w:rsid w:val="00EF4E5B"/>
    <w:rsid w:val="00EF4F9D"/>
    <w:rsid w:val="00EF5374"/>
    <w:rsid w:val="00EF5B36"/>
    <w:rsid w:val="00EF5E5B"/>
    <w:rsid w:val="00EF5FD9"/>
    <w:rsid w:val="00EF6A91"/>
    <w:rsid w:val="00EF73A8"/>
    <w:rsid w:val="00EF7573"/>
    <w:rsid w:val="00EF7940"/>
    <w:rsid w:val="00EF7B23"/>
    <w:rsid w:val="00EF7C8B"/>
    <w:rsid w:val="00EF7DA9"/>
    <w:rsid w:val="00EF7E9B"/>
    <w:rsid w:val="00F001DF"/>
    <w:rsid w:val="00F0050F"/>
    <w:rsid w:val="00F009A9"/>
    <w:rsid w:val="00F00BC3"/>
    <w:rsid w:val="00F0103D"/>
    <w:rsid w:val="00F01223"/>
    <w:rsid w:val="00F01A25"/>
    <w:rsid w:val="00F01EA7"/>
    <w:rsid w:val="00F02349"/>
    <w:rsid w:val="00F023B3"/>
    <w:rsid w:val="00F0274F"/>
    <w:rsid w:val="00F02A3D"/>
    <w:rsid w:val="00F02CEA"/>
    <w:rsid w:val="00F03DBE"/>
    <w:rsid w:val="00F04304"/>
    <w:rsid w:val="00F04CC6"/>
    <w:rsid w:val="00F055C9"/>
    <w:rsid w:val="00F056C2"/>
    <w:rsid w:val="00F05893"/>
    <w:rsid w:val="00F05998"/>
    <w:rsid w:val="00F05C16"/>
    <w:rsid w:val="00F0603F"/>
    <w:rsid w:val="00F06080"/>
    <w:rsid w:val="00F060AF"/>
    <w:rsid w:val="00F0709E"/>
    <w:rsid w:val="00F0738D"/>
    <w:rsid w:val="00F073F5"/>
    <w:rsid w:val="00F074F0"/>
    <w:rsid w:val="00F07536"/>
    <w:rsid w:val="00F07785"/>
    <w:rsid w:val="00F07823"/>
    <w:rsid w:val="00F0796E"/>
    <w:rsid w:val="00F100B5"/>
    <w:rsid w:val="00F103F9"/>
    <w:rsid w:val="00F10A31"/>
    <w:rsid w:val="00F10B77"/>
    <w:rsid w:val="00F10B8C"/>
    <w:rsid w:val="00F1137E"/>
    <w:rsid w:val="00F1138B"/>
    <w:rsid w:val="00F1190C"/>
    <w:rsid w:val="00F11C2D"/>
    <w:rsid w:val="00F123BA"/>
    <w:rsid w:val="00F137FD"/>
    <w:rsid w:val="00F139FD"/>
    <w:rsid w:val="00F13A95"/>
    <w:rsid w:val="00F13D1D"/>
    <w:rsid w:val="00F13DFA"/>
    <w:rsid w:val="00F1427B"/>
    <w:rsid w:val="00F14620"/>
    <w:rsid w:val="00F14A42"/>
    <w:rsid w:val="00F14C8E"/>
    <w:rsid w:val="00F14FFA"/>
    <w:rsid w:val="00F1504F"/>
    <w:rsid w:val="00F15CEC"/>
    <w:rsid w:val="00F176C5"/>
    <w:rsid w:val="00F2093D"/>
    <w:rsid w:val="00F218A9"/>
    <w:rsid w:val="00F21986"/>
    <w:rsid w:val="00F21A50"/>
    <w:rsid w:val="00F21B3E"/>
    <w:rsid w:val="00F21BEC"/>
    <w:rsid w:val="00F21C8A"/>
    <w:rsid w:val="00F22343"/>
    <w:rsid w:val="00F2266A"/>
    <w:rsid w:val="00F22694"/>
    <w:rsid w:val="00F227B9"/>
    <w:rsid w:val="00F22990"/>
    <w:rsid w:val="00F229E9"/>
    <w:rsid w:val="00F229F9"/>
    <w:rsid w:val="00F22D28"/>
    <w:rsid w:val="00F23399"/>
    <w:rsid w:val="00F23571"/>
    <w:rsid w:val="00F237F0"/>
    <w:rsid w:val="00F23C16"/>
    <w:rsid w:val="00F24879"/>
    <w:rsid w:val="00F25163"/>
    <w:rsid w:val="00F254DC"/>
    <w:rsid w:val="00F25956"/>
    <w:rsid w:val="00F25CC7"/>
    <w:rsid w:val="00F26725"/>
    <w:rsid w:val="00F27809"/>
    <w:rsid w:val="00F30027"/>
    <w:rsid w:val="00F30669"/>
    <w:rsid w:val="00F30B91"/>
    <w:rsid w:val="00F30CC9"/>
    <w:rsid w:val="00F31345"/>
    <w:rsid w:val="00F31470"/>
    <w:rsid w:val="00F31A41"/>
    <w:rsid w:val="00F31B2F"/>
    <w:rsid w:val="00F31B45"/>
    <w:rsid w:val="00F31B4D"/>
    <w:rsid w:val="00F322A3"/>
    <w:rsid w:val="00F322BB"/>
    <w:rsid w:val="00F32F90"/>
    <w:rsid w:val="00F331B4"/>
    <w:rsid w:val="00F3333B"/>
    <w:rsid w:val="00F34392"/>
    <w:rsid w:val="00F345D6"/>
    <w:rsid w:val="00F34A65"/>
    <w:rsid w:val="00F34D0C"/>
    <w:rsid w:val="00F3516C"/>
    <w:rsid w:val="00F35278"/>
    <w:rsid w:val="00F3545A"/>
    <w:rsid w:val="00F357D8"/>
    <w:rsid w:val="00F35D6B"/>
    <w:rsid w:val="00F36743"/>
    <w:rsid w:val="00F36A81"/>
    <w:rsid w:val="00F37362"/>
    <w:rsid w:val="00F37C2E"/>
    <w:rsid w:val="00F40B04"/>
    <w:rsid w:val="00F40B85"/>
    <w:rsid w:val="00F40C76"/>
    <w:rsid w:val="00F40C87"/>
    <w:rsid w:val="00F4101C"/>
    <w:rsid w:val="00F410AF"/>
    <w:rsid w:val="00F411CB"/>
    <w:rsid w:val="00F41549"/>
    <w:rsid w:val="00F41D16"/>
    <w:rsid w:val="00F421C8"/>
    <w:rsid w:val="00F423E0"/>
    <w:rsid w:val="00F427AF"/>
    <w:rsid w:val="00F428A5"/>
    <w:rsid w:val="00F42922"/>
    <w:rsid w:val="00F43A51"/>
    <w:rsid w:val="00F43A81"/>
    <w:rsid w:val="00F43BD6"/>
    <w:rsid w:val="00F43CB9"/>
    <w:rsid w:val="00F43D73"/>
    <w:rsid w:val="00F43DE1"/>
    <w:rsid w:val="00F43EE0"/>
    <w:rsid w:val="00F44256"/>
    <w:rsid w:val="00F4441D"/>
    <w:rsid w:val="00F44D91"/>
    <w:rsid w:val="00F44DF2"/>
    <w:rsid w:val="00F450C7"/>
    <w:rsid w:val="00F458CD"/>
    <w:rsid w:val="00F46050"/>
    <w:rsid w:val="00F46A2B"/>
    <w:rsid w:val="00F46D53"/>
    <w:rsid w:val="00F470D3"/>
    <w:rsid w:val="00F474BF"/>
    <w:rsid w:val="00F479DA"/>
    <w:rsid w:val="00F50F89"/>
    <w:rsid w:val="00F5118D"/>
    <w:rsid w:val="00F518A6"/>
    <w:rsid w:val="00F518B7"/>
    <w:rsid w:val="00F52B04"/>
    <w:rsid w:val="00F52CC1"/>
    <w:rsid w:val="00F531D2"/>
    <w:rsid w:val="00F53567"/>
    <w:rsid w:val="00F53B0B"/>
    <w:rsid w:val="00F53C68"/>
    <w:rsid w:val="00F542E5"/>
    <w:rsid w:val="00F543B8"/>
    <w:rsid w:val="00F5472F"/>
    <w:rsid w:val="00F548B9"/>
    <w:rsid w:val="00F5522B"/>
    <w:rsid w:val="00F552A3"/>
    <w:rsid w:val="00F552CF"/>
    <w:rsid w:val="00F5589A"/>
    <w:rsid w:val="00F559C9"/>
    <w:rsid w:val="00F5617A"/>
    <w:rsid w:val="00F56286"/>
    <w:rsid w:val="00F56468"/>
    <w:rsid w:val="00F56A69"/>
    <w:rsid w:val="00F56CB8"/>
    <w:rsid w:val="00F56D93"/>
    <w:rsid w:val="00F57480"/>
    <w:rsid w:val="00F57483"/>
    <w:rsid w:val="00F57941"/>
    <w:rsid w:val="00F57BF7"/>
    <w:rsid w:val="00F6030F"/>
    <w:rsid w:val="00F60387"/>
    <w:rsid w:val="00F603A2"/>
    <w:rsid w:val="00F6095E"/>
    <w:rsid w:val="00F611EB"/>
    <w:rsid w:val="00F61545"/>
    <w:rsid w:val="00F6196A"/>
    <w:rsid w:val="00F61ED9"/>
    <w:rsid w:val="00F626D8"/>
    <w:rsid w:val="00F62733"/>
    <w:rsid w:val="00F6291F"/>
    <w:rsid w:val="00F62A59"/>
    <w:rsid w:val="00F6344A"/>
    <w:rsid w:val="00F63D8F"/>
    <w:rsid w:val="00F6442C"/>
    <w:rsid w:val="00F647C0"/>
    <w:rsid w:val="00F64EDA"/>
    <w:rsid w:val="00F6578D"/>
    <w:rsid w:val="00F6669F"/>
    <w:rsid w:val="00F668E9"/>
    <w:rsid w:val="00F6699B"/>
    <w:rsid w:val="00F66C04"/>
    <w:rsid w:val="00F66DF8"/>
    <w:rsid w:val="00F66F73"/>
    <w:rsid w:val="00F706A5"/>
    <w:rsid w:val="00F70AB6"/>
    <w:rsid w:val="00F70E0A"/>
    <w:rsid w:val="00F73309"/>
    <w:rsid w:val="00F73741"/>
    <w:rsid w:val="00F7383D"/>
    <w:rsid w:val="00F739B6"/>
    <w:rsid w:val="00F749B4"/>
    <w:rsid w:val="00F74A9D"/>
    <w:rsid w:val="00F74DE9"/>
    <w:rsid w:val="00F74E94"/>
    <w:rsid w:val="00F75120"/>
    <w:rsid w:val="00F756CF"/>
    <w:rsid w:val="00F75E19"/>
    <w:rsid w:val="00F764F7"/>
    <w:rsid w:val="00F7655C"/>
    <w:rsid w:val="00F76761"/>
    <w:rsid w:val="00F76D44"/>
    <w:rsid w:val="00F76D61"/>
    <w:rsid w:val="00F771FD"/>
    <w:rsid w:val="00F7726A"/>
    <w:rsid w:val="00F77564"/>
    <w:rsid w:val="00F7796B"/>
    <w:rsid w:val="00F8194D"/>
    <w:rsid w:val="00F8197A"/>
    <w:rsid w:val="00F819CA"/>
    <w:rsid w:val="00F81E48"/>
    <w:rsid w:val="00F81E4C"/>
    <w:rsid w:val="00F82150"/>
    <w:rsid w:val="00F844B1"/>
    <w:rsid w:val="00F84AA7"/>
    <w:rsid w:val="00F84BCB"/>
    <w:rsid w:val="00F84E5E"/>
    <w:rsid w:val="00F84E66"/>
    <w:rsid w:val="00F8559C"/>
    <w:rsid w:val="00F85F78"/>
    <w:rsid w:val="00F86D6B"/>
    <w:rsid w:val="00F86E75"/>
    <w:rsid w:val="00F86F32"/>
    <w:rsid w:val="00F86FD9"/>
    <w:rsid w:val="00F875DE"/>
    <w:rsid w:val="00F90368"/>
    <w:rsid w:val="00F90969"/>
    <w:rsid w:val="00F90AB0"/>
    <w:rsid w:val="00F91B6D"/>
    <w:rsid w:val="00F921E7"/>
    <w:rsid w:val="00F9271B"/>
    <w:rsid w:val="00F92957"/>
    <w:rsid w:val="00F929ED"/>
    <w:rsid w:val="00F92E65"/>
    <w:rsid w:val="00F930DF"/>
    <w:rsid w:val="00F93673"/>
    <w:rsid w:val="00F93B09"/>
    <w:rsid w:val="00F93CC4"/>
    <w:rsid w:val="00F9417C"/>
    <w:rsid w:val="00F94232"/>
    <w:rsid w:val="00F9436D"/>
    <w:rsid w:val="00F944A4"/>
    <w:rsid w:val="00F9457F"/>
    <w:rsid w:val="00F9462B"/>
    <w:rsid w:val="00F9496F"/>
    <w:rsid w:val="00F950ED"/>
    <w:rsid w:val="00F95527"/>
    <w:rsid w:val="00F95991"/>
    <w:rsid w:val="00F95A53"/>
    <w:rsid w:val="00F95ED9"/>
    <w:rsid w:val="00F96085"/>
    <w:rsid w:val="00F96530"/>
    <w:rsid w:val="00F97A2E"/>
    <w:rsid w:val="00FA0024"/>
    <w:rsid w:val="00FA0120"/>
    <w:rsid w:val="00FA1339"/>
    <w:rsid w:val="00FA1667"/>
    <w:rsid w:val="00FA1987"/>
    <w:rsid w:val="00FA1D4B"/>
    <w:rsid w:val="00FA1E77"/>
    <w:rsid w:val="00FA24FC"/>
    <w:rsid w:val="00FA2686"/>
    <w:rsid w:val="00FA26C9"/>
    <w:rsid w:val="00FA316B"/>
    <w:rsid w:val="00FA33D4"/>
    <w:rsid w:val="00FA3661"/>
    <w:rsid w:val="00FA399F"/>
    <w:rsid w:val="00FA4D40"/>
    <w:rsid w:val="00FA5556"/>
    <w:rsid w:val="00FA68EC"/>
    <w:rsid w:val="00FA6985"/>
    <w:rsid w:val="00FA6AB8"/>
    <w:rsid w:val="00FA6FC3"/>
    <w:rsid w:val="00FA7293"/>
    <w:rsid w:val="00FA7CE2"/>
    <w:rsid w:val="00FB007A"/>
    <w:rsid w:val="00FB089B"/>
    <w:rsid w:val="00FB099B"/>
    <w:rsid w:val="00FB12F2"/>
    <w:rsid w:val="00FB1A7E"/>
    <w:rsid w:val="00FB1CB8"/>
    <w:rsid w:val="00FB1CD4"/>
    <w:rsid w:val="00FB218C"/>
    <w:rsid w:val="00FB21C0"/>
    <w:rsid w:val="00FB23BE"/>
    <w:rsid w:val="00FB27F3"/>
    <w:rsid w:val="00FB2F94"/>
    <w:rsid w:val="00FB31A5"/>
    <w:rsid w:val="00FB390D"/>
    <w:rsid w:val="00FB3953"/>
    <w:rsid w:val="00FB4117"/>
    <w:rsid w:val="00FB4537"/>
    <w:rsid w:val="00FB487A"/>
    <w:rsid w:val="00FB53BE"/>
    <w:rsid w:val="00FB6DCF"/>
    <w:rsid w:val="00FB6E19"/>
    <w:rsid w:val="00FB6E5E"/>
    <w:rsid w:val="00FB7AA1"/>
    <w:rsid w:val="00FB7AE5"/>
    <w:rsid w:val="00FB7ED7"/>
    <w:rsid w:val="00FC0460"/>
    <w:rsid w:val="00FC04D9"/>
    <w:rsid w:val="00FC05CD"/>
    <w:rsid w:val="00FC0F5F"/>
    <w:rsid w:val="00FC16B9"/>
    <w:rsid w:val="00FC1ABF"/>
    <w:rsid w:val="00FC1DC8"/>
    <w:rsid w:val="00FC20BD"/>
    <w:rsid w:val="00FC263C"/>
    <w:rsid w:val="00FC2861"/>
    <w:rsid w:val="00FC2A21"/>
    <w:rsid w:val="00FC2BAC"/>
    <w:rsid w:val="00FC2BC1"/>
    <w:rsid w:val="00FC322E"/>
    <w:rsid w:val="00FC35C0"/>
    <w:rsid w:val="00FC4FC4"/>
    <w:rsid w:val="00FC505C"/>
    <w:rsid w:val="00FC5076"/>
    <w:rsid w:val="00FC508D"/>
    <w:rsid w:val="00FC562D"/>
    <w:rsid w:val="00FC6466"/>
    <w:rsid w:val="00FC6F35"/>
    <w:rsid w:val="00FC6FB7"/>
    <w:rsid w:val="00FC78F2"/>
    <w:rsid w:val="00FD018D"/>
    <w:rsid w:val="00FD0266"/>
    <w:rsid w:val="00FD0A3B"/>
    <w:rsid w:val="00FD0BEB"/>
    <w:rsid w:val="00FD12DA"/>
    <w:rsid w:val="00FD16D5"/>
    <w:rsid w:val="00FD1B15"/>
    <w:rsid w:val="00FD1BDE"/>
    <w:rsid w:val="00FD21EE"/>
    <w:rsid w:val="00FD2782"/>
    <w:rsid w:val="00FD2864"/>
    <w:rsid w:val="00FD29BC"/>
    <w:rsid w:val="00FD2A88"/>
    <w:rsid w:val="00FD2E55"/>
    <w:rsid w:val="00FD3A27"/>
    <w:rsid w:val="00FD3D39"/>
    <w:rsid w:val="00FD44FA"/>
    <w:rsid w:val="00FD4641"/>
    <w:rsid w:val="00FD4ADF"/>
    <w:rsid w:val="00FD6807"/>
    <w:rsid w:val="00FD69AC"/>
    <w:rsid w:val="00FD6BE7"/>
    <w:rsid w:val="00FD7526"/>
    <w:rsid w:val="00FE0462"/>
    <w:rsid w:val="00FE0FB2"/>
    <w:rsid w:val="00FE0FFF"/>
    <w:rsid w:val="00FE128E"/>
    <w:rsid w:val="00FE12BD"/>
    <w:rsid w:val="00FE1396"/>
    <w:rsid w:val="00FE1872"/>
    <w:rsid w:val="00FE1886"/>
    <w:rsid w:val="00FE1976"/>
    <w:rsid w:val="00FE1A54"/>
    <w:rsid w:val="00FE2515"/>
    <w:rsid w:val="00FE2756"/>
    <w:rsid w:val="00FE2AB1"/>
    <w:rsid w:val="00FE2CDB"/>
    <w:rsid w:val="00FE3324"/>
    <w:rsid w:val="00FE3424"/>
    <w:rsid w:val="00FE344D"/>
    <w:rsid w:val="00FE3576"/>
    <w:rsid w:val="00FE36BF"/>
    <w:rsid w:val="00FE3A27"/>
    <w:rsid w:val="00FE3B59"/>
    <w:rsid w:val="00FE40EF"/>
    <w:rsid w:val="00FE4988"/>
    <w:rsid w:val="00FE4A5E"/>
    <w:rsid w:val="00FE4BF7"/>
    <w:rsid w:val="00FE4CC3"/>
    <w:rsid w:val="00FE4DE1"/>
    <w:rsid w:val="00FE5261"/>
    <w:rsid w:val="00FE6350"/>
    <w:rsid w:val="00FE66ED"/>
    <w:rsid w:val="00FE68A2"/>
    <w:rsid w:val="00FE6A86"/>
    <w:rsid w:val="00FE788B"/>
    <w:rsid w:val="00FE7B6B"/>
    <w:rsid w:val="00FF03D4"/>
    <w:rsid w:val="00FF07B0"/>
    <w:rsid w:val="00FF088C"/>
    <w:rsid w:val="00FF0CF9"/>
    <w:rsid w:val="00FF0E4A"/>
    <w:rsid w:val="00FF12EF"/>
    <w:rsid w:val="00FF18AB"/>
    <w:rsid w:val="00FF2138"/>
    <w:rsid w:val="00FF3018"/>
    <w:rsid w:val="00FF3330"/>
    <w:rsid w:val="00FF34BC"/>
    <w:rsid w:val="00FF3BBB"/>
    <w:rsid w:val="00FF3DE2"/>
    <w:rsid w:val="00FF4B6E"/>
    <w:rsid w:val="00FF4CA9"/>
    <w:rsid w:val="00FF4E41"/>
    <w:rsid w:val="00FF501A"/>
    <w:rsid w:val="00FF5115"/>
    <w:rsid w:val="00FF5246"/>
    <w:rsid w:val="00FF530B"/>
    <w:rsid w:val="00FF56A5"/>
    <w:rsid w:val="00FF58DB"/>
    <w:rsid w:val="00FF61A2"/>
    <w:rsid w:val="00FF6752"/>
    <w:rsid w:val="00FF6959"/>
    <w:rsid w:val="00FF6A3D"/>
    <w:rsid w:val="00FF70CF"/>
    <w:rsid w:val="00FF756C"/>
    <w:rsid w:val="00FF7613"/>
    <w:rsid w:val="00FF7F8D"/>
    <w:rsid w:val="00FF7FE1"/>
    <w:rsid w:val="02B2E9C6"/>
    <w:rsid w:val="2DA56E1F"/>
    <w:rsid w:val="316DA143"/>
    <w:rsid w:val="3A025FD1"/>
    <w:rsid w:val="3B6F8A6D"/>
    <w:rsid w:val="4C2383FA"/>
    <w:rsid w:val="54629D4C"/>
    <w:rsid w:val="576419F5"/>
    <w:rsid w:val="59D86511"/>
    <w:rsid w:val="64E683AB"/>
    <w:rsid w:val="6ABB7F49"/>
    <w:rsid w:val="6D1201E7"/>
    <w:rsid w:val="7CC632BC"/>
    <w:rsid w:val="7D8DE724"/>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14:docId w14:val="7F493365"/>
  <w15:docId w15:val="{C842BD60-F745-4974-9E6E-8E248BA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2FB"/>
    <w:pPr>
      <w:autoSpaceDE w:val="0"/>
      <w:autoSpaceDN w:val="0"/>
      <w:adjustRightInd w:val="0"/>
      <w:spacing w:after="0" w:line="240" w:lineRule="auto"/>
    </w:pPr>
    <w:rPr>
      <w:rFonts w:ascii="Arial" w:eastAsia="Times New Roman" w:hAnsi="Arial" w:cs="Times New Roman"/>
      <w:sz w:val="20"/>
      <w:szCs w:val="20"/>
    </w:rPr>
  </w:style>
  <w:style w:type="paragraph" w:styleId="Heading1">
    <w:name w:val="heading 1"/>
    <w:aliases w:val="NUREG_Heading 1"/>
    <w:basedOn w:val="Normal"/>
    <w:next w:val="Normal"/>
    <w:link w:val="Heading1Char"/>
    <w:qFormat/>
    <w:rsid w:val="004915D9"/>
    <w:pPr>
      <w:keepNext/>
      <w:spacing w:before="240" w:after="120"/>
      <w:ind w:left="806" w:hanging="806"/>
      <w:outlineLvl w:val="0"/>
    </w:pPr>
    <w:rPr>
      <w:rFonts w:cs="Arial"/>
      <w:b/>
      <w:bCs/>
      <w:kern w:val="32"/>
      <w:sz w:val="32"/>
      <w:szCs w:val="32"/>
    </w:rPr>
  </w:style>
  <w:style w:type="paragraph" w:styleId="Heading2">
    <w:name w:val="heading 2"/>
    <w:basedOn w:val="Normal"/>
    <w:next w:val="Normal"/>
    <w:link w:val="Heading2Char"/>
    <w:uiPriority w:val="9"/>
    <w:qFormat/>
    <w:rsid w:val="004915D9"/>
    <w:pPr>
      <w:keepNext/>
      <w:spacing w:before="240" w:after="120"/>
      <w:outlineLvl w:val="1"/>
    </w:pPr>
    <w:rPr>
      <w:rFonts w:cs="Arial"/>
      <w:b/>
      <w:bCs/>
      <w:i/>
      <w:iCs/>
      <w:sz w:val="28"/>
      <w:szCs w:val="28"/>
    </w:rPr>
  </w:style>
  <w:style w:type="paragraph" w:styleId="Heading3">
    <w:name w:val="heading 3"/>
    <w:aliases w:val="NUREG_Heading 3"/>
    <w:basedOn w:val="Normal"/>
    <w:next w:val="Normal"/>
    <w:link w:val="Heading3Char"/>
    <w:uiPriority w:val="9"/>
    <w:unhideWhenUsed/>
    <w:qFormat/>
    <w:rsid w:val="004915D9"/>
    <w:pPr>
      <w:keepNext/>
      <w:spacing w:before="240" w:after="120"/>
      <w:outlineLvl w:val="2"/>
    </w:pPr>
    <w:rPr>
      <w:rFonts w:cs="Arial"/>
      <w:b/>
      <w:bCs/>
      <w:sz w:val="26"/>
      <w:szCs w:val="26"/>
    </w:rPr>
  </w:style>
  <w:style w:type="paragraph" w:styleId="Heading4">
    <w:name w:val="heading 4"/>
    <w:aliases w:val="NUREG_Heading 4"/>
    <w:basedOn w:val="Normal"/>
    <w:next w:val="Normal"/>
    <w:link w:val="Heading4Char"/>
    <w:autoRedefine/>
    <w:uiPriority w:val="9"/>
    <w:unhideWhenUsed/>
    <w:qFormat/>
    <w:rsid w:val="004915D9"/>
    <w:pPr>
      <w:spacing w:before="120" w:after="120"/>
      <w:outlineLvl w:val="3"/>
    </w:pPr>
    <w:rPr>
      <w:rFonts w:eastAsiaTheme="minorEastAsia" w:cs="Arial"/>
      <w:b/>
      <w:i/>
      <w:sz w:val="22"/>
      <w:szCs w:val="22"/>
      <w:lang w:eastAsia="ja-JP"/>
    </w:rPr>
  </w:style>
  <w:style w:type="paragraph" w:styleId="Heading5">
    <w:name w:val="heading 5"/>
    <w:basedOn w:val="Normal"/>
    <w:next w:val="Normal"/>
    <w:link w:val="Heading5Char"/>
    <w:uiPriority w:val="9"/>
    <w:unhideWhenUsed/>
    <w:qFormat/>
    <w:rsid w:val="004915D9"/>
    <w:pPr>
      <w:keepNext/>
      <w:keepLines/>
      <w:spacing w:before="200"/>
      <w:outlineLvl w:val="4"/>
    </w:pPr>
    <w:rPr>
      <w:rFonts w:asciiTheme="majorHAnsi" w:eastAsiaTheme="majorEastAsia" w:hAnsiTheme="majorHAnsi" w:cstheme="majorBidi"/>
      <w:b/>
      <w:sz w:val="22"/>
    </w:rPr>
  </w:style>
  <w:style w:type="paragraph" w:styleId="Heading6">
    <w:name w:val="heading 6"/>
    <w:basedOn w:val="Normal"/>
    <w:next w:val="Normal"/>
    <w:link w:val="Heading6Char"/>
    <w:uiPriority w:val="9"/>
    <w:unhideWhenUsed/>
    <w:qFormat/>
    <w:rsid w:val="004915D9"/>
    <w:pPr>
      <w:keepNext/>
      <w:keepLines/>
      <w:autoSpaceDE/>
      <w:autoSpaceDN/>
      <w:adjustRightInd/>
      <w:spacing w:after="600"/>
      <w:jc w:val="center"/>
      <w:outlineLvl w:val="5"/>
    </w:pPr>
    <w:rPr>
      <w:b/>
      <w:color w:val="365F91"/>
      <w:sz w:val="32"/>
      <w:szCs w:val="22"/>
    </w:rPr>
  </w:style>
  <w:style w:type="paragraph" w:styleId="Heading7">
    <w:name w:val="heading 7"/>
    <w:basedOn w:val="Normal"/>
    <w:next w:val="Normal"/>
    <w:link w:val="Heading7Char"/>
    <w:uiPriority w:val="9"/>
    <w:unhideWhenUsed/>
    <w:qFormat/>
    <w:rsid w:val="005F4A41"/>
    <w:pPr>
      <w:keepNext/>
      <w:jc w:val="center"/>
      <w:outlineLvl w:val="6"/>
    </w:pPr>
    <w:rPr>
      <w:b/>
      <w:bCs/>
    </w:rPr>
  </w:style>
  <w:style w:type="paragraph" w:styleId="Heading8">
    <w:name w:val="heading 8"/>
    <w:basedOn w:val="Normal"/>
    <w:next w:val="Normal"/>
    <w:link w:val="Heading8Char"/>
    <w:uiPriority w:val="9"/>
    <w:unhideWhenUsed/>
    <w:qFormat/>
    <w:rsid w:val="00E63A5E"/>
    <w:pPr>
      <w:keepNext/>
      <w:jc w:val="center"/>
      <w:outlineLvl w:val="7"/>
    </w:pPr>
    <w:rPr>
      <w:rFonts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REG_Heading 1 Char"/>
    <w:basedOn w:val="DefaultParagraphFont"/>
    <w:link w:val="Heading1"/>
    <w:rsid w:val="004915D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4915D9"/>
    <w:rPr>
      <w:rFonts w:ascii="Arial" w:eastAsia="Times New Roman" w:hAnsi="Arial" w:cs="Arial"/>
      <w:b/>
      <w:bCs/>
      <w:i/>
      <w:iCs/>
      <w:sz w:val="28"/>
      <w:szCs w:val="28"/>
    </w:rPr>
  </w:style>
  <w:style w:type="character" w:customStyle="1" w:styleId="Heading3Char">
    <w:name w:val="Heading 3 Char"/>
    <w:aliases w:val="NUREG_Heading 3 Char"/>
    <w:basedOn w:val="DefaultParagraphFont"/>
    <w:link w:val="Heading3"/>
    <w:uiPriority w:val="9"/>
    <w:rsid w:val="004915D9"/>
    <w:rPr>
      <w:rFonts w:ascii="Arial" w:eastAsia="Times New Roman" w:hAnsi="Arial" w:cs="Arial"/>
      <w:b/>
      <w:bCs/>
      <w:sz w:val="26"/>
      <w:szCs w:val="26"/>
    </w:rPr>
  </w:style>
  <w:style w:type="character" w:customStyle="1" w:styleId="Heading4Char">
    <w:name w:val="Heading 4 Char"/>
    <w:aliases w:val="NUREG_Heading 4 Char"/>
    <w:basedOn w:val="DefaultParagraphFont"/>
    <w:link w:val="Heading4"/>
    <w:uiPriority w:val="9"/>
    <w:rsid w:val="004915D9"/>
    <w:rPr>
      <w:rFonts w:ascii="Arial" w:hAnsi="Arial" w:eastAsiaTheme="minorEastAsia" w:cs="Arial"/>
      <w:b/>
      <w:i/>
      <w:lang w:eastAsia="ja-JP"/>
    </w:rPr>
  </w:style>
  <w:style w:type="character" w:customStyle="1" w:styleId="Heading5Char">
    <w:name w:val="Heading 5 Char"/>
    <w:basedOn w:val="DefaultParagraphFont"/>
    <w:link w:val="Heading5"/>
    <w:uiPriority w:val="9"/>
    <w:rsid w:val="004915D9"/>
    <w:rPr>
      <w:rFonts w:asciiTheme="majorHAnsi" w:eastAsiaTheme="majorEastAsia" w:hAnsiTheme="majorHAnsi" w:cstheme="majorBidi"/>
      <w:b/>
      <w:szCs w:val="20"/>
    </w:rPr>
  </w:style>
  <w:style w:type="character" w:customStyle="1" w:styleId="Heading6Char">
    <w:name w:val="Heading 6 Char"/>
    <w:basedOn w:val="DefaultParagraphFont"/>
    <w:link w:val="Heading6"/>
    <w:uiPriority w:val="9"/>
    <w:rsid w:val="004915D9"/>
    <w:rPr>
      <w:rFonts w:ascii="Arial" w:eastAsia="Times New Roman" w:hAnsi="Arial" w:cs="Times New Roman"/>
      <w:b/>
      <w:color w:val="365F91"/>
      <w:sz w:val="32"/>
    </w:rPr>
  </w:style>
  <w:style w:type="paragraph" w:styleId="FootnoteText">
    <w:name w:val="footnote text"/>
    <w:basedOn w:val="Normal"/>
    <w:link w:val="FootnoteTextChar"/>
    <w:uiPriority w:val="99"/>
    <w:rsid w:val="004915D9"/>
  </w:style>
  <w:style w:type="character" w:customStyle="1" w:styleId="FootnoteTextChar">
    <w:name w:val="Footnote Text Char"/>
    <w:basedOn w:val="DefaultParagraphFont"/>
    <w:link w:val="FootnoteText"/>
    <w:uiPriority w:val="99"/>
    <w:rsid w:val="004915D9"/>
    <w:rPr>
      <w:rFonts w:ascii="Arial" w:eastAsia="Times New Roman" w:hAnsi="Arial" w:cs="Times New Roman"/>
      <w:sz w:val="20"/>
      <w:szCs w:val="20"/>
    </w:rPr>
  </w:style>
  <w:style w:type="character" w:styleId="FootnoteReference">
    <w:name w:val="footnote reference"/>
    <w:basedOn w:val="DefaultParagraphFont"/>
    <w:uiPriority w:val="99"/>
    <w:rsid w:val="004915D9"/>
    <w:rPr>
      <w:vertAlign w:val="superscript"/>
    </w:rPr>
  </w:style>
  <w:style w:type="character" w:styleId="CommentReference">
    <w:name w:val="annotation reference"/>
    <w:basedOn w:val="DefaultParagraphFont"/>
    <w:uiPriority w:val="99"/>
    <w:unhideWhenUsed/>
    <w:rsid w:val="004915D9"/>
    <w:rPr>
      <w:sz w:val="16"/>
      <w:szCs w:val="16"/>
    </w:rPr>
  </w:style>
  <w:style w:type="paragraph" w:styleId="CommentText">
    <w:name w:val="annotation text"/>
    <w:basedOn w:val="Normal"/>
    <w:link w:val="CommentTextChar"/>
    <w:uiPriority w:val="99"/>
    <w:unhideWhenUsed/>
    <w:rsid w:val="004915D9"/>
  </w:style>
  <w:style w:type="character" w:customStyle="1" w:styleId="CommentTextChar">
    <w:name w:val="Comment Text Char"/>
    <w:basedOn w:val="DefaultParagraphFont"/>
    <w:link w:val="CommentText"/>
    <w:uiPriority w:val="99"/>
    <w:rsid w:val="004915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915D9"/>
    <w:rPr>
      <w:b/>
      <w:bCs/>
    </w:rPr>
  </w:style>
  <w:style w:type="character" w:customStyle="1" w:styleId="CommentSubjectChar">
    <w:name w:val="Comment Subject Char"/>
    <w:basedOn w:val="CommentTextChar"/>
    <w:link w:val="CommentSubject"/>
    <w:uiPriority w:val="99"/>
    <w:semiHidden/>
    <w:rsid w:val="004915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915D9"/>
    <w:rPr>
      <w:rFonts w:ascii="Tahoma" w:hAnsi="Tahoma" w:cs="Tahoma"/>
      <w:sz w:val="16"/>
      <w:szCs w:val="16"/>
    </w:rPr>
  </w:style>
  <w:style w:type="character" w:customStyle="1" w:styleId="BalloonTextChar">
    <w:name w:val="Balloon Text Char"/>
    <w:basedOn w:val="DefaultParagraphFont"/>
    <w:link w:val="BalloonText"/>
    <w:uiPriority w:val="99"/>
    <w:semiHidden/>
    <w:rsid w:val="004915D9"/>
    <w:rPr>
      <w:rFonts w:ascii="Tahoma" w:eastAsia="Times New Roman" w:hAnsi="Tahoma" w:cs="Tahoma"/>
      <w:sz w:val="16"/>
      <w:szCs w:val="16"/>
    </w:rPr>
  </w:style>
  <w:style w:type="paragraph" w:styleId="ListParagraph">
    <w:name w:val="List Paragraph"/>
    <w:basedOn w:val="Normal"/>
    <w:link w:val="ListParagraphChar"/>
    <w:uiPriority w:val="34"/>
    <w:qFormat/>
    <w:rsid w:val="004915D9"/>
    <w:pPr>
      <w:ind w:left="720"/>
      <w:contextualSpacing/>
    </w:pPr>
  </w:style>
  <w:style w:type="numbering" w:customStyle="1" w:styleId="NoList1">
    <w:name w:val="No List1"/>
    <w:next w:val="NoList"/>
    <w:uiPriority w:val="99"/>
    <w:semiHidden/>
    <w:unhideWhenUsed/>
    <w:rsid w:val="004915D9"/>
  </w:style>
  <w:style w:type="table" w:styleId="TableGrid">
    <w:name w:val="Table Grid"/>
    <w:basedOn w:val="TableNormal"/>
    <w:uiPriority w:val="39"/>
    <w:rsid w:val="0049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5D9"/>
    <w:pPr>
      <w:tabs>
        <w:tab w:val="center" w:pos="4680"/>
        <w:tab w:val="right" w:pos="9360"/>
      </w:tabs>
      <w:autoSpaceDE/>
      <w:autoSpaceDN/>
      <w:adjustRightInd/>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4915D9"/>
    <w:rPr>
      <w:rFonts w:eastAsiaTheme="minorEastAsia"/>
      <w:lang w:eastAsia="ja-JP"/>
    </w:rPr>
  </w:style>
  <w:style w:type="paragraph" w:styleId="Footer">
    <w:name w:val="footer"/>
    <w:basedOn w:val="Normal"/>
    <w:link w:val="FooterChar"/>
    <w:uiPriority w:val="99"/>
    <w:unhideWhenUsed/>
    <w:rsid w:val="004915D9"/>
    <w:pPr>
      <w:tabs>
        <w:tab w:val="center" w:pos="4680"/>
        <w:tab w:val="right" w:pos="9360"/>
      </w:tabs>
      <w:autoSpaceDE/>
      <w:autoSpaceDN/>
      <w:adjustRightInd/>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4915D9"/>
    <w:rPr>
      <w:rFonts w:eastAsiaTheme="minorEastAsia"/>
      <w:lang w:eastAsia="ja-JP"/>
    </w:rPr>
  </w:style>
  <w:style w:type="paragraph" w:styleId="Revision">
    <w:name w:val="Revision"/>
    <w:hidden/>
    <w:uiPriority w:val="99"/>
    <w:semiHidden/>
    <w:rsid w:val="004915D9"/>
    <w:pPr>
      <w:spacing w:after="0" w:line="240" w:lineRule="auto"/>
    </w:pPr>
    <w:rPr>
      <w:rFonts w:eastAsiaTheme="minorEastAsia"/>
      <w:lang w:eastAsia="ja-JP"/>
    </w:rPr>
  </w:style>
  <w:style w:type="character" w:styleId="Hyperlink">
    <w:name w:val="Hyperlink"/>
    <w:basedOn w:val="DefaultParagraphFont"/>
    <w:uiPriority w:val="99"/>
    <w:unhideWhenUsed/>
    <w:rsid w:val="004915D9"/>
    <w:rPr>
      <w:color w:val="0563C1" w:themeColor="hyperlink"/>
      <w:u w:val="single"/>
    </w:rPr>
  </w:style>
  <w:style w:type="paragraph" w:styleId="TOC1">
    <w:name w:val="toc 1"/>
    <w:basedOn w:val="Normal"/>
    <w:next w:val="Normal"/>
    <w:autoRedefine/>
    <w:uiPriority w:val="39"/>
    <w:unhideWhenUsed/>
    <w:rsid w:val="009A11D4"/>
    <w:pPr>
      <w:tabs>
        <w:tab w:val="left" w:pos="720"/>
        <w:tab w:val="right" w:leader="dot" w:pos="9350"/>
      </w:tabs>
      <w:spacing w:after="100"/>
      <w:ind w:left="450" w:hanging="270"/>
    </w:pPr>
  </w:style>
  <w:style w:type="paragraph" w:styleId="TOC2">
    <w:name w:val="toc 2"/>
    <w:basedOn w:val="Normal"/>
    <w:next w:val="Normal"/>
    <w:autoRedefine/>
    <w:uiPriority w:val="39"/>
    <w:unhideWhenUsed/>
    <w:rsid w:val="009F193D"/>
    <w:pPr>
      <w:tabs>
        <w:tab w:val="left" w:pos="360"/>
        <w:tab w:val="left" w:pos="720"/>
        <w:tab w:val="right" w:leader="dot" w:pos="9350"/>
      </w:tabs>
      <w:spacing w:after="100"/>
      <w:ind w:left="720" w:hanging="520"/>
    </w:pPr>
    <w:rPr>
      <w:i/>
      <w:noProof/>
    </w:rPr>
  </w:style>
  <w:style w:type="paragraph" w:styleId="TOC3">
    <w:name w:val="toc 3"/>
    <w:basedOn w:val="Normal"/>
    <w:next w:val="Normal"/>
    <w:autoRedefine/>
    <w:uiPriority w:val="39"/>
    <w:unhideWhenUsed/>
    <w:rsid w:val="00C475FC"/>
    <w:pPr>
      <w:tabs>
        <w:tab w:val="left" w:pos="1100"/>
        <w:tab w:val="right" w:leader="dot" w:pos="9350"/>
      </w:tabs>
      <w:spacing w:after="100"/>
      <w:ind w:left="1080" w:hanging="680"/>
    </w:pPr>
  </w:style>
  <w:style w:type="paragraph" w:customStyle="1" w:styleId="Exhibit">
    <w:name w:val="Exhibit"/>
    <w:basedOn w:val="Normal"/>
    <w:qFormat/>
    <w:rsid w:val="004915D9"/>
    <w:pPr>
      <w:keepNext/>
      <w:autoSpaceDE/>
      <w:autoSpaceDN/>
      <w:adjustRightInd/>
      <w:spacing w:before="240" w:after="120"/>
      <w:jc w:val="center"/>
    </w:pPr>
    <w:rPr>
      <w:rFonts w:eastAsiaTheme="minorEastAsia" w:cs="Arial"/>
      <w:b/>
      <w:sz w:val="22"/>
      <w:szCs w:val="22"/>
      <w:lang w:eastAsia="ja-JP"/>
    </w:rPr>
  </w:style>
  <w:style w:type="paragraph" w:customStyle="1" w:styleId="Appendix">
    <w:name w:val="Appendix"/>
    <w:basedOn w:val="Normal"/>
    <w:qFormat/>
    <w:rsid w:val="004915D9"/>
    <w:rPr>
      <w:b/>
      <w:i/>
      <w:sz w:val="28"/>
      <w:szCs w:val="28"/>
    </w:rPr>
  </w:style>
  <w:style w:type="character" w:styleId="FollowedHyperlink">
    <w:name w:val="FollowedHyperlink"/>
    <w:basedOn w:val="DefaultParagraphFont"/>
    <w:uiPriority w:val="99"/>
    <w:semiHidden/>
    <w:unhideWhenUsed/>
    <w:rsid w:val="004915D9"/>
    <w:rPr>
      <w:color w:val="800080"/>
      <w:u w:val="single"/>
    </w:rPr>
  </w:style>
  <w:style w:type="paragraph" w:customStyle="1" w:styleId="xl98">
    <w:name w:val="xl98"/>
    <w:basedOn w:val="Normal"/>
    <w:rsid w:val="004915D9"/>
    <w:pPr>
      <w:pBdr>
        <w:bottom w:val="single" w:sz="4" w:space="0" w:color="auto"/>
        <w:right w:val="single" w:sz="4" w:space="0" w:color="auto"/>
      </w:pBdr>
      <w:shd w:val="clear" w:color="000000" w:fill="4E5A7A"/>
      <w:autoSpaceDE/>
      <w:autoSpaceDN/>
      <w:adjustRightInd/>
      <w:spacing w:before="100" w:beforeAutospacing="1" w:after="100" w:afterAutospacing="1"/>
    </w:pPr>
    <w:rPr>
      <w:rFonts w:cs="Arial"/>
      <w:color w:val="FFFFFF"/>
      <w:sz w:val="24"/>
      <w:szCs w:val="24"/>
    </w:rPr>
  </w:style>
  <w:style w:type="paragraph" w:customStyle="1" w:styleId="xl99">
    <w:name w:val="xl99"/>
    <w:basedOn w:val="Normal"/>
    <w:rsid w:val="004915D9"/>
    <w:pPr>
      <w:pBdr>
        <w:left w:val="single" w:sz="4" w:space="0" w:color="auto"/>
        <w:bottom w:val="single" w:sz="4" w:space="0" w:color="auto"/>
      </w:pBdr>
      <w:shd w:val="clear" w:color="000000" w:fill="4E5A7A"/>
      <w:autoSpaceDE/>
      <w:autoSpaceDN/>
      <w:adjustRightInd/>
      <w:spacing w:before="100" w:beforeAutospacing="1" w:after="100" w:afterAutospacing="1"/>
      <w:jc w:val="center"/>
      <w:textAlignment w:val="center"/>
    </w:pPr>
    <w:rPr>
      <w:rFonts w:cs="Arial"/>
      <w:color w:val="FFFFFF"/>
      <w:sz w:val="24"/>
      <w:szCs w:val="24"/>
    </w:rPr>
  </w:style>
  <w:style w:type="paragraph" w:customStyle="1" w:styleId="xl100">
    <w:name w:val="xl100"/>
    <w:basedOn w:val="Normal"/>
    <w:rsid w:val="004915D9"/>
    <w:pPr>
      <w:pBdr>
        <w:bottom w:val="single" w:sz="8" w:space="0" w:color="auto"/>
      </w:pBdr>
      <w:shd w:val="clear" w:color="000000" w:fill="4E5A7A"/>
      <w:autoSpaceDE/>
      <w:autoSpaceDN/>
      <w:adjustRightInd/>
      <w:spacing w:before="100" w:beforeAutospacing="1" w:after="100" w:afterAutospacing="1"/>
      <w:jc w:val="center"/>
      <w:textAlignment w:val="center"/>
    </w:pPr>
    <w:rPr>
      <w:rFonts w:cs="Arial"/>
      <w:color w:val="FFFFFF"/>
      <w:sz w:val="24"/>
      <w:szCs w:val="24"/>
    </w:rPr>
  </w:style>
  <w:style w:type="paragraph" w:customStyle="1" w:styleId="xl101">
    <w:name w:val="xl101"/>
    <w:basedOn w:val="Normal"/>
    <w:rsid w:val="004915D9"/>
    <w:pPr>
      <w:pBdr>
        <w:bottom w:val="single" w:sz="4" w:space="0" w:color="auto"/>
      </w:pBdr>
      <w:shd w:val="clear" w:color="000000" w:fill="4E5A7A"/>
      <w:autoSpaceDE/>
      <w:autoSpaceDN/>
      <w:adjustRightInd/>
      <w:spacing w:before="100" w:beforeAutospacing="1" w:after="100" w:afterAutospacing="1"/>
      <w:jc w:val="center"/>
      <w:textAlignment w:val="center"/>
    </w:pPr>
    <w:rPr>
      <w:rFonts w:cs="Arial"/>
      <w:color w:val="FFFFFF"/>
      <w:sz w:val="24"/>
      <w:szCs w:val="24"/>
    </w:rPr>
  </w:style>
  <w:style w:type="paragraph" w:customStyle="1" w:styleId="xl102">
    <w:name w:val="xl102"/>
    <w:basedOn w:val="Normal"/>
    <w:rsid w:val="004915D9"/>
    <w:pPr>
      <w:pBdr>
        <w:left w:val="single" w:sz="8" w:space="0" w:color="auto"/>
      </w:pBd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03">
    <w:name w:val="xl103"/>
    <w:basedOn w:val="Normal"/>
    <w:rsid w:val="004915D9"/>
    <w:pP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04">
    <w:name w:val="xl104"/>
    <w:basedOn w:val="Normal"/>
    <w:rsid w:val="004915D9"/>
    <w:pPr>
      <w:pBdr>
        <w:left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05">
    <w:name w:val="xl105"/>
    <w:basedOn w:val="Normal"/>
    <w:rsid w:val="004915D9"/>
    <w:pPr>
      <w:pBdr>
        <w:bottom w:val="single" w:sz="8" w:space="0" w:color="auto"/>
      </w:pBd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06">
    <w:name w:val="xl106"/>
    <w:basedOn w:val="Normal"/>
    <w:rsid w:val="004915D9"/>
    <w:pP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07">
    <w:name w:val="xl107"/>
    <w:basedOn w:val="Normal"/>
    <w:rsid w:val="004915D9"/>
    <w:pPr>
      <w:pBdr>
        <w:bottom w:val="single" w:sz="8" w:space="0" w:color="auto"/>
      </w:pBd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08">
    <w:name w:val="xl108"/>
    <w:basedOn w:val="Normal"/>
    <w:rsid w:val="004915D9"/>
    <w:pPr>
      <w:pBdr>
        <w:top w:val="single" w:sz="8" w:space="0" w:color="auto"/>
      </w:pBd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09">
    <w:name w:val="xl109"/>
    <w:basedOn w:val="Normal"/>
    <w:rsid w:val="004915D9"/>
    <w:pPr>
      <w:pBdr>
        <w:top w:val="single" w:sz="8" w:space="0" w:color="auto"/>
      </w:pBdr>
      <w:shd w:val="clear" w:color="000000" w:fill="FFFFFF"/>
      <w:autoSpaceDE/>
      <w:autoSpaceDN/>
      <w:adjustRightInd/>
      <w:spacing w:before="100" w:beforeAutospacing="1" w:after="100" w:afterAutospacing="1"/>
      <w:textAlignment w:val="center"/>
    </w:pPr>
    <w:rPr>
      <w:rFonts w:cs="Arial"/>
      <w:i/>
      <w:iCs/>
      <w:sz w:val="24"/>
      <w:szCs w:val="24"/>
    </w:rPr>
  </w:style>
  <w:style w:type="paragraph" w:customStyle="1" w:styleId="xl110">
    <w:name w:val="xl110"/>
    <w:basedOn w:val="Normal"/>
    <w:rsid w:val="004915D9"/>
    <w:pPr>
      <w:pBdr>
        <w:top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11">
    <w:name w:val="xl111"/>
    <w:basedOn w:val="Normal"/>
    <w:rsid w:val="004915D9"/>
    <w:pPr>
      <w:pBdr>
        <w:top w:val="single" w:sz="8" w:space="0" w:color="auto"/>
        <w:left w:val="single" w:sz="4" w:space="0" w:color="auto"/>
        <w:bottom w:val="single" w:sz="8" w:space="0" w:color="auto"/>
      </w:pBdr>
      <w:shd w:val="clear" w:color="000000" w:fill="FFFFFF"/>
      <w:autoSpaceDE/>
      <w:autoSpaceDN/>
      <w:adjustRightInd/>
      <w:spacing w:before="100" w:beforeAutospacing="1" w:after="100" w:afterAutospacing="1"/>
      <w:textAlignment w:val="center"/>
    </w:pPr>
    <w:rPr>
      <w:rFonts w:cs="Arial"/>
      <w:sz w:val="24"/>
      <w:szCs w:val="24"/>
    </w:rPr>
  </w:style>
  <w:style w:type="paragraph" w:customStyle="1" w:styleId="xl112">
    <w:name w:val="xl112"/>
    <w:basedOn w:val="Normal"/>
    <w:rsid w:val="004915D9"/>
    <w:pPr>
      <w:pBdr>
        <w:top w:val="single" w:sz="8" w:space="0" w:color="auto"/>
        <w:bottom w:val="single" w:sz="8" w:space="0" w:color="auto"/>
      </w:pBdr>
      <w:shd w:val="clear" w:color="000000" w:fill="FFFFFF"/>
      <w:autoSpaceDE/>
      <w:autoSpaceDN/>
      <w:adjustRightInd/>
      <w:spacing w:before="100" w:beforeAutospacing="1" w:after="100" w:afterAutospacing="1"/>
      <w:jc w:val="right"/>
      <w:textAlignment w:val="center"/>
    </w:pPr>
    <w:rPr>
      <w:rFonts w:cs="Arial"/>
      <w:sz w:val="24"/>
      <w:szCs w:val="24"/>
    </w:rPr>
  </w:style>
  <w:style w:type="paragraph" w:customStyle="1" w:styleId="xl113">
    <w:name w:val="xl113"/>
    <w:basedOn w:val="Normal"/>
    <w:rsid w:val="004915D9"/>
    <w:pPr>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14">
    <w:name w:val="xl114"/>
    <w:basedOn w:val="Normal"/>
    <w:rsid w:val="004915D9"/>
    <w:pPr>
      <w:pBdr>
        <w:top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15">
    <w:name w:val="xl115"/>
    <w:basedOn w:val="Normal"/>
    <w:rsid w:val="004915D9"/>
    <w:pPr>
      <w:shd w:val="clear" w:color="000000" w:fill="D9D9D9"/>
      <w:autoSpaceDE/>
      <w:autoSpaceDN/>
      <w:adjustRightInd/>
      <w:spacing w:before="100" w:beforeAutospacing="1" w:after="100" w:afterAutospacing="1"/>
      <w:jc w:val="right"/>
      <w:textAlignment w:val="center"/>
    </w:pPr>
    <w:rPr>
      <w:rFonts w:cs="Arial"/>
      <w:sz w:val="24"/>
      <w:szCs w:val="24"/>
    </w:rPr>
  </w:style>
  <w:style w:type="paragraph" w:customStyle="1" w:styleId="xl116">
    <w:name w:val="xl116"/>
    <w:basedOn w:val="Normal"/>
    <w:rsid w:val="004915D9"/>
    <w:pPr>
      <w:shd w:val="clear" w:color="000000" w:fill="FFFFFF"/>
      <w:autoSpaceDE/>
      <w:autoSpaceDN/>
      <w:adjustRightInd/>
      <w:spacing w:before="100" w:beforeAutospacing="1" w:after="100" w:afterAutospacing="1"/>
      <w:jc w:val="right"/>
      <w:textAlignment w:val="center"/>
    </w:pPr>
    <w:rPr>
      <w:rFonts w:cs="Arial"/>
      <w:sz w:val="24"/>
      <w:szCs w:val="24"/>
    </w:rPr>
  </w:style>
  <w:style w:type="paragraph" w:customStyle="1" w:styleId="xl117">
    <w:name w:val="xl117"/>
    <w:basedOn w:val="Normal"/>
    <w:rsid w:val="004915D9"/>
    <w:pP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18">
    <w:name w:val="xl118"/>
    <w:basedOn w:val="Normal"/>
    <w:rsid w:val="004915D9"/>
    <w:pPr>
      <w:shd w:val="clear" w:color="000000" w:fill="FFFFFF"/>
      <w:autoSpaceDE/>
      <w:autoSpaceDN/>
      <w:adjustRightInd/>
      <w:spacing w:before="100" w:beforeAutospacing="1" w:after="100" w:afterAutospacing="1"/>
      <w:textAlignment w:val="center"/>
    </w:pPr>
    <w:rPr>
      <w:rFonts w:cs="Arial"/>
      <w:i/>
      <w:iCs/>
      <w:sz w:val="24"/>
      <w:szCs w:val="24"/>
    </w:rPr>
  </w:style>
  <w:style w:type="paragraph" w:customStyle="1" w:styleId="xl119">
    <w:name w:val="xl119"/>
    <w:basedOn w:val="Normal"/>
    <w:rsid w:val="004915D9"/>
    <w:pPr>
      <w:pBdr>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20">
    <w:name w:val="xl120"/>
    <w:basedOn w:val="Normal"/>
    <w:rsid w:val="004915D9"/>
    <w:pPr>
      <w:pBdr>
        <w:bottom w:val="single" w:sz="8" w:space="0" w:color="auto"/>
      </w:pBdr>
      <w:shd w:val="clear" w:color="000000" w:fill="D9D9D9"/>
      <w:autoSpaceDE/>
      <w:autoSpaceDN/>
      <w:adjustRightInd/>
      <w:spacing w:before="100" w:beforeAutospacing="1" w:after="100" w:afterAutospacing="1"/>
      <w:jc w:val="right"/>
      <w:textAlignment w:val="center"/>
    </w:pPr>
    <w:rPr>
      <w:rFonts w:cs="Arial"/>
      <w:sz w:val="24"/>
      <w:szCs w:val="24"/>
    </w:rPr>
  </w:style>
  <w:style w:type="paragraph" w:customStyle="1" w:styleId="xl121">
    <w:name w:val="xl121"/>
    <w:basedOn w:val="Normal"/>
    <w:rsid w:val="004915D9"/>
    <w:pPr>
      <w:pBdr>
        <w:bottom w:val="single" w:sz="8" w:space="0" w:color="auto"/>
      </w:pBdr>
      <w:shd w:val="clear" w:color="000000" w:fill="FFFFFF"/>
      <w:autoSpaceDE/>
      <w:autoSpaceDN/>
      <w:adjustRightInd/>
      <w:spacing w:before="100" w:beforeAutospacing="1" w:after="100" w:afterAutospacing="1"/>
      <w:jc w:val="right"/>
      <w:textAlignment w:val="center"/>
    </w:pPr>
    <w:rPr>
      <w:rFonts w:cs="Arial"/>
      <w:sz w:val="24"/>
      <w:szCs w:val="24"/>
    </w:rPr>
  </w:style>
  <w:style w:type="paragraph" w:customStyle="1" w:styleId="xl122">
    <w:name w:val="xl122"/>
    <w:basedOn w:val="Normal"/>
    <w:rsid w:val="004915D9"/>
    <w:pPr>
      <w:pBdr>
        <w:top w:val="single" w:sz="8" w:space="0" w:color="auto"/>
        <w:left w:val="single" w:sz="8" w:space="0" w:color="auto"/>
        <w:bottom w:val="single" w:sz="8"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23">
    <w:name w:val="xl123"/>
    <w:basedOn w:val="Normal"/>
    <w:rsid w:val="004915D9"/>
    <w:pPr>
      <w:pBdr>
        <w:top w:val="single" w:sz="8" w:space="0" w:color="auto"/>
      </w:pBdr>
      <w:shd w:val="clear" w:color="000000" w:fill="BFBFBF"/>
      <w:autoSpaceDE/>
      <w:autoSpaceDN/>
      <w:adjustRightInd/>
      <w:spacing w:before="100" w:beforeAutospacing="1" w:after="100" w:afterAutospacing="1"/>
      <w:jc w:val="center"/>
      <w:textAlignment w:val="center"/>
    </w:pPr>
    <w:rPr>
      <w:rFonts w:cs="Arial"/>
      <w:sz w:val="24"/>
      <w:szCs w:val="24"/>
    </w:rPr>
  </w:style>
  <w:style w:type="paragraph" w:customStyle="1" w:styleId="xl124">
    <w:name w:val="xl124"/>
    <w:basedOn w:val="Normal"/>
    <w:rsid w:val="004915D9"/>
    <w:pPr>
      <w:pBdr>
        <w:top w:val="single" w:sz="8" w:space="0" w:color="auto"/>
      </w:pBdr>
      <w:shd w:val="clear" w:color="000000" w:fill="BFBFBF"/>
      <w:autoSpaceDE/>
      <w:autoSpaceDN/>
      <w:adjustRightInd/>
      <w:spacing w:before="100" w:beforeAutospacing="1" w:after="100" w:afterAutospacing="1"/>
      <w:textAlignment w:val="center"/>
    </w:pPr>
    <w:rPr>
      <w:rFonts w:cs="Arial"/>
      <w:i/>
      <w:iCs/>
      <w:sz w:val="24"/>
      <w:szCs w:val="24"/>
    </w:rPr>
  </w:style>
  <w:style w:type="paragraph" w:customStyle="1" w:styleId="xl125">
    <w:name w:val="xl125"/>
    <w:basedOn w:val="Normal"/>
    <w:rsid w:val="004915D9"/>
    <w:pPr>
      <w:pBdr>
        <w:bottom w:val="single" w:sz="8" w:space="0" w:color="auto"/>
        <w:right w:val="single" w:sz="4"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26">
    <w:name w:val="xl126"/>
    <w:basedOn w:val="Normal"/>
    <w:rsid w:val="004915D9"/>
    <w:pPr>
      <w:pBdr>
        <w:top w:val="single" w:sz="8" w:space="0" w:color="auto"/>
      </w:pBdr>
      <w:shd w:val="clear" w:color="000000" w:fill="BFBFBF"/>
      <w:autoSpaceDE/>
      <w:autoSpaceDN/>
      <w:adjustRightInd/>
      <w:spacing w:before="100" w:beforeAutospacing="1" w:after="100" w:afterAutospacing="1"/>
      <w:jc w:val="right"/>
      <w:textAlignment w:val="center"/>
    </w:pPr>
    <w:rPr>
      <w:rFonts w:cs="Arial"/>
      <w:sz w:val="24"/>
      <w:szCs w:val="24"/>
    </w:rPr>
  </w:style>
  <w:style w:type="paragraph" w:customStyle="1" w:styleId="xl127">
    <w:name w:val="xl127"/>
    <w:basedOn w:val="Normal"/>
    <w:rsid w:val="004915D9"/>
    <w:pPr>
      <w:pBdr>
        <w:top w:val="single" w:sz="8" w:space="0" w:color="auto"/>
        <w:left w:val="single" w:sz="4" w:space="0" w:color="auto"/>
        <w:bottom w:val="single" w:sz="8" w:space="0" w:color="auto"/>
      </w:pBdr>
      <w:shd w:val="clear" w:color="000000" w:fill="FFFFFF"/>
      <w:autoSpaceDE/>
      <w:autoSpaceDN/>
      <w:adjustRightInd/>
      <w:spacing w:before="100" w:beforeAutospacing="1" w:after="100" w:afterAutospacing="1"/>
      <w:jc w:val="right"/>
      <w:textAlignment w:val="center"/>
    </w:pPr>
    <w:rPr>
      <w:rFonts w:cs="Arial"/>
      <w:sz w:val="24"/>
      <w:szCs w:val="24"/>
    </w:rPr>
  </w:style>
  <w:style w:type="paragraph" w:customStyle="1" w:styleId="xl128">
    <w:name w:val="xl128"/>
    <w:basedOn w:val="Normal"/>
    <w:rsid w:val="004915D9"/>
    <w:pPr>
      <w:pBdr>
        <w:top w:val="single" w:sz="8" w:space="0" w:color="auto"/>
        <w:bottom w:val="single" w:sz="8"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29">
    <w:name w:val="xl129"/>
    <w:basedOn w:val="Normal"/>
    <w:rsid w:val="004915D9"/>
    <w:pPr>
      <w:pBdr>
        <w:top w:val="single" w:sz="8" w:space="0" w:color="auto"/>
        <w:bottom w:val="single" w:sz="8" w:space="0" w:color="auto"/>
      </w:pBdr>
      <w:shd w:val="clear" w:color="000000" w:fill="BFBFBF"/>
      <w:autoSpaceDE/>
      <w:autoSpaceDN/>
      <w:adjustRightInd/>
      <w:spacing w:before="100" w:beforeAutospacing="1" w:after="100" w:afterAutospacing="1"/>
      <w:textAlignment w:val="center"/>
    </w:pPr>
    <w:rPr>
      <w:rFonts w:cs="Arial"/>
      <w:b/>
      <w:bCs/>
      <w:i/>
      <w:iCs/>
      <w:sz w:val="24"/>
      <w:szCs w:val="24"/>
    </w:rPr>
  </w:style>
  <w:style w:type="paragraph" w:customStyle="1" w:styleId="xl130">
    <w:name w:val="xl130"/>
    <w:basedOn w:val="Normal"/>
    <w:rsid w:val="004915D9"/>
    <w:pPr>
      <w:pBdr>
        <w:top w:val="single" w:sz="8" w:space="0" w:color="auto"/>
        <w:bottom w:val="single" w:sz="8" w:space="0" w:color="auto"/>
        <w:right w:val="single" w:sz="4"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31">
    <w:name w:val="xl131"/>
    <w:basedOn w:val="Normal"/>
    <w:rsid w:val="004915D9"/>
    <w:pPr>
      <w:pBdr>
        <w:top w:val="single" w:sz="8" w:space="0" w:color="auto"/>
        <w:bottom w:val="single" w:sz="8"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32">
    <w:name w:val="xl132"/>
    <w:basedOn w:val="Normal"/>
    <w:rsid w:val="004915D9"/>
    <w:pPr>
      <w:pBdr>
        <w:top w:val="single" w:sz="8" w:space="0" w:color="auto"/>
        <w:bottom w:val="single" w:sz="8" w:space="0" w:color="auto"/>
      </w:pBdr>
      <w:shd w:val="clear" w:color="000000" w:fill="BFBFBF"/>
      <w:autoSpaceDE/>
      <w:autoSpaceDN/>
      <w:adjustRightInd/>
      <w:spacing w:before="100" w:beforeAutospacing="1" w:after="100" w:afterAutospacing="1"/>
      <w:jc w:val="right"/>
      <w:textAlignment w:val="center"/>
    </w:pPr>
    <w:rPr>
      <w:rFonts w:cs="Arial"/>
      <w:sz w:val="24"/>
      <w:szCs w:val="24"/>
    </w:rPr>
  </w:style>
  <w:style w:type="paragraph" w:customStyle="1" w:styleId="xl133">
    <w:name w:val="xl133"/>
    <w:basedOn w:val="Normal"/>
    <w:rsid w:val="004915D9"/>
    <w:pPr>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34">
    <w:name w:val="xl134"/>
    <w:basedOn w:val="Normal"/>
    <w:rsid w:val="004915D9"/>
    <w:pPr>
      <w:pBdr>
        <w:top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cs="Arial"/>
      <w:i/>
      <w:iCs/>
      <w:sz w:val="24"/>
      <w:szCs w:val="24"/>
    </w:rPr>
  </w:style>
  <w:style w:type="paragraph" w:customStyle="1" w:styleId="xl135">
    <w:name w:val="xl135"/>
    <w:basedOn w:val="Normal"/>
    <w:rsid w:val="004915D9"/>
    <w:pPr>
      <w:pBdr>
        <w:top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36">
    <w:name w:val="xl136"/>
    <w:basedOn w:val="Normal"/>
    <w:rsid w:val="004915D9"/>
    <w:pPr>
      <w:pBdr>
        <w:top w:val="single" w:sz="8" w:space="0" w:color="auto"/>
        <w:bottom w:val="single" w:sz="8" w:space="0" w:color="auto"/>
      </w:pBdr>
      <w:shd w:val="clear" w:color="000000" w:fill="FFFFFF"/>
      <w:autoSpaceDE/>
      <w:autoSpaceDN/>
      <w:adjustRightInd/>
      <w:spacing w:before="100" w:beforeAutospacing="1" w:after="100" w:afterAutospacing="1"/>
      <w:jc w:val="right"/>
      <w:textAlignment w:val="center"/>
    </w:pPr>
    <w:rPr>
      <w:rFonts w:cs="Arial"/>
      <w:sz w:val="24"/>
      <w:szCs w:val="24"/>
    </w:rPr>
  </w:style>
  <w:style w:type="paragraph" w:customStyle="1" w:styleId="xl137">
    <w:name w:val="xl137"/>
    <w:basedOn w:val="Normal"/>
    <w:rsid w:val="004915D9"/>
    <w:pPr>
      <w:pBdr>
        <w:right w:val="single" w:sz="4"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38">
    <w:name w:val="xl138"/>
    <w:basedOn w:val="Normal"/>
    <w:rsid w:val="004915D9"/>
    <w:pPr>
      <w:pBdr>
        <w:top w:val="single" w:sz="8" w:space="0" w:color="auto"/>
        <w:left w:val="single" w:sz="8" w:space="0" w:color="auto"/>
        <w:bottom w:val="single" w:sz="8" w:space="0" w:color="auto"/>
      </w:pBdr>
      <w:shd w:val="clear" w:color="000000" w:fill="BFBFBF"/>
      <w:autoSpaceDE/>
      <w:autoSpaceDN/>
      <w:adjustRightInd/>
      <w:spacing w:before="100" w:beforeAutospacing="1" w:after="100" w:afterAutospacing="1"/>
      <w:jc w:val="center"/>
      <w:textAlignment w:val="center"/>
    </w:pPr>
    <w:rPr>
      <w:rFonts w:cs="Arial"/>
      <w:sz w:val="24"/>
      <w:szCs w:val="24"/>
    </w:rPr>
  </w:style>
  <w:style w:type="paragraph" w:customStyle="1" w:styleId="xl139">
    <w:name w:val="xl139"/>
    <w:basedOn w:val="Normal"/>
    <w:rsid w:val="004915D9"/>
    <w:pPr>
      <w:pBdr>
        <w:bottom w:val="single" w:sz="8" w:space="0" w:color="auto"/>
      </w:pBdr>
      <w:shd w:val="clear" w:color="000000" w:fill="BFBFBF"/>
      <w:autoSpaceDE/>
      <w:autoSpaceDN/>
      <w:adjustRightInd/>
      <w:spacing w:before="100" w:beforeAutospacing="1" w:after="100" w:afterAutospacing="1"/>
      <w:jc w:val="center"/>
      <w:textAlignment w:val="center"/>
    </w:pPr>
    <w:rPr>
      <w:rFonts w:cs="Arial"/>
      <w:sz w:val="24"/>
      <w:szCs w:val="24"/>
    </w:rPr>
  </w:style>
  <w:style w:type="paragraph" w:customStyle="1" w:styleId="xl140">
    <w:name w:val="xl140"/>
    <w:basedOn w:val="Normal"/>
    <w:rsid w:val="004915D9"/>
    <w:pPr>
      <w:pBdr>
        <w:bottom w:val="single" w:sz="8" w:space="0" w:color="auto"/>
      </w:pBdr>
      <w:shd w:val="clear" w:color="000000" w:fill="BFBFBF"/>
      <w:autoSpaceDE/>
      <w:autoSpaceDN/>
      <w:adjustRightInd/>
      <w:spacing w:before="100" w:beforeAutospacing="1" w:after="100" w:afterAutospacing="1"/>
      <w:textAlignment w:val="center"/>
    </w:pPr>
    <w:rPr>
      <w:rFonts w:cs="Arial"/>
      <w:i/>
      <w:iCs/>
      <w:sz w:val="24"/>
      <w:szCs w:val="24"/>
    </w:rPr>
  </w:style>
  <w:style w:type="paragraph" w:customStyle="1" w:styleId="xl141">
    <w:name w:val="xl141"/>
    <w:basedOn w:val="Normal"/>
    <w:rsid w:val="004915D9"/>
    <w:pPr>
      <w:pBdr>
        <w:bottom w:val="single" w:sz="8" w:space="0" w:color="auto"/>
        <w:right w:val="single" w:sz="4"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42">
    <w:name w:val="xl142"/>
    <w:basedOn w:val="Normal"/>
    <w:rsid w:val="004915D9"/>
    <w:pPr>
      <w:pBdr>
        <w:bottom w:val="single" w:sz="8" w:space="0" w:color="auto"/>
      </w:pBdr>
      <w:shd w:val="clear" w:color="000000" w:fill="BFBFBF"/>
      <w:autoSpaceDE/>
      <w:autoSpaceDN/>
      <w:adjustRightInd/>
      <w:spacing w:before="100" w:beforeAutospacing="1" w:after="100" w:afterAutospacing="1"/>
      <w:textAlignment w:val="center"/>
    </w:pPr>
    <w:rPr>
      <w:rFonts w:cs="Arial"/>
      <w:b/>
      <w:bCs/>
      <w:sz w:val="24"/>
      <w:szCs w:val="24"/>
    </w:rPr>
  </w:style>
  <w:style w:type="paragraph" w:customStyle="1" w:styleId="xl143">
    <w:name w:val="xl143"/>
    <w:basedOn w:val="Normal"/>
    <w:rsid w:val="004915D9"/>
    <w:pPr>
      <w:pBdr>
        <w:bottom w:val="single" w:sz="8" w:space="0" w:color="auto"/>
      </w:pBdr>
      <w:shd w:val="clear" w:color="000000" w:fill="BFBFBF"/>
      <w:autoSpaceDE/>
      <w:autoSpaceDN/>
      <w:adjustRightInd/>
      <w:spacing w:before="100" w:beforeAutospacing="1" w:after="100" w:afterAutospacing="1"/>
      <w:jc w:val="right"/>
      <w:textAlignment w:val="center"/>
    </w:pPr>
    <w:rPr>
      <w:rFonts w:cs="Arial"/>
      <w:sz w:val="24"/>
      <w:szCs w:val="24"/>
    </w:rPr>
  </w:style>
  <w:style w:type="paragraph" w:customStyle="1" w:styleId="xl144">
    <w:name w:val="xl144"/>
    <w:basedOn w:val="Normal"/>
    <w:rsid w:val="004915D9"/>
    <w:pPr>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45">
    <w:name w:val="xl145"/>
    <w:basedOn w:val="Normal"/>
    <w:rsid w:val="004915D9"/>
    <w:pPr>
      <w:pBdr>
        <w:top w:val="single" w:sz="8" w:space="0" w:color="auto"/>
      </w:pBdr>
      <w:shd w:val="clear" w:color="000000" w:fill="FFFFFF"/>
      <w:autoSpaceDE/>
      <w:autoSpaceDN/>
      <w:adjustRightInd/>
      <w:spacing w:before="100" w:beforeAutospacing="1" w:after="100" w:afterAutospacing="1"/>
      <w:textAlignment w:val="center"/>
    </w:pPr>
    <w:rPr>
      <w:rFonts w:cs="Arial"/>
      <w:b/>
      <w:bCs/>
      <w:i/>
      <w:iCs/>
      <w:sz w:val="24"/>
      <w:szCs w:val="24"/>
    </w:rPr>
  </w:style>
  <w:style w:type="paragraph" w:customStyle="1" w:styleId="xl146">
    <w:name w:val="xl146"/>
    <w:basedOn w:val="Normal"/>
    <w:rsid w:val="004915D9"/>
    <w:pPr>
      <w:pBdr>
        <w:top w:val="single" w:sz="8"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47">
    <w:name w:val="xl147"/>
    <w:basedOn w:val="Normal"/>
    <w:rsid w:val="004915D9"/>
    <w:pPr>
      <w:pBdr>
        <w:top w:val="single" w:sz="8" w:space="0" w:color="auto"/>
      </w:pBdr>
      <w:shd w:val="clear" w:color="000000" w:fill="FFFFFF"/>
      <w:autoSpaceDE/>
      <w:autoSpaceDN/>
      <w:adjustRightInd/>
      <w:spacing w:before="100" w:beforeAutospacing="1" w:after="100" w:afterAutospacing="1"/>
      <w:jc w:val="right"/>
      <w:textAlignment w:val="center"/>
    </w:pPr>
    <w:rPr>
      <w:rFonts w:cs="Arial"/>
      <w:sz w:val="24"/>
      <w:szCs w:val="24"/>
    </w:rPr>
  </w:style>
  <w:style w:type="paragraph" w:customStyle="1" w:styleId="xl148">
    <w:name w:val="xl148"/>
    <w:basedOn w:val="Normal"/>
    <w:rsid w:val="004915D9"/>
    <w:pPr>
      <w:pBdr>
        <w:left w:val="single" w:sz="8" w:space="0" w:color="auto"/>
      </w:pBd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49">
    <w:name w:val="xl149"/>
    <w:basedOn w:val="Normal"/>
    <w:rsid w:val="004915D9"/>
    <w:pP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50">
    <w:name w:val="xl150"/>
    <w:basedOn w:val="Normal"/>
    <w:rsid w:val="004915D9"/>
    <w:pPr>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cs="Arial"/>
      <w:sz w:val="24"/>
      <w:szCs w:val="24"/>
    </w:rPr>
  </w:style>
  <w:style w:type="paragraph" w:customStyle="1" w:styleId="xl151">
    <w:name w:val="xl151"/>
    <w:basedOn w:val="Normal"/>
    <w:rsid w:val="004915D9"/>
    <w:pPr>
      <w:pBdr>
        <w:bottom w:val="single" w:sz="8" w:space="0" w:color="auto"/>
      </w:pBdr>
      <w:shd w:val="clear" w:color="000000" w:fill="FFFFFF"/>
      <w:autoSpaceDE/>
      <w:autoSpaceDN/>
      <w:adjustRightInd/>
      <w:spacing w:before="100" w:beforeAutospacing="1" w:after="100" w:afterAutospacing="1"/>
      <w:textAlignment w:val="center"/>
    </w:pPr>
    <w:rPr>
      <w:rFonts w:cs="Arial"/>
      <w:b/>
      <w:bCs/>
      <w:sz w:val="24"/>
      <w:szCs w:val="24"/>
    </w:rPr>
  </w:style>
  <w:style w:type="paragraph" w:customStyle="1" w:styleId="xl152">
    <w:name w:val="xl152"/>
    <w:basedOn w:val="Normal"/>
    <w:rsid w:val="004915D9"/>
    <w:pPr>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53">
    <w:name w:val="xl153"/>
    <w:basedOn w:val="Normal"/>
    <w:rsid w:val="004915D9"/>
    <w:pPr>
      <w:pBdr>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54">
    <w:name w:val="xl154"/>
    <w:basedOn w:val="Normal"/>
    <w:rsid w:val="004915D9"/>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55">
    <w:name w:val="xl155"/>
    <w:basedOn w:val="Normal"/>
    <w:rsid w:val="004915D9"/>
    <w:pPr>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56">
    <w:name w:val="xl156"/>
    <w:basedOn w:val="Normal"/>
    <w:rsid w:val="004915D9"/>
    <w:pPr>
      <w:pBdr>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57">
    <w:name w:val="xl157"/>
    <w:basedOn w:val="Normal"/>
    <w:rsid w:val="004915D9"/>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58">
    <w:name w:val="xl158"/>
    <w:basedOn w:val="Normal"/>
    <w:rsid w:val="004915D9"/>
    <w:pPr>
      <w:pBdr>
        <w:left w:val="single" w:sz="4" w:space="0" w:color="auto"/>
        <w:bottom w:val="single" w:sz="8"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59">
    <w:name w:val="xl159"/>
    <w:basedOn w:val="Normal"/>
    <w:rsid w:val="004915D9"/>
    <w:pPr>
      <w:pBdr>
        <w:bottom w:val="single" w:sz="8"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60">
    <w:name w:val="xl160"/>
    <w:basedOn w:val="Normal"/>
    <w:rsid w:val="004915D9"/>
    <w:pPr>
      <w:pBdr>
        <w:bottom w:val="single" w:sz="8" w:space="0" w:color="auto"/>
        <w:right w:val="single" w:sz="4"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61">
    <w:name w:val="xl161"/>
    <w:basedOn w:val="Normal"/>
    <w:rsid w:val="004915D9"/>
    <w:pPr>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62">
    <w:name w:val="xl162"/>
    <w:basedOn w:val="Normal"/>
    <w:rsid w:val="004915D9"/>
    <w:pPr>
      <w:pBdr>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63">
    <w:name w:val="xl163"/>
    <w:basedOn w:val="Normal"/>
    <w:rsid w:val="004915D9"/>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64">
    <w:name w:val="xl164"/>
    <w:basedOn w:val="Normal"/>
    <w:rsid w:val="004915D9"/>
    <w:pPr>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65">
    <w:name w:val="xl165"/>
    <w:basedOn w:val="Normal"/>
    <w:rsid w:val="004915D9"/>
    <w:pPr>
      <w:pBdr>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66">
    <w:name w:val="xl166"/>
    <w:basedOn w:val="Normal"/>
    <w:rsid w:val="004915D9"/>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67">
    <w:name w:val="xl167"/>
    <w:basedOn w:val="Normal"/>
    <w:rsid w:val="004915D9"/>
    <w:pPr>
      <w:pBdr>
        <w:left w:val="single" w:sz="4" w:space="0" w:color="auto"/>
        <w:bottom w:val="single" w:sz="8"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68">
    <w:name w:val="xl168"/>
    <w:basedOn w:val="Normal"/>
    <w:rsid w:val="004915D9"/>
    <w:pPr>
      <w:pBdr>
        <w:bottom w:val="single" w:sz="8"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69">
    <w:name w:val="xl169"/>
    <w:basedOn w:val="Normal"/>
    <w:rsid w:val="004915D9"/>
    <w:pPr>
      <w:pBdr>
        <w:bottom w:val="single" w:sz="8" w:space="0" w:color="auto"/>
        <w:right w:val="single" w:sz="4"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70">
    <w:name w:val="xl170"/>
    <w:basedOn w:val="Normal"/>
    <w:rsid w:val="004915D9"/>
    <w:pPr>
      <w:pBdr>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71">
    <w:name w:val="xl171"/>
    <w:basedOn w:val="Normal"/>
    <w:rsid w:val="004915D9"/>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72">
    <w:name w:val="xl172"/>
    <w:basedOn w:val="Normal"/>
    <w:rsid w:val="004915D9"/>
    <w:pPr>
      <w:pBdr>
        <w:left w:val="single" w:sz="4" w:space="0" w:color="auto"/>
        <w:bottom w:val="single" w:sz="8"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73">
    <w:name w:val="xl173"/>
    <w:basedOn w:val="Normal"/>
    <w:rsid w:val="004915D9"/>
    <w:pPr>
      <w:pBdr>
        <w:bottom w:val="single" w:sz="8"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74">
    <w:name w:val="xl174"/>
    <w:basedOn w:val="Normal"/>
    <w:rsid w:val="004915D9"/>
    <w:pPr>
      <w:pBdr>
        <w:bottom w:val="single" w:sz="8" w:space="0" w:color="auto"/>
        <w:right w:val="single" w:sz="4" w:space="0" w:color="auto"/>
      </w:pBdr>
      <w:shd w:val="clear" w:color="000000" w:fill="4E5A7A"/>
      <w:autoSpaceDE/>
      <w:autoSpaceDN/>
      <w:adjustRightInd/>
      <w:spacing w:before="100" w:beforeAutospacing="1" w:after="100" w:afterAutospacing="1"/>
      <w:jc w:val="center"/>
    </w:pPr>
    <w:rPr>
      <w:rFonts w:cs="Arial"/>
      <w:color w:val="FFFFFF"/>
      <w:sz w:val="24"/>
      <w:szCs w:val="24"/>
    </w:rPr>
  </w:style>
  <w:style w:type="paragraph" w:customStyle="1" w:styleId="xl175">
    <w:name w:val="xl175"/>
    <w:basedOn w:val="Normal"/>
    <w:rsid w:val="004915D9"/>
    <w:pPr>
      <w:pBdr>
        <w:left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76">
    <w:name w:val="xl176"/>
    <w:basedOn w:val="Normal"/>
    <w:rsid w:val="004915D9"/>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top"/>
    </w:pPr>
    <w:rPr>
      <w:rFonts w:cs="Arial"/>
      <w:sz w:val="24"/>
      <w:szCs w:val="24"/>
    </w:rPr>
  </w:style>
  <w:style w:type="paragraph" w:customStyle="1" w:styleId="xl177">
    <w:name w:val="xl177"/>
    <w:basedOn w:val="Normal"/>
    <w:rsid w:val="004915D9"/>
    <w:pPr>
      <w:pBdr>
        <w:top w:val="single" w:sz="8" w:space="0" w:color="auto"/>
        <w:left w:val="single" w:sz="8" w:space="0" w:color="auto"/>
        <w:right w:val="single" w:sz="8" w:space="0" w:color="auto"/>
      </w:pBdr>
      <w:autoSpaceDE/>
      <w:autoSpaceDN/>
      <w:adjustRightInd/>
      <w:spacing w:before="100" w:beforeAutospacing="1" w:after="100" w:afterAutospacing="1"/>
      <w:textAlignment w:val="top"/>
    </w:pPr>
    <w:rPr>
      <w:rFonts w:cs="Arial"/>
      <w:sz w:val="24"/>
      <w:szCs w:val="24"/>
    </w:rPr>
  </w:style>
  <w:style w:type="paragraph" w:customStyle="1" w:styleId="xl178">
    <w:name w:val="xl178"/>
    <w:basedOn w:val="Normal"/>
    <w:rsid w:val="004915D9"/>
    <w:pPr>
      <w:pBdr>
        <w:left w:val="single" w:sz="8" w:space="0" w:color="auto"/>
        <w:right w:val="single" w:sz="8" w:space="0" w:color="auto"/>
      </w:pBdr>
      <w:autoSpaceDE/>
      <w:autoSpaceDN/>
      <w:adjustRightInd/>
      <w:spacing w:before="100" w:beforeAutospacing="1" w:after="100" w:afterAutospacing="1"/>
      <w:textAlignment w:val="top"/>
    </w:pPr>
    <w:rPr>
      <w:rFonts w:cs="Arial"/>
      <w:sz w:val="24"/>
      <w:szCs w:val="24"/>
    </w:rPr>
  </w:style>
  <w:style w:type="paragraph" w:customStyle="1" w:styleId="xl179">
    <w:name w:val="xl179"/>
    <w:basedOn w:val="Normal"/>
    <w:rsid w:val="004915D9"/>
    <w:pPr>
      <w:pBdr>
        <w:left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cs="Arial"/>
      <w:sz w:val="24"/>
      <w:szCs w:val="24"/>
    </w:rPr>
  </w:style>
  <w:style w:type="character" w:styleId="PlaceholderText">
    <w:name w:val="Placeholder Text"/>
    <w:basedOn w:val="DefaultParagraphFont"/>
    <w:uiPriority w:val="99"/>
    <w:semiHidden/>
    <w:rsid w:val="004915D9"/>
    <w:rPr>
      <w:color w:val="808080"/>
    </w:rPr>
  </w:style>
  <w:style w:type="paragraph" w:customStyle="1" w:styleId="xl97">
    <w:name w:val="xl97"/>
    <w:basedOn w:val="Normal"/>
    <w:rsid w:val="004915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Default">
    <w:name w:val="Default"/>
    <w:rsid w:val="004915D9"/>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rsid w:val="004915D9"/>
    <w:pPr>
      <w:autoSpaceDE w:val="0"/>
      <w:autoSpaceDN w:val="0"/>
      <w:adjustRightInd w:val="0"/>
      <w:spacing w:after="0" w:line="240" w:lineRule="auto"/>
      <w:ind w:left="720"/>
    </w:pPr>
    <w:rPr>
      <w:rFonts w:ascii="Arial" w:eastAsia="Times New Roman" w:hAnsi="Arial" w:cs="Times New Roman"/>
      <w:sz w:val="24"/>
      <w:szCs w:val="24"/>
    </w:rPr>
  </w:style>
  <w:style w:type="character" w:customStyle="1" w:styleId="ListParagraphChar">
    <w:name w:val="List Paragraph Char"/>
    <w:link w:val="ListParagraph"/>
    <w:uiPriority w:val="34"/>
    <w:locked/>
    <w:rsid w:val="004915D9"/>
    <w:rPr>
      <w:rFonts w:ascii="Arial" w:eastAsia="Times New Roman" w:hAnsi="Arial" w:cs="Times New Roman"/>
      <w:sz w:val="20"/>
      <w:szCs w:val="20"/>
    </w:rPr>
  </w:style>
  <w:style w:type="paragraph" w:customStyle="1" w:styleId="Reference">
    <w:name w:val="Reference"/>
    <w:basedOn w:val="ListParagraph"/>
    <w:rsid w:val="004915D9"/>
    <w:pPr>
      <w:numPr>
        <w:numId w:val="1"/>
      </w:numPr>
      <w:autoSpaceDE/>
      <w:autoSpaceDN/>
      <w:adjustRightInd/>
      <w:spacing w:after="200" w:line="276" w:lineRule="auto"/>
      <w:contextualSpacing w:val="0"/>
    </w:pPr>
    <w:rPr>
      <w:sz w:val="22"/>
      <w:szCs w:val="22"/>
    </w:rPr>
  </w:style>
  <w:style w:type="paragraph" w:customStyle="1" w:styleId="NUREGBullet">
    <w:name w:val="NUREG_Bullet"/>
    <w:basedOn w:val="Reference"/>
    <w:link w:val="NUREGBulletChar"/>
    <w:qFormat/>
    <w:rsid w:val="004915D9"/>
    <w:pPr>
      <w:spacing w:line="259" w:lineRule="auto"/>
    </w:pPr>
  </w:style>
  <w:style w:type="character" w:customStyle="1" w:styleId="NUREGBulletChar">
    <w:name w:val="NUREG_Bullet Char"/>
    <w:link w:val="NUREGBullet"/>
    <w:locked/>
    <w:rsid w:val="004915D9"/>
    <w:rPr>
      <w:rFonts w:ascii="Arial" w:eastAsia="Times New Roman" w:hAnsi="Arial" w:cs="Times New Roman"/>
    </w:rPr>
  </w:style>
  <w:style w:type="paragraph" w:customStyle="1" w:styleId="NUREGBulletsecond-level">
    <w:name w:val="NUREG_Bullet_second-level"/>
    <w:basedOn w:val="NUREGBullet"/>
    <w:link w:val="NUREGBulletsecond-levelChar"/>
    <w:qFormat/>
    <w:rsid w:val="004915D9"/>
    <w:pPr>
      <w:numPr>
        <w:ilvl w:val="1"/>
      </w:numPr>
    </w:pPr>
  </w:style>
  <w:style w:type="character" w:customStyle="1" w:styleId="NUREGBulletsecond-levelChar">
    <w:name w:val="NUREG_Bullet_second-level Char"/>
    <w:link w:val="NUREGBulletsecond-level"/>
    <w:locked/>
    <w:rsid w:val="004915D9"/>
    <w:rPr>
      <w:rFonts w:ascii="Arial" w:eastAsia="Times New Roman" w:hAnsi="Arial" w:cs="Times New Roman"/>
    </w:rPr>
  </w:style>
  <w:style w:type="paragraph" w:styleId="TOC4">
    <w:name w:val="toc 4"/>
    <w:basedOn w:val="Normal"/>
    <w:next w:val="Normal"/>
    <w:autoRedefine/>
    <w:uiPriority w:val="39"/>
    <w:unhideWhenUsed/>
    <w:rsid w:val="004915D9"/>
    <w:pPr>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15D9"/>
    <w:pPr>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15D9"/>
    <w:pPr>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15D9"/>
    <w:pPr>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15D9"/>
    <w:pPr>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15D9"/>
    <w:pPr>
      <w:autoSpaceDE/>
      <w:autoSpaceDN/>
      <w:adjustRightInd/>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4915D9"/>
    <w:pPr>
      <w:autoSpaceDE/>
      <w:autoSpaceDN/>
      <w:adjustRightInd/>
      <w:spacing w:before="100" w:beforeAutospacing="1" w:after="100" w:afterAutospacing="1"/>
    </w:pPr>
    <w:rPr>
      <w:rFonts w:ascii="Times New Roman" w:hAnsi="Times New Roman"/>
      <w:sz w:val="24"/>
      <w:szCs w:val="24"/>
    </w:rPr>
  </w:style>
  <w:style w:type="paragraph" w:styleId="TableofFigures">
    <w:name w:val="table of figures"/>
    <w:basedOn w:val="Normal"/>
    <w:next w:val="Normal"/>
    <w:uiPriority w:val="99"/>
    <w:unhideWhenUsed/>
    <w:rsid w:val="004915D9"/>
  </w:style>
  <w:style w:type="paragraph" w:customStyle="1" w:styleId="FigureHeading">
    <w:name w:val="Figure_Heading"/>
    <w:basedOn w:val="Exhibit"/>
    <w:qFormat/>
    <w:rsid w:val="004915D9"/>
    <w:pPr>
      <w:spacing w:after="240"/>
    </w:pPr>
    <w:rPr>
      <w:bCs/>
    </w:rPr>
  </w:style>
  <w:style w:type="paragraph" w:customStyle="1" w:styleId="AppendixHeader1">
    <w:name w:val="Appendix_Header_1"/>
    <w:basedOn w:val="Heading1"/>
    <w:qFormat/>
    <w:rsid w:val="004915D9"/>
  </w:style>
  <w:style w:type="paragraph" w:customStyle="1" w:styleId="AppendixHeader2">
    <w:name w:val="Appendix_Header_2"/>
    <w:basedOn w:val="Heading2"/>
    <w:qFormat/>
    <w:rsid w:val="004915D9"/>
    <w:pPr>
      <w:ind w:left="720" w:hanging="720"/>
    </w:pPr>
  </w:style>
  <w:style w:type="paragraph" w:customStyle="1" w:styleId="AppendixHeader3">
    <w:name w:val="Appendix_Header_3"/>
    <w:basedOn w:val="Heading3"/>
    <w:qFormat/>
    <w:rsid w:val="004915D9"/>
    <w:rPr>
      <w:sz w:val="24"/>
    </w:rPr>
  </w:style>
  <w:style w:type="paragraph" w:styleId="TOCHeading">
    <w:name w:val="TOC Heading"/>
    <w:basedOn w:val="Heading1"/>
    <w:next w:val="Normal"/>
    <w:uiPriority w:val="39"/>
    <w:unhideWhenUsed/>
    <w:qFormat/>
    <w:rsid w:val="00FA1339"/>
    <w:pPr>
      <w:keepLines/>
      <w:autoSpaceDE/>
      <w:autoSpaceDN/>
      <w:adjustRightInd/>
      <w:spacing w:after="0" w:line="259" w:lineRule="auto"/>
      <w:ind w:left="0" w:firstLine="0"/>
      <w:outlineLvl w:val="9"/>
    </w:pPr>
    <w:rPr>
      <w:rFonts w:asciiTheme="majorHAnsi" w:eastAsiaTheme="majorEastAsia" w:hAnsiTheme="majorHAnsi" w:cstheme="majorBidi"/>
      <w:b w:val="0"/>
      <w:bCs w:val="0"/>
      <w:color w:val="2E74B5" w:themeColor="accent1" w:themeShade="BF"/>
      <w:kern w:val="0"/>
    </w:rPr>
  </w:style>
  <w:style w:type="numbering" w:customStyle="1" w:styleId="NoList11">
    <w:name w:val="No List11"/>
    <w:next w:val="NoList"/>
    <w:uiPriority w:val="99"/>
    <w:semiHidden/>
    <w:unhideWhenUsed/>
    <w:rsid w:val="00BF5AC4"/>
  </w:style>
  <w:style w:type="numbering" w:customStyle="1" w:styleId="NoList2">
    <w:name w:val="No List2"/>
    <w:next w:val="NoList"/>
    <w:uiPriority w:val="99"/>
    <w:semiHidden/>
    <w:unhideWhenUsed/>
    <w:rsid w:val="00BF5AC4"/>
  </w:style>
  <w:style w:type="numbering" w:customStyle="1" w:styleId="NoList12">
    <w:name w:val="No List12"/>
    <w:next w:val="NoList"/>
    <w:uiPriority w:val="99"/>
    <w:semiHidden/>
    <w:unhideWhenUsed/>
    <w:rsid w:val="00BF5AC4"/>
  </w:style>
  <w:style w:type="table" w:customStyle="1" w:styleId="TableGrid1">
    <w:name w:val="Table Grid1"/>
    <w:basedOn w:val="TableNormal"/>
    <w:next w:val="TableGrid"/>
    <w:uiPriority w:val="59"/>
    <w:rsid w:val="00BF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_13"/>
    <w:basedOn w:val="Normal"/>
    <w:uiPriority w:val="99"/>
    <w:rsid w:val="003B617B"/>
    <w:pPr>
      <w:widowControl w:val="0"/>
      <w:tabs>
        <w:tab w:val="left" w:pos="3600"/>
        <w:tab w:val="left" w:pos="4320"/>
        <w:tab w:val="left" w:pos="5040"/>
        <w:tab w:val="left" w:pos="5760"/>
        <w:tab w:val="left" w:pos="6480"/>
        <w:tab w:val="left" w:pos="7200"/>
        <w:tab w:val="left" w:pos="7920"/>
      </w:tabs>
      <w:autoSpaceDE/>
      <w:autoSpaceDN/>
      <w:adjustRightInd/>
      <w:ind w:left="3600"/>
    </w:pPr>
    <w:rPr>
      <w:rFonts w:ascii="Times New Roman" w:hAnsi="Times New Roman"/>
      <w:sz w:val="24"/>
    </w:rPr>
  </w:style>
  <w:style w:type="character" w:customStyle="1" w:styleId="Heading7Char">
    <w:name w:val="Heading 7 Char"/>
    <w:basedOn w:val="DefaultParagraphFont"/>
    <w:link w:val="Heading7"/>
    <w:uiPriority w:val="9"/>
    <w:rsid w:val="005F4A41"/>
    <w:rPr>
      <w:rFonts w:ascii="Arial" w:eastAsia="Times New Roman" w:hAnsi="Arial" w:cs="Times New Roman"/>
      <w:b/>
      <w:bCs/>
      <w:sz w:val="20"/>
      <w:szCs w:val="20"/>
    </w:rPr>
  </w:style>
  <w:style w:type="paragraph" w:styleId="BodyText">
    <w:name w:val="Body Text"/>
    <w:basedOn w:val="Normal"/>
    <w:link w:val="BodyTextChar"/>
    <w:uiPriority w:val="99"/>
    <w:unhideWhenUsed/>
    <w:rsid w:val="00E63F88"/>
    <w:rPr>
      <w:rFonts w:cs="Arial"/>
      <w:sz w:val="22"/>
      <w:szCs w:val="22"/>
    </w:rPr>
  </w:style>
  <w:style w:type="character" w:customStyle="1" w:styleId="BodyTextChar">
    <w:name w:val="Body Text Char"/>
    <w:basedOn w:val="DefaultParagraphFont"/>
    <w:link w:val="BodyText"/>
    <w:uiPriority w:val="99"/>
    <w:rsid w:val="00E63F88"/>
    <w:rPr>
      <w:rFonts w:ascii="Arial" w:eastAsia="Times New Roman" w:hAnsi="Arial" w:cs="Arial"/>
    </w:rPr>
  </w:style>
  <w:style w:type="character" w:customStyle="1" w:styleId="Heading8Char">
    <w:name w:val="Heading 8 Char"/>
    <w:basedOn w:val="DefaultParagraphFont"/>
    <w:link w:val="Heading8"/>
    <w:uiPriority w:val="9"/>
    <w:rsid w:val="00E63A5E"/>
    <w:rPr>
      <w:rFonts w:ascii="Arial" w:eastAsia="Times New Roman" w:hAnsi="Arial" w:cs="Arial"/>
      <w:b/>
      <w:color w:val="000000"/>
      <w:sz w:val="20"/>
      <w:szCs w:val="20"/>
    </w:rPr>
  </w:style>
  <w:style w:type="character" w:customStyle="1" w:styleId="UnresolvedMention1">
    <w:name w:val="Unresolved Mention1"/>
    <w:basedOn w:val="DefaultParagraphFont"/>
    <w:uiPriority w:val="99"/>
    <w:semiHidden/>
    <w:unhideWhenUsed/>
    <w:rsid w:val="00F52B04"/>
    <w:rPr>
      <w:color w:val="605E5C"/>
      <w:shd w:val="clear" w:color="auto" w:fill="E1DFDD"/>
    </w:rPr>
  </w:style>
  <w:style w:type="paragraph" w:styleId="Caption">
    <w:name w:val="caption"/>
    <w:basedOn w:val="Normal"/>
    <w:next w:val="Normal"/>
    <w:uiPriority w:val="35"/>
    <w:unhideWhenUsed/>
    <w:qFormat/>
    <w:rsid w:val="00346B95"/>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346B95"/>
  </w:style>
  <w:style w:type="character" w:customStyle="1" w:styleId="EndnoteTextChar">
    <w:name w:val="Endnote Text Char"/>
    <w:basedOn w:val="DefaultParagraphFont"/>
    <w:link w:val="EndnoteText"/>
    <w:uiPriority w:val="99"/>
    <w:semiHidden/>
    <w:rsid w:val="00346B9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46B95"/>
    <w:rPr>
      <w:vertAlign w:val="superscript"/>
    </w:rPr>
  </w:style>
  <w:style w:type="character" w:styleId="Strong">
    <w:name w:val="Strong"/>
    <w:basedOn w:val="DefaultParagraphFont"/>
    <w:uiPriority w:val="22"/>
    <w:qFormat/>
    <w:rsid w:val="00346B95"/>
    <w:rPr>
      <w:b/>
      <w:bCs/>
    </w:rPr>
  </w:style>
  <w:style w:type="paragraph" w:styleId="HTMLPreformatted">
    <w:name w:val="HTML Preformatted"/>
    <w:basedOn w:val="Normal"/>
    <w:link w:val="HTMLPreformattedChar"/>
    <w:uiPriority w:val="99"/>
    <w:semiHidden/>
    <w:unhideWhenUsed/>
    <w:rsid w:val="003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46B95"/>
    <w:rPr>
      <w:rFonts w:ascii="Courier New" w:eastAsia="Times New Roman" w:hAnsi="Courier New" w:cs="Courier New"/>
      <w:sz w:val="20"/>
      <w:szCs w:val="20"/>
    </w:rPr>
  </w:style>
  <w:style w:type="character" w:styleId="Mention">
    <w:name w:val="Mention"/>
    <w:basedOn w:val="DefaultParagraphFont"/>
    <w:uiPriority w:val="99"/>
    <w:unhideWhenUsed/>
    <w:rsid w:val="001F5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1.png"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yperlink" Target="http://www.nrc.gov/reading-rm/doc-collections/nuregs/staff/sr1350/" TargetMode="External" /><Relationship Id="rId2" Type="http://schemas.openxmlformats.org/officeDocument/2006/relationships/settings" Target="settings.xml" /><Relationship Id="rId20" Type="http://schemas.openxmlformats.org/officeDocument/2006/relationships/chart" Target="charts/chart1.xml" /><Relationship Id="rId21" Type="http://schemas.openxmlformats.org/officeDocument/2006/relationships/image" Target="media/image2.emf" /><Relationship Id="rId22" Type="http://schemas.openxmlformats.org/officeDocument/2006/relationships/image" Target="media/image3.emf" /><Relationship Id="rId23" Type="http://schemas.openxmlformats.org/officeDocument/2006/relationships/image" Target="media/image4.emf" /><Relationship Id="rId24" Type="http://schemas.openxmlformats.org/officeDocument/2006/relationships/chart" Target="charts/chart2.xml" /><Relationship Id="rId25" Type="http://schemas.openxmlformats.org/officeDocument/2006/relationships/chart" Target="charts/chart3.xml" /><Relationship Id="rId26" Type="http://schemas.openxmlformats.org/officeDocument/2006/relationships/hyperlink" Target="https://www.bls.gov/cpi/" TargetMode="External" /><Relationship Id="rId27" Type="http://schemas.openxmlformats.org/officeDocument/2006/relationships/hyperlink" Target="http://www.gao.gov/assets/670/667501.pdf" TargetMode="External" /><Relationship Id="rId28" Type="http://schemas.openxmlformats.org/officeDocument/2006/relationships/hyperlink" Target="http://www.gao.gov/assets/80/77175.pdf" TargetMode="External" /><Relationship Id="rId29" Type="http://schemas.openxmlformats.org/officeDocument/2006/relationships/hyperlink" Target="http://www.palisade.com" TargetMode="External" /><Relationship Id="rId3" Type="http://schemas.openxmlformats.org/officeDocument/2006/relationships/webSettings" Target="webSettings.xml" /><Relationship Id="rId30" Type="http://schemas.openxmlformats.org/officeDocument/2006/relationships/header" Target="header4.xml"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palisade.com" TargetMode="External" /></Relationships>
</file>

<file path=word/charts/_rels/chart1.xml.rels><?xml version="1.0" encoding="utf-8" standalone="yes"?><Relationships xmlns="http://schemas.openxmlformats.org/package/2006/relationships"><Relationship Id="rId1" Type="http://schemas.openxmlformats.org/officeDocument/2006/relationships/oleObject" Target="NULL" TargetMode="External" /></Relationships>
</file>

<file path=word/charts/_rels/chart2.xml.rels><?xml version="1.0" encoding="utf-8" standalone="yes"?><Relationships xmlns="http://schemas.openxmlformats.org/package/2006/relationships"><Relationship Id="rId1" Type="http://schemas.openxmlformats.org/officeDocument/2006/relationships/oleObject" Target="NULL" TargetMode="External" /></Relationships>
</file>

<file path=word/charts/_rels/chart3.xml.rels><?xml version="1.0" encoding="utf-8" standalone="yes"?><Relationships xmlns="http://schemas.openxmlformats.org/package/2006/relationships"><Relationship Id="rId1" Type="http://schemas.openxmlformats.org/officeDocument/2006/relationships/oleObject" Target="NULL"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34383202099738"/>
          <c:y val="0.049323101680563024"/>
          <c:w val="0.82501716131637393"/>
          <c:h val="0.76553176836831138"/>
        </c:manualLayout>
      </c:layout>
      <c:scatterChart>
        <c:scatterStyle val="smoothMarker"/>
        <c:varyColors val="0"/>
        <c:ser>
          <c:idx val="0"/>
          <c:order val="0"/>
          <c:tx>
            <c:v>Net Benefit</c:v>
          </c:tx>
          <c:spPr>
            <a:ln w="19050">
              <a:solidFill>
                <a:sysClr val="windowText" lastClr="000000"/>
              </a:solidFill>
              <a:prstDash val="sysDot"/>
            </a:ln>
          </c:spPr>
          <c:marker>
            <c:symbol val="none"/>
          </c:marker>
          <c:xVal>
            <c:numRef>
              <c:f>Sheet1!$D$2502:$D$3003</c:f>
              <c:numCache>
                <c:formatCode>General</c:formatCode>
                <c:ptCount val="502"/>
                <c:pt idx="1">
                  <c:v>6000000</c:v>
                </c:pt>
                <c:pt idx="2">
                  <c:v>6028056.1122244485</c:v>
                </c:pt>
                <c:pt idx="3">
                  <c:v>6056112.2244488979</c:v>
                </c:pt>
                <c:pt idx="4">
                  <c:v>6084168.3366733463</c:v>
                </c:pt>
                <c:pt idx="5">
                  <c:v>6112224.4488977958</c:v>
                </c:pt>
                <c:pt idx="6">
                  <c:v>6140280.5611222442</c:v>
                </c:pt>
                <c:pt idx="7">
                  <c:v>6168336.6733466936</c:v>
                </c:pt>
                <c:pt idx="8">
                  <c:v>6196392.7855711421</c:v>
                </c:pt>
                <c:pt idx="9">
                  <c:v>6224448.8977955915</c:v>
                </c:pt>
                <c:pt idx="10">
                  <c:v>6252505.01002004</c:v>
                </c:pt>
                <c:pt idx="11">
                  <c:v>6280561.1222444894</c:v>
                </c:pt>
                <c:pt idx="12">
                  <c:v>6308617.2344689379</c:v>
                </c:pt>
                <c:pt idx="13">
                  <c:v>6336673.3466933873</c:v>
                </c:pt>
                <c:pt idx="14">
                  <c:v>6364729.4589178357</c:v>
                </c:pt>
                <c:pt idx="15">
                  <c:v>6392785.5711422842</c:v>
                </c:pt>
                <c:pt idx="16">
                  <c:v>6420841.6833667336</c:v>
                </c:pt>
                <c:pt idx="17">
                  <c:v>6448897.7955911821</c:v>
                </c:pt>
                <c:pt idx="18">
                  <c:v>6476953.9078156315</c:v>
                </c:pt>
                <c:pt idx="19">
                  <c:v>6505010.02004008</c:v>
                </c:pt>
                <c:pt idx="20">
                  <c:v>6533066.1322645294</c:v>
                </c:pt>
                <c:pt idx="21">
                  <c:v>6561122.2444889778</c:v>
                </c:pt>
                <c:pt idx="22">
                  <c:v>6589178.3567134272</c:v>
                </c:pt>
                <c:pt idx="23">
                  <c:v>6617234.4689378757</c:v>
                </c:pt>
                <c:pt idx="24">
                  <c:v>6645290.5811623242</c:v>
                </c:pt>
                <c:pt idx="25">
                  <c:v>6673346.6933867736</c:v>
                </c:pt>
                <c:pt idx="26">
                  <c:v>6701402.8056112221</c:v>
                </c:pt>
                <c:pt idx="27">
                  <c:v>6729458.9178356715</c:v>
                </c:pt>
                <c:pt idx="28">
                  <c:v>6757515.03006012</c:v>
                </c:pt>
                <c:pt idx="29">
                  <c:v>6785571.1422845693</c:v>
                </c:pt>
                <c:pt idx="30">
                  <c:v>6813627.2545090178</c:v>
                </c:pt>
                <c:pt idx="31">
                  <c:v>6841683.3667334672</c:v>
                </c:pt>
                <c:pt idx="32">
                  <c:v>6869739.4789579157</c:v>
                </c:pt>
                <c:pt idx="33">
                  <c:v>6897795.5911823651</c:v>
                </c:pt>
                <c:pt idx="34">
                  <c:v>6925851.7034068136</c:v>
                </c:pt>
                <c:pt idx="35">
                  <c:v>6953907.815631263</c:v>
                </c:pt>
                <c:pt idx="36">
                  <c:v>6981963.9278557114</c:v>
                </c:pt>
                <c:pt idx="37">
                  <c:v>7010020.04008016</c:v>
                </c:pt>
                <c:pt idx="38">
                  <c:v>7038076.1523046093</c:v>
                </c:pt>
                <c:pt idx="39">
                  <c:v>7066132.2645290578</c:v>
                </c:pt>
                <c:pt idx="40">
                  <c:v>7094188.3767535072</c:v>
                </c:pt>
                <c:pt idx="41">
                  <c:v>7122244.4889779557</c:v>
                </c:pt>
                <c:pt idx="42">
                  <c:v>7150300.6012024051</c:v>
                </c:pt>
                <c:pt idx="43">
                  <c:v>7178356.7134268535</c:v>
                </c:pt>
                <c:pt idx="44">
                  <c:v>7206412.8256513029</c:v>
                </c:pt>
                <c:pt idx="45">
                  <c:v>7234468.9378757514</c:v>
                </c:pt>
                <c:pt idx="46">
                  <c:v>7262525.0501002</c:v>
                </c:pt>
                <c:pt idx="47">
                  <c:v>7290581.1623246493</c:v>
                </c:pt>
                <c:pt idx="48">
                  <c:v>7318637.2745490987</c:v>
                </c:pt>
                <c:pt idx="49">
                  <c:v>7346693.3867735472</c:v>
                </c:pt>
                <c:pt idx="50">
                  <c:v>7374749.4989979956</c:v>
                </c:pt>
                <c:pt idx="51">
                  <c:v>7402805.611222445</c:v>
                </c:pt>
                <c:pt idx="52">
                  <c:v>7430861.7234468935</c:v>
                </c:pt>
                <c:pt idx="53">
                  <c:v>7458917.8356713429</c:v>
                </c:pt>
                <c:pt idx="54">
                  <c:v>7486973.9478957914</c:v>
                </c:pt>
                <c:pt idx="55">
                  <c:v>7515030.0601202408</c:v>
                </c:pt>
                <c:pt idx="56">
                  <c:v>7543086.1723446893</c:v>
                </c:pt>
                <c:pt idx="57">
                  <c:v>7571142.2845691387</c:v>
                </c:pt>
                <c:pt idx="58">
                  <c:v>7599198.3967935871</c:v>
                </c:pt>
                <c:pt idx="59">
                  <c:v>7627254.5090180356</c:v>
                </c:pt>
                <c:pt idx="60">
                  <c:v>7655310.621242485</c:v>
                </c:pt>
                <c:pt idx="61">
                  <c:v>7683366.7334669344</c:v>
                </c:pt>
                <c:pt idx="62">
                  <c:v>7711422.8456913829</c:v>
                </c:pt>
                <c:pt idx="63">
                  <c:v>7739478.9579158314</c:v>
                </c:pt>
                <c:pt idx="64">
                  <c:v>7767535.0701402808</c:v>
                </c:pt>
                <c:pt idx="65">
                  <c:v>7795591.1823647292</c:v>
                </c:pt>
                <c:pt idx="66">
                  <c:v>7823647.2945891786</c:v>
                </c:pt>
                <c:pt idx="67">
                  <c:v>7851703.4068136271</c:v>
                </c:pt>
                <c:pt idx="68">
                  <c:v>7879759.5190380756</c:v>
                </c:pt>
                <c:pt idx="69">
                  <c:v>7907815.631262525</c:v>
                </c:pt>
                <c:pt idx="70">
                  <c:v>7935871.7434869744</c:v>
                </c:pt>
                <c:pt idx="71">
                  <c:v>7963927.8557114229</c:v>
                </c:pt>
                <c:pt idx="72">
                  <c:v>7991983.9679358713</c:v>
                </c:pt>
                <c:pt idx="73">
                  <c:v>8020040.0801603207</c:v>
                </c:pt>
                <c:pt idx="74">
                  <c:v>8048096.1923847692</c:v>
                </c:pt>
                <c:pt idx="75">
                  <c:v>8076152.3046092186</c:v>
                </c:pt>
                <c:pt idx="76">
                  <c:v>8104208.4168336671</c:v>
                </c:pt>
                <c:pt idx="77">
                  <c:v>8132264.5290581156</c:v>
                </c:pt>
                <c:pt idx="78">
                  <c:v>8160320.641282565</c:v>
                </c:pt>
                <c:pt idx="79">
                  <c:v>8188376.7535070144</c:v>
                </c:pt>
                <c:pt idx="80">
                  <c:v>8216432.8657314628</c:v>
                </c:pt>
                <c:pt idx="81">
                  <c:v>8244488.9779559113</c:v>
                </c:pt>
                <c:pt idx="82">
                  <c:v>8272545.0901803607</c:v>
                </c:pt>
                <c:pt idx="83">
                  <c:v>8300601.20240481</c:v>
                </c:pt>
                <c:pt idx="84">
                  <c:v>8328657.3146292586</c:v>
                </c:pt>
                <c:pt idx="85">
                  <c:v>8356713.4268537071</c:v>
                </c:pt>
                <c:pt idx="86">
                  <c:v>8384769.5390781565</c:v>
                </c:pt>
                <c:pt idx="87">
                  <c:v>8412825.6513026059</c:v>
                </c:pt>
                <c:pt idx="88">
                  <c:v>8440881.7635270543</c:v>
                </c:pt>
                <c:pt idx="89">
                  <c:v>8468937.8757515028</c:v>
                </c:pt>
                <c:pt idx="90">
                  <c:v>8496993.9879759513</c:v>
                </c:pt>
                <c:pt idx="91">
                  <c:v>8525050.1002004</c:v>
                </c:pt>
                <c:pt idx="92">
                  <c:v>8553106.21242485</c:v>
                </c:pt>
                <c:pt idx="93">
                  <c:v>8581162.3246492986</c:v>
                </c:pt>
                <c:pt idx="94">
                  <c:v>8609218.436873747</c:v>
                </c:pt>
                <c:pt idx="95">
                  <c:v>8637274.5490981974</c:v>
                </c:pt>
                <c:pt idx="96">
                  <c:v>8665330.6613226458</c:v>
                </c:pt>
                <c:pt idx="97">
                  <c:v>8693386.7735470943</c:v>
                </c:pt>
                <c:pt idx="98">
                  <c:v>8721442.8857715428</c:v>
                </c:pt>
                <c:pt idx="99">
                  <c:v>8749498.9979959913</c:v>
                </c:pt>
                <c:pt idx="100">
                  <c:v>8777555.11022044</c:v>
                </c:pt>
                <c:pt idx="101">
                  <c:v>8805611.22244489</c:v>
                </c:pt>
                <c:pt idx="102">
                  <c:v>8833667.3346693385</c:v>
                </c:pt>
                <c:pt idx="103">
                  <c:v>8861723.446893787</c:v>
                </c:pt>
                <c:pt idx="104">
                  <c:v>8889779.5591182373</c:v>
                </c:pt>
                <c:pt idx="105">
                  <c:v>8917835.6713426858</c:v>
                </c:pt>
                <c:pt idx="106">
                  <c:v>8945891.7835671343</c:v>
                </c:pt>
                <c:pt idx="107">
                  <c:v>8973947.8957915828</c:v>
                </c:pt>
                <c:pt idx="108">
                  <c:v>9002004.0080160312</c:v>
                </c:pt>
                <c:pt idx="109">
                  <c:v>9030060.1202404816</c:v>
                </c:pt>
                <c:pt idx="110">
                  <c:v>9058116.23246493</c:v>
                </c:pt>
                <c:pt idx="111">
                  <c:v>9086172.3446893785</c:v>
                </c:pt>
                <c:pt idx="112">
                  <c:v>9114228.456913827</c:v>
                </c:pt>
                <c:pt idx="113">
                  <c:v>9142284.5691382773</c:v>
                </c:pt>
                <c:pt idx="114">
                  <c:v>9170340.6813627258</c:v>
                </c:pt>
                <c:pt idx="115">
                  <c:v>9198396.7935871743</c:v>
                </c:pt>
                <c:pt idx="116">
                  <c:v>9226452.9058116227</c:v>
                </c:pt>
                <c:pt idx="117">
                  <c:v>9254509.0180360712</c:v>
                </c:pt>
                <c:pt idx="118">
                  <c:v>9282565.1302605215</c:v>
                </c:pt>
                <c:pt idx="119">
                  <c:v>9310621.24248497</c:v>
                </c:pt>
                <c:pt idx="120">
                  <c:v>9338677.3547094185</c:v>
                </c:pt>
                <c:pt idx="121">
                  <c:v>9366733.4669338688</c:v>
                </c:pt>
                <c:pt idx="122">
                  <c:v>9394789.5791583173</c:v>
                </c:pt>
                <c:pt idx="123">
                  <c:v>9422845.6913827658</c:v>
                </c:pt>
                <c:pt idx="124">
                  <c:v>9450901.8036072142</c:v>
                </c:pt>
                <c:pt idx="125">
                  <c:v>9478957.9158316627</c:v>
                </c:pt>
                <c:pt idx="126">
                  <c:v>9507014.0280561112</c:v>
                </c:pt>
                <c:pt idx="127">
                  <c:v>9535070.1402805615</c:v>
                </c:pt>
                <c:pt idx="128">
                  <c:v>9563126.25250501</c:v>
                </c:pt>
                <c:pt idx="129">
                  <c:v>9591182.3647294585</c:v>
                </c:pt>
                <c:pt idx="130">
                  <c:v>9619238.4769539088</c:v>
                </c:pt>
                <c:pt idx="131">
                  <c:v>9647294.5891783573</c:v>
                </c:pt>
                <c:pt idx="132">
                  <c:v>9675350.7014028057</c:v>
                </c:pt>
                <c:pt idx="133">
                  <c:v>9703406.8136272542</c:v>
                </c:pt>
                <c:pt idx="134">
                  <c:v>9731462.9258517027</c:v>
                </c:pt>
                <c:pt idx="135">
                  <c:v>9759519.0380761512</c:v>
                </c:pt>
                <c:pt idx="136">
                  <c:v>9787575.1503006015</c:v>
                </c:pt>
                <c:pt idx="137">
                  <c:v>9815631.26252505</c:v>
                </c:pt>
                <c:pt idx="138">
                  <c:v>9843687.3747494984</c:v>
                </c:pt>
                <c:pt idx="139">
                  <c:v>9871743.4869739488</c:v>
                </c:pt>
                <c:pt idx="140">
                  <c:v>9899799.5991983972</c:v>
                </c:pt>
                <c:pt idx="141">
                  <c:v>9927855.7114228457</c:v>
                </c:pt>
                <c:pt idx="142">
                  <c:v>9955911.8236472942</c:v>
                </c:pt>
                <c:pt idx="143">
                  <c:v>9983967.9358717427</c:v>
                </c:pt>
                <c:pt idx="144">
                  <c:v>10012024.048096193</c:v>
                </c:pt>
                <c:pt idx="145">
                  <c:v>10040080.160320641</c:v>
                </c:pt>
                <c:pt idx="146">
                  <c:v>10068136.27254509</c:v>
                </c:pt>
                <c:pt idx="147">
                  <c:v>10096192.384769538</c:v>
                </c:pt>
                <c:pt idx="148">
                  <c:v>10124248.496993989</c:v>
                </c:pt>
                <c:pt idx="149">
                  <c:v>10152304.609218437</c:v>
                </c:pt>
                <c:pt idx="150">
                  <c:v>10180360.721442886</c:v>
                </c:pt>
                <c:pt idx="151">
                  <c:v>10208416.833667334</c:v>
                </c:pt>
                <c:pt idx="152">
                  <c:v>10236472.945891783</c:v>
                </c:pt>
                <c:pt idx="153">
                  <c:v>10264529.058116231</c:v>
                </c:pt>
                <c:pt idx="154">
                  <c:v>10292585.170340681</c:v>
                </c:pt>
                <c:pt idx="155">
                  <c:v>10320641.28256513</c:v>
                </c:pt>
                <c:pt idx="156">
                  <c:v>10348697.39478958</c:v>
                </c:pt>
                <c:pt idx="157">
                  <c:v>10376753.507014029</c:v>
                </c:pt>
                <c:pt idx="158">
                  <c:v>10404809.619238477</c:v>
                </c:pt>
                <c:pt idx="159">
                  <c:v>10432865.731462926</c:v>
                </c:pt>
                <c:pt idx="160">
                  <c:v>10460921.843687374</c:v>
                </c:pt>
                <c:pt idx="161">
                  <c:v>10488977.955911823</c:v>
                </c:pt>
                <c:pt idx="162">
                  <c:v>10517034.068136273</c:v>
                </c:pt>
                <c:pt idx="163">
                  <c:v>10545090.180360721</c:v>
                </c:pt>
                <c:pt idx="164">
                  <c:v>10573146.29258517</c:v>
                </c:pt>
                <c:pt idx="165">
                  <c:v>10601202.40480962</c:v>
                </c:pt>
                <c:pt idx="166">
                  <c:v>10629258.517034069</c:v>
                </c:pt>
                <c:pt idx="167">
                  <c:v>10657314.629258517</c:v>
                </c:pt>
                <c:pt idx="168">
                  <c:v>10685370.741482966</c:v>
                </c:pt>
                <c:pt idx="169">
                  <c:v>10713426.853707414</c:v>
                </c:pt>
                <c:pt idx="170">
                  <c:v>10741482.965931863</c:v>
                </c:pt>
                <c:pt idx="171">
                  <c:v>10769539.078156313</c:v>
                </c:pt>
                <c:pt idx="172">
                  <c:v>10797595.190380761</c:v>
                </c:pt>
                <c:pt idx="173">
                  <c:v>10825651.302605212</c:v>
                </c:pt>
                <c:pt idx="174">
                  <c:v>10853707.41482966</c:v>
                </c:pt>
                <c:pt idx="175">
                  <c:v>10881763.527054109</c:v>
                </c:pt>
                <c:pt idx="176">
                  <c:v>10909819.639278557</c:v>
                </c:pt>
                <c:pt idx="177">
                  <c:v>10937875.751503006</c:v>
                </c:pt>
                <c:pt idx="178">
                  <c:v>10965931.863727454</c:v>
                </c:pt>
                <c:pt idx="179">
                  <c:v>10993987.975951903</c:v>
                </c:pt>
                <c:pt idx="180">
                  <c:v>11022044.088176353</c:v>
                </c:pt>
                <c:pt idx="181">
                  <c:v>11050100.200400801</c:v>
                </c:pt>
                <c:pt idx="182">
                  <c:v>11078156.312625252</c:v>
                </c:pt>
                <c:pt idx="183">
                  <c:v>11106212.4248497</c:v>
                </c:pt>
                <c:pt idx="184">
                  <c:v>11134268.537074149</c:v>
                </c:pt>
                <c:pt idx="185">
                  <c:v>11162324.649298597</c:v>
                </c:pt>
                <c:pt idx="186">
                  <c:v>11190380.761523046</c:v>
                </c:pt>
                <c:pt idx="187">
                  <c:v>11218436.873747494</c:v>
                </c:pt>
                <c:pt idx="188">
                  <c:v>11246492.985971943</c:v>
                </c:pt>
                <c:pt idx="189">
                  <c:v>11274549.098196393</c:v>
                </c:pt>
                <c:pt idx="190">
                  <c:v>11302605.210420841</c:v>
                </c:pt>
                <c:pt idx="191">
                  <c:v>11330661.322645292</c:v>
                </c:pt>
                <c:pt idx="192">
                  <c:v>11358717.43486974</c:v>
                </c:pt>
                <c:pt idx="193">
                  <c:v>11386773.547094189</c:v>
                </c:pt>
                <c:pt idx="194">
                  <c:v>11414829.659318637</c:v>
                </c:pt>
                <c:pt idx="195">
                  <c:v>11442885.771543086</c:v>
                </c:pt>
                <c:pt idx="196">
                  <c:v>11470941.883767534</c:v>
                </c:pt>
                <c:pt idx="197">
                  <c:v>11498997.995991984</c:v>
                </c:pt>
                <c:pt idx="198">
                  <c:v>11527054.108216433</c:v>
                </c:pt>
                <c:pt idx="199">
                  <c:v>11555110.220440881</c:v>
                </c:pt>
                <c:pt idx="200">
                  <c:v>11583166.332665332</c:v>
                </c:pt>
                <c:pt idx="201">
                  <c:v>11611222.44488978</c:v>
                </c:pt>
                <c:pt idx="202">
                  <c:v>11639278.557114229</c:v>
                </c:pt>
                <c:pt idx="203">
                  <c:v>11667334.669338677</c:v>
                </c:pt>
                <c:pt idx="204">
                  <c:v>11695390.781563126</c:v>
                </c:pt>
                <c:pt idx="205">
                  <c:v>11723446.893787574</c:v>
                </c:pt>
                <c:pt idx="206">
                  <c:v>11751503.006012024</c:v>
                </c:pt>
                <c:pt idx="207">
                  <c:v>11779559.118236473</c:v>
                </c:pt>
                <c:pt idx="208">
                  <c:v>11807615.230460923</c:v>
                </c:pt>
                <c:pt idx="209">
                  <c:v>11835671.342685372</c:v>
                </c:pt>
                <c:pt idx="210">
                  <c:v>11863727.45490982</c:v>
                </c:pt>
                <c:pt idx="211">
                  <c:v>11891783.567134269</c:v>
                </c:pt>
                <c:pt idx="212">
                  <c:v>11919839.679358717</c:v>
                </c:pt>
                <c:pt idx="213">
                  <c:v>11947895.791583166</c:v>
                </c:pt>
                <c:pt idx="214">
                  <c:v>11975951.903807614</c:v>
                </c:pt>
                <c:pt idx="215">
                  <c:v>12004008.016032064</c:v>
                </c:pt>
                <c:pt idx="216">
                  <c:v>12032064.128256513</c:v>
                </c:pt>
                <c:pt idx="217">
                  <c:v>12060120.240480963</c:v>
                </c:pt>
                <c:pt idx="218">
                  <c:v>12088176.352705412</c:v>
                </c:pt>
                <c:pt idx="219">
                  <c:v>12116232.46492986</c:v>
                </c:pt>
                <c:pt idx="220">
                  <c:v>12144288.577154309</c:v>
                </c:pt>
                <c:pt idx="221">
                  <c:v>12172344.689378757</c:v>
                </c:pt>
                <c:pt idx="222">
                  <c:v>12200400.801603206</c:v>
                </c:pt>
                <c:pt idx="223">
                  <c:v>12228456.913827654</c:v>
                </c:pt>
                <c:pt idx="224">
                  <c:v>12256513.026052104</c:v>
                </c:pt>
                <c:pt idx="225">
                  <c:v>12284569.138276553</c:v>
                </c:pt>
                <c:pt idx="226">
                  <c:v>12312625.250501003</c:v>
                </c:pt>
                <c:pt idx="227">
                  <c:v>12340681.362725452</c:v>
                </c:pt>
                <c:pt idx="228">
                  <c:v>12368737.4749499</c:v>
                </c:pt>
                <c:pt idx="229">
                  <c:v>12396793.587174349</c:v>
                </c:pt>
                <c:pt idx="230">
                  <c:v>12424849.699398797</c:v>
                </c:pt>
                <c:pt idx="231">
                  <c:v>12452905.811623245</c:v>
                </c:pt>
                <c:pt idx="232">
                  <c:v>12480961.923847696</c:v>
                </c:pt>
                <c:pt idx="233">
                  <c:v>12509018.036072144</c:v>
                </c:pt>
                <c:pt idx="234">
                  <c:v>12537074.148296593</c:v>
                </c:pt>
                <c:pt idx="235">
                  <c:v>12565130.260521043</c:v>
                </c:pt>
                <c:pt idx="236">
                  <c:v>12593186.372745492</c:v>
                </c:pt>
                <c:pt idx="237">
                  <c:v>12621242.48496994</c:v>
                </c:pt>
                <c:pt idx="238">
                  <c:v>12649298.597194389</c:v>
                </c:pt>
                <c:pt idx="239">
                  <c:v>12677354.709418837</c:v>
                </c:pt>
                <c:pt idx="240">
                  <c:v>12705410.821643285</c:v>
                </c:pt>
                <c:pt idx="241">
                  <c:v>12733466.933867736</c:v>
                </c:pt>
                <c:pt idx="242">
                  <c:v>12761523.046092184</c:v>
                </c:pt>
                <c:pt idx="243">
                  <c:v>12789579.158316635</c:v>
                </c:pt>
                <c:pt idx="244">
                  <c:v>12817635.270541083</c:v>
                </c:pt>
                <c:pt idx="245">
                  <c:v>12845691.382765532</c:v>
                </c:pt>
                <c:pt idx="246">
                  <c:v>12873747.49498998</c:v>
                </c:pt>
                <c:pt idx="247">
                  <c:v>12901803.607214428</c:v>
                </c:pt>
                <c:pt idx="248">
                  <c:v>12929859.719438877</c:v>
                </c:pt>
                <c:pt idx="249">
                  <c:v>12957915.831663325</c:v>
                </c:pt>
                <c:pt idx="250">
                  <c:v>12985971.943887776</c:v>
                </c:pt>
                <c:pt idx="251">
                  <c:v>13014028.056112224</c:v>
                </c:pt>
                <c:pt idx="252">
                  <c:v>13042084.168336675</c:v>
                </c:pt>
                <c:pt idx="253">
                  <c:v>13070140.280561123</c:v>
                </c:pt>
                <c:pt idx="254">
                  <c:v>13098196.392785572</c:v>
                </c:pt>
                <c:pt idx="255">
                  <c:v>13126252.50501002</c:v>
                </c:pt>
                <c:pt idx="256">
                  <c:v>13154308.617234468</c:v>
                </c:pt>
                <c:pt idx="257">
                  <c:v>13182364.729458917</c:v>
                </c:pt>
                <c:pt idx="258">
                  <c:v>13210420.841683365</c:v>
                </c:pt>
                <c:pt idx="259">
                  <c:v>13238476.953907816</c:v>
                </c:pt>
                <c:pt idx="260">
                  <c:v>13266533.066132264</c:v>
                </c:pt>
                <c:pt idx="261">
                  <c:v>13294589.178356715</c:v>
                </c:pt>
                <c:pt idx="262">
                  <c:v>13322645.290581163</c:v>
                </c:pt>
                <c:pt idx="263">
                  <c:v>13350701.402805611</c:v>
                </c:pt>
                <c:pt idx="264">
                  <c:v>13378757.51503006</c:v>
                </c:pt>
                <c:pt idx="265">
                  <c:v>13406813.627254508</c:v>
                </c:pt>
                <c:pt idx="266">
                  <c:v>13434869.739478957</c:v>
                </c:pt>
                <c:pt idx="267">
                  <c:v>13462925.851703407</c:v>
                </c:pt>
                <c:pt idx="268">
                  <c:v>13490981.963927856</c:v>
                </c:pt>
                <c:pt idx="269">
                  <c:v>13519038.076152304</c:v>
                </c:pt>
                <c:pt idx="270">
                  <c:v>13547094.188376755</c:v>
                </c:pt>
                <c:pt idx="271">
                  <c:v>13575150.300601203</c:v>
                </c:pt>
                <c:pt idx="272">
                  <c:v>13603206.412825651</c:v>
                </c:pt>
                <c:pt idx="273">
                  <c:v>13631262.5250501</c:v>
                </c:pt>
                <c:pt idx="274">
                  <c:v>13659318.637274548</c:v>
                </c:pt>
                <c:pt idx="275">
                  <c:v>13687374.749498997</c:v>
                </c:pt>
                <c:pt idx="276">
                  <c:v>13715430.861723447</c:v>
                </c:pt>
                <c:pt idx="277">
                  <c:v>13743486.973947896</c:v>
                </c:pt>
                <c:pt idx="278">
                  <c:v>13771543.086172346</c:v>
                </c:pt>
                <c:pt idx="279">
                  <c:v>13799599.198396794</c:v>
                </c:pt>
                <c:pt idx="280">
                  <c:v>13827655.310621243</c:v>
                </c:pt>
                <c:pt idx="281">
                  <c:v>13855711.422845691</c:v>
                </c:pt>
                <c:pt idx="282">
                  <c:v>13883767.53507014</c:v>
                </c:pt>
                <c:pt idx="283">
                  <c:v>13911823.647294588</c:v>
                </c:pt>
                <c:pt idx="284">
                  <c:v>13939879.759519037</c:v>
                </c:pt>
                <c:pt idx="285">
                  <c:v>13967935.871743487</c:v>
                </c:pt>
                <c:pt idx="286">
                  <c:v>13995991.983967936</c:v>
                </c:pt>
                <c:pt idx="287">
                  <c:v>14024048.096192386</c:v>
                </c:pt>
                <c:pt idx="288">
                  <c:v>14052104.208416834</c:v>
                </c:pt>
                <c:pt idx="289">
                  <c:v>14080160.320641283</c:v>
                </c:pt>
                <c:pt idx="290">
                  <c:v>14108216.432865731</c:v>
                </c:pt>
                <c:pt idx="291">
                  <c:v>14136272.54509018</c:v>
                </c:pt>
                <c:pt idx="292">
                  <c:v>14164328.657314628</c:v>
                </c:pt>
                <c:pt idx="293">
                  <c:v>14192384.769539077</c:v>
                </c:pt>
                <c:pt idx="294">
                  <c:v>14220440.881763527</c:v>
                </c:pt>
                <c:pt idx="295">
                  <c:v>14248496.993987976</c:v>
                </c:pt>
                <c:pt idx="296">
                  <c:v>14276553.106212426</c:v>
                </c:pt>
                <c:pt idx="297">
                  <c:v>14304609.218436874</c:v>
                </c:pt>
                <c:pt idx="298">
                  <c:v>14332665.330661323</c:v>
                </c:pt>
                <c:pt idx="299">
                  <c:v>14360721.442885771</c:v>
                </c:pt>
                <c:pt idx="300">
                  <c:v>14388777.55511022</c:v>
                </c:pt>
                <c:pt idx="301">
                  <c:v>14416833.66733467</c:v>
                </c:pt>
                <c:pt idx="302">
                  <c:v>14444889.779559119</c:v>
                </c:pt>
                <c:pt idx="303">
                  <c:v>14472945.891783567</c:v>
                </c:pt>
                <c:pt idx="304">
                  <c:v>14501002.004008016</c:v>
                </c:pt>
                <c:pt idx="305">
                  <c:v>14529058.116232464</c:v>
                </c:pt>
                <c:pt idx="306">
                  <c:v>14557114.228456914</c:v>
                </c:pt>
                <c:pt idx="307">
                  <c:v>14585170.340681363</c:v>
                </c:pt>
                <c:pt idx="308">
                  <c:v>14613226.452905811</c:v>
                </c:pt>
                <c:pt idx="309">
                  <c:v>14641282.56513026</c:v>
                </c:pt>
                <c:pt idx="310">
                  <c:v>14669338.67735471</c:v>
                </c:pt>
                <c:pt idx="311">
                  <c:v>14697394.789579159</c:v>
                </c:pt>
                <c:pt idx="312">
                  <c:v>14725450.901803607</c:v>
                </c:pt>
                <c:pt idx="313">
                  <c:v>14753507.014028056</c:v>
                </c:pt>
                <c:pt idx="314">
                  <c:v>14781563.126252506</c:v>
                </c:pt>
                <c:pt idx="315">
                  <c:v>14809619.238476954</c:v>
                </c:pt>
                <c:pt idx="316">
                  <c:v>14837675.350701403</c:v>
                </c:pt>
                <c:pt idx="317">
                  <c:v>14865731.462925851</c:v>
                </c:pt>
                <c:pt idx="318">
                  <c:v>14893787.5751503</c:v>
                </c:pt>
                <c:pt idx="319">
                  <c:v>14921843.68737475</c:v>
                </c:pt>
                <c:pt idx="320">
                  <c:v>14949899.799599199</c:v>
                </c:pt>
                <c:pt idx="321">
                  <c:v>14977955.911823647</c:v>
                </c:pt>
                <c:pt idx="322">
                  <c:v>15006012.024048096</c:v>
                </c:pt>
                <c:pt idx="323">
                  <c:v>15034068.136272546</c:v>
                </c:pt>
                <c:pt idx="324">
                  <c:v>15062124.248496994</c:v>
                </c:pt>
                <c:pt idx="325">
                  <c:v>15090180.360721443</c:v>
                </c:pt>
                <c:pt idx="326">
                  <c:v>15118236.472945891</c:v>
                </c:pt>
                <c:pt idx="327">
                  <c:v>15146292.58517034</c:v>
                </c:pt>
                <c:pt idx="328">
                  <c:v>15174348.69739479</c:v>
                </c:pt>
                <c:pt idx="329">
                  <c:v>15202404.809619239</c:v>
                </c:pt>
                <c:pt idx="330">
                  <c:v>15230460.921843687</c:v>
                </c:pt>
                <c:pt idx="331">
                  <c:v>15258517.034068136</c:v>
                </c:pt>
                <c:pt idx="332">
                  <c:v>15286573.146292586</c:v>
                </c:pt>
                <c:pt idx="333">
                  <c:v>15314629.258517034</c:v>
                </c:pt>
                <c:pt idx="334">
                  <c:v>15342685.370741483</c:v>
                </c:pt>
                <c:pt idx="335">
                  <c:v>15370741.482965931</c:v>
                </c:pt>
                <c:pt idx="336">
                  <c:v>15398797.595190382</c:v>
                </c:pt>
                <c:pt idx="337">
                  <c:v>15426853.70741483</c:v>
                </c:pt>
                <c:pt idx="338">
                  <c:v>15454909.819639279</c:v>
                </c:pt>
                <c:pt idx="339">
                  <c:v>15482965.931863727</c:v>
                </c:pt>
                <c:pt idx="340">
                  <c:v>15511022.044088176</c:v>
                </c:pt>
                <c:pt idx="341">
                  <c:v>15539078.156312626</c:v>
                </c:pt>
                <c:pt idx="342">
                  <c:v>15567134.268537074</c:v>
                </c:pt>
                <c:pt idx="343">
                  <c:v>15595190.380761523</c:v>
                </c:pt>
                <c:pt idx="344">
                  <c:v>15623246.492985971</c:v>
                </c:pt>
                <c:pt idx="345">
                  <c:v>15651302.605210422</c:v>
                </c:pt>
                <c:pt idx="346">
                  <c:v>15679358.71743487</c:v>
                </c:pt>
                <c:pt idx="347">
                  <c:v>15707414.829659319</c:v>
                </c:pt>
                <c:pt idx="348">
                  <c:v>15735470.941883767</c:v>
                </c:pt>
                <c:pt idx="349">
                  <c:v>15763527.054108217</c:v>
                </c:pt>
                <c:pt idx="350">
                  <c:v>15791583.166332666</c:v>
                </c:pt>
                <c:pt idx="351">
                  <c:v>15819639.278557114</c:v>
                </c:pt>
                <c:pt idx="352">
                  <c:v>15847695.390781563</c:v>
                </c:pt>
                <c:pt idx="353">
                  <c:v>15875751.503006011</c:v>
                </c:pt>
                <c:pt idx="354">
                  <c:v>15903807.615230462</c:v>
                </c:pt>
                <c:pt idx="355">
                  <c:v>15931863.72745491</c:v>
                </c:pt>
                <c:pt idx="356">
                  <c:v>15959919.839679359</c:v>
                </c:pt>
                <c:pt idx="357">
                  <c:v>15987975.951903807</c:v>
                </c:pt>
                <c:pt idx="358">
                  <c:v>16016032.064128257</c:v>
                </c:pt>
                <c:pt idx="359">
                  <c:v>16044088.176352706</c:v>
                </c:pt>
                <c:pt idx="360">
                  <c:v>16072144.288577154</c:v>
                </c:pt>
                <c:pt idx="361">
                  <c:v>16100200.400801603</c:v>
                </c:pt>
                <c:pt idx="362">
                  <c:v>16128256.513026051</c:v>
                </c:pt>
                <c:pt idx="363">
                  <c:v>16156312.625250502</c:v>
                </c:pt>
                <c:pt idx="364">
                  <c:v>16184368.73747495</c:v>
                </c:pt>
                <c:pt idx="365">
                  <c:v>16212424.849699399</c:v>
                </c:pt>
                <c:pt idx="366">
                  <c:v>16240480.961923847</c:v>
                </c:pt>
                <c:pt idx="367">
                  <c:v>16268537.074148297</c:v>
                </c:pt>
                <c:pt idx="368">
                  <c:v>16296593.186372746</c:v>
                </c:pt>
                <c:pt idx="369">
                  <c:v>16324649.298597194</c:v>
                </c:pt>
                <c:pt idx="370">
                  <c:v>16352705.410821643</c:v>
                </c:pt>
                <c:pt idx="371">
                  <c:v>16380761.523046093</c:v>
                </c:pt>
                <c:pt idx="372">
                  <c:v>16408817.635270542</c:v>
                </c:pt>
                <c:pt idx="373">
                  <c:v>16436873.74749499</c:v>
                </c:pt>
                <c:pt idx="374">
                  <c:v>16464929.859719438</c:v>
                </c:pt>
                <c:pt idx="375">
                  <c:v>16492985.971943887</c:v>
                </c:pt>
                <c:pt idx="376">
                  <c:v>16521042.084168337</c:v>
                </c:pt>
                <c:pt idx="377">
                  <c:v>16549098.196392786</c:v>
                </c:pt>
                <c:pt idx="378">
                  <c:v>16577154.308617234</c:v>
                </c:pt>
                <c:pt idx="379">
                  <c:v>16605210.420841683</c:v>
                </c:pt>
                <c:pt idx="380">
                  <c:v>16633266.533066133</c:v>
                </c:pt>
                <c:pt idx="381">
                  <c:v>16661322.645290582</c:v>
                </c:pt>
                <c:pt idx="382">
                  <c:v>16689378.75751503</c:v>
                </c:pt>
                <c:pt idx="383">
                  <c:v>16717434.869739478</c:v>
                </c:pt>
                <c:pt idx="384">
                  <c:v>16745490.981963929</c:v>
                </c:pt>
                <c:pt idx="385">
                  <c:v>16773547.094188377</c:v>
                </c:pt>
                <c:pt idx="386">
                  <c:v>16801603.206412826</c:v>
                </c:pt>
                <c:pt idx="387">
                  <c:v>16829659.318637274</c:v>
                </c:pt>
                <c:pt idx="388">
                  <c:v>16857715.430861723</c:v>
                </c:pt>
                <c:pt idx="389">
                  <c:v>16885771.543086171</c:v>
                </c:pt>
                <c:pt idx="390">
                  <c:v>16913827.655310623</c:v>
                </c:pt>
                <c:pt idx="391">
                  <c:v>16941883.767535068</c:v>
                </c:pt>
                <c:pt idx="392">
                  <c:v>16969939.87975952</c:v>
                </c:pt>
                <c:pt idx="393">
                  <c:v>16997995.991983969</c:v>
                </c:pt>
                <c:pt idx="394">
                  <c:v>17026052.104208417</c:v>
                </c:pt>
                <c:pt idx="395">
                  <c:v>17054108.216432866</c:v>
                </c:pt>
                <c:pt idx="396">
                  <c:v>17082164.328657314</c:v>
                </c:pt>
                <c:pt idx="397">
                  <c:v>17110220.440881763</c:v>
                </c:pt>
                <c:pt idx="398">
                  <c:v>17138276.553106211</c:v>
                </c:pt>
                <c:pt idx="399">
                  <c:v>17166332.665330663</c:v>
                </c:pt>
                <c:pt idx="400">
                  <c:v>17194388.777555108</c:v>
                </c:pt>
                <c:pt idx="401">
                  <c:v>17222444.88977956</c:v>
                </c:pt>
                <c:pt idx="402">
                  <c:v>17250501.002004009</c:v>
                </c:pt>
                <c:pt idx="403">
                  <c:v>17278557.114228457</c:v>
                </c:pt>
                <c:pt idx="404">
                  <c:v>17306613.226452906</c:v>
                </c:pt>
                <c:pt idx="405">
                  <c:v>17334669.338677354</c:v>
                </c:pt>
                <c:pt idx="406">
                  <c:v>17362725.450901806</c:v>
                </c:pt>
                <c:pt idx="407">
                  <c:v>17390781.563126251</c:v>
                </c:pt>
                <c:pt idx="408">
                  <c:v>17418837.675350703</c:v>
                </c:pt>
                <c:pt idx="409">
                  <c:v>17446893.787575148</c:v>
                </c:pt>
                <c:pt idx="410">
                  <c:v>17474949.8997996</c:v>
                </c:pt>
                <c:pt idx="411">
                  <c:v>17503006.012024049</c:v>
                </c:pt>
                <c:pt idx="412">
                  <c:v>17531062.124248497</c:v>
                </c:pt>
                <c:pt idx="413">
                  <c:v>17559118.236472946</c:v>
                </c:pt>
                <c:pt idx="414">
                  <c:v>17587174.348697394</c:v>
                </c:pt>
                <c:pt idx="415">
                  <c:v>17615230.460921846</c:v>
                </c:pt>
                <c:pt idx="416">
                  <c:v>17643286.573146291</c:v>
                </c:pt>
                <c:pt idx="417">
                  <c:v>17671342.685370743</c:v>
                </c:pt>
                <c:pt idx="418">
                  <c:v>17699398.797595188</c:v>
                </c:pt>
                <c:pt idx="419">
                  <c:v>17727454.90981964</c:v>
                </c:pt>
                <c:pt idx="420">
                  <c:v>17755511.022044089</c:v>
                </c:pt>
                <c:pt idx="421">
                  <c:v>17783567.134268537</c:v>
                </c:pt>
                <c:pt idx="422">
                  <c:v>17811623.246492986</c:v>
                </c:pt>
                <c:pt idx="423">
                  <c:v>17839679.358717434</c:v>
                </c:pt>
                <c:pt idx="424">
                  <c:v>17867735.470941886</c:v>
                </c:pt>
                <c:pt idx="425">
                  <c:v>17895791.583166331</c:v>
                </c:pt>
                <c:pt idx="426">
                  <c:v>17923847.695390783</c:v>
                </c:pt>
                <c:pt idx="427">
                  <c:v>17951903.807615228</c:v>
                </c:pt>
                <c:pt idx="428">
                  <c:v>17979959.91983968</c:v>
                </c:pt>
                <c:pt idx="429">
                  <c:v>18008016.032064129</c:v>
                </c:pt>
                <c:pt idx="430">
                  <c:v>18036072.144288577</c:v>
                </c:pt>
                <c:pt idx="431">
                  <c:v>18064128.256513026</c:v>
                </c:pt>
                <c:pt idx="432">
                  <c:v>18092184.368737474</c:v>
                </c:pt>
                <c:pt idx="433">
                  <c:v>18120240.480961926</c:v>
                </c:pt>
                <c:pt idx="434">
                  <c:v>18148296.593186371</c:v>
                </c:pt>
                <c:pt idx="435">
                  <c:v>18176352.705410823</c:v>
                </c:pt>
                <c:pt idx="436">
                  <c:v>18204408.817635268</c:v>
                </c:pt>
                <c:pt idx="437">
                  <c:v>18232464.92985972</c:v>
                </c:pt>
                <c:pt idx="438">
                  <c:v>18260521.042084169</c:v>
                </c:pt>
                <c:pt idx="439">
                  <c:v>18288577.154308617</c:v>
                </c:pt>
                <c:pt idx="440">
                  <c:v>18316633.266533066</c:v>
                </c:pt>
                <c:pt idx="441">
                  <c:v>18344689.378757514</c:v>
                </c:pt>
                <c:pt idx="442">
                  <c:v>18372745.490981966</c:v>
                </c:pt>
                <c:pt idx="443">
                  <c:v>18400801.603206411</c:v>
                </c:pt>
                <c:pt idx="444">
                  <c:v>18428857.715430863</c:v>
                </c:pt>
                <c:pt idx="445">
                  <c:v>18456913.827655308</c:v>
                </c:pt>
                <c:pt idx="446">
                  <c:v>18484969.93987976</c:v>
                </c:pt>
                <c:pt idx="447">
                  <c:v>18513026.052104209</c:v>
                </c:pt>
                <c:pt idx="448">
                  <c:v>18541082.164328657</c:v>
                </c:pt>
                <c:pt idx="449">
                  <c:v>18569138.276553106</c:v>
                </c:pt>
                <c:pt idx="450">
                  <c:v>18597194.388777554</c:v>
                </c:pt>
                <c:pt idx="451">
                  <c:v>18625250.501002006</c:v>
                </c:pt>
                <c:pt idx="452">
                  <c:v>18653306.613226451</c:v>
                </c:pt>
                <c:pt idx="453">
                  <c:v>18681362.725450903</c:v>
                </c:pt>
                <c:pt idx="454">
                  <c:v>18709418.837675352</c:v>
                </c:pt>
                <c:pt idx="455">
                  <c:v>18737474.9498998</c:v>
                </c:pt>
                <c:pt idx="456">
                  <c:v>18765531.062124249</c:v>
                </c:pt>
                <c:pt idx="457">
                  <c:v>18793587.174348697</c:v>
                </c:pt>
                <c:pt idx="458">
                  <c:v>18821643.286573146</c:v>
                </c:pt>
                <c:pt idx="459">
                  <c:v>18849699.398797594</c:v>
                </c:pt>
                <c:pt idx="460">
                  <c:v>18877755.511022046</c:v>
                </c:pt>
                <c:pt idx="461">
                  <c:v>18905811.623246491</c:v>
                </c:pt>
                <c:pt idx="462">
                  <c:v>18933867.735470943</c:v>
                </c:pt>
                <c:pt idx="463">
                  <c:v>18961923.847695392</c:v>
                </c:pt>
                <c:pt idx="464">
                  <c:v>18989979.95991984</c:v>
                </c:pt>
                <c:pt idx="465">
                  <c:v>19018036.072144289</c:v>
                </c:pt>
                <c:pt idx="466">
                  <c:v>19046092.184368737</c:v>
                </c:pt>
                <c:pt idx="467">
                  <c:v>19074148.296593186</c:v>
                </c:pt>
                <c:pt idx="468">
                  <c:v>19102204.408817634</c:v>
                </c:pt>
                <c:pt idx="469">
                  <c:v>19130260.521042086</c:v>
                </c:pt>
                <c:pt idx="470">
                  <c:v>19158316.633266531</c:v>
                </c:pt>
                <c:pt idx="471">
                  <c:v>19186372.745490983</c:v>
                </c:pt>
                <c:pt idx="472">
                  <c:v>19214428.857715432</c:v>
                </c:pt>
                <c:pt idx="473">
                  <c:v>19242484.96993988</c:v>
                </c:pt>
                <c:pt idx="474">
                  <c:v>19270541.082164329</c:v>
                </c:pt>
                <c:pt idx="475">
                  <c:v>19298597.194388777</c:v>
                </c:pt>
                <c:pt idx="476">
                  <c:v>19326653.306613229</c:v>
                </c:pt>
                <c:pt idx="477">
                  <c:v>19354709.418837674</c:v>
                </c:pt>
                <c:pt idx="478">
                  <c:v>19382765.531062126</c:v>
                </c:pt>
                <c:pt idx="479">
                  <c:v>19410821.643286571</c:v>
                </c:pt>
                <c:pt idx="480">
                  <c:v>19438877.755511023</c:v>
                </c:pt>
                <c:pt idx="481">
                  <c:v>19466933.867735472</c:v>
                </c:pt>
                <c:pt idx="482">
                  <c:v>19494989.97995992</c:v>
                </c:pt>
                <c:pt idx="483">
                  <c:v>19523046.092184369</c:v>
                </c:pt>
                <c:pt idx="484">
                  <c:v>19551102.204408817</c:v>
                </c:pt>
                <c:pt idx="485">
                  <c:v>19579158.316633269</c:v>
                </c:pt>
                <c:pt idx="486">
                  <c:v>19607214.428857714</c:v>
                </c:pt>
                <c:pt idx="487">
                  <c:v>19635270.541082166</c:v>
                </c:pt>
                <c:pt idx="488">
                  <c:v>19663326.653306611</c:v>
                </c:pt>
                <c:pt idx="489">
                  <c:v>19691382.765531063</c:v>
                </c:pt>
                <c:pt idx="490">
                  <c:v>19719438.877755512</c:v>
                </c:pt>
                <c:pt idx="491">
                  <c:v>19747494.98997996</c:v>
                </c:pt>
                <c:pt idx="492">
                  <c:v>19775551.102204408</c:v>
                </c:pt>
                <c:pt idx="493">
                  <c:v>19803607.214428857</c:v>
                </c:pt>
                <c:pt idx="494">
                  <c:v>19831663.326653309</c:v>
                </c:pt>
                <c:pt idx="495">
                  <c:v>19859719.438877754</c:v>
                </c:pt>
                <c:pt idx="496">
                  <c:v>19887775.551102206</c:v>
                </c:pt>
                <c:pt idx="497">
                  <c:v>19915831.663326651</c:v>
                </c:pt>
                <c:pt idx="498">
                  <c:v>19943887.775551103</c:v>
                </c:pt>
                <c:pt idx="499">
                  <c:v>19971943.887775552</c:v>
                </c:pt>
                <c:pt idx="500">
                  <c:v>20000000</c:v>
                </c:pt>
              </c:numCache>
            </c:numRef>
          </c:xVal>
          <c:yVal>
            <c:numRef>
              <c:f>Sheet1!$E$2503:$E$3003</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7.5175740379301263E-16</c:v>
                </c:pt>
                <c:pt idx="39">
                  <c:v>2.4865813444661861E-15</c:v>
                </c:pt>
                <c:pt idx="40">
                  <c:v>4.1306637375781261E-15</c:v>
                </c:pt>
                <c:pt idx="41">
                  <c:v>5.620390821206833E-15</c:v>
                </c:pt>
                <c:pt idx="42">
                  <c:v>6.8921488334301021E-15</c:v>
                </c:pt>
                <c:pt idx="43">
                  <c:v>7.8823240123259074E-15</c:v>
                </c:pt>
                <c:pt idx="44">
                  <c:v>8.5273025959720769E-15</c:v>
                </c:pt>
                <c:pt idx="45">
                  <c:v>8.763470822446545E-15</c:v>
                </c:pt>
                <c:pt idx="46">
                  <c:v>8.5272149298271912E-15</c:v>
                </c:pt>
                <c:pt idx="47">
                  <c:v>7.75492115619189E-15</c:v>
                </c:pt>
                <c:pt idx="48">
                  <c:v>6.3829757396185844E-15</c:v>
                </c:pt>
                <c:pt idx="49">
                  <c:v>4.347764918185161E-15</c:v>
                </c:pt>
                <c:pt idx="50">
                  <c:v>1.5856749299693988E-15</c:v>
                </c:pt>
                <c:pt idx="51">
                  <c:v>-1.9577127459906522E-15</c:v>
                </c:pt>
                <c:pt idx="52">
                  <c:v>-6.1480697101726089E-15</c:v>
                </c:pt>
                <c:pt idx="53">
                  <c:v>-1.0674152844044618E-14</c:v>
                </c:pt>
                <c:pt idx="54">
                  <c:v>-1.5217893337996427E-14</c:v>
                </c:pt>
                <c:pt idx="55">
                  <c:v>-1.9461222382417206E-14</c:v>
                </c:pt>
                <c:pt idx="56">
                  <c:v>-2.3086071167696692E-14</c:v>
                </c:pt>
                <c:pt idx="57">
                  <c:v>-2.5774370884224116E-14</c:v>
                </c:pt>
                <c:pt idx="58">
                  <c:v>-2.7208052722389089E-14</c:v>
                </c:pt>
                <c:pt idx="59">
                  <c:v>-2.7069047872581044E-14</c:v>
                </c:pt>
                <c:pt idx="60">
                  <c:v>-2.5039287525189378E-14</c:v>
                </c:pt>
                <c:pt idx="61">
                  <c:v>-2.0800702870603704E-14</c:v>
                </c:pt>
                <c:pt idx="62">
                  <c:v>-1.4035225099213448E-14</c:v>
                </c:pt>
                <c:pt idx="63">
                  <c:v>-4.424785401407753E-15</c:v>
                </c:pt>
                <c:pt idx="64">
                  <c:v>8.287103527518486E-15</c:v>
                </c:pt>
                <c:pt idx="65">
                  <c:v>2.3515050248341057E-14</c:v>
                </c:pt>
                <c:pt idx="66">
                  <c:v>4.0064008203011113E-14</c:v>
                </c:pt>
                <c:pt idx="67">
                  <c:v>5.6725315915009116E-14</c:v>
                </c:pt>
                <c:pt idx="68">
                  <c:v>7.2290311907815577E-14</c:v>
                </c:pt>
                <c:pt idx="69">
                  <c:v>8.5550334704909837E-14</c:v>
                </c:pt>
                <c:pt idx="70">
                  <c:v>9.5296722829771527E-14</c:v>
                </c:pt>
                <c:pt idx="71">
                  <c:v>1.0032081480588115E-13</c:v>
                </c:pt>
                <c:pt idx="72">
                  <c:v>9.94139491567186E-14</c:v>
                </c:pt>
                <c:pt idx="73">
                  <c:v>9.1367464405763893E-14</c:v>
                </c:pt>
                <c:pt idx="74">
                  <c:v>7.497269907649643E-14</c:v>
                </c:pt>
                <c:pt idx="75">
                  <c:v>4.9020991692397284E-14</c:v>
                </c:pt>
                <c:pt idx="76">
                  <c:v>1.2303680776946129E-14</c:v>
                </c:pt>
                <c:pt idx="77">
                  <c:v>-3.6029439661887633E-14</c:v>
                </c:pt>
                <c:pt idx="78">
                  <c:v>-9.3393859407432281E-14</c:v>
                </c:pt>
                <c:pt idx="79">
                  <c:v>-1.5529360294627224E-13</c:v>
                </c:pt>
                <c:pt idx="80">
                  <c:v>-2.1721209318193984E-13</c:v>
                </c:pt>
                <c:pt idx="81">
                  <c:v>-2.7463275301796759E-13</c:v>
                </c:pt>
                <c:pt idx="82">
                  <c:v>-3.2303900535788332E-13</c:v>
                </c:pt>
                <c:pt idx="83">
                  <c:v>-3.5791427310521652E-13</c:v>
                </c:pt>
                <c:pt idx="84">
                  <c:v>-3.7474197916349932E-13</c:v>
                </c:pt>
                <c:pt idx="85">
                  <c:v>-3.6900554643626188E-13</c:v>
                </c:pt>
                <c:pt idx="86">
                  <c:v>-3.3618839782703343E-13</c:v>
                </c:pt>
                <c:pt idx="87">
                  <c:v>-2.7177395623934669E-13</c:v>
                </c:pt>
                <c:pt idx="88">
                  <c:v>-1.7124564457673172E-13</c:v>
                </c:pt>
                <c:pt idx="89">
                  <c:v>-3.0086885742719327E-14</c:v>
                </c:pt>
                <c:pt idx="90">
                  <c:v>1.5425534149240624E-13</c:v>
                </c:pt>
                <c:pt idx="91">
                  <c:v>3.7071534897697549E-13</c:v>
                </c:pt>
                <c:pt idx="92">
                  <c:v>6.0245629550372753E-13</c:v>
                </c:pt>
                <c:pt idx="93">
                  <c:v>8.3262053416331855E-13</c:v>
                </c:pt>
                <c:pt idx="94">
                  <c:v>1.0443504180464037E-12</c:v>
                </c:pt>
                <c:pt idx="95">
                  <c:v>1.2207883002435963E-12</c:v>
                </c:pt>
                <c:pt idx="96">
                  <c:v>1.3450765338455536E-12</c:v>
                </c:pt>
                <c:pt idx="97">
                  <c:v>1.400357471942918E-12</c:v>
                </c:pt>
                <c:pt idx="98">
                  <c:v>1.3697734676263318E-12</c:v>
                </c:pt>
                <c:pt idx="99">
                  <c:v>1.2364668739864369E-12</c:v>
                </c:pt>
                <c:pt idx="100">
                  <c:v>9.8358004411385482E-13</c:v>
                </c:pt>
                <c:pt idx="101">
                  <c:v>5.9425533109926064E-13</c:v>
                </c:pt>
                <c:pt idx="102">
                  <c:v>5.1635088033284278E-14</c:v>
                </c:pt>
                <c:pt idx="103">
                  <c:v>-6.5084339732165595E-13</c:v>
                </c:pt>
                <c:pt idx="104">
                  <c:v>-1.4670726853848449E-12</c:v>
                </c:pt>
                <c:pt idx="105">
                  <c:v>-2.3341460212073525E-12</c:v>
                </c:pt>
                <c:pt idx="106">
                  <c:v>-3.1891493942482154E-12</c:v>
                </c:pt>
                <c:pt idx="107">
                  <c:v>-3.969168793966473E-12</c:v>
                </c:pt>
                <c:pt idx="108">
                  <c:v>-4.611290209821201E-12</c:v>
                </c:pt>
                <c:pt idx="109">
                  <c:v>-5.0525996312713493E-12</c:v>
                </c:pt>
                <c:pt idx="110">
                  <c:v>-5.2301830477760045E-12</c:v>
                </c:pt>
                <c:pt idx="111">
                  <c:v>-5.0811264487942051E-12</c:v>
                </c:pt>
                <c:pt idx="112">
                  <c:v>-4.54251582378494E-12</c:v>
                </c:pt>
                <c:pt idx="113">
                  <c:v>-3.5514371622073138E-12</c:v>
                </c:pt>
                <c:pt idx="114">
                  <c:v>-2.0449764535203466E-12</c:v>
                </c:pt>
                <c:pt idx="115">
                  <c:v>3.9780083884968523E-14</c:v>
                </c:pt>
                <c:pt idx="116">
                  <c:v>2.7136088197242012E-12</c:v>
                </c:pt>
                <c:pt idx="117">
                  <c:v>5.7888930092456805E-12</c:v>
                </c:pt>
                <c:pt idx="118">
                  <c:v>9.0308342571945E-12</c:v>
                </c:pt>
                <c:pt idx="119">
                  <c:v>1.2204634168316361E-11</c:v>
                </c:pt>
                <c:pt idx="120">
                  <c:v>1.5075494347356951E-11</c:v>
                </c:pt>
                <c:pt idx="121">
                  <c:v>1.7408616399061393E-11</c:v>
                </c:pt>
                <c:pt idx="122">
                  <c:v>1.8969201928175411E-11</c:v>
                </c:pt>
                <c:pt idx="123">
                  <c:v>1.952245253944449E-11</c:v>
                </c:pt>
                <c:pt idx="124">
                  <c:v>1.8833569837614174E-11</c:v>
                </c:pt>
                <c:pt idx="125">
                  <c:v>1.6667755427429958E-11</c:v>
                </c:pt>
                <c:pt idx="126">
                  <c:v>1.2790210913637033E-11</c:v>
                </c:pt>
                <c:pt idx="127">
                  <c:v>6.9661379009814171E-12</c:v>
                </c:pt>
                <c:pt idx="128">
                  <c:v>-1.0389802623079734E-12</c:v>
                </c:pt>
                <c:pt idx="129">
                  <c:v>-1.120408173387145E-11</c:v>
                </c:pt>
                <c:pt idx="130">
                  <c:v>-2.2781238572208123E-11</c:v>
                </c:pt>
                <c:pt idx="131">
                  <c:v>-3.48941712068416E-11</c:v>
                </c:pt>
                <c:pt idx="132">
                  <c:v>-4.6666600067294905E-11</c:v>
                </c:pt>
                <c:pt idx="133">
                  <c:v>-5.722224558309104E-11</c:v>
                </c:pt>
                <c:pt idx="134">
                  <c:v>-6.5684828183753011E-11</c:v>
                </c:pt>
                <c:pt idx="135">
                  <c:v>-7.11780682988041E-11</c:v>
                </c:pt>
                <c:pt idx="136">
                  <c:v>-7.2825686357766549E-11</c:v>
                </c:pt>
                <c:pt idx="137">
                  <c:v>-6.97514027901638E-11</c:v>
                </c:pt>
                <c:pt idx="138">
                  <c:v>-6.10789380255181E-11</c:v>
                </c:pt>
                <c:pt idx="139">
                  <c:v>-4.5932012493353564E-11</c:v>
                </c:pt>
                <c:pt idx="140">
                  <c:v>-2.343434662319288E-11</c:v>
                </c:pt>
                <c:pt idx="141">
                  <c:v>7.2836246645570926E-12</c:v>
                </c:pt>
                <c:pt idx="142">
                  <c:v>4.5883704468720304E-11</c:v>
                </c:pt>
                <c:pt idx="143">
                  <c:v>8.9431954921251533E-11</c:v>
                </c:pt>
                <c:pt idx="144">
                  <c:v>1.3465805613549122E-10</c:v>
                </c:pt>
                <c:pt idx="145">
                  <c:v>1.7829168822478879E-10</c:v>
                </c:pt>
                <c:pt idx="146">
                  <c:v>2.1706253130249064E-10</c:v>
                </c:pt>
                <c:pt idx="147">
                  <c:v>2.47700265481945E-10</c:v>
                </c:pt>
                <c:pt idx="148">
                  <c:v>2.6693457087649429E-10</c:v>
                </c:pt>
                <c:pt idx="149">
                  <c:v>2.7149512759948734E-10</c:v>
                </c:pt>
                <c:pt idx="150">
                  <c:v>2.5811161576427059E-10</c:v>
                </c:pt>
                <c:pt idx="151">
                  <c:v>2.2351371548419068E-10</c:v>
                </c:pt>
                <c:pt idx="152">
                  <c:v>1.6443110687259417E-10</c:v>
                </c:pt>
                <c:pt idx="153">
                  <c:v>7.7593470042820762E-11</c:v>
                </c:pt>
                <c:pt idx="154">
                  <c:v>-4.0191369540055476E-11</c:v>
                </c:pt>
                <c:pt idx="155">
                  <c:v>-1.866065927158098E-10</c:v>
                </c:pt>
                <c:pt idx="156">
                  <c:v>-3.5028807004770058E-10</c:v>
                </c:pt>
                <c:pt idx="157">
                  <c:v>-5.1903080155960031E-10</c:v>
                </c:pt>
                <c:pt idx="158">
                  <c:v>-6.8062978727537186E-10</c:v>
                </c:pt>
                <c:pt idx="159">
                  <c:v>-8.2288002721887876E-10</c:v>
                </c:pt>
                <c:pt idx="160">
                  <c:v>-9.3357652141398378E-10</c:v>
                </c:pt>
                <c:pt idx="161">
                  <c:v>-1.0005142698845532E-09</c:v>
                </c:pt>
                <c:pt idx="162">
                  <c:v>-1.0114882726544409E-09</c:v>
                </c:pt>
                <c:pt idx="163">
                  <c:v>-9.5429352974751514E-10</c:v>
                </c:pt>
                <c:pt idx="164">
                  <c:v>-8.1672504118762856E-10</c:v>
                </c:pt>
                <c:pt idx="165">
                  <c:v>-5.8657780699866068E-10</c:v>
                </c:pt>
                <c:pt idx="166">
                  <c:v>-2.5164682720446857E-10</c:v>
                </c:pt>
                <c:pt idx="167">
                  <c:v>1.9960891668827969E-10</c:v>
                </c:pt>
                <c:pt idx="168">
                  <c:v>7.5439652209021852E-10</c:v>
                </c:pt>
                <c:pt idx="169">
                  <c:v>1.3691420765512686E-09</c:v>
                </c:pt>
                <c:pt idx="170">
                  <c:v>1.9982959000535785E-09</c:v>
                </c:pt>
                <c:pt idx="171">
                  <c:v>2.5963083125791672E-09</c:v>
                </c:pt>
                <c:pt idx="172">
                  <c:v>3.1176296341102149E-09</c:v>
                </c:pt>
                <c:pt idx="173">
                  <c:v>3.5167101846287537E-09</c:v>
                </c:pt>
                <c:pt idx="174">
                  <c:v>3.7480002841169287E-09</c:v>
                </c:pt>
                <c:pt idx="175">
                  <c:v>3.7659502525568462E-09</c:v>
                </c:pt>
                <c:pt idx="176">
                  <c:v>3.5250104099306128E-09</c:v>
                </c:pt>
                <c:pt idx="177">
                  <c:v>2.979631076220332E-09</c:v>
                </c:pt>
                <c:pt idx="178">
                  <c:v>2.0842625714081121E-09</c:v>
                </c:pt>
                <c:pt idx="179">
                  <c:v>7.93355215475956E-10</c:v>
                </c:pt>
                <c:pt idx="180">
                  <c:v>-9.3391772648857884E-10</c:v>
                </c:pt>
                <c:pt idx="181">
                  <c:v>-3.0339629306660592E-09</c:v>
                </c:pt>
                <c:pt idx="182">
                  <c:v>-5.3410524623258041E-09</c:v>
                </c:pt>
                <c:pt idx="183">
                  <c:v>-7.685192601372492E-09</c:v>
                </c:pt>
                <c:pt idx="184">
                  <c:v>-9.896389627710691E-09</c:v>
                </c:pt>
                <c:pt idx="185">
                  <c:v>-1.1804649821244966E-08</c:v>
                </c:pt>
                <c:pt idx="186">
                  <c:v>-1.3239979461879863E-08</c:v>
                </c:pt>
                <c:pt idx="187">
                  <c:v>-1.4032384829519963E-08</c:v>
                </c:pt>
                <c:pt idx="188">
                  <c:v>-1.4011872204069776E-08</c:v>
                </c:pt>
                <c:pt idx="189">
                  <c:v>-1.3008447865433869E-08</c:v>
                </c:pt>
                <c:pt idx="190">
                  <c:v>-1.0852118093516628E-08</c:v>
                </c:pt>
                <c:pt idx="191">
                  <c:v>-7.3728891682229174E-09</c:v>
                </c:pt>
                <c:pt idx="192">
                  <c:v>-2.4007673694571708E-09</c:v>
                </c:pt>
                <c:pt idx="193">
                  <c:v>4.20427870956954E-09</c:v>
                </c:pt>
                <c:pt idx="194">
                  <c:v>1.2145896242574667E-08</c:v>
                </c:pt>
                <c:pt idx="195">
                  <c:v>2.0797807174975768E-08</c:v>
                </c:pt>
                <c:pt idx="196">
                  <c:v>2.9525586306409566E-08</c:v>
                </c:pt>
                <c:pt idx="197">
                  <c:v>3.7694808436511E-08</c:v>
                </c:pt>
                <c:pt idx="198">
                  <c:v>4.46710483649168E-08</c:v>
                </c:pt>
                <c:pt idx="199">
                  <c:v>4.9819880891263334E-08</c:v>
                </c:pt>
                <c:pt idx="200">
                  <c:v>5.2506880815186067E-08</c:v>
                </c:pt>
                <c:pt idx="201">
                  <c:v>5.20976229363215E-08</c:v>
                </c:pt>
                <c:pt idx="202">
                  <c:v>4.795768205430582E-08</c:v>
                </c:pt>
                <c:pt idx="203">
                  <c:v>3.9452632968775124E-08</c:v>
                </c:pt>
                <c:pt idx="204">
                  <c:v>2.5948050479365552E-08</c:v>
                </c:pt>
                <c:pt idx="205">
                  <c:v>6.809509385711801E-09</c:v>
                </c:pt>
                <c:pt idx="206">
                  <c:v>-1.8421927587279111E-08</c:v>
                </c:pt>
                <c:pt idx="207">
                  <c:v>-4.84262013198847E-08</c:v>
                </c:pt>
                <c:pt idx="208">
                  <c:v>-8.0848421691289716E-08</c:v>
                </c:pt>
                <c:pt idx="209">
                  <c:v>-1.1332088162013599E-07</c:v>
                </c:pt>
                <c:pt idx="210">
                  <c:v>-1.4347587402506355E-07</c:v>
                </c:pt>
                <c:pt idx="211">
                  <c:v>-1.6894569182471236E-07</c:v>
                </c:pt>
                <c:pt idx="212">
                  <c:v>-1.8736262793772236E-07</c:v>
                </c:pt>
                <c:pt idx="213">
                  <c:v>-1.9635897528273368E-07</c:v>
                </c:pt>
                <c:pt idx="214">
                  <c:v>-1.9356702677838547E-07</c:v>
                </c:pt>
                <c:pt idx="215">
                  <c:v>-1.7661907534331821E-07</c:v>
                </c:pt>
                <c:pt idx="216">
                  <c:v>-1.4314741389616911E-07</c:v>
                </c:pt>
                <c:pt idx="217">
                  <c:v>-9.07843353555824E-08</c:v>
                </c:pt>
                <c:pt idx="218">
                  <c:v>-1.7162132640196644E-08</c:v>
                </c:pt>
                <c:pt idx="219">
                  <c:v>7.9117908893392547E-08</c:v>
                </c:pt>
                <c:pt idx="220">
                  <c:v>1.9237489219178439E-07</c:v>
                </c:pt>
                <c:pt idx="221">
                  <c:v>3.1378656408226E-07</c:v>
                </c:pt>
                <c:pt idx="222">
                  <c:v>4.345165214397436E-07</c:v>
                </c:pt>
                <c:pt idx="223">
                  <c:v>5.4572836113916528E-07</c:v>
                </c:pt>
                <c:pt idx="224">
                  <c:v>6.38585680055434E-07</c:v>
                </c:pt>
                <c:pt idx="225">
                  <c:v>7.0425207506348489E-07</c:v>
                </c:pt>
                <c:pt idx="226">
                  <c:v>7.33891143038232E-07</c:v>
                </c:pt>
                <c:pt idx="227">
                  <c:v>7.1866648085460484E-07</c:v>
                </c:pt>
                <c:pt idx="228">
                  <c:v>6.49741685387527E-07</c:v>
                </c:pt>
                <c:pt idx="229">
                  <c:v>5.1828035351192243E-07</c:v>
                </c:pt>
                <c:pt idx="230">
                  <c:v>3.1544608210271467E-07</c:v>
                </c:pt>
                <c:pt idx="231">
                  <c:v>3.2402468034806514E-08</c:v>
                </c:pt>
                <c:pt idx="232">
                  <c:v>-3.3457333618329707E-07</c:v>
                </c:pt>
                <c:pt idx="233">
                  <c:v>-7.6171024893427571E-07</c:v>
                </c:pt>
                <c:pt idx="234">
                  <c:v>-1.2160369337912159E-06</c:v>
                </c:pt>
                <c:pt idx="235">
                  <c:v>-1.6645754853351102E-06</c:v>
                </c:pt>
                <c:pt idx="236">
                  <c:v>-2.0743479981470433E-06</c:v>
                </c:pt>
                <c:pt idx="237">
                  <c:v>-2.4123765668080706E-06</c:v>
                </c:pt>
                <c:pt idx="238">
                  <c:v>-2.6456832858992472E-06</c:v>
                </c:pt>
                <c:pt idx="239">
                  <c:v>-2.7412902500016296E-06</c:v>
                </c:pt>
                <c:pt idx="240">
                  <c:v>-2.6662195536962607E-06</c:v>
                </c:pt>
                <c:pt idx="241">
                  <c:v>-2.3874932915642039E-06</c:v>
                </c:pt>
                <c:pt idx="242">
                  <c:v>-1.8721335581864718E-06</c:v>
                </c:pt>
                <c:pt idx="243">
                  <c:v>-1.0871624481441875E-06</c:v>
                </c:pt>
                <c:pt idx="244">
                  <c:v>3.9794398077895006E-10</c:v>
                </c:pt>
                <c:pt idx="245">
                  <c:v>1.3974918174534593E-06</c:v>
                </c:pt>
                <c:pt idx="246">
                  <c:v>3.0070279713777916E-06</c:v>
                </c:pt>
                <c:pt idx="247">
                  <c:v>4.7059311872030777E-06</c:v>
                </c:pt>
                <c:pt idx="248">
                  <c:v>6.3711262463786123E-06</c:v>
                </c:pt>
                <c:pt idx="249">
                  <c:v>7.8795379303537835E-06</c:v>
                </c:pt>
                <c:pt idx="250">
                  <c:v>9.1080910205776783E-06</c:v>
                </c:pt>
                <c:pt idx="251">
                  <c:v>9.9337102984997488E-06</c:v>
                </c:pt>
                <c:pt idx="252">
                  <c:v>1.0233320545569173E-05</c:v>
                </c:pt>
                <c:pt idx="253">
                  <c:v>9.88384654323531E-06</c:v>
                </c:pt>
                <c:pt idx="254">
                  <c:v>8.7622130729474662E-06</c:v>
                </c:pt>
                <c:pt idx="255">
                  <c:v>6.74534491615493E-06</c:v>
                </c:pt>
                <c:pt idx="256">
                  <c:v>3.7101668543070066E-06</c:v>
                </c:pt>
                <c:pt idx="257">
                  <c:v>-4.6630304255259737E-07</c:v>
                </c:pt>
                <c:pt idx="258">
                  <c:v>-5.7786871462499933E-06</c:v>
                </c:pt>
                <c:pt idx="259">
                  <c:v>-1.1838734378129662E-05</c:v>
                </c:pt>
                <c:pt idx="260">
                  <c:v>-1.8187121769408481E-05</c:v>
                </c:pt>
                <c:pt idx="261">
                  <c:v>-2.4364526351301709E-05</c:v>
                </c:pt>
                <c:pt idx="262">
                  <c:v>-2.9911625155025906E-05</c:v>
                </c:pt>
                <c:pt idx="263">
                  <c:v>-3.4369095211797182E-05</c:v>
                </c:pt>
                <c:pt idx="264">
                  <c:v>-3.7277613552831692E-05</c:v>
                </c:pt>
                <c:pt idx="265">
                  <c:v>-3.8177857209345584E-05</c:v>
                </c:pt>
                <c:pt idx="266">
                  <c:v>-3.6610503212554759E-05</c:v>
                </c:pt>
                <c:pt idx="267">
                  <c:v>-3.211622859367556E-05</c:v>
                </c:pt>
                <c:pt idx="268">
                  <c:v>-2.4235710383924076E-05</c:v>
                </c:pt>
                <c:pt idx="269">
                  <c:v>-1.2509625614515566E-05</c:v>
                </c:pt>
                <c:pt idx="270">
                  <c:v>3.519289473324111E-06</c:v>
                </c:pt>
                <c:pt idx="271">
                  <c:v>2.3854905411447495E-05</c:v>
                </c:pt>
                <c:pt idx="272">
                  <c:v>4.74811144598643E-05</c:v>
                </c:pt>
                <c:pt idx="273">
                  <c:v>7.3242488130592493E-05</c:v>
                </c:pt>
                <c:pt idx="274">
                  <c:v>9.9983597935649962E-05</c:v>
                </c:pt>
                <c:pt idx="275">
                  <c:v>0.00012654901538705632</c:v>
                </c:pt>
                <c:pt idx="276">
                  <c:v>0.00015178331199682598</c:v>
                </c:pt>
                <c:pt idx="277">
                  <c:v>0.00017453105927697993</c:v>
                </c:pt>
                <c:pt idx="278">
                  <c:v>0.00019363682873953307</c:v>
                </c:pt>
                <c:pt idx="279">
                  <c:v>0.00020794519189650491</c:v>
                </c:pt>
                <c:pt idx="280">
                  <c:v>0.00021630072025991334</c:v>
                </c:pt>
                <c:pt idx="281">
                  <c:v>0.00021754798534177628</c:v>
                </c:pt>
                <c:pt idx="282">
                  <c:v>0.00021053155865411165</c:v>
                </c:pt>
                <c:pt idx="283">
                  <c:v>0.00019411886245468209</c:v>
                </c:pt>
                <c:pt idx="284">
                  <c:v>0.00016901261451423178</c:v>
                </c:pt>
                <c:pt idx="285">
                  <c:v>0.00013906519705869015</c:v>
                </c:pt>
                <c:pt idx="286">
                  <c:v>0.00010843900107119833</c:v>
                </c:pt>
                <c:pt idx="287">
                  <c:v>8.12964175349051E-05</c:v>
                </c:pt>
                <c:pt idx="288">
                  <c:v>6.1799837432952975E-05</c:v>
                </c:pt>
                <c:pt idx="289">
                  <c:v>5.4111651748486368E-05</c:v>
                </c:pt>
                <c:pt idx="290">
                  <c:v>6.23942514646499E-05</c:v>
                </c:pt>
                <c:pt idx="291">
                  <c:v>9.081002756458769E-05</c:v>
                </c:pt>
                <c:pt idx="292">
                  <c:v>0.00014352137103144463</c:v>
                </c:pt>
                <c:pt idx="293">
                  <c:v>0.00022469067284837147</c:v>
                </c:pt>
                <c:pt idx="294">
                  <c:v>0.00033848032399850213</c:v>
                </c:pt>
                <c:pt idx="295">
                  <c:v>0.000489052715464997</c:v>
                </c:pt>
                <c:pt idx="296">
                  <c:v>0.00068050098793605187</c:v>
                </c:pt>
                <c:pt idx="297">
                  <c:v>0.00091412465361121235</c:v>
                </c:pt>
                <c:pt idx="298">
                  <c:v>0.0011875343523464171</c:v>
                </c:pt>
                <c:pt idx="299">
                  <c:v>0.0014980880765749324</c:v>
                </c:pt>
                <c:pt idx="300">
                  <c:v>0.0018431438187300466</c:v>
                </c:pt>
                <c:pt idx="301">
                  <c:v>0.0022200595712449805</c:v>
                </c:pt>
                <c:pt idx="302">
                  <c:v>0.0026261933265530214</c:v>
                </c:pt>
                <c:pt idx="303">
                  <c:v>0.0030589030770874336</c:v>
                </c:pt>
                <c:pt idx="304">
                  <c:v>0.0035155468152814834</c:v>
                </c:pt>
                <c:pt idx="305">
                  <c:v>0.0039934825335684711</c:v>
                </c:pt>
                <c:pt idx="306">
                  <c:v>0.0044900682243815939</c:v>
                </c:pt>
                <c:pt idx="307">
                  <c:v>0.00500266188015415</c:v>
                </c:pt>
                <c:pt idx="308">
                  <c:v>0.0055286214933194079</c:v>
                </c:pt>
                <c:pt idx="309">
                  <c:v>0.0060654737118123929</c:v>
                </c:pt>
                <c:pt idx="310">
                  <c:v>0.0066147710046469219</c:v>
                </c:pt>
                <c:pt idx="311">
                  <c:v>0.0071821749146939555</c:v>
                </c:pt>
                <c:pt idx="312">
                  <c:v>0.0077735322930686836</c:v>
                </c:pt>
                <c:pt idx="313">
                  <c:v>0.0083946899908863438</c:v>
                </c:pt>
                <c:pt idx="314">
                  <c:v>0.00905149485926204</c:v>
                </c:pt>
                <c:pt idx="315">
                  <c:v>0.0097497937493110035</c:v>
                </c:pt>
                <c:pt idx="316">
                  <c:v>0.010495433512148433</c:v>
                </c:pt>
                <c:pt idx="317">
                  <c:v>0.011294260998889508</c:v>
                </c:pt>
                <c:pt idx="318">
                  <c:v>0.012152123060649484</c:v>
                </c:pt>
                <c:pt idx="319">
                  <c:v>0.013074866548543441</c:v>
                </c:pt>
                <c:pt idx="320">
                  <c:v>0.01406833831368662</c:v>
                </c:pt>
                <c:pt idx="321">
                  <c:v>0.015138385207194214</c:v>
                </c:pt>
                <c:pt idx="322">
                  <c:v>0.016290574290736753</c:v>
                </c:pt>
                <c:pt idx="323">
                  <c:v>0.017526124851143968</c:v>
                </c:pt>
                <c:pt idx="324">
                  <c:v>0.018842824788060927</c:v>
                </c:pt>
                <c:pt idx="325">
                  <c:v>0.020238368714157476</c:v>
                </c:pt>
                <c:pt idx="326">
                  <c:v>0.021710451242103485</c:v>
                </c:pt>
                <c:pt idx="327">
                  <c:v>0.023256766984568911</c:v>
                </c:pt>
                <c:pt idx="328">
                  <c:v>0.02487501055422341</c:v>
                </c:pt>
                <c:pt idx="329">
                  <c:v>0.026562876563736945</c:v>
                </c:pt>
                <c:pt idx="330">
                  <c:v>0.028318059625779369</c:v>
                </c:pt>
                <c:pt idx="331">
                  <c:v>0.030138254353020671</c:v>
                </c:pt>
                <c:pt idx="332">
                  <c:v>0.032021155358130458</c:v>
                </c:pt>
                <c:pt idx="333">
                  <c:v>0.033964457253778717</c:v>
                </c:pt>
                <c:pt idx="334">
                  <c:v>0.035965854652635305</c:v>
                </c:pt>
                <c:pt idx="335">
                  <c:v>0.038023168978501207</c:v>
                </c:pt>
                <c:pt idx="336">
                  <c:v>0.040135583001234439</c:v>
                </c:pt>
                <c:pt idx="337">
                  <c:v>0.042303107009505951</c:v>
                </c:pt>
                <c:pt idx="338">
                  <c:v>0.044525762972509486</c:v>
                </c:pt>
                <c:pt idx="339">
                  <c:v>0.0468035728594388</c:v>
                </c:pt>
                <c:pt idx="340">
                  <c:v>0.049136558639487814</c:v>
                </c:pt>
                <c:pt idx="341">
                  <c:v>0.051524742281849986</c:v>
                </c:pt>
                <c:pt idx="342">
                  <c:v>0.053968145755719205</c:v>
                </c:pt>
                <c:pt idx="343">
                  <c:v>0.056466791030289232</c:v>
                </c:pt>
                <c:pt idx="344">
                  <c:v>0.059020700074754004</c:v>
                </c:pt>
                <c:pt idx="345">
                  <c:v>0.061629894858306937</c:v>
                </c:pt>
                <c:pt idx="346">
                  <c:v>0.064294397350141946</c:v>
                </c:pt>
                <c:pt idx="347">
                  <c:v>0.067014229519452809</c:v>
                </c:pt>
                <c:pt idx="348">
                  <c:v>0.0697880469020113</c:v>
                </c:pt>
                <c:pt idx="349">
                  <c:v>0.072603982486703716</c:v>
                </c:pt>
                <c:pt idx="350">
                  <c:v>0.075445281952588525</c:v>
                </c:pt>
                <c:pt idx="351">
                  <c:v>0.078295164012488316</c:v>
                </c:pt>
                <c:pt idx="352">
                  <c:v>0.08113684737922576</c:v>
                </c:pt>
                <c:pt idx="353">
                  <c:v>0.08395355076562365</c:v>
                </c:pt>
                <c:pt idx="354">
                  <c:v>0.086728492884504224</c:v>
                </c:pt>
                <c:pt idx="355">
                  <c:v>0.089444892448690277</c:v>
                </c:pt>
                <c:pt idx="356">
                  <c:v>0.092085968171004479</c:v>
                </c:pt>
                <c:pt idx="357">
                  <c:v>0.094634938764269566</c:v>
                </c:pt>
                <c:pt idx="358">
                  <c:v>0.097075022941307848</c:v>
                </c:pt>
                <c:pt idx="359">
                  <c:v>0.099389439414942132</c:v>
                </c:pt>
                <c:pt idx="360">
                  <c:v>0.10156140689799503</c:v>
                </c:pt>
                <c:pt idx="361">
                  <c:v>0.10357880949587352</c:v>
                </c:pt>
                <c:pt idx="362">
                  <c:v>0.10545590025332693</c:v>
                </c:pt>
                <c:pt idx="363">
                  <c:v>0.1072161868226371</c:v>
                </c:pt>
                <c:pt idx="364">
                  <c:v>0.1088831869061689</c:v>
                </c:pt>
                <c:pt idx="365">
                  <c:v>0.11048041820628707</c:v>
                </c:pt>
                <c:pt idx="366">
                  <c:v>0.11203139842535642</c:v>
                </c:pt>
                <c:pt idx="367">
                  <c:v>0.11355964526574157</c:v>
                </c:pt>
                <c:pt idx="368">
                  <c:v>0.1150886764298073</c:v>
                </c:pt>
                <c:pt idx="369">
                  <c:v>0.11664200961991841</c:v>
                </c:pt>
                <c:pt idx="370">
                  <c:v>0.11824316253843971</c:v>
                </c:pt>
                <c:pt idx="371">
                  <c:v>0.11991565288773573</c:v>
                </c:pt>
                <c:pt idx="372">
                  <c:v>0.12168299837017137</c:v>
                </c:pt>
                <c:pt idx="373">
                  <c:v>0.12356871668811133</c:v>
                </c:pt>
                <c:pt idx="374">
                  <c:v>0.12558812666811303</c:v>
                </c:pt>
                <c:pt idx="375">
                  <c:v>0.12772213768978474</c:v>
                </c:pt>
                <c:pt idx="376">
                  <c:v>0.12994263362500216</c:v>
                </c:pt>
                <c:pt idx="377">
                  <c:v>0.13222149831032087</c:v>
                </c:pt>
                <c:pt idx="378">
                  <c:v>0.13453061558229629</c:v>
                </c:pt>
                <c:pt idx="379">
                  <c:v>0.13684186927748393</c:v>
                </c:pt>
                <c:pt idx="380">
                  <c:v>0.13912714323243905</c:v>
                </c:pt>
                <c:pt idx="381">
                  <c:v>0.14135832128371714</c:v>
                </c:pt>
                <c:pt idx="382">
                  <c:v>0.14350728726787365</c:v>
                </c:pt>
                <c:pt idx="383">
                  <c:v>0.14554592502146416</c:v>
                </c:pt>
                <c:pt idx="384">
                  <c:v>0.14744611838104379</c:v>
                </c:pt>
                <c:pt idx="385">
                  <c:v>0.14917975118316817</c:v>
                </c:pt>
                <c:pt idx="386">
                  <c:v>0.15071870983919008</c:v>
                </c:pt>
                <c:pt idx="387">
                  <c:v>0.15204071519307588</c:v>
                </c:pt>
                <c:pt idx="388">
                  <c:v>0.15314174623351121</c:v>
                </c:pt>
                <c:pt idx="389">
                  <c:v>0.15402134380493329</c:v>
                </c:pt>
                <c:pt idx="390">
                  <c:v>0.1546790487517789</c:v>
                </c:pt>
                <c:pt idx="391">
                  <c:v>0.15511440191848552</c:v>
                </c:pt>
                <c:pt idx="392">
                  <c:v>0.15532694414949</c:v>
                </c:pt>
                <c:pt idx="393">
                  <c:v>0.15531621628922956</c:v>
                </c:pt>
                <c:pt idx="394">
                  <c:v>0.15508175918214123</c:v>
                </c:pt>
                <c:pt idx="395">
                  <c:v>0.15462311367266218</c:v>
                </c:pt>
                <c:pt idx="396">
                  <c:v>0.15393982060522948</c:v>
                </c:pt>
                <c:pt idx="397">
                  <c:v>0.15303142082428023</c:v>
                </c:pt>
                <c:pt idx="398">
                  <c:v>0.15189745517425135</c:v>
                </c:pt>
                <c:pt idx="399">
                  <c:v>0.15053749276861783</c:v>
                </c:pt>
                <c:pt idx="400">
                  <c:v>0.148958873035472</c:v>
                </c:pt>
                <c:pt idx="401">
                  <c:v>0.14718723873120185</c:v>
                </c:pt>
                <c:pt idx="402">
                  <c:v>0.14525086627699751</c:v>
                </c:pt>
                <c:pt idx="403">
                  <c:v>0.14317803209404936</c:v>
                </c:pt>
                <c:pt idx="404">
                  <c:v>0.14099701260354774</c:v>
                </c:pt>
                <c:pt idx="405">
                  <c:v>0.13873608422668271</c:v>
                </c:pt>
                <c:pt idx="406">
                  <c:v>0.13642352338464553</c:v>
                </c:pt>
                <c:pt idx="407">
                  <c:v>0.13408760649862533</c:v>
                </c:pt>
                <c:pt idx="408">
                  <c:v>0.13175660998981373</c:v>
                </c:pt>
                <c:pt idx="409">
                  <c:v>0.12945881027939982</c:v>
                </c:pt>
                <c:pt idx="410">
                  <c:v>0.12722248378857492</c:v>
                </c:pt>
                <c:pt idx="411">
                  <c:v>0.12507590693852905</c:v>
                </c:pt>
                <c:pt idx="412">
                  <c:v>0.12304717152307335</c:v>
                </c:pt>
                <c:pt idx="413">
                  <c:v>0.12114733466006593</c:v>
                </c:pt>
                <c:pt idx="414">
                  <c:v>0.11935689674415624</c:v>
                </c:pt>
                <c:pt idx="415">
                  <c:v>0.11765317614129157</c:v>
                </c:pt>
                <c:pt idx="416">
                  <c:v>0.11601349121741744</c:v>
                </c:pt>
                <c:pt idx="417">
                  <c:v>0.1144151603384813</c:v>
                </c:pt>
                <c:pt idx="418">
                  <c:v>0.11283550187042875</c:v>
                </c:pt>
                <c:pt idx="419">
                  <c:v>0.11125183417920698</c:v>
                </c:pt>
                <c:pt idx="420">
                  <c:v>0.10964147563076228</c:v>
                </c:pt>
                <c:pt idx="421">
                  <c:v>0.10798174459104111</c:v>
                </c:pt>
                <c:pt idx="422">
                  <c:v>0.10624995942599004</c:v>
                </c:pt>
                <c:pt idx="423">
                  <c:v>0.10442343850155532</c:v>
                </c:pt>
                <c:pt idx="424">
                  <c:v>0.10247950018368421</c:v>
                </c:pt>
                <c:pt idx="425">
                  <c:v>0.10039578513285594</c:v>
                </c:pt>
                <c:pt idx="426">
                  <c:v>0.098164308141743428</c:v>
                </c:pt>
                <c:pt idx="427">
                  <c:v>0.0957969000069765</c:v>
                </c:pt>
                <c:pt idx="428">
                  <c:v>0.093306837484742611</c:v>
                </c:pt>
                <c:pt idx="429">
                  <c:v>0.09070739733122804</c:v>
                </c:pt>
                <c:pt idx="430">
                  <c:v>0.088011856302619346</c:v>
                </c:pt>
                <c:pt idx="431">
                  <c:v>0.0852334911551031</c:v>
                </c:pt>
                <c:pt idx="432">
                  <c:v>0.082385578644865468</c:v>
                </c:pt>
                <c:pt idx="433">
                  <c:v>0.079481395528094162</c:v>
                </c:pt>
                <c:pt idx="434">
                  <c:v>0.07653421856097424</c:v>
                </c:pt>
                <c:pt idx="435">
                  <c:v>0.07355732449969378</c:v>
                </c:pt>
                <c:pt idx="436">
                  <c:v>0.070563990100437776</c:v>
                </c:pt>
                <c:pt idx="437">
                  <c:v>0.067567492119394</c:v>
                </c:pt>
                <c:pt idx="438">
                  <c:v>0.0645810951847971</c:v>
                </c:pt>
                <c:pt idx="439">
                  <c:v>0.061617750567849572</c:v>
                </c:pt>
                <c:pt idx="440">
                  <c:v>0.058690075780355781</c:v>
                </c:pt>
                <c:pt idx="441">
                  <c:v>0.055810672120604976</c:v>
                </c:pt>
                <c:pt idx="442">
                  <c:v>0.052992140886887952</c:v>
                </c:pt>
                <c:pt idx="443">
                  <c:v>0.050247083377492854</c:v>
                </c:pt>
                <c:pt idx="444">
                  <c:v>0.04758810089071077</c:v>
                </c:pt>
                <c:pt idx="445">
                  <c:v>0.045027794724829956</c:v>
                </c:pt>
                <c:pt idx="446">
                  <c:v>0.042578766178141096</c:v>
                </c:pt>
                <c:pt idx="447">
                  <c:v>0.040253616548933474</c:v>
                </c:pt>
                <c:pt idx="448">
                  <c:v>0.038064947135496741</c:v>
                </c:pt>
                <c:pt idx="449">
                  <c:v>0.03602535923612054</c:v>
                </c:pt>
                <c:pt idx="450">
                  <c:v>0.034147454149094286</c:v>
                </c:pt>
                <c:pt idx="451">
                  <c:v>0.0324427486191897</c:v>
                </c:pt>
                <c:pt idx="452">
                  <c:v>0.030904748852880953</c:v>
                </c:pt>
                <c:pt idx="453">
                  <c:v>0.029512124319907459</c:v>
                </c:pt>
                <c:pt idx="454">
                  <c:v>0.028243102183569069</c:v>
                </c:pt>
                <c:pt idx="455">
                  <c:v>0.027075909607165823</c:v>
                </c:pt>
                <c:pt idx="456">
                  <c:v>0.025988773753997788</c:v>
                </c:pt>
                <c:pt idx="457">
                  <c:v>0.024959921787365009</c:v>
                </c:pt>
                <c:pt idx="458">
                  <c:v>0.023967580870567537</c:v>
                </c:pt>
                <c:pt idx="459">
                  <c:v>0.022989978166905307</c:v>
                </c:pt>
                <c:pt idx="460">
                  <c:v>0.022005340839678745</c:v>
                </c:pt>
                <c:pt idx="461">
                  <c:v>0.020991896052187389</c:v>
                </c:pt>
                <c:pt idx="462">
                  <c:v>0.01992787096773169</c:v>
                </c:pt>
                <c:pt idx="463">
                  <c:v>0.018791492749611553</c:v>
                </c:pt>
                <c:pt idx="464">
                  <c:v>0.017563177843897704</c:v>
                </c:pt>
                <c:pt idx="465">
                  <c:v>0.016248256520554484</c:v>
                </c:pt>
                <c:pt idx="466">
                  <c:v>0.014867881306371922</c:v>
                </c:pt>
                <c:pt idx="467">
                  <c:v>0.01344345737384291</c:v>
                </c:pt>
                <c:pt idx="468">
                  <c:v>0.011996389895460147</c:v>
                </c:pt>
                <c:pt idx="469">
                  <c:v>0.010548084043717102</c:v>
                </c:pt>
                <c:pt idx="470">
                  <c:v>0.0091199449911059036</c:v>
                </c:pt>
                <c:pt idx="471">
                  <c:v>0.007733377910120018</c:v>
                </c:pt>
                <c:pt idx="472">
                  <c:v>0.0064097879732521439</c:v>
                </c:pt>
                <c:pt idx="473">
                  <c:v>0.0051705803529951749</c:v>
                </c:pt>
                <c:pt idx="474">
                  <c:v>0.0040371602218420011</c:v>
                </c:pt>
                <c:pt idx="475">
                  <c:v>0.0030309327522853929</c:v>
                </c:pt>
                <c:pt idx="476">
                  <c:v>0.0021733031168186109</c:v>
                </c:pt>
                <c:pt idx="477">
                  <c:v>0.0014830066570020463</c:v>
                </c:pt>
                <c:pt idx="478">
                  <c:v>0.00095709515648522716</c:v>
                </c:pt>
                <c:pt idx="479">
                  <c:v>0.00058208174184060037</c:v>
                </c:pt>
                <c:pt idx="480">
                  <c:v>0.00034440949497096043</c:v>
                </c:pt>
                <c:pt idx="481">
                  <c:v>0.00023052149777886676</c:v>
                </c:pt>
                <c:pt idx="482">
                  <c:v>0.00022686083216693536</c:v>
                </c:pt>
                <c:pt idx="483">
                  <c:v>0.00031987058003778352</c:v>
                </c:pt>
                <c:pt idx="484">
                  <c:v>0.00049599382329405741</c:v>
                </c:pt>
                <c:pt idx="485">
                  <c:v>0.00074167364383828931</c:v>
                </c:pt>
                <c:pt idx="486">
                  <c:v>0.0010433531235732232</c:v>
                </c:pt>
                <c:pt idx="487">
                  <c:v>0.0013874753444013195</c:v>
                </c:pt>
                <c:pt idx="488">
                  <c:v>0.0017604833882253752</c:v>
                </c:pt>
                <c:pt idx="489">
                  <c:v>0.0021488203369478638</c:v>
                </c:pt>
                <c:pt idx="490">
                  <c:v>0.0019035345569787697</c:v>
                </c:pt>
                <c:pt idx="491">
                  <c:v>0.0015624924559518483</c:v>
                </c:pt>
                <c:pt idx="492">
                  <c:v>0.0012214503549249269</c:v>
                </c:pt>
                <c:pt idx="493">
                  <c:v>0.00088040825389796044</c:v>
                </c:pt>
                <c:pt idx="494">
                  <c:v>0.00053936615287108439</c:v>
                </c:pt>
                <c:pt idx="495">
                  <c:v>0.0001983240518441177</c:v>
                </c:pt>
                <c:pt idx="496">
                  <c:v>0</c:v>
                </c:pt>
                <c:pt idx="497">
                  <c:v>0</c:v>
                </c:pt>
                <c:pt idx="498">
                  <c:v>0</c:v>
                </c:pt>
                <c:pt idx="499">
                  <c:v>0</c:v>
                </c:pt>
              </c:numCache>
            </c:numRef>
          </c:yVal>
          <c:smooth val="0"/>
          <c:extLst>
            <c:ext xmlns:c16="http://schemas.microsoft.com/office/drawing/2014/chart" uri="{C3380CC4-5D6E-409C-BE32-E72D297353CC}">
              <c16:uniqueId val="{00000000-591F-4497-A5A3-E90A129074B7}"/>
            </c:ext>
          </c:extLst>
        </c:ser>
        <c:ser>
          <c:idx val="1"/>
          <c:order val="1"/>
          <c:tx>
            <c:v>Net Benefit 3%</c:v>
          </c:tx>
          <c:spPr>
            <a:ln w="19050">
              <a:solidFill>
                <a:srgbClr val="000000"/>
              </a:solidFill>
              <a:prstDash val="dash"/>
            </a:ln>
          </c:spPr>
          <c:marker>
            <c:symbol val="none"/>
          </c:marker>
          <c:xVal>
            <c:numRef>
              <c:f>Sheet1!$H$2502:$H$3003</c:f>
              <c:numCache>
                <c:formatCode>General</c:formatCode>
                <c:ptCount val="502"/>
                <c:pt idx="1">
                  <c:v>6000000</c:v>
                </c:pt>
                <c:pt idx="2">
                  <c:v>6028056.1122244485</c:v>
                </c:pt>
                <c:pt idx="3">
                  <c:v>6056112.2244488979</c:v>
                </c:pt>
                <c:pt idx="4">
                  <c:v>6084168.3366733463</c:v>
                </c:pt>
                <c:pt idx="5">
                  <c:v>6112224.4488977958</c:v>
                </c:pt>
                <c:pt idx="6">
                  <c:v>6140280.5611222442</c:v>
                </c:pt>
                <c:pt idx="7">
                  <c:v>6168336.6733466936</c:v>
                </c:pt>
                <c:pt idx="8">
                  <c:v>6196392.7855711421</c:v>
                </c:pt>
                <c:pt idx="9">
                  <c:v>6224448.8977955915</c:v>
                </c:pt>
                <c:pt idx="10">
                  <c:v>6252505.01002004</c:v>
                </c:pt>
                <c:pt idx="11">
                  <c:v>6280561.1222444894</c:v>
                </c:pt>
                <c:pt idx="12">
                  <c:v>6308617.2344689379</c:v>
                </c:pt>
                <c:pt idx="13">
                  <c:v>6336673.3466933873</c:v>
                </c:pt>
                <c:pt idx="14">
                  <c:v>6364729.4589178357</c:v>
                </c:pt>
                <c:pt idx="15">
                  <c:v>6392785.5711422842</c:v>
                </c:pt>
                <c:pt idx="16">
                  <c:v>6420841.6833667336</c:v>
                </c:pt>
                <c:pt idx="17">
                  <c:v>6448897.7955911821</c:v>
                </c:pt>
                <c:pt idx="18">
                  <c:v>6476953.9078156315</c:v>
                </c:pt>
                <c:pt idx="19">
                  <c:v>6505010.02004008</c:v>
                </c:pt>
                <c:pt idx="20">
                  <c:v>6533066.1322645294</c:v>
                </c:pt>
                <c:pt idx="21">
                  <c:v>6561122.2444889778</c:v>
                </c:pt>
                <c:pt idx="22">
                  <c:v>6589178.3567134272</c:v>
                </c:pt>
                <c:pt idx="23">
                  <c:v>6617234.4689378757</c:v>
                </c:pt>
                <c:pt idx="24">
                  <c:v>6645290.5811623242</c:v>
                </c:pt>
                <c:pt idx="25">
                  <c:v>6673346.6933867736</c:v>
                </c:pt>
                <c:pt idx="26">
                  <c:v>6701402.8056112221</c:v>
                </c:pt>
                <c:pt idx="27">
                  <c:v>6729458.9178356715</c:v>
                </c:pt>
                <c:pt idx="28">
                  <c:v>6757515.03006012</c:v>
                </c:pt>
                <c:pt idx="29">
                  <c:v>6785571.1422845693</c:v>
                </c:pt>
                <c:pt idx="30">
                  <c:v>6813627.2545090178</c:v>
                </c:pt>
                <c:pt idx="31">
                  <c:v>6841683.3667334672</c:v>
                </c:pt>
                <c:pt idx="32">
                  <c:v>6869739.4789579157</c:v>
                </c:pt>
                <c:pt idx="33">
                  <c:v>6897795.5911823651</c:v>
                </c:pt>
                <c:pt idx="34">
                  <c:v>6925851.7034068136</c:v>
                </c:pt>
                <c:pt idx="35">
                  <c:v>6953907.815631263</c:v>
                </c:pt>
                <c:pt idx="36">
                  <c:v>6981963.9278557114</c:v>
                </c:pt>
                <c:pt idx="37">
                  <c:v>7010020.04008016</c:v>
                </c:pt>
                <c:pt idx="38">
                  <c:v>7038076.1523046093</c:v>
                </c:pt>
                <c:pt idx="39">
                  <c:v>7066132.2645290578</c:v>
                </c:pt>
                <c:pt idx="40">
                  <c:v>7094188.3767535072</c:v>
                </c:pt>
                <c:pt idx="41">
                  <c:v>7122244.4889779557</c:v>
                </c:pt>
                <c:pt idx="42">
                  <c:v>7150300.6012024051</c:v>
                </c:pt>
                <c:pt idx="43">
                  <c:v>7178356.7134268535</c:v>
                </c:pt>
                <c:pt idx="44">
                  <c:v>7206412.8256513029</c:v>
                </c:pt>
                <c:pt idx="45">
                  <c:v>7234468.9378757514</c:v>
                </c:pt>
                <c:pt idx="46">
                  <c:v>7262525.0501002</c:v>
                </c:pt>
                <c:pt idx="47">
                  <c:v>7290581.1623246493</c:v>
                </c:pt>
                <c:pt idx="48">
                  <c:v>7318637.2745490987</c:v>
                </c:pt>
                <c:pt idx="49">
                  <c:v>7346693.3867735472</c:v>
                </c:pt>
                <c:pt idx="50">
                  <c:v>7374749.4989979956</c:v>
                </c:pt>
                <c:pt idx="51">
                  <c:v>7402805.611222445</c:v>
                </c:pt>
                <c:pt idx="52">
                  <c:v>7430861.7234468935</c:v>
                </c:pt>
                <c:pt idx="53">
                  <c:v>7458917.8356713429</c:v>
                </c:pt>
                <c:pt idx="54">
                  <c:v>7486973.9478957914</c:v>
                </c:pt>
                <c:pt idx="55">
                  <c:v>7515030.0601202408</c:v>
                </c:pt>
                <c:pt idx="56">
                  <c:v>7543086.1723446893</c:v>
                </c:pt>
                <c:pt idx="57">
                  <c:v>7571142.2845691387</c:v>
                </c:pt>
                <c:pt idx="58">
                  <c:v>7599198.3967935871</c:v>
                </c:pt>
                <c:pt idx="59">
                  <c:v>7627254.5090180356</c:v>
                </c:pt>
                <c:pt idx="60">
                  <c:v>7655310.621242485</c:v>
                </c:pt>
                <c:pt idx="61">
                  <c:v>7683366.7334669344</c:v>
                </c:pt>
                <c:pt idx="62">
                  <c:v>7711422.8456913829</c:v>
                </c:pt>
                <c:pt idx="63">
                  <c:v>7739478.9579158314</c:v>
                </c:pt>
                <c:pt idx="64">
                  <c:v>7767535.0701402808</c:v>
                </c:pt>
                <c:pt idx="65">
                  <c:v>7795591.1823647292</c:v>
                </c:pt>
                <c:pt idx="66">
                  <c:v>7823647.2945891786</c:v>
                </c:pt>
                <c:pt idx="67">
                  <c:v>7851703.4068136271</c:v>
                </c:pt>
                <c:pt idx="68">
                  <c:v>7879759.5190380756</c:v>
                </c:pt>
                <c:pt idx="69">
                  <c:v>7907815.631262525</c:v>
                </c:pt>
                <c:pt idx="70">
                  <c:v>7935871.7434869744</c:v>
                </c:pt>
                <c:pt idx="71">
                  <c:v>7963927.8557114229</c:v>
                </c:pt>
                <c:pt idx="72">
                  <c:v>7991983.9679358713</c:v>
                </c:pt>
                <c:pt idx="73">
                  <c:v>8020040.0801603207</c:v>
                </c:pt>
                <c:pt idx="74">
                  <c:v>8048096.1923847692</c:v>
                </c:pt>
                <c:pt idx="75">
                  <c:v>8076152.3046092186</c:v>
                </c:pt>
                <c:pt idx="76">
                  <c:v>8104208.4168336671</c:v>
                </c:pt>
                <c:pt idx="77">
                  <c:v>8132264.5290581156</c:v>
                </c:pt>
                <c:pt idx="78">
                  <c:v>8160320.641282565</c:v>
                </c:pt>
                <c:pt idx="79">
                  <c:v>8188376.7535070144</c:v>
                </c:pt>
                <c:pt idx="80">
                  <c:v>8216432.8657314628</c:v>
                </c:pt>
                <c:pt idx="81">
                  <c:v>8244488.9779559113</c:v>
                </c:pt>
                <c:pt idx="82">
                  <c:v>8272545.0901803607</c:v>
                </c:pt>
                <c:pt idx="83">
                  <c:v>8300601.20240481</c:v>
                </c:pt>
                <c:pt idx="84">
                  <c:v>8328657.3146292586</c:v>
                </c:pt>
                <c:pt idx="85">
                  <c:v>8356713.4268537071</c:v>
                </c:pt>
                <c:pt idx="86">
                  <c:v>8384769.5390781565</c:v>
                </c:pt>
                <c:pt idx="87">
                  <c:v>8412825.6513026059</c:v>
                </c:pt>
                <c:pt idx="88">
                  <c:v>8440881.7635270543</c:v>
                </c:pt>
                <c:pt idx="89">
                  <c:v>8468937.8757515028</c:v>
                </c:pt>
                <c:pt idx="90">
                  <c:v>8496993.9879759513</c:v>
                </c:pt>
                <c:pt idx="91">
                  <c:v>8525050.1002004</c:v>
                </c:pt>
                <c:pt idx="92">
                  <c:v>8553106.21242485</c:v>
                </c:pt>
                <c:pt idx="93">
                  <c:v>8581162.3246492986</c:v>
                </c:pt>
                <c:pt idx="94">
                  <c:v>8609218.436873747</c:v>
                </c:pt>
                <c:pt idx="95">
                  <c:v>8637274.5490981974</c:v>
                </c:pt>
                <c:pt idx="96">
                  <c:v>8665330.6613226458</c:v>
                </c:pt>
                <c:pt idx="97">
                  <c:v>8693386.7735470943</c:v>
                </c:pt>
                <c:pt idx="98">
                  <c:v>8721442.8857715428</c:v>
                </c:pt>
                <c:pt idx="99">
                  <c:v>8749498.9979959913</c:v>
                </c:pt>
                <c:pt idx="100">
                  <c:v>8777555.11022044</c:v>
                </c:pt>
                <c:pt idx="101">
                  <c:v>8805611.22244489</c:v>
                </c:pt>
                <c:pt idx="102">
                  <c:v>8833667.3346693385</c:v>
                </c:pt>
                <c:pt idx="103">
                  <c:v>8861723.446893787</c:v>
                </c:pt>
                <c:pt idx="104">
                  <c:v>8889779.5591182373</c:v>
                </c:pt>
                <c:pt idx="105">
                  <c:v>8917835.6713426858</c:v>
                </c:pt>
                <c:pt idx="106">
                  <c:v>8945891.7835671343</c:v>
                </c:pt>
                <c:pt idx="107">
                  <c:v>8973947.8957915828</c:v>
                </c:pt>
                <c:pt idx="108">
                  <c:v>9002004.0080160312</c:v>
                </c:pt>
                <c:pt idx="109">
                  <c:v>9030060.1202404816</c:v>
                </c:pt>
                <c:pt idx="110">
                  <c:v>9058116.23246493</c:v>
                </c:pt>
                <c:pt idx="111">
                  <c:v>9086172.3446893785</c:v>
                </c:pt>
                <c:pt idx="112">
                  <c:v>9114228.456913827</c:v>
                </c:pt>
                <c:pt idx="113">
                  <c:v>9142284.5691382773</c:v>
                </c:pt>
                <c:pt idx="114">
                  <c:v>9170340.6813627258</c:v>
                </c:pt>
                <c:pt idx="115">
                  <c:v>9198396.7935871743</c:v>
                </c:pt>
                <c:pt idx="116">
                  <c:v>9226452.9058116227</c:v>
                </c:pt>
                <c:pt idx="117">
                  <c:v>9254509.0180360712</c:v>
                </c:pt>
                <c:pt idx="118">
                  <c:v>9282565.1302605215</c:v>
                </c:pt>
                <c:pt idx="119">
                  <c:v>9310621.24248497</c:v>
                </c:pt>
                <c:pt idx="120">
                  <c:v>9338677.3547094185</c:v>
                </c:pt>
                <c:pt idx="121">
                  <c:v>9366733.4669338688</c:v>
                </c:pt>
                <c:pt idx="122">
                  <c:v>9394789.5791583173</c:v>
                </c:pt>
                <c:pt idx="123">
                  <c:v>9422845.6913827658</c:v>
                </c:pt>
                <c:pt idx="124">
                  <c:v>9450901.8036072142</c:v>
                </c:pt>
                <c:pt idx="125">
                  <c:v>9478957.9158316627</c:v>
                </c:pt>
                <c:pt idx="126">
                  <c:v>9507014.0280561112</c:v>
                </c:pt>
                <c:pt idx="127">
                  <c:v>9535070.1402805615</c:v>
                </c:pt>
                <c:pt idx="128">
                  <c:v>9563126.25250501</c:v>
                </c:pt>
                <c:pt idx="129">
                  <c:v>9591182.3647294585</c:v>
                </c:pt>
                <c:pt idx="130">
                  <c:v>9619238.4769539088</c:v>
                </c:pt>
                <c:pt idx="131">
                  <c:v>9647294.5891783573</c:v>
                </c:pt>
                <c:pt idx="132">
                  <c:v>9675350.7014028057</c:v>
                </c:pt>
                <c:pt idx="133">
                  <c:v>9703406.8136272542</c:v>
                </c:pt>
                <c:pt idx="134">
                  <c:v>9731462.9258517027</c:v>
                </c:pt>
                <c:pt idx="135">
                  <c:v>9759519.0380761512</c:v>
                </c:pt>
                <c:pt idx="136">
                  <c:v>9787575.1503006015</c:v>
                </c:pt>
                <c:pt idx="137">
                  <c:v>9815631.26252505</c:v>
                </c:pt>
                <c:pt idx="138">
                  <c:v>9843687.3747494984</c:v>
                </c:pt>
                <c:pt idx="139">
                  <c:v>9871743.4869739488</c:v>
                </c:pt>
                <c:pt idx="140">
                  <c:v>9899799.5991983972</c:v>
                </c:pt>
                <c:pt idx="141">
                  <c:v>9927855.7114228457</c:v>
                </c:pt>
                <c:pt idx="142">
                  <c:v>9955911.8236472942</c:v>
                </c:pt>
                <c:pt idx="143">
                  <c:v>9983967.9358717427</c:v>
                </c:pt>
                <c:pt idx="144">
                  <c:v>10012024.048096193</c:v>
                </c:pt>
                <c:pt idx="145">
                  <c:v>10040080.160320641</c:v>
                </c:pt>
                <c:pt idx="146">
                  <c:v>10068136.27254509</c:v>
                </c:pt>
                <c:pt idx="147">
                  <c:v>10096192.384769538</c:v>
                </c:pt>
                <c:pt idx="148">
                  <c:v>10124248.496993989</c:v>
                </c:pt>
                <c:pt idx="149">
                  <c:v>10152304.609218437</c:v>
                </c:pt>
                <c:pt idx="150">
                  <c:v>10180360.721442886</c:v>
                </c:pt>
                <c:pt idx="151">
                  <c:v>10208416.833667334</c:v>
                </c:pt>
                <c:pt idx="152">
                  <c:v>10236472.945891783</c:v>
                </c:pt>
                <c:pt idx="153">
                  <c:v>10264529.058116231</c:v>
                </c:pt>
                <c:pt idx="154">
                  <c:v>10292585.170340681</c:v>
                </c:pt>
                <c:pt idx="155">
                  <c:v>10320641.28256513</c:v>
                </c:pt>
                <c:pt idx="156">
                  <c:v>10348697.39478958</c:v>
                </c:pt>
                <c:pt idx="157">
                  <c:v>10376753.507014029</c:v>
                </c:pt>
                <c:pt idx="158">
                  <c:v>10404809.619238477</c:v>
                </c:pt>
                <c:pt idx="159">
                  <c:v>10432865.731462926</c:v>
                </c:pt>
                <c:pt idx="160">
                  <c:v>10460921.843687374</c:v>
                </c:pt>
                <c:pt idx="161">
                  <c:v>10488977.955911823</c:v>
                </c:pt>
                <c:pt idx="162">
                  <c:v>10517034.068136273</c:v>
                </c:pt>
                <c:pt idx="163">
                  <c:v>10545090.180360721</c:v>
                </c:pt>
                <c:pt idx="164">
                  <c:v>10573146.29258517</c:v>
                </c:pt>
                <c:pt idx="165">
                  <c:v>10601202.40480962</c:v>
                </c:pt>
                <c:pt idx="166">
                  <c:v>10629258.517034069</c:v>
                </c:pt>
                <c:pt idx="167">
                  <c:v>10657314.629258517</c:v>
                </c:pt>
                <c:pt idx="168">
                  <c:v>10685370.741482966</c:v>
                </c:pt>
                <c:pt idx="169">
                  <c:v>10713426.853707414</c:v>
                </c:pt>
                <c:pt idx="170">
                  <c:v>10741482.965931863</c:v>
                </c:pt>
                <c:pt idx="171">
                  <c:v>10769539.078156313</c:v>
                </c:pt>
                <c:pt idx="172">
                  <c:v>10797595.190380761</c:v>
                </c:pt>
                <c:pt idx="173">
                  <c:v>10825651.302605212</c:v>
                </c:pt>
                <c:pt idx="174">
                  <c:v>10853707.41482966</c:v>
                </c:pt>
                <c:pt idx="175">
                  <c:v>10881763.527054109</c:v>
                </c:pt>
                <c:pt idx="176">
                  <c:v>10909819.639278557</c:v>
                </c:pt>
                <c:pt idx="177">
                  <c:v>10937875.751503006</c:v>
                </c:pt>
                <c:pt idx="178">
                  <c:v>10965931.863727454</c:v>
                </c:pt>
                <c:pt idx="179">
                  <c:v>10993987.975951903</c:v>
                </c:pt>
                <c:pt idx="180">
                  <c:v>11022044.088176353</c:v>
                </c:pt>
                <c:pt idx="181">
                  <c:v>11050100.200400801</c:v>
                </c:pt>
                <c:pt idx="182">
                  <c:v>11078156.312625252</c:v>
                </c:pt>
                <c:pt idx="183">
                  <c:v>11106212.4248497</c:v>
                </c:pt>
                <c:pt idx="184">
                  <c:v>11134268.537074149</c:v>
                </c:pt>
                <c:pt idx="185">
                  <c:v>11162324.649298597</c:v>
                </c:pt>
                <c:pt idx="186">
                  <c:v>11190380.761523046</c:v>
                </c:pt>
                <c:pt idx="187">
                  <c:v>11218436.873747494</c:v>
                </c:pt>
                <c:pt idx="188">
                  <c:v>11246492.985971943</c:v>
                </c:pt>
                <c:pt idx="189">
                  <c:v>11274549.098196393</c:v>
                </c:pt>
                <c:pt idx="190">
                  <c:v>11302605.210420841</c:v>
                </c:pt>
                <c:pt idx="191">
                  <c:v>11330661.322645292</c:v>
                </c:pt>
                <c:pt idx="192">
                  <c:v>11358717.43486974</c:v>
                </c:pt>
                <c:pt idx="193">
                  <c:v>11386773.547094189</c:v>
                </c:pt>
                <c:pt idx="194">
                  <c:v>11414829.659318637</c:v>
                </c:pt>
                <c:pt idx="195">
                  <c:v>11442885.771543086</c:v>
                </c:pt>
                <c:pt idx="196">
                  <c:v>11470941.883767534</c:v>
                </c:pt>
                <c:pt idx="197">
                  <c:v>11498997.995991984</c:v>
                </c:pt>
                <c:pt idx="198">
                  <c:v>11527054.108216433</c:v>
                </c:pt>
                <c:pt idx="199">
                  <c:v>11555110.220440881</c:v>
                </c:pt>
                <c:pt idx="200">
                  <c:v>11583166.332665332</c:v>
                </c:pt>
                <c:pt idx="201">
                  <c:v>11611222.44488978</c:v>
                </c:pt>
                <c:pt idx="202">
                  <c:v>11639278.557114229</c:v>
                </c:pt>
                <c:pt idx="203">
                  <c:v>11667334.669338677</c:v>
                </c:pt>
                <c:pt idx="204">
                  <c:v>11695390.781563126</c:v>
                </c:pt>
                <c:pt idx="205">
                  <c:v>11723446.893787574</c:v>
                </c:pt>
                <c:pt idx="206">
                  <c:v>11751503.006012024</c:v>
                </c:pt>
                <c:pt idx="207">
                  <c:v>11779559.118236473</c:v>
                </c:pt>
                <c:pt idx="208">
                  <c:v>11807615.230460923</c:v>
                </c:pt>
                <c:pt idx="209">
                  <c:v>11835671.342685372</c:v>
                </c:pt>
                <c:pt idx="210">
                  <c:v>11863727.45490982</c:v>
                </c:pt>
                <c:pt idx="211">
                  <c:v>11891783.567134269</c:v>
                </c:pt>
                <c:pt idx="212">
                  <c:v>11919839.679358717</c:v>
                </c:pt>
                <c:pt idx="213">
                  <c:v>11947895.791583166</c:v>
                </c:pt>
                <c:pt idx="214">
                  <c:v>11975951.903807614</c:v>
                </c:pt>
                <c:pt idx="215">
                  <c:v>12004008.016032064</c:v>
                </c:pt>
                <c:pt idx="216">
                  <c:v>12032064.128256513</c:v>
                </c:pt>
                <c:pt idx="217">
                  <c:v>12060120.240480963</c:v>
                </c:pt>
                <c:pt idx="218">
                  <c:v>12088176.352705412</c:v>
                </c:pt>
                <c:pt idx="219">
                  <c:v>12116232.46492986</c:v>
                </c:pt>
                <c:pt idx="220">
                  <c:v>12144288.577154309</c:v>
                </c:pt>
                <c:pt idx="221">
                  <c:v>12172344.689378757</c:v>
                </c:pt>
                <c:pt idx="222">
                  <c:v>12200400.801603206</c:v>
                </c:pt>
                <c:pt idx="223">
                  <c:v>12228456.913827654</c:v>
                </c:pt>
                <c:pt idx="224">
                  <c:v>12256513.026052104</c:v>
                </c:pt>
                <c:pt idx="225">
                  <c:v>12284569.138276553</c:v>
                </c:pt>
                <c:pt idx="226">
                  <c:v>12312625.250501003</c:v>
                </c:pt>
                <c:pt idx="227">
                  <c:v>12340681.362725452</c:v>
                </c:pt>
                <c:pt idx="228">
                  <c:v>12368737.4749499</c:v>
                </c:pt>
                <c:pt idx="229">
                  <c:v>12396793.587174349</c:v>
                </c:pt>
                <c:pt idx="230">
                  <c:v>12424849.699398797</c:v>
                </c:pt>
                <c:pt idx="231">
                  <c:v>12452905.811623245</c:v>
                </c:pt>
                <c:pt idx="232">
                  <c:v>12480961.923847696</c:v>
                </c:pt>
                <c:pt idx="233">
                  <c:v>12509018.036072144</c:v>
                </c:pt>
                <c:pt idx="234">
                  <c:v>12537074.148296593</c:v>
                </c:pt>
                <c:pt idx="235">
                  <c:v>12565130.260521043</c:v>
                </c:pt>
                <c:pt idx="236">
                  <c:v>12593186.372745492</c:v>
                </c:pt>
                <c:pt idx="237">
                  <c:v>12621242.48496994</c:v>
                </c:pt>
                <c:pt idx="238">
                  <c:v>12649298.597194389</c:v>
                </c:pt>
                <c:pt idx="239">
                  <c:v>12677354.709418837</c:v>
                </c:pt>
                <c:pt idx="240">
                  <c:v>12705410.821643285</c:v>
                </c:pt>
                <c:pt idx="241">
                  <c:v>12733466.933867736</c:v>
                </c:pt>
                <c:pt idx="242">
                  <c:v>12761523.046092184</c:v>
                </c:pt>
                <c:pt idx="243">
                  <c:v>12789579.158316635</c:v>
                </c:pt>
                <c:pt idx="244">
                  <c:v>12817635.270541083</c:v>
                </c:pt>
                <c:pt idx="245">
                  <c:v>12845691.382765532</c:v>
                </c:pt>
                <c:pt idx="246">
                  <c:v>12873747.49498998</c:v>
                </c:pt>
                <c:pt idx="247">
                  <c:v>12901803.607214428</c:v>
                </c:pt>
                <c:pt idx="248">
                  <c:v>12929859.719438877</c:v>
                </c:pt>
                <c:pt idx="249">
                  <c:v>12957915.831663325</c:v>
                </c:pt>
                <c:pt idx="250">
                  <c:v>12985971.943887776</c:v>
                </c:pt>
                <c:pt idx="251">
                  <c:v>13014028.056112224</c:v>
                </c:pt>
                <c:pt idx="252">
                  <c:v>13042084.168336675</c:v>
                </c:pt>
                <c:pt idx="253">
                  <c:v>13070140.280561123</c:v>
                </c:pt>
                <c:pt idx="254">
                  <c:v>13098196.392785572</c:v>
                </c:pt>
                <c:pt idx="255">
                  <c:v>13126252.50501002</c:v>
                </c:pt>
                <c:pt idx="256">
                  <c:v>13154308.617234468</c:v>
                </c:pt>
                <c:pt idx="257">
                  <c:v>13182364.729458917</c:v>
                </c:pt>
                <c:pt idx="258">
                  <c:v>13210420.841683365</c:v>
                </c:pt>
                <c:pt idx="259">
                  <c:v>13238476.953907816</c:v>
                </c:pt>
                <c:pt idx="260">
                  <c:v>13266533.066132264</c:v>
                </c:pt>
                <c:pt idx="261">
                  <c:v>13294589.178356715</c:v>
                </c:pt>
                <c:pt idx="262">
                  <c:v>13322645.290581163</c:v>
                </c:pt>
                <c:pt idx="263">
                  <c:v>13350701.402805611</c:v>
                </c:pt>
                <c:pt idx="264">
                  <c:v>13378757.51503006</c:v>
                </c:pt>
                <c:pt idx="265">
                  <c:v>13406813.627254508</c:v>
                </c:pt>
                <c:pt idx="266">
                  <c:v>13434869.739478957</c:v>
                </c:pt>
                <c:pt idx="267">
                  <c:v>13462925.851703407</c:v>
                </c:pt>
                <c:pt idx="268">
                  <c:v>13490981.963927856</c:v>
                </c:pt>
                <c:pt idx="269">
                  <c:v>13519038.076152304</c:v>
                </c:pt>
                <c:pt idx="270">
                  <c:v>13547094.188376755</c:v>
                </c:pt>
                <c:pt idx="271">
                  <c:v>13575150.300601203</c:v>
                </c:pt>
                <c:pt idx="272">
                  <c:v>13603206.412825651</c:v>
                </c:pt>
                <c:pt idx="273">
                  <c:v>13631262.5250501</c:v>
                </c:pt>
                <c:pt idx="274">
                  <c:v>13659318.637274548</c:v>
                </c:pt>
                <c:pt idx="275">
                  <c:v>13687374.749498997</c:v>
                </c:pt>
                <c:pt idx="276">
                  <c:v>13715430.861723447</c:v>
                </c:pt>
                <c:pt idx="277">
                  <c:v>13743486.973947896</c:v>
                </c:pt>
                <c:pt idx="278">
                  <c:v>13771543.086172346</c:v>
                </c:pt>
                <c:pt idx="279">
                  <c:v>13799599.198396794</c:v>
                </c:pt>
                <c:pt idx="280">
                  <c:v>13827655.310621243</c:v>
                </c:pt>
                <c:pt idx="281">
                  <c:v>13855711.422845691</c:v>
                </c:pt>
                <c:pt idx="282">
                  <c:v>13883767.53507014</c:v>
                </c:pt>
                <c:pt idx="283">
                  <c:v>13911823.647294588</c:v>
                </c:pt>
                <c:pt idx="284">
                  <c:v>13939879.759519037</c:v>
                </c:pt>
                <c:pt idx="285">
                  <c:v>13967935.871743487</c:v>
                </c:pt>
                <c:pt idx="286">
                  <c:v>13995991.983967936</c:v>
                </c:pt>
                <c:pt idx="287">
                  <c:v>14024048.096192386</c:v>
                </c:pt>
                <c:pt idx="288">
                  <c:v>14052104.208416834</c:v>
                </c:pt>
                <c:pt idx="289">
                  <c:v>14080160.320641283</c:v>
                </c:pt>
                <c:pt idx="290">
                  <c:v>14108216.432865731</c:v>
                </c:pt>
                <c:pt idx="291">
                  <c:v>14136272.54509018</c:v>
                </c:pt>
                <c:pt idx="292">
                  <c:v>14164328.657314628</c:v>
                </c:pt>
                <c:pt idx="293">
                  <c:v>14192384.769539077</c:v>
                </c:pt>
                <c:pt idx="294">
                  <c:v>14220440.881763527</c:v>
                </c:pt>
                <c:pt idx="295">
                  <c:v>14248496.993987976</c:v>
                </c:pt>
                <c:pt idx="296">
                  <c:v>14276553.106212426</c:v>
                </c:pt>
                <c:pt idx="297">
                  <c:v>14304609.218436874</c:v>
                </c:pt>
                <c:pt idx="298">
                  <c:v>14332665.330661323</c:v>
                </c:pt>
                <c:pt idx="299">
                  <c:v>14360721.442885771</c:v>
                </c:pt>
                <c:pt idx="300">
                  <c:v>14388777.55511022</c:v>
                </c:pt>
                <c:pt idx="301">
                  <c:v>14416833.66733467</c:v>
                </c:pt>
                <c:pt idx="302">
                  <c:v>14444889.779559119</c:v>
                </c:pt>
                <c:pt idx="303">
                  <c:v>14472945.891783567</c:v>
                </c:pt>
                <c:pt idx="304">
                  <c:v>14501002.004008016</c:v>
                </c:pt>
                <c:pt idx="305">
                  <c:v>14529058.116232464</c:v>
                </c:pt>
                <c:pt idx="306">
                  <c:v>14557114.228456914</c:v>
                </c:pt>
                <c:pt idx="307">
                  <c:v>14585170.340681363</c:v>
                </c:pt>
                <c:pt idx="308">
                  <c:v>14613226.452905811</c:v>
                </c:pt>
                <c:pt idx="309">
                  <c:v>14641282.56513026</c:v>
                </c:pt>
                <c:pt idx="310">
                  <c:v>14669338.67735471</c:v>
                </c:pt>
                <c:pt idx="311">
                  <c:v>14697394.789579159</c:v>
                </c:pt>
                <c:pt idx="312">
                  <c:v>14725450.901803607</c:v>
                </c:pt>
                <c:pt idx="313">
                  <c:v>14753507.014028056</c:v>
                </c:pt>
                <c:pt idx="314">
                  <c:v>14781563.126252506</c:v>
                </c:pt>
                <c:pt idx="315">
                  <c:v>14809619.238476954</c:v>
                </c:pt>
                <c:pt idx="316">
                  <c:v>14837675.350701403</c:v>
                </c:pt>
                <c:pt idx="317">
                  <c:v>14865731.462925851</c:v>
                </c:pt>
                <c:pt idx="318">
                  <c:v>14893787.5751503</c:v>
                </c:pt>
                <c:pt idx="319">
                  <c:v>14921843.68737475</c:v>
                </c:pt>
                <c:pt idx="320">
                  <c:v>14949899.799599199</c:v>
                </c:pt>
                <c:pt idx="321">
                  <c:v>14977955.911823647</c:v>
                </c:pt>
                <c:pt idx="322">
                  <c:v>15006012.024048096</c:v>
                </c:pt>
                <c:pt idx="323">
                  <c:v>15034068.136272546</c:v>
                </c:pt>
                <c:pt idx="324">
                  <c:v>15062124.248496994</c:v>
                </c:pt>
                <c:pt idx="325">
                  <c:v>15090180.360721443</c:v>
                </c:pt>
                <c:pt idx="326">
                  <c:v>15118236.472945891</c:v>
                </c:pt>
                <c:pt idx="327">
                  <c:v>15146292.58517034</c:v>
                </c:pt>
                <c:pt idx="328">
                  <c:v>15174348.69739479</c:v>
                </c:pt>
                <c:pt idx="329">
                  <c:v>15202404.809619239</c:v>
                </c:pt>
                <c:pt idx="330">
                  <c:v>15230460.921843687</c:v>
                </c:pt>
                <c:pt idx="331">
                  <c:v>15258517.034068136</c:v>
                </c:pt>
                <c:pt idx="332">
                  <c:v>15286573.146292586</c:v>
                </c:pt>
                <c:pt idx="333">
                  <c:v>15314629.258517034</c:v>
                </c:pt>
                <c:pt idx="334">
                  <c:v>15342685.370741483</c:v>
                </c:pt>
                <c:pt idx="335">
                  <c:v>15370741.482965931</c:v>
                </c:pt>
                <c:pt idx="336">
                  <c:v>15398797.595190382</c:v>
                </c:pt>
                <c:pt idx="337">
                  <c:v>15426853.70741483</c:v>
                </c:pt>
                <c:pt idx="338">
                  <c:v>15454909.819639279</c:v>
                </c:pt>
                <c:pt idx="339">
                  <c:v>15482965.931863727</c:v>
                </c:pt>
                <c:pt idx="340">
                  <c:v>15511022.044088176</c:v>
                </c:pt>
                <c:pt idx="341">
                  <c:v>15539078.156312626</c:v>
                </c:pt>
                <c:pt idx="342">
                  <c:v>15567134.268537074</c:v>
                </c:pt>
                <c:pt idx="343">
                  <c:v>15595190.380761523</c:v>
                </c:pt>
                <c:pt idx="344">
                  <c:v>15623246.492985971</c:v>
                </c:pt>
                <c:pt idx="345">
                  <c:v>15651302.605210422</c:v>
                </c:pt>
                <c:pt idx="346">
                  <c:v>15679358.71743487</c:v>
                </c:pt>
                <c:pt idx="347">
                  <c:v>15707414.829659319</c:v>
                </c:pt>
                <c:pt idx="348">
                  <c:v>15735470.941883767</c:v>
                </c:pt>
                <c:pt idx="349">
                  <c:v>15763527.054108217</c:v>
                </c:pt>
                <c:pt idx="350">
                  <c:v>15791583.166332666</c:v>
                </c:pt>
                <c:pt idx="351">
                  <c:v>15819639.278557114</c:v>
                </c:pt>
                <c:pt idx="352">
                  <c:v>15847695.390781563</c:v>
                </c:pt>
                <c:pt idx="353">
                  <c:v>15875751.503006011</c:v>
                </c:pt>
                <c:pt idx="354">
                  <c:v>15903807.615230462</c:v>
                </c:pt>
                <c:pt idx="355">
                  <c:v>15931863.72745491</c:v>
                </c:pt>
                <c:pt idx="356">
                  <c:v>15959919.839679359</c:v>
                </c:pt>
                <c:pt idx="357">
                  <c:v>15987975.951903807</c:v>
                </c:pt>
                <c:pt idx="358">
                  <c:v>16016032.064128257</c:v>
                </c:pt>
                <c:pt idx="359">
                  <c:v>16044088.176352706</c:v>
                </c:pt>
                <c:pt idx="360">
                  <c:v>16072144.288577154</c:v>
                </c:pt>
                <c:pt idx="361">
                  <c:v>16100200.400801603</c:v>
                </c:pt>
                <c:pt idx="362">
                  <c:v>16128256.513026051</c:v>
                </c:pt>
                <c:pt idx="363">
                  <c:v>16156312.625250502</c:v>
                </c:pt>
                <c:pt idx="364">
                  <c:v>16184368.73747495</c:v>
                </c:pt>
                <c:pt idx="365">
                  <c:v>16212424.849699399</c:v>
                </c:pt>
                <c:pt idx="366">
                  <c:v>16240480.961923847</c:v>
                </c:pt>
                <c:pt idx="367">
                  <c:v>16268537.074148297</c:v>
                </c:pt>
                <c:pt idx="368">
                  <c:v>16296593.186372746</c:v>
                </c:pt>
                <c:pt idx="369">
                  <c:v>16324649.298597194</c:v>
                </c:pt>
                <c:pt idx="370">
                  <c:v>16352705.410821643</c:v>
                </c:pt>
                <c:pt idx="371">
                  <c:v>16380761.523046093</c:v>
                </c:pt>
                <c:pt idx="372">
                  <c:v>16408817.635270542</c:v>
                </c:pt>
                <c:pt idx="373">
                  <c:v>16436873.74749499</c:v>
                </c:pt>
                <c:pt idx="374">
                  <c:v>16464929.859719438</c:v>
                </c:pt>
                <c:pt idx="375">
                  <c:v>16492985.971943887</c:v>
                </c:pt>
                <c:pt idx="376">
                  <c:v>16521042.084168337</c:v>
                </c:pt>
                <c:pt idx="377">
                  <c:v>16549098.196392786</c:v>
                </c:pt>
                <c:pt idx="378">
                  <c:v>16577154.308617234</c:v>
                </c:pt>
                <c:pt idx="379">
                  <c:v>16605210.420841683</c:v>
                </c:pt>
                <c:pt idx="380">
                  <c:v>16633266.533066133</c:v>
                </c:pt>
                <c:pt idx="381">
                  <c:v>16661322.645290582</c:v>
                </c:pt>
                <c:pt idx="382">
                  <c:v>16689378.75751503</c:v>
                </c:pt>
                <c:pt idx="383">
                  <c:v>16717434.869739478</c:v>
                </c:pt>
                <c:pt idx="384">
                  <c:v>16745490.981963929</c:v>
                </c:pt>
                <c:pt idx="385">
                  <c:v>16773547.094188377</c:v>
                </c:pt>
                <c:pt idx="386">
                  <c:v>16801603.206412826</c:v>
                </c:pt>
                <c:pt idx="387">
                  <c:v>16829659.318637274</c:v>
                </c:pt>
                <c:pt idx="388">
                  <c:v>16857715.430861723</c:v>
                </c:pt>
                <c:pt idx="389">
                  <c:v>16885771.543086171</c:v>
                </c:pt>
                <c:pt idx="390">
                  <c:v>16913827.655310623</c:v>
                </c:pt>
                <c:pt idx="391">
                  <c:v>16941883.767535068</c:v>
                </c:pt>
                <c:pt idx="392">
                  <c:v>16969939.87975952</c:v>
                </c:pt>
                <c:pt idx="393">
                  <c:v>16997995.991983969</c:v>
                </c:pt>
                <c:pt idx="394">
                  <c:v>17026052.104208417</c:v>
                </c:pt>
                <c:pt idx="395">
                  <c:v>17054108.216432866</c:v>
                </c:pt>
                <c:pt idx="396">
                  <c:v>17082164.328657314</c:v>
                </c:pt>
                <c:pt idx="397">
                  <c:v>17110220.440881763</c:v>
                </c:pt>
                <c:pt idx="398">
                  <c:v>17138276.553106211</c:v>
                </c:pt>
                <c:pt idx="399">
                  <c:v>17166332.665330663</c:v>
                </c:pt>
                <c:pt idx="400">
                  <c:v>17194388.777555108</c:v>
                </c:pt>
                <c:pt idx="401">
                  <c:v>17222444.88977956</c:v>
                </c:pt>
                <c:pt idx="402">
                  <c:v>17250501.002004009</c:v>
                </c:pt>
                <c:pt idx="403">
                  <c:v>17278557.114228457</c:v>
                </c:pt>
                <c:pt idx="404">
                  <c:v>17306613.226452906</c:v>
                </c:pt>
                <c:pt idx="405">
                  <c:v>17334669.338677354</c:v>
                </c:pt>
                <c:pt idx="406">
                  <c:v>17362725.450901806</c:v>
                </c:pt>
                <c:pt idx="407">
                  <c:v>17390781.563126251</c:v>
                </c:pt>
                <c:pt idx="408">
                  <c:v>17418837.675350703</c:v>
                </c:pt>
                <c:pt idx="409">
                  <c:v>17446893.787575148</c:v>
                </c:pt>
                <c:pt idx="410">
                  <c:v>17474949.8997996</c:v>
                </c:pt>
                <c:pt idx="411">
                  <c:v>17503006.012024049</c:v>
                </c:pt>
                <c:pt idx="412">
                  <c:v>17531062.124248497</c:v>
                </c:pt>
                <c:pt idx="413">
                  <c:v>17559118.236472946</c:v>
                </c:pt>
                <c:pt idx="414">
                  <c:v>17587174.348697394</c:v>
                </c:pt>
                <c:pt idx="415">
                  <c:v>17615230.460921846</c:v>
                </c:pt>
                <c:pt idx="416">
                  <c:v>17643286.573146291</c:v>
                </c:pt>
                <c:pt idx="417">
                  <c:v>17671342.685370743</c:v>
                </c:pt>
                <c:pt idx="418">
                  <c:v>17699398.797595188</c:v>
                </c:pt>
                <c:pt idx="419">
                  <c:v>17727454.90981964</c:v>
                </c:pt>
                <c:pt idx="420">
                  <c:v>17755511.022044089</c:v>
                </c:pt>
                <c:pt idx="421">
                  <c:v>17783567.134268537</c:v>
                </c:pt>
                <c:pt idx="422">
                  <c:v>17811623.246492986</c:v>
                </c:pt>
                <c:pt idx="423">
                  <c:v>17839679.358717434</c:v>
                </c:pt>
                <c:pt idx="424">
                  <c:v>17867735.470941886</c:v>
                </c:pt>
                <c:pt idx="425">
                  <c:v>17895791.583166331</c:v>
                </c:pt>
                <c:pt idx="426">
                  <c:v>17923847.695390783</c:v>
                </c:pt>
                <c:pt idx="427">
                  <c:v>17951903.807615228</c:v>
                </c:pt>
                <c:pt idx="428">
                  <c:v>17979959.91983968</c:v>
                </c:pt>
                <c:pt idx="429">
                  <c:v>18008016.032064129</c:v>
                </c:pt>
                <c:pt idx="430">
                  <c:v>18036072.144288577</c:v>
                </c:pt>
                <c:pt idx="431">
                  <c:v>18064128.256513026</c:v>
                </c:pt>
                <c:pt idx="432">
                  <c:v>18092184.368737474</c:v>
                </c:pt>
                <c:pt idx="433">
                  <c:v>18120240.480961926</c:v>
                </c:pt>
                <c:pt idx="434">
                  <c:v>18148296.593186371</c:v>
                </c:pt>
                <c:pt idx="435">
                  <c:v>18176352.705410823</c:v>
                </c:pt>
                <c:pt idx="436">
                  <c:v>18204408.817635268</c:v>
                </c:pt>
                <c:pt idx="437">
                  <c:v>18232464.92985972</c:v>
                </c:pt>
                <c:pt idx="438">
                  <c:v>18260521.042084169</c:v>
                </c:pt>
                <c:pt idx="439">
                  <c:v>18288577.154308617</c:v>
                </c:pt>
                <c:pt idx="440">
                  <c:v>18316633.266533066</c:v>
                </c:pt>
                <c:pt idx="441">
                  <c:v>18344689.378757514</c:v>
                </c:pt>
                <c:pt idx="442">
                  <c:v>18372745.490981966</c:v>
                </c:pt>
                <c:pt idx="443">
                  <c:v>18400801.603206411</c:v>
                </c:pt>
                <c:pt idx="444">
                  <c:v>18428857.715430863</c:v>
                </c:pt>
                <c:pt idx="445">
                  <c:v>18456913.827655308</c:v>
                </c:pt>
                <c:pt idx="446">
                  <c:v>18484969.93987976</c:v>
                </c:pt>
                <c:pt idx="447">
                  <c:v>18513026.052104209</c:v>
                </c:pt>
                <c:pt idx="448">
                  <c:v>18541082.164328657</c:v>
                </c:pt>
                <c:pt idx="449">
                  <c:v>18569138.276553106</c:v>
                </c:pt>
                <c:pt idx="450">
                  <c:v>18597194.388777554</c:v>
                </c:pt>
                <c:pt idx="451">
                  <c:v>18625250.501002006</c:v>
                </c:pt>
                <c:pt idx="452">
                  <c:v>18653306.613226451</c:v>
                </c:pt>
                <c:pt idx="453">
                  <c:v>18681362.725450903</c:v>
                </c:pt>
                <c:pt idx="454">
                  <c:v>18709418.837675352</c:v>
                </c:pt>
                <c:pt idx="455">
                  <c:v>18737474.9498998</c:v>
                </c:pt>
                <c:pt idx="456">
                  <c:v>18765531.062124249</c:v>
                </c:pt>
                <c:pt idx="457">
                  <c:v>18793587.174348697</c:v>
                </c:pt>
                <c:pt idx="458">
                  <c:v>18821643.286573146</c:v>
                </c:pt>
                <c:pt idx="459">
                  <c:v>18849699.398797594</c:v>
                </c:pt>
                <c:pt idx="460">
                  <c:v>18877755.511022046</c:v>
                </c:pt>
                <c:pt idx="461">
                  <c:v>18905811.623246491</c:v>
                </c:pt>
                <c:pt idx="462">
                  <c:v>18933867.735470943</c:v>
                </c:pt>
                <c:pt idx="463">
                  <c:v>18961923.847695392</c:v>
                </c:pt>
                <c:pt idx="464">
                  <c:v>18989979.95991984</c:v>
                </c:pt>
                <c:pt idx="465">
                  <c:v>19018036.072144289</c:v>
                </c:pt>
                <c:pt idx="466">
                  <c:v>19046092.184368737</c:v>
                </c:pt>
                <c:pt idx="467">
                  <c:v>19074148.296593186</c:v>
                </c:pt>
                <c:pt idx="468">
                  <c:v>19102204.408817634</c:v>
                </c:pt>
                <c:pt idx="469">
                  <c:v>19130260.521042086</c:v>
                </c:pt>
                <c:pt idx="470">
                  <c:v>19158316.633266531</c:v>
                </c:pt>
                <c:pt idx="471">
                  <c:v>19186372.745490983</c:v>
                </c:pt>
                <c:pt idx="472">
                  <c:v>19214428.857715432</c:v>
                </c:pt>
                <c:pt idx="473">
                  <c:v>19242484.96993988</c:v>
                </c:pt>
                <c:pt idx="474">
                  <c:v>19270541.082164329</c:v>
                </c:pt>
                <c:pt idx="475">
                  <c:v>19298597.194388777</c:v>
                </c:pt>
                <c:pt idx="476">
                  <c:v>19326653.306613229</c:v>
                </c:pt>
                <c:pt idx="477">
                  <c:v>19354709.418837674</c:v>
                </c:pt>
                <c:pt idx="478">
                  <c:v>19382765.531062126</c:v>
                </c:pt>
                <c:pt idx="479">
                  <c:v>19410821.643286571</c:v>
                </c:pt>
                <c:pt idx="480">
                  <c:v>19438877.755511023</c:v>
                </c:pt>
                <c:pt idx="481">
                  <c:v>19466933.867735472</c:v>
                </c:pt>
                <c:pt idx="482">
                  <c:v>19494989.97995992</c:v>
                </c:pt>
                <c:pt idx="483">
                  <c:v>19523046.092184369</c:v>
                </c:pt>
                <c:pt idx="484">
                  <c:v>19551102.204408817</c:v>
                </c:pt>
                <c:pt idx="485">
                  <c:v>19579158.316633269</c:v>
                </c:pt>
                <c:pt idx="486">
                  <c:v>19607214.428857714</c:v>
                </c:pt>
                <c:pt idx="487">
                  <c:v>19635270.541082166</c:v>
                </c:pt>
                <c:pt idx="488">
                  <c:v>19663326.653306611</c:v>
                </c:pt>
                <c:pt idx="489">
                  <c:v>19691382.765531063</c:v>
                </c:pt>
                <c:pt idx="490">
                  <c:v>19719438.877755512</c:v>
                </c:pt>
                <c:pt idx="491">
                  <c:v>19747494.98997996</c:v>
                </c:pt>
                <c:pt idx="492">
                  <c:v>19775551.102204408</c:v>
                </c:pt>
                <c:pt idx="493">
                  <c:v>19803607.214428857</c:v>
                </c:pt>
                <c:pt idx="494">
                  <c:v>19831663.326653309</c:v>
                </c:pt>
                <c:pt idx="495">
                  <c:v>19859719.438877754</c:v>
                </c:pt>
                <c:pt idx="496">
                  <c:v>19887775.551102206</c:v>
                </c:pt>
                <c:pt idx="497">
                  <c:v>19915831.663326651</c:v>
                </c:pt>
                <c:pt idx="498">
                  <c:v>19943887.775551103</c:v>
                </c:pt>
                <c:pt idx="499">
                  <c:v>19971943.887775552</c:v>
                </c:pt>
                <c:pt idx="500">
                  <c:v>20000000</c:v>
                </c:pt>
              </c:numCache>
            </c:numRef>
          </c:xVal>
          <c:yVal>
            <c:numRef>
              <c:f>Sheet1!$I$2502:$I$3003</c:f>
              <c:numCache>
                <c:formatCode>General</c:formatCode>
                <c:ptCount val="502"/>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-1.1266915486952687E-10</c:v>
                </c:pt>
                <c:pt idx="40">
                  <c:v>-3.7267477138472714E-10</c:v>
                </c:pt>
                <c:pt idx="41">
                  <c:v>-6.1908055712514186E-10</c:v>
                </c:pt>
                <c:pt idx="42">
                  <c:v>-8.4235244065009055E-10</c:v>
                </c:pt>
                <c:pt idx="43">
                  <c:v>-1.0329563505188621E-09</c:v>
                </c:pt>
                <c:pt idx="44">
                  <c:v>-1.1813582152907721E-09</c:v>
                </c:pt>
                <c:pt idx="45">
                  <c:v>-1.2780239635251145E-09</c:v>
                </c:pt>
                <c:pt idx="46">
                  <c:v>-1.3134195237811997E-09</c:v>
                </c:pt>
                <c:pt idx="47">
                  <c:v>-1.2780108246183278E-09</c:v>
                </c:pt>
                <c:pt idx="48">
                  <c:v>-1.1622637945958006E-09</c:v>
                </c:pt>
                <c:pt idx="49">
                  <c:v>-9.5664436227292844E-10</c:v>
                </c:pt>
                <c:pt idx="50">
                  <c:v>-6.5161845620901444E-10</c:v>
                </c:pt>
                <c:pt idx="51">
                  <c:v>-2.3765200496334493E-10</c:v>
                </c:pt>
                <c:pt idx="52">
                  <c:v>2.9341093211075289E-10</c:v>
                </c:pt>
                <c:pt idx="53">
                  <c:v>9.2143797298045709E-10</c:v>
                </c:pt>
                <c:pt idx="54">
                  <c:v>1.599781756479778E-09</c:v>
                </c:pt>
                <c:pt idx="55">
                  <c:v>2.2807719254052755E-09</c:v>
                </c:pt>
                <c:pt idx="56">
                  <c:v>2.9167381225534217E-09</c:v>
                </c:pt>
                <c:pt idx="57">
                  <c:v>3.4600099907207776E-09</c:v>
                </c:pt>
                <c:pt idx="58">
                  <c:v>3.8629171727038236E-09</c:v>
                </c:pt>
                <c:pt idx="59">
                  <c:v>4.0777893112990994E-09</c:v>
                </c:pt>
                <c:pt idx="60">
                  <c:v>4.0569560493031189E-09</c:v>
                </c:pt>
                <c:pt idx="61">
                  <c:v>3.7527470295123891E-09</c:v>
                </c:pt>
                <c:pt idx="62">
                  <c:v>3.11749189472345E-09</c:v>
                </c:pt>
                <c:pt idx="63">
                  <c:v>2.103520287732813E-09</c:v>
                </c:pt>
                <c:pt idx="64">
                  <c:v>6.6316185133694781E-10</c:v>
                </c:pt>
                <c:pt idx="65">
                  <c:v>-1.2420242834334171E-09</c:v>
                </c:pt>
                <c:pt idx="66">
                  <c:v>-3.5243029530900788E-09</c:v>
                </c:pt>
                <c:pt idx="67">
                  <c:v>-6.0045673273633928E-09</c:v>
                </c:pt>
                <c:pt idx="68">
                  <c:v>-8.5016700488802047E-09</c:v>
                </c:pt>
                <c:pt idx="69">
                  <c:v>-1.0834463760267365E-08</c:v>
                </c:pt>
                <c:pt idx="70">
                  <c:v>-1.282180110415154E-08</c:v>
                </c:pt>
                <c:pt idx="71">
                  <c:v>-1.4282534723159453E-08</c:v>
                </c:pt>
                <c:pt idx="72">
                  <c:v>-1.5035517259917947E-08</c:v>
                </c:pt>
                <c:pt idx="73">
                  <c:v>-1.4899601357053777E-08</c:v>
                </c:pt>
                <c:pt idx="74">
                  <c:v>-1.3693639657193725E-08</c:v>
                </c:pt>
                <c:pt idx="75">
                  <c:v>-1.1236484802964469E-08</c:v>
                </c:pt>
                <c:pt idx="76">
                  <c:v>-7.3469894369929384E-09</c:v>
                </c:pt>
                <c:pt idx="77">
                  <c:v>-1.8440062019058609E-09</c:v>
                </c:pt>
                <c:pt idx="78">
                  <c:v>5.3998889756797143E-09</c:v>
                </c:pt>
                <c:pt idx="79">
                  <c:v>1.399734429796993E-08</c:v>
                </c:pt>
                <c:pt idx="80">
                  <c:v>2.32745283416163E-08</c:v>
                </c:pt>
                <c:pt idx="81">
                  <c:v>3.2554522034329646E-08</c:v>
                </c:pt>
                <c:pt idx="82">
                  <c:v>4.1160406303820841E-08</c:v>
                </c:pt>
                <c:pt idx="83">
                  <c:v>4.8415262077800073E-08</c:v>
                </c:pt>
                <c:pt idx="84">
                  <c:v>5.3642170283977695E-08</c:v>
                </c:pt>
                <c:pt idx="85">
                  <c:v>5.6164211850064588E-08</c:v>
                </c:pt>
                <c:pt idx="86">
                  <c:v>5.5304467703771231E-08</c:v>
                </c:pt>
                <c:pt idx="87">
                  <c:v>5.0386018772808E-08</c:v>
                </c:pt>
                <c:pt idx="88">
                  <c:v>4.0731945984885789E-08</c:v>
                </c:pt>
                <c:pt idx="89">
                  <c:v>2.5665330267715107E-08</c:v>
                </c:pt>
                <c:pt idx="90">
                  <c:v>4.50925254900657E-09</c:v>
                </c:pt>
                <c:pt idx="91">
                  <c:v>-2.3118919577471826E-08</c:v>
                </c:pt>
                <c:pt idx="92">
                  <c:v>-5.5560723254144247E-08</c:v>
                </c:pt>
                <c:pt idx="93">
                  <c:v>-9.0292747790376762E-08</c:v>
                </c:pt>
                <c:pt idx="94">
                  <c:v>-1.2478846425438698E-07</c:v>
                </c:pt>
                <c:pt idx="95">
                  <c:v>-1.5652134371439235E-07</c:v>
                </c:pt>
                <c:pt idx="96">
                  <c:v>-1.8296485723860411E-07</c:v>
                </c:pt>
                <c:pt idx="97">
                  <c:v>-2.0159247589523995E-07</c:v>
                </c:pt>
                <c:pt idx="98">
                  <c:v>-2.0987767075251547E-07</c:v>
                </c:pt>
                <c:pt idx="99">
                  <c:v>-2.0529391287864621E-07</c:v>
                </c:pt>
                <c:pt idx="100">
                  <c:v>-1.8531467334184762E-07</c:v>
                </c:pt>
                <c:pt idx="101">
                  <c:v>-1.474134232103322E-07</c:v>
                </c:pt>
                <c:pt idx="102">
                  <c:v>-8.90636335523203E-08</c:v>
                </c:pt>
                <c:pt idx="103">
                  <c:v>-7.7387754360256184E-09</c:v>
                </c:pt>
                <c:pt idx="104">
                  <c:v>9.7544733392254263E-08</c:v>
                </c:pt>
                <c:pt idx="105">
                  <c:v>2.1987657023460378E-07</c:v>
                </c:pt>
                <c:pt idx="106">
                  <c:v>3.4982862586333922E-07</c:v>
                </c:pt>
                <c:pt idx="107">
                  <c:v>4.779717036236122E-07</c:v>
                </c:pt>
                <c:pt idx="108">
                  <c:v>5.94876606860574E-07</c:v>
                </c:pt>
                <c:pt idx="109">
                  <c:v>6.9111413891938161E-07</c:v>
                </c:pt>
                <c:pt idx="110">
                  <c:v>7.5725510314517395E-07</c:v>
                </c:pt>
                <c:pt idx="111">
                  <c:v>7.8387030288310911E-07</c:v>
                </c:pt>
                <c:pt idx="112">
                  <c:v>7.6153054147833906E-07</c:v>
                </c:pt>
                <c:pt idx="113">
                  <c:v>6.8080662227600769E-07</c:v>
                </c:pt>
                <c:pt idx="114">
                  <c:v>5.322693486212766E-07</c:v>
                </c:pt>
                <c:pt idx="115">
                  <c:v>3.0648952385929434E-07</c:v>
                </c:pt>
                <c:pt idx="116">
                  <c:v>-5.962014353758661E-09</c:v>
                </c:pt>
                <c:pt idx="117">
                  <c:v>-4.0670036746189704E-07</c:v>
                </c:pt>
                <c:pt idx="118">
                  <c:v>-8.676065971428814E-07</c:v>
                </c:pt>
                <c:pt idx="119">
                  <c:v>-1.3534904457090399E-06</c:v>
                </c:pt>
                <c:pt idx="120">
                  <c:v>-1.8291616554727915E-06</c:v>
                </c:pt>
                <c:pt idx="121">
                  <c:v>-2.2594299687465539E-06</c:v>
                </c:pt>
                <c:pt idx="122">
                  <c:v>-2.6091051278426578E-06</c:v>
                </c:pt>
                <c:pt idx="123">
                  <c:v>-2.8429968750735275E-06</c:v>
                </c:pt>
                <c:pt idx="124">
                  <c:v>-2.9259149527515484E-06</c:v>
                </c:pt>
                <c:pt idx="125">
                  <c:v>-2.8226691031891157E-06</c:v>
                </c:pt>
                <c:pt idx="126">
                  <c:v>-2.4980690686986178E-06</c:v>
                </c:pt>
                <c:pt idx="127">
                  <c:v>-1.9169245915923994E-06</c:v>
                </c:pt>
                <c:pt idx="128">
                  <c:v>-1.0440454141829245E-06</c:v>
                </c:pt>
                <c:pt idx="129">
                  <c:v>1.5571649509499219E-07</c:v>
                </c:pt>
                <c:pt idx="130">
                  <c:v>1.6792045062345322E-06</c:v>
                </c:pt>
                <c:pt idx="131">
                  <c:v>3.4143234025513867E-06</c:v>
                </c:pt>
                <c:pt idx="132">
                  <c:v>5.2297413499500576E-06</c:v>
                </c:pt>
                <c:pt idx="133">
                  <c:v>6.99412651433496E-06</c:v>
                </c:pt>
                <c:pt idx="134">
                  <c:v>8.576147061610501E-06</c:v>
                </c:pt>
                <c:pt idx="135">
                  <c:v>9.8444711576810931E-06</c:v>
                </c:pt>
                <c:pt idx="136">
                  <c:v>1.0667766968451183E-05</c:v>
                </c:pt>
                <c:pt idx="137">
                  <c:v>1.0914702659825077E-05</c:v>
                </c:pt>
                <c:pt idx="138">
                  <c:v>1.0453946397707242E-05</c:v>
                </c:pt>
                <c:pt idx="139">
                  <c:v>9.1541663480019785E-06</c:v>
                </c:pt>
                <c:pt idx="140">
                  <c:v>6.8840306766138655E-06</c:v>
                </c:pt>
                <c:pt idx="141">
                  <c:v>3.512207549447262E-06</c:v>
                </c:pt>
                <c:pt idx="142">
                  <c:v>-1.0898188725597634E-06</c:v>
                </c:pt>
                <c:pt idx="143">
                  <c:v>-6.5440402856151796E-06</c:v>
                </c:pt>
                <c:pt idx="144">
                  <c:v>-1.1383818764154575E-05</c:v>
                </c:pt>
                <c:pt idx="145">
                  <c:v>-1.4001440892277145E-05</c:v>
                </c:pt>
                <c:pt idx="146">
                  <c:v>-1.2789193254083095E-05</c:v>
                </c:pt>
                <c:pt idx="147">
                  <c:v>-6.1393624336723786E-06</c:v>
                </c:pt>
                <c:pt idx="148">
                  <c:v>7.5557649848563763E-06</c:v>
                </c:pt>
                <c:pt idx="149">
                  <c:v>2.9903902417401345E-05</c:v>
                </c:pt>
                <c:pt idx="150">
                  <c:v>6.251276327986336E-05</c:v>
                </c:pt>
                <c:pt idx="151">
                  <c:v>0.00010699006098814265</c:v>
                </c:pt>
                <c:pt idx="152">
                  <c:v>0.00016494350895813914</c:v>
                </c:pt>
                <c:pt idx="153">
                  <c:v>0.00023798082060575289</c:v>
                </c:pt>
                <c:pt idx="154">
                  <c:v>0.00032770970934689066</c:v>
                </c:pt>
                <c:pt idx="155">
                  <c:v>0.00043574310680868857</c:v>
                </c:pt>
                <c:pt idx="156">
                  <c:v>0.00056406181157689849</c:v>
                </c:pt>
                <c:pt idx="157">
                  <c:v>0.00071525076279339069</c:v>
                </c:pt>
                <c:pt idx="158">
                  <c:v>0.00089195104932631071</c:v>
                </c:pt>
                <c:pt idx="159">
                  <c:v>0.0010968037600437969</c:v>
                </c:pt>
                <c:pt idx="160">
                  <c:v>0.0013324499838139867</c:v>
                </c:pt>
                <c:pt idx="161">
                  <c:v>0.0016015308095050185</c:v>
                </c:pt>
                <c:pt idx="162">
                  <c:v>0.0019066873259850508</c:v>
                </c:pt>
                <c:pt idx="163">
                  <c:v>0.0022505606221221814</c:v>
                </c:pt>
                <c:pt idx="164">
                  <c:v>0.0026357917867845682</c:v>
                </c:pt>
                <c:pt idx="165">
                  <c:v>0.0030650219088403778</c:v>
                </c:pt>
                <c:pt idx="166">
                  <c:v>0.0035408920771576916</c:v>
                </c:pt>
                <c:pt idx="167">
                  <c:v>0.0040660433806046755</c:v>
                </c:pt>
                <c:pt idx="168">
                  <c:v>0.004643229270154251</c:v>
                </c:pt>
                <c:pt idx="169">
                  <c:v>0.0052793210986506016</c:v>
                </c:pt>
                <c:pt idx="170">
                  <c:v>0.0059863991278381185</c:v>
                </c:pt>
                <c:pt idx="171">
                  <c:v>0.0067768779682469216</c:v>
                </c:pt>
                <c:pt idx="172">
                  <c:v>0.0076631722304069776</c:v>
                </c:pt>
                <c:pt idx="173">
                  <c:v>0.008657696524848468</c:v>
                </c:pt>
                <c:pt idx="174">
                  <c:v>0.0097728654621013263</c:v>
                </c:pt>
                <c:pt idx="175">
                  <c:v>0.011021093652695687</c:v>
                </c:pt>
                <c:pt idx="176">
                  <c:v>0.012414795707161608</c:v>
                </c:pt>
                <c:pt idx="177">
                  <c:v>0.013966386236029164</c:v>
                </c:pt>
                <c:pt idx="178">
                  <c:v>0.015688279849828415</c:v>
                </c:pt>
                <c:pt idx="179">
                  <c:v>0.017592891159089429</c:v>
                </c:pt>
                <c:pt idx="180">
                  <c:v>0.019692634774342417</c:v>
                </c:pt>
                <c:pt idx="181">
                  <c:v>0.021999499071101991</c:v>
                </c:pt>
                <c:pt idx="182">
                  <c:v>0.024516048752931612</c:v>
                </c:pt>
                <c:pt idx="183">
                  <c:v>0.027235631107891484</c:v>
                </c:pt>
                <c:pt idx="184">
                  <c:v>0.030151208446650191</c:v>
                </c:pt>
                <c:pt idx="185">
                  <c:v>0.033255743079876131</c:v>
                </c:pt>
                <c:pt idx="186">
                  <c:v>0.036542197318237733</c:v>
                </c:pt>
                <c:pt idx="187">
                  <c:v>0.0400035334724034</c:v>
                </c:pt>
                <c:pt idx="188">
                  <c:v>0.043632713853041551</c:v>
                </c:pt>
                <c:pt idx="189">
                  <c:v>0.047422700770820864</c:v>
                </c:pt>
                <c:pt idx="190">
                  <c:v>0.051366456536409241</c:v>
                </c:pt>
                <c:pt idx="191">
                  <c:v>0.055456943460475631</c:v>
                </c:pt>
                <c:pt idx="192">
                  <c:v>0.059687123853687879</c:v>
                </c:pt>
                <c:pt idx="193">
                  <c:v>0.0640499600267147</c:v>
                </c:pt>
                <c:pt idx="194">
                  <c:v>0.068537930501625849</c:v>
                </c:pt>
                <c:pt idx="195">
                  <c:v>0.073136467691787055</c:v>
                </c:pt>
                <c:pt idx="196">
                  <c:v>0.077825676849666223</c:v>
                </c:pt>
                <c:pt idx="197">
                  <c:v>0.0825855316792694</c:v>
                </c:pt>
                <c:pt idx="198">
                  <c:v>0.087396005884601641</c:v>
                </c:pt>
                <c:pt idx="199">
                  <c:v>0.092237073169669</c:v>
                </c:pt>
                <c:pt idx="200">
                  <c:v>0.097088707238477456</c:v>
                </c:pt>
                <c:pt idx="201">
                  <c:v>0.1019308817950321</c:v>
                </c:pt>
                <c:pt idx="202">
                  <c:v>0.10674357054333897</c:v>
                </c:pt>
                <c:pt idx="203">
                  <c:v>0.11150674718740373</c:v>
                </c:pt>
                <c:pt idx="204">
                  <c:v>0.11620038543123212</c:v>
                </c:pt>
                <c:pt idx="205">
                  <c:v>0.12080445897882983</c:v>
                </c:pt>
                <c:pt idx="206">
                  <c:v>0.12529894153420285</c:v>
                </c:pt>
                <c:pt idx="207">
                  <c:v>0.12966533508564532</c:v>
                </c:pt>
                <c:pt idx="208">
                  <c:v>0.13390063449502923</c:v>
                </c:pt>
                <c:pt idx="209">
                  <c:v>0.13801084673123123</c:v>
                </c:pt>
                <c:pt idx="210">
                  <c:v>0.14200209038311296</c:v>
                </c:pt>
                <c:pt idx="211">
                  <c:v>0.14588048403953585</c:v>
                </c:pt>
                <c:pt idx="212">
                  <c:v>0.14965214628936122</c:v>
                </c:pt>
                <c:pt idx="213">
                  <c:v>0.15332319572145048</c:v>
                </c:pt>
                <c:pt idx="214">
                  <c:v>0.15689975092466502</c:v>
                </c:pt>
                <c:pt idx="215">
                  <c:v>0.1603879304878664</c:v>
                </c:pt>
                <c:pt idx="216">
                  <c:v>0.16379385299991553</c:v>
                </c:pt>
                <c:pt idx="217">
                  <c:v>0.16712363704967428</c:v>
                </c:pt>
                <c:pt idx="218">
                  <c:v>0.17038340122600365</c:v>
                </c:pt>
                <c:pt idx="219">
                  <c:v>0.17357926411776509</c:v>
                </c:pt>
                <c:pt idx="220">
                  <c:v>0.17671473900607015</c:v>
                </c:pt>
                <c:pt idx="221">
                  <c:v>0.17977430438238895</c:v>
                </c:pt>
                <c:pt idx="222">
                  <c:v>0.18273399264602164</c:v>
                </c:pt>
                <c:pt idx="223">
                  <c:v>0.18556979815161595</c:v>
                </c:pt>
                <c:pt idx="224">
                  <c:v>0.18825771525381976</c:v>
                </c:pt>
                <c:pt idx="225">
                  <c:v>0.19077373830728031</c:v>
                </c:pt>
                <c:pt idx="226">
                  <c:v>0.19309386166664574</c:v>
                </c:pt>
                <c:pt idx="227">
                  <c:v>0.19519407968656333</c:v>
                </c:pt>
                <c:pt idx="228">
                  <c:v>0.19705038672168096</c:v>
                </c:pt>
                <c:pt idx="229">
                  <c:v>0.19863877712664635</c:v>
                </c:pt>
                <c:pt idx="230">
                  <c:v>0.19993524525610717</c:v>
                </c:pt>
                <c:pt idx="231">
                  <c:v>0.20091578546471112</c:v>
                </c:pt>
                <c:pt idx="232">
                  <c:v>0.20155639210710594</c:v>
                </c:pt>
                <c:pt idx="233">
                  <c:v>0.20183783284233237</c:v>
                </c:pt>
                <c:pt idx="234">
                  <c:v>0.20176653983804479</c:v>
                </c:pt>
                <c:pt idx="235">
                  <c:v>0.20135753334030085</c:v>
                </c:pt>
                <c:pt idx="236">
                  <c:v>0.20062583972705575</c:v>
                </c:pt>
                <c:pt idx="237">
                  <c:v>0.19958648537626456</c:v>
                </c:pt>
                <c:pt idx="238">
                  <c:v>0.19825449666588238</c:v>
                </c:pt>
                <c:pt idx="239">
                  <c:v>0.19664489997386431</c:v>
                </c:pt>
                <c:pt idx="240">
                  <c:v>0.19477272167816545</c:v>
                </c:pt>
                <c:pt idx="241">
                  <c:v>0.19265298815674076</c:v>
                </c:pt>
                <c:pt idx="242">
                  <c:v>0.19030072578754562</c:v>
                </c:pt>
                <c:pt idx="243">
                  <c:v>0.18773096094853481</c:v>
                </c:pt>
                <c:pt idx="244">
                  <c:v>0.18495872001766381</c:v>
                </c:pt>
                <c:pt idx="245">
                  <c:v>0.18199902937288745</c:v>
                </c:pt>
                <c:pt idx="246">
                  <c:v>0.17886491163390694</c:v>
                </c:pt>
                <c:pt idx="247">
                  <c:v>0.17556138203989355</c:v>
                </c:pt>
                <c:pt idx="248">
                  <c:v>0.17209145589618141</c:v>
                </c:pt>
                <c:pt idx="249">
                  <c:v>0.16845814850810462</c:v>
                </c:pt>
                <c:pt idx="250">
                  <c:v>0.16466447518099697</c:v>
                </c:pt>
                <c:pt idx="251">
                  <c:v>0.16071345122019307</c:v>
                </c:pt>
                <c:pt idx="252">
                  <c:v>0.15660809193102646</c:v>
                </c:pt>
                <c:pt idx="253">
                  <c:v>0.15235141261883176</c:v>
                </c:pt>
                <c:pt idx="254">
                  <c:v>0.14794642858894286</c:v>
                </c:pt>
                <c:pt idx="255">
                  <c:v>0.14339615514669379</c:v>
                </c:pt>
                <c:pt idx="256">
                  <c:v>0.13870360759741862</c:v>
                </c:pt>
                <c:pt idx="257">
                  <c:v>0.13387180124645148</c:v>
                </c:pt>
                <c:pt idx="258">
                  <c:v>0.12890375588594136</c:v>
                </c:pt>
                <c:pt idx="259">
                  <c:v>0.12380866489853339</c:v>
                </c:pt>
                <c:pt idx="260">
                  <c:v>0.11861413637575614</c:v>
                </c:pt>
                <c:pt idx="261">
                  <c:v>0.11335119668785218</c:v>
                </c:pt>
                <c:pt idx="262">
                  <c:v>0.10805087220506543</c:v>
                </c:pt>
                <c:pt idx="263">
                  <c:v>0.10274418929763882</c:v>
                </c:pt>
                <c:pt idx="264">
                  <c:v>0.0974621743358155</c:v>
                </c:pt>
                <c:pt idx="265">
                  <c:v>0.092235853689838762</c:v>
                </c:pt>
                <c:pt idx="266">
                  <c:v>0.08709625372995182</c:v>
                </c:pt>
                <c:pt idx="267">
                  <c:v>0.082074400826397581</c:v>
                </c:pt>
                <c:pt idx="268">
                  <c:v>0.077201321349419955</c:v>
                </c:pt>
                <c:pt idx="269">
                  <c:v>0.07250804166926185</c:v>
                </c:pt>
                <c:pt idx="270">
                  <c:v>0.068025588156166175</c:v>
                </c:pt>
                <c:pt idx="271">
                  <c:v>0.063784923746625172</c:v>
                </c:pt>
                <c:pt idx="272">
                  <c:v>0.05980304464560484</c:v>
                </c:pt>
                <c:pt idx="273">
                  <c:v>0.056065526732758768</c:v>
                </c:pt>
                <c:pt idx="274">
                  <c:v>0.052553654126488873</c:v>
                </c:pt>
                <c:pt idx="275">
                  <c:v>0.049248710945197068</c:v>
                </c:pt>
                <c:pt idx="276">
                  <c:v>0.046131981307285033</c:v>
                </c:pt>
                <c:pt idx="277">
                  <c:v>0.043184749331155084</c:v>
                </c:pt>
                <c:pt idx="278">
                  <c:v>0.040388299135208715</c:v>
                </c:pt>
                <c:pt idx="279">
                  <c:v>0.037723914837848212</c:v>
                </c:pt>
                <c:pt idx="280">
                  <c:v>0.035172880557475264</c:v>
                </c:pt>
                <c:pt idx="281">
                  <c:v>0.032716480412491776</c:v>
                </c:pt>
                <c:pt idx="282">
                  <c:v>0.030335998521299642</c:v>
                </c:pt>
                <c:pt idx="283">
                  <c:v>0.028012719002300766</c:v>
                </c:pt>
                <c:pt idx="284">
                  <c:v>0.025728057901308662</c:v>
                </c:pt>
                <c:pt idx="285">
                  <c:v>0.02347402723283212</c:v>
                </c:pt>
                <c:pt idx="286">
                  <c:v>0.021260823410422455</c:v>
                </c:pt>
                <c:pt idx="287">
                  <c:v>0.019100432664618194</c:v>
                </c:pt>
                <c:pt idx="288">
                  <c:v>0.017004841225958453</c:v>
                </c:pt>
                <c:pt idx="289">
                  <c:v>0.014986035324981913</c:v>
                </c:pt>
                <c:pt idx="290">
                  <c:v>0.013056001192227391</c:v>
                </c:pt>
                <c:pt idx="291">
                  <c:v>0.011226725058233718</c:v>
                </c:pt>
                <c:pt idx="292">
                  <c:v>0.0095101931535397123</c:v>
                </c:pt>
                <c:pt idx="293">
                  <c:v>0.0079183917086842019</c:v>
                </c:pt>
                <c:pt idx="294">
                  <c:v>0.0064633069542059177</c:v>
                </c:pt>
                <c:pt idx="295">
                  <c:v>0.0051569251206438783</c:v>
                </c:pt>
                <c:pt idx="296">
                  <c:v>0.0040112324385367364</c:v>
                </c:pt>
                <c:pt idx="297">
                  <c:v>0.0030379321656120793</c:v>
                </c:pt>
                <c:pt idx="298">
                  <c:v>0.0022373121438472245</c:v>
                </c:pt>
                <c:pt idx="299">
                  <c:v>0.0015945866248615094</c:v>
                </c:pt>
                <c:pt idx="300">
                  <c:v>0.0010939374841442036</c:v>
                </c:pt>
                <c:pt idx="301">
                  <c:v>0.000719546597184555</c:v>
                </c:pt>
                <c:pt idx="302">
                  <c:v>0.00045559583947188246</c:v>
                </c:pt>
                <c:pt idx="303">
                  <c:v>0.00028626708649542583</c:v>
                </c:pt>
                <c:pt idx="304">
                  <c:v>0.00019574221374445253</c:v>
                </c:pt>
                <c:pt idx="305">
                  <c:v>0.00016820309670823323</c:v>
                </c:pt>
                <c:pt idx="306">
                  <c:v>0.00018783161087603927</c:v>
                </c:pt>
                <c:pt idx="307">
                  <c:v>0.00023880963173713568</c:v>
                </c:pt>
                <c:pt idx="308">
                  <c:v>0.00030531903478079155</c:v>
                </c:pt>
                <c:pt idx="309">
                  <c:v>0.00037154169549627616</c:v>
                </c:pt>
                <c:pt idx="310">
                  <c:v>0.00042202684265471726</c:v>
                </c:pt>
                <c:pt idx="311">
                  <c:v>0.00045009245890928343</c:v>
                </c:pt>
                <c:pt idx="312">
                  <c:v>0.00045800661600788864</c:v>
                </c:pt>
                <c:pt idx="313">
                  <c:v>0.00044844101078620185</c:v>
                </c:pt>
                <c:pt idx="314">
                  <c:v>0.00042406734007988903</c:v>
                </c:pt>
                <c:pt idx="315">
                  <c:v>0.000387557300724622</c:v>
                </c:pt>
                <c:pt idx="316">
                  <c:v>0.000341582589556068</c:v>
                </c:pt>
                <c:pt idx="317">
                  <c:v>0.00028881490340989542</c:v>
                </c:pt>
                <c:pt idx="318">
                  <c:v>0.00023192593912177271</c:v>
                </c:pt>
                <c:pt idx="319">
                  <c:v>0.0001735873935273644</c:v>
                </c:pt>
                <c:pt idx="320">
                  <c:v>0.00011647096346234677</c:v>
                </c:pt>
                <c:pt idx="321">
                  <c:v>6.32483457623843E-05</c:v>
                </c:pt>
                <c:pt idx="322">
                  <c:v>1.6591237263145468E-05</c:v>
                </c:pt>
                <c:pt idx="323">
                  <c:v>-2.0955206142989839E-05</c:v>
                </c:pt>
                <c:pt idx="324">
                  <c:v>-4.8812205565572742E-05</c:v>
                </c:pt>
                <c:pt idx="325">
                  <c:v>-6.7952902600518269E-05</c:v>
                </c:pt>
                <c:pt idx="326">
                  <c:v>-7.93926299343989E-05</c:v>
                </c:pt>
                <c:pt idx="327">
                  <c:v>-8.4146720253787022E-05</c:v>
                </c:pt>
                <c:pt idx="328">
                  <c:v>-8.323050624525477E-05</c:v>
                </c:pt>
                <c:pt idx="329">
                  <c:v>-7.7659320595374775E-05</c:v>
                </c:pt>
                <c:pt idx="330">
                  <c:v>-6.8448495990719517E-05</c:v>
                </c:pt>
                <c:pt idx="331">
                  <c:v>-5.6613365117861409E-05</c:v>
                </c:pt>
                <c:pt idx="332">
                  <c:v>-4.3169260663371929E-05</c:v>
                </c:pt>
                <c:pt idx="333">
                  <c:v>-2.9131515313825305E-05</c:v>
                </c:pt>
                <c:pt idx="334">
                  <c:v>-1.5515461755793103E-05</c:v>
                </c:pt>
                <c:pt idx="335">
                  <c:v>-3.3364326758477106E-06</c:v>
                </c:pt>
                <c:pt idx="336">
                  <c:v>6.4603855248135561E-06</c:v>
                </c:pt>
                <c:pt idx="337">
                  <c:v>1.3682842620081281E-05</c:v>
                </c:pt>
                <c:pt idx="338">
                  <c:v>1.8596535036862196E-05</c:v>
                </c:pt>
                <c:pt idx="339">
                  <c:v>2.1473520348572271E-05</c:v>
                </c:pt>
                <c:pt idx="340">
                  <c:v>2.2585856128627502E-05</c:v>
                </c:pt>
                <c:pt idx="341">
                  <c:v>2.2205599950443785E-05</c:v>
                </c:pt>
                <c:pt idx="342">
                  <c:v>2.0604809387437164E-05</c:v>
                </c:pt>
                <c:pt idx="343">
                  <c:v>1.8055542013023648E-05</c:v>
                </c:pt>
                <c:pt idx="344">
                  <c:v>1.4829855400619215E-05</c:v>
                </c:pt>
                <c:pt idx="345">
                  <c:v>1.1199807123639592E-05</c:v>
                </c:pt>
                <c:pt idx="346">
                  <c:v>7.4374547555012536E-06</c:v>
                </c:pt>
                <c:pt idx="347">
                  <c:v>3.814855869619954E-06</c:v>
                </c:pt>
                <c:pt idx="348">
                  <c:v>6.0406803941166793E-07</c:v>
                </c:pt>
                <c:pt idx="349">
                  <c:v>-1.9509027653595286E-06</c:v>
                </c:pt>
                <c:pt idx="350">
                  <c:v>-3.82206864785161E-06</c:v>
                </c:pt>
                <c:pt idx="351">
                  <c:v>-5.0817736234898941E-06</c:v>
                </c:pt>
                <c:pt idx="352">
                  <c:v>-5.8029152993658908E-06</c:v>
                </c:pt>
                <c:pt idx="353">
                  <c:v>-6.0583912825711219E-06</c:v>
                </c:pt>
                <c:pt idx="354">
                  <c:v>-5.9210991801970774E-06</c:v>
                </c:pt>
                <c:pt idx="355">
                  <c:v>-5.4639365993353E-06</c:v>
                </c:pt>
                <c:pt idx="356">
                  <c:v>-4.75980114707731E-06</c:v>
                </c:pt>
                <c:pt idx="357">
                  <c:v>-3.8815904305146221E-06</c:v>
                </c:pt>
                <c:pt idx="358">
                  <c:v>-2.9022020567386858E-06</c:v>
                </c:pt>
                <c:pt idx="359">
                  <c:v>-1.8945336328411521E-06</c:v>
                </c:pt>
                <c:pt idx="360">
                  <c:v>-9.3148276591347553E-07</c:v>
                </c:pt>
                <c:pt idx="361">
                  <c:v>-8.5947063047173117E-08</c:v>
                </c:pt>
                <c:pt idx="362">
                  <c:v>5.7987649409328386E-07</c:v>
                </c:pt>
                <c:pt idx="363">
                  <c:v>1.0642711809079778E-06</c:v>
                </c:pt>
                <c:pt idx="364">
                  <c:v>1.3867468013028234E-06</c:v>
                </c:pt>
                <c:pt idx="365">
                  <c:v>1.5668362102279438E-06</c:v>
                </c:pt>
                <c:pt idx="366">
                  <c:v>1.6240722626334263E-06</c:v>
                </c:pt>
                <c:pt idx="367">
                  <c:v>1.5779878134693519E-06</c:v>
                </c:pt>
                <c:pt idx="368">
                  <c:v>1.4481157176858143E-06</c:v>
                </c:pt>
                <c:pt idx="369">
                  <c:v>1.2539888302329007E-06</c:v>
                </c:pt>
                <c:pt idx="370">
                  <c:v>1.0151400060606987E-06</c:v>
                </c:pt>
                <c:pt idx="371">
                  <c:v>7.5110210011927642E-07</c:v>
                </c:pt>
                <c:pt idx="372">
                  <c:v>4.8140796735875684E-07</c:v>
                </c:pt>
                <c:pt idx="373">
                  <c:v>2.2559046272921051E-07</c:v>
                </c:pt>
                <c:pt idx="374">
                  <c:v>3.18244118072398E-09</c:v>
                </c:pt>
                <c:pt idx="375">
                  <c:v>-1.7021590995919965E-07</c:v>
                </c:pt>
                <c:pt idx="376">
                  <c:v>-2.9550921708487762E-07</c:v>
                </c:pt>
                <c:pt idx="377">
                  <c:v>-3.7793127596329713E-07</c:v>
                </c:pt>
                <c:pt idx="378">
                  <c:v>-4.2271589930329896E-07</c:v>
                </c:pt>
                <c:pt idx="379">
                  <c:v>-4.3509689981371427E-07</c:v>
                </c:pt>
                <c:pt idx="380">
                  <c:v>-4.2030809020337218E-07</c:v>
                </c:pt>
                <c:pt idx="381">
                  <c:v>-3.8358328318110607E-07</c:v>
                </c:pt>
                <c:pt idx="382">
                  <c:v>-3.3015629145574648E-07</c:v>
                </c:pt>
                <c:pt idx="383">
                  <c:v>-2.6526092773612463E-07</c:v>
                </c:pt>
                <c:pt idx="384">
                  <c:v>-1.9413100473106661E-07</c:v>
                </c:pt>
                <c:pt idx="385">
                  <c:v>-1.2200033514941315E-07</c:v>
                </c:pt>
                <c:pt idx="386">
                  <c:v>-5.410273169999061E-08</c:v>
                </c:pt>
                <c:pt idx="387">
                  <c:v>4.3286107225854348E-09</c:v>
                </c:pt>
                <c:pt idx="388">
                  <c:v>4.9460450248870686E-08</c:v>
                </c:pt>
                <c:pt idx="389">
                  <c:v>8.1840527124940062E-08</c:v>
                </c:pt>
                <c:pt idx="390">
                  <c:v>1.0287123723603262E-07</c:v>
                </c:pt>
                <c:pt idx="391">
                  <c:v>1.1395497646737899E-07</c:v>
                </c:pt>
                <c:pt idx="392">
                  <c:v>1.1649414070422218E-07</c:v>
                </c:pt>
                <c:pt idx="393">
                  <c:v>1.1189112583179661E-07</c:v>
                </c:pt>
                <c:pt idx="394">
                  <c:v>1.0154832773534002E-07</c:v>
                </c:pt>
                <c:pt idx="395">
                  <c:v>8.686814230008938E-08</c:v>
                </c:pt>
                <c:pt idx="396">
                  <c:v>6.9252965411281569E-08</c:v>
                </c:pt>
                <c:pt idx="397">
                  <c:v>5.0105192954153537E-08</c:v>
                </c:pt>
                <c:pt idx="398">
                  <c:v>3.0827220813942241E-08</c:v>
                </c:pt>
                <c:pt idx="399">
                  <c:v>1.2821444875882336E-08</c:v>
                </c:pt>
                <c:pt idx="400">
                  <c:v>-2.511488271893887E-09</c:v>
                </c:pt>
                <c:pt idx="401">
                  <c:v>-1.4251761605146034E-08</c:v>
                </c:pt>
                <c:pt idx="402">
                  <c:v>-2.2612173932230562E-08</c:v>
                </c:pt>
                <c:pt idx="403">
                  <c:v>-2.796849608526615E-08</c:v>
                </c:pt>
                <c:pt idx="404">
                  <c:v>-3.0696498896369644E-08</c:v>
                </c:pt>
                <c:pt idx="405">
                  <c:v>-3.1171953197657889E-08</c:v>
                </c:pt>
                <c:pt idx="406">
                  <c:v>-2.9770629821247461E-08</c:v>
                </c:pt>
                <c:pt idx="407">
                  <c:v>-2.6868299599256066E-08</c:v>
                </c:pt>
                <c:pt idx="408">
                  <c:v>-2.2840733363799112E-08</c:v>
                </c:pt>
                <c:pt idx="409">
                  <c:v>-1.806370194699551E-08</c:v>
                </c:pt>
                <c:pt idx="410">
                  <c:v>-1.2912976180959639E-08</c:v>
                </c:pt>
                <c:pt idx="411">
                  <c:v>-7.7643268978103711E-09</c:v>
                </c:pt>
                <c:pt idx="412">
                  <c:v>-2.9935249296638727E-09</c:v>
                </c:pt>
                <c:pt idx="413">
                  <c:v>1.0253851590207258E-09</c:v>
                </c:pt>
                <c:pt idx="414">
                  <c:v>4.0776331773230237E-09</c:v>
                </c:pt>
                <c:pt idx="415">
                  <c:v>6.2341545714482004E-09</c:v>
                </c:pt>
                <c:pt idx="416">
                  <c:v>7.5956367846259887E-09</c:v>
                </c:pt>
                <c:pt idx="417">
                  <c:v>8.26276726008758E-09</c:v>
                </c:pt>
                <c:pt idx="418">
                  <c:v>8.3362334410630432E-09</c:v>
                </c:pt>
                <c:pt idx="419">
                  <c:v>7.91672277078287E-09</c:v>
                </c:pt>
                <c:pt idx="420">
                  <c:v>7.1049226924775864E-09</c:v>
                </c:pt>
                <c:pt idx="421">
                  <c:v>6.0015206493775987E-09</c:v>
                </c:pt>
                <c:pt idx="422">
                  <c:v>4.7072040847133533E-09</c:v>
                </c:pt>
                <c:pt idx="423">
                  <c:v>3.3226604417152914E-09</c:v>
                </c:pt>
                <c:pt idx="424">
                  <c:v>1.9485771636136747E-09</c:v>
                </c:pt>
                <c:pt idx="425">
                  <c:v>6.8564169363947734E-10</c:v>
                </c:pt>
                <c:pt idx="426">
                  <c:v>-3.6660279693874111E-10</c:v>
                </c:pt>
                <c:pt idx="427">
                  <c:v>-1.159646941987696E-09</c:v>
                </c:pt>
                <c:pt idx="428">
                  <c:v>-1.7153359589539858E-09</c:v>
                </c:pt>
                <c:pt idx="429">
                  <c:v>-2.0606487886422638E-09</c:v>
                </c:pt>
                <c:pt idx="430">
                  <c:v>-2.2225643718575404E-09</c:v>
                </c:pt>
                <c:pt idx="431">
                  <c:v>-2.2280616494047385E-09</c:v>
                </c:pt>
                <c:pt idx="432">
                  <c:v>-2.1041195620887796E-09</c:v>
                </c:pt>
                <c:pt idx="433">
                  <c:v>-1.8777170507145483E-09</c:v>
                </c:pt>
                <c:pt idx="434">
                  <c:v>-1.5758330560870752E-09</c:v>
                </c:pt>
                <c:pt idx="435">
                  <c:v>-1.2254465190111258E-09</c:v>
                </c:pt>
                <c:pt idx="436">
                  <c:v>-8.5353638029180351E-10</c:v>
                </c:pt>
                <c:pt idx="437">
                  <c:v>-4.87081580733836E-10</c:v>
                </c:pt>
                <c:pt idx="438">
                  <c:v>-1.5306106114229525E-10</c:v>
                </c:pt>
                <c:pt idx="439">
                  <c:v>1.2216043436208022E-10</c:v>
                </c:pt>
                <c:pt idx="440">
                  <c:v>3.2808752343875526E-10</c:v>
                </c:pt>
                <c:pt idx="441">
                  <c:v>4.7112742393499732E-10</c:v>
                </c:pt>
                <c:pt idx="442">
                  <c:v>5.5850845584005817E-10</c:v>
                </c:pt>
                <c:pt idx="443">
                  <c:v>5.9745893914315592E-10</c:v>
                </c:pt>
                <c:pt idx="444">
                  <c:v>5.9520719383355557E-10</c:v>
                </c:pt>
                <c:pt idx="445">
                  <c:v>5.5898153990049979E-10</c:v>
                </c:pt>
                <c:pt idx="446">
                  <c:v>4.96010297333214E-10</c:v>
                </c:pt>
                <c:pt idx="447">
                  <c:v>4.1352178612096092E-10</c:v>
                </c:pt>
                <c:pt idx="448">
                  <c:v>3.1874432625297738E-10</c:v>
                </c:pt>
                <c:pt idx="449">
                  <c:v>2.189062377185061E-10</c:v>
                </c:pt>
                <c:pt idx="450">
                  <c:v>1.2123584050678987E-10</c:v>
                </c:pt>
                <c:pt idx="451">
                  <c:v>3.2961454607061222E-11</c:v>
                </c:pt>
                <c:pt idx="452">
                  <c:v>-3.8977695097788489E-11</c:v>
                </c:pt>
                <c:pt idx="453">
                  <c:v>-9.2443215030423943E-11</c:v>
                </c:pt>
                <c:pt idx="454">
                  <c:v>-1.2925154455760189E-10</c:v>
                </c:pt>
                <c:pt idx="455">
                  <c:v>-1.5133702283138139E-10</c:v>
                </c:pt>
                <c:pt idx="456">
                  <c:v>-1.6063398900381352E-10</c:v>
                </c:pt>
                <c:pt idx="457">
                  <c:v>-1.5907678222694936E-10</c:v>
                </c:pt>
                <c:pt idx="458">
                  <c:v>-1.4859974165283974E-10</c:v>
                </c:pt>
                <c:pt idx="459">
                  <c:v>-1.3113720643353578E-10</c:v>
                </c:pt>
                <c:pt idx="460">
                  <c:v>-1.0862351572108516E-10</c:v>
                </c:pt>
                <c:pt idx="461">
                  <c:v>-8.2993008667548617E-11</c:v>
                </c:pt>
                <c:pt idx="462">
                  <c:v>-5.618002442496386E-11</c:v>
                </c:pt>
                <c:pt idx="463">
                  <c:v>-3.0118902145392465E-11</c:v>
                </c:pt>
                <c:pt idx="464">
                  <c:v>-6.7439809808819116E-12</c:v>
                </c:pt>
                <c:pt idx="465">
                  <c:v>1.2134287992362163E-11</c:v>
                </c:pt>
                <c:pt idx="466">
                  <c:v>2.6115287889262514E-11</c:v>
                </c:pt>
                <c:pt idx="467">
                  <c:v>3.5693758504990448E-11</c:v>
                </c:pt>
                <c:pt idx="468">
                  <c:v>4.1378736458506683E-11</c:v>
                </c:pt>
                <c:pt idx="469">
                  <c:v>4.3679258368772125E-11</c:v>
                </c:pt>
                <c:pt idx="470">
                  <c:v>4.3104360854747255E-11</c:v>
                </c:pt>
                <c:pt idx="471">
                  <c:v>4.0163080535392588E-11</c:v>
                </c:pt>
                <c:pt idx="472">
                  <c:v>3.5364454029669663E-11</c:v>
                </c:pt>
                <c:pt idx="473">
                  <c:v>2.9217517956539005E-11</c:v>
                </c:pt>
                <c:pt idx="474">
                  <c:v>2.2231308934961373E-11</c:v>
                </c:pt>
                <c:pt idx="475">
                  <c:v>1.4914863583897559E-11</c:v>
                </c:pt>
                <c:pt idx="476">
                  <c:v>7.7772185223074211E-12</c:v>
                </c:pt>
                <c:pt idx="477">
                  <c:v>1.3274103691544547E-12</c:v>
                </c:pt>
                <c:pt idx="478">
                  <c:v>-3.972170496158908E-12</c:v>
                </c:pt>
                <c:pt idx="479">
                  <c:v>-8.0379803187839625E-12</c:v>
                </c:pt>
                <c:pt idx="480">
                  <c:v>-1.0970602629494164E-11</c:v>
                </c:pt>
                <c:pt idx="481">
                  <c:v>-1.2871844752080293E-11</c:v>
                </c:pt>
                <c:pt idx="482">
                  <c:v>-1.3843514010334958E-11</c:v>
                </c:pt>
                <c:pt idx="483">
                  <c:v>-1.3987417728050322E-11</c:v>
                </c:pt>
                <c:pt idx="484">
                  <c:v>-1.3405363229018544E-11</c:v>
                </c:pt>
                <c:pt idx="485">
                  <c:v>-1.2199157837031581E-11</c:v>
                </c:pt>
                <c:pt idx="486">
                  <c:v>-1.0470608875882184E-11</c:v>
                </c:pt>
                <c:pt idx="487">
                  <c:v>-8.32152366936161E-12</c:v>
                </c:pt>
                <c:pt idx="488">
                  <c:v>-5.8537095412631417E-12</c:v>
                </c:pt>
                <c:pt idx="489">
                  <c:v>-3.168973815377642E-12</c:v>
                </c:pt>
                <c:pt idx="490">
                  <c:v>-3.691238154983025E-13</c:v>
                </c:pt>
                <c:pt idx="491">
                  <c:v>0</c:v>
                </c:pt>
                <c:pt idx="492">
                  <c:v>0</c:v>
                </c:pt>
                <c:pt idx="493">
                  <c:v>0</c:v>
                </c:pt>
                <c:pt idx="494">
                  <c:v>0</c:v>
                </c:pt>
                <c:pt idx="495">
                  <c:v>0</c:v>
                </c:pt>
                <c:pt idx="496">
                  <c:v>0</c:v>
                </c:pt>
                <c:pt idx="497">
                  <c:v>0</c:v>
                </c:pt>
                <c:pt idx="498">
                  <c:v>0</c:v>
                </c:pt>
                <c:pt idx="499">
                  <c:v>0</c:v>
                </c:pt>
                <c:pt idx="500">
                  <c:v>0</c:v>
                </c:pt>
              </c:numCache>
            </c:numRef>
          </c:yVal>
          <c:smooth val="0"/>
          <c:extLst>
            <c:ext xmlns:c16="http://schemas.microsoft.com/office/drawing/2014/chart" uri="{C3380CC4-5D6E-409C-BE32-E72D297353CC}">
              <c16:uniqueId val="{00000001-591F-4497-A5A3-E90A129074B7}"/>
            </c:ext>
          </c:extLst>
        </c:ser>
        <c:ser>
          <c:idx val="2"/>
          <c:order val="2"/>
          <c:tx>
            <c:v>Net Benefit 7%</c:v>
          </c:tx>
          <c:spPr>
            <a:ln w="19050">
              <a:solidFill>
                <a:srgbClr val="000000"/>
              </a:solidFill>
              <a:prstDash val="solid"/>
            </a:ln>
          </c:spPr>
          <c:marker>
            <c:symbol val="none"/>
          </c:marker>
          <c:xVal>
            <c:numRef>
              <c:f>Sheet1!$L$2502:$L$3003</c:f>
              <c:numCache>
                <c:formatCode>General</c:formatCode>
                <c:ptCount val="502"/>
                <c:pt idx="1">
                  <c:v>6000000</c:v>
                </c:pt>
                <c:pt idx="2">
                  <c:v>6028056.1122244485</c:v>
                </c:pt>
                <c:pt idx="3">
                  <c:v>6056112.2244488979</c:v>
                </c:pt>
                <c:pt idx="4">
                  <c:v>6084168.3366733463</c:v>
                </c:pt>
                <c:pt idx="5">
                  <c:v>6112224.4488977958</c:v>
                </c:pt>
                <c:pt idx="6">
                  <c:v>6140280.5611222442</c:v>
                </c:pt>
                <c:pt idx="7">
                  <c:v>6168336.6733466936</c:v>
                </c:pt>
                <c:pt idx="8">
                  <c:v>6196392.7855711421</c:v>
                </c:pt>
                <c:pt idx="9">
                  <c:v>6224448.8977955915</c:v>
                </c:pt>
                <c:pt idx="10">
                  <c:v>6252505.01002004</c:v>
                </c:pt>
                <c:pt idx="11">
                  <c:v>6280561.1222444894</c:v>
                </c:pt>
                <c:pt idx="12">
                  <c:v>6308617.2344689379</c:v>
                </c:pt>
                <c:pt idx="13">
                  <c:v>6336673.3466933873</c:v>
                </c:pt>
                <c:pt idx="14">
                  <c:v>6364729.4589178357</c:v>
                </c:pt>
                <c:pt idx="15">
                  <c:v>6392785.5711422842</c:v>
                </c:pt>
                <c:pt idx="16">
                  <c:v>6420841.6833667336</c:v>
                </c:pt>
                <c:pt idx="17">
                  <c:v>6448897.7955911821</c:v>
                </c:pt>
                <c:pt idx="18">
                  <c:v>6476953.9078156315</c:v>
                </c:pt>
                <c:pt idx="19">
                  <c:v>6505010.02004008</c:v>
                </c:pt>
                <c:pt idx="20">
                  <c:v>6533066.1322645294</c:v>
                </c:pt>
                <c:pt idx="21">
                  <c:v>6561122.2444889778</c:v>
                </c:pt>
                <c:pt idx="22">
                  <c:v>6589178.3567134272</c:v>
                </c:pt>
                <c:pt idx="23">
                  <c:v>6617234.4689378757</c:v>
                </c:pt>
                <c:pt idx="24">
                  <c:v>6645290.5811623242</c:v>
                </c:pt>
                <c:pt idx="25">
                  <c:v>6673346.6933867736</c:v>
                </c:pt>
                <c:pt idx="26">
                  <c:v>6701402.8056112221</c:v>
                </c:pt>
                <c:pt idx="27">
                  <c:v>6729458.9178356715</c:v>
                </c:pt>
                <c:pt idx="28">
                  <c:v>6757515.03006012</c:v>
                </c:pt>
                <c:pt idx="29">
                  <c:v>6785571.1422845693</c:v>
                </c:pt>
                <c:pt idx="30">
                  <c:v>6813627.2545090178</c:v>
                </c:pt>
                <c:pt idx="31">
                  <c:v>6841683.3667334672</c:v>
                </c:pt>
                <c:pt idx="32">
                  <c:v>6869739.4789579157</c:v>
                </c:pt>
                <c:pt idx="33">
                  <c:v>6897795.5911823651</c:v>
                </c:pt>
                <c:pt idx="34">
                  <c:v>6925851.7034068136</c:v>
                </c:pt>
                <c:pt idx="35">
                  <c:v>6953907.815631263</c:v>
                </c:pt>
                <c:pt idx="36">
                  <c:v>6981963.9278557114</c:v>
                </c:pt>
                <c:pt idx="37">
                  <c:v>7010020.04008016</c:v>
                </c:pt>
                <c:pt idx="38">
                  <c:v>7038076.1523046093</c:v>
                </c:pt>
                <c:pt idx="39">
                  <c:v>7066132.2645290578</c:v>
                </c:pt>
                <c:pt idx="40">
                  <c:v>7094188.3767535072</c:v>
                </c:pt>
                <c:pt idx="41">
                  <c:v>7122244.4889779557</c:v>
                </c:pt>
                <c:pt idx="42">
                  <c:v>7150300.6012024051</c:v>
                </c:pt>
                <c:pt idx="43">
                  <c:v>7178356.7134268535</c:v>
                </c:pt>
                <c:pt idx="44">
                  <c:v>7206412.8256513029</c:v>
                </c:pt>
                <c:pt idx="45">
                  <c:v>7234468.9378757514</c:v>
                </c:pt>
                <c:pt idx="46">
                  <c:v>7262525.0501002</c:v>
                </c:pt>
                <c:pt idx="47">
                  <c:v>7290581.1623246493</c:v>
                </c:pt>
                <c:pt idx="48">
                  <c:v>7318637.2745490987</c:v>
                </c:pt>
                <c:pt idx="49">
                  <c:v>7346693.3867735472</c:v>
                </c:pt>
                <c:pt idx="50">
                  <c:v>7374749.4989979956</c:v>
                </c:pt>
                <c:pt idx="51">
                  <c:v>7402805.611222445</c:v>
                </c:pt>
                <c:pt idx="52">
                  <c:v>7430861.7234468935</c:v>
                </c:pt>
                <c:pt idx="53">
                  <c:v>7458917.8356713429</c:v>
                </c:pt>
                <c:pt idx="54">
                  <c:v>7486973.9478957914</c:v>
                </c:pt>
                <c:pt idx="55">
                  <c:v>7515030.0601202408</c:v>
                </c:pt>
                <c:pt idx="56">
                  <c:v>7543086.1723446893</c:v>
                </c:pt>
                <c:pt idx="57">
                  <c:v>7571142.2845691387</c:v>
                </c:pt>
                <c:pt idx="58">
                  <c:v>7599198.3967935871</c:v>
                </c:pt>
                <c:pt idx="59">
                  <c:v>7627254.5090180356</c:v>
                </c:pt>
                <c:pt idx="60">
                  <c:v>7655310.621242485</c:v>
                </c:pt>
                <c:pt idx="61">
                  <c:v>7683366.7334669344</c:v>
                </c:pt>
                <c:pt idx="62">
                  <c:v>7711422.8456913829</c:v>
                </c:pt>
                <c:pt idx="63">
                  <c:v>7739478.9579158314</c:v>
                </c:pt>
                <c:pt idx="64">
                  <c:v>7767535.0701402808</c:v>
                </c:pt>
                <c:pt idx="65">
                  <c:v>7795591.1823647292</c:v>
                </c:pt>
                <c:pt idx="66">
                  <c:v>7823647.2945891786</c:v>
                </c:pt>
                <c:pt idx="67">
                  <c:v>7851703.4068136271</c:v>
                </c:pt>
                <c:pt idx="68">
                  <c:v>7879759.5190380756</c:v>
                </c:pt>
                <c:pt idx="69">
                  <c:v>7907815.631262525</c:v>
                </c:pt>
                <c:pt idx="70">
                  <c:v>7935871.7434869744</c:v>
                </c:pt>
                <c:pt idx="71">
                  <c:v>7963927.8557114229</c:v>
                </c:pt>
                <c:pt idx="72">
                  <c:v>7991983.9679358713</c:v>
                </c:pt>
                <c:pt idx="73">
                  <c:v>8020040.0801603207</c:v>
                </c:pt>
                <c:pt idx="74">
                  <c:v>8048096.1923847692</c:v>
                </c:pt>
                <c:pt idx="75">
                  <c:v>8076152.3046092186</c:v>
                </c:pt>
                <c:pt idx="76">
                  <c:v>8104208.4168336671</c:v>
                </c:pt>
                <c:pt idx="77">
                  <c:v>8132264.5290581156</c:v>
                </c:pt>
                <c:pt idx="78">
                  <c:v>8160320.641282565</c:v>
                </c:pt>
                <c:pt idx="79">
                  <c:v>8188376.7535070144</c:v>
                </c:pt>
                <c:pt idx="80">
                  <c:v>8216432.8657314628</c:v>
                </c:pt>
                <c:pt idx="81">
                  <c:v>8244488.9779559113</c:v>
                </c:pt>
                <c:pt idx="82">
                  <c:v>8272545.0901803607</c:v>
                </c:pt>
                <c:pt idx="83">
                  <c:v>8300601.20240481</c:v>
                </c:pt>
                <c:pt idx="84">
                  <c:v>8328657.3146292586</c:v>
                </c:pt>
                <c:pt idx="85">
                  <c:v>8356713.4268537071</c:v>
                </c:pt>
                <c:pt idx="86">
                  <c:v>8384769.5390781565</c:v>
                </c:pt>
                <c:pt idx="87">
                  <c:v>8412825.6513026059</c:v>
                </c:pt>
                <c:pt idx="88">
                  <c:v>8440881.7635270543</c:v>
                </c:pt>
                <c:pt idx="89">
                  <c:v>8468937.8757515028</c:v>
                </c:pt>
                <c:pt idx="90">
                  <c:v>8496993.9879759513</c:v>
                </c:pt>
                <c:pt idx="91">
                  <c:v>8525050.1002004</c:v>
                </c:pt>
                <c:pt idx="92">
                  <c:v>8553106.21242485</c:v>
                </c:pt>
                <c:pt idx="93">
                  <c:v>8581162.3246492986</c:v>
                </c:pt>
                <c:pt idx="94">
                  <c:v>8609218.436873747</c:v>
                </c:pt>
                <c:pt idx="95">
                  <c:v>8637274.5490981974</c:v>
                </c:pt>
                <c:pt idx="96">
                  <c:v>8665330.6613226458</c:v>
                </c:pt>
                <c:pt idx="97">
                  <c:v>8693386.7735470943</c:v>
                </c:pt>
                <c:pt idx="98">
                  <c:v>8721442.8857715428</c:v>
                </c:pt>
                <c:pt idx="99">
                  <c:v>8749498.9979959913</c:v>
                </c:pt>
                <c:pt idx="100">
                  <c:v>8777555.11022044</c:v>
                </c:pt>
                <c:pt idx="101">
                  <c:v>8805611.22244489</c:v>
                </c:pt>
                <c:pt idx="102">
                  <c:v>8833667.3346693385</c:v>
                </c:pt>
                <c:pt idx="103">
                  <c:v>8861723.446893787</c:v>
                </c:pt>
                <c:pt idx="104">
                  <c:v>8889779.5591182373</c:v>
                </c:pt>
                <c:pt idx="105">
                  <c:v>8917835.6713426858</c:v>
                </c:pt>
                <c:pt idx="106">
                  <c:v>8945891.7835671343</c:v>
                </c:pt>
                <c:pt idx="107">
                  <c:v>8973947.8957915828</c:v>
                </c:pt>
                <c:pt idx="108">
                  <c:v>9002004.0080160312</c:v>
                </c:pt>
                <c:pt idx="109">
                  <c:v>9030060.1202404816</c:v>
                </c:pt>
                <c:pt idx="110">
                  <c:v>9058116.23246493</c:v>
                </c:pt>
                <c:pt idx="111">
                  <c:v>9086172.3446893785</c:v>
                </c:pt>
                <c:pt idx="112">
                  <c:v>9114228.456913827</c:v>
                </c:pt>
                <c:pt idx="113">
                  <c:v>9142284.5691382773</c:v>
                </c:pt>
                <c:pt idx="114">
                  <c:v>9170340.6813627258</c:v>
                </c:pt>
                <c:pt idx="115">
                  <c:v>9198396.7935871743</c:v>
                </c:pt>
                <c:pt idx="116">
                  <c:v>9226452.9058116227</c:v>
                </c:pt>
                <c:pt idx="117">
                  <c:v>9254509.0180360712</c:v>
                </c:pt>
                <c:pt idx="118">
                  <c:v>9282565.1302605215</c:v>
                </c:pt>
                <c:pt idx="119">
                  <c:v>9310621.24248497</c:v>
                </c:pt>
                <c:pt idx="120">
                  <c:v>9338677.3547094185</c:v>
                </c:pt>
                <c:pt idx="121">
                  <c:v>9366733.4669338688</c:v>
                </c:pt>
                <c:pt idx="122">
                  <c:v>9394789.5791583173</c:v>
                </c:pt>
                <c:pt idx="123">
                  <c:v>9422845.6913827658</c:v>
                </c:pt>
                <c:pt idx="124">
                  <c:v>9450901.8036072142</c:v>
                </c:pt>
                <c:pt idx="125">
                  <c:v>9478957.9158316627</c:v>
                </c:pt>
                <c:pt idx="126">
                  <c:v>9507014.0280561112</c:v>
                </c:pt>
                <c:pt idx="127">
                  <c:v>9535070.1402805615</c:v>
                </c:pt>
                <c:pt idx="128">
                  <c:v>9563126.25250501</c:v>
                </c:pt>
                <c:pt idx="129">
                  <c:v>9591182.3647294585</c:v>
                </c:pt>
                <c:pt idx="130">
                  <c:v>9619238.4769539088</c:v>
                </c:pt>
                <c:pt idx="131">
                  <c:v>9647294.5891783573</c:v>
                </c:pt>
                <c:pt idx="132">
                  <c:v>9675350.7014028057</c:v>
                </c:pt>
                <c:pt idx="133">
                  <c:v>9703406.8136272542</c:v>
                </c:pt>
                <c:pt idx="134">
                  <c:v>9731462.9258517027</c:v>
                </c:pt>
                <c:pt idx="135">
                  <c:v>9759519.0380761512</c:v>
                </c:pt>
                <c:pt idx="136">
                  <c:v>9787575.1503006015</c:v>
                </c:pt>
                <c:pt idx="137">
                  <c:v>9815631.26252505</c:v>
                </c:pt>
                <c:pt idx="138">
                  <c:v>9843687.3747494984</c:v>
                </c:pt>
                <c:pt idx="139">
                  <c:v>9871743.4869739488</c:v>
                </c:pt>
                <c:pt idx="140">
                  <c:v>9899799.5991983972</c:v>
                </c:pt>
                <c:pt idx="141">
                  <c:v>9927855.7114228457</c:v>
                </c:pt>
                <c:pt idx="142">
                  <c:v>9955911.8236472942</c:v>
                </c:pt>
                <c:pt idx="143">
                  <c:v>9983967.9358717427</c:v>
                </c:pt>
                <c:pt idx="144">
                  <c:v>10012024.048096193</c:v>
                </c:pt>
                <c:pt idx="145">
                  <c:v>10040080.160320641</c:v>
                </c:pt>
                <c:pt idx="146">
                  <c:v>10068136.27254509</c:v>
                </c:pt>
                <c:pt idx="147">
                  <c:v>10096192.384769538</c:v>
                </c:pt>
                <c:pt idx="148">
                  <c:v>10124248.496993989</c:v>
                </c:pt>
                <c:pt idx="149">
                  <c:v>10152304.609218437</c:v>
                </c:pt>
                <c:pt idx="150">
                  <c:v>10180360.721442886</c:v>
                </c:pt>
                <c:pt idx="151">
                  <c:v>10208416.833667334</c:v>
                </c:pt>
                <c:pt idx="152">
                  <c:v>10236472.945891783</c:v>
                </c:pt>
                <c:pt idx="153">
                  <c:v>10264529.058116231</c:v>
                </c:pt>
                <c:pt idx="154">
                  <c:v>10292585.170340681</c:v>
                </c:pt>
                <c:pt idx="155">
                  <c:v>10320641.28256513</c:v>
                </c:pt>
                <c:pt idx="156">
                  <c:v>10348697.39478958</c:v>
                </c:pt>
                <c:pt idx="157">
                  <c:v>10376753.507014029</c:v>
                </c:pt>
                <c:pt idx="158">
                  <c:v>10404809.619238477</c:v>
                </c:pt>
                <c:pt idx="159">
                  <c:v>10432865.731462926</c:v>
                </c:pt>
                <c:pt idx="160">
                  <c:v>10460921.843687374</c:v>
                </c:pt>
                <c:pt idx="161">
                  <c:v>10488977.955911823</c:v>
                </c:pt>
                <c:pt idx="162">
                  <c:v>10517034.068136273</c:v>
                </c:pt>
                <c:pt idx="163">
                  <c:v>10545090.180360721</c:v>
                </c:pt>
                <c:pt idx="164">
                  <c:v>10573146.29258517</c:v>
                </c:pt>
                <c:pt idx="165">
                  <c:v>10601202.40480962</c:v>
                </c:pt>
                <c:pt idx="166">
                  <c:v>10629258.517034069</c:v>
                </c:pt>
                <c:pt idx="167">
                  <c:v>10657314.629258517</c:v>
                </c:pt>
                <c:pt idx="168">
                  <c:v>10685370.741482966</c:v>
                </c:pt>
                <c:pt idx="169">
                  <c:v>10713426.853707414</c:v>
                </c:pt>
                <c:pt idx="170">
                  <c:v>10741482.965931863</c:v>
                </c:pt>
                <c:pt idx="171">
                  <c:v>10769539.078156313</c:v>
                </c:pt>
                <c:pt idx="172">
                  <c:v>10797595.190380761</c:v>
                </c:pt>
                <c:pt idx="173">
                  <c:v>10825651.302605212</c:v>
                </c:pt>
                <c:pt idx="174">
                  <c:v>10853707.41482966</c:v>
                </c:pt>
                <c:pt idx="175">
                  <c:v>10881763.527054109</c:v>
                </c:pt>
                <c:pt idx="176">
                  <c:v>10909819.639278557</c:v>
                </c:pt>
                <c:pt idx="177">
                  <c:v>10937875.751503006</c:v>
                </c:pt>
                <c:pt idx="178">
                  <c:v>10965931.863727454</c:v>
                </c:pt>
                <c:pt idx="179">
                  <c:v>10993987.975951903</c:v>
                </c:pt>
                <c:pt idx="180">
                  <c:v>11022044.088176353</c:v>
                </c:pt>
                <c:pt idx="181">
                  <c:v>11050100.200400801</c:v>
                </c:pt>
                <c:pt idx="182">
                  <c:v>11078156.312625252</c:v>
                </c:pt>
                <c:pt idx="183">
                  <c:v>11106212.4248497</c:v>
                </c:pt>
                <c:pt idx="184">
                  <c:v>11134268.537074149</c:v>
                </c:pt>
                <c:pt idx="185">
                  <c:v>11162324.649298597</c:v>
                </c:pt>
                <c:pt idx="186">
                  <c:v>11190380.761523046</c:v>
                </c:pt>
                <c:pt idx="187">
                  <c:v>11218436.873747494</c:v>
                </c:pt>
                <c:pt idx="188">
                  <c:v>11246492.985971943</c:v>
                </c:pt>
                <c:pt idx="189">
                  <c:v>11274549.098196393</c:v>
                </c:pt>
                <c:pt idx="190">
                  <c:v>11302605.210420841</c:v>
                </c:pt>
                <c:pt idx="191">
                  <c:v>11330661.322645292</c:v>
                </c:pt>
                <c:pt idx="192">
                  <c:v>11358717.43486974</c:v>
                </c:pt>
                <c:pt idx="193">
                  <c:v>11386773.547094189</c:v>
                </c:pt>
                <c:pt idx="194">
                  <c:v>11414829.659318637</c:v>
                </c:pt>
                <c:pt idx="195">
                  <c:v>11442885.771543086</c:v>
                </c:pt>
                <c:pt idx="196">
                  <c:v>11470941.883767534</c:v>
                </c:pt>
                <c:pt idx="197">
                  <c:v>11498997.995991984</c:v>
                </c:pt>
                <c:pt idx="198">
                  <c:v>11527054.108216433</c:v>
                </c:pt>
                <c:pt idx="199">
                  <c:v>11555110.220440881</c:v>
                </c:pt>
                <c:pt idx="200">
                  <c:v>11583166.332665332</c:v>
                </c:pt>
                <c:pt idx="201">
                  <c:v>11611222.44488978</c:v>
                </c:pt>
                <c:pt idx="202">
                  <c:v>11639278.557114229</c:v>
                </c:pt>
                <c:pt idx="203">
                  <c:v>11667334.669338677</c:v>
                </c:pt>
                <c:pt idx="204">
                  <c:v>11695390.781563126</c:v>
                </c:pt>
                <c:pt idx="205">
                  <c:v>11723446.893787574</c:v>
                </c:pt>
                <c:pt idx="206">
                  <c:v>11751503.006012024</c:v>
                </c:pt>
                <c:pt idx="207">
                  <c:v>11779559.118236473</c:v>
                </c:pt>
                <c:pt idx="208">
                  <c:v>11807615.230460923</c:v>
                </c:pt>
                <c:pt idx="209">
                  <c:v>11835671.342685372</c:v>
                </c:pt>
                <c:pt idx="210">
                  <c:v>11863727.45490982</c:v>
                </c:pt>
                <c:pt idx="211">
                  <c:v>11891783.567134269</c:v>
                </c:pt>
                <c:pt idx="212">
                  <c:v>11919839.679358717</c:v>
                </c:pt>
                <c:pt idx="213">
                  <c:v>11947895.791583166</c:v>
                </c:pt>
                <c:pt idx="214">
                  <c:v>11975951.903807614</c:v>
                </c:pt>
                <c:pt idx="215">
                  <c:v>12004008.016032064</c:v>
                </c:pt>
                <c:pt idx="216">
                  <c:v>12032064.128256513</c:v>
                </c:pt>
                <c:pt idx="217">
                  <c:v>12060120.240480963</c:v>
                </c:pt>
                <c:pt idx="218">
                  <c:v>12088176.352705412</c:v>
                </c:pt>
                <c:pt idx="219">
                  <c:v>12116232.46492986</c:v>
                </c:pt>
                <c:pt idx="220">
                  <c:v>12144288.577154309</c:v>
                </c:pt>
                <c:pt idx="221">
                  <c:v>12172344.689378757</c:v>
                </c:pt>
                <c:pt idx="222">
                  <c:v>12200400.801603206</c:v>
                </c:pt>
                <c:pt idx="223">
                  <c:v>12228456.913827654</c:v>
                </c:pt>
                <c:pt idx="224">
                  <c:v>12256513.026052104</c:v>
                </c:pt>
                <c:pt idx="225">
                  <c:v>12284569.138276553</c:v>
                </c:pt>
                <c:pt idx="226">
                  <c:v>12312625.250501003</c:v>
                </c:pt>
                <c:pt idx="227">
                  <c:v>12340681.362725452</c:v>
                </c:pt>
                <c:pt idx="228">
                  <c:v>12368737.4749499</c:v>
                </c:pt>
                <c:pt idx="229">
                  <c:v>12396793.587174349</c:v>
                </c:pt>
                <c:pt idx="230">
                  <c:v>12424849.699398797</c:v>
                </c:pt>
                <c:pt idx="231">
                  <c:v>12452905.811623245</c:v>
                </c:pt>
                <c:pt idx="232">
                  <c:v>12480961.923847696</c:v>
                </c:pt>
                <c:pt idx="233">
                  <c:v>12509018.036072144</c:v>
                </c:pt>
                <c:pt idx="234">
                  <c:v>12537074.148296593</c:v>
                </c:pt>
                <c:pt idx="235">
                  <c:v>12565130.260521043</c:v>
                </c:pt>
                <c:pt idx="236">
                  <c:v>12593186.372745492</c:v>
                </c:pt>
                <c:pt idx="237">
                  <c:v>12621242.48496994</c:v>
                </c:pt>
                <c:pt idx="238">
                  <c:v>12649298.597194389</c:v>
                </c:pt>
                <c:pt idx="239">
                  <c:v>12677354.709418837</c:v>
                </c:pt>
                <c:pt idx="240">
                  <c:v>12705410.821643285</c:v>
                </c:pt>
                <c:pt idx="241">
                  <c:v>12733466.933867736</c:v>
                </c:pt>
                <c:pt idx="242">
                  <c:v>12761523.046092184</c:v>
                </c:pt>
                <c:pt idx="243">
                  <c:v>12789579.158316635</c:v>
                </c:pt>
                <c:pt idx="244">
                  <c:v>12817635.270541083</c:v>
                </c:pt>
                <c:pt idx="245">
                  <c:v>12845691.382765532</c:v>
                </c:pt>
                <c:pt idx="246">
                  <c:v>12873747.49498998</c:v>
                </c:pt>
                <c:pt idx="247">
                  <c:v>12901803.607214428</c:v>
                </c:pt>
                <c:pt idx="248">
                  <c:v>12929859.719438877</c:v>
                </c:pt>
                <c:pt idx="249">
                  <c:v>12957915.831663325</c:v>
                </c:pt>
                <c:pt idx="250">
                  <c:v>12985971.943887776</c:v>
                </c:pt>
                <c:pt idx="251">
                  <c:v>13014028.056112224</c:v>
                </c:pt>
                <c:pt idx="252">
                  <c:v>13042084.168336675</c:v>
                </c:pt>
                <c:pt idx="253">
                  <c:v>13070140.280561123</c:v>
                </c:pt>
                <c:pt idx="254">
                  <c:v>13098196.392785572</c:v>
                </c:pt>
                <c:pt idx="255">
                  <c:v>13126252.50501002</c:v>
                </c:pt>
                <c:pt idx="256">
                  <c:v>13154308.617234468</c:v>
                </c:pt>
                <c:pt idx="257">
                  <c:v>13182364.729458917</c:v>
                </c:pt>
                <c:pt idx="258">
                  <c:v>13210420.841683365</c:v>
                </c:pt>
                <c:pt idx="259">
                  <c:v>13238476.953907816</c:v>
                </c:pt>
                <c:pt idx="260">
                  <c:v>13266533.066132264</c:v>
                </c:pt>
                <c:pt idx="261">
                  <c:v>13294589.178356715</c:v>
                </c:pt>
                <c:pt idx="262">
                  <c:v>13322645.290581163</c:v>
                </c:pt>
                <c:pt idx="263">
                  <c:v>13350701.402805611</c:v>
                </c:pt>
                <c:pt idx="264">
                  <c:v>13378757.51503006</c:v>
                </c:pt>
                <c:pt idx="265">
                  <c:v>13406813.627254508</c:v>
                </c:pt>
                <c:pt idx="266">
                  <c:v>13434869.739478957</c:v>
                </c:pt>
                <c:pt idx="267">
                  <c:v>13462925.851703407</c:v>
                </c:pt>
                <c:pt idx="268">
                  <c:v>13490981.963927856</c:v>
                </c:pt>
                <c:pt idx="269">
                  <c:v>13519038.076152304</c:v>
                </c:pt>
                <c:pt idx="270">
                  <c:v>13547094.188376755</c:v>
                </c:pt>
                <c:pt idx="271">
                  <c:v>13575150.300601203</c:v>
                </c:pt>
                <c:pt idx="272">
                  <c:v>13603206.412825651</c:v>
                </c:pt>
                <c:pt idx="273">
                  <c:v>13631262.5250501</c:v>
                </c:pt>
                <c:pt idx="274">
                  <c:v>13659318.637274548</c:v>
                </c:pt>
                <c:pt idx="275">
                  <c:v>13687374.749498997</c:v>
                </c:pt>
                <c:pt idx="276">
                  <c:v>13715430.861723447</c:v>
                </c:pt>
                <c:pt idx="277">
                  <c:v>13743486.973947896</c:v>
                </c:pt>
                <c:pt idx="278">
                  <c:v>13771543.086172346</c:v>
                </c:pt>
                <c:pt idx="279">
                  <c:v>13799599.198396794</c:v>
                </c:pt>
                <c:pt idx="280">
                  <c:v>13827655.310621243</c:v>
                </c:pt>
                <c:pt idx="281">
                  <c:v>13855711.422845691</c:v>
                </c:pt>
                <c:pt idx="282">
                  <c:v>13883767.53507014</c:v>
                </c:pt>
                <c:pt idx="283">
                  <c:v>13911823.647294588</c:v>
                </c:pt>
                <c:pt idx="284">
                  <c:v>13939879.759519037</c:v>
                </c:pt>
                <c:pt idx="285">
                  <c:v>13967935.871743487</c:v>
                </c:pt>
                <c:pt idx="286">
                  <c:v>13995991.983967936</c:v>
                </c:pt>
                <c:pt idx="287">
                  <c:v>14024048.096192386</c:v>
                </c:pt>
                <c:pt idx="288">
                  <c:v>14052104.208416834</c:v>
                </c:pt>
                <c:pt idx="289">
                  <c:v>14080160.320641283</c:v>
                </c:pt>
                <c:pt idx="290">
                  <c:v>14108216.432865731</c:v>
                </c:pt>
                <c:pt idx="291">
                  <c:v>14136272.54509018</c:v>
                </c:pt>
                <c:pt idx="292">
                  <c:v>14164328.657314628</c:v>
                </c:pt>
                <c:pt idx="293">
                  <c:v>14192384.769539077</c:v>
                </c:pt>
                <c:pt idx="294">
                  <c:v>14220440.881763527</c:v>
                </c:pt>
                <c:pt idx="295">
                  <c:v>14248496.993987976</c:v>
                </c:pt>
                <c:pt idx="296">
                  <c:v>14276553.106212426</c:v>
                </c:pt>
                <c:pt idx="297">
                  <c:v>14304609.218436874</c:v>
                </c:pt>
                <c:pt idx="298">
                  <c:v>14332665.330661323</c:v>
                </c:pt>
                <c:pt idx="299">
                  <c:v>14360721.442885771</c:v>
                </c:pt>
                <c:pt idx="300">
                  <c:v>14388777.55511022</c:v>
                </c:pt>
                <c:pt idx="301">
                  <c:v>14416833.66733467</c:v>
                </c:pt>
                <c:pt idx="302">
                  <c:v>14444889.779559119</c:v>
                </c:pt>
                <c:pt idx="303">
                  <c:v>14472945.891783567</c:v>
                </c:pt>
                <c:pt idx="304">
                  <c:v>14501002.004008016</c:v>
                </c:pt>
                <c:pt idx="305">
                  <c:v>14529058.116232464</c:v>
                </c:pt>
                <c:pt idx="306">
                  <c:v>14557114.228456914</c:v>
                </c:pt>
                <c:pt idx="307">
                  <c:v>14585170.340681363</c:v>
                </c:pt>
                <c:pt idx="308">
                  <c:v>14613226.452905811</c:v>
                </c:pt>
                <c:pt idx="309">
                  <c:v>14641282.56513026</c:v>
                </c:pt>
                <c:pt idx="310">
                  <c:v>14669338.67735471</c:v>
                </c:pt>
                <c:pt idx="311">
                  <c:v>14697394.789579159</c:v>
                </c:pt>
                <c:pt idx="312">
                  <c:v>14725450.901803607</c:v>
                </c:pt>
                <c:pt idx="313">
                  <c:v>14753507.014028056</c:v>
                </c:pt>
                <c:pt idx="314">
                  <c:v>14781563.126252506</c:v>
                </c:pt>
                <c:pt idx="315">
                  <c:v>14809619.238476954</c:v>
                </c:pt>
                <c:pt idx="316">
                  <c:v>14837675.350701403</c:v>
                </c:pt>
                <c:pt idx="317">
                  <c:v>14865731.462925851</c:v>
                </c:pt>
                <c:pt idx="318">
                  <c:v>14893787.5751503</c:v>
                </c:pt>
                <c:pt idx="319">
                  <c:v>14921843.68737475</c:v>
                </c:pt>
                <c:pt idx="320">
                  <c:v>14949899.799599199</c:v>
                </c:pt>
                <c:pt idx="321">
                  <c:v>14977955.911823647</c:v>
                </c:pt>
                <c:pt idx="322">
                  <c:v>15006012.024048096</c:v>
                </c:pt>
                <c:pt idx="323">
                  <c:v>15034068.136272546</c:v>
                </c:pt>
                <c:pt idx="324">
                  <c:v>15062124.248496994</c:v>
                </c:pt>
                <c:pt idx="325">
                  <c:v>15090180.360721443</c:v>
                </c:pt>
                <c:pt idx="326">
                  <c:v>15118236.472945891</c:v>
                </c:pt>
                <c:pt idx="327">
                  <c:v>15146292.58517034</c:v>
                </c:pt>
                <c:pt idx="328">
                  <c:v>15174348.69739479</c:v>
                </c:pt>
                <c:pt idx="329">
                  <c:v>15202404.809619239</c:v>
                </c:pt>
                <c:pt idx="330">
                  <c:v>15230460.921843687</c:v>
                </c:pt>
                <c:pt idx="331">
                  <c:v>15258517.034068136</c:v>
                </c:pt>
                <c:pt idx="332">
                  <c:v>15286573.146292586</c:v>
                </c:pt>
                <c:pt idx="333">
                  <c:v>15314629.258517034</c:v>
                </c:pt>
                <c:pt idx="334">
                  <c:v>15342685.370741483</c:v>
                </c:pt>
                <c:pt idx="335">
                  <c:v>15370741.482965931</c:v>
                </c:pt>
                <c:pt idx="336">
                  <c:v>15398797.595190382</c:v>
                </c:pt>
                <c:pt idx="337">
                  <c:v>15426853.70741483</c:v>
                </c:pt>
                <c:pt idx="338">
                  <c:v>15454909.819639279</c:v>
                </c:pt>
                <c:pt idx="339">
                  <c:v>15482965.931863727</c:v>
                </c:pt>
                <c:pt idx="340">
                  <c:v>15511022.044088176</c:v>
                </c:pt>
                <c:pt idx="341">
                  <c:v>15539078.156312626</c:v>
                </c:pt>
                <c:pt idx="342">
                  <c:v>15567134.268537074</c:v>
                </c:pt>
                <c:pt idx="343">
                  <c:v>15595190.380761523</c:v>
                </c:pt>
                <c:pt idx="344">
                  <c:v>15623246.492985971</c:v>
                </c:pt>
                <c:pt idx="345">
                  <c:v>15651302.605210422</c:v>
                </c:pt>
                <c:pt idx="346">
                  <c:v>15679358.71743487</c:v>
                </c:pt>
                <c:pt idx="347">
                  <c:v>15707414.829659319</c:v>
                </c:pt>
                <c:pt idx="348">
                  <c:v>15735470.941883767</c:v>
                </c:pt>
                <c:pt idx="349">
                  <c:v>15763527.054108217</c:v>
                </c:pt>
                <c:pt idx="350">
                  <c:v>15791583.166332666</c:v>
                </c:pt>
                <c:pt idx="351">
                  <c:v>15819639.278557114</c:v>
                </c:pt>
                <c:pt idx="352">
                  <c:v>15847695.390781563</c:v>
                </c:pt>
                <c:pt idx="353">
                  <c:v>15875751.503006011</c:v>
                </c:pt>
                <c:pt idx="354">
                  <c:v>15903807.615230462</c:v>
                </c:pt>
                <c:pt idx="355">
                  <c:v>15931863.72745491</c:v>
                </c:pt>
                <c:pt idx="356">
                  <c:v>15959919.839679359</c:v>
                </c:pt>
                <c:pt idx="357">
                  <c:v>15987975.951903807</c:v>
                </c:pt>
                <c:pt idx="358">
                  <c:v>16016032.064128257</c:v>
                </c:pt>
                <c:pt idx="359">
                  <c:v>16044088.176352706</c:v>
                </c:pt>
                <c:pt idx="360">
                  <c:v>16072144.288577154</c:v>
                </c:pt>
                <c:pt idx="361">
                  <c:v>16100200.400801603</c:v>
                </c:pt>
                <c:pt idx="362">
                  <c:v>16128256.513026051</c:v>
                </c:pt>
                <c:pt idx="363">
                  <c:v>16156312.625250502</c:v>
                </c:pt>
                <c:pt idx="364">
                  <c:v>16184368.73747495</c:v>
                </c:pt>
                <c:pt idx="365">
                  <c:v>16212424.849699399</c:v>
                </c:pt>
                <c:pt idx="366">
                  <c:v>16240480.961923847</c:v>
                </c:pt>
                <c:pt idx="367">
                  <c:v>16268537.074148297</c:v>
                </c:pt>
                <c:pt idx="368">
                  <c:v>16296593.186372746</c:v>
                </c:pt>
                <c:pt idx="369">
                  <c:v>16324649.298597194</c:v>
                </c:pt>
                <c:pt idx="370">
                  <c:v>16352705.410821643</c:v>
                </c:pt>
                <c:pt idx="371">
                  <c:v>16380761.523046093</c:v>
                </c:pt>
                <c:pt idx="372">
                  <c:v>16408817.635270542</c:v>
                </c:pt>
                <c:pt idx="373">
                  <c:v>16436873.74749499</c:v>
                </c:pt>
                <c:pt idx="374">
                  <c:v>16464929.859719438</c:v>
                </c:pt>
                <c:pt idx="375">
                  <c:v>16492985.971943887</c:v>
                </c:pt>
                <c:pt idx="376">
                  <c:v>16521042.084168337</c:v>
                </c:pt>
                <c:pt idx="377">
                  <c:v>16549098.196392786</c:v>
                </c:pt>
                <c:pt idx="378">
                  <c:v>16577154.308617234</c:v>
                </c:pt>
                <c:pt idx="379">
                  <c:v>16605210.420841683</c:v>
                </c:pt>
                <c:pt idx="380">
                  <c:v>16633266.533066133</c:v>
                </c:pt>
                <c:pt idx="381">
                  <c:v>16661322.645290582</c:v>
                </c:pt>
                <c:pt idx="382">
                  <c:v>16689378.75751503</c:v>
                </c:pt>
                <c:pt idx="383">
                  <c:v>16717434.869739478</c:v>
                </c:pt>
                <c:pt idx="384">
                  <c:v>16745490.981963929</c:v>
                </c:pt>
                <c:pt idx="385">
                  <c:v>16773547.094188377</c:v>
                </c:pt>
                <c:pt idx="386">
                  <c:v>16801603.206412826</c:v>
                </c:pt>
                <c:pt idx="387">
                  <c:v>16829659.318637274</c:v>
                </c:pt>
                <c:pt idx="388">
                  <c:v>16857715.430861723</c:v>
                </c:pt>
                <c:pt idx="389">
                  <c:v>16885771.543086171</c:v>
                </c:pt>
                <c:pt idx="390">
                  <c:v>16913827.655310623</c:v>
                </c:pt>
                <c:pt idx="391">
                  <c:v>16941883.767535068</c:v>
                </c:pt>
                <c:pt idx="392">
                  <c:v>16969939.87975952</c:v>
                </c:pt>
                <c:pt idx="393">
                  <c:v>16997995.991983969</c:v>
                </c:pt>
                <c:pt idx="394">
                  <c:v>17026052.104208417</c:v>
                </c:pt>
                <c:pt idx="395">
                  <c:v>17054108.216432866</c:v>
                </c:pt>
                <c:pt idx="396">
                  <c:v>17082164.328657314</c:v>
                </c:pt>
                <c:pt idx="397">
                  <c:v>17110220.440881763</c:v>
                </c:pt>
                <c:pt idx="398">
                  <c:v>17138276.553106211</c:v>
                </c:pt>
                <c:pt idx="399">
                  <c:v>17166332.665330663</c:v>
                </c:pt>
                <c:pt idx="400">
                  <c:v>17194388.777555108</c:v>
                </c:pt>
                <c:pt idx="401">
                  <c:v>17222444.88977956</c:v>
                </c:pt>
                <c:pt idx="402">
                  <c:v>17250501.002004009</c:v>
                </c:pt>
                <c:pt idx="403">
                  <c:v>17278557.114228457</c:v>
                </c:pt>
                <c:pt idx="404">
                  <c:v>17306613.226452906</c:v>
                </c:pt>
                <c:pt idx="405">
                  <c:v>17334669.338677354</c:v>
                </c:pt>
                <c:pt idx="406">
                  <c:v>17362725.450901806</c:v>
                </c:pt>
                <c:pt idx="407">
                  <c:v>17390781.563126251</c:v>
                </c:pt>
                <c:pt idx="408">
                  <c:v>17418837.675350703</c:v>
                </c:pt>
                <c:pt idx="409">
                  <c:v>17446893.787575148</c:v>
                </c:pt>
                <c:pt idx="410">
                  <c:v>17474949.8997996</c:v>
                </c:pt>
                <c:pt idx="411">
                  <c:v>17503006.012024049</c:v>
                </c:pt>
                <c:pt idx="412">
                  <c:v>17531062.124248497</c:v>
                </c:pt>
                <c:pt idx="413">
                  <c:v>17559118.236472946</c:v>
                </c:pt>
                <c:pt idx="414">
                  <c:v>17587174.348697394</c:v>
                </c:pt>
                <c:pt idx="415">
                  <c:v>17615230.460921846</c:v>
                </c:pt>
                <c:pt idx="416">
                  <c:v>17643286.573146291</c:v>
                </c:pt>
                <c:pt idx="417">
                  <c:v>17671342.685370743</c:v>
                </c:pt>
                <c:pt idx="418">
                  <c:v>17699398.797595188</c:v>
                </c:pt>
                <c:pt idx="419">
                  <c:v>17727454.90981964</c:v>
                </c:pt>
                <c:pt idx="420">
                  <c:v>17755511.022044089</c:v>
                </c:pt>
                <c:pt idx="421">
                  <c:v>17783567.134268537</c:v>
                </c:pt>
                <c:pt idx="422">
                  <c:v>17811623.246492986</c:v>
                </c:pt>
                <c:pt idx="423">
                  <c:v>17839679.358717434</c:v>
                </c:pt>
                <c:pt idx="424">
                  <c:v>17867735.470941886</c:v>
                </c:pt>
                <c:pt idx="425">
                  <c:v>17895791.583166331</c:v>
                </c:pt>
                <c:pt idx="426">
                  <c:v>17923847.695390783</c:v>
                </c:pt>
                <c:pt idx="427">
                  <c:v>17951903.807615228</c:v>
                </c:pt>
                <c:pt idx="428">
                  <c:v>17979959.91983968</c:v>
                </c:pt>
                <c:pt idx="429">
                  <c:v>18008016.032064129</c:v>
                </c:pt>
                <c:pt idx="430">
                  <c:v>18036072.144288577</c:v>
                </c:pt>
                <c:pt idx="431">
                  <c:v>18064128.256513026</c:v>
                </c:pt>
                <c:pt idx="432">
                  <c:v>18092184.368737474</c:v>
                </c:pt>
                <c:pt idx="433">
                  <c:v>18120240.480961926</c:v>
                </c:pt>
                <c:pt idx="434">
                  <c:v>18148296.593186371</c:v>
                </c:pt>
                <c:pt idx="435">
                  <c:v>18176352.705410823</c:v>
                </c:pt>
                <c:pt idx="436">
                  <c:v>18204408.817635268</c:v>
                </c:pt>
                <c:pt idx="437">
                  <c:v>18232464.92985972</c:v>
                </c:pt>
                <c:pt idx="438">
                  <c:v>18260521.042084169</c:v>
                </c:pt>
                <c:pt idx="439">
                  <c:v>18288577.154308617</c:v>
                </c:pt>
                <c:pt idx="440">
                  <c:v>18316633.266533066</c:v>
                </c:pt>
                <c:pt idx="441">
                  <c:v>18344689.378757514</c:v>
                </c:pt>
                <c:pt idx="442">
                  <c:v>18372745.490981966</c:v>
                </c:pt>
                <c:pt idx="443">
                  <c:v>18400801.603206411</c:v>
                </c:pt>
                <c:pt idx="444">
                  <c:v>18428857.715430863</c:v>
                </c:pt>
                <c:pt idx="445">
                  <c:v>18456913.827655308</c:v>
                </c:pt>
                <c:pt idx="446">
                  <c:v>18484969.93987976</c:v>
                </c:pt>
                <c:pt idx="447">
                  <c:v>18513026.052104209</c:v>
                </c:pt>
                <c:pt idx="448">
                  <c:v>18541082.164328657</c:v>
                </c:pt>
                <c:pt idx="449">
                  <c:v>18569138.276553106</c:v>
                </c:pt>
                <c:pt idx="450">
                  <c:v>18597194.388777554</c:v>
                </c:pt>
                <c:pt idx="451">
                  <c:v>18625250.501002006</c:v>
                </c:pt>
                <c:pt idx="452">
                  <c:v>18653306.613226451</c:v>
                </c:pt>
                <c:pt idx="453">
                  <c:v>18681362.725450903</c:v>
                </c:pt>
                <c:pt idx="454">
                  <c:v>18709418.837675352</c:v>
                </c:pt>
                <c:pt idx="455">
                  <c:v>18737474.9498998</c:v>
                </c:pt>
                <c:pt idx="456">
                  <c:v>18765531.062124249</c:v>
                </c:pt>
                <c:pt idx="457">
                  <c:v>18793587.174348697</c:v>
                </c:pt>
                <c:pt idx="458">
                  <c:v>18821643.286573146</c:v>
                </c:pt>
                <c:pt idx="459">
                  <c:v>18849699.398797594</c:v>
                </c:pt>
                <c:pt idx="460">
                  <c:v>18877755.511022046</c:v>
                </c:pt>
                <c:pt idx="461">
                  <c:v>18905811.623246491</c:v>
                </c:pt>
                <c:pt idx="462">
                  <c:v>18933867.735470943</c:v>
                </c:pt>
                <c:pt idx="463">
                  <c:v>18961923.847695392</c:v>
                </c:pt>
                <c:pt idx="464">
                  <c:v>18989979.95991984</c:v>
                </c:pt>
                <c:pt idx="465">
                  <c:v>19018036.072144289</c:v>
                </c:pt>
                <c:pt idx="466">
                  <c:v>19046092.184368737</c:v>
                </c:pt>
                <c:pt idx="467">
                  <c:v>19074148.296593186</c:v>
                </c:pt>
                <c:pt idx="468">
                  <c:v>19102204.408817634</c:v>
                </c:pt>
                <c:pt idx="469">
                  <c:v>19130260.521042086</c:v>
                </c:pt>
                <c:pt idx="470">
                  <c:v>19158316.633266531</c:v>
                </c:pt>
                <c:pt idx="471">
                  <c:v>19186372.745490983</c:v>
                </c:pt>
                <c:pt idx="472">
                  <c:v>19214428.857715432</c:v>
                </c:pt>
                <c:pt idx="473">
                  <c:v>19242484.96993988</c:v>
                </c:pt>
                <c:pt idx="474">
                  <c:v>19270541.082164329</c:v>
                </c:pt>
                <c:pt idx="475">
                  <c:v>19298597.194388777</c:v>
                </c:pt>
                <c:pt idx="476">
                  <c:v>19326653.306613229</c:v>
                </c:pt>
                <c:pt idx="477">
                  <c:v>19354709.418837674</c:v>
                </c:pt>
                <c:pt idx="478">
                  <c:v>19382765.531062126</c:v>
                </c:pt>
                <c:pt idx="479">
                  <c:v>19410821.643286571</c:v>
                </c:pt>
                <c:pt idx="480">
                  <c:v>19438877.755511023</c:v>
                </c:pt>
                <c:pt idx="481">
                  <c:v>19466933.867735472</c:v>
                </c:pt>
                <c:pt idx="482">
                  <c:v>19494989.97995992</c:v>
                </c:pt>
                <c:pt idx="483">
                  <c:v>19523046.092184369</c:v>
                </c:pt>
                <c:pt idx="484">
                  <c:v>19551102.204408817</c:v>
                </c:pt>
                <c:pt idx="485">
                  <c:v>19579158.316633269</c:v>
                </c:pt>
                <c:pt idx="486">
                  <c:v>19607214.428857714</c:v>
                </c:pt>
                <c:pt idx="487">
                  <c:v>19635270.541082166</c:v>
                </c:pt>
                <c:pt idx="488">
                  <c:v>19663326.653306611</c:v>
                </c:pt>
                <c:pt idx="489">
                  <c:v>19691382.765531063</c:v>
                </c:pt>
                <c:pt idx="490">
                  <c:v>19719438.877755512</c:v>
                </c:pt>
                <c:pt idx="491">
                  <c:v>19747494.98997996</c:v>
                </c:pt>
                <c:pt idx="492">
                  <c:v>19775551.102204408</c:v>
                </c:pt>
                <c:pt idx="493">
                  <c:v>19803607.214428857</c:v>
                </c:pt>
                <c:pt idx="494">
                  <c:v>19831663.326653309</c:v>
                </c:pt>
                <c:pt idx="495">
                  <c:v>19859719.438877754</c:v>
                </c:pt>
                <c:pt idx="496">
                  <c:v>19887775.551102206</c:v>
                </c:pt>
                <c:pt idx="497">
                  <c:v>19915831.663326651</c:v>
                </c:pt>
                <c:pt idx="498">
                  <c:v>19943887.775551103</c:v>
                </c:pt>
                <c:pt idx="499">
                  <c:v>19971943.887775552</c:v>
                </c:pt>
                <c:pt idx="500">
                  <c:v>20000000</c:v>
                </c:pt>
              </c:numCache>
            </c:numRef>
          </c:xVal>
          <c:yVal>
            <c:numRef>
              <c:f>Sheet1!$M$2502:$M$3003</c:f>
              <c:numCache>
                <c:formatCode>General</c:formatCode>
                <c:ptCount val="502"/>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0.00024478623219750296</c:v>
                </c:pt>
                <c:pt idx="34">
                  <c:v>0.0005238206784922623</c:v>
                </c:pt>
                <c:pt idx="35">
                  <c:v>0.00080285512478703075</c:v>
                </c:pt>
                <c:pt idx="36">
                  <c:v>0.00108188957108179</c:v>
                </c:pt>
                <c:pt idx="37">
                  <c:v>0.0013609240173765493</c:v>
                </c:pt>
                <c:pt idx="38">
                  <c:v>0.0016399584636713179</c:v>
                </c:pt>
                <c:pt idx="39">
                  <c:v>0.0021033322580444767</c:v>
                </c:pt>
                <c:pt idx="40">
                  <c:v>0.0028356104284144677</c:v>
                </c:pt>
                <c:pt idx="41">
                  <c:v>0.0036358063876501326</c:v>
                </c:pt>
                <c:pt idx="42">
                  <c:v>0.0045515334525540125</c:v>
                </c:pt>
                <c:pt idx="43">
                  <c:v>0.0056304049399285381</c:v>
                </c:pt>
                <c:pt idx="44">
                  <c:v>0.0069200341665762721</c:v>
                </c:pt>
                <c:pt idx="45">
                  <c:v>0.0084680344492996142</c:v>
                </c:pt>
                <c:pt idx="46">
                  <c:v>0.010322019104901096</c:v>
                </c:pt>
                <c:pt idx="47">
                  <c:v>0.012529601450183277</c:v>
                </c:pt>
                <c:pt idx="48">
                  <c:v>0.015138394801948597</c:v>
                </c:pt>
                <c:pt idx="49">
                  <c:v>0.018196012476999434</c:v>
                </c:pt>
                <c:pt idx="50">
                  <c:v>0.021750067792138367</c:v>
                </c:pt>
                <c:pt idx="51">
                  <c:v>0.025848174064168016</c:v>
                </c:pt>
                <c:pt idx="52">
                  <c:v>0.030535814269495386</c:v>
                </c:pt>
                <c:pt idx="53">
                  <c:v>0.035814742765459519</c:v>
                </c:pt>
                <c:pt idx="54">
                  <c:v>0.041645726558000987</c:v>
                </c:pt>
                <c:pt idx="55">
                  <c:v>0.047987951286624489</c:v>
                </c:pt>
                <c:pt idx="56">
                  <c:v>0.054800602590833913</c:v>
                </c:pt>
                <c:pt idx="57">
                  <c:v>0.062042866110134022</c:v>
                </c:pt>
                <c:pt idx="58">
                  <c:v>0.069673927484028619</c:v>
                </c:pt>
                <c:pt idx="59">
                  <c:v>0.077652972352022273</c:v>
                </c:pt>
                <c:pt idx="60">
                  <c:v>0.085939186353619565</c:v>
                </c:pt>
                <c:pt idx="61">
                  <c:v>0.094491755128324514</c:v>
                </c:pt>
                <c:pt idx="62">
                  <c:v>0.10326986431564117</c:v>
                </c:pt>
                <c:pt idx="63">
                  <c:v>0.11223269955507408</c:v>
                </c:pt>
                <c:pt idx="64">
                  <c:v>0.12133944648612791</c:v>
                </c:pt>
                <c:pt idx="65">
                  <c:v>0.13054971890103423</c:v>
                </c:pt>
                <c:pt idx="66">
                  <c:v>0.13982898385399783</c:v>
                </c:pt>
                <c:pt idx="67">
                  <c:v>0.14914694709885498</c:v>
                </c:pt>
                <c:pt idx="68">
                  <c:v>0.15847340904878104</c:v>
                </c:pt>
                <c:pt idx="69">
                  <c:v>0.16777817011695134</c:v>
                </c:pt>
                <c:pt idx="70">
                  <c:v>0.17703103071654044</c:v>
                </c:pt>
                <c:pt idx="71">
                  <c:v>0.18620179126072312</c:v>
                </c:pt>
                <c:pt idx="72">
                  <c:v>0.19526025216267467</c:v>
                </c:pt>
                <c:pt idx="73">
                  <c:v>0.20417621383557027</c:v>
                </c:pt>
                <c:pt idx="74">
                  <c:v>0.21291947669258438</c:v>
                </c:pt>
                <c:pt idx="75">
                  <c:v>0.22145984114689257</c:v>
                </c:pt>
                <c:pt idx="76">
                  <c:v>0.22976710761166924</c:v>
                </c:pt>
                <c:pt idx="77">
                  <c:v>0.23781107650008962</c:v>
                </c:pt>
                <c:pt idx="78">
                  <c:v>0.24555963328275068</c:v>
                </c:pt>
                <c:pt idx="79">
                  <c:v>0.2529623144731335</c:v>
                </c:pt>
                <c:pt idx="80">
                  <c:v>0.25995844514580385</c:v>
                </c:pt>
                <c:pt idx="81">
                  <c:v>0.2664872403174538</c:v>
                </c:pt>
                <c:pt idx="82">
                  <c:v>0.27248791500477565</c:v>
                </c:pt>
                <c:pt idx="83">
                  <c:v>0.27789968422446087</c:v>
                </c:pt>
                <c:pt idx="84">
                  <c:v>0.28266176299320123</c:v>
                </c:pt>
                <c:pt idx="85">
                  <c:v>0.28671336632768885</c:v>
                </c:pt>
                <c:pt idx="86">
                  <c:v>0.28999370924461576</c:v>
                </c:pt>
                <c:pt idx="87">
                  <c:v>0.29244200676067361</c:v>
                </c:pt>
                <c:pt idx="88">
                  <c:v>0.29399747389255432</c:v>
                </c:pt>
                <c:pt idx="89">
                  <c:v>0.29459932565694985</c:v>
                </c:pt>
                <c:pt idx="90">
                  <c:v>0.29418677707055207</c:v>
                </c:pt>
                <c:pt idx="91">
                  <c:v>0.29271048766886765</c:v>
                </c:pt>
                <c:pt idx="92">
                  <c:v>0.29020049317342694</c:v>
                </c:pt>
                <c:pt idx="93">
                  <c:v>0.286720466275732</c:v>
                </c:pt>
                <c:pt idx="94">
                  <c:v>0.28233420093261424</c:v>
                </c:pt>
                <c:pt idx="95">
                  <c:v>0.27710549110090466</c:v>
                </c:pt>
                <c:pt idx="96">
                  <c:v>0.27109813073743544</c:v>
                </c:pt>
                <c:pt idx="97">
                  <c:v>0.26437591379903752</c:v>
                </c:pt>
                <c:pt idx="98">
                  <c:v>0.2570026342425426</c:v>
                </c:pt>
                <c:pt idx="99">
                  <c:v>0.24904208602478189</c:v>
                </c:pt>
                <c:pt idx="100">
                  <c:v>0.24055806310258698</c:v>
                </c:pt>
                <c:pt idx="101">
                  <c:v>0.2316143594327886</c:v>
                </c:pt>
                <c:pt idx="102">
                  <c:v>0.22227476897221946</c:v>
                </c:pt>
                <c:pt idx="103">
                  <c:v>0.2126030856777103</c:v>
                </c:pt>
                <c:pt idx="104">
                  <c:v>0.20266245129281762</c:v>
                </c:pt>
                <c:pt idx="105">
                  <c:v>0.19251267075778114</c:v>
                </c:pt>
                <c:pt idx="106">
                  <c:v>0.18221248472862187</c:v>
                </c:pt>
                <c:pt idx="107">
                  <c:v>0.17182063340169917</c:v>
                </c:pt>
                <c:pt idx="108">
                  <c:v>0.16139585697337244</c:v>
                </c:pt>
                <c:pt idx="109">
                  <c:v>0.15099689564000038</c:v>
                </c:pt>
                <c:pt idx="110">
                  <c:v>0.14068248959794372</c:v>
                </c:pt>
                <c:pt idx="111">
                  <c:v>0.13051137904356117</c:v>
                </c:pt>
                <c:pt idx="112">
                  <c:v>0.12054230417321206</c:v>
                </c:pt>
                <c:pt idx="113">
                  <c:v>0.11083400518325516</c:v>
                </c:pt>
                <c:pt idx="114">
                  <c:v>0.10144522227005115</c:v>
                </c:pt>
                <c:pt idx="115">
                  <c:v>0.092434695629958721</c:v>
                </c:pt>
                <c:pt idx="116">
                  <c:v>0.0838611654074442</c:v>
                </c:pt>
                <c:pt idx="117">
                  <c:v>0.075771553513223622</c:v>
                </c:pt>
                <c:pt idx="118">
                  <c:v>0.068167811152408664</c:v>
                </c:pt>
                <c:pt idx="119">
                  <c:v>0.061041194642236174</c:v>
                </c:pt>
                <c:pt idx="120">
                  <c:v>0.054382960299941517</c:v>
                </c:pt>
                <c:pt idx="121">
                  <c:v>0.0481843644427601</c:v>
                </c:pt>
                <c:pt idx="122">
                  <c:v>0.042436663387928612</c:v>
                </c:pt>
                <c:pt idx="123">
                  <c:v>0.037131113452682468</c:v>
                </c:pt>
                <c:pt idx="124">
                  <c:v>0.032258970954257546</c:v>
                </c:pt>
                <c:pt idx="125">
                  <c:v>0.027811492209889679</c:v>
                </c:pt>
                <c:pt idx="126">
                  <c:v>0.023779933536814717</c:v>
                </c:pt>
                <c:pt idx="127">
                  <c:v>0.02015555125226828</c:v>
                </c:pt>
                <c:pt idx="128">
                  <c:v>0.016929601673486703</c:v>
                </c:pt>
                <c:pt idx="129">
                  <c:v>0.014093336033270606</c:v>
                </c:pt>
                <c:pt idx="130">
                  <c:v>0.011633393311395745</c:v>
                </c:pt>
                <c:pt idx="131">
                  <c:v>0.0095232952244824875</c:v>
                </c:pt>
                <c:pt idx="132">
                  <c:v>0.0077342472137104622</c:v>
                </c:pt>
                <c:pt idx="133">
                  <c:v>0.0062374547202594744</c:v>
                </c:pt>
                <c:pt idx="134">
                  <c:v>0.0050041231853093174</c:v>
                </c:pt>
                <c:pt idx="135">
                  <c:v>0.0040054580500397943</c:v>
                </c:pt>
                <c:pt idx="136">
                  <c:v>0.003212664755630661</c:v>
                </c:pt>
                <c:pt idx="137">
                  <c:v>0.0025969487432618205</c:v>
                </c:pt>
                <c:pt idx="138">
                  <c:v>0.0021295154541130178</c:v>
                </c:pt>
                <c:pt idx="139">
                  <c:v>0.0017815703293640305</c:v>
                </c:pt>
                <c:pt idx="140">
                  <c:v>0.0015243188101947058</c:v>
                </c:pt>
                <c:pt idx="141">
                  <c:v>0.0013289663377848166</c:v>
                </c:pt>
                <c:pt idx="142">
                  <c:v>0.0011667647706890512</c:v>
                </c:pt>
                <c:pt idx="143">
                  <c:v>0.0010173152439154265</c:v>
                </c:pt>
                <c:pt idx="144">
                  <c:v>0.00087816328820451109</c:v>
                </c:pt>
                <c:pt idx="145">
                  <c:v>0.00074917984817147564</c:v>
                </c:pt>
                <c:pt idx="146">
                  <c:v>0.00063023586843146307</c:v>
                </c:pt>
                <c:pt idx="147">
                  <c:v>0.000521202293599625</c:v>
                </c:pt>
                <c:pt idx="148">
                  <c:v>0.00042195006829110772</c:v>
                </c:pt>
                <c:pt idx="149">
                  <c:v>0.00033235013712107635</c:v>
                </c:pt>
                <c:pt idx="150">
                  <c:v>0.00025227344470467631</c:v>
                </c:pt>
                <c:pt idx="151">
                  <c:v>0.00018159093565705962</c:v>
                </c:pt>
                <c:pt idx="152">
                  <c:v>0.00012017355459337841</c:v>
                </c:pt>
                <c:pt idx="153">
                  <c:v>6.7892246128784854E-05</c:v>
                </c:pt>
                <c:pt idx="154">
                  <c:v>2.4617954878428509E-05</c:v>
                </c:pt>
                <c:pt idx="155">
                  <c:v>-9.7820846675697731E-06</c:v>
                </c:pt>
                <c:pt idx="156">
                  <c:v>-3.5702189793951441E-05</c:v>
                </c:pt>
                <c:pt idx="157">
                  <c:v>-5.3966219039512268E-05</c:v>
                </c:pt>
                <c:pt idx="158">
                  <c:v>-6.5437953149208232E-05</c:v>
                </c:pt>
                <c:pt idx="159">
                  <c:v>-7.0981172867993388E-05</c:v>
                </c:pt>
                <c:pt idx="160">
                  <c:v>-7.1459658940821715E-05</c:v>
                </c:pt>
                <c:pt idx="161">
                  <c:v>-6.7737192112647316E-05</c:v>
                </c:pt>
                <c:pt idx="162">
                  <c:v>-6.0677553128423579E-05</c:v>
                </c:pt>
                <c:pt idx="163">
                  <c:v>-5.1144522733105557E-05</c:v>
                </c:pt>
                <c:pt idx="164">
                  <c:v>-4.00018816716469E-05</c:v>
                </c:pt>
                <c:pt idx="165">
                  <c:v>-2.8113410689000826E-05</c:v>
                </c:pt>
                <c:pt idx="166">
                  <c:v>-1.6342890530123E-05</c:v>
                </c:pt>
                <c:pt idx="167">
                  <c:v>-5.5541019399666681E-06</c:v>
                </c:pt>
                <c:pt idx="168">
                  <c:v>3.4017657404412224E-06</c:v>
                </c:pt>
                <c:pt idx="169">
                  <c:v>1.013497915554417E-05</c:v>
                </c:pt>
                <c:pt idx="170">
                  <c:v>1.483952021666682E-05</c:v>
                </c:pt>
                <c:pt idx="171">
                  <c:v>1.7746838276857271E-05</c:v>
                </c:pt>
                <c:pt idx="172">
                  <c:v>1.9088382689163142E-05</c:v>
                </c:pt>
                <c:pt idx="173">
                  <c:v>1.9095602806632629E-05</c:v>
                </c:pt>
                <c:pt idx="174">
                  <c:v>1.7999947982313733E-05</c:v>
                </c:pt>
                <c:pt idx="175">
                  <c:v>1.6032867569254482E-05</c:v>
                </c:pt>
                <c:pt idx="176">
                  <c:v>1.3425810920502854E-05</c:v>
                </c:pt>
                <c:pt idx="177">
                  <c:v>1.0410227389106851E-05</c:v>
                </c:pt>
                <c:pt idx="178">
                  <c:v>7.2175663281144451E-06</c:v>
                </c:pt>
                <c:pt idx="179">
                  <c:v>4.0792770905736291E-06</c:v>
                </c:pt>
                <c:pt idx="180">
                  <c:v>1.2268090295322163E-06</c:v>
                </c:pt>
                <c:pt idx="181">
                  <c:v>-1.1148188723803084E-06</c:v>
                </c:pt>
                <c:pt idx="182">
                  <c:v>-2.8627573257758835E-06</c:v>
                </c:pt>
                <c:pt idx="183">
                  <c:v>-4.0732150582669708E-06</c:v>
                </c:pt>
                <c:pt idx="184">
                  <c:v>-4.80820873709163E-06</c:v>
                </c:pt>
                <c:pt idx="185">
                  <c:v>-5.1297550294877671E-06</c:v>
                </c:pt>
                <c:pt idx="186">
                  <c:v>-5.0998706026932964E-06</c:v>
                </c:pt>
                <c:pt idx="187">
                  <c:v>-4.7805721239461335E-06</c:v>
                </c:pt>
                <c:pt idx="188">
                  <c:v>-4.2338762604841921E-06</c:v>
                </c:pt>
                <c:pt idx="189">
                  <c:v>-3.5217996795453339E-06</c:v>
                </c:pt>
                <c:pt idx="190">
                  <c:v>-2.70635904836757E-06</c:v>
                </c:pt>
                <c:pt idx="191">
                  <c:v>-1.8495710341887164E-06</c:v>
                </c:pt>
                <c:pt idx="192">
                  <c:v>-1.0134523042468012E-06</c:v>
                </c:pt>
                <c:pt idx="193">
                  <c:v>-2.6001952577968466E-07</c:v>
                </c:pt>
                <c:pt idx="194">
                  <c:v>3.51639525848722E-07</c:v>
                </c:pt>
                <c:pt idx="195">
                  <c:v>8.0509473728847665E-07</c:v>
                </c:pt>
                <c:pt idx="196">
                  <c:v>1.1161670203461608E-06</c:v>
                </c:pt>
                <c:pt idx="197">
                  <c:v>1.3014736909254489E-06</c:v>
                </c:pt>
                <c:pt idx="198">
                  <c:v>1.3776320649299886E-06</c:v>
                </c:pt>
                <c:pt idx="199">
                  <c:v>1.3612594582634627E-06</c:v>
                </c:pt>
                <c:pt idx="200">
                  <c:v>1.268973186829533E-06</c:v>
                </c:pt>
                <c:pt idx="201">
                  <c:v>1.1173905665318805E-06</c:v>
                </c:pt>
                <c:pt idx="202">
                  <c:v>9.2312891327417012E-07</c:v>
                </c:pt>
                <c:pt idx="203">
                  <c:v>7.0280554296007072E-07</c:v>
                </c:pt>
                <c:pt idx="204">
                  <c:v>4.73037771493251E-07</c:v>
                </c:pt>
                <c:pt idx="205">
                  <c:v>2.5044291477737946E-07</c:v>
                </c:pt>
                <c:pt idx="206">
                  <c:v>5.1638288716112552E-08</c:v>
                </c:pt>
                <c:pt idx="207">
                  <c:v>-1.0799042045693487E-07</c:v>
                </c:pt>
                <c:pt idx="208">
                  <c:v>-2.2554308492754643E-07</c:v>
                </c:pt>
                <c:pt idx="209">
                  <c:v>-3.0538234759636322E-07</c:v>
                </c:pt>
                <c:pt idx="210">
                  <c:v>-3.5196080484015535E-07</c:v>
                </c:pt>
                <c:pt idx="211">
                  <c:v>-3.6973105303568346E-07</c:v>
                </c:pt>
                <c:pt idx="212">
                  <c:v>-3.6314568855970841E-07</c:v>
                </c:pt>
                <c:pt idx="213">
                  <c:v>-3.3665730778899126E-07</c:v>
                </c:pt>
                <c:pt idx="214">
                  <c:v>-2.9471850710029274E-07</c:v>
                </c:pt>
                <c:pt idx="215">
                  <c:v>-2.4178188287036996E-07</c:v>
                </c:pt>
                <c:pt idx="216">
                  <c:v>-1.8230003147599098E-07</c:v>
                </c:pt>
                <c:pt idx="217">
                  <c:v>-1.207255492939095E-07</c:v>
                </c:pt>
                <c:pt idx="218">
                  <c:v>-6.1511032700894867E-08</c:v>
                </c:pt>
                <c:pt idx="219">
                  <c:v>-9.1090780737037339E-09</c:v>
                </c:pt>
                <c:pt idx="220">
                  <c:v>3.2515986135903638E-08</c:v>
                </c:pt>
                <c:pt idx="221">
                  <c:v>6.2967194004095735E-08</c:v>
                </c:pt>
                <c:pt idx="222">
                  <c:v>8.3430485080796063E-08</c:v>
                </c:pt>
                <c:pt idx="223">
                  <c:v>9.5098928969379472E-08</c:v>
                </c:pt>
                <c:pt idx="224">
                  <c:v>9.9165595273220869E-08</c:v>
                </c:pt>
                <c:pt idx="225">
                  <c:v>9.6823553595694569E-08</c:v>
                </c:pt>
                <c:pt idx="226">
                  <c:v>8.9265873540175214E-08</c:v>
                </c:pt>
                <c:pt idx="227">
                  <c:v>7.7685624710038759E-08</c:v>
                </c:pt>
                <c:pt idx="228">
                  <c:v>6.3275876708659624E-08</c:v>
                </c:pt>
                <c:pt idx="229">
                  <c:v>4.722969913941265E-08</c:v>
                </c:pt>
                <c:pt idx="230">
                  <c:v>3.0740161605672634E-08</c:v>
                </c:pt>
                <c:pt idx="231">
                  <c:v>1.5000333710814434E-08</c:v>
                </c:pt>
                <c:pt idx="232">
                  <c:v>1.2032850582119836E-09</c:v>
                </c:pt>
                <c:pt idx="233">
                  <c:v>-9.6429121800394329E-09</c:v>
                </c:pt>
                <c:pt idx="234">
                  <c:v>-1.7524856981528452E-08</c:v>
                </c:pt>
                <c:pt idx="235">
                  <c:v>-2.2761993731008839E-08</c:v>
                </c:pt>
                <c:pt idx="236">
                  <c:v>-2.5674004465218341E-08</c:v>
                </c:pt>
                <c:pt idx="237">
                  <c:v>-2.6580571220895774E-08</c:v>
                </c:pt>
                <c:pt idx="238">
                  <c:v>-2.5801376034779551E-08</c:v>
                </c:pt>
                <c:pt idx="239">
                  <c:v>-2.3656100943608063E-08</c:v>
                </c:pt>
                <c:pt idx="240">
                  <c:v>-2.0464427984119718E-08</c:v>
                </c:pt>
                <c:pt idx="241">
                  <c:v>-1.654603919305265E-08</c:v>
                </c:pt>
                <c:pt idx="242">
                  <c:v>-1.2220616607145784E-08</c:v>
                </c:pt>
                <c:pt idx="243">
                  <c:v>-7.8078422631369976E-09</c:v>
                </c:pt>
                <c:pt idx="244">
                  <c:v>-3.6273981977652979E-09</c:v>
                </c:pt>
                <c:pt idx="245">
                  <c:v>1.0335522333901447E-12</c:v>
                </c:pt>
                <c:pt idx="246">
                  <c:v>2.8253922658098462E-09</c:v>
                </c:pt>
                <c:pt idx="247">
                  <c:v>4.8638442343713948E-09</c:v>
                </c:pt>
                <c:pt idx="248">
                  <c:v>6.2020480014968241E-09</c:v>
                </c:pt>
                <c:pt idx="249">
                  <c:v>6.9256621107649261E-09</c:v>
                </c:pt>
                <c:pt idx="250">
                  <c:v>7.1203451057544889E-09</c:v>
                </c:pt>
                <c:pt idx="251">
                  <c:v>6.8717555300442852E-09</c:v>
                </c:pt>
                <c:pt idx="252">
                  <c:v>6.2655519272130824E-09</c:v>
                </c:pt>
                <c:pt idx="253">
                  <c:v>5.3873928408397564E-09</c:v>
                </c:pt>
                <c:pt idx="254">
                  <c:v>4.3229368145030757E-09</c:v>
                </c:pt>
                <c:pt idx="255">
                  <c:v>3.1578423917818236E-09</c:v>
                </c:pt>
                <c:pt idx="256">
                  <c:v>1.977768116254796E-09</c:v>
                </c:pt>
                <c:pt idx="257">
                  <c:v>8.6837253150078312E-10</c:v>
                </c:pt>
                <c:pt idx="258">
                  <c:v>-8.4703216170171548E-11</c:v>
                </c:pt>
                <c:pt idx="259">
                  <c:v>-8.1975558764631378E-10</c:v>
                </c:pt>
                <c:pt idx="260">
                  <c:v>-1.3464826160688895E-09</c:v>
                </c:pt>
                <c:pt idx="261">
                  <c:v>-1.687836439014736E-09</c:v>
                </c:pt>
                <c:pt idx="262">
                  <c:v>-1.8667691940605706E-09</c:v>
                </c:pt>
                <c:pt idx="263">
                  <c:v>-1.9062330187831873E-09</c:v>
                </c:pt>
                <c:pt idx="264">
                  <c:v>-1.8291800507593484E-09</c:v>
                </c:pt>
                <c:pt idx="265">
                  <c:v>-1.6585624275658167E-09</c:v>
                </c:pt>
                <c:pt idx="266">
                  <c:v>-1.4173322867793563E-09</c:v>
                </c:pt>
                <c:pt idx="267">
                  <c:v>-1.1284417659767096E-09</c:v>
                </c:pt>
                <c:pt idx="268">
                  <c:v>-8.1484300273468E-10</c:v>
                </c:pt>
                <c:pt idx="269">
                  <c:v>-4.9948813463001272E-10</c:v>
                </c:pt>
                <c:pt idx="270">
                  <c:v>-2.0532929923945216E-10</c:v>
                </c:pt>
                <c:pt idx="271">
                  <c:v>4.4718478337515528E-11</c:v>
                </c:pt>
                <c:pt idx="272">
                  <c:v>2.3591153278663227E-10</c:v>
                </c:pt>
                <c:pt idx="273">
                  <c:v>3.7188893796425979E-10</c:v>
                </c:pt>
                <c:pt idx="274">
                  <c:v>4.5880070059865922E-10</c:v>
                </c:pt>
                <c:pt idx="275">
                  <c:v>5.0279682741809241E-10</c:v>
                </c:pt>
                <c:pt idx="276">
                  <c:v>5.1002732515082048E-10</c:v>
                </c:pt>
                <c:pt idx="277">
                  <c:v>4.8664220052510466E-10</c:v>
                </c:pt>
                <c:pt idx="278">
                  <c:v>4.3879146026920462E-10</c:v>
                </c:pt>
                <c:pt idx="279">
                  <c:v>3.7262511111138841E-10</c:v>
                </c:pt>
                <c:pt idx="280">
                  <c:v>2.9429315977991556E-10</c:v>
                </c:pt>
                <c:pt idx="281">
                  <c:v>2.0994561300304783E-10</c:v>
                </c:pt>
                <c:pt idx="282">
                  <c:v>1.2573247750904681E-10</c:v>
                </c:pt>
                <c:pt idx="283">
                  <c:v>4.7803760026174326E-11</c:v>
                </c:pt>
                <c:pt idx="284">
                  <c:v>-1.7724040387374911E-11</c:v>
                </c:pt>
                <c:pt idx="285">
                  <c:v>-6.74256487241081E-11</c:v>
                </c:pt>
                <c:pt idx="286">
                  <c:v>-1.0249436648011428E-10</c:v>
                </c:pt>
                <c:pt idx="287">
                  <c:v>-1.2457808299168214E-10</c:v>
                </c:pt>
                <c:pt idx="288">
                  <c:v>-1.3532468759509253E-10</c:v>
                </c:pt>
                <c:pt idx="289">
                  <c:v>-1.3638206962663098E-10</c:v>
                </c:pt>
                <c:pt idx="290">
                  <c:v>-1.2939811842258127E-10</c:v>
                </c:pt>
                <c:pt idx="291">
                  <c:v>-1.1602072331922711E-10</c:v>
                </c:pt>
                <c:pt idx="292">
                  <c:v>-9.7897773652852162E-11</c:v>
                </c:pt>
                <c:pt idx="293">
                  <c:v>-7.6677158759740113E-11</c:v>
                </c:pt>
                <c:pt idx="294">
                  <c:v>-5.4006767976173196E-11</c:v>
                </c:pt>
                <c:pt idx="295">
                  <c:v>-3.1534490638438192E-11</c:v>
                </c:pt>
                <c:pt idx="296">
                  <c:v>-1.0908216082816052E-11</c:v>
                </c:pt>
                <c:pt idx="297">
                  <c:v>6.245431177731E-12</c:v>
                </c:pt>
                <c:pt idx="298">
                  <c:v>1.9157671586817748E-11</c:v>
                </c:pt>
                <c:pt idx="299">
                  <c:v>2.8192474823762436E-11</c:v>
                </c:pt>
                <c:pt idx="300">
                  <c:v>3.3791391505438111E-11</c:v>
                </c:pt>
                <c:pt idx="301">
                  <c:v>3.6395972248717959E-11</c:v>
                </c:pt>
                <c:pt idx="302">
                  <c:v>3.6447767670474688E-11</c:v>
                </c:pt>
                <c:pt idx="303">
                  <c:v>3.4388328387581662E-11</c:v>
                </c:pt>
                <c:pt idx="304">
                  <c:v>3.0659205016911973E-11</c:v>
                </c:pt>
                <c:pt idx="305">
                  <c:v>2.5701948175338666E-11</c:v>
                </c:pt>
                <c:pt idx="306">
                  <c:v>1.9958108479734439E-11</c:v>
                </c:pt>
                <c:pt idx="307">
                  <c:v>1.3869236546973146E-11</c:v>
                </c:pt>
                <c:pt idx="308">
                  <c:v>7.8768829939274958E-12</c:v>
                </c:pt>
                <c:pt idx="309">
                  <c:v>2.4225984374705685E-12</c:v>
                </c:pt>
                <c:pt idx="310">
                  <c:v>-2.0631898031163534E-12</c:v>
                </c:pt>
                <c:pt idx="311">
                  <c:v>-5.4155684620639422E-12</c:v>
                </c:pt>
                <c:pt idx="312">
                  <c:v>-7.7406290784835833E-12</c:v>
                </c:pt>
                <c:pt idx="313">
                  <c:v>-9.1566847835839057E-12</c:v>
                </c:pt>
                <c:pt idx="314">
                  <c:v>-9.7820487085735146E-12</c:v>
                </c:pt>
                <c:pt idx="315">
                  <c:v>-9.735033984660948E-12</c:v>
                </c:pt>
                <c:pt idx="316">
                  <c:v>-9.13395374305487E-12</c:v>
                </c:pt>
                <c:pt idx="317">
                  <c:v>-8.0971211149638883E-12</c:v>
                </c:pt>
                <c:pt idx="318">
                  <c:v>-6.74284923159661E-12</c:v>
                </c:pt>
                <c:pt idx="319">
                  <c:v>-5.1894512241615347E-12</c:v>
                </c:pt>
                <c:pt idx="320">
                  <c:v>-3.5552402238674765E-12</c:v>
                </c:pt>
                <c:pt idx="321">
                  <c:v>-1.9585293619229427E-12</c:v>
                </c:pt>
                <c:pt idx="322">
                  <c:v>-5.1763176953654153E-13</c:v>
                </c:pt>
                <c:pt idx="323">
                  <c:v>6.5428802326720344E-13</c:v>
                </c:pt>
                <c:pt idx="324">
                  <c:v>1.5240719309981573E-12</c:v>
                </c:pt>
                <c:pt idx="325">
                  <c:v>2.121705222768013E-12</c:v>
                </c:pt>
                <c:pt idx="326">
                  <c:v>2.478889806538118E-12</c:v>
                </c:pt>
                <c:pt idx="327">
                  <c:v>2.627327590269812E-12</c:v>
                </c:pt>
                <c:pt idx="328">
                  <c:v>2.5987204819244318E-12</c:v>
                </c:pt>
                <c:pt idx="329">
                  <c:v>2.4247703894633275E-12</c:v>
                </c:pt>
                <c:pt idx="330">
                  <c:v>2.1371792208478441E-12</c:v>
                </c:pt>
                <c:pt idx="331">
                  <c:v>1.7676488840393247E-12</c:v>
                </c:pt>
                <c:pt idx="332">
                  <c:v>1.3478812869990846E-12</c:v>
                </c:pt>
                <c:pt idx="333">
                  <c:v>9.09578337688523E-13</c:v>
                </c:pt>
                <c:pt idx="334">
                  <c:v>4.8444194406895761E-13</c:v>
                </c:pt>
                <c:pt idx="335">
                  <c:v>1.0417401410173106E-13</c:v>
                </c:pt>
                <c:pt idx="336">
                  <c:v>-2.0171373384405303E-13</c:v>
                </c:pt>
                <c:pt idx="337">
                  <c:v>-4.2722176004763933E-13</c:v>
                </c:pt>
                <c:pt idx="338">
                  <c:v>-5.8064282765160273E-13</c:v>
                </c:pt>
                <c:pt idx="339">
                  <c:v>-6.7047143729270986E-13</c:v>
                </c:pt>
                <c:pt idx="340">
                  <c:v>-7.0520208960772835E-13</c:v>
                </c:pt>
                <c:pt idx="341">
                  <c:v>-6.9332928523342276E-13</c:v>
                </c:pt>
                <c:pt idx="342">
                  <c:v>-6.4334752480656228E-13</c:v>
                </c:pt>
                <c:pt idx="343">
                  <c:v>-5.6375130896391471E-13</c:v>
                </c:pt>
                <c:pt idx="344">
                  <c:v>-4.6303513834224721E-13</c:v>
                </c:pt>
                <c:pt idx="345">
                  <c:v>-3.4969351357831909E-13</c:v>
                </c:pt>
                <c:pt idx="346">
                  <c:v>-2.3222093530891284E-13</c:v>
                </c:pt>
                <c:pt idx="347">
                  <c:v>-1.1911190417078871E-13</c:v>
                </c:pt>
                <c:pt idx="348">
                  <c:v>-1.8860920800713455E-14</c:v>
                </c:pt>
                <c:pt idx="349">
                  <c:v>6.0913374233763809E-14</c:v>
                </c:pt>
                <c:pt idx="350">
                  <c:v>1.1933710999216082E-13</c:v>
                </c:pt>
                <c:pt idx="351">
                  <c:v>1.5866909617192725E-13</c:v>
                </c:pt>
                <c:pt idx="352">
                  <c:v>1.8118542735878836E-13</c:v>
                </c:pt>
                <c:pt idx="353">
                  <c:v>1.8916219813846944E-13</c:v>
                </c:pt>
                <c:pt idx="354">
                  <c:v>1.8487550309669519E-13</c:v>
                </c:pt>
                <c:pt idx="355">
                  <c:v>1.7060143681919168E-13</c:v>
                </c:pt>
                <c:pt idx="356">
                  <c:v>1.4861609389168444E-13</c:v>
                </c:pt>
                <c:pt idx="357">
                  <c:v>1.2119556889989869E-13</c:v>
                </c:pt>
                <c:pt idx="358">
                  <c:v>9.0615956429557677E-14</c:v>
                </c:pt>
                <c:pt idx="359">
                  <c:v>5.9153351066391E-14</c:v>
                </c:pt>
                <c:pt idx="360">
                  <c:v>2.9083847396122013E-14</c:v>
                </c:pt>
                <c:pt idx="361">
                  <c:v>2.6835400044761023E-15</c:v>
                </c:pt>
                <c:pt idx="362">
                  <c:v>-1.8105584000009177E-14</c:v>
                </c:pt>
                <c:pt idx="363">
                  <c:v>-3.3229923028434632E-14</c:v>
                </c:pt>
                <c:pt idx="364">
                  <c:v>-4.3298635060198249E-14</c:v>
                </c:pt>
                <c:pt idx="365">
                  <c:v>-4.8921597801435415E-14</c:v>
                </c:pt>
                <c:pt idx="366">
                  <c:v>-5.0708688958280411E-14</c:v>
                </c:pt>
                <c:pt idx="367">
                  <c:v>-4.926978623686734E-14</c:v>
                </c:pt>
                <c:pt idx="368">
                  <c:v>-4.5214767343330647E-14</c:v>
                </c:pt>
                <c:pt idx="369">
                  <c:v>-3.9153509983804649E-14</c:v>
                </c:pt>
                <c:pt idx="370">
                  <c:v>-3.1695891864423614E-14</c:v>
                </c:pt>
                <c:pt idx="371">
                  <c:v>-2.345179069132122E-14</c:v>
                </c:pt>
                <c:pt idx="372">
                  <c:v>-1.5031084170632877E-14</c:v>
                </c:pt>
                <c:pt idx="373">
                  <c:v>-7.0436500084923282E-15</c:v>
                </c:pt>
                <c:pt idx="374">
                  <c:v>-9.93659110338367E-17</c:v>
                </c:pt>
                <c:pt idx="375">
                  <c:v>5.3146807765043038E-15</c:v>
                </c:pt>
                <c:pt idx="376">
                  <c:v>9.2267353603860573E-15</c:v>
                </c:pt>
                <c:pt idx="377">
                  <c:v>1.180021355044503E-14</c:v>
                </c:pt>
                <c:pt idx="378">
                  <c:v>1.3198531585493256E-14</c:v>
                </c:pt>
                <c:pt idx="379">
                  <c:v>1.3585105704342466E-14</c:v>
                </c:pt>
                <c:pt idx="380">
                  <c:v>1.3123352145804334E-14</c:v>
                </c:pt>
                <c:pt idx="381">
                  <c:v>1.197668714869065E-14</c:v>
                </c:pt>
                <c:pt idx="382">
                  <c:v>1.0308526951813141E-14</c:v>
                </c:pt>
                <c:pt idx="383">
                  <c:v>8.28228779398353E-15</c:v>
                </c:pt>
                <c:pt idx="384">
                  <c:v>6.0613859140133989E-15</c:v>
                </c:pt>
                <c:pt idx="385">
                  <c:v>3.8092375507147758E-15</c:v>
                </c:pt>
                <c:pt idx="386">
                  <c:v>1.6892589428992419E-15</c:v>
                </c:pt>
                <c:pt idx="387">
                  <c:v>-1.3515296074150477E-16</c:v>
                </c:pt>
                <c:pt idx="388">
                  <c:v>-1.5443121867863533E-15</c:v>
                </c:pt>
                <c:pt idx="389">
                  <c:v>-2.5553209236090569E-15</c:v>
                </c:pt>
                <c:pt idx="390">
                  <c:v>-3.2119664203223186E-15</c:v>
                </c:pt>
                <c:pt idx="391">
                  <c:v>-3.5580359260385745E-15</c:v>
                </c:pt>
                <c:pt idx="392">
                  <c:v>-3.6373166898706555E-15</c:v>
                </c:pt>
                <c:pt idx="393">
                  <c:v>-3.4935959609311132E-15</c:v>
                </c:pt>
                <c:pt idx="394">
                  <c:v>-3.1706609883326103E-15</c:v>
                </c:pt>
                <c:pt idx="395">
                  <c:v>-2.712299021187786E-15</c:v>
                </c:pt>
                <c:pt idx="396">
                  <c:v>-2.1622973086092727E-15</c:v>
                </c:pt>
                <c:pt idx="397">
                  <c:v>-1.5644430997097077E-15</c:v>
                </c:pt>
                <c:pt idx="398">
                  <c:v>-9.6252364360172654E-16</c:v>
                </c:pt>
                <c:pt idx="399">
                  <c:v>-4.0032618939789421E-16</c:v>
                </c:pt>
                <c:pt idx="400">
                  <c:v>7.8416632394996946E-17</c:v>
                </c:pt>
                <c:pt idx="401">
                  <c:v>4.4498521584937219E-16</c:v>
                </c:pt>
                <c:pt idx="402">
                  <c:v>7.0602381493835425E-16</c:v>
                </c:pt>
                <c:pt idx="403">
                  <c:v>8.7326518730081979E-16</c:v>
                </c:pt>
                <c:pt idx="404">
                  <c:v>9.58442090575588E-16</c:v>
                </c:pt>
                <c:pt idx="405">
                  <c:v>9.7328728240147914E-16</c:v>
                </c:pt>
                <c:pt idx="406">
                  <c:v>9.2953352041730377E-16</c:v>
                </c:pt>
                <c:pt idx="407">
                  <c:v>8.3891356226190926E-16</c:v>
                </c:pt>
                <c:pt idx="408">
                  <c:v>7.1316016557406907E-16</c:v>
                </c:pt>
                <c:pt idx="409">
                  <c:v>5.6400608799266817E-16</c:v>
                </c:pt>
                <c:pt idx="410">
                  <c:v>4.0318408715644879E-16</c:v>
                </c:pt>
                <c:pt idx="411">
                  <c:v>2.4242692070429358E-16</c:v>
                </c:pt>
                <c:pt idx="412">
                  <c:v>9.346734627500147E-17</c:v>
                </c:pt>
                <c:pt idx="413">
                  <c:v>-3.2015778046050544E-17</c:v>
                </c:pt>
                <c:pt idx="414">
                  <c:v>-1.2731664546721515E-16</c:v>
                </c:pt>
                <c:pt idx="415">
                  <c:v>-1.9465008568572688E-16</c:v>
                </c:pt>
                <c:pt idx="416">
                  <c:v>-2.3715988014420581E-16</c:v>
                </c:pt>
                <c:pt idx="417">
                  <c:v>-2.5798981028531754E-16</c:v>
                </c:pt>
                <c:pt idx="418">
                  <c:v>-2.6028365755169272E-16</c:v>
                </c:pt>
                <c:pt idx="419">
                  <c:v>-2.4718520338597526E-16</c:v>
                </c:pt>
                <c:pt idx="420">
                  <c:v>-2.2183822923080985E-16</c:v>
                </c:pt>
                <c:pt idx="421">
                  <c:v>-1.8738651652883796E-16</c:v>
                </c:pt>
                <c:pt idx="422">
                  <c:v>-1.469738467227017E-16</c:v>
                </c:pt>
                <c:pt idx="423">
                  <c:v>-1.0374400125504339E-16</c:v>
                </c:pt>
                <c:pt idx="424">
                  <c:v>-6.08407615684997E-17</c:v>
                </c:pt>
                <c:pt idx="425">
                  <c:v>-2.1407909105729497E-17</c:v>
                </c:pt>
                <c:pt idx="426">
                  <c:v>1.1446502491864948E-17</c:v>
                </c:pt>
                <c:pt idx="427">
                  <c:v>3.6207856901222129E-17</c:v>
                </c:pt>
                <c:pt idx="428">
                  <c:v>5.3558231122369929E-17</c:v>
                </c:pt>
                <c:pt idx="429">
                  <c:v>6.4339993287049461E-17</c:v>
                </c:pt>
                <c:pt idx="430">
                  <c:v>6.939551152701293E-17</c:v>
                </c:pt>
                <c:pt idx="431">
                  <c:v>6.9567153974009845E-17</c:v>
                </c:pt>
                <c:pt idx="432">
                  <c:v>6.5697288759789636E-17</c:v>
                </c:pt>
                <c:pt idx="433">
                  <c:v>5.8628284016100635E-17</c:v>
                </c:pt>
                <c:pt idx="434">
                  <c:v>4.9202507874695669E-17</c:v>
                </c:pt>
                <c:pt idx="435">
                  <c:v>3.8262328467319335E-17</c:v>
                </c:pt>
                <c:pt idx="436">
                  <c:v>2.6650113925726742E-17</c:v>
                </c:pt>
                <c:pt idx="437">
                  <c:v>1.5208232381661323E-17</c:v>
                </c:pt>
                <c:pt idx="438">
                  <c:v>4.7790519668772072E-18</c:v>
                </c:pt>
                <c:pt idx="439">
                  <c:v>-3.8142363561031735E-18</c:v>
                </c:pt>
                <c:pt idx="440">
                  <c:v>-1.0243933450456036E-17</c:v>
                </c:pt>
                <c:pt idx="441">
                  <c:v>-1.4710092986439994E-17</c:v>
                </c:pt>
                <c:pt idx="442">
                  <c:v>-1.743840604841083E-17</c:v>
                </c:pt>
                <c:pt idx="443">
                  <c:v>-1.8654563720723276E-17</c:v>
                </c:pt>
                <c:pt idx="444">
                  <c:v>-1.8584257087733531E-17</c:v>
                </c:pt>
                <c:pt idx="445">
                  <c:v>-1.7453177233797097E-17</c:v>
                </c:pt>
                <c:pt idx="446">
                  <c:v>-1.5487015243268927E-17</c:v>
                </c:pt>
                <c:pt idx="447">
                  <c:v>-1.2911462200505158E-17</c:v>
                </c:pt>
                <c:pt idx="448">
                  <c:v>-9.9522091898610955E-18</c:v>
                </c:pt>
                <c:pt idx="449">
                  <c:v>-6.83494729569224E-18</c:v>
                </c:pt>
                <c:pt idx="450">
                  <c:v>-3.7853676023541065E-18</c:v>
                </c:pt>
                <c:pt idx="451">
                  <c:v>-1.0291611942018676E-18</c:v>
                </c:pt>
                <c:pt idx="452">
                  <c:v>1.2170073108813205E-18</c:v>
                </c:pt>
                <c:pt idx="453">
                  <c:v>2.8863704806337591E-18</c:v>
                </c:pt>
                <c:pt idx="454">
                  <c:v>4.0356433153541982E-18</c:v>
                </c:pt>
                <c:pt idx="455">
                  <c:v>4.7252220207154914E-18</c:v>
                </c:pt>
                <c:pt idx="456">
                  <c:v>5.0155028023902447E-18</c:v>
                </c:pt>
                <c:pt idx="457">
                  <c:v>4.9668818660510613E-18</c:v>
                </c:pt>
                <c:pt idx="458">
                  <c:v>4.6397554173705441E-18</c:v>
                </c:pt>
                <c:pt idx="459">
                  <c:v>4.0945196620212923E-18</c:v>
                </c:pt>
                <c:pt idx="460">
                  <c:v>3.391570805675813E-18</c:v>
                </c:pt>
                <c:pt idx="461">
                  <c:v>2.5913050540070073E-18</c:v>
                </c:pt>
                <c:pt idx="462">
                  <c:v>1.7541186126870651E-18</c:v>
                </c:pt>
                <c:pt idx="463">
                  <c:v>9.4040768738891989E-19</c:v>
                </c:pt>
                <c:pt idx="464">
                  <c:v>2.1056848378506456E-19</c:v>
                </c:pt>
                <c:pt idx="465">
                  <c:v>-3.7887097125663661E-19</c:v>
                </c:pt>
                <c:pt idx="466">
                  <c:v>-8.154021474914292E-19</c:v>
                </c:pt>
                <c:pt idx="467">
                  <c:v>-1.1144723910539886E-18</c:v>
                </c:pt>
                <c:pt idx="468">
                  <c:v>-1.2919754402792091E-18</c:v>
                </c:pt>
                <c:pt idx="469">
                  <c:v>-1.36380503350199E-18</c:v>
                </c:pt>
                <c:pt idx="470">
                  <c:v>-1.3458549090572155E-18</c:v>
                </c:pt>
                <c:pt idx="471">
                  <c:v>-1.2540188052797741E-18</c:v>
                </c:pt>
                <c:pt idx="472">
                  <c:v>-1.1041904605045842E-18</c:v>
                </c:pt>
                <c:pt idx="473">
                  <c:v>-9.12263613066533E-19</c:v>
                </c:pt>
                <c:pt idx="474">
                  <c:v>-6.941320013005155E-19</c:v>
                </c:pt>
                <c:pt idx="475">
                  <c:v>-4.6568936354142648E-19</c:v>
                </c:pt>
                <c:pt idx="476">
                  <c:v>-2.4282943812413294E-19</c:v>
                </c:pt>
                <c:pt idx="477">
                  <c:v>-4.1445963383614783E-20</c:v>
                </c:pt>
                <c:pt idx="478">
                  <c:v>1.2402376594522522E-19</c:v>
                </c:pt>
                <c:pt idx="479">
                  <c:v>2.5097124876517574E-19</c:v>
                </c:pt>
                <c:pt idx="480">
                  <c:v>3.4253702204227457E-19</c:v>
                </c:pt>
                <c:pt idx="481">
                  <c:v>4.0189983344345758E-19</c:v>
                </c:pt>
                <c:pt idx="482">
                  <c:v>4.3223843063571828E-19</c:v>
                </c:pt>
                <c:pt idx="483">
                  <c:v>4.3673156128603566E-19</c:v>
                </c:pt>
                <c:pt idx="484">
                  <c:v>4.18557973061389E-19</c:v>
                </c:pt>
                <c:pt idx="485">
                  <c:v>3.80896413628751E-19</c:v>
                </c:pt>
                <c:pt idx="486">
                  <c:v>3.2692563065511944E-19</c:v>
                </c:pt>
                <c:pt idx="487">
                  <c:v>2.5982437180744515E-19</c:v>
                </c:pt>
                <c:pt idx="488">
                  <c:v>1.8277138475274239E-19</c:v>
                </c:pt>
                <c:pt idx="489">
                  <c:v>9.89454171579499E-20</c:v>
                </c:pt>
                <c:pt idx="490">
                  <c:v>1.1525216690078984E-20</c:v>
                </c:pt>
                <c:pt idx="491">
                  <c:v>0</c:v>
                </c:pt>
                <c:pt idx="492">
                  <c:v>0</c:v>
                </c:pt>
                <c:pt idx="493">
                  <c:v>0</c:v>
                </c:pt>
                <c:pt idx="494">
                  <c:v>0</c:v>
                </c:pt>
                <c:pt idx="495">
                  <c:v>0</c:v>
                </c:pt>
                <c:pt idx="496">
                  <c:v>0</c:v>
                </c:pt>
                <c:pt idx="497">
                  <c:v>0</c:v>
                </c:pt>
                <c:pt idx="498">
                  <c:v>0</c:v>
                </c:pt>
                <c:pt idx="499">
                  <c:v>0</c:v>
                </c:pt>
                <c:pt idx="500">
                  <c:v>0</c:v>
                </c:pt>
              </c:numCache>
            </c:numRef>
          </c:yVal>
          <c:smooth val="0"/>
          <c:extLst>
            <c:ext xmlns:c16="http://schemas.microsoft.com/office/drawing/2014/chart" uri="{C3380CC4-5D6E-409C-BE32-E72D297353CC}">
              <c16:uniqueId val="{00000002-591F-4497-A5A3-E90A129074B7}"/>
            </c:ext>
          </c:extLst>
        </c:ser>
        <c:dLbls>
          <c:showLegendKey val="0"/>
          <c:showVal val="0"/>
          <c:showCatName val="0"/>
          <c:showSerName val="0"/>
          <c:showPercent val="0"/>
          <c:showBubbleSize val="0"/>
        </c:dLbls>
        <c:axId val="518368376"/>
        <c:axId val="518368768"/>
      </c:scatterChart>
      <c:valAx>
        <c:axId val="518368376"/>
        <c:scaling>
          <c:orientation val="minMax"/>
          <c:max val="20000000"/>
          <c:min val="6000000"/>
        </c:scaling>
        <c:delete val="0"/>
        <c:axPos val="b"/>
        <c:title>
          <c:tx>
            <c:rich>
              <a:bodyPr/>
              <a:lstStyle/>
              <a:p>
                <a:pPr>
                  <a:defRPr/>
                </a:pPr>
                <a:r>
                  <a:rPr lang="en-US"/>
                  <a:t>Net Benefits (Millions $)</a:t>
                </a:r>
              </a:p>
            </c:rich>
          </c:tx>
          <c:layout>
            <c:manualLayout>
              <c:xMode val="edge"/>
              <c:yMode val="edge"/>
              <c:x val="0.31103792314422241"/>
              <c:y val="0.90398725259744139"/>
            </c:manualLayout>
          </c:layout>
          <c:overlay val="0"/>
        </c:title>
        <c:numFmt formatCode="0" sourceLinked="0"/>
        <c:majorTickMark val="out"/>
        <c:minorTickMark val="none"/>
        <c:tickLblPos val="nextTo"/>
        <c:txPr>
          <a:bodyPr rot="0" vert="horz"/>
          <a:lstStyle/>
          <a:p>
            <a:pPr>
              <a:defRPr/>
            </a:pPr>
            <a:endParaRPr lang="en-US"/>
          </a:p>
        </c:txPr>
        <c:crossAx val="518368768"/>
        <c:crossesAt val="0"/>
        <c:crossBetween val="midCat"/>
        <c:majorUnit val="2000000"/>
        <c:dispUnits>
          <c:custUnit val="1000000"/>
        </c:dispUnits>
      </c:valAx>
      <c:valAx>
        <c:axId val="518368768"/>
        <c:scaling>
          <c:orientation val="minMax"/>
          <c:max val="0.30000000000000004"/>
          <c:min val="0"/>
        </c:scaling>
        <c:delete val="0"/>
        <c:axPos val="l"/>
        <c:title>
          <c:tx>
            <c:rich>
              <a:bodyPr/>
              <a:lstStyle/>
              <a:p>
                <a:pPr>
                  <a:defRPr/>
                </a:pPr>
                <a:r>
                  <a:rPr lang="en-US"/>
                  <a:t>Relative Frequency</a:t>
                </a:r>
              </a:p>
            </c:rich>
          </c:tx>
          <c:layout>
            <c:manualLayout>
              <c:xMode val="edge"/>
              <c:yMode val="edge"/>
              <c:x val="0.016874116696951342"/>
              <c:y val="0.21410576689961947"/>
            </c:manualLayout>
          </c:layout>
          <c:overlay val="0"/>
        </c:title>
        <c:numFmt formatCode="0%" sourceLinked="0"/>
        <c:majorTickMark val="out"/>
        <c:minorTickMark val="none"/>
        <c:tickLblPos val="nextTo"/>
        <c:crossAx val="518368376"/>
        <c:crossesAt val="6000000"/>
        <c:crossBetween val="midCat"/>
        <c:majorUnit val="0.05"/>
      </c:valAx>
      <c:spPr>
        <a:solidFill>
          <a:srgbClr val="F5F5F5"/>
        </a:solidFill>
        <a:ln>
          <a:noFill/>
        </a:ln>
        <a:effectLst/>
        <c:extLst>
          <a:ext xmlns:a="http://schemas.openxmlformats.org/drawingml/2006/main" uri="{91240B29-F687-4F45-9708-019B960494DF}">
            <a14:hiddenLine xmlns:a14="http://schemas.microsoft.com/office/drawing/2010/main">
              <a:noFill/>
            </a14:hiddenLine>
          </a:ext>
        </c:extLst>
      </c:spPr>
    </c:plotArea>
    <c:plotVisOnly val="1"/>
    <c:dispBlanksAs val="gap"/>
    <c:showDLblsOverMax val="0"/>
  </c:chart>
  <c:spPr>
    <a:solidFill>
      <a:srgbClr val="FFFFFF"/>
    </a:solidFill>
    <a:ln w="9525"/>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26493100918439"/>
          <c:y val="0.10489509618259743"/>
          <c:w val="0.46298067001714471"/>
          <c:h val="0.73115468952456886"/>
        </c:manualLayout>
      </c:layout>
      <c:barChart>
        <c:barDir val="bar"/>
        <c:grouping val="stacked"/>
        <c:varyColors val="0"/>
        <c:ser>
          <c:idx val="0"/>
          <c:order val="0"/>
          <c:spPr>
            <a:noFill/>
            <a:ln w="25400">
              <a:noFill/>
            </a:ln>
          </c:spPr>
          <c:invertIfNegative val="0"/>
          <c:cat>
            <c:strRef>
              <c:f>Sheet1!$A$34:$A$44</c:f>
              <c:strCache>
                <c:ptCount val="10"/>
                <c:pt idx="0">
                  <c:v>Preparing Updated FSAR / Medium</c:v>
                </c:pt>
                <c:pt idx="1">
                  <c:v>Preparing Subsequent FSAR Updates / Medium</c:v>
                </c:pt>
                <c:pt idx="2">
                  <c:v>Preparing Updated FSAR (Safety Committee review and submission) / Medium</c:v>
                </c:pt>
                <c:pt idx="3">
                  <c:v>Preparing Updated FSAR (draft updates to technical chapters) / Medium</c:v>
                </c:pt>
                <c:pt idx="4">
                  <c:v>Reviewing and updating proceedures / Medium</c:v>
                </c:pt>
                <c:pt idx="5">
                  <c:v>Preparing Updated FSAR (draft updates to technical chapters) / High</c:v>
                </c:pt>
                <c:pt idx="6">
                  <c:v>Preparing Updated FSAR (draft updates to technical chapters) / Other NPUFs</c:v>
                </c:pt>
                <c:pt idx="7">
                  <c:v>Preparing Subsequent FSAR Update (draft updates to technical chapters) / Medium</c:v>
                </c:pt>
                <c:pt idx="8">
                  <c:v>Preparing Subsequent FSAR Update (Safety Committee review) / Medium</c:v>
                </c:pt>
                <c:pt idx="9">
                  <c:v>Preparing Subsequent FSAR Update (review of RAI responses) / Medium</c:v>
                </c:pt>
              </c:strCache>
            </c:strRef>
          </c:cat>
          <c:val>
            <c:numLit>
              <c:formatCode>General</c:formatCode>
              <c:ptCount val="10"/>
              <c:pt idx="0">
                <c:v>0</c:v>
              </c:pt>
              <c:pt idx="1">
                <c:v>0</c:v>
              </c:pt>
              <c:pt idx="2">
                <c:v>0</c:v>
              </c:pt>
              <c:pt idx="3">
                <c:v>0</c:v>
              </c:pt>
              <c:pt idx="4">
                <c:v>0</c:v>
              </c:pt>
              <c:pt idx="5">
                <c:v>0</c:v>
              </c:pt>
              <c:pt idx="6">
                <c:v>0</c:v>
              </c:pt>
              <c:pt idx="7">
                <c:v>0</c:v>
              </c:pt>
              <c:pt idx="8">
                <c:v>0</c:v>
              </c:pt>
              <c:pt idx="9">
                <c:v>0</c:v>
              </c:pt>
            </c:numLit>
          </c:val>
          <c:extLst>
            <c:ext xmlns:c16="http://schemas.microsoft.com/office/drawing/2014/chart" uri="{C3380CC4-5D6E-409C-BE32-E72D297353CC}">
              <c16:uniqueId val="{00000000-B187-4B7A-804B-70631F33BDD5}"/>
            </c:ext>
          </c:extLst>
        </c:ser>
        <c:ser>
          <c:idx val="1"/>
          <c:order val="1"/>
          <c:spPr>
            <a:noFill/>
            <a:ln w="25400">
              <a:noFill/>
            </a:ln>
          </c:spPr>
          <c:invertIfNegative val="0"/>
          <c:dLbls>
            <c:dLbl>
              <c:idx val="0"/>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187-4B7A-804B-70631F33BDD5}"/>
                </c:ext>
              </c:extLst>
            </c:dLbl>
            <c:dLbl>
              <c:idx val="1"/>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187-4B7A-804B-70631F33BDD5}"/>
                </c:ext>
              </c:extLst>
            </c:dLbl>
            <c:dLbl>
              <c:idx val="2"/>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187-4B7A-804B-70631F33BDD5}"/>
                </c:ext>
              </c:extLst>
            </c:dLbl>
            <c:dLbl>
              <c:idx val="3"/>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187-4B7A-804B-70631F33BDD5}"/>
                </c:ext>
              </c:extLst>
            </c:dLbl>
            <c:dLbl>
              <c:idx val="4"/>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187-4B7A-804B-70631F33BDD5}"/>
                </c:ext>
              </c:extLst>
            </c:dLbl>
            <c:dLbl>
              <c:idx val="5"/>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187-4B7A-804B-70631F33BDD5}"/>
                </c:ext>
              </c:extLst>
            </c:dLbl>
            <c:dLbl>
              <c:idx val="6"/>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187-4B7A-804B-70631F33BDD5}"/>
                </c:ext>
              </c:extLst>
            </c:dLbl>
            <c:dLbl>
              <c:idx val="7"/>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187-4B7A-804B-70631F33BDD5}"/>
                </c:ext>
              </c:extLst>
            </c:dLbl>
            <c:dLbl>
              <c:idx val="8"/>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187-4B7A-804B-70631F33BDD5}"/>
                </c:ext>
              </c:extLst>
            </c:dLbl>
            <c:dLbl>
              <c:idx val="9"/>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187-4B7A-804B-70631F33BDD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a:noFill/>
                      <a:prstDash val="solid"/>
                      <a:round/>
                    </a:ln>
                    <a:effectLst/>
                    <c:extLst>
                      <a:ext xmlns:a="http://schemas.openxmlformats.org/drawingml/2006/main" uri="{91240B29-F687-4F45-9708-019B960494DF}">
                        <a14:hiddenLine xmlns:a14="http://schemas.microsoft.com/office/drawing/2010/main" w="6350">
                          <a:solidFill>
                            <a:sysClr val="windowText" lastClr="000000"/>
                          </a:solidFill>
                          <a:prstDash val="solid"/>
                          <a:round/>
                        </a14:hiddenLine>
                      </a:ext>
                    </c:extLst>
                  </c:spPr>
                </c15:leaderLines>
              </c:ext>
            </c:extLst>
          </c:dLbls>
          <c:cat>
            <c:strRef>
              <c:f>Sheet1!$A$34:$A$44</c:f>
              <c:strCache>
                <c:ptCount val="10"/>
                <c:pt idx="0">
                  <c:v>Preparing Updated FSAR / Medium</c:v>
                </c:pt>
                <c:pt idx="1">
                  <c:v>Preparing Subsequent FSAR Updates / Medium</c:v>
                </c:pt>
                <c:pt idx="2">
                  <c:v>Preparing Updated FSAR (Safety Committee review and submission) / Medium</c:v>
                </c:pt>
                <c:pt idx="3">
                  <c:v>Preparing Updated FSAR (draft updates to technical chapters) / Medium</c:v>
                </c:pt>
                <c:pt idx="4">
                  <c:v>Reviewing and updating proceedures / Medium</c:v>
                </c:pt>
                <c:pt idx="5">
                  <c:v>Preparing Updated FSAR (draft updates to technical chapters) / High</c:v>
                </c:pt>
                <c:pt idx="6">
                  <c:v>Preparing Updated FSAR (draft updates to technical chapters) / Other NPUFs</c:v>
                </c:pt>
                <c:pt idx="7">
                  <c:v>Preparing Subsequent FSAR Update (draft updates to technical chapters) / Medium</c:v>
                </c:pt>
                <c:pt idx="8">
                  <c:v>Preparing Subsequent FSAR Update (Safety Committee review) / Medium</c:v>
                </c:pt>
                <c:pt idx="9">
                  <c:v>Preparing Subsequent FSAR Update (review of RAI responses) / Medium</c:v>
                </c:pt>
              </c:strCache>
            </c:strRef>
          </c:cat>
          <c:val>
            <c:numLit>
              <c:formatCode>General</c:formatCode>
              <c:ptCount val="10"/>
              <c:pt idx="0">
                <c:v>0</c:v>
              </c:pt>
              <c:pt idx="1">
                <c:v>0</c:v>
              </c:pt>
              <c:pt idx="2">
                <c:v>0</c:v>
              </c:pt>
              <c:pt idx="3">
                <c:v>0</c:v>
              </c:pt>
              <c:pt idx="4">
                <c:v>0</c:v>
              </c:pt>
              <c:pt idx="5">
                <c:v>0</c:v>
              </c:pt>
              <c:pt idx="6">
                <c:v>0</c:v>
              </c:pt>
              <c:pt idx="7">
                <c:v>0</c:v>
              </c:pt>
              <c:pt idx="8">
                <c:v>0</c:v>
              </c:pt>
              <c:pt idx="9">
                <c:v>0</c:v>
              </c:pt>
            </c:numLit>
          </c:val>
          <c:extLst>
            <c:ext xmlns:c16="http://schemas.microsoft.com/office/drawing/2014/chart" uri="{C3380CC4-5D6E-409C-BE32-E72D297353CC}">
              <c16:uniqueId val="{0000000B-B187-4B7A-804B-70631F33BDD5}"/>
            </c:ext>
          </c:extLst>
        </c:ser>
        <c:ser>
          <c:idx val="2"/>
          <c:order val="2"/>
          <c:spPr>
            <a:solidFill>
              <a:sysClr val="window" lastClr="FFFFFF"/>
            </a:solidFill>
            <a:ln w="19050">
              <a:solidFill>
                <a:sysClr val="windowText" lastClr="000000"/>
              </a:solidFill>
            </a:ln>
          </c:spPr>
          <c:invertIfNegative val="0"/>
          <c:dLbls>
            <c:dLbl>
              <c:idx val="0"/>
              <c:layout>
                <c:manualLayout>
                  <c:x val="-0.10659746007085437"/>
                  <c:y val="0"/>
                </c:manualLayout>
              </c:layout>
              <c:tx>
                <c:rich>
                  <a:bodyPr/>
                  <a:lstStyle/>
                  <a:p>
                    <a:r>
                      <a:rPr lang="en-US"/>
                      <a:t>-$25,556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187-4B7A-804B-70631F33BDD5}"/>
                </c:ext>
              </c:extLst>
            </c:dLbl>
            <c:dLbl>
              <c:idx val="1"/>
              <c:layout>
                <c:manualLayout>
                  <c:x val="-0.069290396996339654"/>
                  <c:y val="-0.0052742616033755029"/>
                </c:manualLayout>
              </c:layout>
              <c:tx>
                <c:rich>
                  <a:bodyPr/>
                  <a:lstStyle/>
                  <a:p>
                    <a:r>
                      <a:rPr lang="en-US"/>
                      <a:t>-$18,703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187-4B7A-804B-70631F33BDD5}"/>
                </c:ext>
              </c:extLst>
            </c:dLbl>
            <c:dLbl>
              <c:idx val="2"/>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B187-4B7A-804B-70631F33BDD5}"/>
                </c:ext>
              </c:extLst>
            </c:dLbl>
            <c:dLbl>
              <c:idx val="3"/>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187-4B7A-804B-70631F33BDD5}"/>
                </c:ext>
              </c:extLst>
            </c:dLbl>
            <c:dLbl>
              <c:idx val="4"/>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B187-4B7A-804B-70631F33BDD5}"/>
                </c:ext>
              </c:extLst>
            </c:dLbl>
            <c:dLbl>
              <c:idx val="5"/>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187-4B7A-804B-70631F33BDD5}"/>
                </c:ext>
              </c:extLst>
            </c:dLbl>
            <c:dLbl>
              <c:idx val="6"/>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187-4B7A-804B-70631F33BDD5}"/>
                </c:ext>
              </c:extLst>
            </c:dLbl>
            <c:dLbl>
              <c:idx val="7"/>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187-4B7A-804B-70631F33BDD5}"/>
                </c:ext>
              </c:extLst>
            </c:dLbl>
            <c:dLbl>
              <c:idx val="8"/>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B187-4B7A-804B-70631F33BDD5}"/>
                </c:ext>
              </c:extLst>
            </c:dLbl>
            <c:dLbl>
              <c:idx val="9"/>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187-4B7A-804B-70631F33BDD5}"/>
                </c:ext>
              </c:extLst>
            </c:dLbl>
            <c:spPr>
              <a:noFill/>
              <a:ln>
                <a:noFill/>
              </a:ln>
              <a:effectLst/>
            </c:spPr>
            <c:txPr>
              <a:bodyPr/>
              <a:lstStyle/>
              <a:p>
                <a:pPr>
                  <a:defRPr>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a:noFill/>
                      <a:prstDash val="solid"/>
                      <a:round/>
                    </a:ln>
                    <a:effectLst/>
                    <c:extLst>
                      <a:ext xmlns:a="http://schemas.openxmlformats.org/drawingml/2006/main" uri="{91240B29-F687-4F45-9708-019B960494DF}">
                        <a14:hiddenLine xmlns:a14="http://schemas.microsoft.com/office/drawing/2010/main" w="6350">
                          <a:solidFill>
                            <a:sysClr val="windowText" lastClr="000000"/>
                          </a:solidFill>
                          <a:prstDash val="solid"/>
                          <a:round/>
                        </a14:hiddenLine>
                      </a:ext>
                    </c:extLst>
                  </c:spPr>
                </c15:leaderLines>
              </c:ext>
            </c:extLst>
          </c:dLbls>
          <c:cat>
            <c:strRef>
              <c:f>Sheet1!$A$34:$A$44</c:f>
              <c:strCache>
                <c:ptCount val="10"/>
                <c:pt idx="0">
                  <c:v>Preparing Updated FSAR / Medium</c:v>
                </c:pt>
                <c:pt idx="1">
                  <c:v>Preparing Subsequent FSAR Updates / Medium</c:v>
                </c:pt>
                <c:pt idx="2">
                  <c:v>Preparing Updated FSAR (Safety Committee review and submission) / Medium</c:v>
                </c:pt>
                <c:pt idx="3">
                  <c:v>Preparing Updated FSAR (draft updates to technical chapters) / Medium</c:v>
                </c:pt>
                <c:pt idx="4">
                  <c:v>Reviewing and updating proceedures / Medium</c:v>
                </c:pt>
                <c:pt idx="5">
                  <c:v>Preparing Updated FSAR (draft updates to technical chapters) / High</c:v>
                </c:pt>
                <c:pt idx="6">
                  <c:v>Preparing Updated FSAR (draft updates to technical chapters) / Other NPUFs</c:v>
                </c:pt>
                <c:pt idx="7">
                  <c:v>Preparing Subsequent FSAR Update (draft updates to technical chapters) / Medium</c:v>
                </c:pt>
                <c:pt idx="8">
                  <c:v>Preparing Subsequent FSAR Update (Safety Committee review) / Medium</c:v>
                </c:pt>
                <c:pt idx="9">
                  <c:v>Preparing Subsequent FSAR Update (review of RAI responses) / Medium</c:v>
                </c:pt>
              </c:strCache>
            </c:strRef>
          </c:cat>
          <c:val>
            <c:numLit>
              <c:formatCode>General</c:formatCode>
              <c:ptCount val="10"/>
              <c:pt idx="0">
                <c:v>-25556.071063327894</c:v>
              </c:pt>
              <c:pt idx="1">
                <c:v>-18703.228033245126</c:v>
              </c:pt>
              <c:pt idx="2">
                <c:v>0</c:v>
              </c:pt>
              <c:pt idx="3">
                <c:v>0</c:v>
              </c:pt>
              <c:pt idx="4">
                <c:v>0</c:v>
              </c:pt>
              <c:pt idx="5">
                <c:v>0</c:v>
              </c:pt>
              <c:pt idx="6">
                <c:v>0</c:v>
              </c:pt>
              <c:pt idx="7">
                <c:v>0</c:v>
              </c:pt>
              <c:pt idx="8">
                <c:v>0</c:v>
              </c:pt>
              <c:pt idx="9">
                <c:v>0</c:v>
              </c:pt>
            </c:numLit>
          </c:val>
          <c:extLst>
            <c:ext xmlns:c16="http://schemas.microsoft.com/office/drawing/2014/chart" uri="{C3380CC4-5D6E-409C-BE32-E72D297353CC}">
              <c16:uniqueId val="{00000016-B187-4B7A-804B-70631F33BDD5}"/>
            </c:ext>
          </c:extLst>
        </c:ser>
        <c:ser>
          <c:idx val="3"/>
          <c:order val="3"/>
          <c:spPr>
            <a:solidFill>
              <a:sysClr val="window" lastClr="FFFFFF"/>
            </a:solidFill>
            <a:ln w="19050">
              <a:solidFill>
                <a:sysClr val="windowText" lastClr="000000"/>
              </a:solidFill>
            </a:ln>
          </c:spPr>
          <c:invertIfNegative val="0"/>
          <c:dLbls>
            <c:dLbl>
              <c:idx val="0"/>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187-4B7A-804B-70631F33BDD5}"/>
                </c:ext>
              </c:extLst>
            </c:dLbl>
            <c:dLbl>
              <c:idx val="1"/>
              <c:layout>
                <c:manualLayout>
                  <c:x val="0.0028352110884720767"/>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B187-4B7A-804B-70631F33BDD5}"/>
                </c:ext>
              </c:extLst>
            </c:dLbl>
            <c:dLbl>
              <c:idx val="2"/>
              <c:layout>
                <c:manualLayout>
                  <c:x val="-0.08637576552930884"/>
                  <c:y val="4.1529618929051437E-07"/>
                </c:manualLayout>
              </c:layout>
              <c:tx>
                <c:rich>
                  <a:bodyPr/>
                  <a:lstStyle/>
                  <a:p>
                    <a:r>
                      <a:rPr lang="en-US"/>
                      <a:t>$6,985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187-4B7A-804B-70631F33BDD5}"/>
                </c:ext>
              </c:extLst>
            </c:dLbl>
            <c:dLbl>
              <c:idx val="3"/>
              <c:layout>
                <c:manualLayout>
                  <c:x val="-0.086594319940776793"/>
                  <c:y val="8.30592378484335E-07"/>
                </c:manualLayout>
              </c:layout>
              <c:tx>
                <c:rich>
                  <a:bodyPr/>
                  <a:lstStyle/>
                  <a:p>
                    <a:r>
                      <a:rPr lang="en-US"/>
                      <a:t>$6,955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B187-4B7A-804B-70631F33BDD5}"/>
                </c:ext>
              </c:extLst>
            </c:dLbl>
            <c:dLbl>
              <c:idx val="4"/>
              <c:layout>
                <c:manualLayout>
                  <c:x val="-0.080952284810552527"/>
                  <c:y val="4.1529618933886121E-07"/>
                </c:manualLayout>
              </c:layout>
              <c:tx>
                <c:rich>
                  <a:bodyPr/>
                  <a:lstStyle/>
                  <a:p>
                    <a:r>
                      <a:rPr lang="en-US"/>
                      <a:t>$6,556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B187-4B7A-804B-70631F33BDD5}"/>
                </c:ext>
              </c:extLst>
            </c:dLbl>
            <c:dLbl>
              <c:idx val="5"/>
              <c:layout>
                <c:manualLayout>
                  <c:x val="-0.080241099670233532"/>
                  <c:y val="4.1529618924216753E-07"/>
                </c:manualLayout>
              </c:layout>
              <c:tx>
                <c:rich>
                  <a:bodyPr/>
                  <a:lstStyle/>
                  <a:p>
                    <a:r>
                      <a:rPr lang="en-US"/>
                      <a:t>$6,066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B187-4B7A-804B-70631F33BDD5}"/>
                </c:ext>
              </c:extLst>
            </c:dLbl>
            <c:dLbl>
              <c:idx val="6"/>
              <c:layout>
                <c:manualLayout>
                  <c:x val="-0.073291103035197522"/>
                  <c:y val="4.1529618924216753E-07"/>
                </c:manualLayout>
              </c:layout>
              <c:tx>
                <c:rich>
                  <a:bodyPr/>
                  <a:lstStyle/>
                  <a:p>
                    <a:r>
                      <a:rPr lang="en-US"/>
                      <a:t>$5,259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B187-4B7A-804B-70631F33BDD5}"/>
                </c:ext>
              </c:extLst>
            </c:dLbl>
            <c:dLbl>
              <c:idx val="7"/>
              <c:layout>
                <c:manualLayout>
                  <c:x val="-0.072421259842519681"/>
                  <c:y val="0.00527467689956477"/>
                </c:manualLayout>
              </c:layout>
              <c:tx>
                <c:rich>
                  <a:bodyPr/>
                  <a:lstStyle/>
                  <a:p>
                    <a:r>
                      <a:rPr lang="en-US"/>
                      <a:t>$5,084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B187-4B7A-804B-70631F33BDD5}"/>
                </c:ext>
              </c:extLst>
            </c:dLbl>
            <c:dLbl>
              <c:idx val="8"/>
              <c:layout>
                <c:manualLayout>
                  <c:x val="-0.0682364223702808"/>
                  <c:y val="0.010549353799129539"/>
                </c:manualLayout>
              </c:layout>
              <c:tx>
                <c:rich>
                  <a:bodyPr/>
                  <a:lstStyle/>
                  <a:p>
                    <a:r>
                      <a:rPr lang="en-US"/>
                      <a:t>$5,072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B187-4B7A-804B-70631F33BDD5}"/>
                </c:ext>
              </c:extLst>
            </c:dLbl>
            <c:dLbl>
              <c:idx val="9"/>
              <c:layout>
                <c:manualLayout>
                  <c:x val="-0.074671916010498843"/>
                  <c:y val="0.00527467689956477"/>
                </c:manualLayout>
              </c:layout>
              <c:tx>
                <c:rich>
                  <a:bodyPr/>
                  <a:lstStyle/>
                  <a:p>
                    <a:r>
                      <a:rPr lang="en-US"/>
                      <a:t>$5,069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B187-4B7A-804B-70631F33BDD5}"/>
                </c:ext>
              </c:extLst>
            </c:dLbl>
            <c:spPr>
              <a:noFill/>
              <a:ln>
                <a:noFill/>
              </a:ln>
              <a:effectLst/>
            </c:spPr>
            <c:txPr>
              <a:bodyPr/>
              <a:lstStyle/>
              <a:p>
                <a:pPr>
                  <a:defRPr>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a:noFill/>
                      <a:prstDash val="solid"/>
                      <a:round/>
                    </a:ln>
                    <a:effectLst/>
                    <c:extLst>
                      <a:ext xmlns:a="http://schemas.openxmlformats.org/drawingml/2006/main" uri="{91240B29-F687-4F45-9708-019B960494DF}">
                        <a14:hiddenLine xmlns:a14="http://schemas.microsoft.com/office/drawing/2010/main" w="6350">
                          <a:solidFill>
                            <a:sysClr val="windowText" lastClr="000000"/>
                          </a:solidFill>
                          <a:prstDash val="solid"/>
                          <a:round/>
                        </a14:hiddenLine>
                      </a:ext>
                    </c:extLst>
                  </c:spPr>
                </c15:leaderLines>
              </c:ext>
            </c:extLst>
          </c:dLbls>
          <c:cat>
            <c:strRef>
              <c:f>Sheet1!$A$34:$A$44</c:f>
              <c:strCache>
                <c:ptCount val="10"/>
                <c:pt idx="0">
                  <c:v>Preparing Updated FSAR / Medium</c:v>
                </c:pt>
                <c:pt idx="1">
                  <c:v>Preparing Subsequent FSAR Updates / Medium</c:v>
                </c:pt>
                <c:pt idx="2">
                  <c:v>Preparing Updated FSAR (Safety Committee review and submission) / Medium</c:v>
                </c:pt>
                <c:pt idx="3">
                  <c:v>Preparing Updated FSAR (draft updates to technical chapters) / Medium</c:v>
                </c:pt>
                <c:pt idx="4">
                  <c:v>Reviewing and updating proceedures / Medium</c:v>
                </c:pt>
                <c:pt idx="5">
                  <c:v>Preparing Updated FSAR (draft updates to technical chapters) / High</c:v>
                </c:pt>
                <c:pt idx="6">
                  <c:v>Preparing Updated FSAR (draft updates to technical chapters) / Other NPUFs</c:v>
                </c:pt>
                <c:pt idx="7">
                  <c:v>Preparing Subsequent FSAR Update (draft updates to technical chapters) / Medium</c:v>
                </c:pt>
                <c:pt idx="8">
                  <c:v>Preparing Subsequent FSAR Update (Safety Committee review) / Medium</c:v>
                </c:pt>
                <c:pt idx="9">
                  <c:v>Preparing Subsequent FSAR Update (review of RAI responses) / Medium</c:v>
                </c:pt>
              </c:strCache>
            </c:strRef>
          </c:cat>
          <c:val>
            <c:numLit>
              <c:formatCode>General</c:formatCode>
              <c:ptCount val="10"/>
              <c:pt idx="0">
                <c:v>0</c:v>
              </c:pt>
              <c:pt idx="1">
                <c:v>0</c:v>
              </c:pt>
              <c:pt idx="2">
                <c:v>6985.0546684191</c:v>
              </c:pt>
              <c:pt idx="3">
                <c:v>6954.9975237233257</c:v>
              </c:pt>
              <c:pt idx="4">
                <c:v>6555.5799652460419</c:v>
              </c:pt>
              <c:pt idx="5">
                <c:v>6065.7592910129924</c:v>
              </c:pt>
              <c:pt idx="6">
                <c:v>5258.5925606628507</c:v>
              </c:pt>
              <c:pt idx="7">
                <c:v>5084.3771923557606</c:v>
              </c:pt>
              <c:pt idx="8">
                <c:v>5072.2078067066113</c:v>
              </c:pt>
              <c:pt idx="9">
                <c:v>5068.7252321461347</c:v>
              </c:pt>
            </c:numLit>
          </c:val>
          <c:extLst>
            <c:ext xmlns:c16="http://schemas.microsoft.com/office/drawing/2014/chart" uri="{C3380CC4-5D6E-409C-BE32-E72D297353CC}">
              <c16:uniqueId val="{00000021-B187-4B7A-804B-70631F33BDD5}"/>
            </c:ext>
          </c:extLst>
        </c:ser>
        <c:dLbls>
          <c:showLegendKey val="0"/>
          <c:showVal val="0"/>
          <c:showCatName val="0"/>
          <c:showSerName val="0"/>
          <c:showPercent val="0"/>
          <c:showBubbleSize val="0"/>
        </c:dLbls>
        <c:gapWidth val="20"/>
        <c:overlap val="100"/>
        <c:axId val="514480928"/>
        <c:axId val="514481320"/>
      </c:barChart>
      <c:catAx>
        <c:axId val="514480928"/>
        <c:scaling>
          <c:orientation val="maxMin"/>
        </c:scaling>
        <c:delete val="0"/>
        <c:axPos val="l"/>
        <c:numFmt formatCode="General" sourceLinked="1"/>
        <c:majorTickMark val="none"/>
        <c:minorTickMark val="none"/>
        <c:tickLblPos val="low"/>
        <c:spPr>
          <a:noFill/>
          <a:ln w="12700">
            <a:solidFill>
              <a:schemeClr val="tx1"/>
            </a:solidFill>
            <a:prstDash val="solid"/>
            <a:round/>
          </a:ln>
          <a:effectLst/>
        </c:spPr>
        <c:txPr>
          <a:bodyPr rot="0" vert="horz"/>
          <a:lstStyle/>
          <a:p>
            <a:pPr>
              <a:defRPr sz="600"/>
            </a:pPr>
            <a:endParaRPr lang="en-US"/>
          </a:p>
        </c:txPr>
        <c:crossAx val="514481320"/>
        <c:crossesAt val="0"/>
        <c:auto val="1"/>
        <c:lblAlgn val="ctr"/>
        <c:lblOffset val="100"/>
        <c:noMultiLvlLbl val="0"/>
      </c:catAx>
      <c:valAx>
        <c:axId val="514481320"/>
        <c:scaling>
          <c:orientation val="minMax"/>
          <c:max val="10000"/>
          <c:min val="-30000"/>
        </c:scaling>
        <c:delete val="0"/>
        <c:axPos val="b"/>
        <c:title>
          <c:tx>
            <c:rich>
              <a:bodyPr/>
              <a:lstStyle/>
              <a:p>
                <a:pPr>
                  <a:defRPr sz="900"/>
                </a:pPr>
                <a:r>
                  <a:rPr lang="en-US" sz="900"/>
                  <a:t>Undiscounted Total Cost ($)</a:t>
                </a:r>
              </a:p>
            </c:rich>
          </c:tx>
          <c:layout>
            <c:manualLayout>
              <c:xMode val="edge"/>
              <c:yMode val="edge"/>
              <c:x val="0.66144513097335922"/>
              <c:y val="0.9417249417249417"/>
            </c:manualLayout>
          </c:layout>
          <c:overlay val="0"/>
        </c:title>
        <c:numFmt formatCode="&quot;$&quot;#,##0" sourceLinked="0"/>
        <c:majorTickMark val="out"/>
        <c:minorTickMark val="none"/>
        <c:tickLblPos val="nextTo"/>
        <c:txPr>
          <a:bodyPr rot="0" vert="horz"/>
          <a:lstStyle/>
          <a:p>
            <a:pPr>
              <a:defRPr/>
            </a:pPr>
            <a:endParaRPr lang="en-US"/>
          </a:p>
        </c:txPr>
        <c:crossAx val="514480928"/>
        <c:crosses val="max"/>
        <c:crossBetween val="between"/>
        <c:majorUnit val="10000"/>
      </c:valAx>
      <c:spPr>
        <a:solidFill>
          <a:srgbClr val="F5F5F5"/>
        </a:solidFill>
        <a:ln>
          <a:noFill/>
        </a:ln>
        <a:effectLst/>
        <c:extLst>
          <a:ext xmlns:a="http://schemas.openxmlformats.org/drawingml/2006/main" uri="{91240B29-F687-4F45-9708-019B960494DF}">
            <a14:hiddenLine xmlns:a14="http://schemas.microsoft.com/office/drawing/2010/main">
              <a:noFill/>
            </a14:hiddenLine>
          </a:ext>
        </c:extLst>
      </c:spPr>
    </c:plotArea>
    <c:plotVisOnly val="1"/>
    <c:dispBlanksAs val="gap"/>
    <c:showDLblsOverMax val="0"/>
  </c:chart>
  <c:spPr>
    <a:solidFill>
      <a:srgbClr val="FFFFFF"/>
    </a:solidFill>
    <a:ln w="9525">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401523493773803"/>
          <c:y val="0.10489509618259743"/>
          <c:w val="0.48472283069879424"/>
          <c:h val="0.70484235356656377"/>
        </c:manualLayout>
      </c:layout>
      <c:barChart>
        <c:barDir val="bar"/>
        <c:grouping val="stacked"/>
        <c:varyColors val="0"/>
        <c:ser>
          <c:idx val="0"/>
          <c:order val="0"/>
          <c:spPr>
            <a:noFill/>
            <a:ln w="25400">
              <a:noFill/>
            </a:ln>
          </c:spPr>
          <c:invertIfNegative val="0"/>
          <c:cat>
            <c:strRef>
              <c:f>Sheet1!$A$34:$A$44</c:f>
              <c:strCache>
                <c:ptCount val="10"/>
                <c:pt idx="0">
                  <c:v>Responding to all RAIs / Medium</c:v>
                </c:pt>
                <c:pt idx="1">
                  <c:v>Preparing license renewal application / Medium</c:v>
                </c:pt>
                <c:pt idx="2">
                  <c:v>Responding to all RAIs / Low</c:v>
                </c:pt>
                <c:pt idx="3">
                  <c:v>Responding to all RAIs / High</c:v>
                </c:pt>
                <c:pt idx="4">
                  <c:v>Revising license renewal application / High</c:v>
                </c:pt>
                <c:pt idx="5">
                  <c:v>Revise license renewal application / Medium</c:v>
                </c:pt>
                <c:pt idx="6">
                  <c:v>Draft technical chapters of license renewal application / Medium</c:v>
                </c:pt>
                <c:pt idx="7">
                  <c:v>Draft RAI responses / Medium</c:v>
                </c:pt>
                <c:pt idx="8">
                  <c:v>Preparing license renewal application / Low</c:v>
                </c:pt>
                <c:pt idx="9">
                  <c:v>Revising license renewal application / Medium</c:v>
                </c:pt>
              </c:strCache>
            </c:strRef>
          </c:cat>
          <c:val>
            <c:numLit>
              <c:formatCode>General</c:formatCode>
              <c:ptCount val="10"/>
              <c:pt idx="0">
                <c:v>0</c:v>
              </c:pt>
              <c:pt idx="1">
                <c:v>0</c:v>
              </c:pt>
              <c:pt idx="2">
                <c:v>0</c:v>
              </c:pt>
              <c:pt idx="3">
                <c:v>0</c:v>
              </c:pt>
              <c:pt idx="4">
                <c:v>0</c:v>
              </c:pt>
              <c:pt idx="5">
                <c:v>0</c:v>
              </c:pt>
              <c:pt idx="6">
                <c:v>0</c:v>
              </c:pt>
              <c:pt idx="7">
                <c:v>0</c:v>
              </c:pt>
              <c:pt idx="8">
                <c:v>0</c:v>
              </c:pt>
              <c:pt idx="9">
                <c:v>0</c:v>
              </c:pt>
            </c:numLit>
          </c:val>
          <c:extLst>
            <c:ext xmlns:c16="http://schemas.microsoft.com/office/drawing/2014/chart" uri="{C3380CC4-5D6E-409C-BE32-E72D297353CC}">
              <c16:uniqueId val="{00000000-0C24-48F5-929D-DDA519EA450D}"/>
            </c:ext>
          </c:extLst>
        </c:ser>
        <c:ser>
          <c:idx val="1"/>
          <c:order val="1"/>
          <c:spPr>
            <a:noFill/>
            <a:ln w="25400">
              <a:noFill/>
            </a:ln>
          </c:spPr>
          <c:invertIfNegative val="0"/>
          <c:dLbls>
            <c:dLbl>
              <c:idx val="0"/>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C24-48F5-929D-DDA519EA450D}"/>
                </c:ext>
              </c:extLst>
            </c:dLbl>
            <c:dLbl>
              <c:idx val="1"/>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C24-48F5-929D-DDA519EA450D}"/>
                </c:ext>
              </c:extLst>
            </c:dLbl>
            <c:dLbl>
              <c:idx val="2"/>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C24-48F5-929D-DDA519EA450D}"/>
                </c:ext>
              </c:extLst>
            </c:dLbl>
            <c:dLbl>
              <c:idx val="3"/>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C24-48F5-929D-DDA519EA450D}"/>
                </c:ext>
              </c:extLst>
            </c:dLbl>
            <c:dLbl>
              <c:idx val="4"/>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C24-48F5-929D-DDA519EA450D}"/>
                </c:ext>
              </c:extLst>
            </c:dLbl>
            <c:dLbl>
              <c:idx val="5"/>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C24-48F5-929D-DDA519EA450D}"/>
                </c:ext>
              </c:extLst>
            </c:dLbl>
            <c:dLbl>
              <c:idx val="6"/>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C24-48F5-929D-DDA519EA450D}"/>
                </c:ext>
              </c:extLst>
            </c:dLbl>
            <c:dLbl>
              <c:idx val="7"/>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C24-48F5-929D-DDA519EA450D}"/>
                </c:ext>
              </c:extLst>
            </c:dLbl>
            <c:dLbl>
              <c:idx val="8"/>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C24-48F5-929D-DDA519EA450D}"/>
                </c:ext>
              </c:extLst>
            </c:dLbl>
            <c:dLbl>
              <c:idx val="9"/>
              <c:tx>
                <c:rich>
                  <a:bodyPr/>
                  <a:lstStyle/>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C24-48F5-929D-DDA519EA45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a:noFill/>
                      <a:prstDash val="solid"/>
                      <a:round/>
                    </a:ln>
                    <a:effectLst/>
                    <c:extLst>
                      <a:ext xmlns:a="http://schemas.openxmlformats.org/drawingml/2006/main" uri="{91240B29-F687-4F45-9708-019B960494DF}">
                        <a14:hiddenLine xmlns:a14="http://schemas.microsoft.com/office/drawing/2010/main" w="6350">
                          <a:solidFill>
                            <a:sysClr val="windowText" lastClr="000000"/>
                          </a:solidFill>
                          <a:prstDash val="solid"/>
                          <a:round/>
                        </a14:hiddenLine>
                      </a:ext>
                    </c:extLst>
                  </c:spPr>
                </c15:leaderLines>
              </c:ext>
            </c:extLst>
          </c:dLbls>
          <c:cat>
            <c:strRef>
              <c:f>Sheet1!$A$34:$A$44</c:f>
              <c:strCache>
                <c:ptCount val="10"/>
                <c:pt idx="0">
                  <c:v>Responding to all RAIs / Medium</c:v>
                </c:pt>
                <c:pt idx="1">
                  <c:v>Preparing license renewal application / Medium</c:v>
                </c:pt>
                <c:pt idx="2">
                  <c:v>Responding to all RAIs / Low</c:v>
                </c:pt>
                <c:pt idx="3">
                  <c:v>Responding to all RAIs / High</c:v>
                </c:pt>
                <c:pt idx="4">
                  <c:v>Revising license renewal application / High</c:v>
                </c:pt>
                <c:pt idx="5">
                  <c:v>Revise license renewal application / Medium</c:v>
                </c:pt>
                <c:pt idx="6">
                  <c:v>Draft technical chapters of license renewal application / Medium</c:v>
                </c:pt>
                <c:pt idx="7">
                  <c:v>Draft RAI responses / Medium</c:v>
                </c:pt>
                <c:pt idx="8">
                  <c:v>Preparing license renewal application / Low</c:v>
                </c:pt>
                <c:pt idx="9">
                  <c:v>Revising license renewal application / Medium</c:v>
                </c:pt>
              </c:strCache>
            </c:strRef>
          </c:cat>
          <c:val>
            <c:numLit>
              <c:formatCode>General</c:formatCode>
              <c:ptCount val="10"/>
              <c:pt idx="0">
                <c:v>0</c:v>
              </c:pt>
              <c:pt idx="1">
                <c:v>0</c:v>
              </c:pt>
              <c:pt idx="2">
                <c:v>0</c:v>
              </c:pt>
              <c:pt idx="3">
                <c:v>0</c:v>
              </c:pt>
              <c:pt idx="4">
                <c:v>0</c:v>
              </c:pt>
              <c:pt idx="5">
                <c:v>0</c:v>
              </c:pt>
              <c:pt idx="6">
                <c:v>0</c:v>
              </c:pt>
              <c:pt idx="7">
                <c:v>0</c:v>
              </c:pt>
              <c:pt idx="8">
                <c:v>0</c:v>
              </c:pt>
              <c:pt idx="9">
                <c:v>0</c:v>
              </c:pt>
            </c:numLit>
          </c:val>
          <c:extLst>
            <c:ext xmlns:c16="http://schemas.microsoft.com/office/drawing/2014/chart" uri="{C3380CC4-5D6E-409C-BE32-E72D297353CC}">
              <c16:uniqueId val="{0000000B-0C24-48F5-929D-DDA519EA450D}"/>
            </c:ext>
          </c:extLst>
        </c:ser>
        <c:ser>
          <c:idx val="2"/>
          <c:order val="2"/>
          <c:spPr>
            <a:solidFill>
              <a:sysClr val="window" lastClr="FFFFFF"/>
            </a:solidFill>
            <a:ln w="19050">
              <a:solidFill>
                <a:sysClr val="windowText" lastClr="000000"/>
              </a:solidFill>
            </a:ln>
          </c:spPr>
          <c:invertIfNegative val="0"/>
          <c:dLbls>
            <c:dLbl>
              <c:idx val="0"/>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C24-48F5-929D-DDA519EA450D}"/>
                </c:ext>
              </c:extLst>
            </c:dLbl>
            <c:dLbl>
              <c:idx val="1"/>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C24-48F5-929D-DDA519EA450D}"/>
                </c:ext>
              </c:extLst>
            </c:dLbl>
            <c:dLbl>
              <c:idx val="2"/>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C24-48F5-929D-DDA519EA450D}"/>
                </c:ext>
              </c:extLst>
            </c:dLbl>
            <c:dLbl>
              <c:idx val="3"/>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0C24-48F5-929D-DDA519EA450D}"/>
                </c:ext>
              </c:extLst>
            </c:dLbl>
            <c:dLbl>
              <c:idx val="4"/>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C24-48F5-929D-DDA519EA450D}"/>
                </c:ext>
              </c:extLst>
            </c:dLbl>
            <c:dLbl>
              <c:idx val="5"/>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0C24-48F5-929D-DDA519EA450D}"/>
                </c:ext>
              </c:extLst>
            </c:dLbl>
            <c:dLbl>
              <c:idx val="6"/>
              <c:layout>
                <c:manualLayout>
                  <c:x val="0.059185601799775028"/>
                  <c:y val="0"/>
                </c:manualLayout>
              </c:layout>
              <c:tx>
                <c:rich>
                  <a:bodyPr/>
                  <a:lstStyle/>
                  <a:p>
                    <a:r>
                      <a:rPr lang="en-US"/>
                      <a:t>-$56,593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0C24-48F5-929D-DDA519EA450D}"/>
                </c:ext>
              </c:extLst>
            </c:dLbl>
            <c:dLbl>
              <c:idx val="7"/>
              <c:layout>
                <c:manualLayout>
                  <c:x val="0.055478538866852167"/>
                  <c:y val="0"/>
                </c:manualLayout>
              </c:layout>
              <c:tx>
                <c:rich>
                  <a:bodyPr/>
                  <a:lstStyle/>
                  <a:p>
                    <a:r>
                      <a:rPr lang="en-US"/>
                      <a:t>-$50,814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0C24-48F5-929D-DDA519EA450D}"/>
                </c:ext>
              </c:extLst>
            </c:dLbl>
            <c:dLbl>
              <c:idx val="8"/>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0C24-48F5-929D-DDA519EA450D}"/>
                </c:ext>
              </c:extLst>
            </c:dLbl>
            <c:dLbl>
              <c:idx val="9"/>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0C24-48F5-929D-DDA519EA45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a:noFill/>
                      <a:prstDash val="solid"/>
                      <a:round/>
                    </a:ln>
                    <a:effectLst/>
                    <c:extLst>
                      <a:ext xmlns:a="http://schemas.openxmlformats.org/drawingml/2006/main" uri="{91240B29-F687-4F45-9708-019B960494DF}">
                        <a14:hiddenLine xmlns:a14="http://schemas.microsoft.com/office/drawing/2010/main" w="6350">
                          <a:solidFill>
                            <a:sysClr val="windowText" lastClr="000000"/>
                          </a:solidFill>
                          <a:prstDash val="solid"/>
                          <a:round/>
                        </a14:hiddenLine>
                      </a:ext>
                    </c:extLst>
                  </c:spPr>
                </c15:leaderLines>
              </c:ext>
            </c:extLst>
          </c:dLbls>
          <c:cat>
            <c:strRef>
              <c:f>Sheet1!$A$34:$A$44</c:f>
              <c:strCache>
                <c:ptCount val="10"/>
                <c:pt idx="0">
                  <c:v>Responding to all RAIs / Medium</c:v>
                </c:pt>
                <c:pt idx="1">
                  <c:v>Preparing license renewal application / Medium</c:v>
                </c:pt>
                <c:pt idx="2">
                  <c:v>Responding to all RAIs / Low</c:v>
                </c:pt>
                <c:pt idx="3">
                  <c:v>Responding to all RAIs / High</c:v>
                </c:pt>
                <c:pt idx="4">
                  <c:v>Revising license renewal application / High</c:v>
                </c:pt>
                <c:pt idx="5">
                  <c:v>Revise license renewal application / Medium</c:v>
                </c:pt>
                <c:pt idx="6">
                  <c:v>Draft technical chapters of license renewal application / Medium</c:v>
                </c:pt>
                <c:pt idx="7">
                  <c:v>Draft RAI responses / Medium</c:v>
                </c:pt>
                <c:pt idx="8">
                  <c:v>Preparing license renewal application / Low</c:v>
                </c:pt>
                <c:pt idx="9">
                  <c:v>Revising license renewal application / Medium</c:v>
                </c:pt>
              </c:strCache>
            </c:strRef>
          </c:cat>
          <c:val>
            <c:numLit>
              <c:formatCode>General</c:formatCode>
              <c:ptCount val="10"/>
              <c:pt idx="0">
                <c:v>0</c:v>
              </c:pt>
              <c:pt idx="1">
                <c:v>0</c:v>
              </c:pt>
              <c:pt idx="2">
                <c:v>0</c:v>
              </c:pt>
              <c:pt idx="3">
                <c:v>0</c:v>
              </c:pt>
              <c:pt idx="4">
                <c:v>0</c:v>
              </c:pt>
              <c:pt idx="5">
                <c:v>0</c:v>
              </c:pt>
              <c:pt idx="6">
                <c:v>-56593.154483350743</c:v>
              </c:pt>
              <c:pt idx="7">
                <c:v>-50814.366051037068</c:v>
              </c:pt>
              <c:pt idx="8">
                <c:v>0</c:v>
              </c:pt>
              <c:pt idx="9">
                <c:v>0</c:v>
              </c:pt>
            </c:numLit>
          </c:val>
          <c:extLst>
            <c:ext xmlns:c16="http://schemas.microsoft.com/office/drawing/2014/chart" uri="{C3380CC4-5D6E-409C-BE32-E72D297353CC}">
              <c16:uniqueId val="{00000016-0C24-48F5-929D-DDA519EA450D}"/>
            </c:ext>
          </c:extLst>
        </c:ser>
        <c:ser>
          <c:idx val="3"/>
          <c:order val="3"/>
          <c:spPr>
            <a:solidFill>
              <a:sysClr val="window" lastClr="FFFFFF"/>
            </a:solidFill>
            <a:ln w="19050">
              <a:solidFill>
                <a:sysClr val="windowText" lastClr="000000"/>
              </a:solidFill>
            </a:ln>
          </c:spPr>
          <c:invertIfNegative val="0"/>
          <c:dLbls>
            <c:dLbl>
              <c:idx val="0"/>
              <c:layout>
                <c:manualLayout>
                  <c:x val="0.16036090225563909"/>
                  <c:y val="8.3059237849642179E-07"/>
                </c:manualLayout>
              </c:layout>
              <c:tx>
                <c:rich>
                  <a:bodyPr/>
                  <a:lstStyle/>
                  <a:p>
                    <a:r>
                      <a:rPr lang="en-US"/>
                      <a:t>$734,746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0C24-48F5-929D-DDA519EA450D}"/>
                </c:ext>
              </c:extLst>
            </c:dLbl>
            <c:dLbl>
              <c:idx val="1"/>
              <c:layout>
                <c:manualLayout>
                  <c:x val="0.090118840408106887"/>
                  <c:y val="1.2458885677265026E-06"/>
                </c:manualLayout>
              </c:layout>
              <c:tx>
                <c:rich>
                  <a:bodyPr/>
                  <a:lstStyle/>
                  <a:p>
                    <a:r>
                      <a:rPr lang="en-US"/>
                      <a:t>$483,179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0C24-48F5-929D-DDA519EA450D}"/>
                </c:ext>
              </c:extLst>
            </c:dLbl>
            <c:dLbl>
              <c:idx val="2"/>
              <c:layout>
                <c:manualLayout>
                  <c:x val="0.098554259664910313"/>
                  <c:y val="4.1529618924216753E-07"/>
                </c:manualLayout>
              </c:layout>
              <c:tx>
                <c:rich>
                  <a:bodyPr/>
                  <a:lstStyle/>
                  <a:p>
                    <a:r>
                      <a:rPr lang="en-US"/>
                      <a:t>$172,407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0C24-48F5-929D-DDA519EA450D}"/>
                </c:ext>
              </c:extLst>
            </c:dLbl>
            <c:dLbl>
              <c:idx val="3"/>
              <c:layout>
                <c:manualLayout>
                  <c:x val="0.078842618356915986"/>
                  <c:y val="4.1529618924216753E-07"/>
                </c:manualLayout>
              </c:layout>
              <c:tx>
                <c:rich>
                  <a:bodyPr/>
                  <a:lstStyle/>
                  <a:p>
                    <a:r>
                      <a:rPr lang="en-US"/>
                      <a:t>$117,487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0C24-48F5-929D-DDA519EA450D}"/>
                </c:ext>
              </c:extLst>
            </c:dLbl>
            <c:dLbl>
              <c:idx val="4"/>
              <c:layout>
                <c:manualLayout>
                  <c:x val="0.061684131588814556"/>
                  <c:y val="4.1529618929051437E-07"/>
                </c:manualLayout>
              </c:layout>
              <c:tx>
                <c:rich>
                  <a:bodyPr/>
                  <a:lstStyle/>
                  <a:p>
                    <a:r>
                      <a:rPr lang="en-US"/>
                      <a:t>$80,391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0C24-48F5-929D-DDA519EA450D}"/>
                </c:ext>
              </c:extLst>
            </c:dLbl>
            <c:dLbl>
              <c:idx val="5"/>
              <c:layout>
                <c:manualLayout>
                  <c:x val="0.0633249264894519"/>
                  <c:y val="4.1529618933886121E-07"/>
                </c:manualLayout>
              </c:layout>
              <c:tx>
                <c:rich>
                  <a:bodyPr/>
                  <a:lstStyle/>
                  <a:p>
                    <a:r>
                      <a:rPr lang="en-US"/>
                      <a:t>$62,617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0C24-48F5-929D-DDA519EA450D}"/>
                </c:ext>
              </c:extLst>
            </c:dLbl>
            <c:dLbl>
              <c:idx val="6"/>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0C24-48F5-929D-DDA519EA450D}"/>
                </c:ext>
              </c:extLst>
            </c:dLbl>
            <c:dLbl>
              <c:idx val="7"/>
              <c:layout>
                <c:manualLayout>
                  <c:x val="0.0028352860771273876"/>
                  <c:y val="0"/>
                </c:manualLayout>
              </c:layout>
              <c:tx>
                <c:rich>
                  <a:bodyPr/>
                  <a:lstStyle/>
                  <a:p>
                    <a:endParaRPr lang="en-US"/>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0C24-48F5-929D-DDA519EA450D}"/>
                </c:ext>
              </c:extLst>
            </c:dLbl>
            <c:dLbl>
              <c:idx val="8"/>
              <c:layout>
                <c:manualLayout>
                  <c:x val="0.051602076056282441"/>
                  <c:y val="4.1529618933886121E-07"/>
                </c:manualLayout>
              </c:layout>
              <c:tx>
                <c:rich>
                  <a:bodyPr/>
                  <a:lstStyle/>
                  <a:p>
                    <a:r>
                      <a:rPr lang="en-US"/>
                      <a:t>$46,715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0C24-48F5-929D-DDA519EA450D}"/>
                </c:ext>
              </c:extLst>
            </c:dLbl>
            <c:dLbl>
              <c:idx val="9"/>
              <c:layout>
                <c:manualLayout>
                  <c:x val="0.054295107848360988"/>
                  <c:y val="4.1529618924216753E-07"/>
                </c:manualLayout>
              </c:layout>
              <c:tx>
                <c:rich>
                  <a:bodyPr/>
                  <a:lstStyle/>
                  <a:p>
                    <a:r>
                      <a:rPr lang="en-US"/>
                      <a:t>$43,045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0C24-48F5-929D-DDA519EA45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a:noFill/>
                      <a:prstDash val="solid"/>
                      <a:round/>
                    </a:ln>
                    <a:effectLst/>
                    <c:extLst>
                      <a:ext xmlns:a="http://schemas.openxmlformats.org/drawingml/2006/main" uri="{91240B29-F687-4F45-9708-019B960494DF}">
                        <a14:hiddenLine xmlns:a14="http://schemas.microsoft.com/office/drawing/2010/main" w="6350">
                          <a:solidFill>
                            <a:sysClr val="windowText" lastClr="000000"/>
                          </a:solidFill>
                          <a:prstDash val="solid"/>
                          <a:round/>
                        </a14:hiddenLine>
                      </a:ext>
                    </c:extLst>
                  </c:spPr>
                </c15:leaderLines>
              </c:ext>
            </c:extLst>
          </c:dLbls>
          <c:cat>
            <c:strRef>
              <c:f>Sheet1!$A$34:$A$44</c:f>
              <c:strCache>
                <c:ptCount val="10"/>
                <c:pt idx="0">
                  <c:v>Responding to all RAIs / Medium</c:v>
                </c:pt>
                <c:pt idx="1">
                  <c:v>Preparing license renewal application / Medium</c:v>
                </c:pt>
                <c:pt idx="2">
                  <c:v>Responding to all RAIs / Low</c:v>
                </c:pt>
                <c:pt idx="3">
                  <c:v>Responding to all RAIs / High</c:v>
                </c:pt>
                <c:pt idx="4">
                  <c:v>Revising license renewal application / High</c:v>
                </c:pt>
                <c:pt idx="5">
                  <c:v>Revise license renewal application / Medium</c:v>
                </c:pt>
                <c:pt idx="6">
                  <c:v>Draft technical chapters of license renewal application / Medium</c:v>
                </c:pt>
                <c:pt idx="7">
                  <c:v>Draft RAI responses / Medium</c:v>
                </c:pt>
                <c:pt idx="8">
                  <c:v>Preparing license renewal application / Low</c:v>
                </c:pt>
                <c:pt idx="9">
                  <c:v>Revising license renewal application / Medium</c:v>
                </c:pt>
              </c:strCache>
            </c:strRef>
          </c:cat>
          <c:val>
            <c:numLit>
              <c:formatCode>General</c:formatCode>
              <c:ptCount val="10"/>
              <c:pt idx="0">
                <c:v>734745.965508129</c:v>
              </c:pt>
              <c:pt idx="1">
                <c:v>483178.56522471411</c:v>
              </c:pt>
              <c:pt idx="2">
                <c:v>172406.83572129084</c:v>
              </c:pt>
              <c:pt idx="3">
                <c:v>117486.97345640608</c:v>
              </c:pt>
              <c:pt idx="4">
                <c:v>80391.059976172182</c:v>
              </c:pt>
              <c:pt idx="5">
                <c:v>62617.209256484952</c:v>
              </c:pt>
              <c:pt idx="6">
                <c:v>0</c:v>
              </c:pt>
              <c:pt idx="7">
                <c:v>0</c:v>
              </c:pt>
              <c:pt idx="8">
                <c:v>46714.668863388019</c:v>
              </c:pt>
              <c:pt idx="9">
                <c:v>43045.494720257644</c:v>
              </c:pt>
            </c:numLit>
          </c:val>
          <c:extLst>
            <c:ext xmlns:c16="http://schemas.microsoft.com/office/drawing/2014/chart" uri="{C3380CC4-5D6E-409C-BE32-E72D297353CC}">
              <c16:uniqueId val="{00000021-0C24-48F5-929D-DDA519EA450D}"/>
            </c:ext>
          </c:extLst>
        </c:ser>
        <c:dLbls>
          <c:showLegendKey val="0"/>
          <c:showVal val="0"/>
          <c:showCatName val="0"/>
          <c:showSerName val="0"/>
          <c:showPercent val="0"/>
          <c:showBubbleSize val="0"/>
        </c:dLbls>
        <c:gapWidth val="20"/>
        <c:overlap val="100"/>
        <c:axId val="514482104"/>
        <c:axId val="514482496"/>
      </c:barChart>
      <c:catAx>
        <c:axId val="514482104"/>
        <c:scaling>
          <c:orientation val="maxMin"/>
        </c:scaling>
        <c:delete val="0"/>
        <c:axPos val="l"/>
        <c:numFmt formatCode="General" sourceLinked="1"/>
        <c:majorTickMark val="none"/>
        <c:minorTickMark val="none"/>
        <c:tickLblPos val="low"/>
        <c:spPr>
          <a:noFill/>
          <a:ln w="6350">
            <a:solidFill>
              <a:sysClr val="windowText" lastClr="000000">
                <a:tint val="75000"/>
              </a:sysClr>
            </a:solidFill>
            <a:prstDash val="solid"/>
            <a:round/>
          </a:ln>
          <a:effectLst/>
        </c:spPr>
        <c:txPr>
          <a:bodyPr rot="0" vert="horz"/>
          <a:lstStyle/>
          <a:p>
            <a:pPr>
              <a:defRPr/>
            </a:pPr>
            <a:endParaRPr lang="en-US"/>
          </a:p>
        </c:txPr>
        <c:crossAx val="514482496"/>
        <c:crossesAt val="0"/>
        <c:auto val="1"/>
        <c:lblAlgn val="ctr"/>
        <c:lblOffset val="100"/>
        <c:noMultiLvlLbl val="0"/>
      </c:catAx>
      <c:valAx>
        <c:axId val="514482496"/>
        <c:scaling>
          <c:orientation val="minMax"/>
          <c:max val="800000"/>
          <c:min val="-100000"/>
        </c:scaling>
        <c:delete val="0"/>
        <c:axPos val="b"/>
        <c:title>
          <c:tx>
            <c:rich>
              <a:bodyPr/>
              <a:lstStyle/>
              <a:p>
                <a:pPr>
                  <a:defRPr sz="1000"/>
                </a:pPr>
                <a:r>
                  <a:rPr lang="en-US" sz="1000"/>
                  <a:t>Undiscounted Total Net Benefits</a:t>
                </a:r>
                <a:r>
                  <a:rPr lang="en-US" sz="1000" baseline="0"/>
                  <a:t> ($)</a:t>
                </a:r>
                <a:endParaRPr lang="en-US" sz="1000"/>
              </a:p>
            </c:rich>
          </c:tx>
          <c:layout>
            <c:manualLayout>
              <c:xMode val="edge"/>
              <c:yMode val="edge"/>
              <c:x val="0.51723702958182871"/>
              <c:y val="0.8918776371308017"/>
            </c:manualLayout>
          </c:layout>
          <c:overlay val="0"/>
        </c:title>
        <c:numFmt formatCode="&quot;$&quot;#,##0" sourceLinked="0"/>
        <c:majorTickMark val="out"/>
        <c:minorTickMark val="none"/>
        <c:tickLblPos val="nextTo"/>
        <c:txPr>
          <a:bodyPr rot="0" vert="horz"/>
          <a:lstStyle/>
          <a:p>
            <a:pPr>
              <a:defRPr/>
            </a:pPr>
            <a:endParaRPr lang="en-US"/>
          </a:p>
        </c:txPr>
        <c:crossAx val="514482104"/>
        <c:crosses val="max"/>
        <c:crossBetween val="between"/>
        <c:majorUnit val="150000"/>
      </c:valAx>
      <c:spPr>
        <a:solidFill>
          <a:srgbClr val="F5F5F5"/>
        </a:solidFill>
        <a:ln>
          <a:noFill/>
        </a:ln>
        <a:effectLst/>
        <c:extLst>
          <a:ext xmlns:a="http://schemas.openxmlformats.org/drawingml/2006/main" uri="{91240B29-F687-4F45-9708-019B960494DF}">
            <a14:hiddenLine xmlns:a14="http://schemas.microsoft.com/office/drawing/2010/main">
              <a:noFill/>
            </a14:hiddenLine>
          </a:ext>
        </c:extLst>
      </c:spPr>
    </c:plotArea>
    <c:plotVisOnly val="1"/>
    <c:dispBlanksAs val="gap"/>
    <c:showDLblsOverMax val="0"/>
  </c:chart>
  <c:spPr>
    <a:solidFill>
      <a:srgbClr val="FFFFFF"/>
    </a:solidFill>
    <a:ln w="9525">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BA22DB67774A947A3A08D4BF3AC7" ma:contentTypeVersion="9" ma:contentTypeDescription="Create a new document." ma:contentTypeScope="" ma:versionID="4900f0f853f54e75c0eeac0f62fd8a42">
  <xsd:schema xmlns:xsd="http://www.w3.org/2001/XMLSchema" xmlns:xs="http://www.w3.org/2001/XMLSchema" xmlns:p="http://schemas.microsoft.com/office/2006/metadata/properties" xmlns:ns2="d4e282bb-1ef9-4cbd-a653-06682fc7ad56" xmlns:ns3="77ee5da4-ed23-4982-a1a3-8661ddde364f" targetNamespace="http://schemas.microsoft.com/office/2006/metadata/properties" ma:root="true" ma:fieldsID="a468bc76ef2d8682caa4338aa7e4a407" ns2:_="" ns3:_="">
    <xsd:import namespace="d4e282bb-1ef9-4cbd-a653-06682fc7ad56"/>
    <xsd:import namespace="77ee5da4-ed23-4982-a1a3-8661ddde3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82bb-1ef9-4cbd-a653-06682fc7ad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e5da4-ed23-4982-a1a3-8661ddde3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e282bb-1ef9-4cbd-a653-06682fc7ad56">NPWYQKRF7TSA-1555704804-396</_dlc_DocId>
    <_dlc_DocIdUrl xmlns="d4e282bb-1ef9-4cbd-a653-06682fc7ad56">
      <Url>https://usnrc.sharepoint.com/teams/NMSS-Non-power-Reactor-License-Renewal-Rulemaking/_layouts/15/DocIdRedir.aspx?ID=NPWYQKRF7TSA-1555704804-396</Url>
      <Description>NPWYQKRF7TSA-1555704804-396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84F9-C4E1-48F2-BACA-984B2AC86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82bb-1ef9-4cbd-a653-06682fc7ad56"/>
    <ds:schemaRef ds:uri="77ee5da4-ed23-4982-a1a3-8661ddde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1D51A-59F0-4662-8A9A-44936B354371}">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77ee5da4-ed23-4982-a1a3-8661ddde364f"/>
    <ds:schemaRef ds:uri="d4e282bb-1ef9-4cbd-a653-06682fc7ad56"/>
    <ds:schemaRef ds:uri="http://www.w3.org/XML/1998/namespace"/>
    <ds:schemaRef ds:uri="http://purl.org/dc/dcmitype/"/>
  </ds:schemaRefs>
</ds:datastoreItem>
</file>

<file path=customXml/itemProps3.xml><?xml version="1.0" encoding="utf-8"?>
<ds:datastoreItem xmlns:ds="http://schemas.openxmlformats.org/officeDocument/2006/customXml" ds:itemID="{36F3A88C-536E-4AA0-8B6C-28DC168DF9EA}">
  <ds:schemaRefs>
    <ds:schemaRef ds:uri="http://schemas.microsoft.com/sharepoint/events"/>
  </ds:schemaRefs>
</ds:datastoreItem>
</file>

<file path=customXml/itemProps4.xml><?xml version="1.0" encoding="utf-8"?>
<ds:datastoreItem xmlns:ds="http://schemas.openxmlformats.org/officeDocument/2006/customXml" ds:itemID="{2B4226A3-9FC8-4A6A-9AB8-6E7C086B1C66}">
  <ds:schemaRefs>
    <ds:schemaRef ds:uri="http://schemas.microsoft.com/sharepoint/v3/contenttype/forms"/>
  </ds:schemaRefs>
</ds:datastoreItem>
</file>

<file path=customXml/itemProps5.xml><?xml version="1.0" encoding="utf-8"?>
<ds:datastoreItem xmlns:ds="http://schemas.openxmlformats.org/officeDocument/2006/customXml" ds:itemID="{252F58AD-0944-4B83-8DC5-3E450A769732}">
  <ds:schemaRefs>
    <ds:schemaRef ds:uri="http://schemas.microsoft.com/sharepoint/events"/>
  </ds:schemaRefs>
</ds:datastoreItem>
</file>

<file path=customXml/itemProps6.xml><?xml version="1.0" encoding="utf-8"?>
<ds:datastoreItem xmlns:ds="http://schemas.openxmlformats.org/officeDocument/2006/customXml" ds:itemID="{B06147DD-BD00-41F3-85B3-EAD37E916CD6}">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25188</Words>
  <Characters>143576</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168428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Kerry</dc:creator>
  <cp:lastModifiedBy>Kristen Benney</cp:lastModifiedBy>
  <cp:revision>2</cp:revision>
  <cp:lastPrinted>2019-06-06T19:57:00Z</cp:lastPrinted>
  <dcterms:created xsi:type="dcterms:W3CDTF">2024-10-15T20:25:00Z</dcterms:created>
  <dcterms:modified xsi:type="dcterms:W3CDTF">2024-10-15T20:25:00Z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0x0101004DB4BA22DB67774A947A3A08D4BF3AC7</vt:lpwstr>
  </property>
  <property fmtid="{D5CDD505-2E9C-101B-9397-08002B2CF9AE}" pid="3" name="Order">
    <vt:r8>26500</vt:r8>
  </property>
  <property fmtid="{D5CDD505-2E9C-101B-9397-08002B2CF9AE}" pid="4" name="_dlc_DocIdItemGuid">
    <vt:lpwstr>5cd33048-6353-474c-9556-f75b77cb82ed</vt:lpwstr>
  </property>
</Properties>
</file>