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92E" w:rsidRPr="00E0692E" w:rsidP="009B6E8B" w14:paraId="59451EA7" w14:textId="77777777">
      <w:pPr>
        <w:pStyle w:val="SubTitle0"/>
        <w:widowControl/>
        <w:jc w:val="left"/>
        <w:rPr>
          <w:i w:val="0"/>
        </w:rPr>
      </w:pPr>
    </w:p>
    <w:p w:rsidR="00B06888" w:rsidP="001E20F8" w14:paraId="61A3204F" w14:textId="77777777">
      <w:pPr>
        <w:autoSpaceDE w:val="0"/>
        <w:autoSpaceDN w:val="0"/>
        <w:adjustRightInd w:val="0"/>
        <w:jc w:val="center"/>
        <w:rPr>
          <w:rFonts w:ascii="Arial" w:hAnsi="Arial"/>
          <w:b/>
          <w:color w:val="000000"/>
          <w:sz w:val="32"/>
          <w:szCs w:val="32"/>
        </w:rPr>
      </w:pPr>
      <w:r w:rsidRPr="2CC066CE">
        <w:rPr>
          <w:rFonts w:ascii="Arial" w:hAnsi="Arial"/>
          <w:b/>
          <w:color w:val="000000" w:themeColor="text1"/>
          <w:sz w:val="32"/>
          <w:szCs w:val="32"/>
        </w:rPr>
        <w:t>PREPARATION OF</w:t>
      </w:r>
      <w:r w:rsidRPr="2CC066CE" w:rsidR="006A7C43">
        <w:rPr>
          <w:rFonts w:ascii="Arial" w:hAnsi="Arial"/>
          <w:b/>
          <w:color w:val="000000" w:themeColor="text1"/>
          <w:sz w:val="32"/>
          <w:szCs w:val="32"/>
        </w:rPr>
        <w:t xml:space="preserve"> UPDATED FINAL SAFETY ANALYSIS </w:t>
      </w:r>
    </w:p>
    <w:p w:rsidR="002F78E1" w:rsidP="001E20F8" w14:paraId="12C1ACA1" w14:textId="77777777">
      <w:pPr>
        <w:autoSpaceDE w:val="0"/>
        <w:autoSpaceDN w:val="0"/>
        <w:adjustRightInd w:val="0"/>
        <w:jc w:val="center"/>
        <w:rPr>
          <w:rFonts w:ascii="Arial" w:hAnsi="Arial"/>
          <w:b/>
          <w:color w:val="000000" w:themeColor="text1"/>
          <w:sz w:val="32"/>
          <w:szCs w:val="32"/>
        </w:rPr>
      </w:pPr>
      <w:r w:rsidRPr="2CC066CE">
        <w:rPr>
          <w:rFonts w:ascii="Arial" w:hAnsi="Arial"/>
          <w:b/>
          <w:color w:val="000000" w:themeColor="text1"/>
          <w:sz w:val="32"/>
          <w:szCs w:val="32"/>
        </w:rPr>
        <w:t>REPORTS FOR NON-POWER PRODUCTION</w:t>
      </w:r>
      <w:r>
        <w:rPr>
          <w:rFonts w:ascii="Arial" w:hAnsi="Arial"/>
          <w:b/>
          <w:color w:val="000000" w:themeColor="text1"/>
          <w:sz w:val="32"/>
          <w:szCs w:val="32"/>
        </w:rPr>
        <w:t xml:space="preserve"> </w:t>
      </w:r>
    </w:p>
    <w:p w:rsidR="006A7C43" w:rsidRPr="006A7C43" w:rsidP="001E20F8" w14:paraId="59451EA8" w14:textId="37960EC7">
      <w:pPr>
        <w:autoSpaceDE w:val="0"/>
        <w:autoSpaceDN w:val="0"/>
        <w:adjustRightInd w:val="0"/>
        <w:jc w:val="center"/>
        <w:rPr>
          <w:rFonts w:ascii="Arial" w:hAnsi="Arial"/>
          <w:b/>
          <w:color w:val="000000"/>
          <w:sz w:val="32"/>
          <w:szCs w:val="32"/>
        </w:rPr>
      </w:pPr>
      <w:r w:rsidRPr="2CC066CE">
        <w:rPr>
          <w:rFonts w:ascii="Arial" w:hAnsi="Arial"/>
          <w:b/>
          <w:color w:val="000000" w:themeColor="text1"/>
          <w:sz w:val="32"/>
          <w:szCs w:val="32"/>
        </w:rPr>
        <w:t xml:space="preserve">OR UTILIZATION </w:t>
      </w:r>
      <w:r w:rsidRPr="2CC066CE" w:rsidR="00DC25B7">
        <w:rPr>
          <w:rFonts w:ascii="Arial" w:hAnsi="Arial"/>
          <w:b/>
          <w:color w:val="000000" w:themeColor="text1"/>
          <w:sz w:val="32"/>
          <w:szCs w:val="32"/>
        </w:rPr>
        <w:t>F</w:t>
      </w:r>
      <w:r w:rsidRPr="2CC066CE">
        <w:rPr>
          <w:rFonts w:ascii="Arial" w:hAnsi="Arial"/>
          <w:b/>
          <w:color w:val="000000" w:themeColor="text1"/>
          <w:sz w:val="32"/>
          <w:szCs w:val="32"/>
        </w:rPr>
        <w:t>ACILITIES</w:t>
      </w:r>
    </w:p>
    <w:p w:rsidR="009A0FDC" w:rsidRPr="009B126C" w:rsidP="00DD5179" w14:paraId="59451EA9" w14:textId="77777777">
      <w:pPr>
        <w:rPr>
          <w:sz w:val="28"/>
          <w:szCs w:val="28"/>
        </w:rPr>
      </w:pPr>
    </w:p>
    <w:p w:rsidR="001003E2" w:rsidRPr="00767029" w:rsidP="001E20F8" w14:paraId="59451EAA" w14:textId="77777777">
      <w:pPr>
        <w:pStyle w:val="Heading1"/>
        <w:keepNext w:val="0"/>
        <w:numPr>
          <w:ilvl w:val="0"/>
          <w:numId w:val="0"/>
        </w:numPr>
        <w:jc w:val="center"/>
      </w:pPr>
      <w:bookmarkStart w:id="0" w:name="_Toc182970625"/>
      <w:bookmarkStart w:id="1" w:name="_Toc383167273"/>
      <w:r w:rsidRPr="009B126C">
        <w:rPr>
          <w:sz w:val="28"/>
          <w:szCs w:val="28"/>
        </w:rPr>
        <w:t>A.  INTRODUCTION</w:t>
      </w:r>
      <w:bookmarkEnd w:id="0"/>
      <w:r w:rsidRPr="006A5FAB">
        <w:t xml:space="preserve"> </w:t>
      </w:r>
      <w:bookmarkEnd w:id="1"/>
    </w:p>
    <w:p w:rsidR="00B916C8" w:rsidRPr="00B916C8" w:rsidP="00DD5179" w14:paraId="59451EAB" w14:textId="77777777">
      <w:pPr>
        <w:rPr>
          <w:b/>
        </w:rPr>
      </w:pPr>
      <w:r w:rsidRPr="2CC066CE">
        <w:rPr>
          <w:b/>
        </w:rPr>
        <w:t xml:space="preserve">Purpose </w:t>
      </w:r>
    </w:p>
    <w:p w:rsidR="00B916C8" w:rsidRPr="00B916C8" w:rsidP="00DD5179" w14:paraId="59451EAC" w14:textId="77777777">
      <w:pPr>
        <w:rPr>
          <w:rFonts w:ascii="Arial" w:hAnsi="Arial" w:cs="Arial"/>
          <w:b/>
          <w:sz w:val="18"/>
          <w:szCs w:val="18"/>
          <w:highlight w:val="cyan"/>
        </w:rPr>
      </w:pPr>
    </w:p>
    <w:p w:rsidR="00B9217A" w:rsidP="00B9217A" w14:paraId="59451EAD" w14:textId="4DA69644">
      <w:pPr>
        <w:ind w:firstLine="720"/>
      </w:pPr>
      <w:r w:rsidRPr="00A30E71">
        <w:t xml:space="preserve">This regulatory guide (RG) provides licensees </w:t>
      </w:r>
      <w:r>
        <w:t xml:space="preserve">of </w:t>
      </w:r>
      <w:r w:rsidR="0000660C">
        <w:t>n</w:t>
      </w:r>
      <w:r>
        <w:t>on</w:t>
      </w:r>
      <w:r w:rsidR="001D44AB">
        <w:noBreakHyphen/>
      </w:r>
      <w:r w:rsidR="0000660C">
        <w:t>p</w:t>
      </w:r>
      <w:r>
        <w:t xml:space="preserve">ower </w:t>
      </w:r>
      <w:r w:rsidR="0000660C">
        <w:t>p</w:t>
      </w:r>
      <w:r>
        <w:t xml:space="preserve">roduction or </w:t>
      </w:r>
      <w:r w:rsidR="0000660C">
        <w:t>u</w:t>
      </w:r>
      <w:r>
        <w:t xml:space="preserve">tilization </w:t>
      </w:r>
      <w:r w:rsidR="0000660C">
        <w:t>f</w:t>
      </w:r>
      <w:r>
        <w:t>acilities (NPUF</w:t>
      </w:r>
      <w:r w:rsidR="009F26C1">
        <w:t>s</w:t>
      </w:r>
      <w:r>
        <w:t xml:space="preserve">) </w:t>
      </w:r>
      <w:r w:rsidRPr="00A30E71">
        <w:t xml:space="preserve">with a method that the staff of the U.S. Nuclear Regulatory Commission (NRC) considers acceptable </w:t>
      </w:r>
      <w:r w:rsidR="007B50E2">
        <w:t xml:space="preserve">to </w:t>
      </w:r>
      <w:r w:rsidR="00C00AE8">
        <w:t xml:space="preserve">prepare updated </w:t>
      </w:r>
      <w:r w:rsidR="00F94BCF">
        <w:t>Final Safety Analysis Reports (</w:t>
      </w:r>
      <w:r w:rsidR="00C00AE8">
        <w:t>FSARs</w:t>
      </w:r>
      <w:r w:rsidR="00C00AE8">
        <w:t xml:space="preserve">) in accordance with </w:t>
      </w:r>
      <w:r w:rsidR="005726E0">
        <w:t xml:space="preserve">the </w:t>
      </w:r>
      <w:r w:rsidR="003649A7">
        <w:t xml:space="preserve">applicable </w:t>
      </w:r>
      <w:r w:rsidR="005726E0">
        <w:t xml:space="preserve">provisions of </w:t>
      </w:r>
      <w:r w:rsidR="00CD2CB6">
        <w:t xml:space="preserve">Section </w:t>
      </w:r>
      <w:r w:rsidR="003649A7">
        <w:t>50.71</w:t>
      </w:r>
      <w:r w:rsidR="005726E0">
        <w:t xml:space="preserve">(e) of </w:t>
      </w:r>
      <w:r w:rsidRPr="005726E0" w:rsidR="003649A7">
        <w:t xml:space="preserve">Title 10 of the </w:t>
      </w:r>
      <w:r w:rsidRPr="005F694C" w:rsidR="003649A7">
        <w:rPr>
          <w:i/>
        </w:rPr>
        <w:t>Code of Federal Regulations</w:t>
      </w:r>
      <w:r w:rsidRPr="005726E0" w:rsidR="003649A7">
        <w:t xml:space="preserve"> (10</w:t>
      </w:r>
      <w:r w:rsidR="008C3B1C">
        <w:t> </w:t>
      </w:r>
      <w:r w:rsidRPr="005726E0" w:rsidR="003649A7">
        <w:t>CFR)</w:t>
      </w:r>
      <w:r w:rsidR="003649A7">
        <w:t xml:space="preserve"> </w:t>
      </w:r>
      <w:r w:rsidRPr="005726E0" w:rsidR="005726E0">
        <w:t>Part</w:t>
      </w:r>
      <w:r w:rsidR="007B50E2">
        <w:t> </w:t>
      </w:r>
      <w:r w:rsidR="005726E0">
        <w:t>50</w:t>
      </w:r>
      <w:r w:rsidRPr="005726E0" w:rsidR="005726E0">
        <w:t>, “</w:t>
      </w:r>
      <w:r w:rsidR="005726E0">
        <w:t>Domestic Licensing of Production and Utilization Facilities</w:t>
      </w:r>
      <w:r w:rsidRPr="005726E0" w:rsidR="005726E0">
        <w:t>” (Ref.</w:t>
      </w:r>
      <w:r w:rsidR="00CA3D88">
        <w:t xml:space="preserve"> </w:t>
      </w:r>
      <w:r w:rsidRPr="005726E0" w:rsidR="005726E0">
        <w:t>1)</w:t>
      </w:r>
      <w:r>
        <w:t>.</w:t>
      </w:r>
    </w:p>
    <w:p w:rsidR="00CF2D3E" w:rsidP="00CF2D3E" w14:paraId="59451EAE" w14:textId="77777777"/>
    <w:p w:rsidR="00AB1086" w:rsidRPr="00B916C8" w:rsidP="00AB1086" w14:paraId="59451EAF" w14:textId="77777777">
      <w:pPr>
        <w:rPr>
          <w:b/>
          <w:szCs w:val="22"/>
        </w:rPr>
      </w:pPr>
      <w:r>
        <w:rPr>
          <w:b/>
          <w:szCs w:val="22"/>
        </w:rPr>
        <w:t xml:space="preserve">Applicability </w:t>
      </w:r>
    </w:p>
    <w:p w:rsidR="00AB1086" w:rsidRPr="00D657DA" w:rsidP="00AB1086" w14:paraId="59451EB0" w14:textId="77777777">
      <w:pPr>
        <w:rPr>
          <w:rFonts w:ascii="Arial" w:hAnsi="Arial" w:cs="Arial"/>
          <w:b/>
          <w:sz w:val="18"/>
          <w:szCs w:val="18"/>
        </w:rPr>
      </w:pPr>
    </w:p>
    <w:p w:rsidR="00A45C75" w:rsidRPr="00D657DA" w:rsidP="00AB1086" w14:paraId="59451EB1" w14:textId="77777777">
      <w:r w:rsidRPr="00D657DA">
        <w:rPr>
          <w:b/>
          <w:szCs w:val="22"/>
        </w:rPr>
        <w:tab/>
      </w:r>
      <w:r w:rsidRPr="2CC066CE">
        <w:t>This RG applies to</w:t>
      </w:r>
      <w:r w:rsidRPr="2CC066CE" w:rsidR="00741794">
        <w:t xml:space="preserve"> each holder of an operating license for an</w:t>
      </w:r>
      <w:r w:rsidRPr="2CC066CE">
        <w:t xml:space="preserve"> NPUF</w:t>
      </w:r>
      <w:r w:rsidRPr="00D657DA" w:rsidR="00D657DA">
        <w:rPr>
          <w:szCs w:val="22"/>
        </w:rPr>
        <w:t>.</w:t>
      </w:r>
    </w:p>
    <w:p w:rsidR="00AB1086" w:rsidRPr="00CF2D3E" w:rsidP="00A43FCE" w14:paraId="59451EB2" w14:textId="77777777">
      <w:pPr>
        <w:jc w:val="right"/>
      </w:pPr>
    </w:p>
    <w:p w:rsidR="00B916C8" w:rsidRPr="00B916C8" w:rsidP="00B916C8" w14:paraId="59451EB3" w14:textId="77777777">
      <w:pPr>
        <w:rPr>
          <w:b/>
        </w:rPr>
      </w:pPr>
      <w:r w:rsidRPr="2CC066CE">
        <w:rPr>
          <w:b/>
        </w:rPr>
        <w:t xml:space="preserve">Applicable </w:t>
      </w:r>
      <w:r w:rsidRPr="2CC066CE" w:rsidR="000A55BC">
        <w:rPr>
          <w:b/>
        </w:rPr>
        <w:t>Regulations</w:t>
      </w:r>
    </w:p>
    <w:p w:rsidR="00B916C8" w:rsidP="00940BA9" w14:paraId="59451EB4" w14:textId="77777777">
      <w:pPr>
        <w:rPr>
          <w:rFonts w:ascii="Arial" w:hAnsi="Arial" w:cs="Arial"/>
          <w:sz w:val="18"/>
          <w:szCs w:val="18"/>
          <w:highlight w:val="cyan"/>
        </w:rPr>
      </w:pPr>
    </w:p>
    <w:p w:rsidR="00854FFE" w:rsidP="00C177DE" w14:paraId="677A5EC6" w14:textId="748895C7">
      <w:pPr>
        <w:pStyle w:val="ListParagraph"/>
        <w:numPr>
          <w:ilvl w:val="0"/>
          <w:numId w:val="18"/>
        </w:numPr>
        <w:autoSpaceDE w:val="0"/>
        <w:autoSpaceDN w:val="0"/>
        <w:adjustRightInd w:val="0"/>
        <w:spacing w:before="100" w:after="100"/>
        <w:ind w:left="720"/>
        <w:rPr>
          <w:sz w:val="22"/>
          <w:szCs w:val="22"/>
        </w:rPr>
      </w:pPr>
      <w:r w:rsidRPr="00851190">
        <w:rPr>
          <w:sz w:val="22"/>
          <w:szCs w:val="22"/>
        </w:rPr>
        <w:t xml:space="preserve">10 CFR 50.71, “Maintenance of records, making of reports,” </w:t>
      </w:r>
      <w:r>
        <w:rPr>
          <w:sz w:val="22"/>
          <w:szCs w:val="22"/>
        </w:rPr>
        <w:t xml:space="preserve">requires </w:t>
      </w:r>
      <w:r w:rsidRPr="00854FFE">
        <w:rPr>
          <w:sz w:val="22"/>
          <w:szCs w:val="22"/>
        </w:rPr>
        <w:t>licensee</w:t>
      </w:r>
      <w:r>
        <w:rPr>
          <w:sz w:val="22"/>
          <w:szCs w:val="22"/>
        </w:rPr>
        <w:t>s to</w:t>
      </w:r>
      <w:r w:rsidRPr="00854FFE">
        <w:rPr>
          <w:sz w:val="22"/>
          <w:szCs w:val="22"/>
        </w:rPr>
        <w:t xml:space="preserve"> maintain records in connection with the </w:t>
      </w:r>
      <w:r w:rsidR="007F7424">
        <w:rPr>
          <w:sz w:val="22"/>
          <w:szCs w:val="22"/>
        </w:rPr>
        <w:t xml:space="preserve">licensed </w:t>
      </w:r>
      <w:r w:rsidRPr="00854FFE">
        <w:rPr>
          <w:sz w:val="22"/>
          <w:szCs w:val="22"/>
        </w:rPr>
        <w:t>activity</w:t>
      </w:r>
      <w:r w:rsidRPr="007F7424" w:rsidR="007F7424">
        <w:rPr>
          <w:sz w:val="22"/>
          <w:szCs w:val="22"/>
        </w:rPr>
        <w:t xml:space="preserve"> </w:t>
      </w:r>
      <w:r w:rsidRPr="00854FFE" w:rsidR="007F7424">
        <w:rPr>
          <w:sz w:val="22"/>
          <w:szCs w:val="22"/>
        </w:rPr>
        <w:t xml:space="preserve">and </w:t>
      </w:r>
      <w:r w:rsidR="007F7424">
        <w:rPr>
          <w:sz w:val="22"/>
          <w:szCs w:val="22"/>
        </w:rPr>
        <w:t>to make reports</w:t>
      </w:r>
      <w:r w:rsidRPr="007F7424" w:rsidR="007F7424">
        <w:t xml:space="preserve"> </w:t>
      </w:r>
      <w:r w:rsidRPr="007F7424" w:rsidR="007F7424">
        <w:rPr>
          <w:sz w:val="22"/>
          <w:szCs w:val="22"/>
        </w:rPr>
        <w:t xml:space="preserve">as may be required by the conditions of the license or permit or by the regulations, and </w:t>
      </w:r>
      <w:r w:rsidR="007F7424">
        <w:rPr>
          <w:sz w:val="22"/>
          <w:szCs w:val="22"/>
        </w:rPr>
        <w:t xml:space="preserve">by </w:t>
      </w:r>
      <w:r w:rsidRPr="007F7424" w:rsidR="007F7424">
        <w:rPr>
          <w:sz w:val="22"/>
          <w:szCs w:val="22"/>
        </w:rPr>
        <w:t>orders of the Commission</w:t>
      </w:r>
      <w:r w:rsidR="007F7424">
        <w:rPr>
          <w:sz w:val="22"/>
          <w:szCs w:val="22"/>
        </w:rPr>
        <w:t>.</w:t>
      </w:r>
    </w:p>
    <w:p w:rsidR="007F7424" w:rsidRPr="00851190" w:rsidP="00C177DE" w14:paraId="0B9715A1" w14:textId="77777777">
      <w:pPr>
        <w:pStyle w:val="ListParagraph"/>
        <w:autoSpaceDE w:val="0"/>
        <w:autoSpaceDN w:val="0"/>
        <w:adjustRightInd w:val="0"/>
        <w:spacing w:before="100" w:after="100"/>
        <w:rPr>
          <w:sz w:val="22"/>
          <w:szCs w:val="22"/>
        </w:rPr>
      </w:pPr>
    </w:p>
    <w:p w:rsidR="007F7424" w:rsidRPr="007F7424" w:rsidP="00A32DE2" w14:paraId="7AA797B2" w14:textId="64BD973A">
      <w:pPr>
        <w:pStyle w:val="ListParagraph"/>
        <w:numPr>
          <w:ilvl w:val="0"/>
          <w:numId w:val="36"/>
        </w:numPr>
      </w:pPr>
      <w:r w:rsidRPr="009B6E8B">
        <w:rPr>
          <w:sz w:val="22"/>
          <w:szCs w:val="22"/>
        </w:rPr>
        <w:t xml:space="preserve">10 CFR </w:t>
      </w:r>
      <w:r w:rsidRPr="009B6E8B" w:rsidR="00A45C75">
        <w:rPr>
          <w:sz w:val="22"/>
          <w:szCs w:val="22"/>
        </w:rPr>
        <w:t xml:space="preserve">50.71(e)(3)(iv) </w:t>
      </w:r>
      <w:r w:rsidR="006B320C">
        <w:rPr>
          <w:sz w:val="22"/>
          <w:szCs w:val="22"/>
        </w:rPr>
        <w:t>requires h</w:t>
      </w:r>
      <w:r w:rsidRPr="009B6E8B" w:rsidR="006E0CB5">
        <w:rPr>
          <w:sz w:val="22"/>
          <w:szCs w:val="22"/>
        </w:rPr>
        <w:t xml:space="preserve">olders of </w:t>
      </w:r>
      <w:r w:rsidRPr="009B6E8B" w:rsidR="00A45C75">
        <w:rPr>
          <w:sz w:val="22"/>
          <w:szCs w:val="22"/>
        </w:rPr>
        <w:t xml:space="preserve">non-power production or utilization facility licenses issued after </w:t>
      </w:r>
      <w:r w:rsidRPr="00851190" w:rsidR="00A45C75">
        <w:rPr>
          <w:sz w:val="22"/>
          <w:szCs w:val="22"/>
          <w:highlight w:val="yellow"/>
        </w:rPr>
        <w:t>[</w:t>
      </w:r>
      <w:r w:rsidRPr="00851190" w:rsidR="00756306">
        <w:rPr>
          <w:b/>
          <w:sz w:val="22"/>
          <w:szCs w:val="22"/>
          <w:highlight w:val="yellow"/>
        </w:rPr>
        <w:t>EFFECTIVE DATE OF FINAL RULE</w:t>
      </w:r>
      <w:r w:rsidRPr="00851190" w:rsidR="00A45C75">
        <w:rPr>
          <w:sz w:val="22"/>
          <w:szCs w:val="22"/>
          <w:highlight w:val="yellow"/>
        </w:rPr>
        <w:t>]</w:t>
      </w:r>
      <w:r w:rsidRPr="009B6E8B" w:rsidR="00D724C1">
        <w:rPr>
          <w:sz w:val="22"/>
          <w:szCs w:val="22"/>
        </w:rPr>
        <w:t xml:space="preserve"> </w:t>
      </w:r>
      <w:r w:rsidR="006B320C">
        <w:rPr>
          <w:sz w:val="22"/>
          <w:szCs w:val="22"/>
        </w:rPr>
        <w:t>to</w:t>
      </w:r>
      <w:r w:rsidRPr="009B6E8B" w:rsidR="006B320C">
        <w:rPr>
          <w:sz w:val="22"/>
          <w:szCs w:val="22"/>
        </w:rPr>
        <w:t xml:space="preserve"> </w:t>
      </w:r>
      <w:r w:rsidRPr="009B6E8B" w:rsidR="00D724C1">
        <w:rPr>
          <w:sz w:val="22"/>
          <w:szCs w:val="22"/>
        </w:rPr>
        <w:t>file</w:t>
      </w:r>
      <w:r w:rsidRPr="009B6E8B" w:rsidR="00A45C75">
        <w:rPr>
          <w:sz w:val="22"/>
          <w:szCs w:val="22"/>
        </w:rPr>
        <w:t xml:space="preserve"> a revision of the original </w:t>
      </w:r>
      <w:r w:rsidRPr="009B6E8B" w:rsidR="00A45C75">
        <w:rPr>
          <w:sz w:val="22"/>
          <w:szCs w:val="22"/>
        </w:rPr>
        <w:t>FSAR</w:t>
      </w:r>
      <w:r w:rsidRPr="009B6E8B" w:rsidR="00A45C75">
        <w:rPr>
          <w:sz w:val="22"/>
          <w:szCs w:val="22"/>
        </w:rPr>
        <w:t xml:space="preserve"> within 5</w:t>
      </w:r>
      <w:r w:rsidRPr="009B6E8B">
        <w:rPr>
          <w:sz w:val="22"/>
          <w:szCs w:val="22"/>
        </w:rPr>
        <w:t> </w:t>
      </w:r>
      <w:r w:rsidRPr="009B6E8B" w:rsidR="00A45C75">
        <w:rPr>
          <w:sz w:val="22"/>
          <w:szCs w:val="22"/>
        </w:rPr>
        <w:t>years of the date of issuance of the</w:t>
      </w:r>
      <w:r w:rsidR="006B320C">
        <w:rPr>
          <w:sz w:val="22"/>
          <w:szCs w:val="22"/>
        </w:rPr>
        <w:t>ir</w:t>
      </w:r>
      <w:r w:rsidRPr="009B6E8B" w:rsidR="00A45C75">
        <w:rPr>
          <w:sz w:val="22"/>
          <w:szCs w:val="22"/>
        </w:rPr>
        <w:t xml:space="preserve"> operating license.</w:t>
      </w:r>
      <w:r w:rsidRPr="009B6E8B" w:rsidR="00B969CA">
        <w:rPr>
          <w:sz w:val="22"/>
          <w:szCs w:val="22"/>
        </w:rPr>
        <w:t xml:space="preserve"> </w:t>
      </w:r>
      <w:r w:rsidRPr="009B6E8B" w:rsidR="00782B3D">
        <w:rPr>
          <w:sz w:val="22"/>
          <w:szCs w:val="22"/>
        </w:rPr>
        <w:t xml:space="preserve"> </w:t>
      </w:r>
      <w:r w:rsidRPr="009B6E8B" w:rsidR="00A45C75">
        <w:rPr>
          <w:sz w:val="22"/>
          <w:szCs w:val="22"/>
        </w:rPr>
        <w:t xml:space="preserve">The revision must bring the </w:t>
      </w:r>
      <w:r w:rsidRPr="009B6E8B" w:rsidR="00A45C75">
        <w:rPr>
          <w:sz w:val="22"/>
          <w:szCs w:val="22"/>
        </w:rPr>
        <w:t>FSAR</w:t>
      </w:r>
      <w:r w:rsidRPr="009B6E8B" w:rsidR="00A45C75">
        <w:rPr>
          <w:sz w:val="22"/>
          <w:szCs w:val="22"/>
        </w:rPr>
        <w:t xml:space="preserve"> up to date as of a maximum of 6</w:t>
      </w:r>
      <w:r w:rsidRPr="009B6E8B">
        <w:rPr>
          <w:sz w:val="22"/>
          <w:szCs w:val="22"/>
        </w:rPr>
        <w:t> </w:t>
      </w:r>
      <w:r w:rsidRPr="009B6E8B" w:rsidR="00A45C75">
        <w:rPr>
          <w:sz w:val="22"/>
          <w:szCs w:val="22"/>
        </w:rPr>
        <w:t>months prior to the date of filing the revision</w:t>
      </w:r>
      <w:r w:rsidRPr="009B6E8B" w:rsidR="00592BCF">
        <w:rPr>
          <w:sz w:val="22"/>
          <w:szCs w:val="22"/>
        </w:rPr>
        <w:t>.</w:t>
      </w:r>
    </w:p>
    <w:p w:rsidR="007F7424" w:rsidRPr="00A32DE2" w:rsidP="00A32DE2" w14:paraId="0A737D74" w14:textId="77777777">
      <w:pPr>
        <w:pStyle w:val="ListParagraph"/>
        <w:rPr>
          <w:sz w:val="22"/>
          <w:szCs w:val="22"/>
        </w:rPr>
      </w:pPr>
    </w:p>
    <w:p w:rsidR="00CD2CB6" w:rsidRPr="007A237E" w:rsidP="00A32DE2" w14:paraId="59451EB8" w14:textId="7A63BC44">
      <w:pPr>
        <w:pStyle w:val="ListParagraph"/>
        <w:numPr>
          <w:ilvl w:val="0"/>
          <w:numId w:val="36"/>
        </w:numPr>
      </w:pPr>
      <w:r w:rsidRPr="00A32DE2">
        <w:rPr>
          <w:sz w:val="22"/>
          <w:szCs w:val="22"/>
        </w:rPr>
        <w:t xml:space="preserve">10 CFR </w:t>
      </w:r>
      <w:r w:rsidRPr="00A32DE2" w:rsidR="00A45C75">
        <w:rPr>
          <w:sz w:val="22"/>
          <w:szCs w:val="22"/>
        </w:rPr>
        <w:t xml:space="preserve">50.71(e)(4)(ii) </w:t>
      </w:r>
      <w:r w:rsidR="007F7424">
        <w:rPr>
          <w:sz w:val="22"/>
          <w:szCs w:val="22"/>
        </w:rPr>
        <w:t>requires holders of</w:t>
      </w:r>
      <w:r w:rsidRPr="00A32DE2" w:rsidR="00C00AE8">
        <w:rPr>
          <w:sz w:val="22"/>
          <w:szCs w:val="22"/>
        </w:rPr>
        <w:t xml:space="preserve"> n</w:t>
      </w:r>
      <w:r w:rsidRPr="00A32DE2" w:rsidR="00A45C75">
        <w:rPr>
          <w:sz w:val="22"/>
          <w:szCs w:val="22"/>
        </w:rPr>
        <w:t>on-power production or utilization facility licenses</w:t>
      </w:r>
      <w:r w:rsidRPr="00A32DE2" w:rsidR="00675F6F">
        <w:rPr>
          <w:sz w:val="22"/>
          <w:szCs w:val="22"/>
        </w:rPr>
        <w:t xml:space="preserve"> </w:t>
      </w:r>
      <w:r w:rsidR="007F7424">
        <w:rPr>
          <w:sz w:val="22"/>
          <w:szCs w:val="22"/>
        </w:rPr>
        <w:t>to</w:t>
      </w:r>
      <w:r w:rsidRPr="00A32DE2" w:rsidR="00A45C75">
        <w:rPr>
          <w:sz w:val="22"/>
          <w:szCs w:val="22"/>
        </w:rPr>
        <w:t xml:space="preserve"> </w:t>
      </w:r>
      <w:r w:rsidRPr="00851190" w:rsidR="00A45C75">
        <w:rPr>
          <w:sz w:val="22"/>
          <w:szCs w:val="22"/>
        </w:rPr>
        <w:t xml:space="preserve">file </w:t>
      </w:r>
      <w:r w:rsidRPr="00851190" w:rsidR="00D724C1">
        <w:rPr>
          <w:sz w:val="22"/>
          <w:szCs w:val="22"/>
        </w:rPr>
        <w:t xml:space="preserve">an </w:t>
      </w:r>
      <w:r w:rsidRPr="00851190" w:rsidR="00A45C75">
        <w:rPr>
          <w:sz w:val="22"/>
          <w:szCs w:val="22"/>
        </w:rPr>
        <w:t>FSAR</w:t>
      </w:r>
      <w:r w:rsidRPr="00851190" w:rsidR="00A45C75">
        <w:rPr>
          <w:sz w:val="22"/>
          <w:szCs w:val="22"/>
        </w:rPr>
        <w:t xml:space="preserve"> update </w:t>
      </w:r>
      <w:r w:rsidRPr="00851190" w:rsidR="00D724C1">
        <w:rPr>
          <w:sz w:val="22"/>
          <w:szCs w:val="22"/>
        </w:rPr>
        <w:t>no mo</w:t>
      </w:r>
      <w:r w:rsidR="007F7424">
        <w:rPr>
          <w:sz w:val="22"/>
          <w:szCs w:val="22"/>
        </w:rPr>
        <w:t>r</w:t>
      </w:r>
      <w:r w:rsidRPr="00851190" w:rsidR="00D724C1">
        <w:rPr>
          <w:sz w:val="22"/>
          <w:szCs w:val="22"/>
        </w:rPr>
        <w:t>e than</w:t>
      </w:r>
      <w:r w:rsidRPr="00851190" w:rsidR="00A45C75">
        <w:rPr>
          <w:sz w:val="22"/>
          <w:szCs w:val="22"/>
        </w:rPr>
        <w:t xml:space="preserve"> 5 years</w:t>
      </w:r>
      <w:r w:rsidRPr="00851190" w:rsidR="00D724C1">
        <w:rPr>
          <w:sz w:val="22"/>
          <w:szCs w:val="22"/>
        </w:rPr>
        <w:t xml:space="preserve"> from the date of the submittal of the updated </w:t>
      </w:r>
      <w:r w:rsidRPr="00851190" w:rsidR="00D724C1">
        <w:rPr>
          <w:sz w:val="22"/>
          <w:szCs w:val="22"/>
        </w:rPr>
        <w:t>FSAR</w:t>
      </w:r>
      <w:r w:rsidRPr="00851190" w:rsidR="00D724C1">
        <w:rPr>
          <w:sz w:val="22"/>
          <w:szCs w:val="22"/>
        </w:rPr>
        <w:t xml:space="preserve"> required by § 50.71(e)(3)(iv) or order, and </w:t>
      </w:r>
      <w:r w:rsidR="007F7424">
        <w:rPr>
          <w:sz w:val="22"/>
          <w:szCs w:val="22"/>
        </w:rPr>
        <w:t>to</w:t>
      </w:r>
      <w:r w:rsidRPr="00851190" w:rsidR="00D724C1">
        <w:rPr>
          <w:sz w:val="22"/>
          <w:szCs w:val="22"/>
        </w:rPr>
        <w:t xml:space="preserve"> file subsequent updates no more than 5</w:t>
      </w:r>
      <w:r w:rsidRPr="00851190">
        <w:rPr>
          <w:sz w:val="22"/>
          <w:szCs w:val="22"/>
        </w:rPr>
        <w:t> </w:t>
      </w:r>
      <w:r w:rsidRPr="00851190" w:rsidR="00D724C1">
        <w:rPr>
          <w:sz w:val="22"/>
          <w:szCs w:val="22"/>
        </w:rPr>
        <w:t>years from the date of the previous submittal</w:t>
      </w:r>
      <w:r w:rsidRPr="00851190" w:rsidR="00A45C75">
        <w:rPr>
          <w:sz w:val="22"/>
          <w:szCs w:val="22"/>
        </w:rPr>
        <w:t>.</w:t>
      </w:r>
      <w:r w:rsidRPr="00851190" w:rsidR="00B969CA">
        <w:rPr>
          <w:sz w:val="22"/>
          <w:szCs w:val="22"/>
        </w:rPr>
        <w:t xml:space="preserve"> </w:t>
      </w:r>
      <w:r w:rsidRPr="00851190" w:rsidR="00782B3D">
        <w:rPr>
          <w:sz w:val="22"/>
          <w:szCs w:val="22"/>
        </w:rPr>
        <w:t xml:space="preserve"> </w:t>
      </w:r>
      <w:r w:rsidRPr="00851190" w:rsidR="00A45C75">
        <w:rPr>
          <w:sz w:val="22"/>
          <w:szCs w:val="22"/>
        </w:rPr>
        <w:t xml:space="preserve">Each </w:t>
      </w:r>
      <w:r w:rsidRPr="00851190" w:rsidR="00D724C1">
        <w:rPr>
          <w:sz w:val="22"/>
          <w:szCs w:val="22"/>
        </w:rPr>
        <w:t xml:space="preserve">submittal </w:t>
      </w:r>
      <w:r w:rsidRPr="00851190" w:rsidR="00A45C75">
        <w:rPr>
          <w:sz w:val="22"/>
          <w:szCs w:val="22"/>
        </w:rPr>
        <w:t xml:space="preserve">must reflect all changes made to the </w:t>
      </w:r>
      <w:r w:rsidRPr="00851190" w:rsidR="00A45C75">
        <w:rPr>
          <w:sz w:val="22"/>
          <w:szCs w:val="22"/>
        </w:rPr>
        <w:t>FSAR</w:t>
      </w:r>
      <w:r w:rsidRPr="00851190" w:rsidR="00A45C75">
        <w:rPr>
          <w:sz w:val="22"/>
          <w:szCs w:val="22"/>
        </w:rPr>
        <w:t xml:space="preserve"> up to a maximum of 6</w:t>
      </w:r>
      <w:r w:rsidRPr="00851190">
        <w:rPr>
          <w:sz w:val="22"/>
          <w:szCs w:val="22"/>
        </w:rPr>
        <w:t> </w:t>
      </w:r>
      <w:r w:rsidRPr="00851190" w:rsidR="00A45C75">
        <w:rPr>
          <w:sz w:val="22"/>
          <w:szCs w:val="22"/>
        </w:rPr>
        <w:t>months prior t</w:t>
      </w:r>
      <w:r w:rsidRPr="00851190" w:rsidR="00062B62">
        <w:rPr>
          <w:sz w:val="22"/>
          <w:szCs w:val="22"/>
        </w:rPr>
        <w:t xml:space="preserve">o the date of filing the </w:t>
      </w:r>
      <w:r w:rsidRPr="00851190" w:rsidR="00D724C1">
        <w:rPr>
          <w:sz w:val="22"/>
          <w:szCs w:val="22"/>
        </w:rPr>
        <w:t>submittal</w:t>
      </w:r>
      <w:r w:rsidRPr="00851190" w:rsidR="00592BCF">
        <w:rPr>
          <w:sz w:val="22"/>
          <w:szCs w:val="22"/>
        </w:rPr>
        <w:t>.</w:t>
      </w:r>
      <w:r w:rsidRPr="00851190" w:rsidR="00A45C75">
        <w:rPr>
          <w:sz w:val="22"/>
          <w:szCs w:val="22"/>
        </w:rPr>
        <w:t xml:space="preserve"> </w:t>
      </w:r>
    </w:p>
    <w:p w:rsidR="007F7424" w:rsidP="009B6E8B" w14:paraId="5CD32956" w14:textId="77777777">
      <w:pPr>
        <w:keepNext/>
        <w:keepLines/>
        <w:rPr>
          <w:b/>
          <w:szCs w:val="22"/>
        </w:rPr>
      </w:pPr>
    </w:p>
    <w:p w:rsidR="00F85F12" w:rsidP="009B6E8B" w14:paraId="59451EB9" w14:textId="64EC6B09">
      <w:pPr>
        <w:keepNext/>
        <w:keepLines/>
        <w:rPr>
          <w:b/>
          <w:szCs w:val="22"/>
        </w:rPr>
      </w:pPr>
      <w:r>
        <w:rPr>
          <w:b/>
          <w:szCs w:val="22"/>
        </w:rPr>
        <w:t>Related Guidance</w:t>
      </w:r>
    </w:p>
    <w:p w:rsidR="00F85F12" w:rsidP="009B6E8B" w14:paraId="59451EBA" w14:textId="77777777">
      <w:pPr>
        <w:keepNext/>
        <w:keepLines/>
        <w:rPr>
          <w:b/>
          <w:szCs w:val="22"/>
        </w:rPr>
      </w:pPr>
    </w:p>
    <w:p w:rsidR="00806DF1" w:rsidRPr="00D77B2B" w:rsidP="001E20F8" w14:paraId="679707E9" w14:textId="37AD4F75">
      <w:pPr>
        <w:pStyle w:val="ListParagraph"/>
        <w:keepNext/>
        <w:numPr>
          <w:ilvl w:val="0"/>
          <w:numId w:val="11"/>
        </w:numPr>
        <w:rPr>
          <w:sz w:val="22"/>
          <w:szCs w:val="22"/>
        </w:rPr>
      </w:pPr>
      <w:r w:rsidRPr="00D77B2B">
        <w:rPr>
          <w:sz w:val="22"/>
          <w:szCs w:val="22"/>
        </w:rPr>
        <w:t xml:space="preserve">NUREG-1537, “Guidelines for Preparing and Reviewing Applications for the Licensing of </w:t>
      </w:r>
      <w:r w:rsidRPr="2CC066CE" w:rsidR="57F012AD">
        <w:rPr>
          <w:sz w:val="22"/>
          <w:szCs w:val="22"/>
        </w:rPr>
        <w:t>NonPower</w:t>
      </w:r>
      <w:r w:rsidRPr="00D77B2B">
        <w:rPr>
          <w:sz w:val="22"/>
          <w:szCs w:val="22"/>
        </w:rPr>
        <w:t xml:space="preserve"> Reactors</w:t>
      </w:r>
      <w:r w:rsidRPr="00D77B2B" w:rsidR="002D0563">
        <w:rPr>
          <w:sz w:val="22"/>
          <w:szCs w:val="22"/>
        </w:rPr>
        <w:t>:</w:t>
      </w:r>
      <w:r w:rsidRPr="00D77B2B" w:rsidR="00DF7F83">
        <w:rPr>
          <w:sz w:val="22"/>
          <w:szCs w:val="22"/>
        </w:rPr>
        <w:t xml:space="preserve"> </w:t>
      </w:r>
      <w:r w:rsidRPr="00D77B2B" w:rsidR="00DA2E77">
        <w:rPr>
          <w:sz w:val="22"/>
          <w:szCs w:val="22"/>
        </w:rPr>
        <w:t xml:space="preserve"> </w:t>
      </w:r>
      <w:r w:rsidRPr="00D77B2B" w:rsidR="00DF7F83">
        <w:rPr>
          <w:sz w:val="22"/>
          <w:szCs w:val="22"/>
        </w:rPr>
        <w:t>Format and Content</w:t>
      </w:r>
      <w:r w:rsidRPr="00D77B2B" w:rsidR="001A5CDF">
        <w:rPr>
          <w:sz w:val="22"/>
          <w:szCs w:val="22"/>
        </w:rPr>
        <w:t>,</w:t>
      </w:r>
      <w:r w:rsidRPr="00D77B2B">
        <w:rPr>
          <w:sz w:val="22"/>
          <w:szCs w:val="22"/>
        </w:rPr>
        <w:t>”</w:t>
      </w:r>
      <w:r w:rsidRPr="00D77B2B" w:rsidR="001A5CDF">
        <w:rPr>
          <w:sz w:val="22"/>
          <w:szCs w:val="22"/>
        </w:rPr>
        <w:t xml:space="preserve"> Part 1 </w:t>
      </w:r>
      <w:r w:rsidRPr="00D77B2B">
        <w:rPr>
          <w:sz w:val="22"/>
          <w:szCs w:val="22"/>
        </w:rPr>
        <w:t>(Ref.</w:t>
      </w:r>
      <w:r w:rsidRPr="00D77B2B" w:rsidR="001A5CDF">
        <w:rPr>
          <w:sz w:val="22"/>
          <w:szCs w:val="22"/>
        </w:rPr>
        <w:t> </w:t>
      </w:r>
      <w:r w:rsidRPr="00D77B2B" w:rsidR="00FD13ED">
        <w:rPr>
          <w:sz w:val="22"/>
          <w:szCs w:val="22"/>
        </w:rPr>
        <w:t>2</w:t>
      </w:r>
      <w:r w:rsidRPr="00D77B2B">
        <w:rPr>
          <w:sz w:val="22"/>
          <w:szCs w:val="22"/>
        </w:rPr>
        <w:t>)</w:t>
      </w:r>
      <w:r w:rsidRPr="00D77B2B" w:rsidR="003749D3">
        <w:rPr>
          <w:sz w:val="22"/>
          <w:szCs w:val="22"/>
        </w:rPr>
        <w:t>,</w:t>
      </w:r>
      <w:r w:rsidRPr="00D77B2B">
        <w:rPr>
          <w:sz w:val="22"/>
          <w:szCs w:val="22"/>
        </w:rPr>
        <w:t xml:space="preserve"> provides guidance for applicants preparing license applications for </w:t>
      </w:r>
      <w:r w:rsidRPr="00D77B2B" w:rsidR="00592BCF">
        <w:rPr>
          <w:sz w:val="22"/>
          <w:szCs w:val="22"/>
        </w:rPr>
        <w:t>NPUFs</w:t>
      </w:r>
      <w:r w:rsidRPr="00D77B2B">
        <w:rPr>
          <w:sz w:val="22"/>
          <w:szCs w:val="22"/>
        </w:rPr>
        <w:t>.</w:t>
      </w:r>
      <w:r w:rsidRPr="00D77B2B" w:rsidR="00B969CA">
        <w:rPr>
          <w:sz w:val="22"/>
          <w:szCs w:val="22"/>
        </w:rPr>
        <w:t xml:space="preserve"> </w:t>
      </w:r>
    </w:p>
    <w:p w:rsidR="00592BCF" w:rsidRPr="00D77B2B" w:rsidP="00AD56A2" w14:paraId="59451EBC" w14:textId="77777777">
      <w:pPr>
        <w:keepNext/>
      </w:pPr>
    </w:p>
    <w:p w:rsidR="00AD56A2" w:rsidP="00AD56A2" w14:paraId="59451EBD" w14:textId="77777777">
      <w:pPr>
        <w:keepNext/>
        <w:rPr>
          <w:b/>
          <w:bCs/>
        </w:rPr>
      </w:pPr>
      <w:bookmarkStart w:id="2" w:name="_Toc182970626"/>
      <w:r>
        <w:rPr>
          <w:b/>
          <w:bCs/>
        </w:rPr>
        <w:t xml:space="preserve">Purpose of Regulatory Guides </w:t>
      </w:r>
    </w:p>
    <w:p w:rsidR="00801488" w:rsidP="005457D2" w14:paraId="59451EBE" w14:textId="77777777">
      <w:pPr>
        <w:pStyle w:val="Footer"/>
        <w:keepNext/>
        <w:jc w:val="left"/>
      </w:pPr>
    </w:p>
    <w:p w:rsidR="00AD56A2" w:rsidP="001E20F8" w14:paraId="7079CEEE" w14:textId="4DAC3416">
      <w:pPr>
        <w:keepNext/>
        <w:ind w:firstLine="720"/>
      </w:pPr>
      <w:r w:rsidRPr="2CC066CE">
        <w:rPr>
          <w:szCs w:val="22"/>
        </w:rPr>
        <w:t>The NRC issues RGs to describe methods that are acceptable to the staff for implementing specific parts of the agency’s regulations, to explain techniques that the staff uses in evaluating specific issues or postulated events, and to describe information that the staff needs in its review of applications for permits and licenses. Regulatory guides are not NRC regulations and compliance with them is not required. Methods and solutions that differ from those set forth in RGs are acceptable if the applicant provides sufficient basis and information for the NRC staff to verify that the alternative methods comply with the applicable NRC regulations.</w:t>
      </w:r>
      <w:r>
        <w:t xml:space="preserve"> </w:t>
      </w:r>
    </w:p>
    <w:p w:rsidR="00AD56A2" w:rsidP="007346A9" w14:paraId="59451EC0" w14:textId="77777777">
      <w:pPr>
        <w:rPr>
          <w:b/>
          <w:bCs/>
        </w:rPr>
      </w:pPr>
    </w:p>
    <w:p w:rsidR="007346A9" w:rsidP="007346A9" w14:paraId="59451EC1" w14:textId="77777777">
      <w:pPr>
        <w:rPr>
          <w:b/>
          <w:bCs/>
        </w:rPr>
      </w:pPr>
      <w:r>
        <w:rPr>
          <w:b/>
          <w:bCs/>
        </w:rPr>
        <w:t xml:space="preserve">Paperwork Reduction Act </w:t>
      </w:r>
    </w:p>
    <w:p w:rsidR="007346A9" w:rsidP="007346A9" w14:paraId="59451EC2" w14:textId="77777777">
      <w:pPr>
        <w:rPr>
          <w:b/>
          <w:bCs/>
        </w:rPr>
      </w:pPr>
    </w:p>
    <w:p w:rsidR="00186044" w:rsidP="001E20F8" w14:paraId="47F1D736" w14:textId="312415E2">
      <w:pPr>
        <w:ind w:firstLine="720"/>
        <w:rPr>
          <w:szCs w:val="22"/>
        </w:rPr>
      </w:pPr>
      <w:r w:rsidRPr="2CC066CE">
        <w:rPr>
          <w:szCs w:val="22"/>
        </w:rPr>
        <w:t xml:space="preserve">This RG provides </w:t>
      </w:r>
      <w:r w:rsidRPr="2CC066CE" w:rsidR="006873A7">
        <w:rPr>
          <w:szCs w:val="22"/>
        </w:rPr>
        <w:t xml:space="preserve">voluntary </w:t>
      </w:r>
      <w:r w:rsidRPr="2CC066CE">
        <w:rPr>
          <w:szCs w:val="22"/>
        </w:rPr>
        <w:t xml:space="preserve">guidance for implementing the mandatory information collections in </w:t>
      </w:r>
      <w:r w:rsidRPr="2CC066CE" w:rsidR="00782B3D">
        <w:rPr>
          <w:szCs w:val="22"/>
        </w:rPr>
        <w:t>10</w:t>
      </w:r>
      <w:r w:rsidRPr="2CC066CE" w:rsidR="1FF0FE1E">
        <w:rPr>
          <w:szCs w:val="22"/>
        </w:rPr>
        <w:t xml:space="preserve"> </w:t>
      </w:r>
      <w:r w:rsidRPr="2CC066CE">
        <w:rPr>
          <w:szCs w:val="22"/>
        </w:rPr>
        <w:t>CFR</w:t>
      </w:r>
      <w:r w:rsidRPr="2CC066CE" w:rsidR="1FF0FE1E">
        <w:rPr>
          <w:szCs w:val="22"/>
        </w:rPr>
        <w:t xml:space="preserve"> </w:t>
      </w:r>
      <w:r w:rsidRPr="2CC066CE">
        <w:rPr>
          <w:szCs w:val="22"/>
        </w:rPr>
        <w:t>Part</w:t>
      </w:r>
      <w:r w:rsidRPr="2CC066CE" w:rsidR="1FF0FE1E">
        <w:rPr>
          <w:szCs w:val="22"/>
        </w:rPr>
        <w:t xml:space="preserve"> </w:t>
      </w:r>
      <w:r w:rsidRPr="2CC066CE">
        <w:rPr>
          <w:szCs w:val="22"/>
        </w:rPr>
        <w:t xml:space="preserve">50 that </w:t>
      </w:r>
      <w:r w:rsidRPr="2CC066CE" w:rsidR="000F3481">
        <w:rPr>
          <w:szCs w:val="22"/>
        </w:rPr>
        <w:t>are</w:t>
      </w:r>
      <w:r w:rsidRPr="2CC066CE">
        <w:rPr>
          <w:szCs w:val="22"/>
        </w:rPr>
        <w:t xml:space="preserve"> subject to the Paperwork Reduction Act of 1995 (44</w:t>
      </w:r>
      <w:r w:rsidRPr="2CC066CE" w:rsidR="1FF0FE1E">
        <w:rPr>
          <w:szCs w:val="22"/>
        </w:rPr>
        <w:t xml:space="preserve"> </w:t>
      </w:r>
      <w:r w:rsidRPr="2CC066CE">
        <w:rPr>
          <w:szCs w:val="22"/>
        </w:rPr>
        <w:t>U.S.C.</w:t>
      </w:r>
      <w:r w:rsidRPr="2CC066CE" w:rsidR="1FF0FE1E">
        <w:rPr>
          <w:szCs w:val="22"/>
        </w:rPr>
        <w:t xml:space="preserve"> </w:t>
      </w:r>
      <w:r w:rsidRPr="2CC066CE">
        <w:rPr>
          <w:szCs w:val="22"/>
        </w:rPr>
        <w:t>3501 et</w:t>
      </w:r>
      <w:r w:rsidRPr="2CC066CE" w:rsidR="1FF0FE1E">
        <w:rPr>
          <w:szCs w:val="22"/>
        </w:rPr>
        <w:t>.</w:t>
      </w:r>
      <w:r w:rsidRPr="2CC066CE">
        <w:rPr>
          <w:szCs w:val="22"/>
        </w:rPr>
        <w:t xml:space="preserve"> seq.).</w:t>
      </w:r>
      <w:r w:rsidRPr="2CC066CE" w:rsidR="00782B3D">
        <w:rPr>
          <w:szCs w:val="22"/>
        </w:rPr>
        <w:t xml:space="preserve"> </w:t>
      </w:r>
      <w:r w:rsidRPr="2CC066CE">
        <w:rPr>
          <w:szCs w:val="22"/>
        </w:rPr>
        <w:t>These information collections were approved by the Office of Management and Budget (OMB), under control</w:t>
      </w:r>
      <w:r w:rsidRPr="2CC066CE" w:rsidR="00782B3D">
        <w:rPr>
          <w:szCs w:val="22"/>
        </w:rPr>
        <w:t xml:space="preserve"> </w:t>
      </w:r>
      <w:r w:rsidRPr="2CC066CE">
        <w:rPr>
          <w:szCs w:val="22"/>
        </w:rPr>
        <w:t xml:space="preserve">number 3150-0011. </w:t>
      </w:r>
      <w:r w:rsidRPr="2CC066CE" w:rsidR="1FF0FE1E">
        <w:rPr>
          <w:szCs w:val="22"/>
        </w:rPr>
        <w:t>Send comments regarding this information collection to the FOIA, Library, and Information Collections Branch, Office of the Chief Information Officer, Mail Stop: T6-A10M, U.S. Nuclear Regulatory Commission, Washington, DC 20555‑0001, or to the OMB reviewer at: OMB Office of Information and Regulatory Affairs,</w:t>
      </w:r>
      <w:r w:rsidRPr="2CC066CE" w:rsidR="5FD942AC">
        <w:rPr>
          <w:szCs w:val="22"/>
        </w:rPr>
        <w:t xml:space="preserve"> </w:t>
      </w:r>
      <w:r w:rsidRPr="2CC066CE" w:rsidR="092B2C4F">
        <w:rPr>
          <w:szCs w:val="22"/>
        </w:rPr>
        <w:t>(</w:t>
      </w:r>
      <w:r w:rsidRPr="2CC066CE" w:rsidR="5FD942AC">
        <w:rPr>
          <w:szCs w:val="22"/>
        </w:rPr>
        <w:t>3150-0011</w:t>
      </w:r>
      <w:r w:rsidRPr="2CC066CE" w:rsidR="3DF339B3">
        <w:rPr>
          <w:szCs w:val="22"/>
        </w:rPr>
        <w:t>),</w:t>
      </w:r>
      <w:r w:rsidRPr="2CC066CE" w:rsidR="5FD942AC">
        <w:rPr>
          <w:szCs w:val="22"/>
        </w:rPr>
        <w:t xml:space="preserve"> </w:t>
      </w:r>
      <w:r w:rsidRPr="2CC066CE" w:rsidR="1FF0FE1E">
        <w:rPr>
          <w:szCs w:val="22"/>
        </w:rPr>
        <w:t>Attn: Desk Officer for the Nuclear Regulatory Commission, 725 17</w:t>
      </w:r>
      <w:r w:rsidRPr="2CC066CE" w:rsidR="1FF0FE1E">
        <w:rPr>
          <w:szCs w:val="22"/>
          <w:vertAlign w:val="superscript"/>
        </w:rPr>
        <w:t>th</w:t>
      </w:r>
      <w:r w:rsidRPr="2CC066CE" w:rsidR="1FF0FE1E">
        <w:rPr>
          <w:szCs w:val="22"/>
        </w:rPr>
        <w:t xml:space="preserve"> Street, NW, Washington, DC, 20503. </w:t>
      </w:r>
    </w:p>
    <w:p w:rsidR="00F82509" w:rsidP="00186044" w14:paraId="59451EC4" w14:textId="72B0E68E">
      <w:pPr>
        <w:pStyle w:val="FootnoteText"/>
        <w:ind w:left="0" w:firstLine="720"/>
        <w:rPr>
          <w:b/>
          <w:bCs/>
        </w:rPr>
      </w:pPr>
    </w:p>
    <w:p w:rsidR="007346A9" w:rsidP="007346A9" w14:paraId="59451EC5" w14:textId="77777777">
      <w:pPr>
        <w:rPr>
          <w:b/>
          <w:bCs/>
        </w:rPr>
      </w:pPr>
      <w:r>
        <w:rPr>
          <w:b/>
          <w:bCs/>
        </w:rPr>
        <w:t>Public Protection Notification</w:t>
      </w:r>
    </w:p>
    <w:p w:rsidR="007346A9" w:rsidP="007346A9" w14:paraId="59451EC6" w14:textId="77777777"/>
    <w:p w:rsidR="0035283B" w:rsidP="00123050" w14:paraId="59451EC7" w14:textId="77777777">
      <w:pPr>
        <w:ind w:firstLine="720"/>
      </w:pPr>
      <w:r>
        <w:t xml:space="preserve">The NRC may not conduct or sponsor, and a person is not required to respond to, a </w:t>
      </w:r>
      <w:r w:rsidR="00B90BCB">
        <w:t>collection of</w:t>
      </w:r>
      <w:r>
        <w:t xml:space="preserve"> information unless the </w:t>
      </w:r>
      <w:r w:rsidR="00B90BCB">
        <w:t xml:space="preserve">document </w:t>
      </w:r>
      <w:r>
        <w:t xml:space="preserve">requesting </w:t>
      </w:r>
      <w:r w:rsidR="00B90BCB">
        <w:t xml:space="preserve">or requiring the collection </w:t>
      </w:r>
      <w:r>
        <w:t>displays a currently valid OMB control number.</w:t>
      </w:r>
    </w:p>
    <w:p w:rsidR="0035283B" w14:paraId="59451EC8" w14:textId="77777777">
      <w:r>
        <w:br w:type="page"/>
      </w:r>
    </w:p>
    <w:p w:rsidR="00405E23" w:rsidRPr="009B126C" w:rsidP="009B126C" w14:paraId="59451EC9" w14:textId="77777777">
      <w:pPr>
        <w:pStyle w:val="Heading1"/>
        <w:numPr>
          <w:ilvl w:val="0"/>
          <w:numId w:val="0"/>
        </w:numPr>
        <w:jc w:val="center"/>
        <w:rPr>
          <w:sz w:val="28"/>
          <w:szCs w:val="28"/>
        </w:rPr>
      </w:pPr>
      <w:bookmarkStart w:id="3" w:name="_Toc383167274"/>
      <w:r w:rsidRPr="009B126C">
        <w:rPr>
          <w:sz w:val="28"/>
          <w:szCs w:val="28"/>
        </w:rPr>
        <w:t>B.  DISCUSSION</w:t>
      </w:r>
      <w:bookmarkEnd w:id="2"/>
      <w:bookmarkEnd w:id="3"/>
    </w:p>
    <w:p w:rsidR="00D94443" w:rsidP="001E20F8" w14:paraId="59451ECA" w14:textId="77777777">
      <w:pPr>
        <w:pStyle w:val="Heading2"/>
        <w:keepNext w:val="0"/>
        <w:numPr>
          <w:ilvl w:val="0"/>
          <w:numId w:val="0"/>
        </w:numPr>
        <w:rPr>
          <w:u w:val="none"/>
        </w:rPr>
      </w:pPr>
      <w:bookmarkStart w:id="4" w:name="_Toc383167275"/>
      <w:r>
        <w:rPr>
          <w:u w:val="none"/>
        </w:rPr>
        <w:t>Reason for Issuance</w:t>
      </w:r>
    </w:p>
    <w:p w:rsidR="00D94443" w:rsidRPr="00D92343" w:rsidP="0070616B" w14:paraId="59451ECB" w14:textId="0E74AD0A">
      <w:pPr>
        <w:ind w:firstLine="720"/>
      </w:pPr>
      <w:r w:rsidRPr="004A0977">
        <w:t xml:space="preserve">This </w:t>
      </w:r>
      <w:r w:rsidR="00027F74">
        <w:t xml:space="preserve">new </w:t>
      </w:r>
      <w:r w:rsidR="006B5BF0">
        <w:t xml:space="preserve">RG </w:t>
      </w:r>
      <w:r w:rsidR="00027F74">
        <w:t xml:space="preserve">(Revision 0) </w:t>
      </w:r>
      <w:r w:rsidRPr="004A0977">
        <w:t xml:space="preserve">provides implementing guidance for </w:t>
      </w:r>
      <w:r w:rsidR="0091238F">
        <w:t xml:space="preserve">NPUF licensees to prepare and submit updated </w:t>
      </w:r>
      <w:r w:rsidR="0091238F">
        <w:t>FSARs</w:t>
      </w:r>
      <w:r w:rsidR="0091238F">
        <w:t xml:space="preserve"> and subsequent </w:t>
      </w:r>
      <w:r w:rsidR="0091238F">
        <w:t>FSAR</w:t>
      </w:r>
      <w:r w:rsidR="0091238F">
        <w:t xml:space="preserve"> updates to </w:t>
      </w:r>
      <w:r w:rsidR="006B5BF0">
        <w:t>meet</w:t>
      </w:r>
      <w:r w:rsidR="009D693D">
        <w:t xml:space="preserve"> </w:t>
      </w:r>
      <w:r w:rsidR="0091238F">
        <w:t>the applicable requirements of paragraph (e) of</w:t>
      </w:r>
      <w:r w:rsidR="001A349F">
        <w:t xml:space="preserve"> </w:t>
      </w:r>
      <w:r w:rsidR="006B5BF0">
        <w:t>10 CFR </w:t>
      </w:r>
      <w:r w:rsidR="0091238F">
        <w:t>50.71, “Maintenance of records, making of reports.”</w:t>
      </w:r>
      <w:r w:rsidR="003469E9">
        <w:t xml:space="preserve">  </w:t>
      </w:r>
      <w:r w:rsidR="00CA3D88">
        <w:t xml:space="preserve">In </w:t>
      </w:r>
      <w:r w:rsidRPr="00DE4DD4" w:rsidR="00CA3D88">
        <w:rPr>
          <w:highlight w:val="yellow"/>
        </w:rPr>
        <w:t>20</w:t>
      </w:r>
      <w:r w:rsidRPr="00DE4DD4" w:rsidR="00852AED">
        <w:rPr>
          <w:highlight w:val="yellow"/>
        </w:rPr>
        <w:t>XX</w:t>
      </w:r>
      <w:r w:rsidRPr="00DE0BCD" w:rsidR="00CA3D88">
        <w:t>,</w:t>
      </w:r>
      <w:r w:rsidR="00CA3D88">
        <w:t xml:space="preserve"> the NRC amended </w:t>
      </w:r>
      <w:r w:rsidR="0031577B">
        <w:t>10 CFR </w:t>
      </w:r>
      <w:r w:rsidR="00956F9E">
        <w:t xml:space="preserve">50.71(e) </w:t>
      </w:r>
      <w:r w:rsidR="00CA3D88">
        <w:t xml:space="preserve">to </w:t>
      </w:r>
      <w:r w:rsidR="000909A1">
        <w:t xml:space="preserve">require </w:t>
      </w:r>
      <w:r w:rsidR="00CA3D88">
        <w:t xml:space="preserve">NPUF </w:t>
      </w:r>
      <w:r w:rsidR="000909A1">
        <w:t xml:space="preserve">licensees to prepare and submit </w:t>
      </w:r>
      <w:r w:rsidR="008A0376">
        <w:t xml:space="preserve">to the NRC </w:t>
      </w:r>
      <w:r w:rsidR="000909A1">
        <w:t xml:space="preserve">an updated </w:t>
      </w:r>
      <w:r w:rsidR="000909A1">
        <w:t>FSAR</w:t>
      </w:r>
      <w:r w:rsidR="000909A1">
        <w:t xml:space="preserve"> </w:t>
      </w:r>
      <w:r w:rsidR="008A0376">
        <w:t xml:space="preserve">and subsequent </w:t>
      </w:r>
      <w:r w:rsidR="008A0376">
        <w:t>FSAR</w:t>
      </w:r>
      <w:r w:rsidR="008A0376">
        <w:t xml:space="preserve"> updates at intervals not to exceed </w:t>
      </w:r>
      <w:r w:rsidR="0031577B">
        <w:t>5 </w:t>
      </w:r>
      <w:r w:rsidR="008A0376">
        <w:t xml:space="preserve">years.  </w:t>
      </w:r>
      <w:r w:rsidR="0031577B">
        <w:t>Before</w:t>
      </w:r>
      <w:r w:rsidR="00027F74">
        <w:t xml:space="preserve"> </w:t>
      </w:r>
      <w:r w:rsidRPr="001E20F8" w:rsidR="00027F74">
        <w:rPr>
          <w:highlight w:val="yellow"/>
        </w:rPr>
        <w:t>2019</w:t>
      </w:r>
      <w:r w:rsidRPr="00851190" w:rsidR="00027F74">
        <w:t>,</w:t>
      </w:r>
      <w:r w:rsidR="00027F74">
        <w:t xml:space="preserve"> NPUF licensees were required to </w:t>
      </w:r>
      <w:r w:rsidR="00CA3D88">
        <w:t xml:space="preserve">submit </w:t>
      </w:r>
      <w:r w:rsidR="00027F74">
        <w:t>update</w:t>
      </w:r>
      <w:r w:rsidR="00CA3D88">
        <w:t>d</w:t>
      </w:r>
      <w:r w:rsidR="00027F74">
        <w:t xml:space="preserve"> </w:t>
      </w:r>
      <w:r w:rsidR="00027F74">
        <w:t>FSARs</w:t>
      </w:r>
      <w:r w:rsidR="00027F74">
        <w:t xml:space="preserve"> only as part of the license renewal process</w:t>
      </w:r>
      <w:r w:rsidR="00956F9E">
        <w:t xml:space="preserve">. </w:t>
      </w:r>
      <w:r w:rsidR="00027F74">
        <w:t xml:space="preserve"> </w:t>
      </w:r>
      <w:r w:rsidR="006779EB">
        <w:t>The scope of and reasons</w:t>
      </w:r>
      <w:r w:rsidR="0091238F">
        <w:t xml:space="preserve"> </w:t>
      </w:r>
      <w:r w:rsidR="006779EB">
        <w:t xml:space="preserve">for </w:t>
      </w:r>
      <w:r w:rsidR="006779EB">
        <w:t>FSAR</w:t>
      </w:r>
      <w:r w:rsidR="006779EB">
        <w:t xml:space="preserve"> </w:t>
      </w:r>
      <w:r w:rsidR="0031577B">
        <w:t xml:space="preserve">changes </w:t>
      </w:r>
      <w:r w:rsidR="006779EB">
        <w:t xml:space="preserve">that need to be submitted to the NRC under </w:t>
      </w:r>
      <w:r w:rsidR="0031577B">
        <w:t>10 CFR </w:t>
      </w:r>
      <w:r w:rsidR="006779EB">
        <w:t xml:space="preserve">50.71(e) are substantially different </w:t>
      </w:r>
      <w:r w:rsidR="00332E78">
        <w:t>from</w:t>
      </w:r>
      <w:r w:rsidR="006779EB">
        <w:t xml:space="preserve"> those related to license renewal</w:t>
      </w:r>
      <w:r w:rsidR="0031577B">
        <w:t>; therefore</w:t>
      </w:r>
      <w:r w:rsidR="006779EB">
        <w:t>,</w:t>
      </w:r>
      <w:r w:rsidR="00332E78">
        <w:t xml:space="preserve"> </w:t>
      </w:r>
      <w:r w:rsidR="006779EB">
        <w:t>issuance of specific guidance in this RG is warranted to assist licensees with compliance.</w:t>
      </w:r>
    </w:p>
    <w:p w:rsidR="00D94443" w:rsidRPr="00D94443" w:rsidP="00AF2C95" w14:paraId="59451ECC" w14:textId="77777777"/>
    <w:p w:rsidR="00405E23" w:rsidRPr="009B126C" w:rsidP="001E20F8" w14:paraId="59451ECD" w14:textId="77777777">
      <w:pPr>
        <w:pStyle w:val="Heading2"/>
        <w:keepNext w:val="0"/>
        <w:numPr>
          <w:ilvl w:val="0"/>
          <w:numId w:val="0"/>
        </w:numPr>
        <w:rPr>
          <w:u w:val="none"/>
        </w:rPr>
      </w:pPr>
      <w:r w:rsidRPr="009B126C">
        <w:rPr>
          <w:u w:val="none"/>
        </w:rPr>
        <w:t>Background</w:t>
      </w:r>
      <w:bookmarkEnd w:id="4"/>
      <w:r w:rsidRPr="009B126C">
        <w:rPr>
          <w:u w:val="none"/>
        </w:rPr>
        <w:t xml:space="preserve"> </w:t>
      </w:r>
    </w:p>
    <w:p w:rsidR="009D1745" w:rsidP="00B17132" w14:paraId="59451ECE" w14:textId="1BF08EA1">
      <w:pPr>
        <w:spacing w:after="200"/>
        <w:ind w:firstLine="720"/>
        <w:rPr>
          <w:rFonts w:eastAsia="Calibri"/>
        </w:rPr>
      </w:pPr>
      <w:r w:rsidRPr="2CC066CE">
        <w:rPr>
          <w:rFonts w:eastAsia="Calibri"/>
        </w:rPr>
        <w:t>Under 10 CFR </w:t>
      </w:r>
      <w:r w:rsidRPr="2CC066CE" w:rsidR="007E2521">
        <w:rPr>
          <w:rFonts w:eastAsia="Calibri"/>
        </w:rPr>
        <w:t>50.34</w:t>
      </w:r>
      <w:r w:rsidRPr="2CC066CE">
        <w:rPr>
          <w:rFonts w:eastAsia="Calibri"/>
        </w:rPr>
        <w:t xml:space="preserve">(b), the NRC </w:t>
      </w:r>
      <w:r w:rsidRPr="2CC066CE" w:rsidR="007E2521">
        <w:rPr>
          <w:rFonts w:eastAsia="Calibri"/>
        </w:rPr>
        <w:t xml:space="preserve">requires that “Each application for an operating license shall include a </w:t>
      </w:r>
      <w:r w:rsidRPr="2CC066CE" w:rsidR="002865A1">
        <w:rPr>
          <w:rFonts w:eastAsia="Calibri"/>
        </w:rPr>
        <w:t>final safety analysis report</w:t>
      </w:r>
      <w:r w:rsidRPr="2CC066CE" w:rsidR="007E2521">
        <w:rPr>
          <w:rFonts w:eastAsia="Calibri"/>
        </w:rPr>
        <w:t xml:space="preserve">. </w:t>
      </w:r>
      <w:r w:rsidRPr="2CC066CE" w:rsidR="00624CFD">
        <w:rPr>
          <w:rFonts w:eastAsia="Calibri"/>
        </w:rPr>
        <w:t xml:space="preserve"> </w:t>
      </w:r>
      <w:r w:rsidRPr="2CC066CE" w:rsidR="007E2521">
        <w:rPr>
          <w:rFonts w:eastAsia="Calibri"/>
        </w:rPr>
        <w:t xml:space="preserve">The </w:t>
      </w:r>
      <w:r w:rsidRPr="2CC066CE" w:rsidR="002865A1">
        <w:rPr>
          <w:rFonts w:eastAsia="Calibri"/>
        </w:rPr>
        <w:t xml:space="preserve">final safety analysis report </w:t>
      </w:r>
      <w:r w:rsidRPr="2CC066CE" w:rsidR="007E2521">
        <w:rPr>
          <w:rFonts w:eastAsia="Calibri"/>
        </w:rPr>
        <w:t xml:space="preserve">shall include information that describes the facility, presents the design bases and the limits on its operation, and presents a safety analysis of the structures, systems, and components </w:t>
      </w:r>
      <w:r w:rsidRPr="2CC066CE" w:rsidR="002D6695">
        <w:rPr>
          <w:rFonts w:eastAsia="Calibri"/>
        </w:rPr>
        <w:t>[</w:t>
      </w:r>
      <w:r w:rsidRPr="2CC066CE" w:rsidR="003E411B">
        <w:rPr>
          <w:rFonts w:eastAsia="Calibri"/>
        </w:rPr>
        <w:t>SSCs</w:t>
      </w:r>
      <w:r w:rsidRPr="2CC066CE" w:rsidR="002D6695">
        <w:rPr>
          <w:rFonts w:eastAsia="Calibri"/>
        </w:rPr>
        <w:t>]</w:t>
      </w:r>
      <w:r w:rsidRPr="2CC066CE" w:rsidR="003E411B">
        <w:rPr>
          <w:rFonts w:eastAsia="Calibri"/>
        </w:rPr>
        <w:t xml:space="preserve"> </w:t>
      </w:r>
      <w:r w:rsidRPr="2CC066CE" w:rsidR="007E2521">
        <w:rPr>
          <w:rFonts w:eastAsia="Calibri"/>
        </w:rPr>
        <w:t xml:space="preserve">and of the </w:t>
      </w:r>
      <w:r w:rsidRPr="2CC066CE" w:rsidR="007E2521">
        <w:rPr>
          <w:rFonts w:eastAsia="Calibri"/>
        </w:rPr>
        <w:t>facility as a whole</w:t>
      </w:r>
      <w:r w:rsidRPr="2CC066CE" w:rsidR="007E2521">
        <w:rPr>
          <w:rFonts w:eastAsia="Calibri"/>
        </w:rPr>
        <w:t xml:space="preserve">.”  </w:t>
      </w:r>
      <w:r w:rsidRPr="2CC066CE" w:rsidR="0090560E">
        <w:rPr>
          <w:rFonts w:eastAsia="Calibri"/>
        </w:rPr>
        <w:t>For this reason</w:t>
      </w:r>
      <w:r w:rsidRPr="2CC066CE" w:rsidR="007E2521">
        <w:rPr>
          <w:rFonts w:eastAsia="Calibri"/>
        </w:rPr>
        <w:t xml:space="preserve">, the </w:t>
      </w:r>
      <w:r w:rsidRPr="2CC066CE" w:rsidR="007E2521">
        <w:rPr>
          <w:rFonts w:eastAsia="Calibri"/>
        </w:rPr>
        <w:t>FSAR</w:t>
      </w:r>
      <w:r w:rsidRPr="2CC066CE" w:rsidR="007E2521">
        <w:rPr>
          <w:rFonts w:eastAsia="Calibri"/>
        </w:rPr>
        <w:t xml:space="preserve"> serves as a definitive record of the licensing basis for the </w:t>
      </w:r>
      <w:r w:rsidRPr="2CC066CE">
        <w:rPr>
          <w:rFonts w:eastAsia="Calibri"/>
        </w:rPr>
        <w:t>NPUF</w:t>
      </w:r>
      <w:r w:rsidRPr="2CC066CE" w:rsidR="007E2521">
        <w:rPr>
          <w:rFonts w:eastAsia="Calibri"/>
        </w:rPr>
        <w:t xml:space="preserve"> and is a</w:t>
      </w:r>
      <w:r w:rsidRPr="2CC066CE" w:rsidR="009B69D9">
        <w:rPr>
          <w:rFonts w:eastAsia="Calibri"/>
        </w:rPr>
        <w:t>n</w:t>
      </w:r>
      <w:r w:rsidRPr="2CC066CE" w:rsidR="007E2521">
        <w:rPr>
          <w:rFonts w:eastAsia="Calibri"/>
        </w:rPr>
        <w:t xml:space="preserve"> </w:t>
      </w:r>
      <w:r w:rsidRPr="2CC066CE" w:rsidR="009B69D9">
        <w:rPr>
          <w:rFonts w:eastAsia="Calibri"/>
        </w:rPr>
        <w:t>important</w:t>
      </w:r>
      <w:r w:rsidRPr="2CC066CE" w:rsidR="007E2521">
        <w:rPr>
          <w:rFonts w:eastAsia="Calibri"/>
        </w:rPr>
        <w:t xml:space="preserve"> resource for the </w:t>
      </w:r>
      <w:r w:rsidRPr="2CC066CE" w:rsidR="00D4461F">
        <w:rPr>
          <w:rFonts w:eastAsia="Calibri"/>
        </w:rPr>
        <w:t xml:space="preserve">safety of the </w:t>
      </w:r>
      <w:r w:rsidRPr="2CC066CE" w:rsidR="007E2521">
        <w:rPr>
          <w:rFonts w:eastAsia="Calibri"/>
        </w:rPr>
        <w:t xml:space="preserve">licensee’s operational programs and the </w:t>
      </w:r>
      <w:r w:rsidRPr="2CC066CE" w:rsidR="005F0E27">
        <w:rPr>
          <w:rFonts w:eastAsia="Calibri"/>
        </w:rPr>
        <w:t xml:space="preserve">effectiveness of the </w:t>
      </w:r>
      <w:r w:rsidRPr="2CC066CE" w:rsidR="007E2521">
        <w:rPr>
          <w:rFonts w:eastAsia="Calibri"/>
        </w:rPr>
        <w:t xml:space="preserve">NRC’s oversight activities.  Over time, the </w:t>
      </w:r>
      <w:r w:rsidRPr="2CC066CE">
        <w:rPr>
          <w:rFonts w:eastAsia="Calibri"/>
        </w:rPr>
        <w:t>NPUF</w:t>
      </w:r>
      <w:r w:rsidRPr="2CC066CE" w:rsidR="007E2521">
        <w:rPr>
          <w:rFonts w:eastAsia="Calibri"/>
        </w:rPr>
        <w:t xml:space="preserve">’s licensing basis and related information in the </w:t>
      </w:r>
      <w:r w:rsidRPr="2CC066CE" w:rsidR="007E2521">
        <w:rPr>
          <w:rFonts w:eastAsia="Calibri"/>
        </w:rPr>
        <w:t>FSAR</w:t>
      </w:r>
      <w:r w:rsidRPr="2CC066CE">
        <w:rPr>
          <w:rFonts w:eastAsia="Calibri"/>
        </w:rPr>
        <w:t xml:space="preserve"> (and supporting references)</w:t>
      </w:r>
      <w:r w:rsidRPr="2CC066CE" w:rsidR="007E2521">
        <w:rPr>
          <w:rFonts w:eastAsia="Calibri"/>
        </w:rPr>
        <w:t xml:space="preserve"> can change </w:t>
      </w:r>
      <w:r w:rsidRPr="2CC066CE" w:rsidR="009E2317">
        <w:rPr>
          <w:rFonts w:eastAsia="Calibri"/>
        </w:rPr>
        <w:t>as a result of</w:t>
      </w:r>
      <w:r w:rsidRPr="2CC066CE" w:rsidR="007E2521">
        <w:rPr>
          <w:rFonts w:eastAsia="Calibri"/>
        </w:rPr>
        <w:t xml:space="preserve"> facility modifications,</w:t>
      </w:r>
      <w:r w:rsidRPr="2CC066CE" w:rsidR="00806DF1">
        <w:rPr>
          <w:rFonts w:eastAsia="Calibri"/>
        </w:rPr>
        <w:t xml:space="preserve"> changes to facility operations or procedures,</w:t>
      </w:r>
      <w:r w:rsidRPr="2CC066CE" w:rsidR="007E2521">
        <w:rPr>
          <w:rFonts w:eastAsia="Calibri"/>
        </w:rPr>
        <w:t xml:space="preserve"> license amendments, new regulatory requirements, and other</w:t>
      </w:r>
      <w:r w:rsidRPr="2CC066CE" w:rsidR="009B69D9">
        <w:rPr>
          <w:rFonts w:eastAsia="Calibri"/>
        </w:rPr>
        <w:t xml:space="preserve"> requirements of the Commission</w:t>
      </w:r>
      <w:r w:rsidRPr="2CC066CE" w:rsidR="007E2521">
        <w:rPr>
          <w:rFonts w:eastAsia="Calibri"/>
        </w:rPr>
        <w:t xml:space="preserve">.  </w:t>
      </w:r>
      <w:r w:rsidRPr="2CC066CE">
        <w:rPr>
          <w:rFonts w:eastAsia="Calibri"/>
        </w:rPr>
        <w:t>These changes can be, and historically have been, driven by shifts in the NPUF’s research mission, fuel conversions, modernization of safety systems, facility performance enhancements, and major maintenance activities.  Over many years of operation, cumulative changes to an NPUF can significantly alter its licensing basis or as-built design</w:t>
      </w:r>
      <w:r w:rsidRPr="2CC066CE" w:rsidR="0090560E">
        <w:rPr>
          <w:rFonts w:eastAsia="Calibri"/>
        </w:rPr>
        <w:t>, or both</w:t>
      </w:r>
      <w:r w:rsidRPr="2CC066CE">
        <w:rPr>
          <w:rFonts w:eastAsia="Calibri"/>
        </w:rPr>
        <w:t xml:space="preserve">.  </w:t>
      </w:r>
      <w:r w:rsidRPr="2CC066CE" w:rsidR="00D4461F">
        <w:rPr>
          <w:rFonts w:eastAsia="Calibri"/>
        </w:rPr>
        <w:t xml:space="preserve">Without routine updating, the </w:t>
      </w:r>
      <w:r w:rsidRPr="2CC066CE" w:rsidR="00D4461F">
        <w:rPr>
          <w:rFonts w:eastAsia="Calibri"/>
        </w:rPr>
        <w:t>FSAR</w:t>
      </w:r>
      <w:r w:rsidRPr="2CC066CE" w:rsidR="00D4461F">
        <w:rPr>
          <w:rFonts w:eastAsia="Calibri"/>
        </w:rPr>
        <w:t xml:space="preserve"> </w:t>
      </w:r>
      <w:r w:rsidRPr="2CC066CE" w:rsidR="00460D20">
        <w:rPr>
          <w:rFonts w:eastAsia="Calibri"/>
        </w:rPr>
        <w:t>could lose its value as a resource of information on the</w:t>
      </w:r>
      <w:r w:rsidRPr="2CC066CE" w:rsidR="00D4461F">
        <w:rPr>
          <w:rFonts w:eastAsia="Calibri"/>
        </w:rPr>
        <w:t xml:space="preserve"> safety of the NPUF and potentially have adverse effects on the safety of the licensee’s programs and effectiveness of NRC oversight.</w:t>
      </w:r>
    </w:p>
    <w:p w:rsidR="001530CF" w:rsidP="00B17132" w14:paraId="59451ECF" w14:textId="77777777">
      <w:pPr>
        <w:spacing w:after="200"/>
        <w:ind w:firstLine="720"/>
        <w:rPr>
          <w:rFonts w:eastAsia="Calibri"/>
        </w:rPr>
      </w:pPr>
      <w:r w:rsidRPr="2CC066CE">
        <w:rPr>
          <w:rFonts w:eastAsia="Calibri"/>
        </w:rPr>
        <w:t>D</w:t>
      </w:r>
      <w:r w:rsidRPr="2CC066CE" w:rsidR="009D1745">
        <w:rPr>
          <w:rFonts w:eastAsia="Calibri"/>
        </w:rPr>
        <w:t xml:space="preserve">uring its reviews of license renewal applications for more than </w:t>
      </w:r>
      <w:r w:rsidRPr="2CC066CE" w:rsidR="0090560E">
        <w:rPr>
          <w:rFonts w:eastAsia="Calibri"/>
        </w:rPr>
        <w:t xml:space="preserve">20 </w:t>
      </w:r>
      <w:r w:rsidRPr="2CC066CE" w:rsidR="009D1745">
        <w:rPr>
          <w:rFonts w:eastAsia="Calibri"/>
        </w:rPr>
        <w:t>NPUFs during the period 2006</w:t>
      </w:r>
      <w:r w:rsidRPr="2CC066CE" w:rsidR="0090560E">
        <w:rPr>
          <w:rFonts w:eastAsia="Calibri"/>
        </w:rPr>
        <w:t>–</w:t>
      </w:r>
      <w:r w:rsidRPr="2CC066CE" w:rsidR="009D1745">
        <w:rPr>
          <w:rFonts w:eastAsia="Calibri"/>
        </w:rPr>
        <w:t>2017</w:t>
      </w:r>
      <w:r w:rsidRPr="2CC066CE">
        <w:rPr>
          <w:rFonts w:eastAsia="Calibri"/>
        </w:rPr>
        <w:t xml:space="preserve">, the NRC observed that some licensees did not </w:t>
      </w:r>
      <w:r w:rsidRPr="2CC066CE" w:rsidR="009D693D">
        <w:rPr>
          <w:rFonts w:eastAsia="Calibri"/>
        </w:rPr>
        <w:t xml:space="preserve">adequately </w:t>
      </w:r>
      <w:r w:rsidRPr="2CC066CE">
        <w:rPr>
          <w:rFonts w:eastAsia="Calibri"/>
        </w:rPr>
        <w:t xml:space="preserve">update their </w:t>
      </w:r>
      <w:r w:rsidRPr="2CC066CE">
        <w:rPr>
          <w:rFonts w:eastAsia="Calibri"/>
        </w:rPr>
        <w:t>FSARs</w:t>
      </w:r>
      <w:r w:rsidRPr="2CC066CE">
        <w:rPr>
          <w:rFonts w:eastAsia="Calibri"/>
        </w:rPr>
        <w:t xml:space="preserve"> or properly maintain the supporting references</w:t>
      </w:r>
      <w:r w:rsidRPr="2CC066CE" w:rsidR="009D1745">
        <w:rPr>
          <w:rFonts w:eastAsia="Calibri"/>
        </w:rPr>
        <w:t xml:space="preserve">.  </w:t>
      </w:r>
      <w:r w:rsidRPr="2CC066CE">
        <w:rPr>
          <w:rFonts w:eastAsia="Calibri"/>
        </w:rPr>
        <w:t xml:space="preserve">This often led to </w:t>
      </w:r>
      <w:r w:rsidRPr="2CC066CE" w:rsidR="002F6A20">
        <w:rPr>
          <w:rFonts w:eastAsia="Calibri"/>
        </w:rPr>
        <w:t>delays in the</w:t>
      </w:r>
      <w:r w:rsidRPr="2CC066CE">
        <w:rPr>
          <w:rFonts w:eastAsia="Calibri"/>
        </w:rPr>
        <w:t xml:space="preserve"> license renewal reviews </w:t>
      </w:r>
      <w:r w:rsidRPr="2CC066CE" w:rsidR="009D693D">
        <w:rPr>
          <w:rFonts w:eastAsia="Calibri"/>
        </w:rPr>
        <w:t xml:space="preserve">and </w:t>
      </w:r>
      <w:r w:rsidRPr="2CC066CE">
        <w:rPr>
          <w:rFonts w:eastAsia="Calibri"/>
        </w:rPr>
        <w:t xml:space="preserve">significant resource expenditures by both licensees and the NRC.  </w:t>
      </w:r>
      <w:r w:rsidRPr="2CC066CE" w:rsidR="002F6A20">
        <w:rPr>
          <w:rFonts w:eastAsia="Calibri"/>
        </w:rPr>
        <w:t xml:space="preserve">To avoid </w:t>
      </w:r>
      <w:r w:rsidRPr="2CC066CE" w:rsidR="0090560E">
        <w:rPr>
          <w:rFonts w:eastAsia="Calibri"/>
        </w:rPr>
        <w:t xml:space="preserve">the </w:t>
      </w:r>
      <w:r w:rsidRPr="2CC066CE" w:rsidR="002F6A20">
        <w:rPr>
          <w:rFonts w:eastAsia="Calibri"/>
        </w:rPr>
        <w:t>recurrence</w:t>
      </w:r>
      <w:r w:rsidRPr="2CC066CE" w:rsidR="00A41375">
        <w:rPr>
          <w:rFonts w:eastAsia="Calibri"/>
        </w:rPr>
        <w:t xml:space="preserve"> of these issues</w:t>
      </w:r>
      <w:r w:rsidRPr="2CC066CE" w:rsidR="00B73E75">
        <w:rPr>
          <w:rFonts w:eastAsia="Calibri"/>
        </w:rPr>
        <w:t xml:space="preserve"> for NPUF licensees that will undergo license renewal in the future and to maintain the accuracy and, consequently, the effectiveness of the </w:t>
      </w:r>
      <w:r w:rsidRPr="2CC066CE" w:rsidR="00B73E75">
        <w:rPr>
          <w:rFonts w:eastAsia="Calibri"/>
        </w:rPr>
        <w:t>FSAR</w:t>
      </w:r>
      <w:r w:rsidRPr="2CC066CE" w:rsidR="00B73E75">
        <w:rPr>
          <w:rFonts w:eastAsia="Calibri"/>
        </w:rPr>
        <w:t xml:space="preserve"> for all NPUFs</w:t>
      </w:r>
      <w:r w:rsidRPr="2CC066CE" w:rsidR="002F6A20">
        <w:rPr>
          <w:rFonts w:eastAsia="Calibri"/>
        </w:rPr>
        <w:t xml:space="preserve">, the NRC established requirements in </w:t>
      </w:r>
      <w:r w:rsidRPr="2CC066CE" w:rsidR="0090560E">
        <w:rPr>
          <w:rFonts w:eastAsia="Calibri"/>
        </w:rPr>
        <w:t>10 CFR </w:t>
      </w:r>
      <w:r w:rsidRPr="2CC066CE" w:rsidR="002F6A20">
        <w:rPr>
          <w:rFonts w:eastAsia="Calibri"/>
        </w:rPr>
        <w:t xml:space="preserve">50.71(e) for NPUF licensees to submit </w:t>
      </w:r>
      <w:r w:rsidRPr="2CC066CE" w:rsidR="00FE0A40">
        <w:rPr>
          <w:rFonts w:eastAsia="Calibri"/>
        </w:rPr>
        <w:t xml:space="preserve">to the NRC </w:t>
      </w:r>
      <w:r w:rsidRPr="2CC066CE" w:rsidR="002F6A20">
        <w:rPr>
          <w:rFonts w:eastAsia="Calibri"/>
        </w:rPr>
        <w:t xml:space="preserve">an updated </w:t>
      </w:r>
      <w:r w:rsidRPr="2CC066CE" w:rsidR="002F6A20">
        <w:rPr>
          <w:rFonts w:eastAsia="Calibri"/>
        </w:rPr>
        <w:t>FSAR</w:t>
      </w:r>
      <w:r w:rsidRPr="2CC066CE" w:rsidR="002F6A20">
        <w:rPr>
          <w:rFonts w:eastAsia="Calibri"/>
        </w:rPr>
        <w:t xml:space="preserve"> and subsequent </w:t>
      </w:r>
      <w:r w:rsidRPr="2CC066CE" w:rsidR="002F6A20">
        <w:rPr>
          <w:rFonts w:eastAsia="Calibri"/>
        </w:rPr>
        <w:t>FSAR</w:t>
      </w:r>
      <w:r w:rsidRPr="2CC066CE" w:rsidR="002F6A20">
        <w:rPr>
          <w:rFonts w:eastAsia="Calibri"/>
        </w:rPr>
        <w:t xml:space="preserve"> updates at intervals not to exceed </w:t>
      </w:r>
      <w:r w:rsidRPr="2CC066CE" w:rsidR="0090560E">
        <w:rPr>
          <w:rFonts w:eastAsia="Calibri"/>
        </w:rPr>
        <w:t>5 </w:t>
      </w:r>
      <w:r w:rsidRPr="2CC066CE" w:rsidR="002F6A20">
        <w:rPr>
          <w:rFonts w:eastAsia="Calibri"/>
        </w:rPr>
        <w:t xml:space="preserve">years.  In addition, the NRC modified </w:t>
      </w:r>
      <w:r w:rsidRPr="2CC066CE" w:rsidR="0090560E">
        <w:rPr>
          <w:rFonts w:eastAsia="Calibri"/>
        </w:rPr>
        <w:t>10 CFR </w:t>
      </w:r>
      <w:r w:rsidRPr="2CC066CE" w:rsidR="002F6A20">
        <w:rPr>
          <w:rFonts w:eastAsia="Calibri"/>
        </w:rPr>
        <w:t>50.51</w:t>
      </w:r>
      <w:r w:rsidRPr="2CC066CE" w:rsidR="007A6D77">
        <w:rPr>
          <w:rFonts w:eastAsia="Calibri"/>
        </w:rPr>
        <w:t>, “Continuation of license,”</w:t>
      </w:r>
      <w:r w:rsidRPr="2CC066CE" w:rsidR="002F6A20">
        <w:rPr>
          <w:rFonts w:eastAsia="Calibri"/>
        </w:rPr>
        <w:t xml:space="preserve"> </w:t>
      </w:r>
      <w:r w:rsidRPr="2CC066CE" w:rsidR="007A6D77">
        <w:rPr>
          <w:rFonts w:eastAsia="Calibri"/>
        </w:rPr>
        <w:t>to eliminate the 40</w:t>
      </w:r>
      <w:r w:rsidR="0090560E">
        <w:rPr>
          <w:rFonts w:eastAsia="Calibri"/>
          <w:szCs w:val="22"/>
        </w:rPr>
        <w:noBreakHyphen/>
      </w:r>
      <w:r w:rsidRPr="2CC066CE" w:rsidR="007A6D77">
        <w:rPr>
          <w:rFonts w:eastAsia="Calibri"/>
        </w:rPr>
        <w:t xml:space="preserve">year maximum license term </w:t>
      </w:r>
      <w:r w:rsidRPr="2CC066CE" w:rsidR="002F6A20">
        <w:rPr>
          <w:rFonts w:eastAsia="Calibri"/>
        </w:rPr>
        <w:t>for NPUFs</w:t>
      </w:r>
      <w:r w:rsidRPr="2CC066CE" w:rsidR="00612ADC">
        <w:rPr>
          <w:rFonts w:eastAsia="Calibri"/>
        </w:rPr>
        <w:t>, other than testing facilities,</w:t>
      </w:r>
      <w:r w:rsidRPr="2CC066CE" w:rsidR="002F6A20">
        <w:rPr>
          <w:rFonts w:eastAsia="Calibri"/>
        </w:rPr>
        <w:t xml:space="preserve"> licensed under </w:t>
      </w:r>
      <w:r w:rsidRPr="2CC066CE" w:rsidR="0090560E">
        <w:rPr>
          <w:rFonts w:eastAsia="Calibri"/>
        </w:rPr>
        <w:t>10 CFR </w:t>
      </w:r>
      <w:r w:rsidRPr="2CC066CE" w:rsidR="002F6A20">
        <w:rPr>
          <w:rFonts w:eastAsia="Calibri"/>
        </w:rPr>
        <w:t>50.21(a)</w:t>
      </w:r>
      <w:r w:rsidRPr="2CC066CE" w:rsidR="00612ADC">
        <w:rPr>
          <w:rFonts w:eastAsia="Calibri"/>
        </w:rPr>
        <w:t xml:space="preserve"> or</w:t>
      </w:r>
      <w:r w:rsidRPr="2CC066CE" w:rsidR="002F6A20">
        <w:rPr>
          <w:rFonts w:eastAsia="Calibri"/>
        </w:rPr>
        <w:t xml:space="preserve"> </w:t>
      </w:r>
      <w:r w:rsidRPr="2CC066CE" w:rsidR="0090560E">
        <w:rPr>
          <w:rFonts w:eastAsia="Calibri"/>
        </w:rPr>
        <w:t>10 CFR </w:t>
      </w:r>
      <w:r w:rsidRPr="2CC066CE" w:rsidR="002F6A20">
        <w:rPr>
          <w:rFonts w:eastAsia="Calibri"/>
        </w:rPr>
        <w:t>50.21(c)</w:t>
      </w:r>
      <w:r w:rsidRPr="2CC066CE" w:rsidR="007A6D77">
        <w:rPr>
          <w:rFonts w:eastAsia="Calibri"/>
        </w:rPr>
        <w:t>.</w:t>
      </w:r>
      <w:r w:rsidRPr="2CC066CE" w:rsidR="009D1745">
        <w:rPr>
          <w:rFonts w:eastAsia="Calibri"/>
        </w:rPr>
        <w:t xml:space="preserve"> </w:t>
      </w:r>
      <w:r w:rsidRPr="2CC066CE" w:rsidR="007A6D77">
        <w:rPr>
          <w:rFonts w:eastAsia="Calibri"/>
        </w:rPr>
        <w:t xml:space="preserve"> Routine </w:t>
      </w:r>
      <w:r w:rsidRPr="2CC066CE" w:rsidR="007A6D77">
        <w:rPr>
          <w:rFonts w:eastAsia="Calibri"/>
        </w:rPr>
        <w:t>FSAR</w:t>
      </w:r>
      <w:r w:rsidRPr="2CC066CE" w:rsidR="007A6D77">
        <w:rPr>
          <w:rFonts w:eastAsia="Calibri"/>
        </w:rPr>
        <w:t xml:space="preserve"> updates required by </w:t>
      </w:r>
      <w:r w:rsidRPr="2CC066CE" w:rsidR="00F313DC">
        <w:rPr>
          <w:rFonts w:eastAsia="Calibri"/>
        </w:rPr>
        <w:t>10 CFR </w:t>
      </w:r>
      <w:r w:rsidRPr="2CC066CE" w:rsidR="007A6D77">
        <w:rPr>
          <w:rFonts w:eastAsia="Calibri"/>
        </w:rPr>
        <w:t xml:space="preserve">50.71(e) were a major component of the </w:t>
      </w:r>
      <w:r w:rsidRPr="2CC066CE" w:rsidR="005F0E27">
        <w:rPr>
          <w:rFonts w:eastAsia="Calibri"/>
        </w:rPr>
        <w:t xml:space="preserve">technical </w:t>
      </w:r>
      <w:r w:rsidRPr="2CC066CE" w:rsidR="007A6D77">
        <w:rPr>
          <w:rFonts w:eastAsia="Calibri"/>
        </w:rPr>
        <w:t xml:space="preserve">basis for this </w:t>
      </w:r>
      <w:r w:rsidRPr="2CC066CE" w:rsidR="005F0E27">
        <w:rPr>
          <w:rFonts w:eastAsia="Calibri"/>
        </w:rPr>
        <w:t>rule change</w:t>
      </w:r>
      <w:r w:rsidRPr="2CC066CE" w:rsidR="009D693D">
        <w:rPr>
          <w:rFonts w:eastAsia="Calibri"/>
        </w:rPr>
        <w:t xml:space="preserve"> because they will supplant and improve on the </w:t>
      </w:r>
      <w:r w:rsidRPr="2CC066CE" w:rsidR="009D693D">
        <w:rPr>
          <w:rFonts w:eastAsia="Calibri"/>
        </w:rPr>
        <w:t>FSAR</w:t>
      </w:r>
      <w:r w:rsidRPr="2CC066CE" w:rsidR="009D693D">
        <w:rPr>
          <w:rFonts w:eastAsia="Calibri"/>
        </w:rPr>
        <w:t xml:space="preserve"> updates required by the license renewal process</w:t>
      </w:r>
      <w:r w:rsidRPr="2CC066CE" w:rsidR="007A6D77">
        <w:rPr>
          <w:rFonts w:eastAsia="Calibri"/>
        </w:rPr>
        <w:t>.</w:t>
      </w:r>
    </w:p>
    <w:p w:rsidR="002F78E1" w:rsidP="00100231" w14:paraId="1D0F048B" w14:textId="77777777">
      <w:pPr>
        <w:spacing w:after="200"/>
        <w:rPr>
          <w:rFonts w:eastAsia="Calibri"/>
        </w:rPr>
      </w:pPr>
      <w:r w:rsidRPr="2CC066CE">
        <w:rPr>
          <w:rFonts w:eastAsia="Calibri"/>
        </w:rPr>
        <w:t xml:space="preserve">In </w:t>
      </w:r>
      <w:r w:rsidRPr="2CC066CE" w:rsidR="000504D3">
        <w:rPr>
          <w:rFonts w:eastAsia="Calibri"/>
        </w:rPr>
        <w:t xml:space="preserve">the </w:t>
      </w:r>
      <w:r w:rsidRPr="2CC066CE">
        <w:rPr>
          <w:rFonts w:eastAsia="Calibri"/>
        </w:rPr>
        <w:t>1980 final rule</w:t>
      </w:r>
      <w:r w:rsidRPr="2CC066CE" w:rsidR="00864C2D">
        <w:rPr>
          <w:rFonts w:eastAsia="Calibri"/>
        </w:rPr>
        <w:t>,</w:t>
      </w:r>
      <w:r w:rsidRPr="2CC066CE">
        <w:rPr>
          <w:rFonts w:eastAsia="Calibri"/>
        </w:rPr>
        <w:t xml:space="preserve"> “Periodic Updating of Final Safety Analysis Reports” (Ref. 3), t</w:t>
      </w:r>
      <w:r w:rsidRPr="2CC066CE" w:rsidR="004B00A2">
        <w:rPr>
          <w:rFonts w:eastAsia="Calibri"/>
        </w:rPr>
        <w:t xml:space="preserve">he NRC established similar requirements for updating the </w:t>
      </w:r>
      <w:r w:rsidRPr="2CC066CE" w:rsidR="004B00A2">
        <w:rPr>
          <w:rFonts w:eastAsia="Calibri"/>
        </w:rPr>
        <w:t>FSAR</w:t>
      </w:r>
      <w:r w:rsidRPr="2CC066CE" w:rsidR="004B00A2">
        <w:rPr>
          <w:rFonts w:eastAsia="Calibri"/>
        </w:rPr>
        <w:t xml:space="preserve"> of a nuclear power plant.  A</w:t>
      </w:r>
      <w:r w:rsidRPr="2CC066CE" w:rsidR="00B844DE">
        <w:rPr>
          <w:rFonts w:eastAsia="Calibri"/>
        </w:rPr>
        <w:t xml:space="preserve">lthough </w:t>
      </w:r>
      <w:bookmarkStart w:id="5" w:name="_Hlk535251486"/>
      <w:r w:rsidRPr="2CC066CE" w:rsidR="00B844DE">
        <w:rPr>
          <w:rFonts w:eastAsia="Calibri"/>
        </w:rPr>
        <w:t>RG</w:t>
      </w:r>
      <w:r w:rsidRPr="2CC066CE" w:rsidR="00864C2D">
        <w:rPr>
          <w:rFonts w:eastAsia="Calibri"/>
        </w:rPr>
        <w:t> </w:t>
      </w:r>
      <w:r w:rsidRPr="2CC066CE" w:rsidR="00B844DE">
        <w:rPr>
          <w:rFonts w:eastAsia="Calibri"/>
        </w:rPr>
        <w:t>1.181, “Content of the Updated Final Safety Analysis Report in Accordance with 10</w:t>
      </w:r>
      <w:r w:rsidRPr="2CC066CE" w:rsidR="005425BC">
        <w:rPr>
          <w:rFonts w:eastAsia="Calibri"/>
        </w:rPr>
        <w:t> </w:t>
      </w:r>
      <w:r w:rsidRPr="2CC066CE" w:rsidR="00B844DE">
        <w:rPr>
          <w:rFonts w:eastAsia="Calibri"/>
        </w:rPr>
        <w:t>CFR</w:t>
      </w:r>
      <w:r w:rsidRPr="2CC066CE" w:rsidR="005425BC">
        <w:rPr>
          <w:rFonts w:eastAsia="Calibri"/>
        </w:rPr>
        <w:t> </w:t>
      </w:r>
      <w:r w:rsidRPr="2CC066CE" w:rsidR="00B844DE">
        <w:rPr>
          <w:rFonts w:eastAsia="Calibri"/>
        </w:rPr>
        <w:t xml:space="preserve">50.71(e),” </w:t>
      </w:r>
      <w:r w:rsidRPr="2CC066CE" w:rsidR="00836C5B">
        <w:rPr>
          <w:rFonts w:eastAsia="Calibri"/>
        </w:rPr>
        <w:t>(Ref. 4)</w:t>
      </w:r>
      <w:bookmarkEnd w:id="5"/>
      <w:r w:rsidRPr="2CC066CE" w:rsidR="00B844DE">
        <w:rPr>
          <w:rFonts w:eastAsia="Calibri"/>
        </w:rPr>
        <w:t xml:space="preserve">, and the Nuclear Energy Institute </w:t>
      </w:r>
      <w:r w:rsidRPr="2CC066CE" w:rsidR="00F42C8D">
        <w:rPr>
          <w:rFonts w:eastAsia="Calibri"/>
        </w:rPr>
        <w:t>(</w:t>
      </w:r>
      <w:r w:rsidRPr="2CC066CE" w:rsidR="00B844DE">
        <w:rPr>
          <w:rFonts w:eastAsia="Calibri"/>
        </w:rPr>
        <w:t>NEI</w:t>
      </w:r>
      <w:r w:rsidRPr="2CC066CE" w:rsidR="00F42C8D">
        <w:rPr>
          <w:rFonts w:eastAsia="Calibri"/>
        </w:rPr>
        <w:t>) </w:t>
      </w:r>
      <w:r w:rsidRPr="2CC066CE" w:rsidR="00B844DE">
        <w:rPr>
          <w:rFonts w:eastAsia="Calibri"/>
        </w:rPr>
        <w:t>98</w:t>
      </w:r>
      <w:r w:rsidR="00F42C8D">
        <w:rPr>
          <w:rFonts w:eastAsia="Calibri"/>
          <w:szCs w:val="22"/>
        </w:rPr>
        <w:noBreakHyphen/>
      </w:r>
      <w:r w:rsidRPr="2CC066CE" w:rsidR="00B844DE">
        <w:rPr>
          <w:rFonts w:eastAsia="Calibri"/>
        </w:rPr>
        <w:t xml:space="preserve">03, “Guidelines for Updating Final Safety Analysis Reports,” </w:t>
      </w:r>
      <w:r w:rsidRPr="2CC066CE" w:rsidR="00864C2D">
        <w:rPr>
          <w:rFonts w:eastAsia="Calibri"/>
        </w:rPr>
        <w:t>Revision 1</w:t>
      </w:r>
      <w:r w:rsidRPr="2CC066CE" w:rsidR="00AF1691">
        <w:rPr>
          <w:rFonts w:eastAsia="Calibri"/>
        </w:rPr>
        <w:t xml:space="preserve"> </w:t>
      </w:r>
      <w:r w:rsidRPr="2CC066CE" w:rsidR="00836C5B">
        <w:rPr>
          <w:rFonts w:eastAsia="Calibri"/>
        </w:rPr>
        <w:t>(Ref.</w:t>
      </w:r>
      <w:r w:rsidRPr="2CC066CE" w:rsidR="00864C2D">
        <w:rPr>
          <w:rFonts w:eastAsia="Calibri"/>
        </w:rPr>
        <w:t> </w:t>
      </w:r>
      <w:r w:rsidRPr="2CC066CE" w:rsidR="00836C5B">
        <w:rPr>
          <w:rFonts w:eastAsia="Calibri"/>
        </w:rPr>
        <w:t>5)</w:t>
      </w:r>
      <w:r w:rsidRPr="2CC066CE" w:rsidR="00864C2D">
        <w:rPr>
          <w:rFonts w:eastAsia="Calibri"/>
        </w:rPr>
        <w:t>, do not directly apply to NPU</w:t>
      </w:r>
      <w:r w:rsidRPr="2CC066CE" w:rsidR="00E92F49">
        <w:rPr>
          <w:rFonts w:eastAsia="Calibri"/>
        </w:rPr>
        <w:t>F</w:t>
      </w:r>
      <w:r w:rsidRPr="2CC066CE" w:rsidR="00864C2D">
        <w:rPr>
          <w:rFonts w:eastAsia="Calibri"/>
        </w:rPr>
        <w:t xml:space="preserve">s, </w:t>
      </w:r>
      <w:r w:rsidRPr="2CC066CE" w:rsidR="00B844DE">
        <w:rPr>
          <w:rFonts w:eastAsia="Calibri"/>
        </w:rPr>
        <w:t>NPUF licensees</w:t>
      </w:r>
      <w:r w:rsidRPr="2CC066CE" w:rsidR="00864C2D">
        <w:rPr>
          <w:rFonts w:eastAsia="Calibri"/>
        </w:rPr>
        <w:t xml:space="preserve"> may gain additional insights from them</w:t>
      </w:r>
      <w:r w:rsidRPr="2CC066CE" w:rsidR="00B844DE">
        <w:rPr>
          <w:rFonts w:eastAsia="Calibri"/>
        </w:rPr>
        <w:t xml:space="preserve"> on updating their </w:t>
      </w:r>
      <w:r w:rsidRPr="2CC066CE" w:rsidR="00B844DE">
        <w:rPr>
          <w:rFonts w:eastAsia="Calibri"/>
        </w:rPr>
        <w:t>FSARs</w:t>
      </w:r>
      <w:r w:rsidRPr="2CC066CE" w:rsidR="00B844DE">
        <w:rPr>
          <w:rFonts w:eastAsia="Calibri"/>
        </w:rPr>
        <w:t>.</w:t>
      </w:r>
    </w:p>
    <w:p w:rsidR="00100231" w:rsidRPr="00100231" w:rsidP="00100231" w14:paraId="59451ED1" w14:textId="29B843D5">
      <w:pPr>
        <w:spacing w:after="200"/>
        <w:rPr>
          <w:rFonts w:eastAsia="Calibri"/>
          <w:b/>
        </w:rPr>
      </w:pPr>
      <w:r w:rsidRPr="2CC066CE">
        <w:rPr>
          <w:rFonts w:eastAsia="Calibri"/>
          <w:b/>
        </w:rPr>
        <w:t xml:space="preserve">Role of the </w:t>
      </w:r>
      <w:r w:rsidRPr="2CC066CE" w:rsidR="005425BC">
        <w:rPr>
          <w:rFonts w:eastAsia="Calibri"/>
          <w:b/>
        </w:rPr>
        <w:t>U</w:t>
      </w:r>
      <w:r w:rsidRPr="2CC066CE" w:rsidR="00CF207C">
        <w:rPr>
          <w:rFonts w:eastAsia="Calibri"/>
          <w:b/>
        </w:rPr>
        <w:t xml:space="preserve">pdated </w:t>
      </w:r>
      <w:r w:rsidRPr="2CC066CE">
        <w:rPr>
          <w:rFonts w:eastAsia="Calibri"/>
          <w:b/>
        </w:rPr>
        <w:t>FSAR</w:t>
      </w:r>
      <w:r w:rsidRPr="2CC066CE">
        <w:rPr>
          <w:rFonts w:eastAsia="Calibri"/>
          <w:b/>
        </w:rPr>
        <w:t xml:space="preserve"> </w:t>
      </w:r>
      <w:r w:rsidRPr="2CC066CE" w:rsidR="00891892">
        <w:rPr>
          <w:rFonts w:eastAsia="Calibri"/>
          <w:b/>
        </w:rPr>
        <w:t xml:space="preserve">and </w:t>
      </w:r>
      <w:r w:rsidRPr="2CC066CE" w:rsidR="005425BC">
        <w:rPr>
          <w:rFonts w:eastAsia="Calibri"/>
          <w:b/>
        </w:rPr>
        <w:t>S</w:t>
      </w:r>
      <w:r w:rsidRPr="2CC066CE" w:rsidR="00891892">
        <w:rPr>
          <w:rFonts w:eastAsia="Calibri"/>
          <w:b/>
        </w:rPr>
        <w:t xml:space="preserve">ubsequent </w:t>
      </w:r>
      <w:r w:rsidRPr="2CC066CE" w:rsidR="00891892">
        <w:rPr>
          <w:rFonts w:eastAsia="Calibri"/>
          <w:b/>
        </w:rPr>
        <w:t>FSAR</w:t>
      </w:r>
      <w:r w:rsidRPr="2CC066CE" w:rsidR="00891892">
        <w:rPr>
          <w:rFonts w:eastAsia="Calibri"/>
          <w:b/>
        </w:rPr>
        <w:t xml:space="preserve"> </w:t>
      </w:r>
      <w:r w:rsidRPr="2CC066CE" w:rsidR="00AF1691">
        <w:rPr>
          <w:rFonts w:eastAsia="Calibri"/>
          <w:b/>
        </w:rPr>
        <w:t>U</w:t>
      </w:r>
      <w:r w:rsidRPr="2CC066CE" w:rsidR="00891892">
        <w:rPr>
          <w:rFonts w:eastAsia="Calibri"/>
          <w:b/>
        </w:rPr>
        <w:t>pdates</w:t>
      </w:r>
    </w:p>
    <w:p w:rsidR="004B00A2" w:rsidP="00B17132" w14:paraId="59451ED2" w14:textId="55645764">
      <w:pPr>
        <w:spacing w:after="200"/>
        <w:ind w:firstLine="720"/>
        <w:rPr>
          <w:rFonts w:eastAsia="Calibri"/>
        </w:rPr>
      </w:pPr>
      <w:r w:rsidRPr="2CC066CE">
        <w:rPr>
          <w:rFonts w:eastAsia="Calibri"/>
        </w:rPr>
        <w:t xml:space="preserve">The </w:t>
      </w:r>
      <w:r w:rsidRPr="2CC066CE" w:rsidR="001530CF">
        <w:rPr>
          <w:rFonts w:eastAsia="Calibri"/>
        </w:rPr>
        <w:t xml:space="preserve">primary purpose of preparing the </w:t>
      </w:r>
      <w:r w:rsidRPr="2CC066CE">
        <w:rPr>
          <w:rFonts w:eastAsia="Calibri"/>
        </w:rPr>
        <w:t xml:space="preserve">updated </w:t>
      </w:r>
      <w:r w:rsidRPr="2CC066CE">
        <w:rPr>
          <w:rFonts w:eastAsia="Calibri"/>
        </w:rPr>
        <w:t>FSAR</w:t>
      </w:r>
      <w:r w:rsidRPr="2CC066CE">
        <w:rPr>
          <w:rFonts w:eastAsia="Calibri"/>
        </w:rPr>
        <w:t xml:space="preserve"> and subsequent </w:t>
      </w:r>
      <w:r w:rsidRPr="2CC066CE">
        <w:rPr>
          <w:rFonts w:eastAsia="Calibri"/>
        </w:rPr>
        <w:t>FSAR</w:t>
      </w:r>
      <w:r w:rsidRPr="2CC066CE">
        <w:rPr>
          <w:rFonts w:eastAsia="Calibri"/>
        </w:rPr>
        <w:t xml:space="preserve"> updates is to ensure that the </w:t>
      </w:r>
      <w:r w:rsidRPr="2CC066CE">
        <w:rPr>
          <w:rFonts w:eastAsia="Calibri"/>
        </w:rPr>
        <w:t>FSAR</w:t>
      </w:r>
      <w:r w:rsidRPr="2CC066CE">
        <w:rPr>
          <w:rFonts w:eastAsia="Calibri"/>
        </w:rPr>
        <w:t xml:space="preserve"> </w:t>
      </w:r>
      <w:r w:rsidRPr="2CC066CE" w:rsidR="001530CF">
        <w:rPr>
          <w:rFonts w:eastAsia="Calibri"/>
        </w:rPr>
        <w:t xml:space="preserve">contains a description </w:t>
      </w:r>
      <w:r w:rsidRPr="2CC066CE" w:rsidR="00254208">
        <w:rPr>
          <w:rFonts w:eastAsia="Calibri"/>
        </w:rPr>
        <w:t xml:space="preserve">and analysis </w:t>
      </w:r>
      <w:r w:rsidRPr="2CC066CE" w:rsidR="001530CF">
        <w:rPr>
          <w:rFonts w:eastAsia="Calibri"/>
        </w:rPr>
        <w:t xml:space="preserve">of the </w:t>
      </w:r>
      <w:r w:rsidRPr="2CC066CE" w:rsidR="00254208">
        <w:rPr>
          <w:rFonts w:eastAsia="Calibri"/>
        </w:rPr>
        <w:t xml:space="preserve">NPUF that reflect the current licensing basis.  </w:t>
      </w:r>
      <w:r w:rsidRPr="2CC066CE" w:rsidR="00AB1C5D">
        <w:rPr>
          <w:rFonts w:eastAsia="Calibri"/>
        </w:rPr>
        <w:t>Under 10 CFR </w:t>
      </w:r>
      <w:r w:rsidRPr="2CC066CE" w:rsidR="00254208">
        <w:rPr>
          <w:rFonts w:eastAsia="Calibri"/>
        </w:rPr>
        <w:t xml:space="preserve">50.71(e), </w:t>
      </w:r>
      <w:r w:rsidRPr="2CC066CE" w:rsidR="00AB1C5D">
        <w:rPr>
          <w:rFonts w:eastAsia="Calibri"/>
        </w:rPr>
        <w:t xml:space="preserve">the NRC requires </w:t>
      </w:r>
      <w:r w:rsidRPr="2CC066CE" w:rsidR="00254208">
        <w:rPr>
          <w:rFonts w:eastAsia="Calibri"/>
        </w:rPr>
        <w:t xml:space="preserve">the licensee </w:t>
      </w:r>
      <w:r w:rsidRPr="2CC066CE" w:rsidR="00AB1C5D">
        <w:rPr>
          <w:rFonts w:eastAsia="Calibri"/>
        </w:rPr>
        <w:t xml:space="preserve">to </w:t>
      </w:r>
      <w:r w:rsidRPr="2CC066CE" w:rsidR="00254208">
        <w:rPr>
          <w:rFonts w:eastAsia="Calibri"/>
        </w:rPr>
        <w:t>submit</w:t>
      </w:r>
      <w:r w:rsidRPr="2CC066CE" w:rsidR="00AB1C5D">
        <w:rPr>
          <w:rFonts w:eastAsia="Calibri"/>
        </w:rPr>
        <w:t xml:space="preserve"> </w:t>
      </w:r>
      <w:r w:rsidRPr="2CC066CE" w:rsidR="009B69D9">
        <w:rPr>
          <w:rFonts w:eastAsia="Calibri"/>
        </w:rPr>
        <w:t>an</w:t>
      </w:r>
      <w:r w:rsidRPr="2CC066CE" w:rsidR="00254208">
        <w:rPr>
          <w:rFonts w:eastAsia="Calibri"/>
        </w:rPr>
        <w:t xml:space="preserve"> updated </w:t>
      </w:r>
      <w:r w:rsidRPr="2CC066CE" w:rsidR="00254208">
        <w:rPr>
          <w:rFonts w:eastAsia="Calibri"/>
        </w:rPr>
        <w:t>FSAR</w:t>
      </w:r>
      <w:r w:rsidRPr="2CC066CE" w:rsidR="00254208">
        <w:rPr>
          <w:rFonts w:eastAsia="Calibri"/>
        </w:rPr>
        <w:t xml:space="preserve"> </w:t>
      </w:r>
      <w:r w:rsidRPr="2CC066CE" w:rsidR="009B69D9">
        <w:rPr>
          <w:rFonts w:eastAsia="Calibri"/>
        </w:rPr>
        <w:t>and</w:t>
      </w:r>
      <w:r w:rsidRPr="2CC066CE" w:rsidR="00254208">
        <w:rPr>
          <w:rFonts w:eastAsia="Calibri"/>
        </w:rPr>
        <w:t xml:space="preserve"> subsequent </w:t>
      </w:r>
      <w:r w:rsidRPr="2CC066CE" w:rsidR="00254208">
        <w:rPr>
          <w:rFonts w:eastAsia="Calibri"/>
        </w:rPr>
        <w:t>FSAR</w:t>
      </w:r>
      <w:r w:rsidRPr="2CC066CE" w:rsidR="00254208">
        <w:rPr>
          <w:rFonts w:eastAsia="Calibri"/>
        </w:rPr>
        <w:t xml:space="preserve"> updates at </w:t>
      </w:r>
      <w:r w:rsidRPr="2CC066CE" w:rsidR="009B69D9">
        <w:rPr>
          <w:rFonts w:eastAsia="Calibri"/>
        </w:rPr>
        <w:t>intervals not to exceed</w:t>
      </w:r>
      <w:r w:rsidRPr="2CC066CE" w:rsidR="00254208">
        <w:rPr>
          <w:rFonts w:eastAsia="Calibri"/>
        </w:rPr>
        <w:t xml:space="preserve"> </w:t>
      </w:r>
      <w:r w:rsidRPr="2CC066CE" w:rsidR="00AB1C5D">
        <w:rPr>
          <w:rFonts w:eastAsia="Calibri"/>
        </w:rPr>
        <w:t>5 </w:t>
      </w:r>
      <w:r w:rsidRPr="2CC066CE" w:rsidR="00254208">
        <w:rPr>
          <w:rFonts w:eastAsia="Calibri"/>
        </w:rPr>
        <w:t>years to</w:t>
      </w:r>
      <w:r w:rsidRPr="2CC066CE" w:rsidR="001530CF">
        <w:rPr>
          <w:rFonts w:eastAsia="Calibri"/>
        </w:rPr>
        <w:t xml:space="preserve"> </w:t>
      </w:r>
      <w:r w:rsidRPr="2CC066CE" w:rsidR="00254208">
        <w:rPr>
          <w:rFonts w:eastAsia="Calibri"/>
        </w:rPr>
        <w:t xml:space="preserve">provide a common reference for the licensee and the NRC.  </w:t>
      </w:r>
      <w:r w:rsidRPr="2CC066CE" w:rsidR="00AB1C5D">
        <w:rPr>
          <w:rFonts w:eastAsia="Calibri"/>
        </w:rPr>
        <w:t xml:space="preserve">In contrast, </w:t>
      </w:r>
      <w:r w:rsidRPr="2CC066CE" w:rsidR="00254208">
        <w:rPr>
          <w:rFonts w:eastAsia="Calibri"/>
        </w:rPr>
        <w:t xml:space="preserve">the </w:t>
      </w:r>
      <w:r w:rsidRPr="2CC066CE" w:rsidR="00254208">
        <w:rPr>
          <w:rFonts w:eastAsia="Calibri"/>
        </w:rPr>
        <w:t>FSAR</w:t>
      </w:r>
      <w:r w:rsidRPr="2CC066CE" w:rsidR="00254208">
        <w:rPr>
          <w:rFonts w:eastAsia="Calibri"/>
        </w:rPr>
        <w:t xml:space="preserve"> (as updated) defined in </w:t>
      </w:r>
      <w:r w:rsidRPr="2CC066CE" w:rsidR="00AB1C5D">
        <w:rPr>
          <w:rFonts w:eastAsia="Calibri"/>
        </w:rPr>
        <w:t>10 CFR </w:t>
      </w:r>
      <w:r w:rsidRPr="2CC066CE" w:rsidR="00254208">
        <w:rPr>
          <w:rFonts w:eastAsia="Calibri"/>
        </w:rPr>
        <w:t>50.59(a)(4) serves as a</w:t>
      </w:r>
      <w:r w:rsidRPr="2CC066CE">
        <w:rPr>
          <w:rFonts w:eastAsia="Calibri"/>
        </w:rPr>
        <w:t xml:space="preserve">n </w:t>
      </w:r>
      <w:r w:rsidRPr="2CC066CE" w:rsidR="3E1D992A">
        <w:rPr>
          <w:rFonts w:eastAsia="Calibri"/>
        </w:rPr>
        <w:t>up-to-date</w:t>
      </w:r>
      <w:r w:rsidRPr="2CC066CE" w:rsidR="00254208">
        <w:rPr>
          <w:rFonts w:eastAsia="Calibri"/>
        </w:rPr>
        <w:t xml:space="preserve"> reference</w:t>
      </w:r>
      <w:r w:rsidRPr="2CC066CE">
        <w:rPr>
          <w:rFonts w:eastAsia="Calibri"/>
        </w:rPr>
        <w:t xml:space="preserve"> </w:t>
      </w:r>
      <w:r w:rsidRPr="2CC066CE" w:rsidR="00254208">
        <w:rPr>
          <w:rFonts w:eastAsia="Calibri"/>
        </w:rPr>
        <w:t xml:space="preserve">for the </w:t>
      </w:r>
      <w:r w:rsidRPr="2CC066CE" w:rsidR="00AB1C5D">
        <w:rPr>
          <w:rFonts w:eastAsia="Calibri"/>
        </w:rPr>
        <w:t xml:space="preserve">NPUF </w:t>
      </w:r>
      <w:r w:rsidRPr="2CC066CE" w:rsidR="00254208">
        <w:rPr>
          <w:rFonts w:eastAsia="Calibri"/>
        </w:rPr>
        <w:t xml:space="preserve">licensee </w:t>
      </w:r>
      <w:r w:rsidRPr="2CC066CE">
        <w:rPr>
          <w:rFonts w:eastAsia="Calibri"/>
        </w:rPr>
        <w:t xml:space="preserve">to use in its activities between submittals required by </w:t>
      </w:r>
      <w:r w:rsidRPr="2CC066CE" w:rsidR="00AB1C5D">
        <w:rPr>
          <w:rFonts w:eastAsia="Calibri"/>
        </w:rPr>
        <w:t>10 CFR </w:t>
      </w:r>
      <w:r w:rsidRPr="2CC066CE">
        <w:rPr>
          <w:rFonts w:eastAsia="Calibri"/>
        </w:rPr>
        <w:t xml:space="preserve">50.71(e) or by NRC inspectors and reactor operator licensing examiners when </w:t>
      </w:r>
      <w:r w:rsidRPr="2CC066CE" w:rsidR="00AB1C5D">
        <w:rPr>
          <w:rFonts w:eastAsia="Calibri"/>
        </w:rPr>
        <w:t xml:space="preserve">they are </w:t>
      </w:r>
      <w:r w:rsidRPr="2CC066CE">
        <w:rPr>
          <w:rFonts w:eastAsia="Calibri"/>
        </w:rPr>
        <w:t>on</w:t>
      </w:r>
      <w:r w:rsidRPr="2CC066CE" w:rsidR="00AB1C5D">
        <w:rPr>
          <w:rFonts w:eastAsia="Calibri"/>
        </w:rPr>
        <w:t xml:space="preserve"> </w:t>
      </w:r>
      <w:r w:rsidRPr="2CC066CE">
        <w:rPr>
          <w:rFonts w:eastAsia="Calibri"/>
        </w:rPr>
        <w:t>site.</w:t>
      </w:r>
    </w:p>
    <w:p w:rsidR="00100231" w:rsidRPr="00100231" w:rsidP="00E523B1" w14:paraId="59451ED3" w14:textId="525E7508">
      <w:pPr>
        <w:spacing w:after="200"/>
        <w:ind w:firstLine="720"/>
        <w:rPr>
          <w:rFonts w:eastAsia="Calibri"/>
        </w:rPr>
      </w:pPr>
      <w:bookmarkStart w:id="6" w:name="_Hlk531178982"/>
      <w:r w:rsidRPr="2CC066CE">
        <w:rPr>
          <w:rFonts w:eastAsia="Calibri"/>
        </w:rPr>
        <w:t xml:space="preserve">As described in the NRC’s </w:t>
      </w:r>
      <w:r w:rsidRPr="2CC066CE" w:rsidR="00AF1691">
        <w:rPr>
          <w:rFonts w:eastAsia="Calibri"/>
        </w:rPr>
        <w:t>1980 final</w:t>
      </w:r>
      <w:r w:rsidRPr="2CC066CE">
        <w:rPr>
          <w:rFonts w:eastAsia="Calibri"/>
        </w:rPr>
        <w:t xml:space="preserve"> rule</w:t>
      </w:r>
      <w:r w:rsidRPr="2CC066CE" w:rsidR="00AB1C5D">
        <w:rPr>
          <w:rFonts w:eastAsia="Calibri"/>
        </w:rPr>
        <w:t>,</w:t>
      </w:r>
      <w:r w:rsidRPr="2CC066CE">
        <w:rPr>
          <w:rFonts w:eastAsia="Calibri"/>
        </w:rPr>
        <w:t xml:space="preserve"> “Periodic Updating of Final Safety Analysis Reports,” t</w:t>
      </w:r>
      <w:r w:rsidRPr="2CC066CE" w:rsidR="004B00A2">
        <w:rPr>
          <w:rFonts w:eastAsia="Calibri"/>
        </w:rPr>
        <w:t xml:space="preserve">he role of the updated </w:t>
      </w:r>
      <w:r w:rsidRPr="2CC066CE" w:rsidR="004B00A2">
        <w:rPr>
          <w:rFonts w:eastAsia="Calibri"/>
        </w:rPr>
        <w:t>FSAR</w:t>
      </w:r>
      <w:r w:rsidRPr="2CC066CE" w:rsidR="004B00A2">
        <w:rPr>
          <w:rFonts w:eastAsia="Calibri"/>
        </w:rPr>
        <w:t xml:space="preserve"> and subsequent </w:t>
      </w:r>
      <w:bookmarkEnd w:id="6"/>
      <w:r w:rsidRPr="2CC066CE" w:rsidR="004B00A2">
        <w:rPr>
          <w:rFonts w:eastAsia="Calibri"/>
        </w:rPr>
        <w:t>FSAR</w:t>
      </w:r>
      <w:r w:rsidRPr="2CC066CE" w:rsidR="004B00A2">
        <w:rPr>
          <w:rFonts w:eastAsia="Calibri"/>
        </w:rPr>
        <w:t xml:space="preserve"> updates </w:t>
      </w:r>
      <w:r w:rsidRPr="2CC066CE" w:rsidR="00F22A90">
        <w:rPr>
          <w:rFonts w:eastAsia="Calibri"/>
        </w:rPr>
        <w:t>is to</w:t>
      </w:r>
      <w:r w:rsidRPr="2CC066CE">
        <w:rPr>
          <w:rFonts w:eastAsia="Calibri"/>
        </w:rPr>
        <w:t xml:space="preserve"> </w:t>
      </w:r>
      <w:r w:rsidRPr="2CC066CE" w:rsidR="00F22A90">
        <w:rPr>
          <w:rFonts w:eastAsia="Calibri"/>
        </w:rPr>
        <w:t xml:space="preserve">serve as </w:t>
      </w:r>
      <w:r w:rsidRPr="2CC066CE" w:rsidR="009B68A3">
        <w:rPr>
          <w:rFonts w:eastAsia="Calibri"/>
        </w:rPr>
        <w:t>a “reference document to be used for recurring safety analyses performed by licensees, the Commission, and other interested parties</w:t>
      </w:r>
      <w:r w:rsidRPr="2CC066CE" w:rsidR="00806DF1">
        <w:rPr>
          <w:rFonts w:eastAsia="Calibri"/>
        </w:rPr>
        <w:t>.</w:t>
      </w:r>
      <w:r w:rsidRPr="2CC066CE" w:rsidR="009B68A3">
        <w:rPr>
          <w:rFonts w:eastAsia="Calibri"/>
        </w:rPr>
        <w:t xml:space="preserve">”  The </w:t>
      </w:r>
      <w:r w:rsidRPr="2CC066CE">
        <w:rPr>
          <w:rFonts w:eastAsia="Calibri"/>
        </w:rPr>
        <w:t xml:space="preserve">NRC </w:t>
      </w:r>
      <w:r w:rsidRPr="2CC066CE" w:rsidR="009B68A3">
        <w:rPr>
          <w:rFonts w:eastAsia="Calibri"/>
        </w:rPr>
        <w:t xml:space="preserve">uses these documents </w:t>
      </w:r>
      <w:r w:rsidRPr="2CC066CE">
        <w:rPr>
          <w:rFonts w:eastAsia="Calibri"/>
        </w:rPr>
        <w:t>in its regulatory oversight of NPUF license</w:t>
      </w:r>
      <w:r w:rsidRPr="2CC066CE" w:rsidR="00E81EC9">
        <w:rPr>
          <w:rFonts w:eastAsia="Calibri"/>
        </w:rPr>
        <w:t>es</w:t>
      </w:r>
      <w:r w:rsidRPr="2CC066CE" w:rsidR="00AB1C5D">
        <w:rPr>
          <w:rFonts w:eastAsia="Calibri"/>
        </w:rPr>
        <w:t xml:space="preserve"> </w:t>
      </w:r>
      <w:r w:rsidRPr="2CC066CE">
        <w:rPr>
          <w:rFonts w:eastAsia="Calibri"/>
        </w:rPr>
        <w:t>as a reference for evaluating license amendment requests and in preparation for and conduct of inspection</w:t>
      </w:r>
      <w:r w:rsidRPr="2CC066CE" w:rsidR="009B6609">
        <w:rPr>
          <w:rFonts w:eastAsia="Calibri"/>
        </w:rPr>
        <w:t xml:space="preserve"> and operator examination</w:t>
      </w:r>
      <w:r w:rsidRPr="2CC066CE">
        <w:rPr>
          <w:rFonts w:eastAsia="Calibri"/>
        </w:rPr>
        <w:t xml:space="preserve"> activities. </w:t>
      </w:r>
      <w:r w:rsidRPr="2CC066CE" w:rsidR="00F22A90">
        <w:rPr>
          <w:rFonts w:eastAsia="Calibri"/>
        </w:rPr>
        <w:t xml:space="preserve"> </w:t>
      </w:r>
      <w:r w:rsidRPr="2CC066CE" w:rsidR="009B68A3">
        <w:rPr>
          <w:rFonts w:eastAsia="Calibri"/>
        </w:rPr>
        <w:t>Licensees use these documents as the basis for their operational programs</w:t>
      </w:r>
      <w:r w:rsidRPr="2CC066CE" w:rsidR="0089661F">
        <w:rPr>
          <w:rFonts w:eastAsia="Calibri"/>
        </w:rPr>
        <w:t xml:space="preserve"> and</w:t>
      </w:r>
      <w:r w:rsidRPr="2CC066CE" w:rsidR="009B68A3">
        <w:rPr>
          <w:rFonts w:eastAsia="Calibri"/>
        </w:rPr>
        <w:t xml:space="preserve"> changes to the facility or </w:t>
      </w:r>
      <w:r w:rsidRPr="2CC066CE" w:rsidR="009B68A3">
        <w:rPr>
          <w:rFonts w:eastAsia="Calibri"/>
        </w:rPr>
        <w:t>FSAR</w:t>
      </w:r>
      <w:r w:rsidRPr="2CC066CE" w:rsidR="009B68A3">
        <w:rPr>
          <w:rFonts w:eastAsia="Calibri"/>
        </w:rPr>
        <w:t xml:space="preserve"> made under </w:t>
      </w:r>
      <w:r w:rsidRPr="2CC066CE" w:rsidR="00AB1C5D">
        <w:rPr>
          <w:rFonts w:eastAsia="Calibri"/>
        </w:rPr>
        <w:t>10 CFR </w:t>
      </w:r>
      <w:r w:rsidRPr="2CC066CE" w:rsidR="009B68A3">
        <w:rPr>
          <w:rFonts w:eastAsia="Calibri"/>
        </w:rPr>
        <w:t>50.59</w:t>
      </w:r>
      <w:r w:rsidRPr="2CC066CE" w:rsidR="00CD3585">
        <w:rPr>
          <w:rFonts w:eastAsia="Calibri"/>
        </w:rPr>
        <w:t xml:space="preserve">, “Changes, </w:t>
      </w:r>
      <w:r w:rsidRPr="2CC066CE" w:rsidR="00AF1691">
        <w:rPr>
          <w:rFonts w:eastAsia="Calibri"/>
        </w:rPr>
        <w:t>t</w:t>
      </w:r>
      <w:r w:rsidRPr="2CC066CE" w:rsidR="00CD3585">
        <w:rPr>
          <w:rFonts w:eastAsia="Calibri"/>
        </w:rPr>
        <w:t xml:space="preserve">ests and </w:t>
      </w:r>
      <w:r w:rsidRPr="2CC066CE" w:rsidR="00AF1691">
        <w:rPr>
          <w:rFonts w:eastAsia="Calibri"/>
        </w:rPr>
        <w:t>e</w:t>
      </w:r>
      <w:r w:rsidRPr="2CC066CE" w:rsidR="00CD3585">
        <w:rPr>
          <w:rFonts w:eastAsia="Calibri"/>
        </w:rPr>
        <w:t>xperiments,”</w:t>
      </w:r>
      <w:r w:rsidRPr="2CC066CE" w:rsidR="009B68A3">
        <w:rPr>
          <w:rFonts w:eastAsia="Calibri"/>
        </w:rPr>
        <w:t xml:space="preserve"> or </w:t>
      </w:r>
      <w:r w:rsidRPr="2CC066CE" w:rsidR="00262029">
        <w:rPr>
          <w:rFonts w:eastAsia="Calibri"/>
        </w:rPr>
        <w:t>10 CFR </w:t>
      </w:r>
      <w:r w:rsidRPr="2CC066CE" w:rsidR="009B68A3">
        <w:rPr>
          <w:rFonts w:eastAsia="Calibri"/>
        </w:rPr>
        <w:t>50.90</w:t>
      </w:r>
      <w:r w:rsidRPr="2CC066CE" w:rsidR="0089661F">
        <w:rPr>
          <w:rFonts w:eastAsia="Calibri"/>
        </w:rPr>
        <w:t xml:space="preserve">, </w:t>
      </w:r>
      <w:r w:rsidRPr="2CC066CE" w:rsidR="00CD3585">
        <w:rPr>
          <w:rFonts w:eastAsia="Calibri"/>
        </w:rPr>
        <w:t>“</w:t>
      </w:r>
      <w:hyperlink r:id="rId10">
        <w:r w:rsidRPr="2CC066CE" w:rsidR="58E07E37">
          <w:rPr>
            <w:rStyle w:val="Hyperlink"/>
            <w:color w:val="auto"/>
            <w:u w:val="none"/>
            <w:lang w:val="en"/>
          </w:rPr>
          <w:t xml:space="preserve">Application for </w:t>
        </w:r>
        <w:r w:rsidRPr="2CC066CE" w:rsidR="767DA011">
          <w:rPr>
            <w:rStyle w:val="Hyperlink"/>
            <w:color w:val="auto"/>
            <w:u w:val="none"/>
            <w:lang w:val="en"/>
          </w:rPr>
          <w:t>a</w:t>
        </w:r>
        <w:r w:rsidRPr="2CC066CE" w:rsidR="58E07E37">
          <w:rPr>
            <w:rStyle w:val="Hyperlink"/>
            <w:color w:val="auto"/>
            <w:u w:val="none"/>
            <w:lang w:val="en"/>
          </w:rPr>
          <w:t xml:space="preserve">mendment of </w:t>
        </w:r>
        <w:r w:rsidRPr="2CC066CE" w:rsidR="767DA011">
          <w:rPr>
            <w:rStyle w:val="Hyperlink"/>
            <w:color w:val="auto"/>
            <w:u w:val="none"/>
            <w:lang w:val="en"/>
          </w:rPr>
          <w:t>l</w:t>
        </w:r>
        <w:r w:rsidRPr="2CC066CE" w:rsidR="58E07E37">
          <w:rPr>
            <w:rStyle w:val="Hyperlink"/>
            <w:color w:val="auto"/>
            <w:u w:val="none"/>
            <w:lang w:val="en"/>
          </w:rPr>
          <w:t xml:space="preserve">icense, </w:t>
        </w:r>
        <w:r w:rsidRPr="2CC066CE" w:rsidR="767DA011">
          <w:rPr>
            <w:rStyle w:val="Hyperlink"/>
            <w:color w:val="auto"/>
            <w:u w:val="none"/>
            <w:lang w:val="en"/>
          </w:rPr>
          <w:t>c</w:t>
        </w:r>
        <w:r w:rsidRPr="2CC066CE" w:rsidR="58E07E37">
          <w:rPr>
            <w:rStyle w:val="Hyperlink"/>
            <w:color w:val="auto"/>
            <w:u w:val="none"/>
            <w:lang w:val="en"/>
          </w:rPr>
          <w:t xml:space="preserve">onstruction </w:t>
        </w:r>
        <w:r w:rsidRPr="2CC066CE" w:rsidR="767DA011">
          <w:rPr>
            <w:rStyle w:val="Hyperlink"/>
            <w:color w:val="auto"/>
            <w:u w:val="none"/>
            <w:lang w:val="en"/>
          </w:rPr>
          <w:t>p</w:t>
        </w:r>
        <w:r w:rsidRPr="2CC066CE" w:rsidR="58E07E37">
          <w:rPr>
            <w:rStyle w:val="Hyperlink"/>
            <w:color w:val="auto"/>
            <w:u w:val="none"/>
            <w:lang w:val="en"/>
          </w:rPr>
          <w:t xml:space="preserve">ermit, or </w:t>
        </w:r>
        <w:r w:rsidRPr="2CC066CE" w:rsidR="767DA011">
          <w:rPr>
            <w:rStyle w:val="Hyperlink"/>
            <w:color w:val="auto"/>
            <w:u w:val="none"/>
            <w:lang w:val="en"/>
          </w:rPr>
          <w:t>e</w:t>
        </w:r>
        <w:r w:rsidRPr="2CC066CE" w:rsidR="58E07E37">
          <w:rPr>
            <w:rStyle w:val="Hyperlink"/>
            <w:color w:val="auto"/>
            <w:u w:val="none"/>
            <w:lang w:val="en"/>
          </w:rPr>
          <w:t xml:space="preserve">arly </w:t>
        </w:r>
        <w:r w:rsidRPr="2CC066CE" w:rsidR="767DA011">
          <w:rPr>
            <w:rStyle w:val="Hyperlink"/>
            <w:color w:val="auto"/>
            <w:u w:val="none"/>
            <w:lang w:val="en"/>
          </w:rPr>
          <w:t>s</w:t>
        </w:r>
        <w:r w:rsidRPr="2CC066CE" w:rsidR="58E07E37">
          <w:rPr>
            <w:rStyle w:val="Hyperlink"/>
            <w:color w:val="auto"/>
            <w:u w:val="none"/>
            <w:lang w:val="en"/>
          </w:rPr>
          <w:t xml:space="preserve">ite </w:t>
        </w:r>
        <w:r w:rsidRPr="2CC066CE" w:rsidR="767DA011">
          <w:rPr>
            <w:rStyle w:val="Hyperlink"/>
            <w:color w:val="auto"/>
            <w:u w:val="none"/>
            <w:lang w:val="en"/>
          </w:rPr>
          <w:t>p</w:t>
        </w:r>
        <w:r w:rsidRPr="2CC066CE" w:rsidR="58E07E37">
          <w:rPr>
            <w:rStyle w:val="Hyperlink"/>
            <w:color w:val="auto"/>
            <w:u w:val="none"/>
            <w:lang w:val="en"/>
          </w:rPr>
          <w:t>ermit,”</w:t>
        </w:r>
      </w:hyperlink>
      <w:r w:rsidRPr="2CC066CE" w:rsidR="58E07E37">
        <w:rPr>
          <w:lang w:val="en"/>
        </w:rPr>
        <w:t xml:space="preserve"> </w:t>
      </w:r>
      <w:r w:rsidRPr="2CC066CE" w:rsidR="1C5E1EDE">
        <w:rPr>
          <w:rFonts w:eastAsia="Calibri"/>
        </w:rPr>
        <w:t>for example</w:t>
      </w:r>
      <w:r w:rsidRPr="2CC066CE" w:rsidR="77692783">
        <w:rPr>
          <w:rFonts w:eastAsia="Calibri"/>
        </w:rPr>
        <w:t>.</w:t>
      </w:r>
      <w:r w:rsidRPr="2CC066CE" w:rsidR="009B68A3">
        <w:rPr>
          <w:rFonts w:eastAsia="Calibri"/>
        </w:rPr>
        <w:t xml:space="preserve">  However, in the case of changes made under </w:t>
      </w:r>
      <w:r w:rsidRPr="2CC066CE" w:rsidR="00262029">
        <w:rPr>
          <w:rFonts w:eastAsia="Calibri"/>
        </w:rPr>
        <w:t>10 CFR </w:t>
      </w:r>
      <w:r w:rsidRPr="2CC066CE" w:rsidR="009B68A3">
        <w:rPr>
          <w:rFonts w:eastAsia="Calibri"/>
        </w:rPr>
        <w:t>50.59</w:t>
      </w:r>
      <w:r w:rsidRPr="2CC066CE" w:rsidR="00230C75">
        <w:rPr>
          <w:rFonts w:eastAsia="Calibri"/>
        </w:rPr>
        <w:t xml:space="preserve"> </w:t>
      </w:r>
      <w:r w:rsidRPr="2CC066CE" w:rsidR="009B68A3">
        <w:rPr>
          <w:rFonts w:eastAsia="Calibri"/>
        </w:rPr>
        <w:t xml:space="preserve">and </w:t>
      </w:r>
      <w:r w:rsidRPr="2CC066CE" w:rsidR="00262029">
        <w:rPr>
          <w:rFonts w:eastAsia="Calibri"/>
        </w:rPr>
        <w:t>10</w:t>
      </w:r>
      <w:r w:rsidRPr="2CC066CE" w:rsidR="00230C75">
        <w:rPr>
          <w:rFonts w:eastAsia="Calibri"/>
        </w:rPr>
        <w:t> </w:t>
      </w:r>
      <w:r w:rsidRPr="2CC066CE" w:rsidR="00262029">
        <w:rPr>
          <w:rFonts w:eastAsia="Calibri"/>
        </w:rPr>
        <w:t>CFR</w:t>
      </w:r>
      <w:r w:rsidRPr="2CC066CE" w:rsidR="00230C75">
        <w:rPr>
          <w:rFonts w:eastAsia="Calibri"/>
        </w:rPr>
        <w:t> </w:t>
      </w:r>
      <w:r w:rsidRPr="2CC066CE" w:rsidR="009B68A3">
        <w:rPr>
          <w:rFonts w:eastAsia="Calibri"/>
        </w:rPr>
        <w:t>50.90</w:t>
      </w:r>
      <w:r w:rsidRPr="2CC066CE" w:rsidR="00CD3585">
        <w:rPr>
          <w:rFonts w:eastAsia="Calibri"/>
        </w:rPr>
        <w:t>,</w:t>
      </w:r>
      <w:r w:rsidRPr="00BC495A" w:rsidR="00262029">
        <w:rPr>
          <w:lang w:val="en"/>
        </w:rPr>
        <w:t xml:space="preserve"> </w:t>
      </w:r>
      <w:r w:rsidRPr="2CC066CE" w:rsidR="009B68A3">
        <w:rPr>
          <w:rFonts w:eastAsia="Calibri"/>
        </w:rPr>
        <w:t xml:space="preserve">use of the </w:t>
      </w:r>
      <w:r w:rsidRPr="2CC066CE" w:rsidR="009B68A3">
        <w:rPr>
          <w:rFonts w:eastAsia="Calibri"/>
        </w:rPr>
        <w:t>FSAR</w:t>
      </w:r>
      <w:r w:rsidRPr="2CC066CE" w:rsidR="009B68A3">
        <w:rPr>
          <w:rFonts w:eastAsia="Calibri"/>
        </w:rPr>
        <w:t xml:space="preserve"> (as updated) may be required</w:t>
      </w:r>
      <w:r w:rsidRPr="2CC066CE" w:rsidR="00EC0C1A">
        <w:rPr>
          <w:rFonts w:eastAsia="Calibri"/>
        </w:rPr>
        <w:t xml:space="preserve"> to </w:t>
      </w:r>
      <w:r w:rsidRPr="2CC066CE" w:rsidR="00EC0C1A">
        <w:rPr>
          <w:rFonts w:eastAsia="Calibri"/>
        </w:rPr>
        <w:t>take into account</w:t>
      </w:r>
      <w:r w:rsidRPr="2CC066CE" w:rsidR="00EC0C1A">
        <w:rPr>
          <w:rFonts w:eastAsia="Calibri"/>
        </w:rPr>
        <w:t xml:space="preserve"> changes since the last submission of the </w:t>
      </w:r>
      <w:r w:rsidRPr="2CC066CE" w:rsidR="00EC0C1A">
        <w:rPr>
          <w:rFonts w:eastAsia="Calibri"/>
        </w:rPr>
        <w:t>FSAR</w:t>
      </w:r>
      <w:r w:rsidRPr="2CC066CE" w:rsidR="00EC0C1A">
        <w:rPr>
          <w:rFonts w:eastAsia="Calibri"/>
        </w:rPr>
        <w:t xml:space="preserve"> under </w:t>
      </w:r>
      <w:r w:rsidRPr="2CC066CE" w:rsidR="00230C75">
        <w:rPr>
          <w:rFonts w:eastAsia="Calibri"/>
        </w:rPr>
        <w:t>10 CFR </w:t>
      </w:r>
      <w:r w:rsidRPr="2CC066CE" w:rsidR="00EC0C1A">
        <w:rPr>
          <w:rFonts w:eastAsia="Calibri"/>
        </w:rPr>
        <w:t>50.71(e)</w:t>
      </w:r>
      <w:r w:rsidRPr="2CC066CE" w:rsidR="009B68A3">
        <w:rPr>
          <w:rFonts w:eastAsia="Calibri"/>
        </w:rPr>
        <w:t xml:space="preserve">.  </w:t>
      </w:r>
      <w:r w:rsidRPr="2CC066CE" w:rsidR="00230C75">
        <w:rPr>
          <w:rFonts w:eastAsia="Calibri"/>
        </w:rPr>
        <w:t>In addition, t</w:t>
      </w:r>
      <w:r w:rsidRPr="2CC066CE">
        <w:rPr>
          <w:rFonts w:eastAsia="Calibri"/>
        </w:rPr>
        <w:t xml:space="preserve">he </w:t>
      </w:r>
      <w:r w:rsidRPr="2CC066CE" w:rsidR="000B6CE3">
        <w:rPr>
          <w:rFonts w:eastAsia="Calibri"/>
        </w:rPr>
        <w:t xml:space="preserve">updated </w:t>
      </w:r>
      <w:r w:rsidRPr="2CC066CE">
        <w:rPr>
          <w:rFonts w:eastAsia="Calibri"/>
        </w:rPr>
        <w:t>FSAR</w:t>
      </w:r>
      <w:r w:rsidRPr="2CC066CE">
        <w:rPr>
          <w:rFonts w:eastAsia="Calibri"/>
        </w:rPr>
        <w:t xml:space="preserve"> </w:t>
      </w:r>
      <w:r w:rsidRPr="2CC066CE" w:rsidR="000B6CE3">
        <w:rPr>
          <w:rFonts w:eastAsia="Calibri"/>
        </w:rPr>
        <w:t xml:space="preserve">and subsequent </w:t>
      </w:r>
      <w:r w:rsidRPr="2CC066CE" w:rsidR="000B6CE3">
        <w:rPr>
          <w:rFonts w:eastAsia="Calibri"/>
        </w:rPr>
        <w:t>FSAR</w:t>
      </w:r>
      <w:r w:rsidRPr="2CC066CE" w:rsidR="000B6CE3">
        <w:rPr>
          <w:rFonts w:eastAsia="Calibri"/>
        </w:rPr>
        <w:t xml:space="preserve"> updates </w:t>
      </w:r>
      <w:r w:rsidRPr="2CC066CE">
        <w:rPr>
          <w:rFonts w:eastAsia="Calibri"/>
        </w:rPr>
        <w:t xml:space="preserve">provide the </w:t>
      </w:r>
      <w:r w:rsidRPr="2CC066CE" w:rsidR="0032056B">
        <w:rPr>
          <w:rFonts w:eastAsia="Calibri"/>
        </w:rPr>
        <w:t>public</w:t>
      </w:r>
      <w:r w:rsidRPr="2CC066CE">
        <w:rPr>
          <w:rFonts w:eastAsia="Calibri"/>
        </w:rPr>
        <w:t xml:space="preserve"> </w:t>
      </w:r>
      <w:r w:rsidRPr="2CC066CE" w:rsidR="00230C75">
        <w:rPr>
          <w:rFonts w:eastAsia="Calibri"/>
        </w:rPr>
        <w:t xml:space="preserve">with </w:t>
      </w:r>
      <w:r w:rsidRPr="2CC066CE">
        <w:rPr>
          <w:rFonts w:eastAsia="Calibri"/>
        </w:rPr>
        <w:t xml:space="preserve">a </w:t>
      </w:r>
      <w:r w:rsidRPr="2CC066CE" w:rsidR="00D70E6D">
        <w:rPr>
          <w:rFonts w:eastAsia="Calibri"/>
        </w:rPr>
        <w:t xml:space="preserve">current </w:t>
      </w:r>
      <w:r w:rsidRPr="2CC066CE">
        <w:rPr>
          <w:rFonts w:eastAsia="Calibri"/>
        </w:rPr>
        <w:t>description of the facility and its operation.</w:t>
      </w:r>
    </w:p>
    <w:p w:rsidR="00631BD1" w:rsidP="001E20F8" w14:paraId="59451ED4" w14:textId="00324F24">
      <w:pPr>
        <w:rPr>
          <w:b/>
        </w:rPr>
      </w:pPr>
      <w:r w:rsidRPr="2CC066CE">
        <w:rPr>
          <w:b/>
          <w:bCs/>
        </w:rPr>
        <w:t>Consideration of</w:t>
      </w:r>
      <w:r w:rsidRPr="00631BD1">
        <w:rPr>
          <w:b/>
        </w:rPr>
        <w:t xml:space="preserve"> International Standards</w:t>
      </w:r>
    </w:p>
    <w:p w:rsidR="00093A0C" w:rsidRPr="00631BD1" w:rsidP="001E20F8" w14:paraId="59451ED5" w14:textId="77777777">
      <w:pPr>
        <w:rPr>
          <w:b/>
        </w:rPr>
      </w:pPr>
    </w:p>
    <w:p w:rsidR="00471935" w:rsidP="001E20F8" w14:paraId="63A9FD33" w14:textId="11DB75CA">
      <w:pPr>
        <w:pStyle w:val="Para"/>
        <w:rPr>
          <w:color w:val="000000" w:themeColor="text1"/>
        </w:rPr>
      </w:pPr>
      <w:r w:rsidRPr="5A664D39">
        <w:t xml:space="preserve">The International Atomic Energy Agency (IAEA) works with member states and other partners to promote the safe, secure, and peaceful use of nuclear technologies. The IAEA develops Safety Requirements and Safety Guides for protecting people and the environment from harmful effects of ionizing radiation. This system of safety fundamentals, safety requirements, safety guides, and other relevant reports, reflects an international perspective on what constitutes a high level of safety. </w:t>
      </w:r>
      <w:r w:rsidRPr="5A664D39">
        <w:rPr>
          <w:color w:val="000000" w:themeColor="text1"/>
        </w:rPr>
        <w:t xml:space="preserve">To inform its development of this RG, the NRC considered IAEA Safety Requirements and Safety Guides pursuant to the Commission’s International Policy Statement (Ref. </w:t>
      </w:r>
      <w:r w:rsidRPr="5A664D39" w:rsidR="20C56FE2">
        <w:rPr>
          <w:color w:val="000000" w:themeColor="text1"/>
        </w:rPr>
        <w:t>6</w:t>
      </w:r>
      <w:r w:rsidRPr="5A664D39">
        <w:rPr>
          <w:color w:val="000000" w:themeColor="text1"/>
        </w:rPr>
        <w:t xml:space="preserve">) and Management Directive and Handbook 6.6, “Regulatory Guides” (Ref. </w:t>
      </w:r>
      <w:r w:rsidRPr="5A664D39" w:rsidR="76A5639D">
        <w:rPr>
          <w:color w:val="000000" w:themeColor="text1"/>
        </w:rPr>
        <w:t>7</w:t>
      </w:r>
      <w:r w:rsidRPr="5A664D39">
        <w:rPr>
          <w:color w:val="000000" w:themeColor="text1"/>
        </w:rPr>
        <w:t xml:space="preserve">). </w:t>
      </w:r>
    </w:p>
    <w:p w:rsidR="00471935" w:rsidP="009D693D" w14:paraId="59451ED6" w14:textId="3B990185">
      <w:pPr>
        <w:pStyle w:val="Para"/>
      </w:pPr>
      <w:r>
        <w:t>The following IAEA Safety Requirements and Guides were considered in the development of this R</w:t>
      </w:r>
      <w:r w:rsidR="495D7C97">
        <w:t xml:space="preserve">egulatory </w:t>
      </w:r>
      <w:r>
        <w:t>G</w:t>
      </w:r>
      <w:r w:rsidR="73F3D0F8">
        <w:t>uide</w:t>
      </w:r>
      <w:r w:rsidR="2CD3DD18">
        <w:t xml:space="preserve">. </w:t>
      </w:r>
    </w:p>
    <w:p w:rsidR="00471935" w:rsidP="00851190" w14:paraId="59451ED7" w14:textId="77DC284D">
      <w:pPr>
        <w:pStyle w:val="Para"/>
        <w:numPr>
          <w:ilvl w:val="0"/>
          <w:numId w:val="32"/>
        </w:numPr>
      </w:pPr>
      <w:r>
        <w:t xml:space="preserve">IAEA Safety Standards Series No. SSR-3, “Safety of Research Reactors,” </w:t>
      </w:r>
      <w:r w:rsidR="00C640D7">
        <w:t xml:space="preserve">issued </w:t>
      </w:r>
      <w:r>
        <w:t>2015 (</w:t>
      </w:r>
      <w:r w:rsidRPr="003D4D48">
        <w:t>Ref.</w:t>
      </w:r>
      <w:r w:rsidR="002C1EFE">
        <w:t> </w:t>
      </w:r>
      <w:r w:rsidR="1FF829C8">
        <w:t>8</w:t>
      </w:r>
      <w:r w:rsidRPr="003D4D48">
        <w:t>)</w:t>
      </w:r>
    </w:p>
    <w:p w:rsidR="00471935" w:rsidP="00851190" w14:paraId="59451ED8" w14:textId="5402FBC5">
      <w:pPr>
        <w:pStyle w:val="Para"/>
        <w:numPr>
          <w:ilvl w:val="0"/>
          <w:numId w:val="32"/>
        </w:numPr>
      </w:pPr>
      <w:r w:rsidRPr="003D4D48">
        <w:t>IAEA Safety Standards Series No</w:t>
      </w:r>
      <w:r w:rsidR="002C1EFE">
        <w:t>.</w:t>
      </w:r>
      <w:r w:rsidR="00C640D7">
        <w:t> </w:t>
      </w:r>
      <w:r w:rsidRPr="003D4D48">
        <w:t xml:space="preserve"> GS-G-3.1, “Application of the Management System for Facilities and Activities,” </w:t>
      </w:r>
      <w:r w:rsidR="00C640D7">
        <w:t xml:space="preserve">issued </w:t>
      </w:r>
      <w:r w:rsidRPr="003D4D48">
        <w:t>2006 (Ref</w:t>
      </w:r>
      <w:r w:rsidR="004F244B">
        <w:t>.</w:t>
      </w:r>
      <w:r w:rsidR="002C1EFE">
        <w:t> </w:t>
      </w:r>
      <w:r w:rsidR="61309740">
        <w:t>9</w:t>
      </w:r>
      <w:r w:rsidRPr="003D4D48">
        <w:t>)</w:t>
      </w:r>
    </w:p>
    <w:p w:rsidR="00471935" w:rsidP="00851190" w14:paraId="59451ED9" w14:textId="34FE5DE6">
      <w:pPr>
        <w:pStyle w:val="Para"/>
        <w:numPr>
          <w:ilvl w:val="0"/>
          <w:numId w:val="32"/>
        </w:numPr>
      </w:pPr>
      <w:r w:rsidRPr="003D4D48">
        <w:t>IAEA Safety Standards Series No.</w:t>
      </w:r>
      <w:r w:rsidR="00C640D7">
        <w:t> </w:t>
      </w:r>
      <w:r w:rsidRPr="003D4D48">
        <w:t>GS</w:t>
      </w:r>
      <w:r w:rsidR="00C640D7">
        <w:noBreakHyphen/>
      </w:r>
      <w:r w:rsidRPr="003D4D48">
        <w:t xml:space="preserve">G-3.5, “The Management System for Nuclear Installations,” </w:t>
      </w:r>
      <w:r w:rsidR="00C640D7">
        <w:t xml:space="preserve">issued </w:t>
      </w:r>
      <w:r w:rsidRPr="003D4D48">
        <w:t>2009 (Ref</w:t>
      </w:r>
      <w:r w:rsidR="004F244B">
        <w:t>.</w:t>
      </w:r>
      <w:r w:rsidR="7ED51EE4">
        <w:t>10</w:t>
      </w:r>
      <w:r w:rsidRPr="003D4D48">
        <w:t>)</w:t>
      </w:r>
    </w:p>
    <w:p w:rsidR="00471935" w:rsidP="00851190" w14:paraId="59451EDA" w14:textId="1D6511DB">
      <w:pPr>
        <w:pStyle w:val="Para"/>
        <w:numPr>
          <w:ilvl w:val="0"/>
          <w:numId w:val="32"/>
        </w:numPr>
      </w:pPr>
      <w:r w:rsidRPr="003D4D48">
        <w:t xml:space="preserve">IAEA Safety Standards Series No. SSG-10, “Aging Management for Research Reactors,” </w:t>
      </w:r>
      <w:r w:rsidR="00502997">
        <w:t xml:space="preserve">issued </w:t>
      </w:r>
      <w:r w:rsidRPr="003D4D48">
        <w:t>201</w:t>
      </w:r>
      <w:r w:rsidRPr="003D4D48" w:rsidR="005900B0">
        <w:t>0</w:t>
      </w:r>
      <w:r w:rsidRPr="003D4D48">
        <w:t xml:space="preserve"> (Ref.</w:t>
      </w:r>
      <w:r w:rsidR="002C1EFE">
        <w:t> </w:t>
      </w:r>
      <w:r w:rsidR="13CF9214">
        <w:t>11</w:t>
      </w:r>
      <w:r w:rsidRPr="003D4D48">
        <w:t>)</w:t>
      </w:r>
    </w:p>
    <w:p w:rsidR="00471935" w:rsidP="00851190" w14:paraId="59451EDB" w14:textId="496AB51B">
      <w:pPr>
        <w:pStyle w:val="Para"/>
        <w:numPr>
          <w:ilvl w:val="0"/>
          <w:numId w:val="32"/>
        </w:numPr>
      </w:pPr>
      <w:r w:rsidRPr="003D4D48">
        <w:t xml:space="preserve">IAEA Safety Standards Series No. SSG-20, “Safety Assessment for Research Reactors and Preparation of the Safety Analysis Report,” </w:t>
      </w:r>
      <w:r w:rsidR="00502997">
        <w:t xml:space="preserve">issued </w:t>
      </w:r>
      <w:r w:rsidRPr="003D4D48">
        <w:t>2012 (Ref</w:t>
      </w:r>
      <w:r w:rsidR="004F244B">
        <w:t>.</w:t>
      </w:r>
      <w:r w:rsidR="002C1EFE">
        <w:t> </w:t>
      </w:r>
      <w:r w:rsidR="1848A654">
        <w:t>1</w:t>
      </w:r>
      <w:r w:rsidR="336EB59C">
        <w:t>2</w:t>
      </w:r>
      <w:r w:rsidRPr="003D4D48">
        <w:t>)</w:t>
      </w:r>
    </w:p>
    <w:p w:rsidR="00471935" w14:paraId="264825E7" w14:textId="1DB2AFA4">
      <w:pPr>
        <w:pStyle w:val="Para"/>
        <w:numPr>
          <w:ilvl w:val="0"/>
          <w:numId w:val="32"/>
        </w:numPr>
      </w:pPr>
      <w:r w:rsidRPr="003D4D48">
        <w:t xml:space="preserve">IAEA Safety Standards Series No. SSG-24, “Safety in the Utilization and Modification of Research Reactors,” </w:t>
      </w:r>
      <w:r w:rsidR="00EE1BB2">
        <w:t xml:space="preserve">issued </w:t>
      </w:r>
      <w:r w:rsidRPr="003D4D48">
        <w:t>2012 (Ref</w:t>
      </w:r>
      <w:r w:rsidR="004F244B">
        <w:t>.</w:t>
      </w:r>
      <w:r w:rsidR="002C1EFE">
        <w:t> </w:t>
      </w:r>
      <w:r w:rsidR="1848A654">
        <w:t>1</w:t>
      </w:r>
      <w:r w:rsidR="7DF1D49B">
        <w:t>3</w:t>
      </w:r>
      <w:r w:rsidR="36D735E9">
        <w:t>)</w:t>
      </w:r>
    </w:p>
    <w:p w:rsidR="0035283B" w:rsidP="002F78E1" w14:paraId="59451EDD" w14:textId="617809CB">
      <w:pPr>
        <w:pStyle w:val="Para"/>
        <w:ind w:firstLine="0"/>
        <w:rPr>
          <w:b/>
          <w:sz w:val="28"/>
          <w:szCs w:val="28"/>
        </w:rPr>
      </w:pPr>
      <w:r w:rsidRPr="003D4D48">
        <w:t xml:space="preserve"> </w:t>
      </w:r>
      <w:bookmarkStart w:id="7" w:name="_Toc182970627"/>
      <w:bookmarkStart w:id="8" w:name="_Toc383167276"/>
    </w:p>
    <w:p w:rsidR="5A664D39" w14:paraId="033A4B41" w14:textId="3DA51832">
      <w:r>
        <w:br w:type="page"/>
      </w:r>
    </w:p>
    <w:p w:rsidR="00405E23" w:rsidRPr="009B126C" w:rsidP="009B126C" w14:paraId="59451EDE" w14:textId="77777777">
      <w:pPr>
        <w:pStyle w:val="Heading1"/>
        <w:numPr>
          <w:ilvl w:val="0"/>
          <w:numId w:val="0"/>
        </w:numPr>
        <w:jc w:val="center"/>
        <w:rPr>
          <w:sz w:val="28"/>
          <w:szCs w:val="28"/>
        </w:rPr>
      </w:pPr>
      <w:r w:rsidRPr="009B126C">
        <w:rPr>
          <w:sz w:val="28"/>
          <w:szCs w:val="28"/>
        </w:rPr>
        <w:t xml:space="preserve">C.  </w:t>
      </w:r>
      <w:bookmarkEnd w:id="7"/>
      <w:r w:rsidRPr="009B126C" w:rsidR="00AE6B31">
        <w:rPr>
          <w:sz w:val="28"/>
          <w:szCs w:val="28"/>
        </w:rPr>
        <w:t>STAFF REGULATORY GUIDANCE</w:t>
      </w:r>
      <w:bookmarkEnd w:id="8"/>
    </w:p>
    <w:p w:rsidR="001F2E2A" w:rsidRPr="001F2E2A" w:rsidP="001F2E2A" w14:paraId="79048EAD" w14:textId="140B3750">
      <w:pPr>
        <w:pStyle w:val="ListParagraph"/>
        <w:numPr>
          <w:ilvl w:val="0"/>
          <w:numId w:val="37"/>
        </w:numPr>
        <w:ind w:hanging="720"/>
        <w:rPr>
          <w:sz w:val="22"/>
          <w:szCs w:val="22"/>
        </w:rPr>
      </w:pPr>
      <w:bookmarkStart w:id="9" w:name="_Toc383167277"/>
      <w:r w:rsidRPr="001F2E2A">
        <w:rPr>
          <w:sz w:val="22"/>
          <w:szCs w:val="22"/>
        </w:rPr>
        <w:t xml:space="preserve">Content of the </w:t>
      </w:r>
      <w:r w:rsidRPr="001F2E2A" w:rsidR="00151345">
        <w:rPr>
          <w:sz w:val="22"/>
          <w:szCs w:val="22"/>
        </w:rPr>
        <w:t>U</w:t>
      </w:r>
      <w:r w:rsidRPr="001F2E2A" w:rsidR="000B2940">
        <w:rPr>
          <w:sz w:val="22"/>
          <w:szCs w:val="22"/>
        </w:rPr>
        <w:t xml:space="preserve">pdated </w:t>
      </w:r>
      <w:r w:rsidRPr="001F2E2A">
        <w:rPr>
          <w:sz w:val="22"/>
          <w:szCs w:val="22"/>
        </w:rPr>
        <w:t>FSAR</w:t>
      </w:r>
      <w:r w:rsidRPr="001F2E2A">
        <w:rPr>
          <w:sz w:val="22"/>
          <w:szCs w:val="22"/>
        </w:rPr>
        <w:t xml:space="preserve"> </w:t>
      </w:r>
      <w:r w:rsidRPr="001F2E2A" w:rsidR="000B2940">
        <w:rPr>
          <w:sz w:val="22"/>
          <w:szCs w:val="22"/>
        </w:rPr>
        <w:t xml:space="preserve">and </w:t>
      </w:r>
      <w:r w:rsidRPr="001F2E2A" w:rsidR="00151345">
        <w:rPr>
          <w:sz w:val="22"/>
          <w:szCs w:val="22"/>
        </w:rPr>
        <w:t>S</w:t>
      </w:r>
      <w:r w:rsidRPr="001F2E2A" w:rsidR="000B2940">
        <w:rPr>
          <w:sz w:val="22"/>
          <w:szCs w:val="22"/>
        </w:rPr>
        <w:t xml:space="preserve">ubsequent </w:t>
      </w:r>
      <w:r w:rsidRPr="001F2E2A" w:rsidR="000B2940">
        <w:rPr>
          <w:sz w:val="22"/>
          <w:szCs w:val="22"/>
        </w:rPr>
        <w:t>FSAR</w:t>
      </w:r>
      <w:r w:rsidRPr="001F2E2A" w:rsidR="000B2940">
        <w:rPr>
          <w:sz w:val="22"/>
          <w:szCs w:val="22"/>
        </w:rPr>
        <w:t xml:space="preserve"> </w:t>
      </w:r>
      <w:r w:rsidRPr="001F2E2A">
        <w:rPr>
          <w:sz w:val="22"/>
          <w:szCs w:val="22"/>
        </w:rPr>
        <w:t>Updates</w:t>
      </w:r>
    </w:p>
    <w:p w:rsidR="001750EF" w:rsidRPr="001F2E2A" w:rsidP="001F2E2A" w14:paraId="59451EE0" w14:textId="77777777">
      <w:pPr>
        <w:pStyle w:val="ListParagraph"/>
        <w:rPr>
          <w:sz w:val="22"/>
          <w:szCs w:val="22"/>
        </w:rPr>
      </w:pPr>
      <w:r w:rsidRPr="001F2E2A">
        <w:rPr>
          <w:sz w:val="22"/>
          <w:szCs w:val="22"/>
        </w:rPr>
        <w:t xml:space="preserve"> </w:t>
      </w:r>
    </w:p>
    <w:p w:rsidR="00B677E0" w:rsidRPr="0048179A" w:rsidP="009B6E8B" w14:paraId="59451EE1" w14:textId="47639889">
      <w:pPr>
        <w:pStyle w:val="ListParagraph"/>
        <w:numPr>
          <w:ilvl w:val="1"/>
          <w:numId w:val="29"/>
        </w:numPr>
        <w:ind w:hanging="720"/>
        <w:rPr>
          <w:sz w:val="22"/>
          <w:szCs w:val="22"/>
        </w:rPr>
      </w:pPr>
      <w:r w:rsidRPr="0048179A">
        <w:rPr>
          <w:sz w:val="22"/>
          <w:szCs w:val="22"/>
        </w:rPr>
        <w:t xml:space="preserve">The </w:t>
      </w:r>
      <w:r w:rsidR="009D693D">
        <w:rPr>
          <w:sz w:val="22"/>
          <w:szCs w:val="22"/>
        </w:rPr>
        <w:t>regulations</w:t>
      </w:r>
      <w:r w:rsidRPr="0048179A">
        <w:rPr>
          <w:sz w:val="22"/>
          <w:szCs w:val="22"/>
        </w:rPr>
        <w:t xml:space="preserve"> in </w:t>
      </w:r>
      <w:r w:rsidR="005D317C">
        <w:rPr>
          <w:sz w:val="22"/>
          <w:szCs w:val="22"/>
        </w:rPr>
        <w:t>10 CFR </w:t>
      </w:r>
      <w:r w:rsidRPr="0048179A">
        <w:rPr>
          <w:sz w:val="22"/>
          <w:szCs w:val="22"/>
        </w:rPr>
        <w:t xml:space="preserve">50.71(e)(3)(iv) require </w:t>
      </w:r>
      <w:r w:rsidR="00262219">
        <w:rPr>
          <w:sz w:val="22"/>
          <w:szCs w:val="22"/>
        </w:rPr>
        <w:t>holders of non-power production or utilization facility licenses</w:t>
      </w:r>
      <w:r w:rsidRPr="0048179A">
        <w:rPr>
          <w:sz w:val="22"/>
          <w:szCs w:val="22"/>
        </w:rPr>
        <w:t xml:space="preserve"> to submit a complete updated </w:t>
      </w:r>
      <w:r w:rsidRPr="0048179A">
        <w:rPr>
          <w:sz w:val="22"/>
          <w:szCs w:val="22"/>
        </w:rPr>
        <w:t>FSAR</w:t>
      </w:r>
      <w:r w:rsidR="009D693D">
        <w:rPr>
          <w:sz w:val="22"/>
          <w:szCs w:val="22"/>
        </w:rPr>
        <w:t xml:space="preserve"> within </w:t>
      </w:r>
      <w:r w:rsidR="005D317C">
        <w:rPr>
          <w:sz w:val="22"/>
          <w:szCs w:val="22"/>
        </w:rPr>
        <w:t>5 </w:t>
      </w:r>
      <w:r w:rsidR="009D693D">
        <w:rPr>
          <w:sz w:val="22"/>
          <w:szCs w:val="22"/>
        </w:rPr>
        <w:t>years of issuance of the operating license</w:t>
      </w:r>
      <w:r w:rsidR="00262219">
        <w:rPr>
          <w:sz w:val="22"/>
          <w:szCs w:val="22"/>
        </w:rPr>
        <w:t xml:space="preserve"> </w:t>
      </w:r>
      <w:r w:rsidR="009D693D">
        <w:rPr>
          <w:sz w:val="22"/>
          <w:szCs w:val="22"/>
        </w:rPr>
        <w:t>for the NPUF</w:t>
      </w:r>
      <w:r w:rsidR="00262219">
        <w:rPr>
          <w:sz w:val="22"/>
          <w:szCs w:val="22"/>
        </w:rPr>
        <w:t>, whether this is an initial operating license or a renewed operating license</w:t>
      </w:r>
      <w:r w:rsidRPr="0048179A">
        <w:rPr>
          <w:sz w:val="22"/>
          <w:szCs w:val="22"/>
        </w:rPr>
        <w:t xml:space="preserve">.  </w:t>
      </w:r>
      <w:r w:rsidRPr="0048179A" w:rsidR="0048179A">
        <w:rPr>
          <w:sz w:val="22"/>
          <w:szCs w:val="22"/>
        </w:rPr>
        <w:t xml:space="preserve">The licensee should update the original </w:t>
      </w:r>
      <w:r w:rsidRPr="0048179A" w:rsidR="0048179A">
        <w:rPr>
          <w:sz w:val="22"/>
          <w:szCs w:val="22"/>
        </w:rPr>
        <w:t>FSAR</w:t>
      </w:r>
      <w:r w:rsidRPr="0048179A" w:rsidR="0048179A">
        <w:rPr>
          <w:sz w:val="22"/>
          <w:szCs w:val="22"/>
        </w:rPr>
        <w:t xml:space="preserve"> submitted as part of the application for the initial operating license or application for relicensing or license renewal, as appropriate.  </w:t>
      </w:r>
      <w:r w:rsidRPr="0048179A" w:rsidR="006406EC">
        <w:rPr>
          <w:sz w:val="22"/>
          <w:szCs w:val="22"/>
        </w:rPr>
        <w:t xml:space="preserve">The updated </w:t>
      </w:r>
      <w:r w:rsidRPr="0048179A" w:rsidR="006406EC">
        <w:rPr>
          <w:sz w:val="22"/>
          <w:szCs w:val="22"/>
        </w:rPr>
        <w:t>FSAR</w:t>
      </w:r>
      <w:r w:rsidRPr="0048179A" w:rsidR="006406EC">
        <w:rPr>
          <w:sz w:val="22"/>
          <w:szCs w:val="22"/>
        </w:rPr>
        <w:t xml:space="preserve"> should contain those pages from the originally submitted </w:t>
      </w:r>
      <w:r w:rsidRPr="0048179A" w:rsidR="006406EC">
        <w:rPr>
          <w:sz w:val="22"/>
          <w:szCs w:val="22"/>
        </w:rPr>
        <w:t>FSAR</w:t>
      </w:r>
      <w:r w:rsidRPr="0048179A" w:rsidR="006406EC">
        <w:rPr>
          <w:sz w:val="22"/>
          <w:szCs w:val="22"/>
        </w:rPr>
        <w:t xml:space="preserve"> that are still applicable plus new replacement pages that appropriately incorporate </w:t>
      </w:r>
      <w:r w:rsidR="009D693D">
        <w:rPr>
          <w:sz w:val="22"/>
          <w:szCs w:val="22"/>
        </w:rPr>
        <w:t xml:space="preserve">in the </w:t>
      </w:r>
      <w:r w:rsidR="009D693D">
        <w:rPr>
          <w:sz w:val="22"/>
          <w:szCs w:val="22"/>
        </w:rPr>
        <w:t>FSAR</w:t>
      </w:r>
      <w:r w:rsidR="009D693D">
        <w:rPr>
          <w:sz w:val="22"/>
          <w:szCs w:val="22"/>
        </w:rPr>
        <w:t xml:space="preserve"> </w:t>
      </w:r>
      <w:r w:rsidRPr="0048179A" w:rsidR="006406EC">
        <w:rPr>
          <w:sz w:val="22"/>
          <w:szCs w:val="22"/>
        </w:rPr>
        <w:t>the effects of supplements, amendments</w:t>
      </w:r>
      <w:r w:rsidR="00EB330B">
        <w:rPr>
          <w:sz w:val="22"/>
          <w:szCs w:val="22"/>
        </w:rPr>
        <w:t>,</w:t>
      </w:r>
      <w:r w:rsidRPr="0048179A" w:rsidR="006406EC">
        <w:rPr>
          <w:sz w:val="22"/>
          <w:szCs w:val="22"/>
        </w:rPr>
        <w:t xml:space="preserve"> and other changes </w:t>
      </w:r>
      <w:r w:rsidRPr="0048179A" w:rsidR="0048179A">
        <w:rPr>
          <w:sz w:val="22"/>
          <w:szCs w:val="22"/>
        </w:rPr>
        <w:t xml:space="preserve">that may have been </w:t>
      </w:r>
      <w:r w:rsidR="00342B88">
        <w:rPr>
          <w:sz w:val="22"/>
          <w:szCs w:val="22"/>
        </w:rPr>
        <w:t>made</w:t>
      </w:r>
      <w:r w:rsidRPr="0048179A" w:rsidR="0048179A">
        <w:rPr>
          <w:sz w:val="22"/>
          <w:szCs w:val="22"/>
        </w:rPr>
        <w:t xml:space="preserve"> either in response to NRC </w:t>
      </w:r>
      <w:r w:rsidR="00E20641">
        <w:rPr>
          <w:sz w:val="22"/>
          <w:szCs w:val="22"/>
        </w:rPr>
        <w:t xml:space="preserve">requirements </w:t>
      </w:r>
      <w:r w:rsidRPr="0048179A" w:rsidR="0048179A">
        <w:rPr>
          <w:sz w:val="22"/>
          <w:szCs w:val="22"/>
        </w:rPr>
        <w:t>or on the applicant’s or licensee’s own initiative</w:t>
      </w:r>
      <w:r w:rsidR="00342B88">
        <w:rPr>
          <w:sz w:val="22"/>
          <w:szCs w:val="22"/>
        </w:rPr>
        <w:t xml:space="preserve">. </w:t>
      </w:r>
      <w:r w:rsidRPr="0048179A" w:rsidR="0048179A">
        <w:rPr>
          <w:sz w:val="22"/>
          <w:szCs w:val="22"/>
        </w:rPr>
        <w:t xml:space="preserve"> </w:t>
      </w:r>
      <w:r w:rsidR="00342B88">
        <w:rPr>
          <w:sz w:val="22"/>
          <w:szCs w:val="22"/>
        </w:rPr>
        <w:t>This will result in</w:t>
      </w:r>
      <w:r w:rsidRPr="0048179A" w:rsidR="0048179A">
        <w:rPr>
          <w:sz w:val="22"/>
          <w:szCs w:val="22"/>
        </w:rPr>
        <w:t xml:space="preserve"> a single and complete updated </w:t>
      </w:r>
      <w:r w:rsidR="00342B88">
        <w:rPr>
          <w:sz w:val="22"/>
          <w:szCs w:val="22"/>
        </w:rPr>
        <w:t>FSAR</w:t>
      </w:r>
      <w:r w:rsidRPr="0048179A" w:rsidR="0048179A">
        <w:rPr>
          <w:sz w:val="22"/>
          <w:szCs w:val="22"/>
        </w:rPr>
        <w:t xml:space="preserve"> that can then serve as the baseline for future changes.</w:t>
      </w:r>
    </w:p>
    <w:p w:rsidR="0090115E" w:rsidRPr="000B6CE3" w:rsidP="009B6E8B" w14:paraId="59451EE2" w14:textId="77777777">
      <w:pPr>
        <w:ind w:left="720" w:hanging="720"/>
      </w:pPr>
    </w:p>
    <w:p w:rsidR="0090115E" w:rsidP="00BC495A" w14:paraId="59451EE3" w14:textId="77777777">
      <w:pPr>
        <w:ind w:left="720"/>
      </w:pPr>
      <w:r>
        <w:t xml:space="preserve">The </w:t>
      </w:r>
      <w:r w:rsidR="009D693D">
        <w:t>regulations</w:t>
      </w:r>
      <w:r>
        <w:t xml:space="preserve"> in </w:t>
      </w:r>
      <w:r w:rsidR="005D317C">
        <w:t>10 CFR </w:t>
      </w:r>
      <w:r>
        <w:t>50.71(e)(4)(ii) require licensee</w:t>
      </w:r>
      <w:r w:rsidR="00C521E2">
        <w:t xml:space="preserve">s to submit subsequent </w:t>
      </w:r>
      <w:r w:rsidR="00C521E2">
        <w:t>FSAR</w:t>
      </w:r>
      <w:r w:rsidR="00C521E2">
        <w:t xml:space="preserve"> updates </w:t>
      </w:r>
      <w:r w:rsidR="005D317C">
        <w:t xml:space="preserve">to the NRC </w:t>
      </w:r>
      <w:r w:rsidR="00C521E2">
        <w:t>at intervals not to exceed 5</w:t>
      </w:r>
      <w:r w:rsidR="005D317C">
        <w:t> </w:t>
      </w:r>
      <w:r w:rsidR="00C521E2">
        <w:t xml:space="preserve">years.  Each subsequent </w:t>
      </w:r>
      <w:r w:rsidR="00C521E2">
        <w:t>FSAR</w:t>
      </w:r>
      <w:r w:rsidR="00C521E2">
        <w:t xml:space="preserve"> update must reflect all changes made to the </w:t>
      </w:r>
      <w:r w:rsidR="00C521E2">
        <w:t>FSAR</w:t>
      </w:r>
      <w:r w:rsidR="00C521E2">
        <w:t xml:space="preserve"> </w:t>
      </w:r>
      <w:r w:rsidR="009D693D">
        <w:t>since the previous</w:t>
      </w:r>
      <w:r w:rsidR="00C521E2">
        <w:t xml:space="preserve"> submittal </w:t>
      </w:r>
      <w:r w:rsidR="009D693D">
        <w:t xml:space="preserve">made </w:t>
      </w:r>
      <w:r w:rsidR="005D317C">
        <w:t>under</w:t>
      </w:r>
      <w:r w:rsidR="00C521E2">
        <w:t> </w:t>
      </w:r>
      <w:r w:rsidR="005D317C">
        <w:t>10 CFR </w:t>
      </w:r>
      <w:r w:rsidR="00C521E2">
        <w:t>50.71(e) up to a maximum of 6</w:t>
      </w:r>
      <w:r w:rsidR="005D317C">
        <w:t> </w:t>
      </w:r>
      <w:r w:rsidR="00C521E2">
        <w:t xml:space="preserve">months </w:t>
      </w:r>
      <w:r w:rsidR="005D317C">
        <w:t>before</w:t>
      </w:r>
      <w:r w:rsidR="00C521E2">
        <w:t xml:space="preserve"> the </w:t>
      </w:r>
      <w:r w:rsidR="00044750">
        <w:t xml:space="preserve">submittal </w:t>
      </w:r>
      <w:r w:rsidR="00C521E2">
        <w:t xml:space="preserve">date </w:t>
      </w:r>
      <w:r w:rsidR="00044750">
        <w:t xml:space="preserve">of </w:t>
      </w:r>
      <w:r w:rsidR="00C521E2">
        <w:t xml:space="preserve">the subsequent </w:t>
      </w:r>
      <w:r w:rsidR="00C521E2">
        <w:t>FSAR</w:t>
      </w:r>
      <w:r w:rsidR="00C521E2">
        <w:t xml:space="preserve"> update.</w:t>
      </w:r>
    </w:p>
    <w:p w:rsidR="0031684D" w:rsidP="009B6E8B" w14:paraId="59451EE4" w14:textId="77777777">
      <w:pPr>
        <w:ind w:left="720" w:hanging="720"/>
      </w:pPr>
    </w:p>
    <w:p w:rsidR="0031684D" w:rsidRPr="0090115E" w:rsidP="00BC495A" w14:paraId="59451EE5" w14:textId="77777777">
      <w:pPr>
        <w:ind w:left="720"/>
      </w:pPr>
      <w:r>
        <w:t xml:space="preserve">The </w:t>
      </w:r>
      <w:r>
        <w:t xml:space="preserve">updated </w:t>
      </w:r>
      <w:r>
        <w:t>FSAR</w:t>
      </w:r>
      <w:r w:rsidR="00B44384">
        <w:t xml:space="preserve"> and subsequent </w:t>
      </w:r>
      <w:r w:rsidR="00B44384">
        <w:t>FSAR</w:t>
      </w:r>
      <w:r w:rsidR="00B44384">
        <w:t xml:space="preserve"> updates</w:t>
      </w:r>
      <w:r w:rsidR="00044750">
        <w:t xml:space="preserve"> should include</w:t>
      </w:r>
      <w:r w:rsidR="00DF1032">
        <w:t xml:space="preserve"> the following types of information</w:t>
      </w:r>
      <w:r>
        <w:t>:</w:t>
      </w:r>
    </w:p>
    <w:p w:rsidR="001750EF" w:rsidRPr="00BC495A" w:rsidP="009B6E8B" w14:paraId="59451EE6" w14:textId="77777777">
      <w:pPr>
        <w:pStyle w:val="ListParagraph"/>
        <w:ind w:left="1440" w:hanging="720"/>
        <w:rPr>
          <w:sz w:val="22"/>
          <w:szCs w:val="22"/>
        </w:rPr>
      </w:pPr>
    </w:p>
    <w:p w:rsidR="001750EF" w:rsidRPr="009B6E8B" w:rsidP="009B6E8B" w14:paraId="59451EE7" w14:textId="77777777">
      <w:pPr>
        <w:pStyle w:val="ListParagraph"/>
        <w:numPr>
          <w:ilvl w:val="0"/>
          <w:numId w:val="33"/>
        </w:numPr>
        <w:ind w:left="1440" w:hanging="720"/>
        <w:rPr>
          <w:sz w:val="22"/>
          <w:szCs w:val="22"/>
        </w:rPr>
      </w:pPr>
      <w:r>
        <w:rPr>
          <w:sz w:val="22"/>
          <w:szCs w:val="22"/>
        </w:rPr>
        <w:t>C</w:t>
      </w:r>
      <w:r w:rsidRPr="009B6E8B">
        <w:rPr>
          <w:sz w:val="22"/>
          <w:szCs w:val="22"/>
        </w:rPr>
        <w:t>hanges to the facility or facility operations resulting from new or amended regulatory requirements</w:t>
      </w:r>
      <w:r w:rsidR="009A7E24">
        <w:rPr>
          <w:sz w:val="22"/>
          <w:szCs w:val="22"/>
        </w:rPr>
        <w:t>.</w:t>
      </w:r>
    </w:p>
    <w:p w:rsidR="001750EF" w:rsidRPr="00BC495A" w:rsidP="009B6E8B" w14:paraId="59451EE8" w14:textId="77777777">
      <w:pPr>
        <w:pStyle w:val="ListParagraph"/>
        <w:ind w:left="1440" w:hanging="720"/>
        <w:rPr>
          <w:sz w:val="22"/>
          <w:szCs w:val="22"/>
        </w:rPr>
      </w:pPr>
    </w:p>
    <w:p w:rsidR="001750EF" w:rsidRPr="009B6E8B" w:rsidP="009B6E8B" w14:paraId="59451EE9" w14:textId="77777777">
      <w:pPr>
        <w:pStyle w:val="ListParagraph"/>
        <w:numPr>
          <w:ilvl w:val="0"/>
          <w:numId w:val="33"/>
        </w:numPr>
        <w:ind w:left="1440" w:hanging="720"/>
        <w:rPr>
          <w:sz w:val="22"/>
          <w:szCs w:val="22"/>
        </w:rPr>
      </w:pPr>
      <w:r>
        <w:rPr>
          <w:sz w:val="22"/>
          <w:szCs w:val="22"/>
        </w:rPr>
        <w:t>C</w:t>
      </w:r>
      <w:r w:rsidRPr="009B6E8B">
        <w:rPr>
          <w:sz w:val="22"/>
          <w:szCs w:val="22"/>
        </w:rPr>
        <w:t>hanges and the effects of changes to the facility or procedures and experiments</w:t>
      </w:r>
      <w:r w:rsidRPr="009B6E8B" w:rsidR="001F0AC5">
        <w:rPr>
          <w:sz w:val="22"/>
          <w:szCs w:val="22"/>
        </w:rPr>
        <w:t xml:space="preserve"> </w:t>
      </w:r>
      <w:r w:rsidRPr="009B6E8B" w:rsidR="00DF1032">
        <w:rPr>
          <w:sz w:val="22"/>
          <w:szCs w:val="22"/>
        </w:rPr>
        <w:t xml:space="preserve">that are </w:t>
      </w:r>
      <w:r w:rsidRPr="009B6E8B" w:rsidR="000F0951">
        <w:rPr>
          <w:sz w:val="22"/>
          <w:szCs w:val="22"/>
        </w:rPr>
        <w:t xml:space="preserve">not described in the </w:t>
      </w:r>
      <w:r w:rsidRPr="009B6E8B" w:rsidR="000F0951">
        <w:rPr>
          <w:sz w:val="22"/>
          <w:szCs w:val="22"/>
        </w:rPr>
        <w:t>FSAR</w:t>
      </w:r>
      <w:r w:rsidRPr="009B6E8B" w:rsidR="000F0951">
        <w:rPr>
          <w:sz w:val="22"/>
          <w:szCs w:val="22"/>
        </w:rPr>
        <w:t xml:space="preserve"> </w:t>
      </w:r>
      <w:r w:rsidRPr="009B6E8B" w:rsidR="001F0AC5">
        <w:rPr>
          <w:sz w:val="22"/>
          <w:szCs w:val="22"/>
        </w:rPr>
        <w:t xml:space="preserve">to </w:t>
      </w:r>
      <w:r w:rsidRPr="009B6E8B" w:rsidR="00DF1032">
        <w:rPr>
          <w:sz w:val="22"/>
          <w:szCs w:val="22"/>
        </w:rPr>
        <w:t>en</w:t>
      </w:r>
      <w:r w:rsidRPr="009B6E8B" w:rsidR="001F0AC5">
        <w:rPr>
          <w:sz w:val="22"/>
          <w:szCs w:val="22"/>
        </w:rPr>
        <w:t xml:space="preserve">sure </w:t>
      </w:r>
      <w:r w:rsidRPr="009B6E8B" w:rsidR="00DF1032">
        <w:rPr>
          <w:sz w:val="22"/>
          <w:szCs w:val="22"/>
        </w:rPr>
        <w:t xml:space="preserve">that </w:t>
      </w:r>
      <w:r w:rsidRPr="009B6E8B" w:rsidR="001F0AC5">
        <w:rPr>
          <w:sz w:val="22"/>
          <w:szCs w:val="22"/>
        </w:rPr>
        <w:t xml:space="preserve">the </w:t>
      </w:r>
      <w:r w:rsidRPr="009B6E8B" w:rsidR="00605649">
        <w:rPr>
          <w:sz w:val="22"/>
          <w:szCs w:val="22"/>
        </w:rPr>
        <w:t xml:space="preserve">updated </w:t>
      </w:r>
      <w:r w:rsidRPr="009B6E8B" w:rsidR="001F0AC5">
        <w:rPr>
          <w:sz w:val="22"/>
          <w:szCs w:val="22"/>
        </w:rPr>
        <w:t>FSAR</w:t>
      </w:r>
      <w:r w:rsidRPr="009B6E8B" w:rsidR="00FA1BBA">
        <w:rPr>
          <w:sz w:val="22"/>
          <w:szCs w:val="22"/>
        </w:rPr>
        <w:t xml:space="preserve"> and subsequent </w:t>
      </w:r>
      <w:r w:rsidRPr="009B6E8B" w:rsidR="00FA1BBA">
        <w:rPr>
          <w:sz w:val="22"/>
          <w:szCs w:val="22"/>
        </w:rPr>
        <w:t>FSAR</w:t>
      </w:r>
      <w:r w:rsidRPr="009B6E8B" w:rsidR="00FA1BBA">
        <w:rPr>
          <w:sz w:val="22"/>
          <w:szCs w:val="22"/>
        </w:rPr>
        <w:t xml:space="preserve"> updates</w:t>
      </w:r>
      <w:r w:rsidRPr="009B6E8B" w:rsidR="001F0AC5">
        <w:rPr>
          <w:sz w:val="22"/>
          <w:szCs w:val="22"/>
        </w:rPr>
        <w:t xml:space="preserve"> contain the latest information developed</w:t>
      </w:r>
      <w:r w:rsidRPr="00BC495A" w:rsidR="009A7E24">
        <w:rPr>
          <w:sz w:val="22"/>
          <w:szCs w:val="22"/>
        </w:rPr>
        <w:t xml:space="preserve">.  </w:t>
      </w:r>
      <w:r w:rsidRPr="009B6E8B" w:rsidR="005D23FE">
        <w:rPr>
          <w:sz w:val="22"/>
          <w:szCs w:val="22"/>
        </w:rPr>
        <w:t xml:space="preserve">Facility technical specifications typically require </w:t>
      </w:r>
      <w:r w:rsidRPr="009B6E8B">
        <w:rPr>
          <w:sz w:val="22"/>
          <w:szCs w:val="22"/>
        </w:rPr>
        <w:t xml:space="preserve">licensees to make </w:t>
      </w:r>
      <w:r w:rsidRPr="009B6E8B" w:rsidR="001F0AC5">
        <w:rPr>
          <w:sz w:val="22"/>
          <w:szCs w:val="22"/>
        </w:rPr>
        <w:t>operating r</w:t>
      </w:r>
      <w:r w:rsidRPr="009B6E8B">
        <w:rPr>
          <w:sz w:val="22"/>
          <w:szCs w:val="22"/>
        </w:rPr>
        <w:t xml:space="preserve">eports annually and </w:t>
      </w:r>
      <w:r w:rsidRPr="009B6E8B" w:rsidR="000C1272">
        <w:rPr>
          <w:sz w:val="22"/>
          <w:szCs w:val="22"/>
        </w:rPr>
        <w:t>s</w:t>
      </w:r>
      <w:r w:rsidRPr="009B6E8B">
        <w:rPr>
          <w:sz w:val="22"/>
          <w:szCs w:val="22"/>
        </w:rPr>
        <w:t xml:space="preserve">pecial </w:t>
      </w:r>
      <w:r w:rsidRPr="009B6E8B" w:rsidR="000C1272">
        <w:rPr>
          <w:sz w:val="22"/>
          <w:szCs w:val="22"/>
        </w:rPr>
        <w:t>r</w:t>
      </w:r>
      <w:r w:rsidRPr="009B6E8B">
        <w:rPr>
          <w:sz w:val="22"/>
          <w:szCs w:val="22"/>
        </w:rPr>
        <w:t xml:space="preserve">eports as required. </w:t>
      </w:r>
      <w:r w:rsidRPr="009B6E8B" w:rsidR="005D23FE">
        <w:rPr>
          <w:sz w:val="22"/>
          <w:szCs w:val="22"/>
        </w:rPr>
        <w:t xml:space="preserve"> </w:t>
      </w:r>
      <w:r w:rsidRPr="009B6E8B" w:rsidR="00DF1032">
        <w:rPr>
          <w:sz w:val="22"/>
          <w:szCs w:val="22"/>
        </w:rPr>
        <w:t>The licensee should review t</w:t>
      </w:r>
      <w:r w:rsidRPr="009B6E8B">
        <w:rPr>
          <w:sz w:val="22"/>
          <w:szCs w:val="22"/>
        </w:rPr>
        <w:t xml:space="preserve">hese reports to determine </w:t>
      </w:r>
      <w:r>
        <w:rPr>
          <w:sz w:val="22"/>
          <w:szCs w:val="22"/>
        </w:rPr>
        <w:t xml:space="preserve">whether they contain </w:t>
      </w:r>
      <w:r w:rsidRPr="009B6E8B">
        <w:rPr>
          <w:sz w:val="22"/>
          <w:szCs w:val="22"/>
        </w:rPr>
        <w:t>information</w:t>
      </w:r>
      <w:r w:rsidR="00032195">
        <w:rPr>
          <w:sz w:val="22"/>
          <w:szCs w:val="22"/>
        </w:rPr>
        <w:t xml:space="preserve"> that</w:t>
      </w:r>
      <w:r w:rsidRPr="009B6E8B">
        <w:rPr>
          <w:sz w:val="22"/>
          <w:szCs w:val="22"/>
        </w:rPr>
        <w:t xml:space="preserve"> should be included in the </w:t>
      </w:r>
      <w:r w:rsidRPr="009B6E8B" w:rsidR="00853C27">
        <w:rPr>
          <w:sz w:val="22"/>
          <w:szCs w:val="22"/>
        </w:rPr>
        <w:t xml:space="preserve">updated </w:t>
      </w:r>
      <w:r w:rsidRPr="009B6E8B" w:rsidR="00853C27">
        <w:rPr>
          <w:sz w:val="22"/>
          <w:szCs w:val="22"/>
        </w:rPr>
        <w:t>FSAR</w:t>
      </w:r>
      <w:r w:rsidRPr="009B6E8B" w:rsidR="00853C27">
        <w:rPr>
          <w:sz w:val="22"/>
          <w:szCs w:val="22"/>
        </w:rPr>
        <w:t xml:space="preserve"> and subsequent </w:t>
      </w:r>
      <w:r w:rsidRPr="009B6E8B" w:rsidR="00853C27">
        <w:rPr>
          <w:sz w:val="22"/>
          <w:szCs w:val="22"/>
        </w:rPr>
        <w:t>FSAR</w:t>
      </w:r>
      <w:r w:rsidRPr="009B6E8B" w:rsidR="00853C27">
        <w:rPr>
          <w:sz w:val="22"/>
          <w:szCs w:val="22"/>
        </w:rPr>
        <w:t xml:space="preserve"> updates</w:t>
      </w:r>
      <w:r w:rsidRPr="009B6E8B">
        <w:rPr>
          <w:sz w:val="22"/>
          <w:szCs w:val="22"/>
        </w:rPr>
        <w:t>.</w:t>
      </w:r>
      <w:r w:rsidRPr="009B6E8B" w:rsidR="00786C3E">
        <w:rPr>
          <w:sz w:val="22"/>
          <w:szCs w:val="22"/>
        </w:rPr>
        <w:t xml:space="preserve"> </w:t>
      </w:r>
      <w:r w:rsidRPr="009B6E8B" w:rsidR="00A16E50">
        <w:rPr>
          <w:sz w:val="22"/>
          <w:szCs w:val="22"/>
        </w:rPr>
        <w:t xml:space="preserve"> </w:t>
      </w:r>
      <w:r w:rsidRPr="009B6E8B" w:rsidR="00D10D92">
        <w:rPr>
          <w:sz w:val="22"/>
          <w:szCs w:val="22"/>
        </w:rPr>
        <w:t>E</w:t>
      </w:r>
      <w:r w:rsidRPr="009B6E8B">
        <w:rPr>
          <w:sz w:val="22"/>
          <w:szCs w:val="22"/>
        </w:rPr>
        <w:t>xample</w:t>
      </w:r>
      <w:r w:rsidRPr="009B6E8B" w:rsidR="00D10D92">
        <w:rPr>
          <w:sz w:val="22"/>
          <w:szCs w:val="22"/>
        </w:rPr>
        <w:t xml:space="preserve">s </w:t>
      </w:r>
      <w:r>
        <w:rPr>
          <w:sz w:val="22"/>
          <w:szCs w:val="22"/>
        </w:rPr>
        <w:t xml:space="preserve">of information </w:t>
      </w:r>
      <w:r w:rsidR="000213CF">
        <w:rPr>
          <w:sz w:val="22"/>
          <w:szCs w:val="22"/>
        </w:rPr>
        <w:t>that should be considered under</w:t>
      </w:r>
      <w:r>
        <w:rPr>
          <w:sz w:val="22"/>
          <w:szCs w:val="22"/>
        </w:rPr>
        <w:t xml:space="preserve"> the requirements in 10 CFR 50.71(e)</w:t>
      </w:r>
      <w:r w:rsidR="00853C27">
        <w:rPr>
          <w:sz w:val="22"/>
          <w:szCs w:val="22"/>
        </w:rPr>
        <w:t xml:space="preserve"> for NPUFs</w:t>
      </w:r>
      <w:r>
        <w:rPr>
          <w:sz w:val="22"/>
          <w:szCs w:val="22"/>
        </w:rPr>
        <w:t xml:space="preserve"> </w:t>
      </w:r>
      <w:r w:rsidRPr="009B6E8B" w:rsidR="00D10D92">
        <w:rPr>
          <w:sz w:val="22"/>
          <w:szCs w:val="22"/>
        </w:rPr>
        <w:t>include</w:t>
      </w:r>
      <w:r w:rsidRPr="009B6E8B" w:rsidR="00DF1032">
        <w:rPr>
          <w:sz w:val="22"/>
          <w:szCs w:val="22"/>
        </w:rPr>
        <w:t xml:space="preserve"> the following</w:t>
      </w:r>
      <w:r w:rsidRPr="009B6E8B">
        <w:rPr>
          <w:sz w:val="22"/>
          <w:szCs w:val="22"/>
        </w:rPr>
        <w:t>:</w:t>
      </w:r>
    </w:p>
    <w:p w:rsidR="001750EF" w:rsidRPr="002A61CB" w:rsidP="00701763" w14:paraId="59451EEA" w14:textId="77777777">
      <w:pPr>
        <w:pStyle w:val="ListParagraph"/>
        <w:ind w:hanging="900"/>
        <w:rPr>
          <w:sz w:val="22"/>
          <w:szCs w:val="22"/>
        </w:rPr>
      </w:pPr>
    </w:p>
    <w:p w:rsidR="001750EF" w:rsidRPr="000B6CE3" w:rsidP="009B6E8B" w14:paraId="59451EEB" w14:textId="77777777">
      <w:pPr>
        <w:pStyle w:val="ListParagraph"/>
        <w:numPr>
          <w:ilvl w:val="3"/>
          <w:numId w:val="29"/>
        </w:numPr>
        <w:ind w:left="2160" w:hanging="720"/>
        <w:rPr>
          <w:sz w:val="22"/>
          <w:szCs w:val="22"/>
        </w:rPr>
      </w:pPr>
      <w:r w:rsidRPr="000B6CE3">
        <w:rPr>
          <w:sz w:val="22"/>
          <w:szCs w:val="22"/>
        </w:rPr>
        <w:t xml:space="preserve">evaluations performed </w:t>
      </w:r>
      <w:r w:rsidR="00B101AE">
        <w:rPr>
          <w:sz w:val="22"/>
          <w:szCs w:val="22"/>
        </w:rPr>
        <w:t xml:space="preserve">by </w:t>
      </w:r>
      <w:r w:rsidR="00EB5149">
        <w:rPr>
          <w:sz w:val="22"/>
          <w:szCs w:val="22"/>
        </w:rPr>
        <w:t xml:space="preserve">the </w:t>
      </w:r>
      <w:r w:rsidR="00B101AE">
        <w:rPr>
          <w:sz w:val="22"/>
          <w:szCs w:val="22"/>
        </w:rPr>
        <w:t xml:space="preserve">licensee </w:t>
      </w:r>
      <w:r w:rsidRPr="000B6CE3">
        <w:rPr>
          <w:sz w:val="22"/>
          <w:szCs w:val="22"/>
        </w:rPr>
        <w:t xml:space="preserve">under </w:t>
      </w:r>
      <w:r w:rsidR="009A7E24">
        <w:rPr>
          <w:sz w:val="22"/>
          <w:szCs w:val="22"/>
        </w:rPr>
        <w:t>10 CFR </w:t>
      </w:r>
      <w:r w:rsidRPr="000B6CE3">
        <w:rPr>
          <w:sz w:val="22"/>
          <w:szCs w:val="22"/>
        </w:rPr>
        <w:t>50.59</w:t>
      </w:r>
      <w:r w:rsidR="009A7E24">
        <w:rPr>
          <w:sz w:val="22"/>
          <w:szCs w:val="22"/>
        </w:rPr>
        <w:t xml:space="preserve"> that</w:t>
      </w:r>
      <w:r w:rsidRPr="000B6CE3">
        <w:rPr>
          <w:sz w:val="22"/>
          <w:szCs w:val="22"/>
        </w:rPr>
        <w:t xml:space="preserve"> result in changes to the </w:t>
      </w:r>
      <w:r w:rsidRPr="000B6CE3">
        <w:rPr>
          <w:sz w:val="22"/>
          <w:szCs w:val="22"/>
        </w:rPr>
        <w:t>FSAR</w:t>
      </w:r>
      <w:r w:rsidRPr="000B6CE3">
        <w:rPr>
          <w:sz w:val="22"/>
          <w:szCs w:val="22"/>
        </w:rPr>
        <w:t>.</w:t>
      </w:r>
      <w:r w:rsidR="00A16E50">
        <w:rPr>
          <w:sz w:val="22"/>
          <w:szCs w:val="22"/>
        </w:rPr>
        <w:t xml:space="preserve"> </w:t>
      </w:r>
      <w:r w:rsidRPr="000B6CE3">
        <w:rPr>
          <w:sz w:val="22"/>
          <w:szCs w:val="22"/>
        </w:rPr>
        <w:t xml:space="preserve"> </w:t>
      </w:r>
      <w:r w:rsidR="008C5EAF">
        <w:rPr>
          <w:sz w:val="22"/>
          <w:szCs w:val="22"/>
        </w:rPr>
        <w:t>Some examples include</w:t>
      </w:r>
      <w:r w:rsidR="00790E4E">
        <w:rPr>
          <w:sz w:val="22"/>
          <w:szCs w:val="22"/>
        </w:rPr>
        <w:t xml:space="preserve"> the following</w:t>
      </w:r>
      <w:r w:rsidRPr="000B6CE3">
        <w:rPr>
          <w:sz w:val="22"/>
          <w:szCs w:val="22"/>
        </w:rPr>
        <w:t>:</w:t>
      </w:r>
    </w:p>
    <w:p w:rsidR="004323EF" w:rsidRPr="000B6CE3" w:rsidP="00701763" w14:paraId="59451EEC" w14:textId="77777777">
      <w:pPr>
        <w:pStyle w:val="ListParagraph"/>
        <w:ind w:left="2880" w:hanging="900"/>
        <w:rPr>
          <w:sz w:val="22"/>
          <w:szCs w:val="22"/>
        </w:rPr>
      </w:pPr>
    </w:p>
    <w:p w:rsidR="009D693D" w:rsidP="009B6E8B" w14:paraId="59451EED" w14:textId="77777777">
      <w:pPr>
        <w:pStyle w:val="ListParagraph"/>
        <w:numPr>
          <w:ilvl w:val="4"/>
          <w:numId w:val="29"/>
        </w:numPr>
        <w:ind w:left="2880" w:hanging="720"/>
        <w:rPr>
          <w:sz w:val="22"/>
          <w:szCs w:val="22"/>
        </w:rPr>
      </w:pPr>
      <w:r>
        <w:rPr>
          <w:sz w:val="22"/>
          <w:szCs w:val="22"/>
        </w:rPr>
        <w:t>e</w:t>
      </w:r>
      <w:r>
        <w:rPr>
          <w:sz w:val="22"/>
          <w:szCs w:val="22"/>
        </w:rPr>
        <w:t>valuation of a change made to the facility during</w:t>
      </w:r>
      <w:r>
        <w:rPr>
          <w:sz w:val="22"/>
          <w:szCs w:val="22"/>
        </w:rPr>
        <w:t>,</w:t>
      </w:r>
      <w:r>
        <w:rPr>
          <w:sz w:val="22"/>
          <w:szCs w:val="22"/>
        </w:rPr>
        <w:t xml:space="preserve"> or as a result of</w:t>
      </w:r>
      <w:r>
        <w:rPr>
          <w:sz w:val="22"/>
          <w:szCs w:val="22"/>
        </w:rPr>
        <w:t xml:space="preserve">, the </w:t>
      </w:r>
      <w:r>
        <w:rPr>
          <w:sz w:val="22"/>
          <w:szCs w:val="22"/>
        </w:rPr>
        <w:t xml:space="preserve">commissioning </w:t>
      </w:r>
      <w:r>
        <w:rPr>
          <w:sz w:val="22"/>
          <w:szCs w:val="22"/>
        </w:rPr>
        <w:t xml:space="preserve">of </w:t>
      </w:r>
      <w:r>
        <w:rPr>
          <w:sz w:val="22"/>
          <w:szCs w:val="22"/>
        </w:rPr>
        <w:t xml:space="preserve">a new facility or a major facility </w:t>
      </w:r>
      <w:r>
        <w:rPr>
          <w:sz w:val="22"/>
          <w:szCs w:val="22"/>
        </w:rPr>
        <w:t>modification;</w:t>
      </w:r>
    </w:p>
    <w:p w:rsidR="00EC0C1A" w:rsidP="009B6E8B" w14:paraId="59451EEE" w14:textId="77777777">
      <w:pPr>
        <w:pStyle w:val="ListParagraph"/>
        <w:ind w:left="2880" w:hanging="720"/>
        <w:rPr>
          <w:sz w:val="22"/>
          <w:szCs w:val="22"/>
        </w:rPr>
      </w:pPr>
    </w:p>
    <w:p w:rsidR="004323EF" w:rsidRPr="000B6CE3" w:rsidP="009B6E8B" w14:paraId="59451EEF" w14:textId="3B0C152B">
      <w:pPr>
        <w:pStyle w:val="ListParagraph"/>
        <w:numPr>
          <w:ilvl w:val="4"/>
          <w:numId w:val="29"/>
        </w:numPr>
        <w:ind w:left="2880" w:hanging="720"/>
        <w:rPr>
          <w:sz w:val="22"/>
          <w:szCs w:val="22"/>
        </w:rPr>
      </w:pPr>
      <w:r>
        <w:rPr>
          <w:sz w:val="22"/>
          <w:szCs w:val="22"/>
        </w:rPr>
        <w:t>e</w:t>
      </w:r>
      <w:r w:rsidRPr="000B6CE3">
        <w:rPr>
          <w:sz w:val="22"/>
          <w:szCs w:val="22"/>
        </w:rPr>
        <w:t>valuation of</w:t>
      </w:r>
      <w:r w:rsidR="009D693D">
        <w:rPr>
          <w:sz w:val="22"/>
          <w:szCs w:val="22"/>
        </w:rPr>
        <w:t xml:space="preserve"> a</w:t>
      </w:r>
      <w:r w:rsidRPr="000B6CE3">
        <w:rPr>
          <w:sz w:val="22"/>
          <w:szCs w:val="22"/>
        </w:rPr>
        <w:t xml:space="preserve"> </w:t>
      </w:r>
      <w:r w:rsidR="00234C2A">
        <w:rPr>
          <w:sz w:val="22"/>
          <w:szCs w:val="22"/>
        </w:rPr>
        <w:t>change</w:t>
      </w:r>
      <w:r w:rsidR="0007416D">
        <w:rPr>
          <w:sz w:val="22"/>
          <w:szCs w:val="22"/>
        </w:rPr>
        <w:t xml:space="preserve"> to </w:t>
      </w:r>
      <w:r w:rsidR="00234C2A">
        <w:rPr>
          <w:sz w:val="22"/>
          <w:szCs w:val="22"/>
        </w:rPr>
        <w:t>a</w:t>
      </w:r>
      <w:r w:rsidR="003E411B">
        <w:rPr>
          <w:sz w:val="22"/>
          <w:szCs w:val="22"/>
        </w:rPr>
        <w:t>n</w:t>
      </w:r>
      <w:r w:rsidR="00234C2A">
        <w:rPr>
          <w:sz w:val="22"/>
          <w:szCs w:val="22"/>
        </w:rPr>
        <w:t xml:space="preserve"> </w:t>
      </w:r>
      <w:r w:rsidR="003E411B">
        <w:rPr>
          <w:sz w:val="22"/>
          <w:szCs w:val="22"/>
        </w:rPr>
        <w:t>SSC</w:t>
      </w:r>
      <w:r w:rsidR="0007416D">
        <w:rPr>
          <w:sz w:val="22"/>
          <w:szCs w:val="22"/>
        </w:rPr>
        <w:t xml:space="preserve"> as part of </w:t>
      </w:r>
      <w:r w:rsidRPr="000B6CE3">
        <w:rPr>
          <w:sz w:val="22"/>
          <w:szCs w:val="22"/>
        </w:rPr>
        <w:t>major preventive or corrective maintenance (e.g., replacing a</w:t>
      </w:r>
      <w:r w:rsidR="00234C2A">
        <w:rPr>
          <w:sz w:val="22"/>
          <w:szCs w:val="22"/>
        </w:rPr>
        <w:t>n</w:t>
      </w:r>
      <w:r w:rsidRPr="000B6CE3">
        <w:rPr>
          <w:sz w:val="22"/>
          <w:szCs w:val="22"/>
        </w:rPr>
        <w:t xml:space="preserve"> analog meter with a digital readout</w:t>
      </w:r>
      <w:r>
        <w:rPr>
          <w:sz w:val="22"/>
          <w:szCs w:val="22"/>
        </w:rPr>
        <w:t>,</w:t>
      </w:r>
      <w:r w:rsidRPr="000B6CE3">
        <w:rPr>
          <w:sz w:val="22"/>
          <w:szCs w:val="22"/>
        </w:rPr>
        <w:t xml:space="preserve"> replacing a safety</w:t>
      </w:r>
      <w:r w:rsidRPr="000B6CE3" w:rsidR="5ECCA2F3">
        <w:rPr>
          <w:sz w:val="22"/>
          <w:szCs w:val="22"/>
        </w:rPr>
        <w:t xml:space="preserve"> </w:t>
      </w:r>
      <w:r>
        <w:rPr>
          <w:sz w:val="22"/>
          <w:szCs w:val="22"/>
        </w:rPr>
        <w:noBreakHyphen/>
      </w:r>
      <w:r w:rsidRPr="000B6CE3">
        <w:rPr>
          <w:sz w:val="22"/>
          <w:szCs w:val="22"/>
        </w:rPr>
        <w:t xml:space="preserve">related pump with </w:t>
      </w:r>
      <w:r w:rsidR="0049258C">
        <w:rPr>
          <w:sz w:val="22"/>
          <w:szCs w:val="22"/>
        </w:rPr>
        <w:t>one</w:t>
      </w:r>
      <w:r>
        <w:rPr>
          <w:sz w:val="22"/>
          <w:szCs w:val="22"/>
        </w:rPr>
        <w:t xml:space="preserve"> that has</w:t>
      </w:r>
      <w:r w:rsidRPr="000B6CE3">
        <w:rPr>
          <w:sz w:val="22"/>
          <w:szCs w:val="22"/>
        </w:rPr>
        <w:t xml:space="preserve"> </w:t>
      </w:r>
      <w:r w:rsidRPr="000B6CE3">
        <w:rPr>
          <w:sz w:val="22"/>
          <w:szCs w:val="22"/>
        </w:rPr>
        <w:t xml:space="preserve">increased flow when the flow is an analyzed condition in the </w:t>
      </w:r>
      <w:r w:rsidRPr="000B6CE3">
        <w:rPr>
          <w:sz w:val="22"/>
          <w:szCs w:val="22"/>
        </w:rPr>
        <w:t>FSAR</w:t>
      </w:r>
      <w:r>
        <w:rPr>
          <w:sz w:val="22"/>
          <w:szCs w:val="22"/>
        </w:rPr>
        <w:t>,</w:t>
      </w:r>
      <w:r w:rsidRPr="000B6CE3">
        <w:rPr>
          <w:sz w:val="22"/>
          <w:szCs w:val="22"/>
        </w:rPr>
        <w:t xml:space="preserve"> or </w:t>
      </w:r>
      <w:r w:rsidR="009D693D">
        <w:rPr>
          <w:sz w:val="22"/>
          <w:szCs w:val="22"/>
        </w:rPr>
        <w:t xml:space="preserve">a </w:t>
      </w:r>
      <w:r w:rsidRPr="000B6CE3">
        <w:rPr>
          <w:sz w:val="22"/>
          <w:szCs w:val="22"/>
        </w:rPr>
        <w:t xml:space="preserve">change to </w:t>
      </w:r>
      <w:r w:rsidR="009D693D">
        <w:rPr>
          <w:sz w:val="22"/>
          <w:szCs w:val="22"/>
        </w:rPr>
        <w:t xml:space="preserve">an </w:t>
      </w:r>
      <w:r w:rsidRPr="000B6CE3" w:rsidR="009B6609">
        <w:rPr>
          <w:sz w:val="22"/>
          <w:szCs w:val="22"/>
        </w:rPr>
        <w:t xml:space="preserve">electrical </w:t>
      </w:r>
      <w:r w:rsidR="009D693D">
        <w:rPr>
          <w:sz w:val="22"/>
          <w:szCs w:val="22"/>
        </w:rPr>
        <w:t>system schematic or an</w:t>
      </w:r>
      <w:r w:rsidRPr="000B6CE3">
        <w:rPr>
          <w:sz w:val="22"/>
          <w:szCs w:val="22"/>
        </w:rPr>
        <w:t xml:space="preserve"> </w:t>
      </w:r>
      <w:r w:rsidRPr="000B6CE3" w:rsidR="009B6609">
        <w:rPr>
          <w:sz w:val="22"/>
          <w:szCs w:val="22"/>
        </w:rPr>
        <w:t xml:space="preserve">instrumentation </w:t>
      </w:r>
      <w:r w:rsidRPr="000B6CE3">
        <w:rPr>
          <w:sz w:val="22"/>
          <w:szCs w:val="22"/>
        </w:rPr>
        <w:t xml:space="preserve">and </w:t>
      </w:r>
      <w:r w:rsidRPr="000B6CE3" w:rsidR="009B6609">
        <w:rPr>
          <w:sz w:val="22"/>
          <w:szCs w:val="22"/>
        </w:rPr>
        <w:t xml:space="preserve">control </w:t>
      </w:r>
      <w:r w:rsidRPr="000B6CE3">
        <w:rPr>
          <w:sz w:val="22"/>
          <w:szCs w:val="22"/>
        </w:rPr>
        <w:t xml:space="preserve">drawing in the </w:t>
      </w:r>
      <w:r w:rsidRPr="000B6CE3">
        <w:rPr>
          <w:sz w:val="22"/>
          <w:szCs w:val="22"/>
        </w:rPr>
        <w:t>FSAR</w:t>
      </w:r>
      <w:r w:rsidRPr="000B6CE3">
        <w:rPr>
          <w:sz w:val="22"/>
          <w:szCs w:val="22"/>
        </w:rPr>
        <w:t>);</w:t>
      </w:r>
    </w:p>
    <w:p w:rsidR="004323EF" w:rsidRPr="000B6CE3" w:rsidP="009B6E8B" w14:paraId="59451EF0" w14:textId="77777777">
      <w:pPr>
        <w:pStyle w:val="ListParagraph"/>
        <w:ind w:left="2880" w:hanging="720"/>
        <w:rPr>
          <w:sz w:val="22"/>
          <w:szCs w:val="22"/>
        </w:rPr>
      </w:pPr>
    </w:p>
    <w:p w:rsidR="004323EF" w:rsidRPr="00FC1B2A" w:rsidP="009B6E8B" w14:paraId="59451EF1" w14:textId="77777777">
      <w:pPr>
        <w:pStyle w:val="ListParagraph"/>
        <w:numPr>
          <w:ilvl w:val="4"/>
          <w:numId w:val="29"/>
        </w:numPr>
        <w:ind w:left="2880" w:hanging="720"/>
        <w:rPr>
          <w:sz w:val="22"/>
          <w:szCs w:val="22"/>
        </w:rPr>
      </w:pPr>
      <w:r>
        <w:rPr>
          <w:sz w:val="22"/>
          <w:szCs w:val="22"/>
        </w:rPr>
        <w:t>e</w:t>
      </w:r>
      <w:r w:rsidRPr="000B6CE3">
        <w:rPr>
          <w:sz w:val="22"/>
          <w:szCs w:val="22"/>
        </w:rPr>
        <w:t xml:space="preserve">valuation of </w:t>
      </w:r>
      <w:r w:rsidR="009D693D">
        <w:rPr>
          <w:sz w:val="22"/>
          <w:szCs w:val="22"/>
        </w:rPr>
        <w:t xml:space="preserve">a </w:t>
      </w:r>
      <w:r w:rsidRPr="000B6CE3">
        <w:rPr>
          <w:sz w:val="22"/>
          <w:szCs w:val="22"/>
        </w:rPr>
        <w:t>change in the facility</w:t>
      </w:r>
      <w:r w:rsidR="00234C2A">
        <w:rPr>
          <w:sz w:val="22"/>
          <w:szCs w:val="22"/>
        </w:rPr>
        <w:t>,</w:t>
      </w:r>
      <w:r w:rsidRPr="000B6CE3">
        <w:rPr>
          <w:sz w:val="22"/>
          <w:szCs w:val="22"/>
        </w:rPr>
        <w:t xml:space="preserve"> procedures, </w:t>
      </w:r>
      <w:r w:rsidR="00234C2A">
        <w:rPr>
          <w:sz w:val="22"/>
          <w:szCs w:val="22"/>
        </w:rPr>
        <w:t xml:space="preserve">or </w:t>
      </w:r>
      <w:r w:rsidRPr="000B6CE3">
        <w:rPr>
          <w:sz w:val="22"/>
          <w:szCs w:val="22"/>
        </w:rPr>
        <w:t>experiment</w:t>
      </w:r>
      <w:r w:rsidR="000F0951">
        <w:rPr>
          <w:sz w:val="22"/>
          <w:szCs w:val="22"/>
        </w:rPr>
        <w:t>s</w:t>
      </w:r>
      <w:r w:rsidRPr="000B6CE3">
        <w:rPr>
          <w:sz w:val="22"/>
          <w:szCs w:val="22"/>
        </w:rPr>
        <w:t xml:space="preserve"> not previously analyzed or described in the </w:t>
      </w:r>
      <w:r w:rsidRPr="000B6CE3">
        <w:rPr>
          <w:sz w:val="22"/>
          <w:szCs w:val="22"/>
        </w:rPr>
        <w:t>FSAR</w:t>
      </w:r>
      <w:r>
        <w:rPr>
          <w:sz w:val="22"/>
          <w:szCs w:val="22"/>
        </w:rPr>
        <w:t>;</w:t>
      </w:r>
    </w:p>
    <w:p w:rsidR="004323EF" w:rsidRPr="002A61CB" w:rsidP="009B6E8B" w14:paraId="59451EF2" w14:textId="77777777">
      <w:pPr>
        <w:pStyle w:val="ListParagraph"/>
        <w:ind w:left="2880" w:hanging="720"/>
        <w:rPr>
          <w:sz w:val="22"/>
          <w:szCs w:val="22"/>
        </w:rPr>
      </w:pPr>
    </w:p>
    <w:p w:rsidR="004323EF" w14:paraId="59451EF3" w14:textId="77777777">
      <w:pPr>
        <w:pStyle w:val="ListParagraph"/>
        <w:numPr>
          <w:ilvl w:val="3"/>
          <w:numId w:val="29"/>
        </w:numPr>
        <w:spacing w:after="240"/>
        <w:ind w:left="2160" w:hanging="720"/>
        <w:rPr>
          <w:sz w:val="22"/>
          <w:szCs w:val="22"/>
        </w:rPr>
      </w:pPr>
      <w:r w:rsidRPr="002A61CB">
        <w:rPr>
          <w:sz w:val="22"/>
          <w:szCs w:val="22"/>
        </w:rPr>
        <w:t xml:space="preserve">evaluations </w:t>
      </w:r>
      <w:r w:rsidR="009D693D">
        <w:rPr>
          <w:sz w:val="22"/>
          <w:szCs w:val="22"/>
        </w:rPr>
        <w:t xml:space="preserve">and analyses </w:t>
      </w:r>
      <w:r w:rsidRPr="002A61CB">
        <w:rPr>
          <w:sz w:val="22"/>
          <w:szCs w:val="22"/>
        </w:rPr>
        <w:t>performed</w:t>
      </w:r>
      <w:r w:rsidR="00B101AE">
        <w:rPr>
          <w:sz w:val="22"/>
          <w:szCs w:val="22"/>
        </w:rPr>
        <w:t xml:space="preserve"> by</w:t>
      </w:r>
      <w:r w:rsidR="00EB5149">
        <w:rPr>
          <w:sz w:val="22"/>
          <w:szCs w:val="22"/>
        </w:rPr>
        <w:t xml:space="preserve"> the</w:t>
      </w:r>
      <w:r w:rsidR="00B101AE">
        <w:rPr>
          <w:sz w:val="22"/>
          <w:szCs w:val="22"/>
        </w:rPr>
        <w:t xml:space="preserve"> licensee</w:t>
      </w:r>
      <w:r w:rsidR="009D693D">
        <w:rPr>
          <w:sz w:val="22"/>
          <w:szCs w:val="22"/>
        </w:rPr>
        <w:t xml:space="preserve"> to support an amendment to an NPUF operating license</w:t>
      </w:r>
      <w:r w:rsidRPr="002A61CB">
        <w:rPr>
          <w:sz w:val="22"/>
          <w:szCs w:val="22"/>
        </w:rPr>
        <w:t xml:space="preserve"> under </w:t>
      </w:r>
      <w:r w:rsidR="009A7E24">
        <w:rPr>
          <w:sz w:val="22"/>
          <w:szCs w:val="22"/>
        </w:rPr>
        <w:t>10 CFR </w:t>
      </w:r>
      <w:r w:rsidRPr="002A61CB">
        <w:rPr>
          <w:sz w:val="22"/>
          <w:szCs w:val="22"/>
        </w:rPr>
        <w:t>50.90</w:t>
      </w:r>
      <w:r w:rsidR="009A7E24">
        <w:rPr>
          <w:sz w:val="22"/>
          <w:szCs w:val="22"/>
        </w:rPr>
        <w:t>;</w:t>
      </w:r>
    </w:p>
    <w:p w:rsidR="002F78E1" w:rsidRPr="002A61CB" w:rsidP="002F78E1" w14:paraId="64730465" w14:textId="77777777">
      <w:pPr>
        <w:pStyle w:val="ListParagraph"/>
        <w:spacing w:after="240"/>
        <w:ind w:left="2160"/>
        <w:rPr>
          <w:sz w:val="22"/>
          <w:szCs w:val="22"/>
        </w:rPr>
      </w:pPr>
    </w:p>
    <w:p w:rsidR="004323EF" w:rsidRPr="002A61CB" w:rsidP="009B6E8B" w14:paraId="59451EF4" w14:textId="77777777">
      <w:pPr>
        <w:pStyle w:val="ListParagraph"/>
        <w:numPr>
          <w:ilvl w:val="3"/>
          <w:numId w:val="29"/>
        </w:numPr>
        <w:ind w:left="2160" w:hanging="720"/>
        <w:rPr>
          <w:sz w:val="22"/>
          <w:szCs w:val="22"/>
        </w:rPr>
      </w:pPr>
      <w:r w:rsidRPr="002A61CB">
        <w:rPr>
          <w:sz w:val="22"/>
          <w:szCs w:val="22"/>
        </w:rPr>
        <w:t>response</w:t>
      </w:r>
      <w:r w:rsidR="003E411B">
        <w:rPr>
          <w:sz w:val="22"/>
          <w:szCs w:val="22"/>
        </w:rPr>
        <w:t xml:space="preserve">s by </w:t>
      </w:r>
      <w:r w:rsidR="00EB5149">
        <w:rPr>
          <w:sz w:val="22"/>
          <w:szCs w:val="22"/>
        </w:rPr>
        <w:t xml:space="preserve">the </w:t>
      </w:r>
      <w:r w:rsidR="003E411B">
        <w:rPr>
          <w:sz w:val="22"/>
          <w:szCs w:val="22"/>
        </w:rPr>
        <w:t>licensee</w:t>
      </w:r>
      <w:r w:rsidRPr="002A61CB">
        <w:rPr>
          <w:sz w:val="22"/>
          <w:szCs w:val="22"/>
        </w:rPr>
        <w:t xml:space="preserve"> to </w:t>
      </w:r>
      <w:r w:rsidR="003E411B">
        <w:rPr>
          <w:sz w:val="22"/>
          <w:szCs w:val="22"/>
        </w:rPr>
        <w:t xml:space="preserve">the </w:t>
      </w:r>
      <w:r w:rsidRPr="002A61CB">
        <w:rPr>
          <w:sz w:val="22"/>
          <w:szCs w:val="22"/>
        </w:rPr>
        <w:t>NRC</w:t>
      </w:r>
      <w:r w:rsidR="003E411B">
        <w:rPr>
          <w:sz w:val="22"/>
          <w:szCs w:val="22"/>
        </w:rPr>
        <w:t>’s</w:t>
      </w:r>
      <w:r w:rsidRPr="002A61CB">
        <w:rPr>
          <w:sz w:val="22"/>
          <w:szCs w:val="22"/>
        </w:rPr>
        <w:t xml:space="preserve"> request</w:t>
      </w:r>
      <w:r w:rsidR="003E411B">
        <w:rPr>
          <w:sz w:val="22"/>
          <w:szCs w:val="22"/>
        </w:rPr>
        <w:t>s</w:t>
      </w:r>
      <w:r w:rsidRPr="002A61CB">
        <w:rPr>
          <w:sz w:val="22"/>
          <w:szCs w:val="22"/>
        </w:rPr>
        <w:t xml:space="preserve"> for additional information </w:t>
      </w:r>
      <w:r w:rsidRPr="002A61CB" w:rsidR="003469E9">
        <w:rPr>
          <w:sz w:val="22"/>
          <w:szCs w:val="22"/>
        </w:rPr>
        <w:t>(</w:t>
      </w:r>
      <w:r w:rsidR="009B147C">
        <w:rPr>
          <w:sz w:val="22"/>
          <w:szCs w:val="22"/>
        </w:rPr>
        <w:t>e.g</w:t>
      </w:r>
      <w:r w:rsidR="003125D8">
        <w:rPr>
          <w:sz w:val="22"/>
          <w:szCs w:val="22"/>
        </w:rPr>
        <w:t>.</w:t>
      </w:r>
      <w:r w:rsidRPr="002A61CB" w:rsidR="003469E9">
        <w:rPr>
          <w:sz w:val="22"/>
          <w:szCs w:val="22"/>
        </w:rPr>
        <w:t>,</w:t>
      </w:r>
      <w:r w:rsidR="009A7E24">
        <w:rPr>
          <w:sz w:val="22"/>
          <w:szCs w:val="22"/>
        </w:rPr>
        <w:t> </w:t>
      </w:r>
      <w:r w:rsidRPr="002A61CB" w:rsidR="003469E9">
        <w:rPr>
          <w:sz w:val="22"/>
          <w:szCs w:val="22"/>
        </w:rPr>
        <w:t xml:space="preserve">during </w:t>
      </w:r>
      <w:r w:rsidR="003125D8">
        <w:rPr>
          <w:sz w:val="22"/>
          <w:szCs w:val="22"/>
        </w:rPr>
        <w:t xml:space="preserve">initial licensing, </w:t>
      </w:r>
      <w:r w:rsidRPr="002A61CB" w:rsidR="003469E9">
        <w:rPr>
          <w:sz w:val="22"/>
          <w:szCs w:val="22"/>
        </w:rPr>
        <w:t>license renewal, or the amendment process)</w:t>
      </w:r>
      <w:r w:rsidR="003469E9">
        <w:rPr>
          <w:sz w:val="22"/>
          <w:szCs w:val="22"/>
        </w:rPr>
        <w:t xml:space="preserve"> or other Commission request</w:t>
      </w:r>
      <w:r w:rsidR="009A7E24">
        <w:rPr>
          <w:sz w:val="22"/>
          <w:szCs w:val="22"/>
        </w:rPr>
        <w:t>s</w:t>
      </w:r>
      <w:r w:rsidR="003469E9">
        <w:rPr>
          <w:sz w:val="22"/>
          <w:szCs w:val="22"/>
        </w:rPr>
        <w:t xml:space="preserve"> or requirement</w:t>
      </w:r>
      <w:r w:rsidR="009A7E24">
        <w:rPr>
          <w:sz w:val="22"/>
          <w:szCs w:val="22"/>
        </w:rPr>
        <w:t>s</w:t>
      </w:r>
      <w:r w:rsidR="003469E9">
        <w:rPr>
          <w:sz w:val="22"/>
          <w:szCs w:val="22"/>
        </w:rPr>
        <w:t xml:space="preserve"> </w:t>
      </w:r>
      <w:r w:rsidR="00234C2A">
        <w:rPr>
          <w:sz w:val="22"/>
          <w:szCs w:val="22"/>
        </w:rPr>
        <w:t>that</w:t>
      </w:r>
      <w:r w:rsidRPr="002A61CB" w:rsidR="00234C2A">
        <w:rPr>
          <w:sz w:val="22"/>
          <w:szCs w:val="22"/>
        </w:rPr>
        <w:t xml:space="preserve"> </w:t>
      </w:r>
      <w:r w:rsidRPr="002A61CB">
        <w:rPr>
          <w:sz w:val="22"/>
          <w:szCs w:val="22"/>
        </w:rPr>
        <w:t xml:space="preserve">result in changes to the </w:t>
      </w:r>
      <w:r w:rsidRPr="002A61CB">
        <w:rPr>
          <w:sz w:val="22"/>
          <w:szCs w:val="22"/>
        </w:rPr>
        <w:t>FSAR</w:t>
      </w:r>
      <w:r w:rsidR="009A7E24">
        <w:rPr>
          <w:sz w:val="22"/>
          <w:szCs w:val="22"/>
        </w:rPr>
        <w:t>;</w:t>
      </w:r>
    </w:p>
    <w:p w:rsidR="004323EF" w:rsidRPr="002A61CB" w:rsidP="009B6E8B" w14:paraId="59451EF5" w14:textId="77777777">
      <w:pPr>
        <w:pStyle w:val="ListParagraph"/>
        <w:ind w:left="2160" w:hanging="720"/>
        <w:rPr>
          <w:sz w:val="22"/>
          <w:szCs w:val="22"/>
        </w:rPr>
      </w:pPr>
    </w:p>
    <w:p w:rsidR="004323EF" w:rsidRPr="002A61CB" w:rsidP="009B6E8B" w14:paraId="59451EF6" w14:textId="77777777">
      <w:pPr>
        <w:pStyle w:val="ListParagraph"/>
        <w:numPr>
          <w:ilvl w:val="3"/>
          <w:numId w:val="29"/>
        </w:numPr>
        <w:ind w:left="2160" w:hanging="720"/>
        <w:rPr>
          <w:sz w:val="22"/>
          <w:szCs w:val="22"/>
        </w:rPr>
      </w:pPr>
      <w:r>
        <w:rPr>
          <w:sz w:val="22"/>
          <w:szCs w:val="22"/>
        </w:rPr>
        <w:t>e</w:t>
      </w:r>
      <w:r w:rsidRPr="002A61CB">
        <w:rPr>
          <w:sz w:val="22"/>
          <w:szCs w:val="22"/>
        </w:rPr>
        <w:t xml:space="preserve">valuations </w:t>
      </w:r>
      <w:r w:rsidR="00EB5149">
        <w:rPr>
          <w:sz w:val="22"/>
          <w:szCs w:val="22"/>
        </w:rPr>
        <w:t xml:space="preserve">by the licensee </w:t>
      </w:r>
      <w:r w:rsidRPr="002A61CB">
        <w:rPr>
          <w:sz w:val="22"/>
          <w:szCs w:val="22"/>
        </w:rPr>
        <w:t xml:space="preserve">of potential </w:t>
      </w:r>
      <w:r w:rsidR="009D693D">
        <w:rPr>
          <w:sz w:val="22"/>
          <w:szCs w:val="22"/>
        </w:rPr>
        <w:t xml:space="preserve">or actual </w:t>
      </w:r>
      <w:r w:rsidRPr="002A61CB">
        <w:rPr>
          <w:sz w:val="22"/>
          <w:szCs w:val="22"/>
        </w:rPr>
        <w:t xml:space="preserve">aging </w:t>
      </w:r>
      <w:r w:rsidR="009D693D">
        <w:rPr>
          <w:sz w:val="22"/>
          <w:szCs w:val="22"/>
        </w:rPr>
        <w:t>of</w:t>
      </w:r>
      <w:r w:rsidRPr="002A61CB">
        <w:rPr>
          <w:sz w:val="22"/>
          <w:szCs w:val="22"/>
        </w:rPr>
        <w:t xml:space="preserve"> </w:t>
      </w:r>
      <w:r w:rsidR="008F477A">
        <w:rPr>
          <w:sz w:val="22"/>
          <w:szCs w:val="22"/>
        </w:rPr>
        <w:t>SSCs</w:t>
      </w:r>
      <w:r w:rsidRPr="002A61CB">
        <w:rPr>
          <w:sz w:val="22"/>
          <w:szCs w:val="22"/>
        </w:rPr>
        <w:t xml:space="preserve"> and any aging management actions taken (e.g.,</w:t>
      </w:r>
      <w:r>
        <w:rPr>
          <w:sz w:val="22"/>
          <w:szCs w:val="22"/>
        </w:rPr>
        <w:t> </w:t>
      </w:r>
      <w:r w:rsidRPr="002A61CB">
        <w:rPr>
          <w:sz w:val="22"/>
          <w:szCs w:val="22"/>
        </w:rPr>
        <w:t>repair of pool liner leakage, abandonment of underground piping)</w:t>
      </w:r>
      <w:r w:rsidR="009D693D">
        <w:rPr>
          <w:sz w:val="22"/>
          <w:szCs w:val="22"/>
        </w:rPr>
        <w:t xml:space="preserve"> that affect the descriptions or analyses in the </w:t>
      </w:r>
      <w:r w:rsidR="009D693D">
        <w:rPr>
          <w:sz w:val="22"/>
          <w:szCs w:val="22"/>
        </w:rPr>
        <w:t>FSAR</w:t>
      </w:r>
      <w:r w:rsidR="003C3C9F">
        <w:rPr>
          <w:sz w:val="22"/>
          <w:szCs w:val="22"/>
        </w:rPr>
        <w:t xml:space="preserve">.  </w:t>
      </w:r>
      <w:r w:rsidRPr="00B16CAF" w:rsidR="003C3C9F">
        <w:rPr>
          <w:sz w:val="22"/>
          <w:szCs w:val="22"/>
        </w:rPr>
        <w:t xml:space="preserve">Updates to the analysis of the expected life of a structure, system, or component, should be done according to the requirements in </w:t>
      </w:r>
      <w:r w:rsidR="008415D7">
        <w:rPr>
          <w:sz w:val="22"/>
          <w:szCs w:val="22"/>
        </w:rPr>
        <w:t>10 CFR</w:t>
      </w:r>
      <w:r w:rsidRPr="00B16CAF" w:rsidR="003C3C9F">
        <w:rPr>
          <w:sz w:val="22"/>
          <w:szCs w:val="22"/>
        </w:rPr>
        <w:t xml:space="preserve"> 50.59 or 50.90, as appropriate, and incorporated in the next </w:t>
      </w:r>
      <w:r w:rsidRPr="00B16CAF" w:rsidR="003C3C9F">
        <w:rPr>
          <w:sz w:val="22"/>
          <w:szCs w:val="22"/>
        </w:rPr>
        <w:t>FSAR</w:t>
      </w:r>
      <w:r w:rsidRPr="00B16CAF" w:rsidR="003C3C9F">
        <w:rPr>
          <w:sz w:val="22"/>
          <w:szCs w:val="22"/>
        </w:rPr>
        <w:t xml:space="preserve"> update.  As an example, analysis of the expected life of the reactor tank would need to be updated using an appropriate regulatory process (e.g., 10 CFR 50.59), prior to that analysis becoming invalid, and then incorporated in the next </w:t>
      </w:r>
      <w:r w:rsidRPr="00B16CAF" w:rsidR="003C3C9F">
        <w:rPr>
          <w:sz w:val="22"/>
          <w:szCs w:val="22"/>
        </w:rPr>
        <w:t>FSAR</w:t>
      </w:r>
      <w:r w:rsidRPr="00B16CAF" w:rsidR="003C3C9F">
        <w:rPr>
          <w:sz w:val="22"/>
          <w:szCs w:val="22"/>
        </w:rPr>
        <w:t xml:space="preserve"> update.  As another example, an analysis of the expected lifetime of a </w:t>
      </w:r>
      <w:r w:rsidR="003C3C9F">
        <w:rPr>
          <w:sz w:val="22"/>
          <w:szCs w:val="22"/>
        </w:rPr>
        <w:t>new</w:t>
      </w:r>
      <w:r w:rsidRPr="00B16CAF" w:rsidR="003C3C9F">
        <w:rPr>
          <w:sz w:val="22"/>
          <w:szCs w:val="22"/>
        </w:rPr>
        <w:t xml:space="preserve"> component done to support a license amendment under 10 CFR 50.90, would need to be incorporated in the next </w:t>
      </w:r>
      <w:r w:rsidRPr="00B16CAF" w:rsidR="003C3C9F">
        <w:rPr>
          <w:sz w:val="22"/>
          <w:szCs w:val="22"/>
        </w:rPr>
        <w:t>FSAR</w:t>
      </w:r>
      <w:r w:rsidRPr="00B16CAF" w:rsidR="003C3C9F">
        <w:rPr>
          <w:sz w:val="22"/>
          <w:szCs w:val="22"/>
        </w:rPr>
        <w:t xml:space="preserve"> </w:t>
      </w:r>
      <w:r w:rsidRPr="00B16CAF" w:rsidR="003C3C9F">
        <w:rPr>
          <w:sz w:val="22"/>
          <w:szCs w:val="22"/>
        </w:rPr>
        <w:t>update</w:t>
      </w:r>
      <w:r>
        <w:rPr>
          <w:sz w:val="22"/>
          <w:szCs w:val="22"/>
        </w:rPr>
        <w:t>;</w:t>
      </w:r>
    </w:p>
    <w:p w:rsidR="004323EF" w:rsidRPr="002A61CB" w:rsidP="009B6E8B" w14:paraId="59451EF7" w14:textId="77777777">
      <w:pPr>
        <w:pStyle w:val="ListParagraph"/>
        <w:ind w:left="2160" w:hanging="720"/>
        <w:rPr>
          <w:sz w:val="22"/>
          <w:szCs w:val="22"/>
        </w:rPr>
      </w:pPr>
    </w:p>
    <w:p w:rsidR="004323EF" w:rsidRPr="002A61CB" w:rsidP="009B6E8B" w14:paraId="59451EF8" w14:textId="77777777">
      <w:pPr>
        <w:pStyle w:val="ListParagraph"/>
        <w:numPr>
          <w:ilvl w:val="3"/>
          <w:numId w:val="29"/>
        </w:numPr>
        <w:ind w:left="2160" w:hanging="720"/>
        <w:rPr>
          <w:sz w:val="22"/>
          <w:szCs w:val="22"/>
        </w:rPr>
      </w:pPr>
      <w:r>
        <w:rPr>
          <w:sz w:val="22"/>
          <w:szCs w:val="22"/>
        </w:rPr>
        <w:t>e</w:t>
      </w:r>
      <w:r w:rsidRPr="002A61CB">
        <w:rPr>
          <w:sz w:val="22"/>
          <w:szCs w:val="22"/>
        </w:rPr>
        <w:t xml:space="preserve">valuations </w:t>
      </w:r>
      <w:r w:rsidR="00EB5149">
        <w:rPr>
          <w:sz w:val="22"/>
          <w:szCs w:val="22"/>
        </w:rPr>
        <w:t xml:space="preserve">by the licensee </w:t>
      </w:r>
      <w:r w:rsidRPr="002A61CB">
        <w:rPr>
          <w:sz w:val="22"/>
          <w:szCs w:val="22"/>
        </w:rPr>
        <w:t>of changes in the facility site environs (e.g.,</w:t>
      </w:r>
      <w:r>
        <w:rPr>
          <w:sz w:val="22"/>
          <w:szCs w:val="22"/>
        </w:rPr>
        <w:t> </w:t>
      </w:r>
      <w:r w:rsidRPr="002A61CB">
        <w:rPr>
          <w:sz w:val="22"/>
          <w:szCs w:val="22"/>
        </w:rPr>
        <w:t>new industrial, transportation</w:t>
      </w:r>
      <w:r w:rsidR="009D693D">
        <w:rPr>
          <w:sz w:val="22"/>
          <w:szCs w:val="22"/>
        </w:rPr>
        <w:t>, military,</w:t>
      </w:r>
      <w:r w:rsidRPr="002A61CB">
        <w:rPr>
          <w:sz w:val="22"/>
          <w:szCs w:val="22"/>
        </w:rPr>
        <w:t xml:space="preserve"> or residential facilities near the facility site or changes in the population potentially exposed to facility releases</w:t>
      </w:r>
      <w:r w:rsidRPr="002A61CB">
        <w:rPr>
          <w:sz w:val="22"/>
          <w:szCs w:val="22"/>
        </w:rPr>
        <w:t>)</w:t>
      </w:r>
      <w:r>
        <w:rPr>
          <w:sz w:val="22"/>
          <w:szCs w:val="22"/>
        </w:rPr>
        <w:t>;</w:t>
      </w:r>
    </w:p>
    <w:p w:rsidR="004323EF" w:rsidRPr="002A61CB" w:rsidP="009B6E8B" w14:paraId="59451EF9" w14:textId="77777777">
      <w:pPr>
        <w:pStyle w:val="ListParagraph"/>
        <w:ind w:left="2160" w:hanging="720"/>
        <w:rPr>
          <w:sz w:val="22"/>
          <w:szCs w:val="22"/>
        </w:rPr>
      </w:pPr>
    </w:p>
    <w:p w:rsidR="004323EF" w:rsidRPr="002A61CB" w:rsidP="009B6E8B" w14:paraId="59451EFA" w14:textId="77777777">
      <w:pPr>
        <w:pStyle w:val="ListParagraph"/>
        <w:numPr>
          <w:ilvl w:val="3"/>
          <w:numId w:val="29"/>
        </w:numPr>
        <w:ind w:left="2160" w:hanging="720"/>
        <w:rPr>
          <w:sz w:val="22"/>
          <w:szCs w:val="22"/>
        </w:rPr>
      </w:pPr>
      <w:r w:rsidRPr="002A61CB">
        <w:rPr>
          <w:sz w:val="22"/>
          <w:szCs w:val="22"/>
        </w:rPr>
        <w:t>regulatory commitment</w:t>
      </w:r>
      <w:r w:rsidR="002947D2">
        <w:rPr>
          <w:sz w:val="22"/>
          <w:szCs w:val="22"/>
        </w:rPr>
        <w:t>s</w:t>
      </w:r>
      <w:r w:rsidRPr="002A61CB">
        <w:rPr>
          <w:sz w:val="22"/>
          <w:szCs w:val="22"/>
        </w:rPr>
        <w:t xml:space="preserve"> made</w:t>
      </w:r>
      <w:r w:rsidR="003E411B">
        <w:rPr>
          <w:sz w:val="22"/>
          <w:szCs w:val="22"/>
        </w:rPr>
        <w:t xml:space="preserve"> by the licensee</w:t>
      </w:r>
      <w:r w:rsidRPr="002A61CB">
        <w:rPr>
          <w:sz w:val="22"/>
          <w:szCs w:val="22"/>
        </w:rPr>
        <w:t xml:space="preserve"> in special reports that</w:t>
      </w:r>
      <w:r w:rsidR="009D693D">
        <w:rPr>
          <w:sz w:val="22"/>
          <w:szCs w:val="22"/>
        </w:rPr>
        <w:t xml:space="preserve"> directly result in</w:t>
      </w:r>
      <w:r w:rsidRPr="002A61CB">
        <w:rPr>
          <w:sz w:val="22"/>
          <w:szCs w:val="22"/>
        </w:rPr>
        <w:t xml:space="preserve"> changes to the </w:t>
      </w:r>
      <w:r w:rsidRPr="002A61CB">
        <w:rPr>
          <w:sz w:val="22"/>
          <w:szCs w:val="22"/>
        </w:rPr>
        <w:t>FSAR</w:t>
      </w:r>
      <w:r w:rsidR="009D693D">
        <w:rPr>
          <w:sz w:val="22"/>
          <w:szCs w:val="22"/>
        </w:rPr>
        <w:t xml:space="preserve"> or </w:t>
      </w:r>
      <w:r w:rsidR="003E411B">
        <w:rPr>
          <w:sz w:val="22"/>
          <w:szCs w:val="22"/>
        </w:rPr>
        <w:t xml:space="preserve">that </w:t>
      </w:r>
      <w:r w:rsidR="009D693D">
        <w:rPr>
          <w:sz w:val="22"/>
          <w:szCs w:val="22"/>
        </w:rPr>
        <w:t xml:space="preserve">affect the descriptions or analyses in the </w:t>
      </w:r>
      <w:r w:rsidR="009D693D">
        <w:rPr>
          <w:sz w:val="22"/>
          <w:szCs w:val="22"/>
        </w:rPr>
        <w:t>FSAR</w:t>
      </w:r>
      <w:r w:rsidR="003E411B">
        <w:rPr>
          <w:sz w:val="22"/>
          <w:szCs w:val="22"/>
        </w:rPr>
        <w:t>; and</w:t>
      </w:r>
    </w:p>
    <w:p w:rsidR="004323EF" w:rsidRPr="002A61CB" w:rsidP="009B6E8B" w14:paraId="59451EFB" w14:textId="77777777">
      <w:pPr>
        <w:pStyle w:val="ListParagraph"/>
        <w:ind w:left="2160" w:hanging="720"/>
        <w:rPr>
          <w:sz w:val="22"/>
          <w:szCs w:val="22"/>
        </w:rPr>
      </w:pPr>
    </w:p>
    <w:p w:rsidR="004323EF" w:rsidRPr="002A61CB" w:rsidP="009B6E8B" w14:paraId="59451EFC" w14:textId="77777777">
      <w:pPr>
        <w:pStyle w:val="ListParagraph"/>
        <w:numPr>
          <w:ilvl w:val="3"/>
          <w:numId w:val="29"/>
        </w:numPr>
        <w:ind w:left="2160" w:hanging="720"/>
        <w:rPr>
          <w:sz w:val="22"/>
          <w:szCs w:val="22"/>
        </w:rPr>
      </w:pPr>
      <w:r>
        <w:rPr>
          <w:sz w:val="22"/>
          <w:szCs w:val="22"/>
        </w:rPr>
        <w:t>s</w:t>
      </w:r>
      <w:r w:rsidRPr="002A61CB">
        <w:rPr>
          <w:sz w:val="22"/>
          <w:szCs w:val="22"/>
        </w:rPr>
        <w:t>ignificant changes in the facility site environs such as data obtained to support or develop the original facility design basis related to natural phenomena</w:t>
      </w:r>
      <w:r>
        <w:rPr>
          <w:sz w:val="22"/>
          <w:szCs w:val="22"/>
        </w:rPr>
        <w:t>,</w:t>
      </w:r>
      <w:r w:rsidRPr="002A61CB">
        <w:rPr>
          <w:sz w:val="22"/>
          <w:szCs w:val="22"/>
        </w:rPr>
        <w:t xml:space="preserve"> </w:t>
      </w:r>
      <w:r w:rsidR="007A0791">
        <w:rPr>
          <w:sz w:val="22"/>
          <w:szCs w:val="22"/>
        </w:rPr>
        <w:t>including</w:t>
      </w:r>
      <w:r w:rsidRPr="002A61CB">
        <w:rPr>
          <w:sz w:val="22"/>
          <w:szCs w:val="22"/>
        </w:rPr>
        <w:t xml:space="preserve"> geography, meteorology, geology, </w:t>
      </w:r>
      <w:r w:rsidR="009D693D">
        <w:rPr>
          <w:sz w:val="22"/>
          <w:szCs w:val="22"/>
        </w:rPr>
        <w:t xml:space="preserve">hydrology, </w:t>
      </w:r>
      <w:r w:rsidRPr="002A61CB">
        <w:rPr>
          <w:sz w:val="22"/>
          <w:szCs w:val="22"/>
        </w:rPr>
        <w:t>and seismology.</w:t>
      </w:r>
    </w:p>
    <w:p w:rsidR="004323EF" w:rsidRPr="002A61CB" w:rsidP="00701763" w14:paraId="59451EFD" w14:textId="77777777">
      <w:pPr>
        <w:pStyle w:val="ListParagraph"/>
        <w:ind w:left="1440" w:hanging="900"/>
        <w:rPr>
          <w:sz w:val="22"/>
          <w:szCs w:val="22"/>
        </w:rPr>
      </w:pPr>
    </w:p>
    <w:p w:rsidR="004323EF" w:rsidRPr="002A61CB" w:rsidP="00C411DD" w14:paraId="59451EFE" w14:textId="77777777">
      <w:pPr>
        <w:pStyle w:val="ListParagraph"/>
        <w:numPr>
          <w:ilvl w:val="1"/>
          <w:numId w:val="29"/>
        </w:numPr>
        <w:ind w:hanging="720"/>
        <w:rPr>
          <w:sz w:val="22"/>
          <w:szCs w:val="22"/>
        </w:rPr>
      </w:pPr>
      <w:r w:rsidRPr="002A61CB">
        <w:rPr>
          <w:sz w:val="22"/>
          <w:szCs w:val="22"/>
        </w:rPr>
        <w:t xml:space="preserve">As part of the </w:t>
      </w:r>
      <w:r w:rsidRPr="002A61CB">
        <w:rPr>
          <w:sz w:val="22"/>
          <w:szCs w:val="22"/>
        </w:rPr>
        <w:t>FSAR</w:t>
      </w:r>
      <w:r w:rsidRPr="002A61CB">
        <w:rPr>
          <w:sz w:val="22"/>
          <w:szCs w:val="22"/>
        </w:rPr>
        <w:t xml:space="preserve"> update process, licensees should remove obsolete information from the </w:t>
      </w:r>
      <w:r w:rsidRPr="002A61CB">
        <w:rPr>
          <w:sz w:val="22"/>
          <w:szCs w:val="22"/>
        </w:rPr>
        <w:t>FSAR</w:t>
      </w:r>
      <w:r w:rsidRPr="002A61CB">
        <w:rPr>
          <w:sz w:val="22"/>
          <w:szCs w:val="22"/>
        </w:rPr>
        <w:t xml:space="preserve">, such as </w:t>
      </w:r>
      <w:r w:rsidR="003E411B">
        <w:rPr>
          <w:sz w:val="22"/>
          <w:szCs w:val="22"/>
        </w:rPr>
        <w:t>SSCs</w:t>
      </w:r>
      <w:r w:rsidRPr="002A61CB">
        <w:rPr>
          <w:sz w:val="22"/>
          <w:szCs w:val="22"/>
        </w:rPr>
        <w:t xml:space="preserve"> that are no longer installed in the facility and evaluations or other descriptions that no longer apply to the facility as described in the </w:t>
      </w:r>
      <w:r w:rsidRPr="002A61CB">
        <w:rPr>
          <w:sz w:val="22"/>
          <w:szCs w:val="22"/>
        </w:rPr>
        <w:t>FSAR</w:t>
      </w:r>
      <w:r w:rsidRPr="002A61CB">
        <w:rPr>
          <w:sz w:val="22"/>
          <w:szCs w:val="22"/>
        </w:rPr>
        <w:t xml:space="preserve">. </w:t>
      </w:r>
      <w:r w:rsidR="008F47CE">
        <w:rPr>
          <w:sz w:val="22"/>
          <w:szCs w:val="22"/>
        </w:rPr>
        <w:t xml:space="preserve"> </w:t>
      </w:r>
      <w:r w:rsidRPr="002A61CB">
        <w:rPr>
          <w:sz w:val="22"/>
          <w:szCs w:val="22"/>
        </w:rPr>
        <w:t xml:space="preserve">The information removed from the </w:t>
      </w:r>
      <w:r w:rsidRPr="002A61CB">
        <w:rPr>
          <w:sz w:val="22"/>
          <w:szCs w:val="22"/>
        </w:rPr>
        <w:t>FSAR</w:t>
      </w:r>
      <w:r w:rsidRPr="002A61CB">
        <w:rPr>
          <w:sz w:val="22"/>
          <w:szCs w:val="22"/>
        </w:rPr>
        <w:t xml:space="preserve"> as part of the update process should be identified and reported to the NRC with </w:t>
      </w:r>
      <w:r w:rsidR="00CB79A9">
        <w:rPr>
          <w:sz w:val="22"/>
          <w:szCs w:val="22"/>
        </w:rPr>
        <w:t>the</w:t>
      </w:r>
      <w:r w:rsidRPr="002A61CB">
        <w:rPr>
          <w:sz w:val="22"/>
          <w:szCs w:val="22"/>
        </w:rPr>
        <w:t xml:space="preserve"> basis for the licensee’s determination that such information should be removed.</w:t>
      </w:r>
    </w:p>
    <w:p w:rsidR="004323EF" w:rsidRPr="002A61CB" w:rsidP="009B6E8B" w14:paraId="59451EFF" w14:textId="77777777">
      <w:pPr>
        <w:pStyle w:val="ListParagraph"/>
        <w:ind w:hanging="720"/>
        <w:rPr>
          <w:sz w:val="22"/>
          <w:szCs w:val="22"/>
        </w:rPr>
      </w:pPr>
    </w:p>
    <w:p w:rsidR="004323EF" w:rsidRPr="002A61CB" w:rsidP="009B6E8B" w14:paraId="59451F00" w14:textId="77777777">
      <w:pPr>
        <w:pStyle w:val="ListParagraph"/>
        <w:numPr>
          <w:ilvl w:val="1"/>
          <w:numId w:val="29"/>
        </w:numPr>
        <w:ind w:hanging="720"/>
        <w:rPr>
          <w:sz w:val="22"/>
          <w:szCs w:val="22"/>
        </w:rPr>
      </w:pPr>
      <w:r>
        <w:rPr>
          <w:sz w:val="22"/>
          <w:szCs w:val="22"/>
        </w:rPr>
        <w:t xml:space="preserve">The </w:t>
      </w:r>
      <w:r>
        <w:rPr>
          <w:sz w:val="22"/>
          <w:szCs w:val="22"/>
        </w:rPr>
        <w:t>FSAR</w:t>
      </w:r>
      <w:r>
        <w:rPr>
          <w:sz w:val="22"/>
          <w:szCs w:val="22"/>
        </w:rPr>
        <w:t xml:space="preserve"> does not need to include i</w:t>
      </w:r>
      <w:r w:rsidR="009D693D">
        <w:rPr>
          <w:sz w:val="22"/>
          <w:szCs w:val="22"/>
        </w:rPr>
        <w:t xml:space="preserve">nformation and analyses </w:t>
      </w:r>
      <w:r>
        <w:rPr>
          <w:sz w:val="22"/>
          <w:szCs w:val="22"/>
        </w:rPr>
        <w:t xml:space="preserve">that </w:t>
      </w:r>
      <w:r w:rsidR="009D693D">
        <w:rPr>
          <w:sz w:val="22"/>
          <w:szCs w:val="22"/>
        </w:rPr>
        <w:t>support</w:t>
      </w:r>
      <w:r w:rsidRPr="002A61CB">
        <w:rPr>
          <w:sz w:val="22"/>
          <w:szCs w:val="22"/>
        </w:rPr>
        <w:t xml:space="preserve"> licensing actions (e.g.,</w:t>
      </w:r>
      <w:r>
        <w:rPr>
          <w:sz w:val="22"/>
          <w:szCs w:val="22"/>
        </w:rPr>
        <w:t> </w:t>
      </w:r>
      <w:r w:rsidRPr="002A61CB">
        <w:rPr>
          <w:sz w:val="22"/>
          <w:szCs w:val="22"/>
        </w:rPr>
        <w:t>approval of a license amendment request) if th</w:t>
      </w:r>
      <w:r w:rsidR="00532F36">
        <w:rPr>
          <w:sz w:val="22"/>
          <w:szCs w:val="22"/>
        </w:rPr>
        <w:t>os</w:t>
      </w:r>
      <w:r w:rsidRPr="002A61CB">
        <w:rPr>
          <w:sz w:val="22"/>
          <w:szCs w:val="22"/>
        </w:rPr>
        <w:t>e licensing action</w:t>
      </w:r>
      <w:r w:rsidR="00532F36">
        <w:rPr>
          <w:sz w:val="22"/>
          <w:szCs w:val="22"/>
        </w:rPr>
        <w:t>s</w:t>
      </w:r>
      <w:r w:rsidRPr="002A61CB">
        <w:rPr>
          <w:sz w:val="22"/>
          <w:szCs w:val="22"/>
        </w:rPr>
        <w:t xml:space="preserve"> </w:t>
      </w:r>
      <w:r w:rsidR="00532F36">
        <w:rPr>
          <w:sz w:val="22"/>
          <w:szCs w:val="22"/>
        </w:rPr>
        <w:t xml:space="preserve">were </w:t>
      </w:r>
      <w:r w:rsidRPr="002A61CB">
        <w:rPr>
          <w:sz w:val="22"/>
          <w:szCs w:val="22"/>
        </w:rPr>
        <w:t xml:space="preserve">completed </w:t>
      </w:r>
      <w:r w:rsidR="009D693D">
        <w:rPr>
          <w:sz w:val="22"/>
          <w:szCs w:val="22"/>
        </w:rPr>
        <w:t>less than</w:t>
      </w:r>
      <w:r w:rsidRPr="002A61CB">
        <w:rPr>
          <w:sz w:val="22"/>
          <w:szCs w:val="22"/>
        </w:rPr>
        <w:t xml:space="preserve"> 6</w:t>
      </w:r>
      <w:r>
        <w:rPr>
          <w:sz w:val="22"/>
          <w:szCs w:val="22"/>
        </w:rPr>
        <w:t> </w:t>
      </w:r>
      <w:r w:rsidRPr="002A61CB">
        <w:rPr>
          <w:sz w:val="22"/>
          <w:szCs w:val="22"/>
        </w:rPr>
        <w:t xml:space="preserve">months </w:t>
      </w:r>
      <w:r>
        <w:rPr>
          <w:sz w:val="22"/>
          <w:szCs w:val="22"/>
        </w:rPr>
        <w:t>before</w:t>
      </w:r>
      <w:r w:rsidR="001D0F21">
        <w:rPr>
          <w:sz w:val="22"/>
          <w:szCs w:val="22"/>
        </w:rPr>
        <w:t xml:space="preserve"> the</w:t>
      </w:r>
      <w:r w:rsidRPr="002A61CB">
        <w:rPr>
          <w:sz w:val="22"/>
          <w:szCs w:val="22"/>
        </w:rPr>
        <w:t xml:space="preserve"> </w:t>
      </w:r>
      <w:r>
        <w:rPr>
          <w:sz w:val="22"/>
          <w:szCs w:val="22"/>
        </w:rPr>
        <w:t xml:space="preserve">submittal </w:t>
      </w:r>
      <w:r w:rsidRPr="002A61CB">
        <w:rPr>
          <w:sz w:val="22"/>
          <w:szCs w:val="22"/>
        </w:rPr>
        <w:t xml:space="preserve">date </w:t>
      </w:r>
      <w:r>
        <w:rPr>
          <w:sz w:val="22"/>
          <w:szCs w:val="22"/>
        </w:rPr>
        <w:t xml:space="preserve">of </w:t>
      </w:r>
      <w:r w:rsidRPr="002A61CB">
        <w:rPr>
          <w:sz w:val="22"/>
          <w:szCs w:val="22"/>
        </w:rPr>
        <w:t xml:space="preserve">the </w:t>
      </w:r>
      <w:r w:rsidR="00810967">
        <w:rPr>
          <w:sz w:val="22"/>
          <w:szCs w:val="22"/>
        </w:rPr>
        <w:t xml:space="preserve">updated </w:t>
      </w:r>
      <w:r w:rsidRPr="002A61CB">
        <w:rPr>
          <w:sz w:val="22"/>
          <w:szCs w:val="22"/>
        </w:rPr>
        <w:t>FSAR</w:t>
      </w:r>
      <w:r w:rsidRPr="002A61CB">
        <w:rPr>
          <w:sz w:val="22"/>
          <w:szCs w:val="22"/>
        </w:rPr>
        <w:t xml:space="preserve"> </w:t>
      </w:r>
      <w:r w:rsidR="00810967">
        <w:rPr>
          <w:sz w:val="22"/>
          <w:szCs w:val="22"/>
        </w:rPr>
        <w:t xml:space="preserve">or subsequent </w:t>
      </w:r>
      <w:r w:rsidR="00810967">
        <w:rPr>
          <w:sz w:val="22"/>
          <w:szCs w:val="22"/>
        </w:rPr>
        <w:t>FSAR</w:t>
      </w:r>
      <w:r w:rsidR="00810967">
        <w:rPr>
          <w:sz w:val="22"/>
          <w:szCs w:val="22"/>
        </w:rPr>
        <w:t xml:space="preserve"> update</w:t>
      </w:r>
      <w:r w:rsidRPr="002A61CB">
        <w:rPr>
          <w:sz w:val="22"/>
          <w:szCs w:val="22"/>
        </w:rPr>
        <w:t>.</w:t>
      </w:r>
      <w:r w:rsidRPr="00684D81" w:rsidR="00684D81">
        <w:rPr>
          <w:sz w:val="22"/>
          <w:szCs w:val="22"/>
        </w:rPr>
        <w:t xml:space="preserve"> </w:t>
      </w:r>
      <w:r w:rsidR="00684D81">
        <w:rPr>
          <w:sz w:val="22"/>
          <w:szCs w:val="22"/>
        </w:rPr>
        <w:t xml:space="preserve"> This does not preclude the licensee from including such information or analyses</w:t>
      </w:r>
      <w:r>
        <w:rPr>
          <w:sz w:val="22"/>
          <w:szCs w:val="22"/>
        </w:rPr>
        <w:t xml:space="preserve"> in the </w:t>
      </w:r>
      <w:r w:rsidR="00F35157">
        <w:rPr>
          <w:sz w:val="22"/>
          <w:szCs w:val="22"/>
        </w:rPr>
        <w:t xml:space="preserve">updated </w:t>
      </w:r>
      <w:r>
        <w:rPr>
          <w:sz w:val="22"/>
          <w:szCs w:val="22"/>
        </w:rPr>
        <w:t>FSAR</w:t>
      </w:r>
      <w:r w:rsidR="00684D81">
        <w:rPr>
          <w:sz w:val="22"/>
          <w:szCs w:val="22"/>
        </w:rPr>
        <w:t xml:space="preserve">.  If a licensing action is pending NRC approval at the time of submission of the updated </w:t>
      </w:r>
      <w:r w:rsidR="00684D81">
        <w:rPr>
          <w:sz w:val="22"/>
          <w:szCs w:val="22"/>
        </w:rPr>
        <w:t>FSAR</w:t>
      </w:r>
      <w:r w:rsidR="00684D81">
        <w:rPr>
          <w:sz w:val="22"/>
          <w:szCs w:val="22"/>
        </w:rPr>
        <w:t xml:space="preserve"> or subsequent </w:t>
      </w:r>
      <w:r w:rsidR="00684D81">
        <w:rPr>
          <w:sz w:val="22"/>
          <w:szCs w:val="22"/>
        </w:rPr>
        <w:t>FSAR</w:t>
      </w:r>
      <w:r w:rsidR="00684D81">
        <w:rPr>
          <w:sz w:val="22"/>
          <w:szCs w:val="22"/>
        </w:rPr>
        <w:t xml:space="preserve"> update, </w:t>
      </w:r>
      <w:r>
        <w:rPr>
          <w:sz w:val="22"/>
          <w:szCs w:val="22"/>
        </w:rPr>
        <w:t xml:space="preserve">the submittal should not include </w:t>
      </w:r>
      <w:r w:rsidR="003469E9">
        <w:rPr>
          <w:sz w:val="22"/>
          <w:szCs w:val="22"/>
        </w:rPr>
        <w:t>information related to the licensing action</w:t>
      </w:r>
      <w:r w:rsidR="00684D81">
        <w:rPr>
          <w:sz w:val="22"/>
          <w:szCs w:val="22"/>
        </w:rPr>
        <w:t>.</w:t>
      </w:r>
    </w:p>
    <w:p w:rsidR="004323EF" w:rsidRPr="002A61CB" w:rsidP="009B6E8B" w14:paraId="59451F01" w14:textId="77777777">
      <w:pPr>
        <w:pStyle w:val="ListParagraph"/>
        <w:ind w:hanging="720"/>
        <w:rPr>
          <w:sz w:val="22"/>
          <w:szCs w:val="22"/>
        </w:rPr>
      </w:pPr>
    </w:p>
    <w:p w:rsidR="004323EF" w:rsidRPr="002A61CB" w:rsidP="009B6E8B" w14:paraId="59451F02" w14:textId="77777777">
      <w:pPr>
        <w:pStyle w:val="ListParagraph"/>
        <w:numPr>
          <w:ilvl w:val="1"/>
          <w:numId w:val="29"/>
        </w:numPr>
        <w:ind w:hanging="720"/>
        <w:rPr>
          <w:sz w:val="22"/>
          <w:szCs w:val="22"/>
        </w:rPr>
      </w:pPr>
      <w:r w:rsidRPr="00423A7C">
        <w:rPr>
          <w:sz w:val="22"/>
          <w:szCs w:val="22"/>
        </w:rPr>
        <w:t>Licensees should not re-perform analyses</w:t>
      </w:r>
      <w:r w:rsidR="008F47CE">
        <w:rPr>
          <w:sz w:val="22"/>
          <w:szCs w:val="22"/>
        </w:rPr>
        <w:t xml:space="preserve"> </w:t>
      </w:r>
      <w:r w:rsidRPr="00423A7C">
        <w:rPr>
          <w:sz w:val="22"/>
          <w:szCs w:val="22"/>
        </w:rPr>
        <w:t xml:space="preserve">(e.g., using new codes, methods, or assumptions) </w:t>
      </w:r>
      <w:r w:rsidR="008F47CE">
        <w:rPr>
          <w:sz w:val="22"/>
          <w:szCs w:val="22"/>
        </w:rPr>
        <w:t>during the preparation of</w:t>
      </w:r>
      <w:r w:rsidRPr="00423A7C">
        <w:rPr>
          <w:sz w:val="22"/>
          <w:szCs w:val="22"/>
        </w:rPr>
        <w:t xml:space="preserve"> the updated </w:t>
      </w:r>
      <w:r w:rsidRPr="00423A7C">
        <w:rPr>
          <w:sz w:val="22"/>
          <w:szCs w:val="22"/>
        </w:rPr>
        <w:t>FSAR</w:t>
      </w:r>
      <w:r w:rsidRPr="00423A7C">
        <w:rPr>
          <w:sz w:val="22"/>
          <w:szCs w:val="22"/>
        </w:rPr>
        <w:t xml:space="preserve"> or subsequent </w:t>
      </w:r>
      <w:r w:rsidRPr="00423A7C">
        <w:rPr>
          <w:sz w:val="22"/>
          <w:szCs w:val="22"/>
        </w:rPr>
        <w:t>FSAR</w:t>
      </w:r>
      <w:r w:rsidRPr="00423A7C">
        <w:rPr>
          <w:sz w:val="22"/>
          <w:szCs w:val="22"/>
        </w:rPr>
        <w:t xml:space="preserve"> updates.  These types of changes should be done </w:t>
      </w:r>
      <w:r w:rsidR="008F47CE">
        <w:rPr>
          <w:sz w:val="22"/>
          <w:szCs w:val="22"/>
        </w:rPr>
        <w:t>under</w:t>
      </w:r>
      <w:r w:rsidRPr="00423A7C">
        <w:rPr>
          <w:sz w:val="22"/>
          <w:szCs w:val="22"/>
        </w:rPr>
        <w:t> </w:t>
      </w:r>
      <w:r w:rsidR="008F47CE">
        <w:rPr>
          <w:sz w:val="22"/>
          <w:szCs w:val="22"/>
        </w:rPr>
        <w:t>10 CFR </w:t>
      </w:r>
      <w:r w:rsidRPr="00423A7C">
        <w:rPr>
          <w:sz w:val="22"/>
          <w:szCs w:val="22"/>
        </w:rPr>
        <w:t xml:space="preserve">50.59, </w:t>
      </w:r>
      <w:r w:rsidR="008F47CE">
        <w:rPr>
          <w:sz w:val="22"/>
          <w:szCs w:val="22"/>
        </w:rPr>
        <w:t>10 CFR </w:t>
      </w:r>
      <w:r w:rsidRPr="00423A7C">
        <w:rPr>
          <w:sz w:val="22"/>
          <w:szCs w:val="22"/>
        </w:rPr>
        <w:t>50.90, or other requirement</w:t>
      </w:r>
      <w:r w:rsidR="00486FAB">
        <w:rPr>
          <w:sz w:val="22"/>
          <w:szCs w:val="22"/>
        </w:rPr>
        <w:t>s</w:t>
      </w:r>
      <w:r w:rsidRPr="00423A7C">
        <w:rPr>
          <w:sz w:val="22"/>
          <w:szCs w:val="22"/>
        </w:rPr>
        <w:t xml:space="preserve"> of the Commission, as appropriate, and then </w:t>
      </w:r>
      <w:r w:rsidR="008F47CE">
        <w:rPr>
          <w:sz w:val="22"/>
          <w:szCs w:val="22"/>
        </w:rPr>
        <w:t xml:space="preserve">should be </w:t>
      </w:r>
      <w:r w:rsidRPr="00423A7C">
        <w:rPr>
          <w:sz w:val="22"/>
          <w:szCs w:val="22"/>
        </w:rPr>
        <w:t xml:space="preserve">incorporated in the </w:t>
      </w:r>
      <w:r w:rsidRPr="00423A7C">
        <w:rPr>
          <w:sz w:val="22"/>
          <w:szCs w:val="22"/>
        </w:rPr>
        <w:t>FSAR</w:t>
      </w:r>
      <w:r w:rsidRPr="00423A7C">
        <w:rPr>
          <w:sz w:val="22"/>
          <w:szCs w:val="22"/>
        </w:rPr>
        <w:t xml:space="preserve"> as part of a future update under </w:t>
      </w:r>
      <w:r w:rsidR="008F47CE">
        <w:rPr>
          <w:sz w:val="22"/>
          <w:szCs w:val="22"/>
        </w:rPr>
        <w:t>10 CFR </w:t>
      </w:r>
      <w:r w:rsidRPr="00423A7C">
        <w:rPr>
          <w:sz w:val="22"/>
          <w:szCs w:val="22"/>
        </w:rPr>
        <w:t>50.71(e).</w:t>
      </w:r>
    </w:p>
    <w:p w:rsidR="004323EF" w:rsidRPr="002A61CB" w:rsidP="001E20F8" w14:paraId="59451F04" w14:textId="77777777">
      <w:pPr>
        <w:pStyle w:val="ListParagraph"/>
        <w:numPr>
          <w:ilvl w:val="0"/>
          <w:numId w:val="29"/>
        </w:numPr>
        <w:ind w:hanging="720"/>
        <w:rPr>
          <w:sz w:val="22"/>
          <w:szCs w:val="22"/>
        </w:rPr>
      </w:pPr>
      <w:r w:rsidRPr="002A61CB">
        <w:rPr>
          <w:sz w:val="22"/>
          <w:szCs w:val="22"/>
        </w:rPr>
        <w:t xml:space="preserve">Format of the </w:t>
      </w:r>
      <w:r w:rsidR="008F47CE">
        <w:rPr>
          <w:sz w:val="22"/>
          <w:szCs w:val="22"/>
        </w:rPr>
        <w:t>U</w:t>
      </w:r>
      <w:r w:rsidR="00150C5D">
        <w:rPr>
          <w:sz w:val="22"/>
          <w:szCs w:val="22"/>
        </w:rPr>
        <w:t xml:space="preserve">pdated </w:t>
      </w:r>
      <w:r w:rsidRPr="002A61CB">
        <w:rPr>
          <w:sz w:val="22"/>
          <w:szCs w:val="22"/>
        </w:rPr>
        <w:t>FSAR</w:t>
      </w:r>
      <w:r w:rsidRPr="002A61CB">
        <w:rPr>
          <w:sz w:val="22"/>
          <w:szCs w:val="22"/>
        </w:rPr>
        <w:t xml:space="preserve"> </w:t>
      </w:r>
      <w:r w:rsidR="00150C5D">
        <w:rPr>
          <w:sz w:val="22"/>
          <w:szCs w:val="22"/>
        </w:rPr>
        <w:t xml:space="preserve">and </w:t>
      </w:r>
      <w:r w:rsidR="008F47CE">
        <w:rPr>
          <w:sz w:val="22"/>
          <w:szCs w:val="22"/>
        </w:rPr>
        <w:t>S</w:t>
      </w:r>
      <w:r w:rsidR="00150C5D">
        <w:rPr>
          <w:sz w:val="22"/>
          <w:szCs w:val="22"/>
        </w:rPr>
        <w:t xml:space="preserve">ubsequent </w:t>
      </w:r>
      <w:r w:rsidR="00150C5D">
        <w:rPr>
          <w:sz w:val="22"/>
          <w:szCs w:val="22"/>
        </w:rPr>
        <w:t>FSAR</w:t>
      </w:r>
      <w:r w:rsidR="00150C5D">
        <w:rPr>
          <w:sz w:val="22"/>
          <w:szCs w:val="22"/>
        </w:rPr>
        <w:t xml:space="preserve"> </w:t>
      </w:r>
      <w:r w:rsidR="008F47CE">
        <w:rPr>
          <w:sz w:val="22"/>
          <w:szCs w:val="22"/>
        </w:rPr>
        <w:t>U</w:t>
      </w:r>
      <w:r w:rsidR="00150C5D">
        <w:rPr>
          <w:sz w:val="22"/>
          <w:szCs w:val="22"/>
        </w:rPr>
        <w:t>pdates</w:t>
      </w:r>
    </w:p>
    <w:p w:rsidR="004323EF" w:rsidRPr="002A61CB" w:rsidP="001E20F8" w14:paraId="59451F05" w14:textId="77777777">
      <w:pPr>
        <w:pStyle w:val="ListParagraph"/>
        <w:rPr>
          <w:sz w:val="22"/>
          <w:szCs w:val="22"/>
        </w:rPr>
      </w:pPr>
    </w:p>
    <w:p w:rsidR="004323EF" w:rsidRPr="002A61CB" w:rsidP="001E20F8" w14:paraId="59451F06" w14:textId="77777777">
      <w:pPr>
        <w:pStyle w:val="ListParagraph"/>
        <w:numPr>
          <w:ilvl w:val="1"/>
          <w:numId w:val="29"/>
        </w:numPr>
        <w:ind w:hanging="720"/>
        <w:rPr>
          <w:sz w:val="22"/>
          <w:szCs w:val="22"/>
        </w:rPr>
      </w:pPr>
      <w:r w:rsidRPr="002A61CB">
        <w:rPr>
          <w:sz w:val="22"/>
          <w:szCs w:val="22"/>
        </w:rPr>
        <w:t xml:space="preserve">The format of the </w:t>
      </w:r>
      <w:r w:rsidR="00E406C2">
        <w:rPr>
          <w:sz w:val="22"/>
          <w:szCs w:val="22"/>
        </w:rPr>
        <w:t xml:space="preserve">updated </w:t>
      </w:r>
      <w:r w:rsidRPr="002A61CB">
        <w:rPr>
          <w:sz w:val="22"/>
          <w:szCs w:val="22"/>
        </w:rPr>
        <w:t>FSAR</w:t>
      </w:r>
      <w:r w:rsidRPr="002A61CB">
        <w:rPr>
          <w:sz w:val="22"/>
          <w:szCs w:val="22"/>
        </w:rPr>
        <w:t xml:space="preserve"> </w:t>
      </w:r>
      <w:r w:rsidR="00E406C2">
        <w:rPr>
          <w:sz w:val="22"/>
          <w:szCs w:val="22"/>
        </w:rPr>
        <w:t xml:space="preserve">and subsequent </w:t>
      </w:r>
      <w:r w:rsidR="00E406C2">
        <w:rPr>
          <w:sz w:val="22"/>
          <w:szCs w:val="22"/>
        </w:rPr>
        <w:t>FSAR</w:t>
      </w:r>
      <w:r w:rsidR="00E406C2">
        <w:rPr>
          <w:sz w:val="22"/>
          <w:szCs w:val="22"/>
        </w:rPr>
        <w:t xml:space="preserve"> updates</w:t>
      </w:r>
      <w:r w:rsidRPr="002A61CB">
        <w:rPr>
          <w:sz w:val="22"/>
          <w:szCs w:val="22"/>
        </w:rPr>
        <w:t xml:space="preserve"> is at the discretion of the licensee</w:t>
      </w:r>
      <w:r w:rsidR="008F47CE">
        <w:rPr>
          <w:sz w:val="22"/>
          <w:szCs w:val="22"/>
        </w:rPr>
        <w:t>; however,</w:t>
      </w:r>
      <w:r w:rsidR="000E00E1">
        <w:rPr>
          <w:sz w:val="22"/>
          <w:szCs w:val="22"/>
        </w:rPr>
        <w:t xml:space="preserve"> the format should </w:t>
      </w:r>
      <w:r w:rsidR="00684D81">
        <w:rPr>
          <w:sz w:val="22"/>
          <w:szCs w:val="22"/>
        </w:rPr>
        <w:t xml:space="preserve">generally </w:t>
      </w:r>
      <w:r w:rsidR="000E00E1">
        <w:rPr>
          <w:sz w:val="22"/>
          <w:szCs w:val="22"/>
        </w:rPr>
        <w:t xml:space="preserve">follow the existing </w:t>
      </w:r>
      <w:r w:rsidR="000E00E1">
        <w:rPr>
          <w:sz w:val="22"/>
          <w:szCs w:val="22"/>
        </w:rPr>
        <w:t>FSAR</w:t>
      </w:r>
      <w:r w:rsidR="005D5ADE">
        <w:rPr>
          <w:sz w:val="22"/>
          <w:szCs w:val="22"/>
        </w:rPr>
        <w:t>’s</w:t>
      </w:r>
      <w:r w:rsidR="005D5ADE">
        <w:rPr>
          <w:sz w:val="22"/>
          <w:szCs w:val="22"/>
        </w:rPr>
        <w:t xml:space="preserve"> format</w:t>
      </w:r>
      <w:r w:rsidR="000E00E1">
        <w:rPr>
          <w:sz w:val="22"/>
          <w:szCs w:val="22"/>
        </w:rPr>
        <w:t xml:space="preserve">.  The </w:t>
      </w:r>
      <w:r w:rsidRPr="002A61CB">
        <w:rPr>
          <w:sz w:val="22"/>
          <w:szCs w:val="22"/>
        </w:rPr>
        <w:t>guidance in NUREG</w:t>
      </w:r>
      <w:r w:rsidR="005D5ADE">
        <w:rPr>
          <w:sz w:val="22"/>
          <w:szCs w:val="22"/>
        </w:rPr>
        <w:noBreakHyphen/>
      </w:r>
      <w:r w:rsidRPr="002A61CB">
        <w:rPr>
          <w:sz w:val="22"/>
          <w:szCs w:val="22"/>
        </w:rPr>
        <w:t>1537, Part 1</w:t>
      </w:r>
      <w:r w:rsidR="000E00E1">
        <w:rPr>
          <w:sz w:val="22"/>
          <w:szCs w:val="22"/>
        </w:rPr>
        <w:t xml:space="preserve">, provides a format for </w:t>
      </w:r>
      <w:r w:rsidR="00684D81">
        <w:rPr>
          <w:sz w:val="22"/>
          <w:szCs w:val="22"/>
        </w:rPr>
        <w:t xml:space="preserve">information in the </w:t>
      </w:r>
      <w:r w:rsidR="000E00E1">
        <w:rPr>
          <w:sz w:val="22"/>
          <w:szCs w:val="22"/>
        </w:rPr>
        <w:t>F</w:t>
      </w:r>
      <w:r w:rsidR="00423A7C">
        <w:rPr>
          <w:sz w:val="22"/>
          <w:szCs w:val="22"/>
        </w:rPr>
        <w:t>SA</w:t>
      </w:r>
      <w:r w:rsidR="000E00E1">
        <w:rPr>
          <w:sz w:val="22"/>
          <w:szCs w:val="22"/>
        </w:rPr>
        <w:t>R</w:t>
      </w:r>
      <w:r w:rsidR="000E00E1">
        <w:rPr>
          <w:sz w:val="22"/>
          <w:szCs w:val="22"/>
        </w:rPr>
        <w:t xml:space="preserve"> that is acceptable to the NRC</w:t>
      </w:r>
      <w:r w:rsidRPr="002A61CB">
        <w:rPr>
          <w:sz w:val="22"/>
          <w:szCs w:val="22"/>
        </w:rPr>
        <w:t>.</w:t>
      </w:r>
    </w:p>
    <w:p w:rsidR="004323EF" w:rsidRPr="002A61CB" w:rsidP="001E20F8" w14:paraId="59451F07" w14:textId="77777777">
      <w:pPr>
        <w:rPr>
          <w:szCs w:val="22"/>
        </w:rPr>
      </w:pPr>
    </w:p>
    <w:p w:rsidR="004323EF" w:rsidRPr="002A61CB" w:rsidP="5A664D39" w14:paraId="59451F08" w14:textId="72D2C340">
      <w:pPr>
        <w:keepNext/>
        <w:keepLines/>
        <w:numPr>
          <w:ilvl w:val="1"/>
          <w:numId w:val="29"/>
        </w:numPr>
        <w:ind w:hanging="720"/>
        <w:rPr>
          <w:szCs w:val="22"/>
        </w:rPr>
      </w:pPr>
      <w:r w:rsidRPr="5A664D39">
        <w:rPr>
          <w:szCs w:val="22"/>
        </w:rPr>
        <w:t>Under 10 CFR </w:t>
      </w:r>
      <w:r w:rsidR="00423A7C">
        <w:rPr>
          <w:szCs w:val="22"/>
        </w:rPr>
        <w:t>50.71(e)(5), t</w:t>
      </w:r>
      <w:r w:rsidRPr="002A61CB">
        <w:rPr>
          <w:szCs w:val="22"/>
        </w:rPr>
        <w:t xml:space="preserve">he </w:t>
      </w:r>
      <w:r w:rsidR="00FF2F9A">
        <w:rPr>
          <w:szCs w:val="22"/>
        </w:rPr>
        <w:t xml:space="preserve">updated </w:t>
      </w:r>
      <w:r w:rsidRPr="002A61CB">
        <w:rPr>
          <w:szCs w:val="22"/>
        </w:rPr>
        <w:t>FSAR</w:t>
      </w:r>
      <w:r w:rsidRPr="002A61CB">
        <w:rPr>
          <w:szCs w:val="22"/>
        </w:rPr>
        <w:t xml:space="preserve"> </w:t>
      </w:r>
      <w:r w:rsidR="00FF2F9A">
        <w:rPr>
          <w:szCs w:val="22"/>
        </w:rPr>
        <w:t xml:space="preserve">and subsequent </w:t>
      </w:r>
      <w:r w:rsidR="00FF2F9A">
        <w:rPr>
          <w:szCs w:val="22"/>
        </w:rPr>
        <w:t>FSAR</w:t>
      </w:r>
      <w:r w:rsidR="00FF2F9A">
        <w:rPr>
          <w:szCs w:val="22"/>
        </w:rPr>
        <w:t xml:space="preserve"> updates</w:t>
      </w:r>
      <w:r w:rsidRPr="002A61CB">
        <w:rPr>
          <w:szCs w:val="22"/>
        </w:rPr>
        <w:t xml:space="preserve"> </w:t>
      </w:r>
      <w:r w:rsidR="00423A7C">
        <w:rPr>
          <w:szCs w:val="22"/>
        </w:rPr>
        <w:t>must</w:t>
      </w:r>
      <w:r w:rsidRPr="002A61CB">
        <w:rPr>
          <w:szCs w:val="22"/>
        </w:rPr>
        <w:t xml:space="preserve"> </w:t>
      </w:r>
      <w:r w:rsidR="00684D81">
        <w:rPr>
          <w:szCs w:val="22"/>
        </w:rPr>
        <w:t>include</w:t>
      </w:r>
      <w:r w:rsidR="00423A7C">
        <w:rPr>
          <w:szCs w:val="22"/>
        </w:rPr>
        <w:t xml:space="preserve"> </w:t>
      </w:r>
      <w:r w:rsidR="00684D81">
        <w:rPr>
          <w:szCs w:val="22"/>
        </w:rPr>
        <w:t xml:space="preserve">markings </w:t>
      </w:r>
      <w:r>
        <w:rPr>
          <w:szCs w:val="22"/>
        </w:rPr>
        <w:t xml:space="preserve">that </w:t>
      </w:r>
      <w:r w:rsidR="00684D81">
        <w:rPr>
          <w:szCs w:val="22"/>
        </w:rPr>
        <w:t>indicat</w:t>
      </w:r>
      <w:r>
        <w:rPr>
          <w:szCs w:val="22"/>
        </w:rPr>
        <w:t>e</w:t>
      </w:r>
      <w:r w:rsidR="00684D81">
        <w:rPr>
          <w:szCs w:val="22"/>
        </w:rPr>
        <w:t xml:space="preserve"> </w:t>
      </w:r>
      <w:r w:rsidRPr="002A61CB">
        <w:rPr>
          <w:szCs w:val="22"/>
        </w:rPr>
        <w:t>the changed portion on each page</w:t>
      </w:r>
      <w:r w:rsidR="00684D81">
        <w:rPr>
          <w:szCs w:val="22"/>
        </w:rPr>
        <w:t xml:space="preserve"> and any resulting changes to the</w:t>
      </w:r>
      <w:r w:rsidRPr="002A61CB">
        <w:rPr>
          <w:szCs w:val="22"/>
        </w:rPr>
        <w:t xml:space="preserve"> contents page</w:t>
      </w:r>
      <w:r w:rsidR="00684D81">
        <w:rPr>
          <w:szCs w:val="22"/>
        </w:rPr>
        <w:t>(s)</w:t>
      </w:r>
      <w:r w:rsidRPr="002A61CB">
        <w:rPr>
          <w:szCs w:val="22"/>
        </w:rPr>
        <w:t xml:space="preserve">. </w:t>
      </w:r>
      <w:r w:rsidR="00423A7C">
        <w:rPr>
          <w:szCs w:val="22"/>
        </w:rPr>
        <w:t xml:space="preserve"> Each changed page must also include </w:t>
      </w:r>
      <w:r w:rsidR="007E4AE9">
        <w:rPr>
          <w:szCs w:val="22"/>
        </w:rPr>
        <w:t>the date of the change or change number</w:t>
      </w:r>
      <w:r w:rsidR="003F07B2">
        <w:rPr>
          <w:szCs w:val="22"/>
        </w:rPr>
        <w:t>,</w:t>
      </w:r>
      <w:r w:rsidR="007E4AE9">
        <w:rPr>
          <w:szCs w:val="22"/>
        </w:rPr>
        <w:t xml:space="preserve"> or both.  </w:t>
      </w:r>
      <w:r w:rsidRPr="002A61CB">
        <w:rPr>
          <w:szCs w:val="22"/>
        </w:rPr>
        <w:t xml:space="preserve">A summary of </w:t>
      </w:r>
      <w:r w:rsidR="00684D81">
        <w:rPr>
          <w:szCs w:val="22"/>
        </w:rPr>
        <w:t xml:space="preserve">the </w:t>
      </w:r>
      <w:r w:rsidRPr="002A61CB">
        <w:rPr>
          <w:szCs w:val="22"/>
        </w:rPr>
        <w:t xml:space="preserve">changes </w:t>
      </w:r>
      <w:r w:rsidR="00684D81">
        <w:rPr>
          <w:szCs w:val="22"/>
        </w:rPr>
        <w:t xml:space="preserve">and their bases </w:t>
      </w:r>
      <w:r w:rsidRPr="002A61CB">
        <w:rPr>
          <w:szCs w:val="22"/>
        </w:rPr>
        <w:t xml:space="preserve">should accompany the </w:t>
      </w:r>
      <w:r w:rsidR="00FF2F9A">
        <w:rPr>
          <w:szCs w:val="22"/>
        </w:rPr>
        <w:t xml:space="preserve">updated </w:t>
      </w:r>
      <w:r w:rsidRPr="002A61CB">
        <w:rPr>
          <w:szCs w:val="22"/>
        </w:rPr>
        <w:t>FSAR</w:t>
      </w:r>
      <w:r w:rsidR="00EC0C1A">
        <w:rPr>
          <w:szCs w:val="22"/>
        </w:rPr>
        <w:t xml:space="preserve"> </w:t>
      </w:r>
      <w:r w:rsidR="00FF2F9A">
        <w:rPr>
          <w:szCs w:val="22"/>
        </w:rPr>
        <w:t xml:space="preserve">and subsequent </w:t>
      </w:r>
      <w:r w:rsidR="00FF2F9A">
        <w:rPr>
          <w:szCs w:val="22"/>
        </w:rPr>
        <w:t>FSAR</w:t>
      </w:r>
      <w:r w:rsidR="00FF2F9A">
        <w:rPr>
          <w:szCs w:val="22"/>
        </w:rPr>
        <w:t xml:space="preserve"> updates.</w:t>
      </w:r>
    </w:p>
    <w:p w:rsidR="004323EF" w:rsidRPr="002A61CB" w:rsidP="00701763" w14:paraId="59451F09" w14:textId="77777777">
      <w:pPr>
        <w:pStyle w:val="ListParagraph"/>
        <w:rPr>
          <w:sz w:val="22"/>
          <w:szCs w:val="22"/>
        </w:rPr>
      </w:pPr>
    </w:p>
    <w:p w:rsidR="00E8286C" w:rsidP="5A664D39" w14:paraId="752AD8D1" w14:textId="77777777">
      <w:pPr>
        <w:pStyle w:val="ListParagraph"/>
        <w:keepNext/>
        <w:keepLines/>
        <w:numPr>
          <w:ilvl w:val="0"/>
          <w:numId w:val="29"/>
        </w:numPr>
        <w:ind w:hanging="720"/>
        <w:rPr>
          <w:sz w:val="22"/>
          <w:szCs w:val="22"/>
        </w:rPr>
      </w:pPr>
      <w:r w:rsidRPr="5A664D39">
        <w:rPr>
          <w:sz w:val="22"/>
          <w:szCs w:val="22"/>
        </w:rPr>
        <w:t xml:space="preserve">Submission of the Updated </w:t>
      </w:r>
      <w:r w:rsidRPr="5A664D39">
        <w:rPr>
          <w:sz w:val="22"/>
          <w:szCs w:val="22"/>
        </w:rPr>
        <w:t>FSAR</w:t>
      </w:r>
      <w:r w:rsidRPr="5A664D39">
        <w:rPr>
          <w:sz w:val="22"/>
          <w:szCs w:val="22"/>
        </w:rPr>
        <w:t xml:space="preserve"> and Subsequent </w:t>
      </w:r>
      <w:r w:rsidRPr="5A664D39">
        <w:rPr>
          <w:sz w:val="22"/>
          <w:szCs w:val="22"/>
        </w:rPr>
        <w:t>FSAR</w:t>
      </w:r>
      <w:r w:rsidRPr="5A664D39">
        <w:rPr>
          <w:sz w:val="22"/>
          <w:szCs w:val="22"/>
        </w:rPr>
        <w:t xml:space="preserve"> Updates</w:t>
      </w:r>
    </w:p>
    <w:p w:rsidR="5A664D39" w:rsidP="5A664D39" w14:paraId="598C771E" w14:textId="77777777">
      <w:pPr>
        <w:pStyle w:val="ListParagraph"/>
        <w:keepNext/>
        <w:keepLines/>
        <w:ind w:left="1440"/>
        <w:rPr>
          <w:sz w:val="22"/>
          <w:szCs w:val="22"/>
        </w:rPr>
      </w:pPr>
    </w:p>
    <w:p w:rsidR="00E8286C" w:rsidP="5A664D39" w14:paraId="6E33AFEA" w14:textId="28E49099">
      <w:pPr>
        <w:pStyle w:val="ListParagraph"/>
        <w:keepNext/>
        <w:keepLines/>
        <w:numPr>
          <w:ilvl w:val="1"/>
          <w:numId w:val="29"/>
        </w:numPr>
        <w:ind w:hanging="720"/>
        <w:rPr>
          <w:sz w:val="22"/>
          <w:szCs w:val="22"/>
        </w:rPr>
      </w:pPr>
      <w:r w:rsidRPr="5A664D39">
        <w:rPr>
          <w:sz w:val="22"/>
          <w:szCs w:val="22"/>
        </w:rPr>
        <w:t xml:space="preserve">The updated </w:t>
      </w:r>
      <w:r w:rsidRPr="5A664D39">
        <w:rPr>
          <w:sz w:val="22"/>
          <w:szCs w:val="22"/>
        </w:rPr>
        <w:t>FSAR</w:t>
      </w:r>
      <w:r w:rsidRPr="5A664D39">
        <w:rPr>
          <w:sz w:val="22"/>
          <w:szCs w:val="22"/>
        </w:rPr>
        <w:t xml:space="preserve"> and subsequent </w:t>
      </w:r>
      <w:r w:rsidRPr="5A664D39">
        <w:rPr>
          <w:sz w:val="22"/>
          <w:szCs w:val="22"/>
        </w:rPr>
        <w:t>FSAR</w:t>
      </w:r>
      <w:r w:rsidRPr="5A664D39">
        <w:rPr>
          <w:sz w:val="22"/>
          <w:szCs w:val="22"/>
        </w:rPr>
        <w:t xml:space="preserve"> updates shall be submitted in accordance with 10 CFR 50.71(e)(2), which requires that the submittal include (1) a certification by a duly authorized officer of the licensee that either the information accurately presents changes made since the previous submittal that are necessary to reflect information and analyses submitted to the Commission or prepared pursuant to Commission requirements, or that no such changes were made (see item l below) and (2) an identification of changes made under the provisions of 10 CFR 50.59 but not previously submitted to the Commission.  For purposes of this requirement, “certification by a duly authorized officer of the licensee” means that the individual within the licensee’s organization responsible for submitting licensing information to the NRC submits the updated </w:t>
      </w:r>
      <w:r w:rsidRPr="5A664D39">
        <w:rPr>
          <w:sz w:val="22"/>
          <w:szCs w:val="22"/>
        </w:rPr>
        <w:t>FSAR</w:t>
      </w:r>
      <w:r w:rsidRPr="5A664D39">
        <w:rPr>
          <w:sz w:val="22"/>
          <w:szCs w:val="22"/>
        </w:rPr>
        <w:t xml:space="preserve"> or subsequent </w:t>
      </w:r>
      <w:r w:rsidRPr="5A664D39">
        <w:rPr>
          <w:sz w:val="22"/>
          <w:szCs w:val="22"/>
        </w:rPr>
        <w:t>FSAR</w:t>
      </w:r>
      <w:r w:rsidRPr="5A664D39">
        <w:rPr>
          <w:sz w:val="22"/>
          <w:szCs w:val="22"/>
        </w:rPr>
        <w:t xml:space="preserve"> update under oath and affirmation.</w:t>
      </w:r>
    </w:p>
    <w:p w:rsidR="5A664D39" w:rsidP="5A664D39" w14:paraId="61B491FF" w14:textId="77777777">
      <w:pPr>
        <w:pStyle w:val="ListParagraph"/>
        <w:keepNext/>
        <w:keepLines/>
        <w:ind w:left="1440" w:hanging="720"/>
        <w:rPr>
          <w:sz w:val="22"/>
          <w:szCs w:val="22"/>
        </w:rPr>
      </w:pPr>
    </w:p>
    <w:p w:rsidR="00E8286C" w:rsidP="5A664D39" w14:paraId="73EDCC51" w14:textId="60845979">
      <w:pPr>
        <w:pStyle w:val="ListParagraph"/>
        <w:keepNext/>
        <w:keepLines/>
        <w:numPr>
          <w:ilvl w:val="1"/>
          <w:numId w:val="29"/>
        </w:numPr>
        <w:ind w:hanging="720"/>
        <w:rPr>
          <w:sz w:val="22"/>
          <w:szCs w:val="22"/>
        </w:rPr>
      </w:pPr>
      <w:r w:rsidRPr="5A664D39">
        <w:rPr>
          <w:sz w:val="22"/>
          <w:szCs w:val="22"/>
        </w:rPr>
        <w:t xml:space="preserve">The updated </w:t>
      </w:r>
      <w:r w:rsidRPr="5A664D39">
        <w:rPr>
          <w:sz w:val="22"/>
          <w:szCs w:val="22"/>
        </w:rPr>
        <w:t>FSAR</w:t>
      </w:r>
      <w:r w:rsidRPr="5A664D39">
        <w:rPr>
          <w:sz w:val="22"/>
          <w:szCs w:val="22"/>
        </w:rPr>
        <w:t xml:space="preserve"> and subsequent </w:t>
      </w:r>
      <w:r w:rsidRPr="5A664D39">
        <w:rPr>
          <w:sz w:val="22"/>
          <w:szCs w:val="22"/>
        </w:rPr>
        <w:t>FSAR</w:t>
      </w:r>
      <w:r w:rsidRPr="5A664D39">
        <w:rPr>
          <w:sz w:val="22"/>
          <w:szCs w:val="22"/>
        </w:rPr>
        <w:t xml:space="preserve"> updates must be submitted in accordance with 10 CFR 50.4, “Written communications,” and the facility’s technical specifications.  Where practicable, licensees should electronically submit the entire document through, for example, Electronic Information Exchange, e-mail, or </w:t>
      </w:r>
      <w:r w:rsidRPr="5A664D39">
        <w:rPr>
          <w:sz w:val="22"/>
          <w:szCs w:val="22"/>
        </w:rPr>
        <w:t>CDROM</w:t>
      </w:r>
      <w:r w:rsidRPr="5A664D39">
        <w:rPr>
          <w:sz w:val="22"/>
          <w:szCs w:val="22"/>
        </w:rPr>
        <w:t xml:space="preserve">.  The regulation at 10 CFR 50.4(a) specifies that “Electronic submissions must be made in a manner that enables the NRC to receive, read, authenticate, distribute, and archive the submission, and process and retrieve it a single page at a time.”  The NRC provides specific guidance on acceptable procedures for electronic submissions on its public Web site at </w:t>
      </w:r>
      <w:hyperlink r:id="rId11" w:history="1">
        <w:r w:rsidRPr="5A664D39">
          <w:rPr>
            <w:rStyle w:val="Hyperlink"/>
            <w:sz w:val="22"/>
            <w:szCs w:val="22"/>
          </w:rPr>
          <w:t>http://www.nrc.gov/site-help/e-submittals.html</w:t>
        </w:r>
      </w:hyperlink>
      <w:r w:rsidRPr="5A664D39">
        <w:rPr>
          <w:sz w:val="22"/>
          <w:szCs w:val="22"/>
        </w:rPr>
        <w:t xml:space="preserve">.  Users who are new to the process should select the “Getting Started” link to </w:t>
      </w:r>
      <w:hyperlink r:id="rId12" w:history="1">
        <w:r w:rsidRPr="5A664D39">
          <w:rPr>
            <w:rStyle w:val="Hyperlink"/>
            <w:sz w:val="22"/>
            <w:szCs w:val="22"/>
          </w:rPr>
          <w:t>http://www.nrc.gov/site-help/e-submittals/getting-started.html</w:t>
        </w:r>
      </w:hyperlink>
      <w:r w:rsidRPr="5A664D39">
        <w:rPr>
          <w:sz w:val="22"/>
          <w:szCs w:val="22"/>
        </w:rPr>
        <w:t xml:space="preserve"> and access the “Reference Materials for Electronic Submissions” link at </w:t>
      </w:r>
      <w:hyperlink r:id="rId13" w:history="1">
        <w:r w:rsidRPr="5A664D39">
          <w:rPr>
            <w:rStyle w:val="Hyperlink"/>
            <w:sz w:val="22"/>
            <w:szCs w:val="22"/>
          </w:rPr>
          <w:t>http://www.nrc.gov/site-help/electronic-sub-ref-mat.html</w:t>
        </w:r>
      </w:hyperlink>
      <w:r w:rsidRPr="5A664D39">
        <w:rPr>
          <w:sz w:val="22"/>
          <w:szCs w:val="22"/>
        </w:rPr>
        <w:t>.  The “Reference Materials for Electronic Submissions” link also provides a link to the current version of the primary guidance document, “Guidance for Electronic Submissions to the NRC,” Revision 8 (Ref. 14).  The NRC staff</w:t>
      </w:r>
      <w:r w:rsidRPr="5A664D39">
        <w:rPr>
          <w:color w:val="0563C1"/>
          <w:sz w:val="22"/>
          <w:szCs w:val="22"/>
        </w:rPr>
        <w:t xml:space="preserve"> </w:t>
      </w:r>
      <w:r w:rsidRPr="5A664D39">
        <w:rPr>
          <w:sz w:val="22"/>
          <w:szCs w:val="22"/>
        </w:rPr>
        <w:t>plans to update the guidance periodically to reflect changes in technology and agency experience and to post the latest version of the document.  Licensees should use the most recent processes and guidance when submitting documents in electronic format.</w:t>
      </w:r>
    </w:p>
    <w:p w:rsidR="5A664D39" w:rsidP="5A664D39" w14:paraId="012F4AD9" w14:textId="77777777">
      <w:pPr>
        <w:pStyle w:val="ListParagraph"/>
        <w:keepNext/>
        <w:keepLines/>
        <w:ind w:hanging="720"/>
        <w:rPr>
          <w:sz w:val="22"/>
          <w:szCs w:val="22"/>
        </w:rPr>
      </w:pPr>
    </w:p>
    <w:p w:rsidR="00E8286C" w:rsidP="5A664D39" w14:paraId="370F0C18" w14:textId="6F8E40D0">
      <w:pPr>
        <w:pStyle w:val="ListParagraph"/>
        <w:keepNext/>
        <w:keepLines/>
        <w:numPr>
          <w:ilvl w:val="1"/>
          <w:numId w:val="29"/>
        </w:numPr>
        <w:ind w:hanging="720"/>
        <w:rPr>
          <w:sz w:val="22"/>
          <w:szCs w:val="22"/>
        </w:rPr>
      </w:pPr>
      <w:r w:rsidRPr="5A664D39">
        <w:rPr>
          <w:sz w:val="22"/>
          <w:szCs w:val="22"/>
        </w:rPr>
        <w:t xml:space="preserve">Under 10 CFR 50.4(b)(6), the NRC requires that if a licensee submits the updated </w:t>
      </w:r>
      <w:r w:rsidRPr="5A664D39">
        <w:rPr>
          <w:sz w:val="22"/>
          <w:szCs w:val="22"/>
        </w:rPr>
        <w:t>FSAR</w:t>
      </w:r>
      <w:r w:rsidRPr="5A664D39">
        <w:rPr>
          <w:sz w:val="22"/>
          <w:szCs w:val="22"/>
        </w:rPr>
        <w:t xml:space="preserve"> or subsequent </w:t>
      </w:r>
      <w:r w:rsidRPr="5A664D39">
        <w:rPr>
          <w:sz w:val="22"/>
          <w:szCs w:val="22"/>
        </w:rPr>
        <w:t>FSAR</w:t>
      </w:r>
      <w:r w:rsidRPr="5A664D39">
        <w:rPr>
          <w:sz w:val="22"/>
          <w:szCs w:val="22"/>
        </w:rPr>
        <w:t xml:space="preserve"> updates electronically, then all future </w:t>
      </w:r>
      <w:r w:rsidRPr="5A664D39">
        <w:rPr>
          <w:sz w:val="22"/>
          <w:szCs w:val="22"/>
        </w:rPr>
        <w:t>FSAR</w:t>
      </w:r>
      <w:r w:rsidRPr="5A664D39">
        <w:rPr>
          <w:sz w:val="22"/>
          <w:szCs w:val="22"/>
        </w:rPr>
        <w:t xml:space="preserve"> updates must be submitted electronically on a total replacement basis (i.e., a complete </w:t>
      </w:r>
      <w:r w:rsidRPr="5A664D39">
        <w:rPr>
          <w:sz w:val="22"/>
          <w:szCs w:val="22"/>
        </w:rPr>
        <w:t>FSAR</w:t>
      </w:r>
      <w:r w:rsidRPr="5A664D39">
        <w:rPr>
          <w:sz w:val="22"/>
          <w:szCs w:val="22"/>
        </w:rPr>
        <w:t xml:space="preserve"> that will replace the existing docketed </w:t>
      </w:r>
      <w:r w:rsidRPr="5A664D39">
        <w:rPr>
          <w:sz w:val="22"/>
          <w:szCs w:val="22"/>
        </w:rPr>
        <w:t>FSAR</w:t>
      </w:r>
      <w:r w:rsidRPr="5A664D39">
        <w:rPr>
          <w:sz w:val="22"/>
          <w:szCs w:val="22"/>
        </w:rPr>
        <w:t xml:space="preserve"> in its entirety).  </w:t>
      </w:r>
    </w:p>
    <w:p w:rsidR="5A664D39" w:rsidP="5A664D39" w14:paraId="5A078F05" w14:textId="77777777">
      <w:pPr>
        <w:pStyle w:val="ListParagraph"/>
        <w:ind w:hanging="720"/>
        <w:rPr>
          <w:sz w:val="22"/>
          <w:szCs w:val="22"/>
        </w:rPr>
      </w:pPr>
    </w:p>
    <w:p w:rsidR="00E8286C" w:rsidP="5A664D39" w14:paraId="626912E6" w14:textId="7E25EDB5">
      <w:pPr>
        <w:pStyle w:val="ListParagraph"/>
        <w:keepNext/>
        <w:keepLines/>
        <w:numPr>
          <w:ilvl w:val="1"/>
          <w:numId w:val="29"/>
        </w:numPr>
        <w:ind w:hanging="720"/>
        <w:rPr>
          <w:sz w:val="22"/>
          <w:szCs w:val="22"/>
        </w:rPr>
      </w:pPr>
      <w:r w:rsidRPr="5A664D39">
        <w:rPr>
          <w:sz w:val="22"/>
          <w:szCs w:val="22"/>
        </w:rPr>
        <w:t xml:space="preserve">Information included in the updated </w:t>
      </w:r>
      <w:r w:rsidRPr="5A664D39">
        <w:rPr>
          <w:sz w:val="22"/>
          <w:szCs w:val="22"/>
        </w:rPr>
        <w:t>FSAR</w:t>
      </w:r>
      <w:r w:rsidRPr="5A664D39">
        <w:rPr>
          <w:sz w:val="22"/>
          <w:szCs w:val="22"/>
        </w:rPr>
        <w:t xml:space="preserve"> and subsequent </w:t>
      </w:r>
      <w:r w:rsidRPr="5A664D39">
        <w:rPr>
          <w:sz w:val="22"/>
          <w:szCs w:val="22"/>
        </w:rPr>
        <w:t>FSAR</w:t>
      </w:r>
      <w:r w:rsidRPr="5A664D39">
        <w:rPr>
          <w:sz w:val="22"/>
          <w:szCs w:val="22"/>
        </w:rPr>
        <w:t xml:space="preserve"> updates that is considered sensitive or proprietary and that the licensee seeks to have withheld from the public must be marked and submitted in accordance with 10 CFR 2.390, “Public inspections, exemptions, requests for withholding” (Ref. 15).</w:t>
      </w:r>
    </w:p>
    <w:p w:rsidR="5A664D39" w:rsidP="5A664D39" w14:paraId="5DB5D820" w14:textId="77777777">
      <w:pPr>
        <w:pStyle w:val="ListParagraph"/>
        <w:rPr>
          <w:sz w:val="22"/>
          <w:szCs w:val="22"/>
        </w:rPr>
      </w:pPr>
    </w:p>
    <w:p w:rsidR="00E8286C" w:rsidP="5A664D39" w14:paraId="3573C0E2" w14:textId="07BBEA12">
      <w:pPr>
        <w:pStyle w:val="ListParagraph"/>
        <w:keepNext/>
        <w:keepLines/>
        <w:numPr>
          <w:ilvl w:val="1"/>
          <w:numId w:val="29"/>
        </w:numPr>
        <w:ind w:hanging="720"/>
        <w:rPr>
          <w:sz w:val="22"/>
          <w:szCs w:val="22"/>
        </w:rPr>
      </w:pPr>
      <w:r w:rsidRPr="5A664D39">
        <w:rPr>
          <w:sz w:val="22"/>
          <w:szCs w:val="22"/>
        </w:rPr>
        <w:t xml:space="preserve">Non-public security related information included in the updated </w:t>
      </w:r>
      <w:r w:rsidRPr="5A664D39">
        <w:rPr>
          <w:sz w:val="22"/>
          <w:szCs w:val="22"/>
        </w:rPr>
        <w:t>FSAR</w:t>
      </w:r>
      <w:r w:rsidRPr="5A664D39">
        <w:rPr>
          <w:sz w:val="22"/>
          <w:szCs w:val="22"/>
        </w:rPr>
        <w:t xml:space="preserve"> and subsequent </w:t>
      </w:r>
      <w:r w:rsidRPr="5A664D39">
        <w:rPr>
          <w:sz w:val="22"/>
          <w:szCs w:val="22"/>
        </w:rPr>
        <w:t>FSAR</w:t>
      </w:r>
      <w:r w:rsidRPr="5A664D39">
        <w:rPr>
          <w:sz w:val="22"/>
          <w:szCs w:val="22"/>
        </w:rPr>
        <w:t xml:space="preserve"> updates that is related to safeguards information, as defined in 10 CFR 73.2, “Definitions,” must be submitted in accordance with 10 CFR 73.21, “Protection of Safeguards Information: Performance requirements” (Ref. 16). </w:t>
      </w:r>
    </w:p>
    <w:p w:rsidR="5A664D39" w:rsidP="5A664D39" w14:paraId="53CDEAF7" w14:textId="77777777">
      <w:pPr>
        <w:pStyle w:val="ListParagraph"/>
        <w:ind w:hanging="720"/>
        <w:rPr>
          <w:sz w:val="22"/>
          <w:szCs w:val="22"/>
        </w:rPr>
      </w:pPr>
    </w:p>
    <w:p w:rsidR="00E8286C" w:rsidP="5A664D39" w14:paraId="191711C1" w14:textId="563A6865">
      <w:pPr>
        <w:pStyle w:val="ListParagraph"/>
        <w:keepNext/>
        <w:keepLines/>
        <w:numPr>
          <w:ilvl w:val="1"/>
          <w:numId w:val="29"/>
        </w:numPr>
        <w:ind w:hanging="720"/>
        <w:rPr>
          <w:sz w:val="22"/>
          <w:szCs w:val="22"/>
        </w:rPr>
      </w:pPr>
      <w:r w:rsidRPr="5A664D39">
        <w:rPr>
          <w:sz w:val="22"/>
          <w:szCs w:val="22"/>
        </w:rPr>
        <w:t xml:space="preserve">Under 10 CFR 50.4(b)(6) and 10 CFR 50.71(e)(3)(iv), the NRC requires licensees to submit an updated </w:t>
      </w:r>
      <w:r w:rsidRPr="5A664D39">
        <w:rPr>
          <w:sz w:val="22"/>
          <w:szCs w:val="22"/>
        </w:rPr>
        <w:t>FSAR</w:t>
      </w:r>
      <w:r w:rsidRPr="5A664D39">
        <w:rPr>
          <w:sz w:val="22"/>
          <w:szCs w:val="22"/>
        </w:rPr>
        <w:t xml:space="preserve"> to the agency on a total replacement basis (i.e., a complete </w:t>
      </w:r>
      <w:r w:rsidRPr="5A664D39">
        <w:rPr>
          <w:sz w:val="22"/>
          <w:szCs w:val="22"/>
        </w:rPr>
        <w:t>FSAR</w:t>
      </w:r>
      <w:r w:rsidRPr="5A664D39">
        <w:rPr>
          <w:sz w:val="22"/>
          <w:szCs w:val="22"/>
        </w:rPr>
        <w:t xml:space="preserve"> that will replace the existing docketed </w:t>
      </w:r>
      <w:r w:rsidRPr="5A664D39">
        <w:rPr>
          <w:sz w:val="22"/>
          <w:szCs w:val="22"/>
        </w:rPr>
        <w:t>FSAR</w:t>
      </w:r>
      <w:r w:rsidRPr="5A664D39">
        <w:rPr>
          <w:sz w:val="22"/>
          <w:szCs w:val="22"/>
        </w:rPr>
        <w:t xml:space="preserve"> in its entirety) within 5 years of the date of issuance of an initial operating license or renewed license.</w:t>
      </w:r>
    </w:p>
    <w:p w:rsidR="5A664D39" w:rsidP="5A664D39" w14:paraId="532526D1" w14:textId="77777777">
      <w:pPr>
        <w:pStyle w:val="ListParagraph"/>
        <w:ind w:hanging="720"/>
        <w:rPr>
          <w:sz w:val="22"/>
          <w:szCs w:val="22"/>
        </w:rPr>
      </w:pPr>
    </w:p>
    <w:p w:rsidR="00E8286C" w:rsidP="5A664D39" w14:paraId="4CCFC8F0" w14:textId="3F74CC03">
      <w:pPr>
        <w:pStyle w:val="ListParagraph"/>
        <w:numPr>
          <w:ilvl w:val="1"/>
          <w:numId w:val="29"/>
        </w:numPr>
        <w:ind w:hanging="720"/>
        <w:rPr>
          <w:sz w:val="22"/>
          <w:szCs w:val="22"/>
        </w:rPr>
      </w:pPr>
      <w:r w:rsidRPr="5A664D39">
        <w:rPr>
          <w:sz w:val="22"/>
          <w:szCs w:val="22"/>
        </w:rPr>
        <w:t xml:space="preserve">Under 10 CFR 50.71(e)(4)(ii), the NRC requires licensees to submit subsequent </w:t>
      </w:r>
      <w:r w:rsidRPr="5A664D39">
        <w:rPr>
          <w:sz w:val="22"/>
          <w:szCs w:val="22"/>
        </w:rPr>
        <w:t>FSAR</w:t>
      </w:r>
      <w:r w:rsidRPr="5A664D39">
        <w:rPr>
          <w:sz w:val="22"/>
          <w:szCs w:val="22"/>
        </w:rPr>
        <w:t xml:space="preserve"> updates to the agency at intervals not to exceed 5 years following the date of submittal of an updated </w:t>
      </w:r>
      <w:r w:rsidRPr="5A664D39">
        <w:rPr>
          <w:sz w:val="22"/>
          <w:szCs w:val="22"/>
        </w:rPr>
        <w:t>FSAR</w:t>
      </w:r>
      <w:r w:rsidRPr="5A664D39">
        <w:rPr>
          <w:sz w:val="22"/>
          <w:szCs w:val="22"/>
        </w:rPr>
        <w:t xml:space="preserve"> or the previous </w:t>
      </w:r>
      <w:r w:rsidRPr="5A664D39">
        <w:rPr>
          <w:sz w:val="22"/>
          <w:szCs w:val="22"/>
        </w:rPr>
        <w:t>FSAR</w:t>
      </w:r>
      <w:r w:rsidRPr="5A664D39">
        <w:rPr>
          <w:sz w:val="22"/>
          <w:szCs w:val="22"/>
        </w:rPr>
        <w:t xml:space="preserve"> update.  For these subsequent </w:t>
      </w:r>
      <w:r w:rsidRPr="5A664D39">
        <w:rPr>
          <w:sz w:val="22"/>
          <w:szCs w:val="22"/>
        </w:rPr>
        <w:t>FSAR</w:t>
      </w:r>
      <w:r w:rsidRPr="5A664D39">
        <w:rPr>
          <w:sz w:val="22"/>
          <w:szCs w:val="22"/>
        </w:rPr>
        <w:t xml:space="preserve"> updates, under 10 CFR 50.4(b)(6), a licensee may submit a complete updated </w:t>
      </w:r>
      <w:r w:rsidRPr="5A664D39">
        <w:rPr>
          <w:sz w:val="22"/>
          <w:szCs w:val="22"/>
        </w:rPr>
        <w:t>FSAR</w:t>
      </w:r>
      <w:r w:rsidRPr="5A664D39">
        <w:rPr>
          <w:sz w:val="22"/>
          <w:szCs w:val="22"/>
        </w:rPr>
        <w:t xml:space="preserve"> on a total replacement basis or signed originals of the paper copies of the change pages.  In both cases, 10 CFR 50.71(e)(1) requires the licensee to submit a list that identifies the current pages of the </w:t>
      </w:r>
      <w:r w:rsidRPr="5A664D39">
        <w:rPr>
          <w:sz w:val="22"/>
          <w:szCs w:val="22"/>
        </w:rPr>
        <w:t>FSAR</w:t>
      </w:r>
      <w:r w:rsidRPr="5A664D39">
        <w:rPr>
          <w:sz w:val="22"/>
          <w:szCs w:val="22"/>
        </w:rPr>
        <w:t xml:space="preserve"> following page replacement.  </w:t>
      </w:r>
    </w:p>
    <w:p w:rsidR="5A664D39" w:rsidP="5A664D39" w14:paraId="4A21003D" w14:textId="77777777">
      <w:pPr>
        <w:pStyle w:val="ListParagraph"/>
        <w:ind w:hanging="720"/>
        <w:rPr>
          <w:sz w:val="22"/>
          <w:szCs w:val="22"/>
        </w:rPr>
      </w:pPr>
    </w:p>
    <w:p w:rsidR="00E8286C" w:rsidP="5A664D39" w14:paraId="2DDF273C" w14:textId="77777777">
      <w:pPr>
        <w:pStyle w:val="ListParagraph"/>
        <w:numPr>
          <w:ilvl w:val="1"/>
          <w:numId w:val="29"/>
        </w:numPr>
        <w:ind w:hanging="720"/>
        <w:rPr>
          <w:sz w:val="22"/>
          <w:szCs w:val="22"/>
        </w:rPr>
      </w:pPr>
      <w:r w:rsidRPr="5A664D39">
        <w:rPr>
          <w:sz w:val="22"/>
          <w:szCs w:val="22"/>
        </w:rPr>
        <w:t xml:space="preserve">The start date of the interval for submission of the subsequent </w:t>
      </w:r>
      <w:r w:rsidRPr="5A664D39">
        <w:rPr>
          <w:sz w:val="22"/>
          <w:szCs w:val="22"/>
        </w:rPr>
        <w:t>FSAR</w:t>
      </w:r>
      <w:r w:rsidRPr="5A664D39">
        <w:rPr>
          <w:sz w:val="22"/>
          <w:szCs w:val="22"/>
        </w:rPr>
        <w:t xml:space="preserve"> update required by 10 CFR 50.71(e)(4)(ii) will be the date of the licensee’s letter transmitting the previous submittal made under 10 CFR 50.71(e), including certifications submitted under 10 CFR 50.71(e)(2) that no changes were made that affect the </w:t>
      </w:r>
      <w:r w:rsidRPr="5A664D39">
        <w:rPr>
          <w:sz w:val="22"/>
          <w:szCs w:val="22"/>
        </w:rPr>
        <w:t>FSAR</w:t>
      </w:r>
      <w:r w:rsidRPr="5A664D39">
        <w:rPr>
          <w:sz w:val="22"/>
          <w:szCs w:val="22"/>
        </w:rPr>
        <w:t xml:space="preserve">.  If a licensee’s submittal under 10 CFR 50.71(e) is late, then the start date for the interval to submit the subsequent </w:t>
      </w:r>
      <w:r w:rsidRPr="5A664D39">
        <w:rPr>
          <w:sz w:val="22"/>
          <w:szCs w:val="22"/>
        </w:rPr>
        <w:t>FSAR</w:t>
      </w:r>
      <w:r w:rsidRPr="5A664D39">
        <w:rPr>
          <w:sz w:val="22"/>
          <w:szCs w:val="22"/>
        </w:rPr>
        <w:t xml:space="preserve"> update will be the original due date of the late submittal.  In other words, a late submittal will not grant the licensee additional time to submit the next update.</w:t>
      </w:r>
    </w:p>
    <w:p w:rsidR="5A664D39" w:rsidP="5A664D39" w14:paraId="40393BF3" w14:textId="77777777">
      <w:pPr>
        <w:pStyle w:val="ListParagraph"/>
        <w:ind w:hanging="720"/>
        <w:rPr>
          <w:sz w:val="22"/>
          <w:szCs w:val="22"/>
        </w:rPr>
      </w:pPr>
    </w:p>
    <w:p w:rsidR="00E8286C" w:rsidP="5A664D39" w14:paraId="2F58FC83" w14:textId="77777777">
      <w:pPr>
        <w:pStyle w:val="ListParagraph"/>
        <w:numPr>
          <w:ilvl w:val="1"/>
          <w:numId w:val="29"/>
        </w:numPr>
        <w:ind w:hanging="720"/>
        <w:rPr>
          <w:sz w:val="22"/>
          <w:szCs w:val="22"/>
        </w:rPr>
      </w:pPr>
      <w:r w:rsidRPr="5A664D39">
        <w:rPr>
          <w:sz w:val="22"/>
          <w:szCs w:val="22"/>
        </w:rPr>
        <w:t xml:space="preserve">Submitting the updated </w:t>
      </w:r>
      <w:r w:rsidRPr="5A664D39">
        <w:rPr>
          <w:sz w:val="22"/>
          <w:szCs w:val="22"/>
        </w:rPr>
        <w:t>FSAR</w:t>
      </w:r>
      <w:r w:rsidRPr="5A664D39">
        <w:rPr>
          <w:sz w:val="22"/>
          <w:szCs w:val="22"/>
        </w:rPr>
        <w:t xml:space="preserve"> or a subsequent </w:t>
      </w:r>
      <w:r w:rsidRPr="5A664D39">
        <w:rPr>
          <w:sz w:val="22"/>
          <w:szCs w:val="22"/>
        </w:rPr>
        <w:t>FSAR</w:t>
      </w:r>
      <w:r w:rsidRPr="5A664D39">
        <w:rPr>
          <w:sz w:val="22"/>
          <w:szCs w:val="22"/>
        </w:rPr>
        <w:t xml:space="preserve"> update to the NRC sooner than the maximum interval of 5 years will not allow the licensee additional time for submission of the next subsequent </w:t>
      </w:r>
      <w:r w:rsidRPr="5A664D39">
        <w:rPr>
          <w:sz w:val="22"/>
          <w:szCs w:val="22"/>
        </w:rPr>
        <w:t>FSAR</w:t>
      </w:r>
      <w:r w:rsidRPr="5A664D39">
        <w:rPr>
          <w:sz w:val="22"/>
          <w:szCs w:val="22"/>
        </w:rPr>
        <w:t xml:space="preserve"> update required by 10 CFR 50.71(e)(4)(ii).  As an example, a licensee that submits an </w:t>
      </w:r>
      <w:r w:rsidRPr="5A664D39">
        <w:rPr>
          <w:sz w:val="22"/>
          <w:szCs w:val="22"/>
        </w:rPr>
        <w:t>FSAR</w:t>
      </w:r>
      <w:r w:rsidRPr="5A664D39">
        <w:rPr>
          <w:sz w:val="22"/>
          <w:szCs w:val="22"/>
        </w:rPr>
        <w:t xml:space="preserve"> update 3 years after the issuance of its operating license will need to submit the next subsequent </w:t>
      </w:r>
      <w:r w:rsidRPr="5A664D39">
        <w:rPr>
          <w:sz w:val="22"/>
          <w:szCs w:val="22"/>
        </w:rPr>
        <w:t>FSAR</w:t>
      </w:r>
      <w:r w:rsidRPr="5A664D39">
        <w:rPr>
          <w:sz w:val="22"/>
          <w:szCs w:val="22"/>
        </w:rPr>
        <w:t xml:space="preserve"> update within 5 years, not 7 years, of the last submittal.</w:t>
      </w:r>
    </w:p>
    <w:p w:rsidR="5A664D39" w:rsidP="5A664D39" w14:paraId="45D35D32" w14:textId="77777777">
      <w:pPr>
        <w:pStyle w:val="ListParagraph"/>
        <w:ind w:hanging="720"/>
        <w:rPr>
          <w:sz w:val="22"/>
          <w:szCs w:val="22"/>
        </w:rPr>
      </w:pPr>
    </w:p>
    <w:p w:rsidR="00E8286C" w:rsidP="5A664D39" w14:paraId="63B968D0" w14:textId="77777777">
      <w:pPr>
        <w:pStyle w:val="ListParagraph"/>
        <w:numPr>
          <w:ilvl w:val="1"/>
          <w:numId w:val="29"/>
        </w:numPr>
        <w:ind w:hanging="720"/>
        <w:rPr>
          <w:sz w:val="22"/>
          <w:szCs w:val="22"/>
        </w:rPr>
      </w:pPr>
      <w:r w:rsidRPr="5A664D39">
        <w:rPr>
          <w:sz w:val="22"/>
          <w:szCs w:val="22"/>
        </w:rPr>
        <w:t xml:space="preserve">Because 10 CFR 50.71(e)(3)(iv) and 10 CFR 50.71(e)(4)(ii) specify the maximum acceptable intervals for submitting the updated </w:t>
      </w:r>
      <w:r w:rsidRPr="5A664D39">
        <w:rPr>
          <w:sz w:val="22"/>
          <w:szCs w:val="22"/>
        </w:rPr>
        <w:t>FSAR</w:t>
      </w:r>
      <w:r w:rsidRPr="5A664D39">
        <w:rPr>
          <w:sz w:val="22"/>
          <w:szCs w:val="22"/>
        </w:rPr>
        <w:t xml:space="preserve"> and subsequent </w:t>
      </w:r>
      <w:r w:rsidRPr="5A664D39">
        <w:rPr>
          <w:sz w:val="22"/>
          <w:szCs w:val="22"/>
        </w:rPr>
        <w:t>FSAR</w:t>
      </w:r>
      <w:r w:rsidRPr="5A664D39">
        <w:rPr>
          <w:sz w:val="22"/>
          <w:szCs w:val="22"/>
        </w:rPr>
        <w:t xml:space="preserve"> updates to the NRC, licensees are responsible for developing their own schedule for submitting the required updates with the allowed intervals.  As an example, the licensee may choose to submit the updated </w:t>
      </w:r>
      <w:r w:rsidRPr="5A664D39">
        <w:rPr>
          <w:sz w:val="22"/>
          <w:szCs w:val="22"/>
        </w:rPr>
        <w:t>FSAR</w:t>
      </w:r>
      <w:r w:rsidRPr="5A664D39">
        <w:rPr>
          <w:sz w:val="22"/>
          <w:szCs w:val="22"/>
        </w:rPr>
        <w:t xml:space="preserve"> 2 years following the issuance of the operating license and the subsequent </w:t>
      </w:r>
      <w:r w:rsidRPr="5A664D39">
        <w:rPr>
          <w:sz w:val="22"/>
          <w:szCs w:val="22"/>
        </w:rPr>
        <w:t>FSAR</w:t>
      </w:r>
      <w:r w:rsidRPr="5A664D39">
        <w:rPr>
          <w:sz w:val="22"/>
          <w:szCs w:val="22"/>
        </w:rPr>
        <w:t xml:space="preserve"> updates annually or 60 days following a change that affects the </w:t>
      </w:r>
      <w:r w:rsidRPr="5A664D39">
        <w:rPr>
          <w:sz w:val="22"/>
          <w:szCs w:val="22"/>
        </w:rPr>
        <w:t>FSAR</w:t>
      </w:r>
      <w:r w:rsidRPr="5A664D39">
        <w:rPr>
          <w:sz w:val="22"/>
          <w:szCs w:val="22"/>
        </w:rPr>
        <w:t>.</w:t>
      </w:r>
    </w:p>
    <w:p w:rsidR="5A664D39" w:rsidP="5A664D39" w14:paraId="382FB99A" w14:textId="77777777">
      <w:pPr>
        <w:pStyle w:val="ListParagraph"/>
        <w:ind w:hanging="720"/>
        <w:rPr>
          <w:sz w:val="22"/>
          <w:szCs w:val="22"/>
        </w:rPr>
      </w:pPr>
    </w:p>
    <w:p w:rsidR="00E8286C" w:rsidP="5A664D39" w14:paraId="6E372F41" w14:textId="77777777">
      <w:pPr>
        <w:pStyle w:val="ListParagraph"/>
        <w:numPr>
          <w:ilvl w:val="1"/>
          <w:numId w:val="29"/>
        </w:numPr>
        <w:ind w:hanging="720"/>
        <w:rPr>
          <w:sz w:val="22"/>
          <w:szCs w:val="22"/>
        </w:rPr>
      </w:pPr>
      <w:r w:rsidRPr="5A664D39">
        <w:rPr>
          <w:sz w:val="22"/>
          <w:szCs w:val="22"/>
        </w:rPr>
        <w:t xml:space="preserve">The provisions of 10 CFR 2.109, “Effect of timely renewal application,” do not provide relief from the requirements of 10 CFR 50.71(e).  Licensees must continue to submit subsequent </w:t>
      </w:r>
      <w:r w:rsidRPr="5A664D39">
        <w:rPr>
          <w:sz w:val="22"/>
          <w:szCs w:val="22"/>
        </w:rPr>
        <w:t>FSAR</w:t>
      </w:r>
      <w:r w:rsidRPr="5A664D39">
        <w:rPr>
          <w:sz w:val="22"/>
          <w:szCs w:val="22"/>
        </w:rPr>
        <w:t xml:space="preserve"> updates during the period of timely renewal.  In addition, submittal of the updated </w:t>
      </w:r>
      <w:r w:rsidRPr="5A664D39">
        <w:rPr>
          <w:sz w:val="22"/>
          <w:szCs w:val="22"/>
        </w:rPr>
        <w:t>FSAR</w:t>
      </w:r>
      <w:r w:rsidRPr="5A664D39">
        <w:rPr>
          <w:sz w:val="22"/>
          <w:szCs w:val="22"/>
        </w:rPr>
        <w:t xml:space="preserve"> as part of the license renewal application does not qualify as a submittal under 10 CFR 50.71(e) unless the licensee designates it as such and unless it fulfills the 10 CFR 50.71(e) submission requirements.</w:t>
      </w:r>
    </w:p>
    <w:p w:rsidR="5A664D39" w:rsidP="5A664D39" w14:paraId="4DEE9170" w14:textId="77777777">
      <w:pPr>
        <w:pStyle w:val="ListParagraph"/>
        <w:ind w:hanging="720"/>
        <w:rPr>
          <w:sz w:val="22"/>
          <w:szCs w:val="22"/>
        </w:rPr>
      </w:pPr>
    </w:p>
    <w:p w:rsidR="00E8286C" w:rsidP="5A664D39" w14:paraId="7C25AD82" w14:textId="76BA5607">
      <w:pPr>
        <w:pStyle w:val="ListParagraph"/>
        <w:numPr>
          <w:ilvl w:val="1"/>
          <w:numId w:val="29"/>
        </w:numPr>
        <w:spacing w:after="220"/>
        <w:ind w:hanging="720"/>
        <w:rPr>
          <w:sz w:val="22"/>
          <w:szCs w:val="22"/>
        </w:rPr>
      </w:pPr>
      <w:r w:rsidRPr="6DB8EE16">
        <w:rPr>
          <w:sz w:val="22"/>
          <w:szCs w:val="22"/>
        </w:rPr>
        <w:t xml:space="preserve">The licensee will be subject to the “NRC Enforcement Policy” (Ref. 17) if the contents of the updated </w:t>
      </w:r>
      <w:r w:rsidRPr="6DB8EE16">
        <w:rPr>
          <w:sz w:val="22"/>
          <w:szCs w:val="22"/>
        </w:rPr>
        <w:t>FSAR</w:t>
      </w:r>
      <w:r w:rsidRPr="6DB8EE16">
        <w:rPr>
          <w:sz w:val="22"/>
          <w:szCs w:val="22"/>
        </w:rPr>
        <w:t xml:space="preserve"> or subsequent </w:t>
      </w:r>
      <w:r w:rsidRPr="6DB8EE16">
        <w:rPr>
          <w:sz w:val="22"/>
          <w:szCs w:val="22"/>
        </w:rPr>
        <w:t>FSAR</w:t>
      </w:r>
      <w:r w:rsidRPr="6DB8EE16">
        <w:rPr>
          <w:sz w:val="22"/>
          <w:szCs w:val="22"/>
        </w:rPr>
        <w:t xml:space="preserve"> update are not in accordance with 10 CFR </w:t>
      </w:r>
      <w:r w:rsidRPr="6DB8EE16">
        <w:rPr>
          <w:sz w:val="22"/>
          <w:szCs w:val="22"/>
        </w:rPr>
        <w:t>50.71(e)</w:t>
      </w:r>
      <w:r w:rsidRPr="6DB8EE16">
        <w:rPr>
          <w:sz w:val="22"/>
          <w:szCs w:val="22"/>
        </w:rPr>
        <w:t xml:space="preserve"> or the licensee fails to submit to the NRC the updated </w:t>
      </w:r>
      <w:r w:rsidRPr="6DB8EE16">
        <w:rPr>
          <w:sz w:val="22"/>
          <w:szCs w:val="22"/>
        </w:rPr>
        <w:t>FSAR</w:t>
      </w:r>
      <w:r w:rsidRPr="6DB8EE16">
        <w:rPr>
          <w:sz w:val="22"/>
          <w:szCs w:val="22"/>
        </w:rPr>
        <w:t xml:space="preserve"> or a subsequent </w:t>
      </w:r>
      <w:r w:rsidRPr="6DB8EE16">
        <w:rPr>
          <w:sz w:val="22"/>
          <w:szCs w:val="22"/>
        </w:rPr>
        <w:t>FSAR</w:t>
      </w:r>
      <w:r w:rsidRPr="6DB8EE16">
        <w:rPr>
          <w:sz w:val="22"/>
          <w:szCs w:val="22"/>
        </w:rPr>
        <w:t xml:space="preserve"> update within the allowed maximum interval of 5 years.  Licensees should establish by administrative procedure a schedule for submissions required by 10 CFR 50.71(e) that allows for unforeseen circumstances, such as a temporary reduction in staff.</w:t>
      </w:r>
    </w:p>
    <w:p w:rsidR="6DB8EE16" w:rsidP="001E20F8" w14:paraId="6DA7A9A9" w14:textId="3B6E7B32">
      <w:pPr>
        <w:pStyle w:val="ListParagraph"/>
        <w:spacing w:after="220"/>
        <w:rPr>
          <w:szCs w:val="24"/>
        </w:rPr>
      </w:pPr>
    </w:p>
    <w:p w:rsidR="00E8286C" w:rsidP="5A664D39" w14:paraId="1394228E" w14:textId="7A809073">
      <w:pPr>
        <w:pStyle w:val="ListParagraph"/>
        <w:numPr>
          <w:ilvl w:val="1"/>
          <w:numId w:val="29"/>
        </w:numPr>
        <w:ind w:hanging="720"/>
        <w:rPr>
          <w:sz w:val="22"/>
          <w:szCs w:val="22"/>
        </w:rPr>
      </w:pPr>
      <w:r>
        <w:t>If</w:t>
      </w:r>
      <w:r w:rsidRPr="5A664D39">
        <w:rPr>
          <w:sz w:val="22"/>
          <w:szCs w:val="22"/>
        </w:rPr>
        <w:t xml:space="preserve"> no changes were made that affect the </w:t>
      </w:r>
      <w:r w:rsidRPr="5A664D39">
        <w:rPr>
          <w:sz w:val="22"/>
          <w:szCs w:val="22"/>
        </w:rPr>
        <w:t>FSAR</w:t>
      </w:r>
      <w:r w:rsidRPr="5A664D39">
        <w:rPr>
          <w:sz w:val="22"/>
          <w:szCs w:val="22"/>
        </w:rPr>
        <w:t xml:space="preserve">, the licensee shall submit, in accordance with 10 CFR 50.71(e)(2) and 10 CFR 50.4, a certification by a duly authorized officer that no such changes were made.  This action may be accomplished by letter to the NRC’s Document Control Desk.  Alternately, the licensee may include the certification as part of its report made in accordance with 10 CFR 50.59(d)(2), which is required to briefly describe any changes, tests, and experiments and summarize the evaluation of each.  For many NPUF licensees, this would amount to including the certification in the annual report required by the technical specifications, </w:t>
      </w:r>
      <w:r w:rsidRPr="5A664D39">
        <w:rPr>
          <w:sz w:val="22"/>
          <w:szCs w:val="22"/>
        </w:rPr>
        <w:t>as long as</w:t>
      </w:r>
      <w:r w:rsidRPr="5A664D39">
        <w:rPr>
          <w:sz w:val="22"/>
          <w:szCs w:val="22"/>
        </w:rPr>
        <w:t xml:space="preserve"> the annual report is submitted in accordance with the requirements of 10 CFR 50.4.  In this case, the licensee should clearly delineate that the annual report includes the certification.</w:t>
      </w:r>
    </w:p>
    <w:p w:rsidR="5A664D39" w:rsidP="5A664D39" w14:paraId="12AA33DD" w14:textId="32FB7931">
      <w:pPr>
        <w:pStyle w:val="ListParagraph"/>
        <w:rPr>
          <w:sz w:val="22"/>
          <w:szCs w:val="22"/>
        </w:rPr>
      </w:pPr>
    </w:p>
    <w:p w:rsidR="005A3589" w:rsidRPr="002A61CB" w14:paraId="59451F22" w14:textId="1396336D">
      <w:pPr>
        <w:rPr>
          <w:b/>
          <w:szCs w:val="22"/>
        </w:rPr>
      </w:pPr>
      <w:bookmarkStart w:id="10" w:name="_Toc383167286"/>
      <w:bookmarkEnd w:id="9"/>
      <w:r w:rsidRPr="002A61CB">
        <w:rPr>
          <w:b/>
          <w:szCs w:val="22"/>
        </w:rPr>
        <w:br w:type="page"/>
      </w:r>
    </w:p>
    <w:p w:rsidR="00814CAF" w:rsidRPr="009B126C" w:rsidP="00967E9E" w14:paraId="59451F23" w14:textId="77777777">
      <w:pPr>
        <w:pStyle w:val="Heading1"/>
        <w:numPr>
          <w:ilvl w:val="0"/>
          <w:numId w:val="0"/>
        </w:numPr>
        <w:jc w:val="center"/>
        <w:rPr>
          <w:sz w:val="28"/>
          <w:szCs w:val="28"/>
        </w:rPr>
      </w:pPr>
      <w:r w:rsidRPr="009B126C">
        <w:rPr>
          <w:sz w:val="28"/>
          <w:szCs w:val="28"/>
        </w:rPr>
        <w:t>D.  IMPLEMENTATION</w:t>
      </w:r>
      <w:bookmarkEnd w:id="10"/>
    </w:p>
    <w:p w:rsidR="00787B4F" w:rsidP="001E20F8" w14:paraId="59451F2C" w14:textId="5A134146">
      <w:r>
        <w:tab/>
      </w:r>
      <w:r w:rsidR="00F62D1F">
        <w:t xml:space="preserve">During regulatory discussions on </w:t>
      </w:r>
      <w:r w:rsidR="007C07E3">
        <w:t>facility-</w:t>
      </w:r>
      <w:r w:rsidR="00F62D1F">
        <w:t>specific operational issues, t</w:t>
      </w:r>
      <w:r w:rsidR="000E2CC0">
        <w:t xml:space="preserve">he NRC staff may discuss with </w:t>
      </w:r>
      <w:r w:rsidR="000E2CC0">
        <w:t>licensees</w:t>
      </w:r>
      <w:r w:rsidR="000E2CC0">
        <w:t xml:space="preserve"> various actions consistent with staff positions in this RG</w:t>
      </w:r>
      <w:r w:rsidR="00E84709">
        <w:t>,</w:t>
      </w:r>
      <w:r w:rsidR="000E2CC0">
        <w:t xml:space="preserve"> as one acceptable means of meeting the underlying NRC regulatory requirement. </w:t>
      </w:r>
      <w:r w:rsidR="007C7815">
        <w:t xml:space="preserve"> </w:t>
      </w:r>
      <w:r w:rsidR="000E2CC0">
        <w:t>However, unless this RG is part of the license for a facility, the NRC staff may not represent to the licensee that the licensee’s failure to comply with the positions in this RG constitutes a violation.</w:t>
      </w:r>
    </w:p>
    <w:p w:rsidR="00787B4F" w:rsidP="006A63A8" w14:paraId="59451F2D" w14:textId="77777777">
      <w:pPr>
        <w:ind w:firstLine="720"/>
      </w:pPr>
    </w:p>
    <w:p w:rsidR="00405E23" w:rsidP="004707EC" w14:paraId="59451F2E" w14:textId="77777777">
      <w:pPr>
        <w:jc w:val="center"/>
        <w:rPr>
          <w:b/>
          <w:sz w:val="28"/>
          <w:szCs w:val="28"/>
        </w:rPr>
      </w:pPr>
      <w:r w:rsidRPr="5A664D39">
        <w:rPr>
          <w:rFonts w:eastAsia="Calibri"/>
        </w:rPr>
        <w:br w:type="page"/>
      </w:r>
      <w:bookmarkStart w:id="11" w:name="_Toc383167287"/>
      <w:r w:rsidRPr="00620D6D">
        <w:rPr>
          <w:b/>
          <w:sz w:val="28"/>
          <w:szCs w:val="28"/>
        </w:rPr>
        <w:t>GLOSSARY</w:t>
      </w:r>
      <w:bookmarkEnd w:id="11"/>
    </w:p>
    <w:p w:rsidR="00620D6D" w:rsidRPr="00620D6D" w:rsidP="006A63A8" w14:paraId="59451F2F" w14:textId="77777777">
      <w:pPr>
        <w:ind w:firstLine="720"/>
        <w:jc w:val="center"/>
        <w:rPr>
          <w:b/>
          <w:sz w:val="28"/>
          <w:szCs w:val="28"/>
        </w:rPr>
      </w:pPr>
    </w:p>
    <w:tbl>
      <w:tblPr>
        <w:tblW w:w="9426" w:type="dxa"/>
        <w:jc w:val="center"/>
        <w:tblCellMar>
          <w:top w:w="72" w:type="dxa"/>
          <w:left w:w="0" w:type="dxa"/>
          <w:bottom w:w="72" w:type="dxa"/>
          <w:right w:w="0" w:type="dxa"/>
        </w:tblCellMar>
        <w:tblLook w:val="04A0"/>
      </w:tblPr>
      <w:tblGrid>
        <w:gridCol w:w="1866"/>
        <w:gridCol w:w="7560"/>
      </w:tblGrid>
      <w:tr w14:paraId="59451F31" w14:textId="77777777" w:rsidTr="006A47AB">
        <w:tblPrEx>
          <w:tblW w:w="9426" w:type="dxa"/>
          <w:jc w:val="center"/>
          <w:tblCellMar>
            <w:top w:w="72" w:type="dxa"/>
            <w:left w:w="0" w:type="dxa"/>
            <w:bottom w:w="72" w:type="dxa"/>
            <w:right w:w="0" w:type="dxa"/>
          </w:tblCellMar>
          <w:tblLook w:val="04A0"/>
        </w:tblPrEx>
        <w:trPr>
          <w:jc w:val="center"/>
        </w:trPr>
        <w:tc>
          <w:tcPr>
            <w:tcW w:w="9426" w:type="dxa"/>
            <w:gridSpan w:val="2"/>
            <w:shd w:val="clear" w:color="auto" w:fill="auto"/>
          </w:tcPr>
          <w:p w:rsidR="00B2779E" w:rsidRPr="0046078C" w:rsidP="00264F91" w14:paraId="59451F30" w14:textId="77777777">
            <w:r w:rsidRPr="00D2002A">
              <w:t>Notwithstanding</w:t>
            </w:r>
            <w:r w:rsidR="007E5BBD">
              <w:t xml:space="preserve"> the</w:t>
            </w:r>
            <w:r w:rsidRPr="00D2002A">
              <w:t xml:space="preserve"> definitions in </w:t>
            </w:r>
            <w:r w:rsidR="00264F91">
              <w:t xml:space="preserve">Title 10 of the </w:t>
            </w:r>
            <w:r w:rsidRPr="009B6E8B" w:rsidR="00264F91">
              <w:rPr>
                <w:i/>
              </w:rPr>
              <w:t>Code of Federal Regulations</w:t>
            </w:r>
            <w:r w:rsidR="00264F91">
              <w:t xml:space="preserve">, “Energy,” </w:t>
            </w:r>
            <w:r w:rsidRPr="00D2002A">
              <w:t xml:space="preserve">Chapter I, for the purposes of this </w:t>
            </w:r>
            <w:r w:rsidR="00DB79FE">
              <w:t>RG</w:t>
            </w:r>
            <w:r w:rsidRPr="00D2002A">
              <w:t xml:space="preserve">, the following definitions </w:t>
            </w:r>
            <w:r w:rsidR="007E5BBD">
              <w:t xml:space="preserve">(derived from the referenced documents) </w:t>
            </w:r>
            <w:r w:rsidRPr="00D2002A">
              <w:t>apply:</w:t>
            </w:r>
          </w:p>
        </w:tc>
      </w:tr>
      <w:tr w14:paraId="59451F34"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94692F" w:rsidRPr="00FD56AE" w:rsidP="00DD5179" w14:paraId="59451F32" w14:textId="77777777">
            <w:r w:rsidRPr="007916ED">
              <w:rPr>
                <w:b/>
              </w:rPr>
              <w:t>aging</w:t>
            </w:r>
            <w:r w:rsidRPr="007916ED">
              <w:t xml:space="preserve"> </w:t>
            </w:r>
          </w:p>
        </w:tc>
        <w:tc>
          <w:tcPr>
            <w:tcW w:w="7560" w:type="dxa"/>
            <w:shd w:val="clear" w:color="auto" w:fill="auto"/>
          </w:tcPr>
          <w:p w:rsidR="0094692F" w:rsidRPr="00A34419" w:rsidP="00605C13" w14:paraId="59451F33" w14:textId="2FBBF6AB">
            <w:pPr>
              <w:ind w:left="290"/>
            </w:pPr>
            <w:r w:rsidRPr="007916ED">
              <w:t>Aging is the general process in which characteristics of SSC</w:t>
            </w:r>
            <w:r w:rsidR="00665502">
              <w:t xml:space="preserve"> change with use or time</w:t>
            </w:r>
            <w:r w:rsidR="00AA70B0">
              <w:t>,</w:t>
            </w:r>
            <w:r w:rsidR="00175375">
              <w:t xml:space="preserve"> </w:t>
            </w:r>
            <w:r w:rsidR="00A34419">
              <w:t>which eventually leads to degradation of materials subjected to normal service conditions, including normal operation and transient conditions under which the SSC is required to operate</w:t>
            </w:r>
            <w:r w:rsidR="004F244B">
              <w:t>.  This definition is</w:t>
            </w:r>
            <w:r w:rsidR="00A34419">
              <w:t xml:space="preserve"> </w:t>
            </w:r>
            <w:r w:rsidR="00D10D92">
              <w:t xml:space="preserve">derived from </w:t>
            </w:r>
            <w:r w:rsidR="00605C13">
              <w:t>“</w:t>
            </w:r>
            <w:r w:rsidRPr="004F244B" w:rsidR="004F244B">
              <w:t>IAEA</w:t>
            </w:r>
            <w:r w:rsidR="00AA70B0">
              <w:t xml:space="preserve"> </w:t>
            </w:r>
            <w:r w:rsidR="00605C13">
              <w:t xml:space="preserve">Safety Glossary: Terminology Used in Nuclear Safety and Radiation Protection” </w:t>
            </w:r>
            <w:r w:rsidR="004F244B">
              <w:t>(</w:t>
            </w:r>
            <w:r w:rsidR="00175375">
              <w:t>Ref.</w:t>
            </w:r>
            <w:r w:rsidR="000B04D8">
              <w:t> </w:t>
            </w:r>
            <w:r w:rsidR="635BA463">
              <w:t>1</w:t>
            </w:r>
            <w:r w:rsidR="3FD98221">
              <w:t>8</w:t>
            </w:r>
            <w:r w:rsidRPr="007916ED">
              <w:t>)</w:t>
            </w:r>
            <w:r w:rsidR="00665502">
              <w:t>.</w:t>
            </w:r>
          </w:p>
        </w:tc>
      </w:tr>
      <w:tr w14:paraId="59451F37"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94692F" w:rsidRPr="00FD56AE" w:rsidP="00E523B1" w14:paraId="59451F35" w14:textId="77777777">
            <w:r w:rsidRPr="007916ED">
              <w:rPr>
                <w:b/>
              </w:rPr>
              <w:t>aging management</w:t>
            </w:r>
            <w:r w:rsidRPr="007916ED">
              <w:t xml:space="preserve"> </w:t>
            </w:r>
          </w:p>
        </w:tc>
        <w:tc>
          <w:tcPr>
            <w:tcW w:w="7560" w:type="dxa"/>
            <w:shd w:val="clear" w:color="auto" w:fill="auto"/>
          </w:tcPr>
          <w:p w:rsidR="0094692F" w:rsidRPr="00FD56AE" w:rsidP="009B6E8B" w14:paraId="59451F36" w14:textId="77777777">
            <w:pPr>
              <w:ind w:left="290"/>
            </w:pPr>
            <w:r w:rsidRPr="007916ED">
              <w:t>Aging management</w:t>
            </w:r>
            <w:r w:rsidRPr="007916ED">
              <w:rPr>
                <w:i/>
              </w:rPr>
              <w:t xml:space="preserve"> </w:t>
            </w:r>
            <w:r w:rsidRPr="007916ED">
              <w:t xml:space="preserve">is engineering, operations, and maintenance actions to control, within acceptable limits, aging degradation and wear of </w:t>
            </w:r>
            <w:r w:rsidRPr="007916ED">
              <w:t>SSCs</w:t>
            </w:r>
            <w:r w:rsidR="00E81EC9">
              <w:t>,</w:t>
            </w:r>
            <w:r w:rsidRPr="007916ED">
              <w:t xml:space="preserve"> including timely </w:t>
            </w:r>
            <w:r w:rsidR="00665502">
              <w:t xml:space="preserve">detection and mitigation </w:t>
            </w:r>
            <w:r w:rsidR="00175375">
              <w:t>(</w:t>
            </w:r>
            <w:r w:rsidR="00D10D92">
              <w:t xml:space="preserve">derived from </w:t>
            </w:r>
            <w:r w:rsidR="00175375">
              <w:t>Ref.</w:t>
            </w:r>
            <w:r w:rsidR="00665502">
              <w:t xml:space="preserve"> </w:t>
            </w:r>
            <w:r w:rsidR="005534D4">
              <w:t>9</w:t>
            </w:r>
            <w:r w:rsidRPr="007916ED">
              <w:t>)</w:t>
            </w:r>
            <w:r w:rsidR="00665502">
              <w:t>.</w:t>
            </w:r>
          </w:p>
        </w:tc>
      </w:tr>
      <w:tr w14:paraId="59451F3A"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94692F" w:rsidRPr="00FD56AE" w:rsidP="00DD5179" w14:paraId="59451F38" w14:textId="77777777">
            <w:pPr>
              <w:rPr>
                <w:b/>
              </w:rPr>
            </w:pPr>
            <w:r>
              <w:rPr>
                <w:b/>
              </w:rPr>
              <w:t>c</w:t>
            </w:r>
            <w:r w:rsidRPr="007916ED">
              <w:rPr>
                <w:b/>
              </w:rPr>
              <w:t>hange</w:t>
            </w:r>
          </w:p>
        </w:tc>
        <w:tc>
          <w:tcPr>
            <w:tcW w:w="7560" w:type="dxa"/>
            <w:shd w:val="clear" w:color="auto" w:fill="auto"/>
          </w:tcPr>
          <w:p w:rsidR="0094692F" w:rsidRPr="00FD56AE" w:rsidP="009B6E8B" w14:paraId="59451F39" w14:textId="77777777">
            <w:pPr>
              <w:ind w:left="290"/>
            </w:pPr>
            <w:r w:rsidRPr="007916ED">
              <w:t>Change means a modification or addition to, or removal from the facility or procedures</w:t>
            </w:r>
            <w:r w:rsidR="00EA420E">
              <w:t>,</w:t>
            </w:r>
            <w:r w:rsidRPr="007916ED">
              <w:t xml:space="preserve"> that affects a design function, </w:t>
            </w:r>
            <w:r w:rsidR="000B04D8">
              <w:t xml:space="preserve">the </w:t>
            </w:r>
            <w:r w:rsidRPr="007916ED">
              <w:t>method of performing or controlling the function, or an evaluation that demonstrates that intended functio</w:t>
            </w:r>
            <w:r w:rsidR="00665502">
              <w:t xml:space="preserve">ns will be accomplished </w:t>
            </w:r>
            <w:r w:rsidR="00175375">
              <w:t>(</w:t>
            </w:r>
            <w:r w:rsidR="00D10D92">
              <w:t xml:space="preserve">derived from </w:t>
            </w:r>
            <w:r w:rsidR="000B04D8">
              <w:t>10 CFR </w:t>
            </w:r>
            <w:r w:rsidR="004F244B">
              <w:t>50.59(a)(1)</w:t>
            </w:r>
            <w:r w:rsidRPr="007916ED">
              <w:t>)</w:t>
            </w:r>
            <w:r w:rsidR="00665502">
              <w:t>.</w:t>
            </w:r>
          </w:p>
        </w:tc>
      </w:tr>
      <w:tr w14:paraId="59451F3D"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94692F" w:rsidRPr="00FD56AE" w:rsidP="00E523B1" w14:paraId="59451F3B" w14:textId="77777777">
            <w:r w:rsidRPr="007916ED">
              <w:rPr>
                <w:b/>
              </w:rPr>
              <w:t>design bases</w:t>
            </w:r>
            <w:r w:rsidRPr="007916ED">
              <w:t xml:space="preserve"> </w:t>
            </w:r>
          </w:p>
        </w:tc>
        <w:tc>
          <w:tcPr>
            <w:tcW w:w="7560" w:type="dxa"/>
            <w:shd w:val="clear" w:color="auto" w:fill="auto"/>
          </w:tcPr>
          <w:p w:rsidR="0094692F" w:rsidRPr="00FD56AE" w:rsidP="009B6E8B" w14:paraId="59451F3C" w14:textId="77777777">
            <w:pPr>
              <w:ind w:left="290"/>
            </w:pPr>
            <w:r w:rsidRPr="007916ED">
              <w:rPr>
                <w:iCs/>
              </w:rPr>
              <w:t>Design bases</w:t>
            </w:r>
            <w:r w:rsidRPr="007916ED">
              <w:t xml:space="preserve"> </w:t>
            </w:r>
            <w:r w:rsidRPr="007916ED">
              <w:t>mean</w:t>
            </w:r>
            <w:r w:rsidR="00A77B1A">
              <w:t>s</w:t>
            </w:r>
            <w:r w:rsidRPr="007916ED">
              <w:t xml:space="preserve"> information </w:t>
            </w:r>
            <w:r w:rsidR="000B04D8">
              <w:t>that</w:t>
            </w:r>
            <w:r w:rsidRPr="007916ED" w:rsidR="000B04D8">
              <w:t xml:space="preserve"> </w:t>
            </w:r>
            <w:r w:rsidRPr="007916ED">
              <w:t>identifies the specific functions to be performed by a</w:t>
            </w:r>
            <w:r w:rsidR="003E411B">
              <w:t>n</w:t>
            </w:r>
            <w:r w:rsidRPr="007916ED">
              <w:t xml:space="preserve"> </w:t>
            </w:r>
            <w:r w:rsidR="003E411B">
              <w:t>SSC</w:t>
            </w:r>
            <w:r w:rsidRPr="007916ED">
              <w:t xml:space="preserve"> of a facility and the specific values or ranges of values chosen for controlling parameters </w:t>
            </w:r>
            <w:r w:rsidR="0046078C">
              <w:t>as reference bounds for design.</w:t>
            </w:r>
            <w:r w:rsidR="00884C99">
              <w:t xml:space="preserve"> </w:t>
            </w:r>
            <w:r w:rsidR="000B04D8">
              <w:t xml:space="preserve"> </w:t>
            </w:r>
            <w:r w:rsidRPr="007916ED">
              <w:t>These values may be (1)</w:t>
            </w:r>
            <w:r w:rsidR="000B04D8">
              <w:t> </w:t>
            </w:r>
            <w:r w:rsidRPr="007916ED">
              <w:t xml:space="preserve">restraints derived from generally accepted </w:t>
            </w:r>
            <w:r w:rsidR="000B04D8">
              <w:t>“</w:t>
            </w:r>
            <w:r w:rsidRPr="007916ED">
              <w:t>state of the art</w:t>
            </w:r>
            <w:r w:rsidR="000B04D8">
              <w:t>”</w:t>
            </w:r>
            <w:r w:rsidRPr="007916ED">
              <w:t xml:space="preserve"> practices for achieving functional goals or (2)</w:t>
            </w:r>
            <w:r w:rsidR="00B43C78">
              <w:t> </w:t>
            </w:r>
            <w:r w:rsidRPr="007916ED">
              <w:t xml:space="preserve">requirements derived from </w:t>
            </w:r>
            <w:r w:rsidR="00B43C78">
              <w:t xml:space="preserve">an </w:t>
            </w:r>
            <w:r w:rsidRPr="007916ED">
              <w:t>analysis (based on calculation</w:t>
            </w:r>
            <w:r w:rsidR="000B04D8">
              <w:t>s</w:t>
            </w:r>
            <w:r w:rsidRPr="007916ED">
              <w:t xml:space="preserve"> or experiments</w:t>
            </w:r>
            <w:r w:rsidR="000B04D8">
              <w:t>, or both</w:t>
            </w:r>
            <w:r w:rsidRPr="007916ED">
              <w:t xml:space="preserve">) of the effects of a postulated accident for which </w:t>
            </w:r>
            <w:r w:rsidR="003E411B">
              <w:t>an SSC</w:t>
            </w:r>
            <w:r w:rsidRPr="007916ED">
              <w:t xml:space="preserve"> must meet its f</w:t>
            </w:r>
            <w:r w:rsidR="00665502">
              <w:t>unctional goals</w:t>
            </w:r>
            <w:r w:rsidRPr="007916ED">
              <w:t xml:space="preserve"> </w:t>
            </w:r>
            <w:r w:rsidR="00175375">
              <w:t>(</w:t>
            </w:r>
            <w:r w:rsidR="00D10D92">
              <w:t xml:space="preserve">derived from </w:t>
            </w:r>
            <w:r w:rsidR="000B04D8">
              <w:t>10 CFR </w:t>
            </w:r>
            <w:r w:rsidR="004F244B">
              <w:t>50.2</w:t>
            </w:r>
            <w:r w:rsidR="00B43C78">
              <w:t>, “Definitions”</w:t>
            </w:r>
            <w:r w:rsidRPr="007916ED">
              <w:t>)</w:t>
            </w:r>
            <w:r w:rsidR="00665502">
              <w:t>.</w:t>
            </w:r>
          </w:p>
        </w:tc>
      </w:tr>
      <w:tr w14:paraId="59451F40"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94692F" w:rsidRPr="00FD56AE" w:rsidP="00DD5179" w14:paraId="59451F3E" w14:textId="77777777">
            <w:r w:rsidRPr="007916ED">
              <w:rPr>
                <w:b/>
              </w:rPr>
              <w:t>effects of changes</w:t>
            </w:r>
          </w:p>
        </w:tc>
        <w:tc>
          <w:tcPr>
            <w:tcW w:w="7560" w:type="dxa"/>
            <w:shd w:val="clear" w:color="auto" w:fill="auto"/>
          </w:tcPr>
          <w:p w:rsidR="0094692F" w:rsidRPr="00FD56AE" w:rsidP="009B6E8B" w14:paraId="59451F3F" w14:textId="77777777">
            <w:pPr>
              <w:ind w:left="290"/>
            </w:pPr>
            <w:r w:rsidRPr="007916ED">
              <w:t xml:space="preserve">Effects of changes include appropriate revisions of descriptions in the </w:t>
            </w:r>
            <w:r w:rsidRPr="007916ED">
              <w:t>FSAR</w:t>
            </w:r>
            <w:r w:rsidRPr="007916ED">
              <w:t xml:space="preserve"> such that the </w:t>
            </w:r>
            <w:r w:rsidRPr="007916ED">
              <w:t>FSAR</w:t>
            </w:r>
            <w:r w:rsidRPr="007916ED">
              <w:t xml:space="preserve"> (as updated) i</w:t>
            </w:r>
            <w:r w:rsidR="00665502">
              <w:t>s complete and accurate</w:t>
            </w:r>
            <w:r w:rsidR="00175375">
              <w:t xml:space="preserve"> (</w:t>
            </w:r>
            <w:r w:rsidR="00D10D92">
              <w:t xml:space="preserve">derived from </w:t>
            </w:r>
            <w:r w:rsidR="00B43C78">
              <w:t>10 CFR </w:t>
            </w:r>
            <w:r w:rsidR="004F244B">
              <w:t>50.71</w:t>
            </w:r>
            <w:r w:rsidRPr="007916ED">
              <w:t>)</w:t>
            </w:r>
            <w:r w:rsidR="00665502">
              <w:t>.</w:t>
            </w:r>
          </w:p>
        </w:tc>
      </w:tr>
      <w:tr w14:paraId="59451F47"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94692F" w:rsidRPr="00FD56AE" w:rsidP="00DD5179" w14:paraId="59451F41" w14:textId="77777777">
            <w:r w:rsidRPr="007916ED">
              <w:rPr>
                <w:b/>
              </w:rPr>
              <w:t>facility</w:t>
            </w:r>
            <w:r w:rsidRPr="007916ED">
              <w:t xml:space="preserve"> </w:t>
            </w:r>
          </w:p>
        </w:tc>
        <w:tc>
          <w:tcPr>
            <w:tcW w:w="7560" w:type="dxa"/>
            <w:shd w:val="clear" w:color="auto" w:fill="auto"/>
          </w:tcPr>
          <w:p w:rsidR="00557101" w:rsidP="009B6E8B" w14:paraId="59451F42" w14:textId="77777777">
            <w:pPr>
              <w:ind w:left="290"/>
            </w:pPr>
            <w:r>
              <w:t>Facility</w:t>
            </w:r>
            <w:r w:rsidR="00B43C78">
              <w:t>,</w:t>
            </w:r>
            <w:r>
              <w:t xml:space="preserve"> as described in the </w:t>
            </w:r>
            <w:r>
              <w:t>FSAR</w:t>
            </w:r>
            <w:r>
              <w:t xml:space="preserve"> (as updated)</w:t>
            </w:r>
            <w:r w:rsidR="00B43C78">
              <w:t>,</w:t>
            </w:r>
            <w:r>
              <w:t xml:space="preserve"> means</w:t>
            </w:r>
            <w:r w:rsidR="00B43C78">
              <w:t xml:space="preserve"> the following</w:t>
            </w:r>
            <w:r>
              <w:t>:</w:t>
            </w:r>
          </w:p>
          <w:p w:rsidR="00B43C78" w:rsidRPr="00557101" w:rsidP="00557101" w14:paraId="59451F43" w14:textId="77777777"/>
          <w:p w:rsidR="00557101" w:rsidRPr="00AE3AA6" w14:paraId="59451F44" w14:textId="77777777">
            <w:pPr>
              <w:pStyle w:val="ListParagraph"/>
              <w:numPr>
                <w:ilvl w:val="0"/>
                <w:numId w:val="35"/>
              </w:numPr>
              <w:spacing w:after="240"/>
              <w:ind w:left="1010" w:hanging="720"/>
            </w:pPr>
            <w:r w:rsidRPr="00AE3AA6">
              <w:rPr>
                <w:sz w:val="22"/>
                <w:szCs w:val="22"/>
              </w:rPr>
              <w:t>t</w:t>
            </w:r>
            <w:r w:rsidRPr="00AE3AA6">
              <w:rPr>
                <w:sz w:val="22"/>
                <w:szCs w:val="22"/>
              </w:rPr>
              <w:t xml:space="preserve">he </w:t>
            </w:r>
            <w:r w:rsidRPr="00AE3AA6">
              <w:rPr>
                <w:sz w:val="22"/>
                <w:szCs w:val="22"/>
              </w:rPr>
              <w:t>SSC</w:t>
            </w:r>
            <w:r w:rsidRPr="00AE3AA6" w:rsidR="00EA420E">
              <w:rPr>
                <w:sz w:val="22"/>
                <w:szCs w:val="22"/>
              </w:rPr>
              <w:t>s</w:t>
            </w:r>
            <w:r w:rsidRPr="00AE3AA6">
              <w:rPr>
                <w:sz w:val="22"/>
                <w:szCs w:val="22"/>
              </w:rPr>
              <w:t xml:space="preserve"> that are described in the </w:t>
            </w:r>
            <w:r w:rsidRPr="00AE3AA6">
              <w:rPr>
                <w:sz w:val="22"/>
                <w:szCs w:val="22"/>
              </w:rPr>
              <w:t>FSAR</w:t>
            </w:r>
            <w:r w:rsidRPr="00AE3AA6">
              <w:rPr>
                <w:sz w:val="22"/>
                <w:szCs w:val="22"/>
              </w:rPr>
              <w:t xml:space="preserve"> (as updated)</w:t>
            </w:r>
          </w:p>
          <w:p w:rsidR="00557101" w:rsidRPr="00AE3AA6" w14:paraId="59451F45" w14:textId="77777777">
            <w:pPr>
              <w:pStyle w:val="ListParagraph"/>
              <w:numPr>
                <w:ilvl w:val="0"/>
                <w:numId w:val="35"/>
              </w:numPr>
              <w:spacing w:after="240"/>
              <w:ind w:left="1010" w:hanging="720"/>
            </w:pPr>
            <w:r w:rsidRPr="00AE3AA6">
              <w:rPr>
                <w:sz w:val="22"/>
                <w:szCs w:val="22"/>
              </w:rPr>
              <w:t>t</w:t>
            </w:r>
            <w:r w:rsidRPr="00AE3AA6">
              <w:rPr>
                <w:sz w:val="22"/>
                <w:szCs w:val="22"/>
              </w:rPr>
              <w:t xml:space="preserve">he design and performance requirements for such </w:t>
            </w:r>
            <w:r w:rsidRPr="00AE3AA6">
              <w:rPr>
                <w:sz w:val="22"/>
                <w:szCs w:val="22"/>
              </w:rPr>
              <w:t>SSCs</w:t>
            </w:r>
            <w:r w:rsidRPr="00AE3AA6">
              <w:rPr>
                <w:sz w:val="22"/>
                <w:szCs w:val="22"/>
              </w:rPr>
              <w:t xml:space="preserve"> </w:t>
            </w:r>
            <w:r w:rsidRPr="00AE3AA6">
              <w:rPr>
                <w:sz w:val="22"/>
                <w:szCs w:val="22"/>
              </w:rPr>
              <w:t xml:space="preserve">that are </w:t>
            </w:r>
            <w:r w:rsidRPr="00AE3AA6">
              <w:rPr>
                <w:sz w:val="22"/>
                <w:szCs w:val="22"/>
              </w:rPr>
              <w:t xml:space="preserve">described in the </w:t>
            </w:r>
            <w:r w:rsidRPr="00AE3AA6">
              <w:rPr>
                <w:sz w:val="22"/>
                <w:szCs w:val="22"/>
              </w:rPr>
              <w:t>FSAR</w:t>
            </w:r>
            <w:r w:rsidRPr="00AE3AA6">
              <w:rPr>
                <w:sz w:val="22"/>
                <w:szCs w:val="22"/>
              </w:rPr>
              <w:t xml:space="preserve"> (as updated)</w:t>
            </w:r>
          </w:p>
          <w:p w:rsidR="0094692F" w:rsidRPr="00B43C78" w:rsidP="009B6E8B" w14:paraId="59451F46" w14:textId="77777777">
            <w:pPr>
              <w:pStyle w:val="ListParagraph"/>
              <w:numPr>
                <w:ilvl w:val="0"/>
                <w:numId w:val="35"/>
              </w:numPr>
              <w:ind w:left="1010" w:hanging="720"/>
            </w:pPr>
            <w:r w:rsidRPr="00AE3AA6">
              <w:rPr>
                <w:sz w:val="22"/>
                <w:szCs w:val="22"/>
              </w:rPr>
              <w:t>t</w:t>
            </w:r>
            <w:r w:rsidRPr="00AE3AA6" w:rsidR="00557101">
              <w:rPr>
                <w:sz w:val="22"/>
                <w:szCs w:val="22"/>
              </w:rPr>
              <w:t xml:space="preserve">he evaluations or methods of evaluation included in the </w:t>
            </w:r>
            <w:r w:rsidRPr="00AE3AA6" w:rsidR="00557101">
              <w:rPr>
                <w:sz w:val="22"/>
                <w:szCs w:val="22"/>
              </w:rPr>
              <w:t>FSAR</w:t>
            </w:r>
            <w:r w:rsidRPr="00AE3AA6" w:rsidR="00557101">
              <w:rPr>
                <w:sz w:val="22"/>
                <w:szCs w:val="22"/>
              </w:rPr>
              <w:t xml:space="preserve"> (as updated) for such </w:t>
            </w:r>
            <w:r w:rsidRPr="00AE3AA6" w:rsidR="00557101">
              <w:rPr>
                <w:sz w:val="22"/>
                <w:szCs w:val="22"/>
              </w:rPr>
              <w:t>SSCs</w:t>
            </w:r>
            <w:r w:rsidRPr="00AE3AA6" w:rsidR="00557101">
              <w:rPr>
                <w:sz w:val="22"/>
                <w:szCs w:val="22"/>
              </w:rPr>
              <w:t xml:space="preserve"> </w:t>
            </w:r>
            <w:r w:rsidRPr="00AE3AA6" w:rsidR="00AE3AA6">
              <w:rPr>
                <w:sz w:val="22"/>
                <w:szCs w:val="22"/>
              </w:rPr>
              <w:t xml:space="preserve">that </w:t>
            </w:r>
            <w:r w:rsidRPr="00AE3AA6" w:rsidR="00557101">
              <w:rPr>
                <w:sz w:val="22"/>
                <w:szCs w:val="22"/>
              </w:rPr>
              <w:t>demonstrate that their intended functions wi</w:t>
            </w:r>
            <w:r w:rsidRPr="00AE3AA6" w:rsidR="00665502">
              <w:rPr>
                <w:sz w:val="22"/>
                <w:szCs w:val="22"/>
              </w:rPr>
              <w:t>ll be accomplished</w:t>
            </w:r>
            <w:r w:rsidRPr="00AE3AA6" w:rsidR="00175375">
              <w:rPr>
                <w:sz w:val="22"/>
                <w:szCs w:val="22"/>
              </w:rPr>
              <w:t xml:space="preserve"> (</w:t>
            </w:r>
            <w:r w:rsidRPr="00AE3AA6" w:rsidR="00D10D92">
              <w:rPr>
                <w:sz w:val="22"/>
                <w:szCs w:val="22"/>
              </w:rPr>
              <w:t xml:space="preserve">derived from </w:t>
            </w:r>
            <w:r w:rsidRPr="009B6E8B" w:rsidR="00AE3AA6">
              <w:rPr>
                <w:sz w:val="22"/>
                <w:szCs w:val="22"/>
              </w:rPr>
              <w:t>10 CFR </w:t>
            </w:r>
            <w:r w:rsidRPr="009B6E8B" w:rsidR="004F244B">
              <w:rPr>
                <w:sz w:val="22"/>
                <w:szCs w:val="22"/>
              </w:rPr>
              <w:t>50.59(a)(3)</w:t>
            </w:r>
            <w:r w:rsidRPr="00AE3AA6" w:rsidR="00557101">
              <w:rPr>
                <w:sz w:val="22"/>
                <w:szCs w:val="22"/>
              </w:rPr>
              <w:t>)</w:t>
            </w:r>
          </w:p>
        </w:tc>
      </w:tr>
      <w:tr w14:paraId="59451F4A"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E523B1" w:rsidRPr="00B95A38" w:rsidP="00DD5179" w14:paraId="59451F48" w14:textId="77777777">
            <w:pPr>
              <w:rPr>
                <w:b/>
              </w:rPr>
            </w:pPr>
            <w:r w:rsidRPr="5A664D39">
              <w:rPr>
                <w:b/>
              </w:rPr>
              <w:t xml:space="preserve">final safety analysis report </w:t>
            </w:r>
            <w:r w:rsidRPr="5A664D39">
              <w:rPr>
                <w:b/>
              </w:rPr>
              <w:t>(as updated)</w:t>
            </w:r>
          </w:p>
        </w:tc>
        <w:tc>
          <w:tcPr>
            <w:tcW w:w="7560" w:type="dxa"/>
            <w:shd w:val="clear" w:color="auto" w:fill="auto"/>
          </w:tcPr>
          <w:p w:rsidR="00E523B1" w:rsidRPr="00B95A38" w:rsidP="00A77B1A" w14:paraId="59451F49" w14:textId="77777777">
            <w:pPr>
              <w:ind w:left="290"/>
            </w:pPr>
            <w:r>
              <w:t xml:space="preserve">Final safety analysis report </w:t>
            </w:r>
            <w:r>
              <w:t xml:space="preserve">(as updated) means the </w:t>
            </w:r>
            <w:r>
              <w:t>FSAR</w:t>
            </w:r>
            <w:r>
              <w:t xml:space="preserve"> (or </w:t>
            </w:r>
            <w:r>
              <w:t>the f</w:t>
            </w:r>
            <w:r>
              <w:t xml:space="preserve">inal </w:t>
            </w:r>
            <w:r>
              <w:t>h</w:t>
            </w:r>
            <w:r>
              <w:t xml:space="preserve">azards </w:t>
            </w:r>
            <w:r>
              <w:t>s</w:t>
            </w:r>
            <w:r>
              <w:t xml:space="preserve">ummary </w:t>
            </w:r>
            <w:r>
              <w:t>r</w:t>
            </w:r>
            <w:r>
              <w:t xml:space="preserve">eport) submitted in accordance with </w:t>
            </w:r>
            <w:r w:rsidR="000303CF">
              <w:t>10</w:t>
            </w:r>
            <w:r>
              <w:t> </w:t>
            </w:r>
            <w:r w:rsidR="000303CF">
              <w:t>CFR</w:t>
            </w:r>
            <w:r>
              <w:t> </w:t>
            </w:r>
            <w:r>
              <w:t xml:space="preserve">50.34, </w:t>
            </w:r>
            <w:r>
              <w:t xml:space="preserve">“Contents of </w:t>
            </w:r>
            <w:r w:rsidR="00A77B1A">
              <w:t>applications</w:t>
            </w:r>
            <w:r>
              <w:t xml:space="preserve">; </w:t>
            </w:r>
            <w:r w:rsidR="00A77B1A">
              <w:t>technical information</w:t>
            </w:r>
            <w:r>
              <w:t xml:space="preserve">,” </w:t>
            </w:r>
            <w:r>
              <w:t xml:space="preserve">as amended and supplemented and as updated </w:t>
            </w:r>
            <w:r>
              <w:t>in accordance with 10 CFR </w:t>
            </w:r>
            <w:r w:rsidR="00665502">
              <w:t>50.71(e)</w:t>
            </w:r>
            <w:r>
              <w:t xml:space="preserve"> (</w:t>
            </w:r>
            <w:r w:rsidR="00D10D92">
              <w:t xml:space="preserve">derived from </w:t>
            </w:r>
            <w:r>
              <w:t>10 CFR </w:t>
            </w:r>
            <w:r w:rsidR="004F244B">
              <w:t>50.</w:t>
            </w:r>
            <w:r w:rsidR="00732A8B">
              <w:t>59(a)(4)</w:t>
            </w:r>
            <w:r>
              <w:t>)</w:t>
            </w:r>
            <w:r w:rsidR="00665502">
              <w:t>.</w:t>
            </w:r>
          </w:p>
        </w:tc>
      </w:tr>
      <w:tr w14:paraId="59451F4E"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E523B1" w:rsidRPr="000E0342" w:rsidP="00E523B1" w14:paraId="59451F4B" w14:textId="77777777">
            <w:pPr>
              <w:rPr>
                <w:b/>
              </w:rPr>
            </w:pPr>
            <w:r w:rsidRPr="5A664D39">
              <w:rPr>
                <w:b/>
              </w:rPr>
              <w:t>historical</w:t>
            </w:r>
            <w:r>
              <w:tab/>
            </w:r>
          </w:p>
          <w:p w:rsidR="00E523B1" w:rsidRPr="000E0342" w:rsidP="00E523B1" w14:paraId="59451F4C" w14:textId="77777777">
            <w:pPr>
              <w:rPr>
                <w:b/>
              </w:rPr>
            </w:pPr>
            <w:r w:rsidRPr="5A664D39">
              <w:rPr>
                <w:b/>
              </w:rPr>
              <w:t>information</w:t>
            </w:r>
          </w:p>
        </w:tc>
        <w:tc>
          <w:tcPr>
            <w:tcW w:w="7560" w:type="dxa"/>
            <w:shd w:val="clear" w:color="auto" w:fill="auto"/>
          </w:tcPr>
          <w:p w:rsidR="00E523B1" w:rsidRPr="000E0342" w:rsidP="009B6E8B" w14:paraId="59451F4D" w14:textId="77777777">
            <w:pPr>
              <w:ind w:left="290"/>
            </w:pPr>
            <w:r>
              <w:t xml:space="preserve">Historical information is </w:t>
            </w:r>
            <w:r w:rsidR="00F42C8D">
              <w:t>(1) </w:t>
            </w:r>
            <w:r>
              <w:t>information that was accurate at the time the licensee</w:t>
            </w:r>
            <w:r w:rsidR="00F42C8D">
              <w:t>’s</w:t>
            </w:r>
            <w:r>
              <w:t xml:space="preserve"> facility was originally licensed that is not expected to be updated for the life of the facility</w:t>
            </w:r>
            <w:r w:rsidR="00F42C8D">
              <w:t>,</w:t>
            </w:r>
            <w:r>
              <w:t xml:space="preserve"> </w:t>
            </w:r>
            <w:r w:rsidR="00F42C8D">
              <w:t>(2) </w:t>
            </w:r>
            <w:r>
              <w:t>information that is not affected by changes to the licensee</w:t>
            </w:r>
            <w:r w:rsidR="009D1CD4">
              <w:t>’s</w:t>
            </w:r>
            <w:r>
              <w:t xml:space="preserve"> facility or its operation</w:t>
            </w:r>
            <w:r w:rsidR="00F42C8D">
              <w:t>,</w:t>
            </w:r>
            <w:r>
              <w:t xml:space="preserve"> or </w:t>
            </w:r>
            <w:r w:rsidR="00F42C8D">
              <w:t>(3) </w:t>
            </w:r>
            <w:r>
              <w:t>information that do</w:t>
            </w:r>
            <w:r w:rsidR="00D9596F">
              <w:t>es not change with time (</w:t>
            </w:r>
            <w:r w:rsidR="00D10D92">
              <w:t>derived from</w:t>
            </w:r>
            <w:r w:rsidR="00732A8B">
              <w:t xml:space="preserve"> Ref.</w:t>
            </w:r>
            <w:r w:rsidR="00F42C8D">
              <w:t> </w:t>
            </w:r>
            <w:r w:rsidR="00923677">
              <w:t>5</w:t>
            </w:r>
            <w:r>
              <w:t>)</w:t>
            </w:r>
            <w:r w:rsidR="00665502">
              <w:t>.</w:t>
            </w:r>
          </w:p>
        </w:tc>
      </w:tr>
      <w:tr w14:paraId="59451F52" w14:textId="77777777" w:rsidTr="006A47AB">
        <w:tblPrEx>
          <w:tblW w:w="9426" w:type="dxa"/>
          <w:jc w:val="center"/>
          <w:tblCellMar>
            <w:top w:w="72" w:type="dxa"/>
            <w:left w:w="0" w:type="dxa"/>
            <w:bottom w:w="72" w:type="dxa"/>
            <w:right w:w="0" w:type="dxa"/>
          </w:tblCellMar>
          <w:tblLook w:val="04A0"/>
        </w:tblPrEx>
        <w:trPr>
          <w:jc w:val="center"/>
        </w:trPr>
        <w:tc>
          <w:tcPr>
            <w:tcW w:w="1866" w:type="dxa"/>
            <w:shd w:val="clear" w:color="auto" w:fill="auto"/>
          </w:tcPr>
          <w:p w:rsidR="00E523B1" w:rsidRPr="000E0342" w:rsidP="00E523B1" w14:paraId="59451F4F" w14:textId="77777777">
            <w:r w:rsidRPr="5A664D39">
              <w:rPr>
                <w:b/>
              </w:rPr>
              <w:t>licensing basis</w:t>
            </w:r>
            <w:r>
              <w:t xml:space="preserve"> </w:t>
            </w:r>
          </w:p>
          <w:p w:rsidR="00E523B1" w:rsidRPr="000E0342" w:rsidP="00E523B1" w14:paraId="59451F50" w14:textId="77777777">
            <w:pPr>
              <w:rPr>
                <w:b/>
              </w:rPr>
            </w:pPr>
          </w:p>
        </w:tc>
        <w:tc>
          <w:tcPr>
            <w:tcW w:w="7560" w:type="dxa"/>
            <w:shd w:val="clear" w:color="auto" w:fill="auto"/>
          </w:tcPr>
          <w:p w:rsidR="00E523B1" w:rsidP="00A77B1A" w14:paraId="59451F51" w14:textId="58F2C899">
            <w:pPr>
              <w:ind w:left="290"/>
            </w:pPr>
            <w:r>
              <w:t>The licensing basis for a facility comprise</w:t>
            </w:r>
            <w:r w:rsidR="00F42C8D">
              <w:t xml:space="preserve">s </w:t>
            </w:r>
            <w:r>
              <w:t>selected information exchanged between a licensee and the NRC relating to design features, equipment descriptions, operating practices, site characteristics, programs and procedures, and other factors that describe a facility’s design, construction, maintenance</w:t>
            </w:r>
            <w:r w:rsidR="00F42C8D">
              <w:t>,</w:t>
            </w:r>
            <w:r>
              <w:t xml:space="preserve"> and operation. </w:t>
            </w:r>
            <w:r w:rsidR="00D01FA4">
              <w:t xml:space="preserve"> </w:t>
            </w:r>
            <w:r>
              <w:t>Licensing</w:t>
            </w:r>
            <w:r w:rsidR="00A77B1A">
              <w:t xml:space="preserve"> </w:t>
            </w:r>
            <w:r>
              <w:t xml:space="preserve">basis information </w:t>
            </w:r>
            <w:r w:rsidR="00ED7DC7">
              <w:t>appears</w:t>
            </w:r>
            <w:r>
              <w:t xml:space="preserve"> in a variety of document types (e.g., final safety analysis report, license amendments). </w:t>
            </w:r>
            <w:r w:rsidR="00D01FA4">
              <w:t xml:space="preserve"> </w:t>
            </w:r>
            <w:r>
              <w:t>Each licensing</w:t>
            </w:r>
            <w:r w:rsidR="00A77B1A">
              <w:t xml:space="preserve"> </w:t>
            </w:r>
            <w:r>
              <w:t>basis document has certain characteristics in terms of change control mechanisms, reporting of changes to the NRC, dealing with discrepancies, and pos</w:t>
            </w:r>
            <w:r w:rsidR="00665502">
              <w:t>sible involvement of the public</w:t>
            </w:r>
            <w:r w:rsidR="00732A8B">
              <w:t>.</w:t>
            </w:r>
            <w:r>
              <w:t xml:space="preserve"> </w:t>
            </w:r>
            <w:r w:rsidR="00732A8B">
              <w:t xml:space="preserve"> This definition is </w:t>
            </w:r>
            <w:r w:rsidR="00D10D92">
              <w:t xml:space="preserve">derived from </w:t>
            </w:r>
            <w:r w:rsidR="00732A8B">
              <w:t>NEI 07-06, “Nuclear Regulatory Process” (</w:t>
            </w:r>
            <w:r>
              <w:t>Ref.</w:t>
            </w:r>
            <w:r w:rsidR="007170B3">
              <w:t> </w:t>
            </w:r>
            <w:r w:rsidR="635BA463">
              <w:t>1</w:t>
            </w:r>
            <w:r w:rsidR="2E1DA0BA">
              <w:t>9</w:t>
            </w:r>
            <w:r>
              <w:t>)</w:t>
            </w:r>
            <w:r w:rsidR="00665502">
              <w:t xml:space="preserve">. </w:t>
            </w:r>
          </w:p>
        </w:tc>
      </w:tr>
      <w:tr w14:paraId="59451F55" w14:textId="77777777" w:rsidTr="00D01FA4">
        <w:tblPrEx>
          <w:tblW w:w="9426" w:type="dxa"/>
          <w:jc w:val="center"/>
          <w:tblCellMar>
            <w:top w:w="72" w:type="dxa"/>
            <w:left w:w="0" w:type="dxa"/>
            <w:bottom w:w="72" w:type="dxa"/>
            <w:right w:w="0" w:type="dxa"/>
          </w:tblCellMar>
          <w:tblLook w:val="04A0"/>
        </w:tblPrEx>
        <w:trPr>
          <w:trHeight w:val="837"/>
          <w:jc w:val="center"/>
        </w:trPr>
        <w:tc>
          <w:tcPr>
            <w:tcW w:w="1866" w:type="dxa"/>
            <w:shd w:val="clear" w:color="auto" w:fill="auto"/>
          </w:tcPr>
          <w:p w:rsidR="00DC25E0" w:rsidRPr="004A09BE" w:rsidP="00DC25E0" w14:paraId="59451F53" w14:textId="77777777">
            <w:pPr>
              <w:rPr>
                <w:b/>
              </w:rPr>
            </w:pPr>
            <w:r w:rsidRPr="5A664D39">
              <w:rPr>
                <w:b/>
              </w:rPr>
              <w:t>non-power production or utilization facility</w:t>
            </w:r>
          </w:p>
        </w:tc>
        <w:tc>
          <w:tcPr>
            <w:tcW w:w="7560" w:type="dxa"/>
            <w:shd w:val="clear" w:color="auto" w:fill="auto"/>
          </w:tcPr>
          <w:p w:rsidR="00DC25E0" w:rsidP="00463B22" w14:paraId="59451F54" w14:textId="7506848C">
            <w:pPr>
              <w:ind w:left="290"/>
            </w:pPr>
            <w:r>
              <w:t xml:space="preserve">As defined in </w:t>
            </w:r>
            <w:r w:rsidR="00463B22">
              <w:t>10 CFR 50.2, a</w:t>
            </w:r>
            <w:r w:rsidR="00D724C1">
              <w:t xml:space="preserve"> </w:t>
            </w:r>
            <w:r w:rsidR="009D1CD4">
              <w:t xml:space="preserve">non-power </w:t>
            </w:r>
            <w:r w:rsidR="00D724C1">
              <w:t xml:space="preserve">production or utilization facility </w:t>
            </w:r>
            <w:r w:rsidR="009D1CD4">
              <w:t xml:space="preserve">is a </w:t>
            </w:r>
            <w:r w:rsidR="00A77B1A">
              <w:t xml:space="preserve">production or utilization facility, licensed under 10 CFR 50.21(a), 50.21(c), or 50.22, as applicable, that is not a nuclear power </w:t>
            </w:r>
            <w:r w:rsidR="00A77B1A">
              <w:t>reactor</w:t>
            </w:r>
            <w:r w:rsidR="00A77B1A">
              <w:t xml:space="preserve"> or a production facility as defined under paragraphs (1) and (2) of the definition of “</w:t>
            </w:r>
            <w:r w:rsidR="000438E5">
              <w:t>P</w:t>
            </w:r>
            <w:r w:rsidR="00A77B1A">
              <w:t>roduction facility” in 10 CFR 50.2.</w:t>
            </w:r>
          </w:p>
        </w:tc>
      </w:tr>
      <w:tr w14:paraId="59451F59" w14:textId="77777777" w:rsidTr="006A47AB">
        <w:tblPrEx>
          <w:tblW w:w="9426" w:type="dxa"/>
          <w:jc w:val="center"/>
          <w:tblCellMar>
            <w:top w:w="72" w:type="dxa"/>
            <w:left w:w="0" w:type="dxa"/>
            <w:bottom w:w="72" w:type="dxa"/>
            <w:right w:w="0" w:type="dxa"/>
          </w:tblCellMar>
          <w:tblLook w:val="04A0"/>
        </w:tblPrEx>
        <w:trPr>
          <w:trHeight w:val="1016"/>
          <w:jc w:val="center"/>
        </w:trPr>
        <w:tc>
          <w:tcPr>
            <w:tcW w:w="1866" w:type="dxa"/>
            <w:shd w:val="clear" w:color="auto" w:fill="auto"/>
          </w:tcPr>
          <w:p w:rsidR="005359AE" w:rsidRPr="004A09BE" w:rsidP="009B6E8B" w14:paraId="59451F56" w14:textId="77777777">
            <w:pPr>
              <w:ind w:right="-290"/>
              <w:rPr>
                <w:b/>
              </w:rPr>
            </w:pPr>
            <w:r w:rsidRPr="5A664D39">
              <w:rPr>
                <w:b/>
              </w:rPr>
              <w:t xml:space="preserve">obsolete </w:t>
            </w:r>
          </w:p>
          <w:p w:rsidR="005359AE" w:rsidRPr="005359AE" w:rsidP="005359AE" w14:paraId="59451F57" w14:textId="77777777">
            <w:r w:rsidRPr="5A664D39">
              <w:rPr>
                <w:b/>
              </w:rPr>
              <w:t>information</w:t>
            </w:r>
            <w:r>
              <w:t xml:space="preserve"> </w:t>
            </w:r>
          </w:p>
        </w:tc>
        <w:tc>
          <w:tcPr>
            <w:tcW w:w="7560" w:type="dxa"/>
            <w:shd w:val="clear" w:color="auto" w:fill="auto"/>
          </w:tcPr>
          <w:p w:rsidR="005359AE" w:rsidP="009B6E8B" w14:paraId="59451F58" w14:textId="77777777">
            <w:pPr>
              <w:ind w:left="290"/>
            </w:pPr>
            <w:r>
              <w:t xml:space="preserve">Obsolete information is information about </w:t>
            </w:r>
            <w:r w:rsidR="003E411B">
              <w:t>SSCs</w:t>
            </w:r>
            <w:r>
              <w:t xml:space="preserve"> that ha</w:t>
            </w:r>
            <w:r w:rsidR="000B4021">
              <w:t>ve</w:t>
            </w:r>
            <w:r>
              <w:t xml:space="preserve"> been removed from the facility; programs or </w:t>
            </w:r>
            <w:r w:rsidR="009E2EEF">
              <w:t>procedures that</w:t>
            </w:r>
            <w:r>
              <w:t xml:space="preserve"> are no longer in effect; or design information, evaluations</w:t>
            </w:r>
            <w:r w:rsidR="007170B3">
              <w:t>,</w:t>
            </w:r>
            <w:r>
              <w:t xml:space="preserve"> and </w:t>
            </w:r>
            <w:r>
              <w:t>FSAR</w:t>
            </w:r>
            <w:r>
              <w:t xml:space="preserve"> descriptions that no longer apply to the facilit</w:t>
            </w:r>
            <w:r w:rsidR="00F770F9">
              <w:t>y</w:t>
            </w:r>
            <w:r>
              <w:t xml:space="preserve"> (</w:t>
            </w:r>
            <w:r w:rsidR="00D10D92">
              <w:t xml:space="preserve">derived from </w:t>
            </w:r>
            <w:r w:rsidR="00923677">
              <w:t>Ref. 5</w:t>
            </w:r>
            <w:r>
              <w:t>)</w:t>
            </w:r>
            <w:r w:rsidR="00F770F9">
              <w:t>.</w:t>
            </w:r>
          </w:p>
        </w:tc>
      </w:tr>
      <w:tr w14:paraId="59451F5C" w14:textId="77777777" w:rsidTr="006A47AB">
        <w:tblPrEx>
          <w:tblW w:w="9426" w:type="dxa"/>
          <w:jc w:val="center"/>
          <w:tblCellMar>
            <w:top w:w="72" w:type="dxa"/>
            <w:left w:w="0" w:type="dxa"/>
            <w:bottom w:w="72" w:type="dxa"/>
            <w:right w:w="0" w:type="dxa"/>
          </w:tblCellMar>
          <w:tblLook w:val="04A0"/>
        </w:tblPrEx>
        <w:trPr>
          <w:trHeight w:val="773"/>
          <w:jc w:val="center"/>
        </w:trPr>
        <w:tc>
          <w:tcPr>
            <w:tcW w:w="1866" w:type="dxa"/>
            <w:shd w:val="clear" w:color="auto" w:fill="auto"/>
          </w:tcPr>
          <w:p w:rsidR="000B4021" w:rsidRPr="000B4021" w:rsidP="001530CF" w14:paraId="59451F5A" w14:textId="77777777">
            <w:pPr>
              <w:rPr>
                <w:b/>
                <w:strike/>
              </w:rPr>
            </w:pPr>
            <w:r w:rsidRPr="5A664D39">
              <w:rPr>
                <w:b/>
              </w:rPr>
              <w:t xml:space="preserve">subsequent </w:t>
            </w:r>
            <w:r w:rsidRPr="5A664D39">
              <w:rPr>
                <w:b/>
              </w:rPr>
              <w:t>FSAR</w:t>
            </w:r>
            <w:r w:rsidRPr="5A664D39">
              <w:rPr>
                <w:b/>
              </w:rPr>
              <w:t xml:space="preserve"> updates</w:t>
            </w:r>
          </w:p>
        </w:tc>
        <w:tc>
          <w:tcPr>
            <w:tcW w:w="7560" w:type="dxa"/>
            <w:shd w:val="clear" w:color="auto" w:fill="auto"/>
          </w:tcPr>
          <w:p w:rsidR="000B4021" w:rsidRPr="000B4021" w:rsidP="00D07FF2" w14:paraId="59451F5B" w14:textId="112EB144">
            <w:pPr>
              <w:ind w:left="290"/>
              <w:rPr>
                <w:strike/>
              </w:rPr>
            </w:pPr>
            <w:r>
              <w:t xml:space="preserve">Subsequent </w:t>
            </w:r>
            <w:r>
              <w:t>FSAR</w:t>
            </w:r>
            <w:r>
              <w:t xml:space="preserve"> updates are updates to the </w:t>
            </w:r>
            <w:r>
              <w:t>FSAR</w:t>
            </w:r>
            <w:r>
              <w:t xml:space="preserve"> in the form of change pages or a complete</w:t>
            </w:r>
            <w:r w:rsidR="00543ECA">
              <w:t>,</w:t>
            </w:r>
            <w:r>
              <w:t xml:space="preserve"> </w:t>
            </w:r>
            <w:r w:rsidR="00EE0869">
              <w:t xml:space="preserve">updated </w:t>
            </w:r>
            <w:r>
              <w:t>FSAR</w:t>
            </w:r>
            <w:r>
              <w:t xml:space="preserve"> prepared in accordance with the general requirements in </w:t>
            </w:r>
            <w:r w:rsidR="00B23D0E">
              <w:t>10 CFR </w:t>
            </w:r>
            <w:r>
              <w:t xml:space="preserve">50.71(e) and the specific requirements in </w:t>
            </w:r>
            <w:r w:rsidR="00B23D0E">
              <w:t>10 CFR </w:t>
            </w:r>
            <w:r>
              <w:t>50.71(e)(4)(ii).</w:t>
            </w:r>
          </w:p>
        </w:tc>
      </w:tr>
      <w:tr w14:paraId="59451F5F" w14:textId="77777777" w:rsidTr="006A47AB">
        <w:tblPrEx>
          <w:tblW w:w="9426" w:type="dxa"/>
          <w:jc w:val="center"/>
          <w:tblCellMar>
            <w:top w:w="72" w:type="dxa"/>
            <w:left w:w="0" w:type="dxa"/>
            <w:bottom w:w="72" w:type="dxa"/>
            <w:right w:w="0" w:type="dxa"/>
          </w:tblCellMar>
          <w:tblLook w:val="04A0"/>
        </w:tblPrEx>
        <w:trPr>
          <w:trHeight w:val="773"/>
          <w:jc w:val="center"/>
        </w:trPr>
        <w:tc>
          <w:tcPr>
            <w:tcW w:w="1866" w:type="dxa"/>
            <w:shd w:val="clear" w:color="auto" w:fill="auto"/>
          </w:tcPr>
          <w:p w:rsidR="000B4021" w:rsidP="0022058C" w14:paraId="59451F5D" w14:textId="77777777">
            <w:pPr>
              <w:rPr>
                <w:b/>
              </w:rPr>
            </w:pPr>
            <w:r w:rsidRPr="5A664D39">
              <w:rPr>
                <w:b/>
              </w:rPr>
              <w:t xml:space="preserve">updated </w:t>
            </w:r>
            <w:r w:rsidRPr="5A664D39">
              <w:rPr>
                <w:b/>
              </w:rPr>
              <w:t>FSAR</w:t>
            </w:r>
          </w:p>
        </w:tc>
        <w:tc>
          <w:tcPr>
            <w:tcW w:w="7560" w:type="dxa"/>
            <w:shd w:val="clear" w:color="auto" w:fill="auto"/>
          </w:tcPr>
          <w:p w:rsidR="000B4021" w:rsidP="00EE0869" w14:paraId="59451F5E" w14:textId="1B479EF6">
            <w:pPr>
              <w:ind w:left="290"/>
            </w:pPr>
            <w:r>
              <w:t xml:space="preserve">The updated </w:t>
            </w:r>
            <w:r>
              <w:t>FSAR</w:t>
            </w:r>
            <w:r>
              <w:t xml:space="preserve"> is a complete</w:t>
            </w:r>
            <w:r w:rsidR="00543ECA">
              <w:t>,</w:t>
            </w:r>
            <w:r>
              <w:t xml:space="preserve"> update</w:t>
            </w:r>
            <w:r w:rsidR="00543ECA">
              <w:t>d</w:t>
            </w:r>
            <w:r>
              <w:t xml:space="preserve"> </w:t>
            </w:r>
            <w:r w:rsidR="00EE0869">
              <w:t>revision</w:t>
            </w:r>
            <w:r w:rsidR="00543ECA">
              <w:t xml:space="preserve"> </w:t>
            </w:r>
            <w:r>
              <w:t xml:space="preserve">of the original </w:t>
            </w:r>
            <w:r>
              <w:t>FSAR</w:t>
            </w:r>
            <w:r>
              <w:t xml:space="preserve"> prepared in accordance with the general requirements in </w:t>
            </w:r>
            <w:r w:rsidR="0034497C">
              <w:t>10 CFR </w:t>
            </w:r>
            <w:r>
              <w:t xml:space="preserve">50.71(e) and the specific requirements in </w:t>
            </w:r>
            <w:r w:rsidR="0034497C">
              <w:t>10 CFR </w:t>
            </w:r>
            <w:r>
              <w:t xml:space="preserve">50.71(e)(3)(iv). </w:t>
            </w:r>
            <w:r w:rsidR="00D01FA4">
              <w:t xml:space="preserve"> </w:t>
            </w:r>
            <w:r>
              <w:t xml:space="preserve">The “original </w:t>
            </w:r>
            <w:r>
              <w:t>FSAR</w:t>
            </w:r>
            <w:r>
              <w:t xml:space="preserve">” is the </w:t>
            </w:r>
            <w:r>
              <w:t>FSAR</w:t>
            </w:r>
            <w:r>
              <w:t xml:space="preserve"> submitted as part of the application for an operating license (or renewed operating license) for the NPUF.</w:t>
            </w:r>
          </w:p>
        </w:tc>
      </w:tr>
    </w:tbl>
    <w:p w:rsidR="00DD5179" w:rsidRPr="000B4021" w:rsidP="00DD5179" w14:paraId="59451F60" w14:textId="77777777">
      <w:pPr>
        <w:rPr>
          <w:b/>
          <w:szCs w:val="22"/>
        </w:rPr>
      </w:pPr>
    </w:p>
    <w:p w:rsidR="00041E9C" w:rsidRPr="00DD5179" w:rsidP="001E20F8" w14:paraId="59451F61" w14:textId="77777777">
      <w:pPr>
        <w:pStyle w:val="Heading1"/>
        <w:keepNext w:val="0"/>
        <w:numPr>
          <w:ilvl w:val="0"/>
          <w:numId w:val="0"/>
        </w:numPr>
        <w:jc w:val="center"/>
      </w:pPr>
      <w:r w:rsidRPr="00DD5179">
        <w:br w:type="page"/>
      </w:r>
      <w:bookmarkStart w:id="12" w:name="_Toc383167288"/>
      <w:r w:rsidRPr="00481799">
        <w:rPr>
          <w:sz w:val="28"/>
          <w:szCs w:val="28"/>
        </w:rPr>
        <w:t>REFERENCES</w:t>
      </w:r>
      <w:r>
        <w:rPr>
          <w:rStyle w:val="FootnoteReference"/>
          <w:sz w:val="28"/>
          <w:szCs w:val="28"/>
        </w:rPr>
        <w:footnoteReference w:id="3"/>
      </w:r>
      <w:bookmarkEnd w:id="12"/>
    </w:p>
    <w:p w:rsidR="00D759BF" w:rsidRPr="00E96BFE" w14:paraId="59451F62" w14:textId="77777777">
      <w:pPr>
        <w:pStyle w:val="ListParagraph"/>
        <w:numPr>
          <w:ilvl w:val="0"/>
          <w:numId w:val="19"/>
        </w:numPr>
        <w:ind w:left="720" w:hanging="720"/>
        <w:rPr>
          <w:sz w:val="22"/>
          <w:szCs w:val="22"/>
        </w:rPr>
      </w:pPr>
      <w:bookmarkStart w:id="13" w:name="_Toc383167289"/>
      <w:r w:rsidRPr="00E96BFE">
        <w:rPr>
          <w:i/>
          <w:sz w:val="22"/>
          <w:szCs w:val="22"/>
        </w:rPr>
        <w:t>U.S. Code of Federal Regulations</w:t>
      </w:r>
      <w:r w:rsidR="0034497C">
        <w:rPr>
          <w:i/>
          <w:sz w:val="22"/>
          <w:szCs w:val="22"/>
        </w:rPr>
        <w:t xml:space="preserve"> </w:t>
      </w:r>
      <w:r w:rsidR="0034497C">
        <w:rPr>
          <w:sz w:val="22"/>
          <w:szCs w:val="22"/>
        </w:rPr>
        <w:t>(CFR)</w:t>
      </w:r>
      <w:r w:rsidRPr="00E96BFE">
        <w:rPr>
          <w:i/>
          <w:sz w:val="22"/>
          <w:szCs w:val="22"/>
        </w:rPr>
        <w:t>,</w:t>
      </w:r>
      <w:r w:rsidRPr="00E96BFE" w:rsidR="00EB3648">
        <w:rPr>
          <w:sz w:val="22"/>
          <w:szCs w:val="22"/>
        </w:rPr>
        <w:t xml:space="preserve"> </w:t>
      </w:r>
      <w:r w:rsidRPr="00E96BFE">
        <w:rPr>
          <w:sz w:val="22"/>
          <w:szCs w:val="22"/>
        </w:rPr>
        <w:t xml:space="preserve">“Domestic Licensing of Production and Utilization Facilities,” </w:t>
      </w:r>
      <w:r w:rsidR="00D77B2B">
        <w:rPr>
          <w:sz w:val="22"/>
          <w:szCs w:val="22"/>
        </w:rPr>
        <w:t>P</w:t>
      </w:r>
      <w:r w:rsidRPr="00E96BFE">
        <w:rPr>
          <w:sz w:val="22"/>
          <w:szCs w:val="22"/>
        </w:rPr>
        <w:t xml:space="preserve">art 50, Chapter </w:t>
      </w:r>
      <w:r w:rsidRPr="00E96BFE" w:rsidR="008A5D48">
        <w:rPr>
          <w:sz w:val="22"/>
          <w:szCs w:val="22"/>
        </w:rPr>
        <w:t>I</w:t>
      </w:r>
      <w:r w:rsidRPr="00E96BFE">
        <w:rPr>
          <w:sz w:val="22"/>
          <w:szCs w:val="22"/>
        </w:rPr>
        <w:t>, Title 10, “Energy</w:t>
      </w:r>
      <w:r w:rsidRPr="00E96BFE" w:rsidR="00AF1765">
        <w:rPr>
          <w:sz w:val="22"/>
          <w:szCs w:val="22"/>
        </w:rPr>
        <w:t xml:space="preserve">.” </w:t>
      </w:r>
    </w:p>
    <w:p w:rsidR="00712161" w:rsidRPr="00E96BFE" w14:paraId="59451F63" w14:textId="77777777"/>
    <w:p w:rsidR="00D759BF" w14:paraId="59451F64" w14:textId="77777777">
      <w:pPr>
        <w:numPr>
          <w:ilvl w:val="0"/>
          <w:numId w:val="19"/>
        </w:numPr>
        <w:tabs>
          <w:tab w:val="left" w:pos="720"/>
        </w:tabs>
        <w:ind w:left="720" w:hanging="720"/>
      </w:pPr>
      <w:r w:rsidRPr="5A664D39">
        <w:t>U.S. Nuclear Regulatory Commission</w:t>
      </w:r>
      <w:r w:rsidRPr="5A664D39" w:rsidR="00D77B2B">
        <w:t xml:space="preserve"> (NRC)</w:t>
      </w:r>
      <w:r w:rsidRPr="00E96BFE">
        <w:rPr>
          <w:szCs w:val="22"/>
        </w:rPr>
        <w:t xml:space="preserve">, </w:t>
      </w:r>
      <w:r w:rsidRPr="5A664D39" w:rsidR="00DF53E2">
        <w:t>NUREG</w:t>
      </w:r>
      <w:r w:rsidR="00DF53E2">
        <w:rPr>
          <w:szCs w:val="22"/>
        </w:rPr>
        <w:noBreakHyphen/>
      </w:r>
      <w:r w:rsidRPr="5A664D39" w:rsidR="00DF53E2">
        <w:t>1537, Part</w:t>
      </w:r>
      <w:r w:rsidR="00DF53E2">
        <w:rPr>
          <w:szCs w:val="22"/>
        </w:rPr>
        <w:t> </w:t>
      </w:r>
      <w:r w:rsidRPr="5A664D39" w:rsidR="00DF53E2">
        <w:t xml:space="preserve">1, </w:t>
      </w:r>
      <w:r w:rsidRPr="5A664D39">
        <w:t>“Guidelines for Preparing and Reviewing Applications for the Licensing of Non-Power Reactors</w:t>
      </w:r>
      <w:r w:rsidRPr="00E96BFE" w:rsidR="0072578C">
        <w:rPr>
          <w:szCs w:val="22"/>
        </w:rPr>
        <w:t>:</w:t>
      </w:r>
      <w:r w:rsidRPr="00E96BFE">
        <w:rPr>
          <w:szCs w:val="22"/>
        </w:rPr>
        <w:t xml:space="preserve"> </w:t>
      </w:r>
      <w:r w:rsidR="00D77B2B">
        <w:rPr>
          <w:szCs w:val="22"/>
        </w:rPr>
        <w:t xml:space="preserve"> </w:t>
      </w:r>
      <w:r w:rsidRPr="5A664D39" w:rsidR="00AF1765">
        <w:t>Format and Content,</w:t>
      </w:r>
      <w:r w:rsidRPr="00E96BFE" w:rsidR="00DF7F83">
        <w:rPr>
          <w:szCs w:val="22"/>
        </w:rPr>
        <w:t>”</w:t>
      </w:r>
      <w:r w:rsidRPr="00E96BFE" w:rsidR="00AF1765">
        <w:rPr>
          <w:szCs w:val="22"/>
        </w:rPr>
        <w:t xml:space="preserve"> </w:t>
      </w:r>
      <w:r w:rsidRPr="5A664D39" w:rsidR="0035090A">
        <w:t>Washington, DC</w:t>
      </w:r>
      <w:r w:rsidR="00DF53E2">
        <w:rPr>
          <w:szCs w:val="22"/>
        </w:rPr>
        <w:t xml:space="preserve">. </w:t>
      </w:r>
      <w:r w:rsidRPr="00E96BFE" w:rsidR="0035090A">
        <w:rPr>
          <w:szCs w:val="22"/>
        </w:rPr>
        <w:t xml:space="preserve"> </w:t>
      </w:r>
    </w:p>
    <w:p w:rsidR="00475AD5" w:rsidP="00836C5B" w14:paraId="59451F65" w14:textId="77777777">
      <w:pPr>
        <w:pStyle w:val="ListParagraph"/>
      </w:pPr>
    </w:p>
    <w:p w:rsidR="00475AD5" w:rsidRPr="00E96BFE" w14:paraId="59451F66" w14:textId="77777777">
      <w:pPr>
        <w:numPr>
          <w:ilvl w:val="0"/>
          <w:numId w:val="19"/>
        </w:numPr>
        <w:tabs>
          <w:tab w:val="left" w:pos="720"/>
        </w:tabs>
        <w:ind w:left="720" w:hanging="720"/>
      </w:pPr>
      <w:r>
        <w:t>NRC</w:t>
      </w:r>
      <w:r>
        <w:t xml:space="preserve">, “Periodic Updating of Final Safety Analysis </w:t>
      </w:r>
      <w:r w:rsidR="00836C5B">
        <w:t>Reports</w:t>
      </w:r>
      <w:r w:rsidR="00372F87">
        <w:t xml:space="preserve"> (10 </w:t>
      </w:r>
      <w:r w:rsidR="00836C5B">
        <w:t xml:space="preserve">CFR Part 50),” </w:t>
      </w:r>
      <w:r w:rsidRPr="5A664D39" w:rsidR="00836C5B">
        <w:rPr>
          <w:i/>
        </w:rPr>
        <w:t>Federal Register</w:t>
      </w:r>
      <w:r w:rsidR="00836C5B">
        <w:t>, Vol.</w:t>
      </w:r>
      <w:r>
        <w:t> </w:t>
      </w:r>
      <w:r w:rsidR="00836C5B">
        <w:t>45, No.</w:t>
      </w:r>
      <w:r>
        <w:t> </w:t>
      </w:r>
      <w:r w:rsidR="00836C5B">
        <w:t>92</w:t>
      </w:r>
      <w:r>
        <w:t xml:space="preserve">:  pp. 30614–30616 (45 FR 30614–30616), Washington, DC, </w:t>
      </w:r>
      <w:r w:rsidR="00836C5B">
        <w:t>May</w:t>
      </w:r>
      <w:r>
        <w:t> </w:t>
      </w:r>
      <w:r w:rsidR="00836C5B">
        <w:t>9,</w:t>
      </w:r>
      <w:r>
        <w:t> </w:t>
      </w:r>
      <w:r w:rsidR="00836C5B">
        <w:t>1980.</w:t>
      </w:r>
    </w:p>
    <w:p w:rsidR="00AF1765" w:rsidRPr="00E96BFE" w:rsidP="005457D2" w14:paraId="59451F67" w14:textId="77777777">
      <w:pPr>
        <w:pStyle w:val="ListParagraph"/>
        <w:ind w:left="0"/>
        <w:rPr>
          <w:sz w:val="22"/>
          <w:szCs w:val="22"/>
        </w:rPr>
      </w:pPr>
    </w:p>
    <w:p w:rsidR="00372F87" w:rsidP="009B6E8B" w14:paraId="59451F68" w14:textId="77777777">
      <w:pPr>
        <w:pStyle w:val="EndnoteText"/>
        <w:numPr>
          <w:ilvl w:val="0"/>
          <w:numId w:val="19"/>
        </w:numPr>
        <w:ind w:left="720" w:hanging="720"/>
        <w:rPr>
          <w:rFonts w:ascii="Times New Roman" w:hAnsi="Times New Roman" w:cs="Times New Roman"/>
          <w:sz w:val="22"/>
          <w:szCs w:val="22"/>
        </w:rPr>
      </w:pPr>
      <w:r>
        <w:rPr>
          <w:rFonts w:ascii="Times New Roman" w:hAnsi="Times New Roman" w:cs="Times New Roman"/>
          <w:sz w:val="22"/>
          <w:szCs w:val="22"/>
        </w:rPr>
        <w:t>NRC</w:t>
      </w:r>
      <w:r>
        <w:rPr>
          <w:rFonts w:ascii="Times New Roman" w:hAnsi="Times New Roman" w:cs="Times New Roman"/>
          <w:sz w:val="22"/>
          <w:szCs w:val="22"/>
        </w:rPr>
        <w:t xml:space="preserve">, </w:t>
      </w:r>
      <w:r w:rsidR="002C64B2">
        <w:rPr>
          <w:rFonts w:ascii="Times New Roman" w:hAnsi="Times New Roman" w:cs="Times New Roman"/>
          <w:sz w:val="22"/>
          <w:szCs w:val="22"/>
        </w:rPr>
        <w:t xml:space="preserve">Regulatory Guide (RG) 1.181, </w:t>
      </w:r>
      <w:r>
        <w:rPr>
          <w:rFonts w:ascii="Times New Roman" w:hAnsi="Times New Roman" w:cs="Times New Roman"/>
          <w:sz w:val="22"/>
          <w:szCs w:val="22"/>
        </w:rPr>
        <w:t>“</w:t>
      </w:r>
      <w:r w:rsidRPr="00372F87">
        <w:rPr>
          <w:rFonts w:ascii="Times New Roman" w:hAnsi="Times New Roman" w:cs="Times New Roman"/>
          <w:sz w:val="22"/>
          <w:szCs w:val="22"/>
        </w:rPr>
        <w:t>Content of the Updated Final Safety Analysis Report in Accordance with 10</w:t>
      </w:r>
      <w:r w:rsidR="002C64B2">
        <w:rPr>
          <w:rFonts w:ascii="Times New Roman" w:hAnsi="Times New Roman" w:cs="Times New Roman"/>
          <w:sz w:val="22"/>
          <w:szCs w:val="22"/>
        </w:rPr>
        <w:t> </w:t>
      </w:r>
      <w:r w:rsidRPr="00372F87">
        <w:rPr>
          <w:rFonts w:ascii="Times New Roman" w:hAnsi="Times New Roman" w:cs="Times New Roman"/>
          <w:sz w:val="22"/>
          <w:szCs w:val="22"/>
        </w:rPr>
        <w:t>CFR</w:t>
      </w:r>
      <w:r w:rsidR="002C64B2">
        <w:rPr>
          <w:rFonts w:ascii="Times New Roman" w:hAnsi="Times New Roman" w:cs="Times New Roman"/>
          <w:sz w:val="22"/>
          <w:szCs w:val="22"/>
        </w:rPr>
        <w:t> </w:t>
      </w:r>
      <w:r w:rsidRPr="00372F87">
        <w:rPr>
          <w:rFonts w:ascii="Times New Roman" w:hAnsi="Times New Roman" w:cs="Times New Roman"/>
          <w:sz w:val="22"/>
          <w:szCs w:val="22"/>
        </w:rPr>
        <w:t>50.71(e)</w:t>
      </w:r>
      <w:r>
        <w:rPr>
          <w:rFonts w:ascii="Times New Roman" w:hAnsi="Times New Roman" w:cs="Times New Roman"/>
          <w:sz w:val="22"/>
          <w:szCs w:val="22"/>
        </w:rPr>
        <w:t xml:space="preserve">,” </w:t>
      </w:r>
      <w:r w:rsidR="002C64B2">
        <w:rPr>
          <w:rFonts w:ascii="Times New Roman" w:hAnsi="Times New Roman" w:cs="Times New Roman"/>
          <w:sz w:val="22"/>
          <w:szCs w:val="22"/>
        </w:rPr>
        <w:t>Washington, DC</w:t>
      </w:r>
      <w:r w:rsidR="00217D48">
        <w:rPr>
          <w:rFonts w:ascii="Times New Roman" w:hAnsi="Times New Roman" w:cs="Times New Roman"/>
          <w:sz w:val="22"/>
          <w:szCs w:val="22"/>
        </w:rPr>
        <w:t>.</w:t>
      </w:r>
    </w:p>
    <w:p w:rsidR="00372F87" w:rsidP="00372F87" w14:paraId="59451F69" w14:textId="77777777">
      <w:pPr>
        <w:pStyle w:val="ListParagraph"/>
        <w:rPr>
          <w:sz w:val="22"/>
          <w:szCs w:val="22"/>
        </w:rPr>
      </w:pPr>
    </w:p>
    <w:p w:rsidR="007C003F" w14:paraId="3A66A9A4" w14:textId="0DF5948B">
      <w:pPr>
        <w:numPr>
          <w:ilvl w:val="0"/>
          <w:numId w:val="19"/>
        </w:numPr>
        <w:tabs>
          <w:tab w:val="left" w:pos="720"/>
        </w:tabs>
        <w:ind w:left="720" w:hanging="720"/>
      </w:pPr>
      <w:r>
        <w:t>Nuclear Energy Institute</w:t>
      </w:r>
      <w:r w:rsidR="002C64B2">
        <w:t xml:space="preserve"> (NEI)</w:t>
      </w:r>
      <w:r w:rsidR="002578EC">
        <w:t xml:space="preserve"> </w:t>
      </w:r>
      <w:r w:rsidR="002C64B2">
        <w:t>98-03</w:t>
      </w:r>
      <w:r>
        <w:t xml:space="preserve">, “Guidelines for Updating Final Safety Analysis Reports,” </w:t>
      </w:r>
      <w:r w:rsidR="002C64B2">
        <w:t>Revision 1, Palo Alto, CA</w:t>
      </w:r>
      <w:r w:rsidR="00895A6F">
        <w:t xml:space="preserve">, June 1999. </w:t>
      </w:r>
      <w:r w:rsidR="002C64B2">
        <w:t xml:space="preserve"> (</w:t>
      </w:r>
      <w:r w:rsidR="00217D48">
        <w:t xml:space="preserve">Agencywide Documents Access and Management System (ADAMS) Accession No. </w:t>
      </w:r>
      <w:r>
        <w:t>ML003779028</w:t>
      </w:r>
      <w:r w:rsidR="002C64B2">
        <w:t>)</w:t>
      </w:r>
    </w:p>
    <w:p w:rsidR="007C003F" w:rsidP="001E20F8" w14:paraId="5C59A194" w14:textId="0A56783C">
      <w:pPr>
        <w:tabs>
          <w:tab w:val="left" w:pos="720"/>
        </w:tabs>
        <w:ind w:left="720"/>
        <w:rPr>
          <w:szCs w:val="22"/>
        </w:rPr>
      </w:pPr>
    </w:p>
    <w:p w:rsidR="007C003F" w14:paraId="3CF0CCC1" w14:textId="1617EF70">
      <w:pPr>
        <w:numPr>
          <w:ilvl w:val="0"/>
          <w:numId w:val="19"/>
        </w:numPr>
        <w:tabs>
          <w:tab w:val="left" w:pos="720"/>
        </w:tabs>
        <w:ind w:left="720" w:hanging="720"/>
        <w:rPr>
          <w:szCs w:val="22"/>
        </w:rPr>
      </w:pPr>
      <w:r w:rsidRPr="5A664D39">
        <w:rPr>
          <w:szCs w:val="22"/>
        </w:rPr>
        <w:t xml:space="preserve">NRC, “Nuclear Regulatory Commission International Policy Statement,” </w:t>
      </w:r>
      <w:r w:rsidRPr="001E20F8">
        <w:rPr>
          <w:i/>
          <w:iCs/>
          <w:szCs w:val="22"/>
        </w:rPr>
        <w:t>Federal Register</w:t>
      </w:r>
      <w:r w:rsidRPr="5A664D39">
        <w:rPr>
          <w:szCs w:val="22"/>
        </w:rPr>
        <w:t>, Vol. 79, No. 132</w:t>
      </w:r>
      <w:r w:rsidR="009F42AA">
        <w:rPr>
          <w:szCs w:val="22"/>
        </w:rPr>
        <w:t xml:space="preserve">: </w:t>
      </w:r>
      <w:r w:rsidRPr="5A664D39">
        <w:rPr>
          <w:szCs w:val="22"/>
        </w:rPr>
        <w:t xml:space="preserve"> pp. 39415-39418</w:t>
      </w:r>
      <w:r w:rsidR="00F55A6F">
        <w:rPr>
          <w:szCs w:val="22"/>
        </w:rPr>
        <w:t xml:space="preserve"> (79 FR 39415-39418)</w:t>
      </w:r>
      <w:r w:rsidR="009F42AA">
        <w:rPr>
          <w:szCs w:val="22"/>
        </w:rPr>
        <w:t xml:space="preserve">, </w:t>
      </w:r>
      <w:r w:rsidR="009F42AA">
        <w:t xml:space="preserve">Washington, DC, </w:t>
      </w:r>
      <w:r w:rsidRPr="5A664D39" w:rsidR="009F42AA">
        <w:rPr>
          <w:szCs w:val="22"/>
        </w:rPr>
        <w:t>July 10, 2014</w:t>
      </w:r>
      <w:r w:rsidRPr="5A664D39">
        <w:rPr>
          <w:szCs w:val="22"/>
        </w:rPr>
        <w:t>.</w:t>
      </w:r>
    </w:p>
    <w:p w:rsidR="007C003F" w:rsidP="001E20F8" w14:paraId="55C994B5" w14:textId="595061C8">
      <w:pPr>
        <w:tabs>
          <w:tab w:val="left" w:pos="720"/>
        </w:tabs>
        <w:ind w:left="720"/>
        <w:rPr>
          <w:szCs w:val="22"/>
        </w:rPr>
      </w:pPr>
    </w:p>
    <w:p w:rsidR="007C003F" w14:paraId="59451F6A" w14:textId="5BE66EF3">
      <w:pPr>
        <w:numPr>
          <w:ilvl w:val="0"/>
          <w:numId w:val="19"/>
        </w:numPr>
        <w:tabs>
          <w:tab w:val="left" w:pos="720"/>
        </w:tabs>
        <w:ind w:left="720" w:hanging="720"/>
        <w:rPr>
          <w:szCs w:val="22"/>
        </w:rPr>
      </w:pPr>
      <w:r w:rsidRPr="5A664D39">
        <w:rPr>
          <w:szCs w:val="22"/>
        </w:rPr>
        <w:t>NRC, Management Directive (MD) 6.6, “Regulatory Guides,” Washington, DC.</w:t>
      </w:r>
    </w:p>
    <w:p w:rsidR="007C003F" w:rsidP="007C003F" w14:paraId="59451F6B" w14:textId="77777777">
      <w:pPr>
        <w:pStyle w:val="ListParagraph"/>
      </w:pPr>
    </w:p>
    <w:p w:rsidR="007C003F" w:rsidRPr="00BC495A" w:rsidP="009B6E8B" w14:paraId="59451F6C" w14:textId="77777777">
      <w:pPr>
        <w:pStyle w:val="EndnoteText"/>
        <w:numPr>
          <w:ilvl w:val="0"/>
          <w:numId w:val="19"/>
        </w:numPr>
        <w:spacing w:after="240"/>
        <w:ind w:left="720" w:hanging="720"/>
        <w:rPr>
          <w:rFonts w:ascii="Times New Roman" w:hAnsi="Times New Roman" w:cs="Times New Roman"/>
          <w:sz w:val="22"/>
          <w:szCs w:val="22"/>
        </w:rPr>
      </w:pPr>
      <w:r w:rsidRPr="00E96BFE">
        <w:rPr>
          <w:rFonts w:ascii="Times New Roman" w:hAnsi="Times New Roman" w:cs="Times New Roman"/>
          <w:sz w:val="22"/>
          <w:szCs w:val="22"/>
        </w:rPr>
        <w:t>International Atomic Energy Agency</w:t>
      </w:r>
      <w:r w:rsidR="00EE1BB2">
        <w:rPr>
          <w:rFonts w:ascii="Times New Roman" w:hAnsi="Times New Roman" w:cs="Times New Roman"/>
          <w:sz w:val="22"/>
          <w:szCs w:val="22"/>
        </w:rPr>
        <w:t xml:space="preserve"> (IAEA)</w:t>
      </w:r>
      <w:r w:rsidR="002C64B2">
        <w:rPr>
          <w:rFonts w:ascii="Times New Roman" w:hAnsi="Times New Roman" w:cs="Times New Roman"/>
          <w:sz w:val="22"/>
          <w:szCs w:val="22"/>
        </w:rPr>
        <w:t xml:space="preserve"> </w:t>
      </w:r>
      <w:r w:rsidRPr="00B43FDA" w:rsidR="002C64B2">
        <w:rPr>
          <w:rFonts w:ascii="Times New Roman" w:hAnsi="Times New Roman" w:cs="Times New Roman"/>
          <w:sz w:val="22"/>
          <w:szCs w:val="22"/>
        </w:rPr>
        <w:t>Safety Standards Series</w:t>
      </w:r>
      <w:r w:rsidR="002C64B2">
        <w:rPr>
          <w:rFonts w:ascii="Times New Roman" w:hAnsi="Times New Roman" w:cs="Times New Roman"/>
          <w:sz w:val="22"/>
          <w:szCs w:val="22"/>
        </w:rPr>
        <w:t xml:space="preserve"> No. </w:t>
      </w:r>
      <w:r w:rsidRPr="00BC495A" w:rsidR="002C64B2">
        <w:rPr>
          <w:rFonts w:ascii="Times New Roman" w:hAnsi="Times New Roman" w:cs="Times New Roman"/>
          <w:sz w:val="22"/>
          <w:szCs w:val="22"/>
        </w:rPr>
        <w:t>SSR-3</w:t>
      </w:r>
      <w:r w:rsidRPr="00E96BFE">
        <w:rPr>
          <w:rFonts w:ascii="Times New Roman" w:hAnsi="Times New Roman" w:cs="Times New Roman"/>
          <w:sz w:val="22"/>
          <w:szCs w:val="22"/>
        </w:rPr>
        <w:t>, “</w:t>
      </w:r>
      <w:r>
        <w:rPr>
          <w:rFonts w:ascii="Times New Roman" w:hAnsi="Times New Roman" w:cs="Times New Roman"/>
          <w:sz w:val="22"/>
          <w:szCs w:val="22"/>
        </w:rPr>
        <w:t>Safety of Research Reactors</w:t>
      </w:r>
      <w:r w:rsidRPr="00E96BFE">
        <w:rPr>
          <w:rFonts w:ascii="Times New Roman" w:hAnsi="Times New Roman" w:cs="Times New Roman"/>
          <w:sz w:val="22"/>
          <w:szCs w:val="22"/>
        </w:rPr>
        <w:t>,”</w:t>
      </w:r>
      <w:r w:rsidRPr="00E96BFE">
        <w:rPr>
          <w:rStyle w:val="EndnoteReference"/>
          <w:rFonts w:ascii="Times New Roman" w:hAnsi="Times New Roman" w:cs="Times New Roman"/>
          <w:sz w:val="22"/>
          <w:szCs w:val="22"/>
        </w:rPr>
        <w:t xml:space="preserve"> </w:t>
      </w:r>
      <w:r w:rsidRPr="00BC495A">
        <w:rPr>
          <w:rFonts w:ascii="Times New Roman" w:hAnsi="Times New Roman" w:cs="Times New Roman"/>
          <w:sz w:val="22"/>
          <w:szCs w:val="22"/>
        </w:rPr>
        <w:t>Vienna, Austria</w:t>
      </w:r>
      <w:r w:rsidRPr="00BC495A" w:rsidR="00471935">
        <w:rPr>
          <w:rFonts w:ascii="Times New Roman" w:hAnsi="Times New Roman" w:cs="Times New Roman"/>
          <w:sz w:val="22"/>
          <w:szCs w:val="22"/>
        </w:rPr>
        <w:t xml:space="preserve">, </w:t>
      </w:r>
      <w:r w:rsidRPr="009B6E8B" w:rsidR="00471935">
        <w:rPr>
          <w:rFonts w:ascii="Times New Roman" w:hAnsi="Times New Roman" w:cs="Times New Roman"/>
          <w:sz w:val="22"/>
          <w:szCs w:val="22"/>
        </w:rPr>
        <w:t>2015.</w:t>
      </w:r>
      <w:r>
        <w:rPr>
          <w:rStyle w:val="FootnoteReference"/>
          <w:rFonts w:ascii="Times New Roman" w:hAnsi="Times New Roman" w:cs="Times New Roman"/>
          <w:sz w:val="22"/>
          <w:szCs w:val="22"/>
        </w:rPr>
        <w:footnoteReference w:id="4"/>
      </w:r>
    </w:p>
    <w:p w:rsidR="007C003F" w:rsidRPr="00BC495A" w:rsidP="009B6E8B" w14:paraId="59451F6D" w14:textId="77777777">
      <w:pPr>
        <w:pStyle w:val="EndnoteText"/>
        <w:numPr>
          <w:ilvl w:val="0"/>
          <w:numId w:val="19"/>
        </w:numPr>
        <w:spacing w:after="240"/>
        <w:ind w:left="720" w:hanging="720"/>
        <w:rPr>
          <w:rFonts w:ascii="Times New Roman" w:hAnsi="Times New Roman" w:cs="Times New Roman"/>
          <w:sz w:val="22"/>
          <w:szCs w:val="22"/>
        </w:rPr>
      </w:pPr>
      <w:r w:rsidRPr="00BC495A">
        <w:rPr>
          <w:rFonts w:ascii="Times New Roman" w:hAnsi="Times New Roman" w:cs="Times New Roman"/>
          <w:sz w:val="22"/>
          <w:szCs w:val="22"/>
        </w:rPr>
        <w:t>IAEA</w:t>
      </w:r>
      <w:r w:rsidRPr="00BC495A">
        <w:rPr>
          <w:rFonts w:ascii="Times New Roman" w:hAnsi="Times New Roman" w:cs="Times New Roman"/>
          <w:sz w:val="22"/>
          <w:szCs w:val="22"/>
        </w:rPr>
        <w:t xml:space="preserve">, </w:t>
      </w:r>
      <w:r w:rsidRPr="00B43FDA" w:rsidR="002C64B2">
        <w:rPr>
          <w:rFonts w:ascii="Times New Roman" w:hAnsi="Times New Roman" w:cs="Times New Roman"/>
          <w:sz w:val="22"/>
          <w:szCs w:val="22"/>
        </w:rPr>
        <w:t xml:space="preserve">Safety Standards Series No. </w:t>
      </w:r>
      <w:r w:rsidRPr="00BC495A" w:rsidR="002C64B2">
        <w:rPr>
          <w:rFonts w:ascii="Times New Roman" w:hAnsi="Times New Roman" w:cs="Times New Roman"/>
          <w:sz w:val="22"/>
          <w:szCs w:val="22"/>
        </w:rPr>
        <w:t>GS-G-3.1</w:t>
      </w:r>
      <w:r w:rsidR="002C64B2">
        <w:rPr>
          <w:rFonts w:ascii="Times New Roman" w:hAnsi="Times New Roman" w:cs="Times New Roman"/>
          <w:sz w:val="22"/>
          <w:szCs w:val="22"/>
        </w:rPr>
        <w:t xml:space="preserve">, </w:t>
      </w:r>
      <w:r w:rsidRPr="00BC495A">
        <w:rPr>
          <w:rFonts w:ascii="Times New Roman" w:hAnsi="Times New Roman" w:cs="Times New Roman"/>
          <w:sz w:val="22"/>
          <w:szCs w:val="22"/>
        </w:rPr>
        <w:t>“Application of the Management System for Facilities and Activities,”</w:t>
      </w:r>
      <w:r w:rsidRPr="00BC495A">
        <w:rPr>
          <w:rStyle w:val="EndnoteReference"/>
          <w:rFonts w:ascii="Times New Roman" w:hAnsi="Times New Roman" w:cs="Times New Roman"/>
          <w:sz w:val="22"/>
          <w:szCs w:val="22"/>
        </w:rPr>
        <w:t xml:space="preserve"> </w:t>
      </w:r>
      <w:r w:rsidRPr="00BC495A">
        <w:rPr>
          <w:rFonts w:ascii="Times New Roman" w:hAnsi="Times New Roman" w:cs="Times New Roman"/>
          <w:sz w:val="22"/>
          <w:szCs w:val="22"/>
        </w:rPr>
        <w:t>Vienna, Austria</w:t>
      </w:r>
      <w:r w:rsidRPr="00BC495A" w:rsidR="00471935">
        <w:rPr>
          <w:rFonts w:ascii="Times New Roman" w:hAnsi="Times New Roman" w:cs="Times New Roman"/>
          <w:sz w:val="22"/>
          <w:szCs w:val="22"/>
        </w:rPr>
        <w:t xml:space="preserve">, </w:t>
      </w:r>
      <w:r w:rsidRPr="009B6E8B" w:rsidR="00471935">
        <w:rPr>
          <w:rFonts w:ascii="Times New Roman" w:hAnsi="Times New Roman" w:cs="Times New Roman"/>
          <w:sz w:val="22"/>
          <w:szCs w:val="22"/>
        </w:rPr>
        <w:t>2006</w:t>
      </w:r>
      <w:r w:rsidRPr="00BC495A">
        <w:rPr>
          <w:rFonts w:ascii="Times New Roman" w:hAnsi="Times New Roman" w:cs="Times New Roman"/>
          <w:sz w:val="22"/>
          <w:szCs w:val="22"/>
        </w:rPr>
        <w:t>.</w:t>
      </w:r>
    </w:p>
    <w:p w:rsidR="007C003F" w:rsidRPr="00BC495A" w:rsidP="009B6E8B" w14:paraId="59451F6E" w14:textId="77777777">
      <w:pPr>
        <w:pStyle w:val="EndnoteText"/>
        <w:numPr>
          <w:ilvl w:val="0"/>
          <w:numId w:val="19"/>
        </w:numPr>
        <w:spacing w:after="240"/>
        <w:ind w:left="720" w:hanging="720"/>
        <w:rPr>
          <w:rFonts w:ascii="Times New Roman" w:hAnsi="Times New Roman" w:cs="Times New Roman"/>
          <w:sz w:val="22"/>
          <w:szCs w:val="22"/>
        </w:rPr>
      </w:pPr>
      <w:r w:rsidRPr="00BC495A">
        <w:rPr>
          <w:rFonts w:ascii="Times New Roman" w:hAnsi="Times New Roman" w:cs="Times New Roman"/>
          <w:sz w:val="22"/>
          <w:szCs w:val="22"/>
        </w:rPr>
        <w:t>IAEA</w:t>
      </w:r>
      <w:r w:rsidRPr="00BC495A">
        <w:rPr>
          <w:rFonts w:ascii="Times New Roman" w:hAnsi="Times New Roman" w:cs="Times New Roman"/>
          <w:sz w:val="22"/>
          <w:szCs w:val="22"/>
        </w:rPr>
        <w:t xml:space="preserve">, </w:t>
      </w:r>
      <w:r w:rsidRPr="00B43FDA" w:rsidR="004E7C0C">
        <w:rPr>
          <w:rFonts w:ascii="Times New Roman" w:hAnsi="Times New Roman" w:cs="Times New Roman"/>
          <w:sz w:val="22"/>
          <w:szCs w:val="22"/>
        </w:rPr>
        <w:t xml:space="preserve">Safety Standards Series No. </w:t>
      </w:r>
      <w:r w:rsidRPr="00BC495A" w:rsidR="004E7C0C">
        <w:rPr>
          <w:rFonts w:ascii="Times New Roman" w:hAnsi="Times New Roman" w:cs="Times New Roman"/>
          <w:sz w:val="22"/>
          <w:szCs w:val="22"/>
        </w:rPr>
        <w:t>GS</w:t>
      </w:r>
      <w:r w:rsidR="004E7C0C">
        <w:rPr>
          <w:rFonts w:ascii="Times New Roman" w:hAnsi="Times New Roman" w:cs="Times New Roman"/>
          <w:sz w:val="22"/>
          <w:szCs w:val="22"/>
        </w:rPr>
        <w:noBreakHyphen/>
      </w:r>
      <w:r w:rsidRPr="00BC495A" w:rsidR="004E7C0C">
        <w:rPr>
          <w:rFonts w:ascii="Times New Roman" w:hAnsi="Times New Roman" w:cs="Times New Roman"/>
          <w:sz w:val="22"/>
          <w:szCs w:val="22"/>
        </w:rPr>
        <w:t>G</w:t>
      </w:r>
      <w:r w:rsidR="004E7C0C">
        <w:rPr>
          <w:rFonts w:ascii="Times New Roman" w:hAnsi="Times New Roman" w:cs="Times New Roman"/>
          <w:sz w:val="22"/>
          <w:szCs w:val="22"/>
        </w:rPr>
        <w:noBreakHyphen/>
      </w:r>
      <w:r w:rsidRPr="00BC495A" w:rsidR="004E7C0C">
        <w:rPr>
          <w:rFonts w:ascii="Times New Roman" w:hAnsi="Times New Roman" w:cs="Times New Roman"/>
          <w:sz w:val="22"/>
          <w:szCs w:val="22"/>
        </w:rPr>
        <w:t xml:space="preserve">3.5, </w:t>
      </w:r>
      <w:r w:rsidRPr="00BC495A">
        <w:rPr>
          <w:rFonts w:ascii="Times New Roman" w:hAnsi="Times New Roman" w:cs="Times New Roman"/>
          <w:sz w:val="22"/>
          <w:szCs w:val="22"/>
        </w:rPr>
        <w:t>“</w:t>
      </w:r>
      <w:r w:rsidRPr="00BC495A" w:rsidR="0004664B">
        <w:rPr>
          <w:rFonts w:ascii="Times New Roman" w:hAnsi="Times New Roman" w:cs="Times New Roman"/>
          <w:sz w:val="22"/>
          <w:szCs w:val="22"/>
        </w:rPr>
        <w:t>The</w:t>
      </w:r>
      <w:r w:rsidRPr="00BC495A">
        <w:rPr>
          <w:rFonts w:ascii="Times New Roman" w:hAnsi="Times New Roman" w:cs="Times New Roman"/>
          <w:sz w:val="22"/>
          <w:szCs w:val="22"/>
        </w:rPr>
        <w:t xml:space="preserve"> Management </w:t>
      </w:r>
      <w:r w:rsidRPr="00BC495A" w:rsidR="0004664B">
        <w:rPr>
          <w:rFonts w:ascii="Times New Roman" w:hAnsi="Times New Roman" w:cs="Times New Roman"/>
          <w:sz w:val="22"/>
          <w:szCs w:val="22"/>
        </w:rPr>
        <w:t xml:space="preserve">System </w:t>
      </w:r>
      <w:r w:rsidRPr="00BC495A">
        <w:rPr>
          <w:rFonts w:ascii="Times New Roman" w:hAnsi="Times New Roman" w:cs="Times New Roman"/>
          <w:sz w:val="22"/>
          <w:szCs w:val="22"/>
        </w:rPr>
        <w:t xml:space="preserve">for </w:t>
      </w:r>
      <w:r w:rsidRPr="00BC495A" w:rsidR="0004664B">
        <w:rPr>
          <w:rFonts w:ascii="Times New Roman" w:hAnsi="Times New Roman" w:cs="Times New Roman"/>
          <w:sz w:val="22"/>
          <w:szCs w:val="22"/>
        </w:rPr>
        <w:t>Nuclear Installations</w:t>
      </w:r>
      <w:r w:rsidRPr="00BC495A">
        <w:rPr>
          <w:rFonts w:ascii="Times New Roman" w:hAnsi="Times New Roman" w:cs="Times New Roman"/>
          <w:sz w:val="22"/>
          <w:szCs w:val="22"/>
        </w:rPr>
        <w:t>,”</w:t>
      </w:r>
      <w:r w:rsidRPr="00BC495A">
        <w:rPr>
          <w:rStyle w:val="EndnoteReference"/>
          <w:rFonts w:ascii="Times New Roman" w:hAnsi="Times New Roman" w:cs="Times New Roman"/>
          <w:sz w:val="22"/>
          <w:szCs w:val="22"/>
        </w:rPr>
        <w:t xml:space="preserve"> </w:t>
      </w:r>
      <w:r w:rsidRPr="00BC495A" w:rsidR="0004664B">
        <w:rPr>
          <w:rFonts w:ascii="Times New Roman" w:hAnsi="Times New Roman" w:cs="Times New Roman"/>
          <w:sz w:val="22"/>
          <w:szCs w:val="22"/>
        </w:rPr>
        <w:t>Vienna, Austria</w:t>
      </w:r>
      <w:r w:rsidRPr="00BC495A" w:rsidR="00471935">
        <w:rPr>
          <w:rFonts w:ascii="Times New Roman" w:hAnsi="Times New Roman" w:cs="Times New Roman"/>
          <w:sz w:val="22"/>
          <w:szCs w:val="22"/>
        </w:rPr>
        <w:t xml:space="preserve">, </w:t>
      </w:r>
      <w:r w:rsidRPr="009B6E8B" w:rsidR="00471935">
        <w:rPr>
          <w:rFonts w:ascii="Times New Roman" w:hAnsi="Times New Roman" w:cs="Times New Roman"/>
          <w:sz w:val="22"/>
          <w:szCs w:val="22"/>
        </w:rPr>
        <w:t>2009</w:t>
      </w:r>
      <w:r w:rsidRPr="00BC495A">
        <w:rPr>
          <w:rFonts w:ascii="Times New Roman" w:hAnsi="Times New Roman" w:cs="Times New Roman"/>
          <w:sz w:val="22"/>
          <w:szCs w:val="22"/>
        </w:rPr>
        <w:t>.</w:t>
      </w:r>
    </w:p>
    <w:p w:rsidR="00D759BF" w:rsidRPr="00BC495A" w:rsidP="009B6E8B" w14:paraId="59451F6F" w14:textId="77777777">
      <w:pPr>
        <w:pStyle w:val="EndnoteText"/>
        <w:numPr>
          <w:ilvl w:val="0"/>
          <w:numId w:val="19"/>
        </w:numPr>
        <w:spacing w:after="240"/>
        <w:ind w:left="720" w:hanging="720"/>
        <w:rPr>
          <w:rFonts w:ascii="Times New Roman" w:hAnsi="Times New Roman" w:cs="Times New Roman"/>
          <w:sz w:val="22"/>
          <w:szCs w:val="22"/>
        </w:rPr>
      </w:pPr>
      <w:r w:rsidRPr="00BC495A">
        <w:rPr>
          <w:rFonts w:ascii="Times New Roman" w:hAnsi="Times New Roman" w:cs="Times New Roman"/>
          <w:sz w:val="22"/>
          <w:szCs w:val="22"/>
        </w:rPr>
        <w:t>IAEA</w:t>
      </w:r>
      <w:r w:rsidRPr="00BC495A">
        <w:rPr>
          <w:rFonts w:ascii="Times New Roman" w:hAnsi="Times New Roman" w:cs="Times New Roman"/>
          <w:sz w:val="22"/>
          <w:szCs w:val="22"/>
        </w:rPr>
        <w:t xml:space="preserve">, </w:t>
      </w:r>
      <w:r w:rsidRPr="00B43FDA" w:rsidR="004E7C0C">
        <w:rPr>
          <w:rFonts w:ascii="Times New Roman" w:hAnsi="Times New Roman" w:cs="Times New Roman"/>
          <w:sz w:val="22"/>
          <w:szCs w:val="22"/>
        </w:rPr>
        <w:t xml:space="preserve">Safety Standards Series No. </w:t>
      </w:r>
      <w:r w:rsidRPr="00BC495A" w:rsidR="004E7C0C">
        <w:rPr>
          <w:rFonts w:ascii="Times New Roman" w:hAnsi="Times New Roman" w:cs="Times New Roman"/>
          <w:sz w:val="22"/>
          <w:szCs w:val="22"/>
        </w:rPr>
        <w:t xml:space="preserve">SSG-10, </w:t>
      </w:r>
      <w:r w:rsidRPr="00BC495A">
        <w:rPr>
          <w:rFonts w:ascii="Times New Roman" w:hAnsi="Times New Roman" w:cs="Times New Roman"/>
          <w:sz w:val="22"/>
          <w:szCs w:val="22"/>
        </w:rPr>
        <w:t>“Aging Management for Research Reactors,”</w:t>
      </w:r>
      <w:r w:rsidRPr="00BC495A">
        <w:rPr>
          <w:rStyle w:val="EndnoteReference"/>
          <w:rFonts w:ascii="Times New Roman" w:hAnsi="Times New Roman" w:cs="Times New Roman"/>
          <w:sz w:val="22"/>
          <w:szCs w:val="22"/>
        </w:rPr>
        <w:t xml:space="preserve"> </w:t>
      </w:r>
      <w:r w:rsidRPr="00BC495A" w:rsidR="00BA197F">
        <w:rPr>
          <w:rFonts w:ascii="Times New Roman" w:hAnsi="Times New Roman" w:cs="Times New Roman"/>
          <w:sz w:val="22"/>
          <w:szCs w:val="22"/>
        </w:rPr>
        <w:t>Vienna, Austria</w:t>
      </w:r>
      <w:r w:rsidRPr="00BC495A" w:rsidR="00502997">
        <w:rPr>
          <w:rFonts w:ascii="Times New Roman" w:hAnsi="Times New Roman" w:cs="Times New Roman"/>
          <w:sz w:val="22"/>
          <w:szCs w:val="22"/>
        </w:rPr>
        <w:t>, 2010</w:t>
      </w:r>
      <w:r w:rsidRPr="00BC495A">
        <w:rPr>
          <w:rFonts w:ascii="Times New Roman" w:hAnsi="Times New Roman" w:cs="Times New Roman"/>
          <w:sz w:val="22"/>
          <w:szCs w:val="22"/>
        </w:rPr>
        <w:t>.</w:t>
      </w:r>
    </w:p>
    <w:p w:rsidR="00A959CB" w:rsidRPr="00BC495A" w:rsidP="009B6E8B" w14:paraId="59451F70" w14:textId="77777777">
      <w:pPr>
        <w:pStyle w:val="EndnoteText"/>
        <w:numPr>
          <w:ilvl w:val="0"/>
          <w:numId w:val="19"/>
        </w:numPr>
        <w:spacing w:after="240"/>
        <w:ind w:left="720" w:hanging="720"/>
        <w:rPr>
          <w:rFonts w:ascii="Times New Roman" w:hAnsi="Times New Roman" w:cs="Times New Roman"/>
          <w:sz w:val="22"/>
          <w:szCs w:val="22"/>
        </w:rPr>
      </w:pPr>
      <w:r w:rsidRPr="00BC495A">
        <w:rPr>
          <w:rFonts w:ascii="Times New Roman" w:hAnsi="Times New Roman" w:cs="Times New Roman"/>
          <w:sz w:val="22"/>
          <w:szCs w:val="22"/>
        </w:rPr>
        <w:t>IAEA</w:t>
      </w:r>
      <w:r w:rsidRPr="00BC495A">
        <w:rPr>
          <w:rFonts w:ascii="Times New Roman" w:hAnsi="Times New Roman" w:cs="Times New Roman"/>
          <w:sz w:val="22"/>
          <w:szCs w:val="22"/>
        </w:rPr>
        <w:t xml:space="preserve">, </w:t>
      </w:r>
      <w:r w:rsidRPr="00B43FDA" w:rsidR="004E7C0C">
        <w:rPr>
          <w:rFonts w:ascii="Times New Roman" w:hAnsi="Times New Roman" w:cs="Times New Roman"/>
          <w:sz w:val="22"/>
          <w:szCs w:val="22"/>
        </w:rPr>
        <w:t xml:space="preserve">Safety Standards Series No. </w:t>
      </w:r>
      <w:r w:rsidRPr="00BC495A" w:rsidR="004E7C0C">
        <w:rPr>
          <w:rFonts w:ascii="Times New Roman" w:hAnsi="Times New Roman" w:cs="Times New Roman"/>
          <w:sz w:val="22"/>
          <w:szCs w:val="22"/>
        </w:rPr>
        <w:t xml:space="preserve">SSG-20, </w:t>
      </w:r>
      <w:r w:rsidRPr="00BC495A">
        <w:rPr>
          <w:rFonts w:ascii="Times New Roman" w:hAnsi="Times New Roman" w:cs="Times New Roman"/>
          <w:sz w:val="22"/>
          <w:szCs w:val="22"/>
        </w:rPr>
        <w:t>“Safety Assessment for Research Reactors</w:t>
      </w:r>
      <w:r w:rsidRPr="009B6E8B" w:rsidR="00A54ECC">
        <w:rPr>
          <w:rFonts w:ascii="Times New Roman" w:hAnsi="Times New Roman" w:cs="Times New Roman"/>
          <w:sz w:val="22"/>
          <w:szCs w:val="22"/>
        </w:rPr>
        <w:t xml:space="preserve"> and Preparation of the Safety Analysis Report</w:t>
      </w:r>
      <w:r w:rsidRPr="00BC495A">
        <w:rPr>
          <w:rFonts w:ascii="Times New Roman" w:hAnsi="Times New Roman" w:cs="Times New Roman"/>
          <w:sz w:val="22"/>
          <w:szCs w:val="22"/>
        </w:rPr>
        <w:t>,”</w:t>
      </w:r>
      <w:r w:rsidRPr="00BC495A">
        <w:rPr>
          <w:rStyle w:val="EndnoteReference"/>
          <w:rFonts w:ascii="Times New Roman" w:hAnsi="Times New Roman" w:cs="Times New Roman"/>
          <w:sz w:val="22"/>
          <w:szCs w:val="22"/>
        </w:rPr>
        <w:t xml:space="preserve"> </w:t>
      </w:r>
      <w:r w:rsidRPr="00BC495A">
        <w:rPr>
          <w:rFonts w:ascii="Times New Roman" w:hAnsi="Times New Roman" w:cs="Times New Roman"/>
          <w:sz w:val="22"/>
          <w:szCs w:val="22"/>
        </w:rPr>
        <w:t>Vienna, Austria</w:t>
      </w:r>
      <w:r w:rsidRPr="00BC495A" w:rsidR="00502997">
        <w:rPr>
          <w:rFonts w:ascii="Times New Roman" w:hAnsi="Times New Roman" w:cs="Times New Roman"/>
          <w:sz w:val="22"/>
          <w:szCs w:val="22"/>
        </w:rPr>
        <w:t>, 2012</w:t>
      </w:r>
      <w:r w:rsidRPr="00BC495A">
        <w:rPr>
          <w:rFonts w:ascii="Times New Roman" w:hAnsi="Times New Roman" w:cs="Times New Roman"/>
          <w:sz w:val="22"/>
          <w:szCs w:val="22"/>
        </w:rPr>
        <w:t>.</w:t>
      </w:r>
    </w:p>
    <w:p w:rsidR="00A959CB" w:rsidRPr="00BC495A" w:rsidP="009B6E8B" w14:paraId="59451F71" w14:textId="77777777">
      <w:pPr>
        <w:pStyle w:val="EndnoteText"/>
        <w:numPr>
          <w:ilvl w:val="0"/>
          <w:numId w:val="19"/>
        </w:numPr>
        <w:spacing w:after="240"/>
        <w:ind w:left="720" w:hanging="720"/>
        <w:rPr>
          <w:rFonts w:ascii="Times New Roman" w:hAnsi="Times New Roman" w:cs="Times New Roman"/>
          <w:sz w:val="22"/>
          <w:szCs w:val="22"/>
        </w:rPr>
      </w:pPr>
      <w:r w:rsidRPr="00BC495A">
        <w:rPr>
          <w:rFonts w:ascii="Times New Roman" w:hAnsi="Times New Roman" w:cs="Times New Roman"/>
          <w:sz w:val="22"/>
          <w:szCs w:val="22"/>
        </w:rPr>
        <w:t>IAEA</w:t>
      </w:r>
      <w:r w:rsidRPr="00BC495A">
        <w:rPr>
          <w:rFonts w:ascii="Times New Roman" w:hAnsi="Times New Roman" w:cs="Times New Roman"/>
          <w:sz w:val="22"/>
          <w:szCs w:val="22"/>
        </w:rPr>
        <w:t xml:space="preserve">, </w:t>
      </w:r>
      <w:r w:rsidRPr="00B43FDA" w:rsidR="00F669B3">
        <w:rPr>
          <w:rFonts w:ascii="Times New Roman" w:hAnsi="Times New Roman" w:cs="Times New Roman"/>
          <w:sz w:val="22"/>
          <w:szCs w:val="22"/>
        </w:rPr>
        <w:t xml:space="preserve">Safety Standards Series No. </w:t>
      </w:r>
      <w:r w:rsidRPr="00BC495A" w:rsidR="00F669B3">
        <w:rPr>
          <w:rFonts w:ascii="Times New Roman" w:hAnsi="Times New Roman" w:cs="Times New Roman"/>
          <w:sz w:val="22"/>
          <w:szCs w:val="22"/>
        </w:rPr>
        <w:t xml:space="preserve">SSG-24, </w:t>
      </w:r>
      <w:r w:rsidRPr="00BC495A">
        <w:rPr>
          <w:rFonts w:ascii="Times New Roman" w:hAnsi="Times New Roman" w:cs="Times New Roman"/>
          <w:sz w:val="22"/>
          <w:szCs w:val="22"/>
        </w:rPr>
        <w:t>“Safety in the Utilization and Modification of Research Reactors,” Vienna, Austria</w:t>
      </w:r>
      <w:r w:rsidRPr="00BC495A">
        <w:rPr>
          <w:rFonts w:ascii="Times New Roman" w:hAnsi="Times New Roman" w:cs="Times New Roman"/>
          <w:sz w:val="22"/>
          <w:szCs w:val="22"/>
        </w:rPr>
        <w:t>, 2012</w:t>
      </w:r>
      <w:r w:rsidRPr="00BC495A">
        <w:rPr>
          <w:rFonts w:ascii="Times New Roman" w:hAnsi="Times New Roman" w:cs="Times New Roman"/>
          <w:sz w:val="22"/>
          <w:szCs w:val="22"/>
        </w:rPr>
        <w:t>.</w:t>
      </w:r>
    </w:p>
    <w:p w:rsidR="003701EE" w:rsidRPr="009B6E8B" w:rsidP="00F669B3" w14:paraId="59451F72" w14:textId="5216F7ED">
      <w:pPr>
        <w:pStyle w:val="EndnoteText"/>
        <w:numPr>
          <w:ilvl w:val="0"/>
          <w:numId w:val="19"/>
        </w:numPr>
        <w:ind w:left="720" w:hanging="720"/>
        <w:rPr>
          <w:rFonts w:ascii="Times New Roman" w:hAnsi="Times New Roman" w:cs="Times New Roman"/>
          <w:sz w:val="22"/>
          <w:szCs w:val="22"/>
        </w:rPr>
      </w:pPr>
      <w:r>
        <w:rPr>
          <w:rFonts w:ascii="Times New Roman" w:hAnsi="Times New Roman" w:cs="Times New Roman"/>
          <w:sz w:val="22"/>
          <w:szCs w:val="22"/>
        </w:rPr>
        <w:t>NRC</w:t>
      </w:r>
      <w:r w:rsidRPr="003701EE" w:rsidR="004242EE">
        <w:rPr>
          <w:rFonts w:ascii="Times New Roman" w:hAnsi="Times New Roman" w:cs="Times New Roman"/>
          <w:sz w:val="22"/>
          <w:szCs w:val="22"/>
        </w:rPr>
        <w:t xml:space="preserve">, “Guidance for Electronic Submissions to the NRC,” </w:t>
      </w:r>
      <w:r w:rsidR="00217D48">
        <w:rPr>
          <w:rFonts w:ascii="Times New Roman" w:hAnsi="Times New Roman" w:cs="Times New Roman"/>
          <w:sz w:val="22"/>
          <w:szCs w:val="22"/>
        </w:rPr>
        <w:t xml:space="preserve">Revision </w:t>
      </w:r>
      <w:r w:rsidRPr="6DB8EE16" w:rsidR="09E373FD">
        <w:rPr>
          <w:rFonts w:ascii="Times New Roman" w:hAnsi="Times New Roman" w:cs="Times New Roman"/>
          <w:sz w:val="22"/>
          <w:szCs w:val="22"/>
        </w:rPr>
        <w:t>10</w:t>
      </w:r>
      <w:r w:rsidR="00217D48">
        <w:rPr>
          <w:rFonts w:ascii="Times New Roman" w:hAnsi="Times New Roman" w:cs="Times New Roman"/>
          <w:sz w:val="22"/>
          <w:szCs w:val="22"/>
        </w:rPr>
        <w:t xml:space="preserve">, </w:t>
      </w:r>
      <w:r w:rsidRPr="003701EE" w:rsidR="004242EE">
        <w:rPr>
          <w:rFonts w:ascii="Times New Roman" w:hAnsi="Times New Roman" w:cs="Times New Roman"/>
          <w:sz w:val="22"/>
          <w:szCs w:val="22"/>
        </w:rPr>
        <w:t>Washington, DC</w:t>
      </w:r>
      <w:r w:rsidR="00217D48">
        <w:rPr>
          <w:rFonts w:ascii="Times New Roman" w:hAnsi="Times New Roman" w:cs="Times New Roman"/>
          <w:sz w:val="22"/>
          <w:szCs w:val="22"/>
        </w:rPr>
        <w:t xml:space="preserve">, May </w:t>
      </w:r>
      <w:r w:rsidRPr="6DB8EE16" w:rsidR="5A6B1FF2">
        <w:rPr>
          <w:rFonts w:ascii="Times New Roman" w:hAnsi="Times New Roman" w:cs="Times New Roman"/>
          <w:sz w:val="22"/>
          <w:szCs w:val="22"/>
        </w:rPr>
        <w:t>30</w:t>
      </w:r>
      <w:r w:rsidRPr="6DB8EE16" w:rsidR="5CEC089A">
        <w:rPr>
          <w:rFonts w:ascii="Times New Roman" w:hAnsi="Times New Roman" w:cs="Times New Roman"/>
          <w:sz w:val="22"/>
          <w:szCs w:val="22"/>
        </w:rPr>
        <w:t>, 20</w:t>
      </w:r>
      <w:r w:rsidRPr="6DB8EE16" w:rsidR="35FF05ED">
        <w:rPr>
          <w:rFonts w:ascii="Times New Roman" w:hAnsi="Times New Roman" w:cs="Times New Roman"/>
          <w:sz w:val="22"/>
          <w:szCs w:val="22"/>
        </w:rPr>
        <w:t>23</w:t>
      </w:r>
      <w:r w:rsidRPr="6DB8EE16" w:rsidR="37101025">
        <w:rPr>
          <w:rFonts w:ascii="Times New Roman" w:hAnsi="Times New Roman" w:cs="Times New Roman"/>
          <w:sz w:val="22"/>
          <w:szCs w:val="22"/>
        </w:rPr>
        <w:t>.</w:t>
      </w:r>
      <w:r w:rsidR="002A0385">
        <w:rPr>
          <w:rFonts w:ascii="Times New Roman" w:hAnsi="Times New Roman" w:cs="Times New Roman"/>
          <w:sz w:val="22"/>
          <w:szCs w:val="22"/>
        </w:rPr>
        <w:t xml:space="preserve"> </w:t>
      </w:r>
      <w:r w:rsidRPr="003701EE" w:rsidR="004242EE">
        <w:rPr>
          <w:rFonts w:ascii="Times New Roman" w:hAnsi="Times New Roman" w:cs="Times New Roman"/>
          <w:sz w:val="22"/>
          <w:szCs w:val="22"/>
        </w:rPr>
        <w:t xml:space="preserve"> </w:t>
      </w:r>
      <w:r>
        <w:rPr>
          <w:rFonts w:ascii="Times New Roman" w:hAnsi="Times New Roman" w:cs="Times New Roman"/>
          <w:sz w:val="22"/>
          <w:szCs w:val="22"/>
        </w:rPr>
        <w:t>(</w:t>
      </w:r>
      <w:r w:rsidRPr="003701EE" w:rsidR="004242EE">
        <w:rPr>
          <w:rFonts w:ascii="Times New Roman" w:hAnsi="Times New Roman" w:cs="Times New Roman"/>
          <w:sz w:val="22"/>
          <w:szCs w:val="22"/>
        </w:rPr>
        <w:t xml:space="preserve">ADAMS </w:t>
      </w:r>
      <w:r w:rsidR="00F829DD">
        <w:rPr>
          <w:rFonts w:ascii="Times New Roman" w:hAnsi="Times New Roman" w:cs="Times New Roman"/>
          <w:sz w:val="22"/>
          <w:szCs w:val="22"/>
        </w:rPr>
        <w:t>A</w:t>
      </w:r>
      <w:r w:rsidRPr="003701EE" w:rsidR="004242EE">
        <w:rPr>
          <w:rFonts w:ascii="Times New Roman" w:hAnsi="Times New Roman" w:cs="Times New Roman"/>
          <w:sz w:val="22"/>
          <w:szCs w:val="22"/>
        </w:rPr>
        <w:t xml:space="preserve">ccession </w:t>
      </w:r>
      <w:r w:rsidR="00F829DD">
        <w:rPr>
          <w:rFonts w:ascii="Times New Roman" w:hAnsi="Times New Roman" w:cs="Times New Roman"/>
          <w:sz w:val="22"/>
          <w:szCs w:val="22"/>
        </w:rPr>
        <w:t>No.</w:t>
      </w:r>
      <w:r>
        <w:rPr>
          <w:rFonts w:ascii="Times New Roman" w:hAnsi="Times New Roman" w:cs="Times New Roman"/>
          <w:sz w:val="22"/>
          <w:szCs w:val="22"/>
        </w:rPr>
        <w:t> </w:t>
      </w:r>
      <w:r w:rsidRPr="003701EE" w:rsidR="004242EE">
        <w:rPr>
          <w:rFonts w:ascii="Times New Roman" w:hAnsi="Times New Roman" w:cs="Times New Roman"/>
          <w:sz w:val="22"/>
          <w:szCs w:val="22"/>
        </w:rPr>
        <w:t>ML13031A05</w:t>
      </w:r>
      <w:r w:rsidR="00217D48">
        <w:rPr>
          <w:rFonts w:ascii="Times New Roman" w:hAnsi="Times New Roman" w:cs="Times New Roman"/>
          <w:sz w:val="22"/>
          <w:szCs w:val="22"/>
        </w:rPr>
        <w:t>6</w:t>
      </w:r>
      <w:r>
        <w:rPr>
          <w:rFonts w:ascii="Times New Roman" w:hAnsi="Times New Roman" w:cs="Times New Roman"/>
          <w:sz w:val="22"/>
          <w:szCs w:val="22"/>
        </w:rPr>
        <w:t>)</w:t>
      </w:r>
      <w:r w:rsidRPr="003701EE">
        <w:rPr>
          <w:rFonts w:ascii="Times New Roman" w:hAnsi="Times New Roman" w:cs="Times New Roman"/>
          <w:i/>
          <w:sz w:val="22"/>
          <w:szCs w:val="22"/>
        </w:rPr>
        <w:t xml:space="preserve"> </w:t>
      </w:r>
    </w:p>
    <w:p w:rsidR="00F669B3" w:rsidRPr="00F669B3" w:rsidP="009B6E8B" w14:paraId="59451F73" w14:textId="77777777">
      <w:pPr>
        <w:pStyle w:val="EndnoteText"/>
        <w:ind w:left="720"/>
        <w:rPr>
          <w:rFonts w:ascii="Times New Roman" w:hAnsi="Times New Roman" w:cs="Times New Roman"/>
          <w:sz w:val="22"/>
          <w:szCs w:val="22"/>
        </w:rPr>
      </w:pPr>
    </w:p>
    <w:p w:rsidR="004242EE" w:rsidRPr="00F669B3" w:rsidP="009B6E8B" w14:paraId="59451F74" w14:textId="77777777">
      <w:pPr>
        <w:pStyle w:val="EndnoteText"/>
        <w:numPr>
          <w:ilvl w:val="0"/>
          <w:numId w:val="19"/>
        </w:numPr>
        <w:ind w:left="720" w:hanging="720"/>
        <w:rPr>
          <w:rFonts w:ascii="Times New Roman" w:hAnsi="Times New Roman" w:cs="Times New Roman"/>
          <w:sz w:val="22"/>
          <w:szCs w:val="22"/>
        </w:rPr>
      </w:pPr>
      <w:r w:rsidRPr="009B6E8B">
        <w:rPr>
          <w:rFonts w:ascii="Times New Roman" w:hAnsi="Times New Roman" w:cs="Times New Roman"/>
          <w:sz w:val="22"/>
          <w:szCs w:val="22"/>
        </w:rPr>
        <w:t>CFR</w:t>
      </w:r>
      <w:r w:rsidRPr="002578EC">
        <w:rPr>
          <w:rFonts w:ascii="Times New Roman" w:hAnsi="Times New Roman" w:cs="Times New Roman"/>
          <w:sz w:val="22"/>
          <w:szCs w:val="22"/>
        </w:rPr>
        <w:t>,</w:t>
      </w:r>
      <w:r w:rsidRPr="00F669B3">
        <w:rPr>
          <w:rFonts w:ascii="Times New Roman" w:hAnsi="Times New Roman" w:cs="Times New Roman"/>
          <w:sz w:val="22"/>
          <w:szCs w:val="22"/>
        </w:rPr>
        <w:t xml:space="preserve"> “Agency Rules of Practice</w:t>
      </w:r>
      <w:r>
        <w:rPr>
          <w:rFonts w:ascii="Times New Roman" w:hAnsi="Times New Roman" w:cs="Times New Roman"/>
          <w:sz w:val="22"/>
          <w:szCs w:val="22"/>
        </w:rPr>
        <w:t xml:space="preserve"> and Procedure</w:t>
      </w:r>
      <w:r w:rsidRPr="00F669B3">
        <w:rPr>
          <w:rFonts w:ascii="Times New Roman" w:hAnsi="Times New Roman" w:cs="Times New Roman"/>
          <w:sz w:val="22"/>
          <w:szCs w:val="22"/>
        </w:rPr>
        <w:t xml:space="preserve">,” </w:t>
      </w:r>
      <w:r>
        <w:rPr>
          <w:rFonts w:ascii="Times New Roman" w:hAnsi="Times New Roman" w:cs="Times New Roman"/>
          <w:sz w:val="22"/>
          <w:szCs w:val="22"/>
        </w:rPr>
        <w:t>P</w:t>
      </w:r>
      <w:r w:rsidRPr="00F669B3">
        <w:rPr>
          <w:rFonts w:ascii="Times New Roman" w:hAnsi="Times New Roman" w:cs="Times New Roman"/>
          <w:sz w:val="22"/>
          <w:szCs w:val="22"/>
        </w:rPr>
        <w:t>art 2, Chapter 1, Title</w:t>
      </w:r>
      <w:r>
        <w:rPr>
          <w:rFonts w:ascii="Times New Roman" w:hAnsi="Times New Roman" w:cs="Times New Roman"/>
          <w:sz w:val="22"/>
          <w:szCs w:val="22"/>
        </w:rPr>
        <w:t> </w:t>
      </w:r>
      <w:r w:rsidRPr="00F669B3">
        <w:rPr>
          <w:rFonts w:ascii="Times New Roman" w:hAnsi="Times New Roman" w:cs="Times New Roman"/>
          <w:sz w:val="22"/>
          <w:szCs w:val="22"/>
        </w:rPr>
        <w:t>10, “Energy</w:t>
      </w:r>
      <w:r w:rsidRPr="00F669B3" w:rsidR="003701EE">
        <w:rPr>
          <w:rFonts w:ascii="Times New Roman" w:hAnsi="Times New Roman" w:cs="Times New Roman"/>
          <w:sz w:val="22"/>
          <w:szCs w:val="22"/>
        </w:rPr>
        <w:t xml:space="preserve">.” </w:t>
      </w:r>
    </w:p>
    <w:p w:rsidR="003701EE" w:rsidRPr="00F669B3" w:rsidP="003701EE" w14:paraId="59451F75" w14:textId="77777777">
      <w:pPr>
        <w:pStyle w:val="EndnoteText"/>
        <w:rPr>
          <w:rFonts w:ascii="Times New Roman" w:hAnsi="Times New Roman" w:cs="Times New Roman"/>
          <w:sz w:val="22"/>
          <w:szCs w:val="22"/>
        </w:rPr>
      </w:pPr>
    </w:p>
    <w:p w:rsidR="003701EE" w:rsidRPr="00F669B3" w:rsidP="009B6E8B" w14:paraId="59451F76" w14:textId="77777777">
      <w:pPr>
        <w:pStyle w:val="EndnoteText"/>
        <w:numPr>
          <w:ilvl w:val="0"/>
          <w:numId w:val="19"/>
        </w:numPr>
        <w:ind w:left="720" w:hanging="720"/>
        <w:rPr>
          <w:rFonts w:ascii="Times New Roman" w:hAnsi="Times New Roman" w:cs="Times New Roman"/>
          <w:sz w:val="22"/>
          <w:szCs w:val="22"/>
        </w:rPr>
      </w:pPr>
      <w:r w:rsidRPr="009B6E8B">
        <w:rPr>
          <w:rFonts w:ascii="Times New Roman" w:hAnsi="Times New Roman" w:cs="Times New Roman"/>
          <w:sz w:val="22"/>
          <w:szCs w:val="22"/>
        </w:rPr>
        <w:t>CFR</w:t>
      </w:r>
      <w:r w:rsidRPr="002578EC">
        <w:rPr>
          <w:rFonts w:ascii="Times New Roman" w:hAnsi="Times New Roman" w:cs="Times New Roman"/>
          <w:sz w:val="22"/>
          <w:szCs w:val="22"/>
        </w:rPr>
        <w:t>,</w:t>
      </w:r>
      <w:r w:rsidRPr="00F669B3">
        <w:rPr>
          <w:rFonts w:ascii="Times New Roman" w:hAnsi="Times New Roman" w:cs="Times New Roman"/>
          <w:sz w:val="22"/>
          <w:szCs w:val="22"/>
        </w:rPr>
        <w:t xml:space="preserve"> “Physical Protection of Plants and Materials,” </w:t>
      </w:r>
      <w:r>
        <w:rPr>
          <w:rFonts w:ascii="Times New Roman" w:hAnsi="Times New Roman" w:cs="Times New Roman"/>
          <w:sz w:val="22"/>
          <w:szCs w:val="22"/>
        </w:rPr>
        <w:t>P</w:t>
      </w:r>
      <w:r w:rsidRPr="00F669B3">
        <w:rPr>
          <w:rFonts w:ascii="Times New Roman" w:hAnsi="Times New Roman" w:cs="Times New Roman"/>
          <w:sz w:val="22"/>
          <w:szCs w:val="22"/>
        </w:rPr>
        <w:t>art 73, Chapter 1, Title</w:t>
      </w:r>
      <w:r>
        <w:rPr>
          <w:rFonts w:ascii="Times New Roman" w:hAnsi="Times New Roman" w:cs="Times New Roman"/>
          <w:sz w:val="22"/>
          <w:szCs w:val="22"/>
        </w:rPr>
        <w:t> </w:t>
      </w:r>
      <w:r w:rsidRPr="00F669B3">
        <w:rPr>
          <w:rFonts w:ascii="Times New Roman" w:hAnsi="Times New Roman" w:cs="Times New Roman"/>
          <w:sz w:val="22"/>
          <w:szCs w:val="22"/>
        </w:rPr>
        <w:t xml:space="preserve">10, “Energy.” </w:t>
      </w:r>
    </w:p>
    <w:p w:rsidR="003701EE" w:rsidRPr="00F669B3" w:rsidP="003701EE" w14:paraId="59451F77" w14:textId="77777777">
      <w:pPr>
        <w:pStyle w:val="EndnoteText"/>
        <w:rPr>
          <w:rFonts w:ascii="Times New Roman" w:hAnsi="Times New Roman" w:cs="Times New Roman"/>
          <w:sz w:val="22"/>
          <w:szCs w:val="22"/>
        </w:rPr>
      </w:pPr>
    </w:p>
    <w:p w:rsidR="003701EE" w:rsidRPr="00F669B3" w:rsidP="009B6E8B" w14:paraId="59451F78" w14:textId="77777777">
      <w:pPr>
        <w:pStyle w:val="EndnoteText"/>
        <w:numPr>
          <w:ilvl w:val="0"/>
          <w:numId w:val="19"/>
        </w:numPr>
        <w:ind w:left="720" w:hanging="720"/>
        <w:rPr>
          <w:rFonts w:ascii="Times New Roman" w:hAnsi="Times New Roman" w:cs="Times New Roman"/>
          <w:sz w:val="22"/>
          <w:szCs w:val="22"/>
        </w:rPr>
      </w:pPr>
      <w:r>
        <w:rPr>
          <w:rFonts w:ascii="Times New Roman" w:hAnsi="Times New Roman" w:cs="Times New Roman"/>
          <w:sz w:val="22"/>
          <w:szCs w:val="22"/>
        </w:rPr>
        <w:t>NRC</w:t>
      </w:r>
      <w:r w:rsidRPr="00F669B3">
        <w:rPr>
          <w:rFonts w:ascii="Times New Roman" w:hAnsi="Times New Roman" w:cs="Times New Roman"/>
          <w:sz w:val="22"/>
          <w:szCs w:val="22"/>
        </w:rPr>
        <w:t>, “NRC Enforcement Policy,” Washington, DC</w:t>
      </w:r>
      <w:r w:rsidR="003956D3">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3701EE" w:rsidRPr="00F669B3" w:rsidP="003701EE" w14:paraId="59451F79" w14:textId="77777777">
      <w:pPr>
        <w:pStyle w:val="EndnoteText"/>
        <w:rPr>
          <w:rFonts w:ascii="Times New Roman" w:hAnsi="Times New Roman" w:cs="Times New Roman"/>
          <w:sz w:val="22"/>
          <w:szCs w:val="22"/>
        </w:rPr>
      </w:pPr>
    </w:p>
    <w:p w:rsidR="00405E23" w:rsidRPr="00F669B3" w:rsidP="00577C5A" w14:paraId="59451F7A" w14:textId="77777777">
      <w:pPr>
        <w:pStyle w:val="EndnoteText"/>
        <w:numPr>
          <w:ilvl w:val="0"/>
          <w:numId w:val="19"/>
        </w:numPr>
        <w:ind w:left="720" w:hanging="720"/>
        <w:rPr>
          <w:rFonts w:ascii="Times New Roman" w:hAnsi="Times New Roman" w:cs="Times New Roman"/>
          <w:sz w:val="22"/>
          <w:szCs w:val="22"/>
        </w:rPr>
      </w:pPr>
      <w:r>
        <w:rPr>
          <w:rFonts w:ascii="Times New Roman" w:hAnsi="Times New Roman" w:cs="Times New Roman"/>
          <w:sz w:val="22"/>
          <w:szCs w:val="22"/>
        </w:rPr>
        <w:t>IAEA</w:t>
      </w:r>
      <w:r w:rsidR="00605C13">
        <w:rPr>
          <w:rFonts w:ascii="Times New Roman" w:hAnsi="Times New Roman" w:cs="Times New Roman"/>
          <w:sz w:val="22"/>
          <w:szCs w:val="22"/>
        </w:rPr>
        <w:t>,</w:t>
      </w:r>
      <w:r>
        <w:rPr>
          <w:rFonts w:ascii="Times New Roman" w:hAnsi="Times New Roman" w:cs="Times New Roman"/>
          <w:sz w:val="22"/>
          <w:szCs w:val="22"/>
        </w:rPr>
        <w:t xml:space="preserve"> </w:t>
      </w:r>
      <w:r w:rsidR="00605C13">
        <w:rPr>
          <w:rFonts w:ascii="Times New Roman" w:hAnsi="Times New Roman" w:cs="Times New Roman"/>
          <w:sz w:val="22"/>
          <w:szCs w:val="22"/>
        </w:rPr>
        <w:t>“</w:t>
      </w:r>
      <w:r w:rsidRPr="00605C13" w:rsidR="00605C13">
        <w:rPr>
          <w:rFonts w:ascii="Times New Roman" w:hAnsi="Times New Roman" w:cs="Times New Roman"/>
          <w:sz w:val="22"/>
          <w:szCs w:val="22"/>
        </w:rPr>
        <w:t>IAEA Safety Glossary: Terminology Used in Nuclear Safety and Radiation Protection</w:t>
      </w:r>
      <w:r w:rsidRPr="00F669B3" w:rsidR="00D759BF">
        <w:rPr>
          <w:rFonts w:ascii="Times New Roman" w:hAnsi="Times New Roman" w:cs="Times New Roman"/>
          <w:sz w:val="22"/>
          <w:szCs w:val="22"/>
        </w:rPr>
        <w:t xml:space="preserve">,” </w:t>
      </w:r>
      <w:r w:rsidRPr="00F669B3" w:rsidR="003D510F">
        <w:rPr>
          <w:rFonts w:ascii="Times New Roman" w:hAnsi="Times New Roman" w:cs="Times New Roman"/>
          <w:sz w:val="22"/>
          <w:szCs w:val="22"/>
        </w:rPr>
        <w:t>Vienna, Austria</w:t>
      </w:r>
      <w:r w:rsidRPr="00F669B3" w:rsidR="00733A1D">
        <w:rPr>
          <w:rFonts w:ascii="Times New Roman" w:hAnsi="Times New Roman" w:cs="Times New Roman"/>
          <w:sz w:val="22"/>
          <w:szCs w:val="22"/>
        </w:rPr>
        <w:t xml:space="preserve">, </w:t>
      </w:r>
      <w:r w:rsidR="00605C13">
        <w:rPr>
          <w:rFonts w:ascii="Times New Roman" w:hAnsi="Times New Roman" w:cs="Times New Roman"/>
          <w:sz w:val="22"/>
          <w:szCs w:val="22"/>
        </w:rPr>
        <w:t>2007</w:t>
      </w:r>
      <w:r w:rsidRPr="00F669B3" w:rsidR="00D759BF">
        <w:rPr>
          <w:rFonts w:ascii="Times New Roman" w:hAnsi="Times New Roman" w:cs="Times New Roman"/>
          <w:sz w:val="22"/>
          <w:szCs w:val="22"/>
        </w:rPr>
        <w:t>.</w:t>
      </w:r>
      <w:bookmarkEnd w:id="13"/>
    </w:p>
    <w:p w:rsidR="003701EE" w:rsidRPr="00F669B3" w:rsidP="003701EE" w14:paraId="59451F7B" w14:textId="77777777">
      <w:pPr>
        <w:pStyle w:val="EndnoteText"/>
        <w:rPr>
          <w:rFonts w:ascii="Times New Roman" w:hAnsi="Times New Roman" w:cs="Times New Roman"/>
          <w:sz w:val="22"/>
          <w:szCs w:val="22"/>
        </w:rPr>
      </w:pPr>
    </w:p>
    <w:p w:rsidR="003701EE" w:rsidRPr="00F669B3" w:rsidP="003701EE" w14:paraId="59451F7C" w14:textId="77777777">
      <w:pPr>
        <w:pStyle w:val="EndnoteText"/>
        <w:numPr>
          <w:ilvl w:val="0"/>
          <w:numId w:val="19"/>
        </w:numPr>
        <w:ind w:left="0" w:firstLine="0"/>
        <w:rPr>
          <w:rFonts w:ascii="Times New Roman" w:hAnsi="Times New Roman" w:cs="Times New Roman"/>
          <w:sz w:val="22"/>
          <w:szCs w:val="22"/>
        </w:rPr>
      </w:pPr>
      <w:r w:rsidRPr="00F669B3">
        <w:rPr>
          <w:rFonts w:ascii="Times New Roman" w:hAnsi="Times New Roman" w:cs="Times New Roman"/>
          <w:sz w:val="22"/>
          <w:szCs w:val="22"/>
        </w:rPr>
        <w:t>NEI 07-06, “Nuclear Regulatory Process,” Palo Alto, CA, March 2007.</w:t>
      </w:r>
    </w:p>
    <w:p w:rsidR="003701EE" w:rsidRPr="005F44F4" w:rsidP="003701EE" w14:paraId="59451F7D" w14:textId="77777777">
      <w:pPr>
        <w:pStyle w:val="EndnoteText"/>
        <w:spacing w:after="240"/>
        <w:rPr>
          <w:rFonts w:ascii="Times New Roman" w:hAnsi="Times New Roman" w:cs="Times New Roman"/>
          <w:sz w:val="22"/>
          <w:szCs w:val="22"/>
        </w:rPr>
      </w:pPr>
    </w:p>
    <w:sectPr w:rsidSect="00872A48">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C13" w:rsidRPr="009B6E8B" w14:paraId="59451F84" w14:textId="77777777">
    <w:pPr>
      <w:pStyle w:val="Footer"/>
      <w:rPr>
        <w:sz w:val="20"/>
        <w:szCs w:val="20"/>
      </w:rPr>
    </w:pPr>
    <w:r w:rsidRPr="009B6E8B">
      <w:rPr>
        <w:sz w:val="20"/>
        <w:szCs w:val="20"/>
      </w:rPr>
      <w:t>RG</w:t>
    </w:r>
    <w:r>
      <w:rPr>
        <w:sz w:val="20"/>
        <w:szCs w:val="20"/>
      </w:rPr>
      <w:t> </w:t>
    </w:r>
    <w:r w:rsidRPr="009B6E8B">
      <w:rPr>
        <w:sz w:val="20"/>
        <w:szCs w:val="20"/>
      </w:rPr>
      <w:t xml:space="preserve">2.7, Rev. 0, Page </w:t>
    </w:r>
    <w:r w:rsidRPr="009B6E8B">
      <w:rPr>
        <w:sz w:val="20"/>
        <w:szCs w:val="20"/>
      </w:rPr>
      <w:fldChar w:fldCharType="begin"/>
    </w:r>
    <w:r w:rsidRPr="009B6E8B">
      <w:rPr>
        <w:sz w:val="20"/>
        <w:szCs w:val="20"/>
      </w:rPr>
      <w:instrText xml:space="preserve"> PAGE   \* MERGEFORMAT </w:instrText>
    </w:r>
    <w:r w:rsidRPr="009B6E8B">
      <w:rPr>
        <w:sz w:val="20"/>
        <w:szCs w:val="20"/>
      </w:rPr>
      <w:fldChar w:fldCharType="separate"/>
    </w:r>
    <w:r w:rsidR="00184546">
      <w:rPr>
        <w:noProof/>
        <w:sz w:val="20"/>
        <w:szCs w:val="20"/>
      </w:rPr>
      <w:t>12</w:t>
    </w:r>
    <w:r w:rsidRPr="009B6E8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right w:val="none" w:sz="0" w:space="0" w:color="auto"/>
      </w:tblBorders>
      <w:tblLook w:val="04A0"/>
    </w:tblPr>
    <w:tblGrid>
      <w:gridCol w:w="9350"/>
    </w:tblGrid>
    <w:tr w14:paraId="59451F94" w14:textId="77777777" w:rsidTr="00BC4C62">
      <w:tblPrEx>
        <w:tblW w:w="0" w:type="auto"/>
        <w:tblBorders>
          <w:left w:val="none" w:sz="0" w:space="0" w:color="auto"/>
          <w:right w:val="none" w:sz="0" w:space="0" w:color="auto"/>
        </w:tblBorders>
        <w:tblLook w:val="04A0"/>
      </w:tblPrEx>
      <w:tc>
        <w:tcPr>
          <w:tcW w:w="9350" w:type="dxa"/>
        </w:tcPr>
        <w:p w:rsidR="00605C13" w:rsidRPr="009B6E8B" w14:paraId="54FC70E5" w14:textId="7DFA3F34">
          <w:pPr>
            <w:rPr>
              <w:sz w:val="16"/>
              <w:szCs w:val="16"/>
            </w:rPr>
          </w:pPr>
          <w:r w:rsidRPr="2CC066CE">
            <w:rPr>
              <w:sz w:val="16"/>
              <w:szCs w:val="16"/>
            </w:rPr>
            <w:t xml:space="preserve">Written suggestions regarding this guide may be submitted through the NRC’s public website in the NRC Library at </w:t>
          </w:r>
          <w:hyperlink r:id="rId1" w:history="1">
            <w:r w:rsidRPr="2CC066CE">
              <w:rPr>
                <w:rStyle w:val="Hyperlink"/>
                <w:sz w:val="16"/>
                <w:szCs w:val="16"/>
              </w:rPr>
              <w:t>https://www.nrc.gov/reading-rm/doc-collections/reg-guides/index.html</w:t>
            </w:r>
          </w:hyperlink>
          <w:r w:rsidRPr="2CC066CE">
            <w:rPr>
              <w:rFonts w:ascii="Segoe UI" w:eastAsia="Segoe UI" w:hAnsi="Segoe UI" w:cs="Segoe UI"/>
              <w:color w:val="242424"/>
              <w:sz w:val="16"/>
              <w:szCs w:val="16"/>
            </w:rPr>
            <w:t>.</w:t>
          </w:r>
          <w:r w:rsidRPr="2CC066CE">
            <w:rPr>
              <w:sz w:val="16"/>
              <w:szCs w:val="16"/>
            </w:rPr>
            <w:t xml:space="preserve">, under Document Collections, in Regulatory Guides, at </w:t>
          </w:r>
          <w:hyperlink r:id="rId2" w:history="1">
            <w:r w:rsidRPr="2CC066CE">
              <w:rPr>
                <w:rStyle w:val="Hyperlink"/>
                <w:sz w:val="16"/>
                <w:szCs w:val="16"/>
              </w:rPr>
              <w:t>https://www.nrc.gov/reading-rm/doc-collections/reg-guides/contactus.html</w:t>
            </w:r>
          </w:hyperlink>
          <w:r w:rsidRPr="2CC066CE">
            <w:rPr>
              <w:color w:val="0000FF"/>
              <w:sz w:val="16"/>
              <w:szCs w:val="16"/>
              <w:u w:val="single"/>
            </w:rPr>
            <w:t>,</w:t>
          </w:r>
          <w:r w:rsidRPr="2CC066CE">
            <w:rPr>
              <w:sz w:val="16"/>
              <w:szCs w:val="16"/>
            </w:rPr>
            <w:t xml:space="preserve"> and will be considered in future updates and enhancements to the “Regulatory Guide” series. During the development process of new guides suggestions should be submitted within the comment period for immediate consideration. Suggestions received outside of the comment period will be considered if practical to do so or may be considered for future updates.</w:t>
          </w:r>
        </w:p>
        <w:p w:rsidR="00605C13" w:rsidRPr="009B6E8B" w14:paraId="4AC24D3E" w14:textId="1E123993">
          <w:pPr>
            <w:rPr>
              <w:sz w:val="16"/>
              <w:szCs w:val="16"/>
            </w:rPr>
          </w:pPr>
          <w:r w:rsidRPr="2CC066CE">
            <w:rPr>
              <w:sz w:val="16"/>
              <w:szCs w:val="16"/>
            </w:rPr>
            <w:t xml:space="preserve"> </w:t>
          </w:r>
        </w:p>
        <w:p w:rsidR="00605C13" w:rsidRPr="002F78E1" w:rsidP="00C8069A" w14:paraId="59451F93" w14:textId="318E40E7">
          <w:pPr>
            <w:rPr>
              <w:sz w:val="18"/>
              <w:szCs w:val="18"/>
            </w:rPr>
          </w:pPr>
          <w:r w:rsidRPr="2CC066CE">
            <w:rPr>
              <w:sz w:val="16"/>
              <w:szCs w:val="16"/>
            </w:rPr>
            <w:t xml:space="preserve">Electronic copies of this RG, previous versions of RGs, and other recently issued guides are also available through the NRC’s public website in the NRC Library at </w:t>
          </w:r>
          <w:hyperlink r:id="rId3" w:history="1">
            <w:r w:rsidRPr="2CC066CE">
              <w:rPr>
                <w:rStyle w:val="Hyperlink"/>
                <w:sz w:val="16"/>
                <w:szCs w:val="16"/>
              </w:rPr>
              <w:t>https://www.nrc.gov/reading-rm/doc-collections/reg-guides/index.html</w:t>
            </w:r>
          </w:hyperlink>
          <w:r w:rsidRPr="2CC066CE">
            <w:rPr>
              <w:color w:val="0000FF"/>
              <w:sz w:val="16"/>
              <w:szCs w:val="16"/>
              <w:u w:val="single"/>
            </w:rPr>
            <w:t xml:space="preserve"> </w:t>
          </w:r>
          <w:r w:rsidRPr="2CC066CE">
            <w:rPr>
              <w:sz w:val="16"/>
              <w:szCs w:val="16"/>
            </w:rPr>
            <w:t xml:space="preserve">under Document Collections, in Regulatory Guides. This RG is also available through the NRC’s Agencywide Documents Access and Management System (ADAMS) at </w:t>
          </w:r>
          <w:hyperlink r:id="rId4" w:history="1">
            <w:r w:rsidRPr="2CC066CE">
              <w:rPr>
                <w:rStyle w:val="Hyperlink"/>
                <w:sz w:val="16"/>
                <w:szCs w:val="16"/>
              </w:rPr>
              <w:t>https://www.nrc.gov/reading-rm/adams.html</w:t>
            </w:r>
          </w:hyperlink>
          <w:r w:rsidRPr="2CC066CE">
            <w:rPr>
              <w:sz w:val="16"/>
              <w:szCs w:val="16"/>
            </w:rPr>
            <w:t>, under ADAMS Accession Number (No.) ML18031A007. The regulatory analysis is associated with a rulemaking and may be found in ADAMS under Accession No. ML24241A114. The associated draft guide DG-2006 may be found in ADAMS under Accession No. ML17068A041 and the staff responses to the public comments on DG-2006 may be found under ADAMS Accession No. ML18031A005.</w:t>
          </w:r>
          <w:r w:rsidRPr="2CC066CE">
            <w:rPr>
              <w:sz w:val="18"/>
              <w:szCs w:val="18"/>
            </w:rPr>
            <w:t xml:space="preserve"> </w:t>
          </w:r>
        </w:p>
      </w:tc>
    </w:tr>
  </w:tbl>
  <w:p w:rsidR="00605C13" w:rsidP="002E2608" w14:paraId="59451F95" w14:textId="77777777">
    <w:pPr>
      <w:pStyle w:val="Footer"/>
      <w:jc w:val="left"/>
      <w:rPr>
        <w:sz w:val="16"/>
      </w:rPr>
    </w:pPr>
    <w:r>
      <w:rPr>
        <w:sz w:val="16"/>
      </w:rPr>
      <w:t xml:space="preserve"> </w:t>
    </w:r>
  </w:p>
  <w:p w:rsidR="00605C13" w:rsidP="002E2608" w14:paraId="59451F96" w14:textId="77777777">
    <w:pPr>
      <w:pStyle w:val="Footer"/>
      <w:jc w:val="left"/>
      <w:rPr>
        <w:sz w:val="16"/>
      </w:rPr>
    </w:pPr>
  </w:p>
  <w:p w:rsidR="00605C13" w:rsidRPr="000A5C79" w:rsidP="000A5C79" w14:paraId="59451F97" w14:textId="777777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0897" w:rsidP="00B10635" w14:paraId="6204A5B9" w14:textId="77777777">
      <w:pPr>
        <w:pStyle w:val="Default"/>
      </w:pPr>
      <w:r>
        <w:separator/>
      </w:r>
    </w:p>
  </w:footnote>
  <w:footnote w:type="continuationSeparator" w:id="1">
    <w:p w:rsidR="00C50897" w:rsidP="00B10635" w14:paraId="02335710" w14:textId="77777777">
      <w:pPr>
        <w:pStyle w:val="Default"/>
      </w:pPr>
      <w:r>
        <w:continuationSeparator/>
      </w:r>
    </w:p>
  </w:footnote>
  <w:footnote w:type="continuationNotice" w:id="2">
    <w:p w:rsidR="00C50897" w14:paraId="37DA0C4D" w14:textId="77777777"/>
  </w:footnote>
  <w:footnote w:id="3">
    <w:p w:rsidR="00605C13" w:rsidRPr="009376CA" w:rsidP="00C631C1" w14:paraId="59451F9B" w14:textId="043F9CD1">
      <w:pPr>
        <w:ind w:left="180" w:hanging="180"/>
        <w:rPr>
          <w:sz w:val="18"/>
          <w:szCs w:val="18"/>
        </w:rPr>
      </w:pPr>
      <w:r w:rsidRPr="009376CA">
        <w:rPr>
          <w:sz w:val="18"/>
          <w:szCs w:val="18"/>
          <w:vertAlign w:val="superscript"/>
        </w:rPr>
        <w:footnoteRef/>
      </w:r>
      <w:r w:rsidRPr="009376CA">
        <w:rPr>
          <w:sz w:val="18"/>
          <w:szCs w:val="18"/>
        </w:rPr>
        <w:t xml:space="preserve"> </w:t>
      </w:r>
      <w:r w:rsidR="002F78E1">
        <w:rPr>
          <w:sz w:val="18"/>
          <w:szCs w:val="18"/>
        </w:rPr>
        <w:t xml:space="preserve"> </w:t>
      </w:r>
      <w:r w:rsidRPr="5A664D39" w:rsidR="5A664D39">
        <w:rPr>
          <w:sz w:val="18"/>
          <w:szCs w:val="18"/>
        </w:rPr>
        <w:t>Publicly available NRC published documents are available electronically through the NRC Library on the NRC’s public website at http://www.nrc.gov/reading-rm/doc-collections/ and through the NRC’s Agencywide Documents Access and Management System (ADAMS) at http://www.nrc.gov/reading-rm/adams.html. For problems with ADAMS, contact the Public Document Room staff at 301-415-4737 or (800) 397-4209, or email pdr.resource@nrc.gov. The NRC Public Document Room (PDR), where you may also examine and order copies of publicly available documents, is open by appointment. To make an appointment to visit the PDR, please send an email to pdr.resource@nrc.gov or call 1-800-397-4209 or 301-415-4737, between 8 a.m. and 4 p.m. eastern time (ET), Monday through Friday, except Federal holidays.</w:t>
      </w:r>
      <w:r w:rsidRPr="009376CA">
        <w:rPr>
          <w:sz w:val="18"/>
          <w:szCs w:val="18"/>
        </w:rPr>
        <w:tab/>
      </w:r>
    </w:p>
    <w:p w:rsidR="00605C13" w:rsidRPr="00E51DDD" w:rsidP="00897AE8" w14:paraId="59451F9C" w14:textId="77777777">
      <w:pPr>
        <w:ind w:left="720" w:hanging="720"/>
        <w:rPr>
          <w:sz w:val="18"/>
          <w:szCs w:val="18"/>
        </w:rPr>
      </w:pPr>
    </w:p>
  </w:footnote>
  <w:footnote w:id="4">
    <w:p w:rsidR="00605C13" w:rsidP="00C631C1" w14:paraId="59451F9D" w14:textId="77777777">
      <w:pPr>
        <w:pStyle w:val="FootnoteText"/>
        <w:ind w:left="180" w:hanging="180"/>
      </w:pPr>
      <w:r>
        <w:rPr>
          <w:rStyle w:val="FootnoteReference"/>
        </w:rPr>
        <w:footnoteRef/>
      </w:r>
      <w:r>
        <w:t xml:space="preserve"> </w:t>
      </w:r>
      <w:r>
        <w:tab/>
      </w:r>
      <w:r w:rsidRPr="00C437CB">
        <w:t xml:space="preserve">Copies of International Atomic Energy Agency documents may be obtained through </w:t>
      </w:r>
      <w:r>
        <w:t>its</w:t>
      </w:r>
      <w:r w:rsidRPr="00C437CB">
        <w:t xml:space="preserve"> Web site: </w:t>
      </w:r>
      <w:hyperlink r:id="rId1" w:history="1">
        <w:r w:rsidRPr="000716C2">
          <w:rPr>
            <w:rStyle w:val="Hyperlink"/>
          </w:rPr>
          <w:t>www.IAEA.org/</w:t>
        </w:r>
      </w:hyperlink>
      <w:r w:rsidRPr="00C437CB">
        <w:t xml:space="preserve"> or by writing the International Atomic Energy Agency, P.O. Box 100 </w:t>
      </w:r>
      <w:r w:rsidRPr="00C437CB">
        <w:t>Wagramer</w:t>
      </w:r>
      <w:r w:rsidRPr="00C437CB">
        <w:t xml:space="preserve"> Strasse</w:t>
      </w:r>
      <w:r>
        <w:t> </w:t>
      </w:r>
      <w:r w:rsidRPr="00C437CB">
        <w:t>5, A</w:t>
      </w:r>
      <w:r>
        <w:noBreakHyphen/>
      </w:r>
      <w:r w:rsidRPr="00C437CB">
        <w:t>1400 Vienna, Austria.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59451F86" w14:textId="77777777" w:rsidTr="2CC066C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trHeight w:val="300"/>
        <w:jc w:val="center"/>
      </w:trPr>
      <w:tc>
        <w:tcPr>
          <w:tcW w:w="9350" w:type="dxa"/>
          <w:gridSpan w:val="3"/>
        </w:tcPr>
        <w:p w:rsidR="00605C13" w:rsidRPr="00D14A86" w:rsidP="00886EE4" w14:paraId="59451F85" w14:textId="77777777">
          <w:pPr>
            <w:jc w:val="center"/>
            <w:rPr>
              <w:sz w:val="36"/>
              <w:szCs w:val="36"/>
            </w:rPr>
          </w:pPr>
          <w:r w:rsidRPr="00D14A86">
            <w:rPr>
              <w:rFonts w:ascii="Arial" w:hAnsi="Arial" w:cs="Arial"/>
              <w:b/>
              <w:bCs/>
              <w:color w:val="000000"/>
              <w:sz w:val="36"/>
              <w:szCs w:val="36"/>
            </w:rPr>
            <w:t>U.S. NUCLEAR REGULATORY COMMISSION</w:t>
          </w:r>
        </w:p>
      </w:tc>
    </w:tr>
    <w:tr w14:paraId="59451F8A" w14:textId="77777777" w:rsidTr="2CC066CE">
      <w:tblPrEx>
        <w:tblW w:w="0" w:type="auto"/>
        <w:jc w:val="center"/>
        <w:tblLayout w:type="fixed"/>
        <w:tblCellMar>
          <w:top w:w="29" w:type="dxa"/>
          <w:left w:w="29" w:type="dxa"/>
          <w:bottom w:w="29" w:type="dxa"/>
          <w:right w:w="29" w:type="dxa"/>
        </w:tblCellMar>
        <w:tblLook w:val="04A0"/>
      </w:tblPrEx>
      <w:trPr>
        <w:trHeight w:val="300"/>
        <w:jc w:val="center"/>
      </w:trPr>
      <w:tc>
        <w:tcPr>
          <w:tcW w:w="1435" w:type="dxa"/>
          <w:vMerge w:val="restart"/>
        </w:tcPr>
        <w:p w:rsidR="00605C13" w:rsidRPr="007E728B" w:rsidP="00886EE4" w14:paraId="59451F87" w14:textId="77777777">
          <w:pPr>
            <w:rPr>
              <w:sz w:val="40"/>
            </w:rPr>
          </w:pPr>
          <w:r>
            <w:rPr>
              <w:noProof/>
            </w:rPr>
            <w:drawing>
              <wp:inline distT="0" distB="0" distL="0" distR="0">
                <wp:extent cx="914400" cy="899160"/>
                <wp:effectExtent l="0" t="0" r="0" b="0"/>
                <wp:docPr id="4"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605C13" w:rsidRPr="00F766D8" w:rsidP="00886EE4" w14:paraId="59451F88" w14:textId="77777777">
          <w:pPr>
            <w:jc w:val="center"/>
            <w:rPr>
              <w:sz w:val="28"/>
              <w:szCs w:val="28"/>
            </w:rPr>
          </w:pPr>
          <w:r>
            <w:rPr>
              <w:rFonts w:ascii="Arial" w:hAnsi="Arial" w:cs="Arial"/>
              <w:b/>
              <w:bCs/>
              <w:sz w:val="28"/>
              <w:szCs w:val="28"/>
            </w:rPr>
            <w:t>REGULATORY GUIDE 2.7, REVISION 0</w:t>
          </w:r>
        </w:p>
      </w:tc>
      <w:tc>
        <w:tcPr>
          <w:tcW w:w="1345" w:type="dxa"/>
        </w:tcPr>
        <w:p w:rsidR="00605C13" w:rsidRPr="008B423E" w:rsidP="00886EE4" w14:paraId="59451F89" w14:textId="77777777">
          <w:pPr>
            <w:jc w:val="center"/>
            <w:rPr>
              <w:sz w:val="36"/>
              <w:szCs w:val="36"/>
            </w:rPr>
          </w:pPr>
        </w:p>
      </w:tc>
    </w:tr>
    <w:tr w14:paraId="59451F8F" w14:textId="77777777" w:rsidTr="00AF1691">
      <w:tblPrEx>
        <w:tblW w:w="0" w:type="auto"/>
        <w:jc w:val="center"/>
        <w:tblLayout w:type="fixed"/>
        <w:tblCellMar>
          <w:top w:w="29" w:type="dxa"/>
          <w:left w:w="29" w:type="dxa"/>
          <w:bottom w:w="29" w:type="dxa"/>
          <w:right w:w="29" w:type="dxa"/>
        </w:tblCellMar>
        <w:tblLook w:val="04A0"/>
      </w:tblPrEx>
      <w:trPr>
        <w:trHeight w:val="1113"/>
        <w:jc w:val="center"/>
      </w:trPr>
      <w:tc>
        <w:tcPr>
          <w:tcW w:w="1435" w:type="dxa"/>
          <w:vMerge/>
        </w:tcPr>
        <w:p w:rsidR="00605C13" w:rsidRPr="007A0E90" w:rsidP="00886EE4" w14:paraId="59451F8B" w14:textId="77777777">
          <w:pPr>
            <w:rPr>
              <w:sz w:val="2"/>
              <w:szCs w:val="22"/>
            </w:rPr>
          </w:pPr>
        </w:p>
      </w:tc>
      <w:tc>
        <w:tcPr>
          <w:tcW w:w="7915" w:type="dxa"/>
          <w:gridSpan w:val="2"/>
        </w:tcPr>
        <w:p w:rsidR="00605C13" w:rsidRPr="00F308F3" w:rsidP="00886EE4" w14:paraId="59451F8C" w14:textId="1C52EE60">
          <w:pPr>
            <w:tabs>
              <w:tab w:val="left" w:pos="3807"/>
            </w:tabs>
            <w:jc w:val="right"/>
            <w:rPr>
              <w:rFonts w:ascii="Arial" w:hAnsi="Arial" w:cs="Arial"/>
              <w:b/>
              <w:sz w:val="18"/>
              <w:szCs w:val="18"/>
            </w:rPr>
          </w:pPr>
          <w:r w:rsidRPr="00F308F3">
            <w:rPr>
              <w:rFonts w:ascii="Arial" w:hAnsi="Arial" w:cs="Arial"/>
              <w:b/>
              <w:sz w:val="18"/>
              <w:szCs w:val="18"/>
            </w:rPr>
            <w:t xml:space="preserve">Issue Date: </w:t>
          </w:r>
          <w:r w:rsidRPr="00DE4DD4" w:rsidR="007E1C1C">
            <w:rPr>
              <w:rFonts w:ascii="Arial" w:hAnsi="Arial" w:cs="Arial"/>
              <w:b/>
              <w:sz w:val="18"/>
              <w:szCs w:val="18"/>
              <w:highlight w:val="yellow"/>
            </w:rPr>
            <w:t>XXXXX</w:t>
          </w:r>
          <w:r w:rsidRPr="00F308F3" w:rsidR="007E1C1C">
            <w:rPr>
              <w:rFonts w:ascii="Arial" w:hAnsi="Arial" w:cs="Arial"/>
              <w:b/>
              <w:sz w:val="18"/>
              <w:szCs w:val="18"/>
            </w:rPr>
            <w:t xml:space="preserve"> </w:t>
          </w:r>
          <w:r w:rsidRPr="009B6E8B">
            <w:rPr>
              <w:rFonts w:ascii="Arial" w:hAnsi="Arial" w:cs="Arial"/>
              <w:b/>
              <w:sz w:val="18"/>
              <w:szCs w:val="18"/>
            </w:rPr>
            <w:t>20</w:t>
          </w:r>
          <w:r w:rsidRPr="00DE4DD4" w:rsidR="00906377">
            <w:rPr>
              <w:rFonts w:ascii="Arial" w:hAnsi="Arial" w:cs="Arial"/>
              <w:b/>
              <w:sz w:val="18"/>
              <w:szCs w:val="18"/>
              <w:highlight w:val="yellow"/>
            </w:rPr>
            <w:t>XX</w:t>
          </w:r>
        </w:p>
        <w:p w:rsidR="00605C13" w:rsidRPr="00F308F3" w:rsidP="00886EE4" w14:paraId="59451F8D" w14:textId="77777777">
          <w:pPr>
            <w:tabs>
              <w:tab w:val="left" w:pos="3807"/>
            </w:tabs>
            <w:jc w:val="right"/>
            <w:rPr>
              <w:rFonts w:ascii="Arial" w:hAnsi="Arial" w:cs="Arial"/>
              <w:b/>
              <w:sz w:val="18"/>
              <w:szCs w:val="18"/>
            </w:rPr>
          </w:pPr>
          <w:r w:rsidRPr="00F308F3">
            <w:rPr>
              <w:rFonts w:ascii="Arial" w:hAnsi="Arial" w:cs="Arial"/>
              <w:b/>
              <w:sz w:val="18"/>
              <w:szCs w:val="18"/>
            </w:rPr>
            <w:t xml:space="preserve">Technical Lead: Duane Hardesty </w:t>
          </w:r>
        </w:p>
        <w:p w:rsidR="00605C13" w:rsidRPr="00BD120F" w:rsidP="00886EE4" w14:paraId="59451F8E" w14:textId="77777777">
          <w:pPr>
            <w:jc w:val="right"/>
            <w:rPr>
              <w:rFonts w:ascii="Arial" w:hAnsi="Arial" w:cs="Arial"/>
              <w:b/>
              <w:sz w:val="32"/>
              <w:szCs w:val="32"/>
            </w:rPr>
          </w:pPr>
        </w:p>
      </w:tc>
    </w:tr>
  </w:tbl>
  <w:p w:rsidR="00605C13" w:rsidRPr="00886EE4" w:rsidP="00886EE4" w14:paraId="59451F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E0FEB"/>
    <w:multiLevelType w:val="hybridMultilevel"/>
    <w:tmpl w:val="31DE91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64D45"/>
    <w:multiLevelType w:val="hybridMultilevel"/>
    <w:tmpl w:val="20C45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AE6D13"/>
    <w:multiLevelType w:val="hybridMultilevel"/>
    <w:tmpl w:val="83DC27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B6B52"/>
    <w:multiLevelType w:val="hybridMultilevel"/>
    <w:tmpl w:val="D3001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B1922"/>
    <w:multiLevelType w:val="hybridMultilevel"/>
    <w:tmpl w:val="7C62538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EE6EF0"/>
    <w:multiLevelType w:val="hybridMultilevel"/>
    <w:tmpl w:val="49F466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DA133"/>
    <w:multiLevelType w:val="hybridMultilevel"/>
    <w:tmpl w:val="6EBED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EC6D20"/>
    <w:multiLevelType w:val="hybridMultilevel"/>
    <w:tmpl w:val="3B00CA7E"/>
    <w:lvl w:ilvl="0">
      <w:start w:val="1"/>
      <w:numFmt w:val="decimal"/>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8">
    <w:nsid w:val="32D95B97"/>
    <w:multiLevelType w:val="hybridMultilevel"/>
    <w:tmpl w:val="CD0260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345D70"/>
    <w:multiLevelType w:val="hybridMultilevel"/>
    <w:tmpl w:val="A418B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EF0279"/>
    <w:multiLevelType w:val="multilevel"/>
    <w:tmpl w:val="11844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F9E4823"/>
    <w:multiLevelType w:val="multilevel"/>
    <w:tmpl w:val="92847100"/>
    <w:lvl w:ilvl="0">
      <w:start w:val="1"/>
      <w:numFmt w:val="decimal"/>
      <w:pStyle w:val="Heading1"/>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pStyle w:val="Heading2"/>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decimal"/>
      <w:pStyle w:val="Heading3"/>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pStyle w:val="Heading4"/>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rPr>
    </w:lvl>
    <w:lvl w:ilvl="4">
      <w:start w:val="1"/>
      <w:numFmt w:val="decimal"/>
      <w:pStyle w:val="Heading5"/>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0E85393"/>
    <w:multiLevelType w:val="hybridMultilevel"/>
    <w:tmpl w:val="781A19A8"/>
    <w:lvl w:ilvl="0">
      <w:start w:val="1"/>
      <w:numFmt w:val="lowerLetter"/>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4D49CC"/>
    <w:multiLevelType w:val="hybridMultilevel"/>
    <w:tmpl w:val="6582B476"/>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B066CA"/>
    <w:multiLevelType w:val="multilevel"/>
    <w:tmpl w:val="31DE91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7E3C7F"/>
    <w:multiLevelType w:val="multilevel"/>
    <w:tmpl w:val="67EAD32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6">
    <w:nsid w:val="4AC06BB6"/>
    <w:multiLevelType w:val="hybridMultilevel"/>
    <w:tmpl w:val="001C6FB6"/>
    <w:lvl w:ilvl="0">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B147E8B"/>
    <w:multiLevelType w:val="hybridMultilevel"/>
    <w:tmpl w:val="FA124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4B11F5"/>
    <w:multiLevelType w:val="hybridMultilevel"/>
    <w:tmpl w:val="15D03792"/>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47D7963"/>
    <w:multiLevelType w:val="hybridMultilevel"/>
    <w:tmpl w:val="7ADCDDE0"/>
    <w:lvl w:ilvl="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56CA44EB"/>
    <w:multiLevelType w:val="hybridMultilevel"/>
    <w:tmpl w:val="A25ACF92"/>
    <w:lvl w:ilvl="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1">
    <w:nsid w:val="5973632A"/>
    <w:multiLevelType w:val="hybridMultilevel"/>
    <w:tmpl w:val="F9A4CAC4"/>
    <w:lvl w:ilvl="0">
      <w:start w:val="1"/>
      <w:numFmt w:val="decimal"/>
      <w:pStyle w:val="Refs"/>
      <w:lvlText w:val="%1."/>
      <w:lvlJc w:val="left"/>
      <w:pPr>
        <w:tabs>
          <w:tab w:val="num" w:pos="720"/>
        </w:tabs>
        <w:ind w:left="720" w:hanging="72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B9E15F7"/>
    <w:multiLevelType w:val="hybridMultilevel"/>
    <w:tmpl w:val="FFE22B8A"/>
    <w:lvl w:ilvl="0">
      <w:start w:val="1"/>
      <w:numFmt w:val="decimal"/>
      <w:lvlText w:val="%1."/>
      <w:lvlJc w:val="left"/>
      <w:pPr>
        <w:ind w:left="360" w:hanging="360"/>
      </w:pPr>
      <w:rPr>
        <w:sz w:val="22"/>
        <w:szCs w:val="22"/>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629E24DD"/>
    <w:multiLevelType w:val="hybridMultilevel"/>
    <w:tmpl w:val="FF1A3580"/>
    <w:lvl w:ilvl="0">
      <w:start w:val="1"/>
      <w:numFmt w:val="decimal"/>
      <w:pStyle w:val="Para-n1"/>
      <w:lvlText w:val="(%1)"/>
      <w:lvlJc w:val="left"/>
      <w:pPr>
        <w:tabs>
          <w:tab w:val="num" w:pos="720"/>
        </w:tabs>
        <w:ind w:left="720" w:hanging="720"/>
      </w:pPr>
      <w:rPr>
        <w:rFonts w:hint="default"/>
      </w:rPr>
    </w:lvl>
    <w:lvl w:ilvl="1">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45AD43D"/>
    <w:multiLevelType w:val="hybridMultilevel"/>
    <w:tmpl w:val="7F3CA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5B56A1"/>
    <w:multiLevelType w:val="hybridMultilevel"/>
    <w:tmpl w:val="02E69C0C"/>
    <w:lvl w:ilvl="0">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6897239F"/>
    <w:multiLevelType w:val="hybridMultilevel"/>
    <w:tmpl w:val="9D30DDA0"/>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Courier New" w:hAnsi="Courier New" w:hint="default"/>
      </w:rPr>
    </w:lvl>
    <w:lvl w:ilvl="2">
      <w:start w:val="2"/>
      <w:numFmt w:val="bullet"/>
      <w:lvlText w:val="-"/>
      <w:lvlJc w:val="left"/>
      <w:pPr>
        <w:ind w:left="2520" w:hanging="360"/>
      </w:pPr>
      <w:rPr>
        <w:rFonts w:ascii="Times New Roman" w:eastAsia="Calibri" w:hAnsi="Times New Roman"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0D27C48"/>
    <w:multiLevelType w:val="hybridMultilevel"/>
    <w:tmpl w:val="B922071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2"/>
      <w:numFmt w:val="bullet"/>
      <w:lvlText w:val="-"/>
      <w:lvlJc w:val="left"/>
      <w:pPr>
        <w:ind w:left="2520" w:hanging="360"/>
      </w:pPr>
      <w:rPr>
        <w:rFonts w:ascii="Times New Roman" w:eastAsia="Calibri" w:hAnsi="Times New Roman"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3846E2A"/>
    <w:multiLevelType w:val="hybridMultilevel"/>
    <w:tmpl w:val="4EB83F94"/>
    <w:lvl w:ilvl="0">
      <w:start w:val="1"/>
      <w:numFmt w:val="decimal"/>
      <w:lvlText w:val="%1."/>
      <w:lvlJc w:val="left"/>
      <w:pPr>
        <w:ind w:left="720" w:hanging="360"/>
      </w:pPr>
      <w:rPr>
        <w:rFonts w:hint="default"/>
        <w:sz w:val="22"/>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F339A6"/>
    <w:multiLevelType w:val="hybridMultilevel"/>
    <w:tmpl w:val="DA9AE3CC"/>
    <w:lvl w:ilvl="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7BA5D0C"/>
    <w:multiLevelType w:val="hybridMultilevel"/>
    <w:tmpl w:val="CA0EF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881460D"/>
    <w:multiLevelType w:val="hybridMultilevel"/>
    <w:tmpl w:val="DF1E12DE"/>
    <w:lvl w:ilvl="0">
      <w:start w:val="20"/>
      <w:numFmt w:val="decimal"/>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2">
    <w:nsid w:val="7D796B8C"/>
    <w:multiLevelType w:val="multilevel"/>
    <w:tmpl w:val="6C067EEC"/>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num w:numId="1" w16cid:durableId="459148958">
    <w:abstractNumId w:val="16"/>
  </w:num>
  <w:num w:numId="2" w16cid:durableId="125129643">
    <w:abstractNumId w:val="23"/>
  </w:num>
  <w:num w:numId="3" w16cid:durableId="1050110433">
    <w:abstractNumId w:val="19"/>
  </w:num>
  <w:num w:numId="4" w16cid:durableId="576864988">
    <w:abstractNumId w:val="21"/>
  </w:num>
  <w:num w:numId="5" w16cid:durableId="1516503393">
    <w:abstractNumId w:val="25"/>
  </w:num>
  <w:num w:numId="6" w16cid:durableId="498617180">
    <w:abstractNumId w:val="23"/>
    <w:lvlOverride w:ilvl="0">
      <w:startOverride w:val="1"/>
    </w:lvlOverride>
  </w:num>
  <w:num w:numId="7" w16cid:durableId="474641083">
    <w:abstractNumId w:val="20"/>
  </w:num>
  <w:num w:numId="8" w16cid:durableId="218324950">
    <w:abstractNumId w:val="29"/>
  </w:num>
  <w:num w:numId="9" w16cid:durableId="2051343809">
    <w:abstractNumId w:val="15"/>
  </w:num>
  <w:num w:numId="10" w16cid:durableId="274022832">
    <w:abstractNumId w:val="11"/>
  </w:num>
  <w:num w:numId="11" w16cid:durableId="483741873">
    <w:abstractNumId w:val="9"/>
  </w:num>
  <w:num w:numId="12" w16cid:durableId="148981221">
    <w:abstractNumId w:val="3"/>
  </w:num>
  <w:num w:numId="13" w16cid:durableId="544490789">
    <w:abstractNumId w:val="13"/>
  </w:num>
  <w:num w:numId="14" w16cid:durableId="1608778825">
    <w:abstractNumId w:val="10"/>
  </w:num>
  <w:num w:numId="15" w16cid:durableId="1963415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04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352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825408">
    <w:abstractNumId w:val="27"/>
  </w:num>
  <w:num w:numId="19" w16cid:durableId="1222709833">
    <w:abstractNumId w:val="22"/>
  </w:num>
  <w:num w:numId="20" w16cid:durableId="815605836">
    <w:abstractNumId w:val="32"/>
  </w:num>
  <w:num w:numId="21" w16cid:durableId="1685089600">
    <w:abstractNumId w:val="5"/>
  </w:num>
  <w:num w:numId="22" w16cid:durableId="446773405">
    <w:abstractNumId w:val="2"/>
  </w:num>
  <w:num w:numId="23" w16cid:durableId="1212037990">
    <w:abstractNumId w:val="8"/>
  </w:num>
  <w:num w:numId="24" w16cid:durableId="1308778494">
    <w:abstractNumId w:val="0"/>
  </w:num>
  <w:num w:numId="25" w16cid:durableId="249242373">
    <w:abstractNumId w:val="14"/>
  </w:num>
  <w:num w:numId="26" w16cid:durableId="1465155251">
    <w:abstractNumId w:val="11"/>
  </w:num>
  <w:num w:numId="27" w16cid:durableId="780077811">
    <w:abstractNumId w:val="1"/>
  </w:num>
  <w:num w:numId="28" w16cid:durableId="1718360605">
    <w:abstractNumId w:val="4"/>
  </w:num>
  <w:num w:numId="29" w16cid:durableId="1064181198">
    <w:abstractNumId w:val="28"/>
  </w:num>
  <w:num w:numId="30" w16cid:durableId="1897206990">
    <w:abstractNumId w:val="18"/>
  </w:num>
  <w:num w:numId="31" w16cid:durableId="1998535266">
    <w:abstractNumId w:val="12"/>
  </w:num>
  <w:num w:numId="32" w16cid:durableId="1858814365">
    <w:abstractNumId w:val="30"/>
  </w:num>
  <w:num w:numId="33" w16cid:durableId="122818749">
    <w:abstractNumId w:val="7"/>
  </w:num>
  <w:num w:numId="34" w16cid:durableId="507018127">
    <w:abstractNumId w:val="31"/>
  </w:num>
  <w:num w:numId="35" w16cid:durableId="493685876">
    <w:abstractNumId w:val="17"/>
  </w:num>
  <w:num w:numId="36" w16cid:durableId="869994362">
    <w:abstractNumId w:val="26"/>
  </w:num>
  <w:num w:numId="37" w16cid:durableId="1520313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4047496">
    <w:abstractNumId w:val="6"/>
  </w:num>
  <w:num w:numId="39" w16cid:durableId="101596066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DateAndTime/>
  <w:bordersDoNotSurroundHeader/>
  <w:bordersDoNotSurroundFooter/>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1824"/>
    <w:rsid w:val="00005330"/>
    <w:rsid w:val="00005A13"/>
    <w:rsid w:val="0000660C"/>
    <w:rsid w:val="00006DA6"/>
    <w:rsid w:val="00011D51"/>
    <w:rsid w:val="00012CC7"/>
    <w:rsid w:val="00013017"/>
    <w:rsid w:val="0001448A"/>
    <w:rsid w:val="00016476"/>
    <w:rsid w:val="0001662D"/>
    <w:rsid w:val="00017566"/>
    <w:rsid w:val="000202B6"/>
    <w:rsid w:val="000213CF"/>
    <w:rsid w:val="00022545"/>
    <w:rsid w:val="00027F74"/>
    <w:rsid w:val="000301EC"/>
    <w:rsid w:val="000303CF"/>
    <w:rsid w:val="0003107D"/>
    <w:rsid w:val="000310A5"/>
    <w:rsid w:val="00031282"/>
    <w:rsid w:val="00032195"/>
    <w:rsid w:val="0003366A"/>
    <w:rsid w:val="000344C6"/>
    <w:rsid w:val="00034CC8"/>
    <w:rsid w:val="00036D76"/>
    <w:rsid w:val="00037737"/>
    <w:rsid w:val="00040EC9"/>
    <w:rsid w:val="00041E9C"/>
    <w:rsid w:val="00042CC3"/>
    <w:rsid w:val="00042DBF"/>
    <w:rsid w:val="00043083"/>
    <w:rsid w:val="000438E5"/>
    <w:rsid w:val="00044750"/>
    <w:rsid w:val="00044D25"/>
    <w:rsid w:val="00045023"/>
    <w:rsid w:val="0004664B"/>
    <w:rsid w:val="000476E7"/>
    <w:rsid w:val="000504D3"/>
    <w:rsid w:val="00052339"/>
    <w:rsid w:val="00053F43"/>
    <w:rsid w:val="000540BA"/>
    <w:rsid w:val="0005426E"/>
    <w:rsid w:val="000547F5"/>
    <w:rsid w:val="000549A9"/>
    <w:rsid w:val="00056EFF"/>
    <w:rsid w:val="000570D1"/>
    <w:rsid w:val="00060719"/>
    <w:rsid w:val="00062350"/>
    <w:rsid w:val="000624C7"/>
    <w:rsid w:val="00062B62"/>
    <w:rsid w:val="00063224"/>
    <w:rsid w:val="00063F8C"/>
    <w:rsid w:val="00066112"/>
    <w:rsid w:val="00066536"/>
    <w:rsid w:val="00066E2B"/>
    <w:rsid w:val="000716C2"/>
    <w:rsid w:val="0007416D"/>
    <w:rsid w:val="000747F3"/>
    <w:rsid w:val="00075DF2"/>
    <w:rsid w:val="00080111"/>
    <w:rsid w:val="00080948"/>
    <w:rsid w:val="00082E82"/>
    <w:rsid w:val="00083B4F"/>
    <w:rsid w:val="0008517E"/>
    <w:rsid w:val="00086460"/>
    <w:rsid w:val="00086EB3"/>
    <w:rsid w:val="00087D14"/>
    <w:rsid w:val="000909A1"/>
    <w:rsid w:val="00092D06"/>
    <w:rsid w:val="00093A0C"/>
    <w:rsid w:val="00094C72"/>
    <w:rsid w:val="000951E8"/>
    <w:rsid w:val="00095CE1"/>
    <w:rsid w:val="00096C5E"/>
    <w:rsid w:val="00096D00"/>
    <w:rsid w:val="00097032"/>
    <w:rsid w:val="00097810"/>
    <w:rsid w:val="00097FC3"/>
    <w:rsid w:val="000A17B0"/>
    <w:rsid w:val="000A3649"/>
    <w:rsid w:val="000A504F"/>
    <w:rsid w:val="000A55BC"/>
    <w:rsid w:val="000A5C79"/>
    <w:rsid w:val="000A5DED"/>
    <w:rsid w:val="000A69AB"/>
    <w:rsid w:val="000A780F"/>
    <w:rsid w:val="000B0426"/>
    <w:rsid w:val="000B04D8"/>
    <w:rsid w:val="000B08EC"/>
    <w:rsid w:val="000B13BD"/>
    <w:rsid w:val="000B2940"/>
    <w:rsid w:val="000B2F2E"/>
    <w:rsid w:val="000B3316"/>
    <w:rsid w:val="000B4021"/>
    <w:rsid w:val="000B4752"/>
    <w:rsid w:val="000B6CE3"/>
    <w:rsid w:val="000B76A7"/>
    <w:rsid w:val="000C0910"/>
    <w:rsid w:val="000C0DD6"/>
    <w:rsid w:val="000C0E09"/>
    <w:rsid w:val="000C1272"/>
    <w:rsid w:val="000C2827"/>
    <w:rsid w:val="000C2AB0"/>
    <w:rsid w:val="000C3E0C"/>
    <w:rsid w:val="000C4B46"/>
    <w:rsid w:val="000D0B99"/>
    <w:rsid w:val="000D111D"/>
    <w:rsid w:val="000D1EC8"/>
    <w:rsid w:val="000D1F4A"/>
    <w:rsid w:val="000D2BA1"/>
    <w:rsid w:val="000D2DE0"/>
    <w:rsid w:val="000D4C31"/>
    <w:rsid w:val="000D5411"/>
    <w:rsid w:val="000D63E6"/>
    <w:rsid w:val="000D67D0"/>
    <w:rsid w:val="000D77E9"/>
    <w:rsid w:val="000D78C6"/>
    <w:rsid w:val="000D79B3"/>
    <w:rsid w:val="000E00E1"/>
    <w:rsid w:val="000E0342"/>
    <w:rsid w:val="000E1DCF"/>
    <w:rsid w:val="000E27C5"/>
    <w:rsid w:val="000E2CC0"/>
    <w:rsid w:val="000E55C4"/>
    <w:rsid w:val="000E7067"/>
    <w:rsid w:val="000E78F1"/>
    <w:rsid w:val="000F0951"/>
    <w:rsid w:val="000F0A7A"/>
    <w:rsid w:val="000F32DE"/>
    <w:rsid w:val="000F3481"/>
    <w:rsid w:val="000F705F"/>
    <w:rsid w:val="000F7539"/>
    <w:rsid w:val="000F75D2"/>
    <w:rsid w:val="000F7B17"/>
    <w:rsid w:val="00100231"/>
    <w:rsid w:val="001003E2"/>
    <w:rsid w:val="00101D5C"/>
    <w:rsid w:val="00101F1B"/>
    <w:rsid w:val="0010277F"/>
    <w:rsid w:val="001045AB"/>
    <w:rsid w:val="0011029C"/>
    <w:rsid w:val="001105F0"/>
    <w:rsid w:val="00111622"/>
    <w:rsid w:val="0011309E"/>
    <w:rsid w:val="0011515D"/>
    <w:rsid w:val="00115958"/>
    <w:rsid w:val="001162D5"/>
    <w:rsid w:val="00120B3A"/>
    <w:rsid w:val="00121AB2"/>
    <w:rsid w:val="00121B43"/>
    <w:rsid w:val="00122E59"/>
    <w:rsid w:val="00123050"/>
    <w:rsid w:val="00123473"/>
    <w:rsid w:val="00123714"/>
    <w:rsid w:val="00123AAB"/>
    <w:rsid w:val="00124978"/>
    <w:rsid w:val="00124F5D"/>
    <w:rsid w:val="0013057F"/>
    <w:rsid w:val="0013200F"/>
    <w:rsid w:val="001324BD"/>
    <w:rsid w:val="001332DE"/>
    <w:rsid w:val="00137AB0"/>
    <w:rsid w:val="00140598"/>
    <w:rsid w:val="00142AAF"/>
    <w:rsid w:val="0014350A"/>
    <w:rsid w:val="00146CCE"/>
    <w:rsid w:val="001501F2"/>
    <w:rsid w:val="001503C6"/>
    <w:rsid w:val="00150C5D"/>
    <w:rsid w:val="00151345"/>
    <w:rsid w:val="001530CF"/>
    <w:rsid w:val="001531C3"/>
    <w:rsid w:val="001532D5"/>
    <w:rsid w:val="00153FA8"/>
    <w:rsid w:val="001602D2"/>
    <w:rsid w:val="001644B2"/>
    <w:rsid w:val="0017328E"/>
    <w:rsid w:val="001750EF"/>
    <w:rsid w:val="00175375"/>
    <w:rsid w:val="0017702C"/>
    <w:rsid w:val="001771E3"/>
    <w:rsid w:val="00177929"/>
    <w:rsid w:val="00180665"/>
    <w:rsid w:val="001807D2"/>
    <w:rsid w:val="00180A58"/>
    <w:rsid w:val="0018157A"/>
    <w:rsid w:val="00184239"/>
    <w:rsid w:val="00184546"/>
    <w:rsid w:val="00186044"/>
    <w:rsid w:val="00186473"/>
    <w:rsid w:val="00190ADC"/>
    <w:rsid w:val="00192BB4"/>
    <w:rsid w:val="00192D9A"/>
    <w:rsid w:val="0019528C"/>
    <w:rsid w:val="001A349F"/>
    <w:rsid w:val="001A5CDF"/>
    <w:rsid w:val="001A6DE1"/>
    <w:rsid w:val="001A7CDD"/>
    <w:rsid w:val="001A7E69"/>
    <w:rsid w:val="001B3FFC"/>
    <w:rsid w:val="001B54E0"/>
    <w:rsid w:val="001B7CC0"/>
    <w:rsid w:val="001C0D38"/>
    <w:rsid w:val="001C3DAD"/>
    <w:rsid w:val="001C4F5E"/>
    <w:rsid w:val="001C6828"/>
    <w:rsid w:val="001C6DFE"/>
    <w:rsid w:val="001C6E4D"/>
    <w:rsid w:val="001D0F21"/>
    <w:rsid w:val="001D1915"/>
    <w:rsid w:val="001D1D8D"/>
    <w:rsid w:val="001D22EE"/>
    <w:rsid w:val="001D3F9C"/>
    <w:rsid w:val="001D44AB"/>
    <w:rsid w:val="001D54E7"/>
    <w:rsid w:val="001E0007"/>
    <w:rsid w:val="001E030A"/>
    <w:rsid w:val="001E11A4"/>
    <w:rsid w:val="001E167C"/>
    <w:rsid w:val="001E20F8"/>
    <w:rsid w:val="001E3428"/>
    <w:rsid w:val="001E40D1"/>
    <w:rsid w:val="001E7D28"/>
    <w:rsid w:val="001F0AC5"/>
    <w:rsid w:val="001F1159"/>
    <w:rsid w:val="001F1400"/>
    <w:rsid w:val="001F2E2A"/>
    <w:rsid w:val="001F3152"/>
    <w:rsid w:val="001F525F"/>
    <w:rsid w:val="001F6CB5"/>
    <w:rsid w:val="001F6E94"/>
    <w:rsid w:val="002014B4"/>
    <w:rsid w:val="002015D6"/>
    <w:rsid w:val="00202275"/>
    <w:rsid w:val="002039AB"/>
    <w:rsid w:val="002061CC"/>
    <w:rsid w:val="00210602"/>
    <w:rsid w:val="00210620"/>
    <w:rsid w:val="00211ECE"/>
    <w:rsid w:val="00213DBC"/>
    <w:rsid w:val="00214F9B"/>
    <w:rsid w:val="0021783D"/>
    <w:rsid w:val="00217B6E"/>
    <w:rsid w:val="00217D48"/>
    <w:rsid w:val="00217EBE"/>
    <w:rsid w:val="0022058C"/>
    <w:rsid w:val="002222D5"/>
    <w:rsid w:val="0022278C"/>
    <w:rsid w:val="00222E68"/>
    <w:rsid w:val="0022352C"/>
    <w:rsid w:val="00223604"/>
    <w:rsid w:val="00223F50"/>
    <w:rsid w:val="00224677"/>
    <w:rsid w:val="00226AFF"/>
    <w:rsid w:val="0022788F"/>
    <w:rsid w:val="00230C75"/>
    <w:rsid w:val="002318BE"/>
    <w:rsid w:val="00232FF9"/>
    <w:rsid w:val="002348DD"/>
    <w:rsid w:val="00234C2A"/>
    <w:rsid w:val="00236046"/>
    <w:rsid w:val="0023D0AD"/>
    <w:rsid w:val="00240602"/>
    <w:rsid w:val="00240A2A"/>
    <w:rsid w:val="00242783"/>
    <w:rsid w:val="00242CB6"/>
    <w:rsid w:val="00243210"/>
    <w:rsid w:val="0024397E"/>
    <w:rsid w:val="0024571B"/>
    <w:rsid w:val="002502B9"/>
    <w:rsid w:val="00250BE9"/>
    <w:rsid w:val="002517A8"/>
    <w:rsid w:val="00251CD3"/>
    <w:rsid w:val="00252BCF"/>
    <w:rsid w:val="00254208"/>
    <w:rsid w:val="00254C21"/>
    <w:rsid w:val="002565B9"/>
    <w:rsid w:val="002578EC"/>
    <w:rsid w:val="002602C0"/>
    <w:rsid w:val="00260D78"/>
    <w:rsid w:val="002611B9"/>
    <w:rsid w:val="00262029"/>
    <w:rsid w:val="00262219"/>
    <w:rsid w:val="002642B2"/>
    <w:rsid w:val="002648E7"/>
    <w:rsid w:val="00264F91"/>
    <w:rsid w:val="00265C05"/>
    <w:rsid w:val="00272702"/>
    <w:rsid w:val="00276DB3"/>
    <w:rsid w:val="00277433"/>
    <w:rsid w:val="0028012C"/>
    <w:rsid w:val="002812CA"/>
    <w:rsid w:val="00283237"/>
    <w:rsid w:val="002846F8"/>
    <w:rsid w:val="00284BE6"/>
    <w:rsid w:val="00285C7F"/>
    <w:rsid w:val="00285CBA"/>
    <w:rsid w:val="002865A1"/>
    <w:rsid w:val="00291285"/>
    <w:rsid w:val="00291357"/>
    <w:rsid w:val="002915D2"/>
    <w:rsid w:val="00293660"/>
    <w:rsid w:val="002947D2"/>
    <w:rsid w:val="00297A44"/>
    <w:rsid w:val="002A0385"/>
    <w:rsid w:val="002A2214"/>
    <w:rsid w:val="002A3986"/>
    <w:rsid w:val="002A40D6"/>
    <w:rsid w:val="002A61CB"/>
    <w:rsid w:val="002A6B39"/>
    <w:rsid w:val="002B1725"/>
    <w:rsid w:val="002B1FE2"/>
    <w:rsid w:val="002B20FA"/>
    <w:rsid w:val="002B4671"/>
    <w:rsid w:val="002B50E2"/>
    <w:rsid w:val="002B75FC"/>
    <w:rsid w:val="002C03FC"/>
    <w:rsid w:val="002C19C0"/>
    <w:rsid w:val="002C1EFE"/>
    <w:rsid w:val="002C2E87"/>
    <w:rsid w:val="002C2F07"/>
    <w:rsid w:val="002C2F5D"/>
    <w:rsid w:val="002C5C1E"/>
    <w:rsid w:val="002C64B2"/>
    <w:rsid w:val="002C6F9C"/>
    <w:rsid w:val="002C7AB8"/>
    <w:rsid w:val="002D0563"/>
    <w:rsid w:val="002D3129"/>
    <w:rsid w:val="002D36C6"/>
    <w:rsid w:val="002D49E9"/>
    <w:rsid w:val="002D5473"/>
    <w:rsid w:val="002D6695"/>
    <w:rsid w:val="002D6EB7"/>
    <w:rsid w:val="002E10B2"/>
    <w:rsid w:val="002E2608"/>
    <w:rsid w:val="002E347D"/>
    <w:rsid w:val="002E59BF"/>
    <w:rsid w:val="002F1C7D"/>
    <w:rsid w:val="002F3611"/>
    <w:rsid w:val="002F36F3"/>
    <w:rsid w:val="002F415F"/>
    <w:rsid w:val="002F6A20"/>
    <w:rsid w:val="002F78E1"/>
    <w:rsid w:val="003017B9"/>
    <w:rsid w:val="0030195D"/>
    <w:rsid w:val="00301AAA"/>
    <w:rsid w:val="00302C97"/>
    <w:rsid w:val="00303BD4"/>
    <w:rsid w:val="00305B20"/>
    <w:rsid w:val="003125D8"/>
    <w:rsid w:val="0031432F"/>
    <w:rsid w:val="0031577B"/>
    <w:rsid w:val="0031684D"/>
    <w:rsid w:val="00316CC9"/>
    <w:rsid w:val="003203CD"/>
    <w:rsid w:val="0032056B"/>
    <w:rsid w:val="00321503"/>
    <w:rsid w:val="00321A28"/>
    <w:rsid w:val="00322742"/>
    <w:rsid w:val="00323C01"/>
    <w:rsid w:val="003258A3"/>
    <w:rsid w:val="00326751"/>
    <w:rsid w:val="003273BA"/>
    <w:rsid w:val="003279EA"/>
    <w:rsid w:val="003300BA"/>
    <w:rsid w:val="00332E78"/>
    <w:rsid w:val="00334334"/>
    <w:rsid w:val="00334830"/>
    <w:rsid w:val="003349A1"/>
    <w:rsid w:val="003414AA"/>
    <w:rsid w:val="00341E11"/>
    <w:rsid w:val="00342311"/>
    <w:rsid w:val="00342B88"/>
    <w:rsid w:val="0034327F"/>
    <w:rsid w:val="003445B7"/>
    <w:rsid w:val="0034497C"/>
    <w:rsid w:val="003469E9"/>
    <w:rsid w:val="00347D71"/>
    <w:rsid w:val="0035090A"/>
    <w:rsid w:val="0035283B"/>
    <w:rsid w:val="003537E9"/>
    <w:rsid w:val="00354A5B"/>
    <w:rsid w:val="0035503A"/>
    <w:rsid w:val="0035543B"/>
    <w:rsid w:val="00355C3A"/>
    <w:rsid w:val="003566AC"/>
    <w:rsid w:val="00360666"/>
    <w:rsid w:val="00360ADE"/>
    <w:rsid w:val="003649A7"/>
    <w:rsid w:val="00366224"/>
    <w:rsid w:val="00366D5F"/>
    <w:rsid w:val="003672B1"/>
    <w:rsid w:val="003701EE"/>
    <w:rsid w:val="00372565"/>
    <w:rsid w:val="00372F87"/>
    <w:rsid w:val="003746E2"/>
    <w:rsid w:val="003749D3"/>
    <w:rsid w:val="00375654"/>
    <w:rsid w:val="003760FE"/>
    <w:rsid w:val="00377022"/>
    <w:rsid w:val="0037771D"/>
    <w:rsid w:val="00380883"/>
    <w:rsid w:val="0038374C"/>
    <w:rsid w:val="00383CD1"/>
    <w:rsid w:val="00383EE3"/>
    <w:rsid w:val="00385272"/>
    <w:rsid w:val="003855EB"/>
    <w:rsid w:val="00386223"/>
    <w:rsid w:val="00387596"/>
    <w:rsid w:val="0039015E"/>
    <w:rsid w:val="0039142F"/>
    <w:rsid w:val="00391A41"/>
    <w:rsid w:val="00391F5A"/>
    <w:rsid w:val="00393F8C"/>
    <w:rsid w:val="003956D3"/>
    <w:rsid w:val="0039577C"/>
    <w:rsid w:val="003A0777"/>
    <w:rsid w:val="003A08CC"/>
    <w:rsid w:val="003A17AD"/>
    <w:rsid w:val="003A4F37"/>
    <w:rsid w:val="003A54B6"/>
    <w:rsid w:val="003A63C9"/>
    <w:rsid w:val="003B0029"/>
    <w:rsid w:val="003B0C43"/>
    <w:rsid w:val="003B0E9F"/>
    <w:rsid w:val="003B12F5"/>
    <w:rsid w:val="003B2C1D"/>
    <w:rsid w:val="003B76B6"/>
    <w:rsid w:val="003C0F83"/>
    <w:rsid w:val="003C16B3"/>
    <w:rsid w:val="003C31C8"/>
    <w:rsid w:val="003C365D"/>
    <w:rsid w:val="003C3C9F"/>
    <w:rsid w:val="003C66B4"/>
    <w:rsid w:val="003D2F04"/>
    <w:rsid w:val="003D4344"/>
    <w:rsid w:val="003D4D48"/>
    <w:rsid w:val="003D510F"/>
    <w:rsid w:val="003D7F40"/>
    <w:rsid w:val="003E01BE"/>
    <w:rsid w:val="003E0CCA"/>
    <w:rsid w:val="003E11B9"/>
    <w:rsid w:val="003E19C9"/>
    <w:rsid w:val="003E3279"/>
    <w:rsid w:val="003E411B"/>
    <w:rsid w:val="003E6C2B"/>
    <w:rsid w:val="003F07B2"/>
    <w:rsid w:val="003F2004"/>
    <w:rsid w:val="003F30B2"/>
    <w:rsid w:val="003F31FA"/>
    <w:rsid w:val="003F5CFF"/>
    <w:rsid w:val="003F6EEC"/>
    <w:rsid w:val="00400689"/>
    <w:rsid w:val="00401557"/>
    <w:rsid w:val="00402580"/>
    <w:rsid w:val="004032BC"/>
    <w:rsid w:val="00403392"/>
    <w:rsid w:val="0040396E"/>
    <w:rsid w:val="00403B8D"/>
    <w:rsid w:val="00404619"/>
    <w:rsid w:val="00405D66"/>
    <w:rsid w:val="00405E23"/>
    <w:rsid w:val="00406B4D"/>
    <w:rsid w:val="00406FDB"/>
    <w:rsid w:val="00410F4B"/>
    <w:rsid w:val="00411A03"/>
    <w:rsid w:val="00413DE8"/>
    <w:rsid w:val="00414B39"/>
    <w:rsid w:val="00417414"/>
    <w:rsid w:val="004208E2"/>
    <w:rsid w:val="004220D5"/>
    <w:rsid w:val="00423A7C"/>
    <w:rsid w:val="004242EE"/>
    <w:rsid w:val="00426212"/>
    <w:rsid w:val="0042743B"/>
    <w:rsid w:val="004301F1"/>
    <w:rsid w:val="004323EF"/>
    <w:rsid w:val="0043346F"/>
    <w:rsid w:val="00433B14"/>
    <w:rsid w:val="0043536D"/>
    <w:rsid w:val="00440A93"/>
    <w:rsid w:val="00440F7F"/>
    <w:rsid w:val="00442841"/>
    <w:rsid w:val="00444703"/>
    <w:rsid w:val="00444D0C"/>
    <w:rsid w:val="00446EF6"/>
    <w:rsid w:val="0044750D"/>
    <w:rsid w:val="004515CE"/>
    <w:rsid w:val="00451CBB"/>
    <w:rsid w:val="00457FE8"/>
    <w:rsid w:val="0046078C"/>
    <w:rsid w:val="00460D20"/>
    <w:rsid w:val="00462F97"/>
    <w:rsid w:val="00463B22"/>
    <w:rsid w:val="0046416B"/>
    <w:rsid w:val="00464A6D"/>
    <w:rsid w:val="004707EC"/>
    <w:rsid w:val="00471935"/>
    <w:rsid w:val="00471A6E"/>
    <w:rsid w:val="00474457"/>
    <w:rsid w:val="00474AB3"/>
    <w:rsid w:val="00475089"/>
    <w:rsid w:val="00475450"/>
    <w:rsid w:val="00475AD5"/>
    <w:rsid w:val="00476872"/>
    <w:rsid w:val="00477EEA"/>
    <w:rsid w:val="00481799"/>
    <w:rsid w:val="0048179A"/>
    <w:rsid w:val="004826CE"/>
    <w:rsid w:val="004836D1"/>
    <w:rsid w:val="00484758"/>
    <w:rsid w:val="00484787"/>
    <w:rsid w:val="00486087"/>
    <w:rsid w:val="0048695A"/>
    <w:rsid w:val="00486FAB"/>
    <w:rsid w:val="004901A6"/>
    <w:rsid w:val="0049158B"/>
    <w:rsid w:val="00491887"/>
    <w:rsid w:val="004923DF"/>
    <w:rsid w:val="0049258C"/>
    <w:rsid w:val="004937A9"/>
    <w:rsid w:val="00497D36"/>
    <w:rsid w:val="00497D3E"/>
    <w:rsid w:val="004A0977"/>
    <w:rsid w:val="004A09BE"/>
    <w:rsid w:val="004A178D"/>
    <w:rsid w:val="004A3F5D"/>
    <w:rsid w:val="004A5D1A"/>
    <w:rsid w:val="004A6DF3"/>
    <w:rsid w:val="004A797C"/>
    <w:rsid w:val="004A7A95"/>
    <w:rsid w:val="004B00A2"/>
    <w:rsid w:val="004B1FF6"/>
    <w:rsid w:val="004B4397"/>
    <w:rsid w:val="004B4BC6"/>
    <w:rsid w:val="004B4CEE"/>
    <w:rsid w:val="004B5398"/>
    <w:rsid w:val="004B73C6"/>
    <w:rsid w:val="004C03E7"/>
    <w:rsid w:val="004C3BDB"/>
    <w:rsid w:val="004C54AA"/>
    <w:rsid w:val="004C70CF"/>
    <w:rsid w:val="004C7A83"/>
    <w:rsid w:val="004D0717"/>
    <w:rsid w:val="004D4DA2"/>
    <w:rsid w:val="004D559F"/>
    <w:rsid w:val="004D6056"/>
    <w:rsid w:val="004D647C"/>
    <w:rsid w:val="004D6564"/>
    <w:rsid w:val="004D73AC"/>
    <w:rsid w:val="004D7939"/>
    <w:rsid w:val="004E2862"/>
    <w:rsid w:val="004E318B"/>
    <w:rsid w:val="004E491F"/>
    <w:rsid w:val="004E4C26"/>
    <w:rsid w:val="004E529B"/>
    <w:rsid w:val="004E67B6"/>
    <w:rsid w:val="004E7202"/>
    <w:rsid w:val="004E7C0C"/>
    <w:rsid w:val="004F0D6F"/>
    <w:rsid w:val="004F1550"/>
    <w:rsid w:val="004F244B"/>
    <w:rsid w:val="004F302B"/>
    <w:rsid w:val="004F3083"/>
    <w:rsid w:val="004F32D2"/>
    <w:rsid w:val="004F4A83"/>
    <w:rsid w:val="004F5AD8"/>
    <w:rsid w:val="004F6B1A"/>
    <w:rsid w:val="005010B9"/>
    <w:rsid w:val="005021B4"/>
    <w:rsid w:val="00502997"/>
    <w:rsid w:val="00504A39"/>
    <w:rsid w:val="0050711E"/>
    <w:rsid w:val="005076CD"/>
    <w:rsid w:val="00511970"/>
    <w:rsid w:val="00511CE2"/>
    <w:rsid w:val="00511F97"/>
    <w:rsid w:val="005129CC"/>
    <w:rsid w:val="00514CDE"/>
    <w:rsid w:val="00514F41"/>
    <w:rsid w:val="0051567F"/>
    <w:rsid w:val="0051625C"/>
    <w:rsid w:val="00516665"/>
    <w:rsid w:val="00517C22"/>
    <w:rsid w:val="00521930"/>
    <w:rsid w:val="00522B76"/>
    <w:rsid w:val="0053238D"/>
    <w:rsid w:val="00532F36"/>
    <w:rsid w:val="00534586"/>
    <w:rsid w:val="00534D37"/>
    <w:rsid w:val="005359AE"/>
    <w:rsid w:val="00536731"/>
    <w:rsid w:val="005368CC"/>
    <w:rsid w:val="0053750D"/>
    <w:rsid w:val="005405B2"/>
    <w:rsid w:val="005425BC"/>
    <w:rsid w:val="00543ECA"/>
    <w:rsid w:val="005455E4"/>
    <w:rsid w:val="00545706"/>
    <w:rsid w:val="005457D2"/>
    <w:rsid w:val="00545AD2"/>
    <w:rsid w:val="00546F74"/>
    <w:rsid w:val="00547FD5"/>
    <w:rsid w:val="005534D4"/>
    <w:rsid w:val="005541A4"/>
    <w:rsid w:val="005541BA"/>
    <w:rsid w:val="00555706"/>
    <w:rsid w:val="00555ABE"/>
    <w:rsid w:val="00557101"/>
    <w:rsid w:val="00557B14"/>
    <w:rsid w:val="0056151F"/>
    <w:rsid w:val="00562864"/>
    <w:rsid w:val="005635DF"/>
    <w:rsid w:val="00564D4E"/>
    <w:rsid w:val="00565749"/>
    <w:rsid w:val="00567D62"/>
    <w:rsid w:val="005707E8"/>
    <w:rsid w:val="00570B8F"/>
    <w:rsid w:val="00571991"/>
    <w:rsid w:val="00572043"/>
    <w:rsid w:val="0057211C"/>
    <w:rsid w:val="005726E0"/>
    <w:rsid w:val="00573D43"/>
    <w:rsid w:val="00577C5A"/>
    <w:rsid w:val="00582BBD"/>
    <w:rsid w:val="00582C7D"/>
    <w:rsid w:val="00584757"/>
    <w:rsid w:val="00586034"/>
    <w:rsid w:val="0058652C"/>
    <w:rsid w:val="005867B8"/>
    <w:rsid w:val="00587DD2"/>
    <w:rsid w:val="005900B0"/>
    <w:rsid w:val="005911D8"/>
    <w:rsid w:val="005927B8"/>
    <w:rsid w:val="00592BCF"/>
    <w:rsid w:val="005935B3"/>
    <w:rsid w:val="00596290"/>
    <w:rsid w:val="00596AC2"/>
    <w:rsid w:val="00596E3A"/>
    <w:rsid w:val="005A2330"/>
    <w:rsid w:val="005A3589"/>
    <w:rsid w:val="005A4F22"/>
    <w:rsid w:val="005B02E4"/>
    <w:rsid w:val="005B03D2"/>
    <w:rsid w:val="005B043B"/>
    <w:rsid w:val="005B2677"/>
    <w:rsid w:val="005C0047"/>
    <w:rsid w:val="005C0173"/>
    <w:rsid w:val="005C03D3"/>
    <w:rsid w:val="005C1B51"/>
    <w:rsid w:val="005C2859"/>
    <w:rsid w:val="005C3CD7"/>
    <w:rsid w:val="005C3DFB"/>
    <w:rsid w:val="005C55F8"/>
    <w:rsid w:val="005C569A"/>
    <w:rsid w:val="005C5BCD"/>
    <w:rsid w:val="005C6039"/>
    <w:rsid w:val="005D23FE"/>
    <w:rsid w:val="005D317C"/>
    <w:rsid w:val="005D4B54"/>
    <w:rsid w:val="005D5ADE"/>
    <w:rsid w:val="005D6314"/>
    <w:rsid w:val="005E35E6"/>
    <w:rsid w:val="005E37F5"/>
    <w:rsid w:val="005E3996"/>
    <w:rsid w:val="005E6267"/>
    <w:rsid w:val="005F0D72"/>
    <w:rsid w:val="005F0E27"/>
    <w:rsid w:val="005F191C"/>
    <w:rsid w:val="005F332B"/>
    <w:rsid w:val="005F3582"/>
    <w:rsid w:val="005F44F4"/>
    <w:rsid w:val="005F49C2"/>
    <w:rsid w:val="005F6100"/>
    <w:rsid w:val="005F6793"/>
    <w:rsid w:val="005F694C"/>
    <w:rsid w:val="00600A46"/>
    <w:rsid w:val="00600AF2"/>
    <w:rsid w:val="00600CBB"/>
    <w:rsid w:val="006014B6"/>
    <w:rsid w:val="00603199"/>
    <w:rsid w:val="006038A1"/>
    <w:rsid w:val="0060505D"/>
    <w:rsid w:val="00605649"/>
    <w:rsid w:val="00605C13"/>
    <w:rsid w:val="006076AB"/>
    <w:rsid w:val="00610758"/>
    <w:rsid w:val="00611166"/>
    <w:rsid w:val="00611198"/>
    <w:rsid w:val="00612012"/>
    <w:rsid w:val="00612402"/>
    <w:rsid w:val="00612ADC"/>
    <w:rsid w:val="006169C9"/>
    <w:rsid w:val="00617076"/>
    <w:rsid w:val="00620D6D"/>
    <w:rsid w:val="00621B4F"/>
    <w:rsid w:val="006222C8"/>
    <w:rsid w:val="00623369"/>
    <w:rsid w:val="006242E2"/>
    <w:rsid w:val="00624CFD"/>
    <w:rsid w:val="006259FB"/>
    <w:rsid w:val="006272D6"/>
    <w:rsid w:val="00631BD1"/>
    <w:rsid w:val="00632BBF"/>
    <w:rsid w:val="006339BD"/>
    <w:rsid w:val="00634BAC"/>
    <w:rsid w:val="006368F7"/>
    <w:rsid w:val="006405D7"/>
    <w:rsid w:val="006406EC"/>
    <w:rsid w:val="0064142D"/>
    <w:rsid w:val="006415D7"/>
    <w:rsid w:val="00641D94"/>
    <w:rsid w:val="0064794A"/>
    <w:rsid w:val="00651EF8"/>
    <w:rsid w:val="0065255E"/>
    <w:rsid w:val="00652E24"/>
    <w:rsid w:val="006532C6"/>
    <w:rsid w:val="006541CA"/>
    <w:rsid w:val="00654AFE"/>
    <w:rsid w:val="00655234"/>
    <w:rsid w:val="00655509"/>
    <w:rsid w:val="0065763E"/>
    <w:rsid w:val="00661937"/>
    <w:rsid w:val="0066202E"/>
    <w:rsid w:val="00662607"/>
    <w:rsid w:val="00662D88"/>
    <w:rsid w:val="00663CC6"/>
    <w:rsid w:val="00663D5A"/>
    <w:rsid w:val="0066502C"/>
    <w:rsid w:val="00665502"/>
    <w:rsid w:val="00666B1B"/>
    <w:rsid w:val="0066735A"/>
    <w:rsid w:val="00670C8E"/>
    <w:rsid w:val="00671589"/>
    <w:rsid w:val="006736DB"/>
    <w:rsid w:val="00673CEC"/>
    <w:rsid w:val="00673E17"/>
    <w:rsid w:val="00674BD0"/>
    <w:rsid w:val="0067579B"/>
    <w:rsid w:val="00675F6F"/>
    <w:rsid w:val="006779EB"/>
    <w:rsid w:val="00680694"/>
    <w:rsid w:val="00680831"/>
    <w:rsid w:val="00682647"/>
    <w:rsid w:val="00684D81"/>
    <w:rsid w:val="00684EC7"/>
    <w:rsid w:val="00686947"/>
    <w:rsid w:val="006873A7"/>
    <w:rsid w:val="00687842"/>
    <w:rsid w:val="00687D32"/>
    <w:rsid w:val="006917C6"/>
    <w:rsid w:val="00692069"/>
    <w:rsid w:val="006955B8"/>
    <w:rsid w:val="00696DDA"/>
    <w:rsid w:val="00697884"/>
    <w:rsid w:val="006A0331"/>
    <w:rsid w:val="006A05F4"/>
    <w:rsid w:val="006A1390"/>
    <w:rsid w:val="006A2AD5"/>
    <w:rsid w:val="006A361D"/>
    <w:rsid w:val="006A47AB"/>
    <w:rsid w:val="006A5A6C"/>
    <w:rsid w:val="006A5FAB"/>
    <w:rsid w:val="006A63A8"/>
    <w:rsid w:val="006A7C43"/>
    <w:rsid w:val="006B0554"/>
    <w:rsid w:val="006B1BB5"/>
    <w:rsid w:val="006B1FA9"/>
    <w:rsid w:val="006B2AC0"/>
    <w:rsid w:val="006B320C"/>
    <w:rsid w:val="006B5015"/>
    <w:rsid w:val="006B5BF0"/>
    <w:rsid w:val="006B6BCB"/>
    <w:rsid w:val="006C1891"/>
    <w:rsid w:val="006C1BFF"/>
    <w:rsid w:val="006C21BD"/>
    <w:rsid w:val="006C3212"/>
    <w:rsid w:val="006C4130"/>
    <w:rsid w:val="006C4A17"/>
    <w:rsid w:val="006C4B8D"/>
    <w:rsid w:val="006C5397"/>
    <w:rsid w:val="006C62AD"/>
    <w:rsid w:val="006C6351"/>
    <w:rsid w:val="006C6E32"/>
    <w:rsid w:val="006C6EB0"/>
    <w:rsid w:val="006C7109"/>
    <w:rsid w:val="006D0CB9"/>
    <w:rsid w:val="006D0FF1"/>
    <w:rsid w:val="006D134A"/>
    <w:rsid w:val="006D42F4"/>
    <w:rsid w:val="006D46C7"/>
    <w:rsid w:val="006D59B9"/>
    <w:rsid w:val="006D6ACB"/>
    <w:rsid w:val="006E0CB5"/>
    <w:rsid w:val="006E1C57"/>
    <w:rsid w:val="006E28C7"/>
    <w:rsid w:val="006E409D"/>
    <w:rsid w:val="006E7531"/>
    <w:rsid w:val="006F0A18"/>
    <w:rsid w:val="006F36F5"/>
    <w:rsid w:val="006F6BFA"/>
    <w:rsid w:val="006F6FBD"/>
    <w:rsid w:val="007001BD"/>
    <w:rsid w:val="00700F8C"/>
    <w:rsid w:val="0070121B"/>
    <w:rsid w:val="00701763"/>
    <w:rsid w:val="00701ED0"/>
    <w:rsid w:val="007042BF"/>
    <w:rsid w:val="0070530E"/>
    <w:rsid w:val="0070530F"/>
    <w:rsid w:val="0070616B"/>
    <w:rsid w:val="0070700D"/>
    <w:rsid w:val="00710AD4"/>
    <w:rsid w:val="00710B23"/>
    <w:rsid w:val="00710DB8"/>
    <w:rsid w:val="007117D7"/>
    <w:rsid w:val="00712161"/>
    <w:rsid w:val="00713223"/>
    <w:rsid w:val="00714180"/>
    <w:rsid w:val="007170B3"/>
    <w:rsid w:val="00717F86"/>
    <w:rsid w:val="00720B3E"/>
    <w:rsid w:val="0072304E"/>
    <w:rsid w:val="007239D0"/>
    <w:rsid w:val="00723B31"/>
    <w:rsid w:val="00723FA9"/>
    <w:rsid w:val="00724E12"/>
    <w:rsid w:val="0072578C"/>
    <w:rsid w:val="007260A5"/>
    <w:rsid w:val="007261DE"/>
    <w:rsid w:val="007268E0"/>
    <w:rsid w:val="007275F3"/>
    <w:rsid w:val="00732A8B"/>
    <w:rsid w:val="00732D6B"/>
    <w:rsid w:val="007338A5"/>
    <w:rsid w:val="00733A1D"/>
    <w:rsid w:val="007346A9"/>
    <w:rsid w:val="00734742"/>
    <w:rsid w:val="00735970"/>
    <w:rsid w:val="00741794"/>
    <w:rsid w:val="007435ED"/>
    <w:rsid w:val="00743DC3"/>
    <w:rsid w:val="0074676B"/>
    <w:rsid w:val="00750909"/>
    <w:rsid w:val="00751519"/>
    <w:rsid w:val="00752EFD"/>
    <w:rsid w:val="00752FC0"/>
    <w:rsid w:val="00754378"/>
    <w:rsid w:val="00756306"/>
    <w:rsid w:val="00756A1E"/>
    <w:rsid w:val="00756DD7"/>
    <w:rsid w:val="00757FCA"/>
    <w:rsid w:val="00760970"/>
    <w:rsid w:val="007614D7"/>
    <w:rsid w:val="00761E83"/>
    <w:rsid w:val="00766A08"/>
    <w:rsid w:val="00766EAB"/>
    <w:rsid w:val="00767029"/>
    <w:rsid w:val="00767557"/>
    <w:rsid w:val="00767A60"/>
    <w:rsid w:val="00770A79"/>
    <w:rsid w:val="00771E36"/>
    <w:rsid w:val="00775096"/>
    <w:rsid w:val="007760F6"/>
    <w:rsid w:val="00780311"/>
    <w:rsid w:val="00780A94"/>
    <w:rsid w:val="0078153F"/>
    <w:rsid w:val="007823E4"/>
    <w:rsid w:val="00782B3D"/>
    <w:rsid w:val="00782CC6"/>
    <w:rsid w:val="00783902"/>
    <w:rsid w:val="00784E07"/>
    <w:rsid w:val="0078602D"/>
    <w:rsid w:val="00786C3E"/>
    <w:rsid w:val="00787B4F"/>
    <w:rsid w:val="007908CD"/>
    <w:rsid w:val="00790D8E"/>
    <w:rsid w:val="00790E4E"/>
    <w:rsid w:val="00790E84"/>
    <w:rsid w:val="007916ED"/>
    <w:rsid w:val="007929DC"/>
    <w:rsid w:val="00794BA3"/>
    <w:rsid w:val="00795A91"/>
    <w:rsid w:val="0079684D"/>
    <w:rsid w:val="00796D9A"/>
    <w:rsid w:val="007A0791"/>
    <w:rsid w:val="007A0E90"/>
    <w:rsid w:val="007A142E"/>
    <w:rsid w:val="007A237E"/>
    <w:rsid w:val="007A44EF"/>
    <w:rsid w:val="007A6D77"/>
    <w:rsid w:val="007A73C9"/>
    <w:rsid w:val="007A73FB"/>
    <w:rsid w:val="007B065A"/>
    <w:rsid w:val="007B2D69"/>
    <w:rsid w:val="007B37EC"/>
    <w:rsid w:val="007B48A3"/>
    <w:rsid w:val="007B4DCD"/>
    <w:rsid w:val="007B50E2"/>
    <w:rsid w:val="007B51AD"/>
    <w:rsid w:val="007B52ED"/>
    <w:rsid w:val="007B5685"/>
    <w:rsid w:val="007B5F5D"/>
    <w:rsid w:val="007C003F"/>
    <w:rsid w:val="007C06F7"/>
    <w:rsid w:val="007C07E3"/>
    <w:rsid w:val="007C2850"/>
    <w:rsid w:val="007C3EF2"/>
    <w:rsid w:val="007C42BB"/>
    <w:rsid w:val="007C4BB5"/>
    <w:rsid w:val="007C7815"/>
    <w:rsid w:val="007D286B"/>
    <w:rsid w:val="007D4901"/>
    <w:rsid w:val="007D50A6"/>
    <w:rsid w:val="007D6810"/>
    <w:rsid w:val="007D7AC2"/>
    <w:rsid w:val="007E0185"/>
    <w:rsid w:val="007E0CA5"/>
    <w:rsid w:val="007E1C1C"/>
    <w:rsid w:val="007E2521"/>
    <w:rsid w:val="007E261A"/>
    <w:rsid w:val="007E2E93"/>
    <w:rsid w:val="007E3C96"/>
    <w:rsid w:val="007E4AE9"/>
    <w:rsid w:val="007E4CF4"/>
    <w:rsid w:val="007E59E1"/>
    <w:rsid w:val="007E5BBD"/>
    <w:rsid w:val="007E5FCD"/>
    <w:rsid w:val="007E65FB"/>
    <w:rsid w:val="007E67A4"/>
    <w:rsid w:val="007E69FD"/>
    <w:rsid w:val="007E728B"/>
    <w:rsid w:val="007F15B3"/>
    <w:rsid w:val="007F177D"/>
    <w:rsid w:val="007F247D"/>
    <w:rsid w:val="007F2BB2"/>
    <w:rsid w:val="007F40AD"/>
    <w:rsid w:val="007F4D38"/>
    <w:rsid w:val="007F699F"/>
    <w:rsid w:val="007F7424"/>
    <w:rsid w:val="00800633"/>
    <w:rsid w:val="008007FD"/>
    <w:rsid w:val="00800C70"/>
    <w:rsid w:val="00801488"/>
    <w:rsid w:val="008019F2"/>
    <w:rsid w:val="00801A78"/>
    <w:rsid w:val="00801BFB"/>
    <w:rsid w:val="00802925"/>
    <w:rsid w:val="00804702"/>
    <w:rsid w:val="00804ABC"/>
    <w:rsid w:val="00806D01"/>
    <w:rsid w:val="00806DF1"/>
    <w:rsid w:val="00810967"/>
    <w:rsid w:val="008115A4"/>
    <w:rsid w:val="008119B1"/>
    <w:rsid w:val="00814CAF"/>
    <w:rsid w:val="00816357"/>
    <w:rsid w:val="008177FB"/>
    <w:rsid w:val="00817A6E"/>
    <w:rsid w:val="008209FC"/>
    <w:rsid w:val="0082144F"/>
    <w:rsid w:val="008239C3"/>
    <w:rsid w:val="008241F3"/>
    <w:rsid w:val="00824250"/>
    <w:rsid w:val="00824981"/>
    <w:rsid w:val="00825302"/>
    <w:rsid w:val="00825753"/>
    <w:rsid w:val="008276E4"/>
    <w:rsid w:val="00830D8E"/>
    <w:rsid w:val="00831136"/>
    <w:rsid w:val="00831B0F"/>
    <w:rsid w:val="00831D4E"/>
    <w:rsid w:val="00833792"/>
    <w:rsid w:val="00835D4B"/>
    <w:rsid w:val="00836C5B"/>
    <w:rsid w:val="008411E7"/>
    <w:rsid w:val="008415D7"/>
    <w:rsid w:val="00846AEA"/>
    <w:rsid w:val="00851190"/>
    <w:rsid w:val="00852AED"/>
    <w:rsid w:val="00853C27"/>
    <w:rsid w:val="008540BB"/>
    <w:rsid w:val="00854FFE"/>
    <w:rsid w:val="00856DCA"/>
    <w:rsid w:val="00861366"/>
    <w:rsid w:val="00864C2D"/>
    <w:rsid w:val="00870009"/>
    <w:rsid w:val="00870904"/>
    <w:rsid w:val="008713E1"/>
    <w:rsid w:val="008720BC"/>
    <w:rsid w:val="0087284A"/>
    <w:rsid w:val="00872A48"/>
    <w:rsid w:val="0087569D"/>
    <w:rsid w:val="008813F7"/>
    <w:rsid w:val="008819BC"/>
    <w:rsid w:val="00882DF6"/>
    <w:rsid w:val="00882EC3"/>
    <w:rsid w:val="00884C99"/>
    <w:rsid w:val="0088676D"/>
    <w:rsid w:val="00886EE4"/>
    <w:rsid w:val="00887020"/>
    <w:rsid w:val="008870E8"/>
    <w:rsid w:val="00887259"/>
    <w:rsid w:val="00890439"/>
    <w:rsid w:val="00890CEC"/>
    <w:rsid w:val="00891892"/>
    <w:rsid w:val="00893384"/>
    <w:rsid w:val="00893812"/>
    <w:rsid w:val="00895A6F"/>
    <w:rsid w:val="0089661F"/>
    <w:rsid w:val="008976C2"/>
    <w:rsid w:val="00897AE8"/>
    <w:rsid w:val="008A0376"/>
    <w:rsid w:val="008A086E"/>
    <w:rsid w:val="008A1DC1"/>
    <w:rsid w:val="008A23A2"/>
    <w:rsid w:val="008A439F"/>
    <w:rsid w:val="008A4AF8"/>
    <w:rsid w:val="008A4CE1"/>
    <w:rsid w:val="008A4F79"/>
    <w:rsid w:val="008A5D48"/>
    <w:rsid w:val="008A7F9E"/>
    <w:rsid w:val="008B3038"/>
    <w:rsid w:val="008B3919"/>
    <w:rsid w:val="008B423E"/>
    <w:rsid w:val="008B4EE0"/>
    <w:rsid w:val="008B5A14"/>
    <w:rsid w:val="008B6D21"/>
    <w:rsid w:val="008B7B29"/>
    <w:rsid w:val="008C1845"/>
    <w:rsid w:val="008C2A5E"/>
    <w:rsid w:val="008C30B2"/>
    <w:rsid w:val="008C3B1C"/>
    <w:rsid w:val="008C4ACB"/>
    <w:rsid w:val="008C5EAF"/>
    <w:rsid w:val="008C7C49"/>
    <w:rsid w:val="008D04E0"/>
    <w:rsid w:val="008D42C1"/>
    <w:rsid w:val="008D5C3F"/>
    <w:rsid w:val="008D6F17"/>
    <w:rsid w:val="008E0FED"/>
    <w:rsid w:val="008E2A01"/>
    <w:rsid w:val="008E354E"/>
    <w:rsid w:val="008E416F"/>
    <w:rsid w:val="008E5B07"/>
    <w:rsid w:val="008E6E40"/>
    <w:rsid w:val="008F056C"/>
    <w:rsid w:val="008F1147"/>
    <w:rsid w:val="008F18B8"/>
    <w:rsid w:val="008F20E2"/>
    <w:rsid w:val="008F2530"/>
    <w:rsid w:val="008F436E"/>
    <w:rsid w:val="008F4765"/>
    <w:rsid w:val="008F477A"/>
    <w:rsid w:val="008F47CE"/>
    <w:rsid w:val="008F5487"/>
    <w:rsid w:val="008F7840"/>
    <w:rsid w:val="0090115E"/>
    <w:rsid w:val="00902C2A"/>
    <w:rsid w:val="0090334D"/>
    <w:rsid w:val="0090373E"/>
    <w:rsid w:val="00904B3C"/>
    <w:rsid w:val="00904FBF"/>
    <w:rsid w:val="0090560E"/>
    <w:rsid w:val="00906377"/>
    <w:rsid w:val="0091035E"/>
    <w:rsid w:val="009103E7"/>
    <w:rsid w:val="00911193"/>
    <w:rsid w:val="0091238F"/>
    <w:rsid w:val="00913EA1"/>
    <w:rsid w:val="0091504C"/>
    <w:rsid w:val="00915E91"/>
    <w:rsid w:val="009160AA"/>
    <w:rsid w:val="0091622F"/>
    <w:rsid w:val="009173E3"/>
    <w:rsid w:val="009173E4"/>
    <w:rsid w:val="00917B83"/>
    <w:rsid w:val="0092136F"/>
    <w:rsid w:val="00923677"/>
    <w:rsid w:val="00925D57"/>
    <w:rsid w:val="009263DD"/>
    <w:rsid w:val="0093303B"/>
    <w:rsid w:val="0093601E"/>
    <w:rsid w:val="00936EA5"/>
    <w:rsid w:val="009376CA"/>
    <w:rsid w:val="00937855"/>
    <w:rsid w:val="00937BD4"/>
    <w:rsid w:val="00940ACB"/>
    <w:rsid w:val="00940BA9"/>
    <w:rsid w:val="00940F21"/>
    <w:rsid w:val="0094256D"/>
    <w:rsid w:val="009430A4"/>
    <w:rsid w:val="0094370A"/>
    <w:rsid w:val="0094371D"/>
    <w:rsid w:val="009449E3"/>
    <w:rsid w:val="009451FC"/>
    <w:rsid w:val="00945B01"/>
    <w:rsid w:val="00946910"/>
    <w:rsid w:val="0094692F"/>
    <w:rsid w:val="00947862"/>
    <w:rsid w:val="0095086D"/>
    <w:rsid w:val="00951FBF"/>
    <w:rsid w:val="00952CFA"/>
    <w:rsid w:val="00956E33"/>
    <w:rsid w:val="00956F9E"/>
    <w:rsid w:val="00964C20"/>
    <w:rsid w:val="0096706A"/>
    <w:rsid w:val="00967233"/>
    <w:rsid w:val="00967E9E"/>
    <w:rsid w:val="00970CAE"/>
    <w:rsid w:val="00971225"/>
    <w:rsid w:val="009725F1"/>
    <w:rsid w:val="00972A81"/>
    <w:rsid w:val="00973A21"/>
    <w:rsid w:val="0097418F"/>
    <w:rsid w:val="00974529"/>
    <w:rsid w:val="00974980"/>
    <w:rsid w:val="00977DD1"/>
    <w:rsid w:val="00980A06"/>
    <w:rsid w:val="00981414"/>
    <w:rsid w:val="009855DC"/>
    <w:rsid w:val="009877A0"/>
    <w:rsid w:val="00987E46"/>
    <w:rsid w:val="009904F3"/>
    <w:rsid w:val="0099250D"/>
    <w:rsid w:val="0099644F"/>
    <w:rsid w:val="009965C8"/>
    <w:rsid w:val="00997527"/>
    <w:rsid w:val="009A01A7"/>
    <w:rsid w:val="009A04AB"/>
    <w:rsid w:val="009A0FDC"/>
    <w:rsid w:val="009A15B4"/>
    <w:rsid w:val="009A2257"/>
    <w:rsid w:val="009A6695"/>
    <w:rsid w:val="009A67D6"/>
    <w:rsid w:val="009A7E24"/>
    <w:rsid w:val="009B060F"/>
    <w:rsid w:val="009B0807"/>
    <w:rsid w:val="009B099B"/>
    <w:rsid w:val="009B0B3E"/>
    <w:rsid w:val="009B126C"/>
    <w:rsid w:val="009B147C"/>
    <w:rsid w:val="009B1B34"/>
    <w:rsid w:val="009B22DE"/>
    <w:rsid w:val="009B2CDE"/>
    <w:rsid w:val="009B3F83"/>
    <w:rsid w:val="009B4837"/>
    <w:rsid w:val="009B4B1E"/>
    <w:rsid w:val="009B4B73"/>
    <w:rsid w:val="009B5119"/>
    <w:rsid w:val="009B6609"/>
    <w:rsid w:val="009B68A3"/>
    <w:rsid w:val="009B69D9"/>
    <w:rsid w:val="009B6B83"/>
    <w:rsid w:val="009B6E8B"/>
    <w:rsid w:val="009B7214"/>
    <w:rsid w:val="009C40F0"/>
    <w:rsid w:val="009C5E30"/>
    <w:rsid w:val="009C6B9F"/>
    <w:rsid w:val="009C7281"/>
    <w:rsid w:val="009D0D62"/>
    <w:rsid w:val="009D118E"/>
    <w:rsid w:val="009D1745"/>
    <w:rsid w:val="009D1CD4"/>
    <w:rsid w:val="009D3557"/>
    <w:rsid w:val="009D35E5"/>
    <w:rsid w:val="009D407D"/>
    <w:rsid w:val="009D606A"/>
    <w:rsid w:val="009D693D"/>
    <w:rsid w:val="009E0CB5"/>
    <w:rsid w:val="009E2317"/>
    <w:rsid w:val="009E2B63"/>
    <w:rsid w:val="009E2EEF"/>
    <w:rsid w:val="009E306B"/>
    <w:rsid w:val="009E42F3"/>
    <w:rsid w:val="009E4D28"/>
    <w:rsid w:val="009E5BC5"/>
    <w:rsid w:val="009E6A55"/>
    <w:rsid w:val="009F26C1"/>
    <w:rsid w:val="009F3268"/>
    <w:rsid w:val="009F42AA"/>
    <w:rsid w:val="009F6CFE"/>
    <w:rsid w:val="00A02570"/>
    <w:rsid w:val="00A07C72"/>
    <w:rsid w:val="00A103D1"/>
    <w:rsid w:val="00A12B86"/>
    <w:rsid w:val="00A13584"/>
    <w:rsid w:val="00A1438C"/>
    <w:rsid w:val="00A16E50"/>
    <w:rsid w:val="00A1701E"/>
    <w:rsid w:val="00A17857"/>
    <w:rsid w:val="00A20929"/>
    <w:rsid w:val="00A212CD"/>
    <w:rsid w:val="00A24D39"/>
    <w:rsid w:val="00A26058"/>
    <w:rsid w:val="00A27623"/>
    <w:rsid w:val="00A27AE9"/>
    <w:rsid w:val="00A30E71"/>
    <w:rsid w:val="00A32DE2"/>
    <w:rsid w:val="00A3432B"/>
    <w:rsid w:val="00A34419"/>
    <w:rsid w:val="00A3462F"/>
    <w:rsid w:val="00A37E80"/>
    <w:rsid w:val="00A41375"/>
    <w:rsid w:val="00A41EE4"/>
    <w:rsid w:val="00A42449"/>
    <w:rsid w:val="00A428C7"/>
    <w:rsid w:val="00A43FCE"/>
    <w:rsid w:val="00A45C75"/>
    <w:rsid w:val="00A46B4B"/>
    <w:rsid w:val="00A47D87"/>
    <w:rsid w:val="00A50206"/>
    <w:rsid w:val="00A509BB"/>
    <w:rsid w:val="00A50DC2"/>
    <w:rsid w:val="00A516AE"/>
    <w:rsid w:val="00A51B77"/>
    <w:rsid w:val="00A54ECC"/>
    <w:rsid w:val="00A55C0A"/>
    <w:rsid w:val="00A6052B"/>
    <w:rsid w:val="00A60C45"/>
    <w:rsid w:val="00A6279B"/>
    <w:rsid w:val="00A63856"/>
    <w:rsid w:val="00A66850"/>
    <w:rsid w:val="00A67105"/>
    <w:rsid w:val="00A675AA"/>
    <w:rsid w:val="00A742F2"/>
    <w:rsid w:val="00A77B1A"/>
    <w:rsid w:val="00A8351A"/>
    <w:rsid w:val="00A84CBC"/>
    <w:rsid w:val="00A854E8"/>
    <w:rsid w:val="00A85A1A"/>
    <w:rsid w:val="00A8615C"/>
    <w:rsid w:val="00A86377"/>
    <w:rsid w:val="00A86865"/>
    <w:rsid w:val="00A86B69"/>
    <w:rsid w:val="00A87C22"/>
    <w:rsid w:val="00A91280"/>
    <w:rsid w:val="00A92EE7"/>
    <w:rsid w:val="00A93ECE"/>
    <w:rsid w:val="00A94101"/>
    <w:rsid w:val="00A959CB"/>
    <w:rsid w:val="00A95E58"/>
    <w:rsid w:val="00A9666E"/>
    <w:rsid w:val="00A96743"/>
    <w:rsid w:val="00A96A3E"/>
    <w:rsid w:val="00AA0C3C"/>
    <w:rsid w:val="00AA2075"/>
    <w:rsid w:val="00AA2265"/>
    <w:rsid w:val="00AA2C09"/>
    <w:rsid w:val="00AA4BBC"/>
    <w:rsid w:val="00AA685C"/>
    <w:rsid w:val="00AA68D3"/>
    <w:rsid w:val="00AA70B0"/>
    <w:rsid w:val="00AB0141"/>
    <w:rsid w:val="00AB1049"/>
    <w:rsid w:val="00AB1086"/>
    <w:rsid w:val="00AB1C5D"/>
    <w:rsid w:val="00AB74AE"/>
    <w:rsid w:val="00AC13FD"/>
    <w:rsid w:val="00AC48B2"/>
    <w:rsid w:val="00AD09BB"/>
    <w:rsid w:val="00AD0E70"/>
    <w:rsid w:val="00AD128F"/>
    <w:rsid w:val="00AD4728"/>
    <w:rsid w:val="00AD56A2"/>
    <w:rsid w:val="00AD5F5F"/>
    <w:rsid w:val="00AD6376"/>
    <w:rsid w:val="00AD6A87"/>
    <w:rsid w:val="00AD7045"/>
    <w:rsid w:val="00AE24DD"/>
    <w:rsid w:val="00AE25A5"/>
    <w:rsid w:val="00AE2BA4"/>
    <w:rsid w:val="00AE2EB3"/>
    <w:rsid w:val="00AE3AA6"/>
    <w:rsid w:val="00AE6113"/>
    <w:rsid w:val="00AE6B31"/>
    <w:rsid w:val="00AE79F9"/>
    <w:rsid w:val="00AF1691"/>
    <w:rsid w:val="00AF1765"/>
    <w:rsid w:val="00AF2C95"/>
    <w:rsid w:val="00AF2DA6"/>
    <w:rsid w:val="00AF4ADC"/>
    <w:rsid w:val="00AF4C19"/>
    <w:rsid w:val="00AF5449"/>
    <w:rsid w:val="00AF6EE5"/>
    <w:rsid w:val="00B022DF"/>
    <w:rsid w:val="00B03E7A"/>
    <w:rsid w:val="00B04580"/>
    <w:rsid w:val="00B054CE"/>
    <w:rsid w:val="00B054F4"/>
    <w:rsid w:val="00B05E80"/>
    <w:rsid w:val="00B062E1"/>
    <w:rsid w:val="00B06888"/>
    <w:rsid w:val="00B06CF9"/>
    <w:rsid w:val="00B071E9"/>
    <w:rsid w:val="00B073E9"/>
    <w:rsid w:val="00B079C1"/>
    <w:rsid w:val="00B101A0"/>
    <w:rsid w:val="00B101AE"/>
    <w:rsid w:val="00B1048E"/>
    <w:rsid w:val="00B10635"/>
    <w:rsid w:val="00B12F2D"/>
    <w:rsid w:val="00B13120"/>
    <w:rsid w:val="00B13C41"/>
    <w:rsid w:val="00B15642"/>
    <w:rsid w:val="00B15753"/>
    <w:rsid w:val="00B16CAF"/>
    <w:rsid w:val="00B17132"/>
    <w:rsid w:val="00B177B6"/>
    <w:rsid w:val="00B21AD9"/>
    <w:rsid w:val="00B21E55"/>
    <w:rsid w:val="00B23D0E"/>
    <w:rsid w:val="00B24989"/>
    <w:rsid w:val="00B2779E"/>
    <w:rsid w:val="00B27FDB"/>
    <w:rsid w:val="00B30AE8"/>
    <w:rsid w:val="00B31968"/>
    <w:rsid w:val="00B31AF4"/>
    <w:rsid w:val="00B31EDD"/>
    <w:rsid w:val="00B3265E"/>
    <w:rsid w:val="00B3389D"/>
    <w:rsid w:val="00B33A91"/>
    <w:rsid w:val="00B34397"/>
    <w:rsid w:val="00B372C6"/>
    <w:rsid w:val="00B400A2"/>
    <w:rsid w:val="00B4170D"/>
    <w:rsid w:val="00B41957"/>
    <w:rsid w:val="00B438E6"/>
    <w:rsid w:val="00B43C78"/>
    <w:rsid w:val="00B43FD1"/>
    <w:rsid w:val="00B43FDA"/>
    <w:rsid w:val="00B44384"/>
    <w:rsid w:val="00B461D0"/>
    <w:rsid w:val="00B47869"/>
    <w:rsid w:val="00B51468"/>
    <w:rsid w:val="00B51645"/>
    <w:rsid w:val="00B5233C"/>
    <w:rsid w:val="00B529FC"/>
    <w:rsid w:val="00B52CB1"/>
    <w:rsid w:val="00B52F36"/>
    <w:rsid w:val="00B57CA2"/>
    <w:rsid w:val="00B602A6"/>
    <w:rsid w:val="00B6144C"/>
    <w:rsid w:val="00B62BC6"/>
    <w:rsid w:val="00B62C19"/>
    <w:rsid w:val="00B63081"/>
    <w:rsid w:val="00B63D7A"/>
    <w:rsid w:val="00B646C2"/>
    <w:rsid w:val="00B651FE"/>
    <w:rsid w:val="00B66165"/>
    <w:rsid w:val="00B669BC"/>
    <w:rsid w:val="00B672CE"/>
    <w:rsid w:val="00B677E0"/>
    <w:rsid w:val="00B67E58"/>
    <w:rsid w:val="00B706D2"/>
    <w:rsid w:val="00B719F8"/>
    <w:rsid w:val="00B7266C"/>
    <w:rsid w:val="00B7275D"/>
    <w:rsid w:val="00B7371F"/>
    <w:rsid w:val="00B73E75"/>
    <w:rsid w:val="00B752FC"/>
    <w:rsid w:val="00B80966"/>
    <w:rsid w:val="00B82E90"/>
    <w:rsid w:val="00B844DE"/>
    <w:rsid w:val="00B84919"/>
    <w:rsid w:val="00B877A3"/>
    <w:rsid w:val="00B877B1"/>
    <w:rsid w:val="00B90BCB"/>
    <w:rsid w:val="00B916C8"/>
    <w:rsid w:val="00B9217A"/>
    <w:rsid w:val="00B932E5"/>
    <w:rsid w:val="00B95A38"/>
    <w:rsid w:val="00B96523"/>
    <w:rsid w:val="00B969CA"/>
    <w:rsid w:val="00B9740E"/>
    <w:rsid w:val="00B978D0"/>
    <w:rsid w:val="00BA0859"/>
    <w:rsid w:val="00BA197F"/>
    <w:rsid w:val="00BA2AA9"/>
    <w:rsid w:val="00BA31C0"/>
    <w:rsid w:val="00BA3BDA"/>
    <w:rsid w:val="00BA5421"/>
    <w:rsid w:val="00BA56B0"/>
    <w:rsid w:val="00BA5F37"/>
    <w:rsid w:val="00BA70E4"/>
    <w:rsid w:val="00BB1A78"/>
    <w:rsid w:val="00BB4A2D"/>
    <w:rsid w:val="00BB4DF7"/>
    <w:rsid w:val="00BB4F58"/>
    <w:rsid w:val="00BB573F"/>
    <w:rsid w:val="00BC0578"/>
    <w:rsid w:val="00BC1C46"/>
    <w:rsid w:val="00BC1DFC"/>
    <w:rsid w:val="00BC1F2D"/>
    <w:rsid w:val="00BC2C29"/>
    <w:rsid w:val="00BC31E4"/>
    <w:rsid w:val="00BC3EE2"/>
    <w:rsid w:val="00BC495A"/>
    <w:rsid w:val="00BC4C62"/>
    <w:rsid w:val="00BC7A81"/>
    <w:rsid w:val="00BC7C47"/>
    <w:rsid w:val="00BD120F"/>
    <w:rsid w:val="00BD2C00"/>
    <w:rsid w:val="00BD359D"/>
    <w:rsid w:val="00BD6D4D"/>
    <w:rsid w:val="00BE1859"/>
    <w:rsid w:val="00BE2204"/>
    <w:rsid w:val="00BE286C"/>
    <w:rsid w:val="00BE38F8"/>
    <w:rsid w:val="00BE3C08"/>
    <w:rsid w:val="00BE45D7"/>
    <w:rsid w:val="00BE777A"/>
    <w:rsid w:val="00BF199F"/>
    <w:rsid w:val="00BF229F"/>
    <w:rsid w:val="00BF3A67"/>
    <w:rsid w:val="00BF4B23"/>
    <w:rsid w:val="00BF5E18"/>
    <w:rsid w:val="00BF6A64"/>
    <w:rsid w:val="00C00AE8"/>
    <w:rsid w:val="00C019E8"/>
    <w:rsid w:val="00C01BA7"/>
    <w:rsid w:val="00C10C71"/>
    <w:rsid w:val="00C10EBD"/>
    <w:rsid w:val="00C10F09"/>
    <w:rsid w:val="00C11284"/>
    <w:rsid w:val="00C12B93"/>
    <w:rsid w:val="00C1481B"/>
    <w:rsid w:val="00C15B9E"/>
    <w:rsid w:val="00C17544"/>
    <w:rsid w:val="00C1777E"/>
    <w:rsid w:val="00C177DE"/>
    <w:rsid w:val="00C2154B"/>
    <w:rsid w:val="00C22168"/>
    <w:rsid w:val="00C2368E"/>
    <w:rsid w:val="00C254AB"/>
    <w:rsid w:val="00C26DD3"/>
    <w:rsid w:val="00C30CC9"/>
    <w:rsid w:val="00C328B9"/>
    <w:rsid w:val="00C3485E"/>
    <w:rsid w:val="00C34A92"/>
    <w:rsid w:val="00C34F82"/>
    <w:rsid w:val="00C34FEB"/>
    <w:rsid w:val="00C35440"/>
    <w:rsid w:val="00C35C11"/>
    <w:rsid w:val="00C368B1"/>
    <w:rsid w:val="00C411DD"/>
    <w:rsid w:val="00C41233"/>
    <w:rsid w:val="00C4183A"/>
    <w:rsid w:val="00C426B1"/>
    <w:rsid w:val="00C42D22"/>
    <w:rsid w:val="00C437CB"/>
    <w:rsid w:val="00C4752B"/>
    <w:rsid w:val="00C502D7"/>
    <w:rsid w:val="00C50377"/>
    <w:rsid w:val="00C50489"/>
    <w:rsid w:val="00C50583"/>
    <w:rsid w:val="00C50897"/>
    <w:rsid w:val="00C50AA7"/>
    <w:rsid w:val="00C50F27"/>
    <w:rsid w:val="00C5198F"/>
    <w:rsid w:val="00C521E2"/>
    <w:rsid w:val="00C541B0"/>
    <w:rsid w:val="00C5445D"/>
    <w:rsid w:val="00C547F1"/>
    <w:rsid w:val="00C563BD"/>
    <w:rsid w:val="00C56831"/>
    <w:rsid w:val="00C5734D"/>
    <w:rsid w:val="00C57C28"/>
    <w:rsid w:val="00C57C44"/>
    <w:rsid w:val="00C6027E"/>
    <w:rsid w:val="00C6185A"/>
    <w:rsid w:val="00C61B4C"/>
    <w:rsid w:val="00C62E35"/>
    <w:rsid w:val="00C631C1"/>
    <w:rsid w:val="00C640D7"/>
    <w:rsid w:val="00C66299"/>
    <w:rsid w:val="00C66CBA"/>
    <w:rsid w:val="00C67507"/>
    <w:rsid w:val="00C675AF"/>
    <w:rsid w:val="00C67953"/>
    <w:rsid w:val="00C70D1A"/>
    <w:rsid w:val="00C73F78"/>
    <w:rsid w:val="00C74666"/>
    <w:rsid w:val="00C8069A"/>
    <w:rsid w:val="00C81572"/>
    <w:rsid w:val="00C83181"/>
    <w:rsid w:val="00C83A4F"/>
    <w:rsid w:val="00C909CD"/>
    <w:rsid w:val="00C91F8F"/>
    <w:rsid w:val="00C92771"/>
    <w:rsid w:val="00C9306E"/>
    <w:rsid w:val="00C93154"/>
    <w:rsid w:val="00C93720"/>
    <w:rsid w:val="00C9381B"/>
    <w:rsid w:val="00C95163"/>
    <w:rsid w:val="00C9687C"/>
    <w:rsid w:val="00CA2B17"/>
    <w:rsid w:val="00CA3D88"/>
    <w:rsid w:val="00CA7839"/>
    <w:rsid w:val="00CA7BE6"/>
    <w:rsid w:val="00CB0327"/>
    <w:rsid w:val="00CB049A"/>
    <w:rsid w:val="00CB066C"/>
    <w:rsid w:val="00CB074A"/>
    <w:rsid w:val="00CB140E"/>
    <w:rsid w:val="00CB60E2"/>
    <w:rsid w:val="00CB79A9"/>
    <w:rsid w:val="00CC5020"/>
    <w:rsid w:val="00CD1F21"/>
    <w:rsid w:val="00CD286E"/>
    <w:rsid w:val="00CD2CB6"/>
    <w:rsid w:val="00CD2D30"/>
    <w:rsid w:val="00CD3120"/>
    <w:rsid w:val="00CD3585"/>
    <w:rsid w:val="00CE06EB"/>
    <w:rsid w:val="00CE25F7"/>
    <w:rsid w:val="00CE32C7"/>
    <w:rsid w:val="00CE524E"/>
    <w:rsid w:val="00CE5A81"/>
    <w:rsid w:val="00CE5E94"/>
    <w:rsid w:val="00CE731A"/>
    <w:rsid w:val="00CE7FC9"/>
    <w:rsid w:val="00CF0852"/>
    <w:rsid w:val="00CF1679"/>
    <w:rsid w:val="00CF207C"/>
    <w:rsid w:val="00CF2D3E"/>
    <w:rsid w:val="00CF3E18"/>
    <w:rsid w:val="00CF4DEA"/>
    <w:rsid w:val="00CF6276"/>
    <w:rsid w:val="00CF68AE"/>
    <w:rsid w:val="00CF78D9"/>
    <w:rsid w:val="00D00814"/>
    <w:rsid w:val="00D01F5E"/>
    <w:rsid w:val="00D01FA4"/>
    <w:rsid w:val="00D02870"/>
    <w:rsid w:val="00D038D0"/>
    <w:rsid w:val="00D03B5B"/>
    <w:rsid w:val="00D04C09"/>
    <w:rsid w:val="00D06D26"/>
    <w:rsid w:val="00D07FF2"/>
    <w:rsid w:val="00D10D92"/>
    <w:rsid w:val="00D1322A"/>
    <w:rsid w:val="00D147EB"/>
    <w:rsid w:val="00D149BE"/>
    <w:rsid w:val="00D14A86"/>
    <w:rsid w:val="00D14C48"/>
    <w:rsid w:val="00D14EB2"/>
    <w:rsid w:val="00D15754"/>
    <w:rsid w:val="00D2002A"/>
    <w:rsid w:val="00D217AF"/>
    <w:rsid w:val="00D21FC5"/>
    <w:rsid w:val="00D222A3"/>
    <w:rsid w:val="00D23F3C"/>
    <w:rsid w:val="00D25AE7"/>
    <w:rsid w:val="00D269AE"/>
    <w:rsid w:val="00D27042"/>
    <w:rsid w:val="00D27392"/>
    <w:rsid w:val="00D31456"/>
    <w:rsid w:val="00D31748"/>
    <w:rsid w:val="00D329BB"/>
    <w:rsid w:val="00D33F5F"/>
    <w:rsid w:val="00D3404C"/>
    <w:rsid w:val="00D35BCA"/>
    <w:rsid w:val="00D400E3"/>
    <w:rsid w:val="00D408F3"/>
    <w:rsid w:val="00D43263"/>
    <w:rsid w:val="00D441BE"/>
    <w:rsid w:val="00D4461F"/>
    <w:rsid w:val="00D45917"/>
    <w:rsid w:val="00D45C29"/>
    <w:rsid w:val="00D45CB0"/>
    <w:rsid w:val="00D54DFC"/>
    <w:rsid w:val="00D6020F"/>
    <w:rsid w:val="00D60BD7"/>
    <w:rsid w:val="00D61EED"/>
    <w:rsid w:val="00D63439"/>
    <w:rsid w:val="00D64431"/>
    <w:rsid w:val="00D64CDF"/>
    <w:rsid w:val="00D657DA"/>
    <w:rsid w:val="00D66950"/>
    <w:rsid w:val="00D70E6D"/>
    <w:rsid w:val="00D724C1"/>
    <w:rsid w:val="00D72DEE"/>
    <w:rsid w:val="00D759BF"/>
    <w:rsid w:val="00D76658"/>
    <w:rsid w:val="00D77541"/>
    <w:rsid w:val="00D77B2B"/>
    <w:rsid w:val="00D845F5"/>
    <w:rsid w:val="00D874B2"/>
    <w:rsid w:val="00D90E8D"/>
    <w:rsid w:val="00D910AF"/>
    <w:rsid w:val="00D92343"/>
    <w:rsid w:val="00D93518"/>
    <w:rsid w:val="00D94443"/>
    <w:rsid w:val="00D9596F"/>
    <w:rsid w:val="00D96CC2"/>
    <w:rsid w:val="00D97629"/>
    <w:rsid w:val="00DA2E77"/>
    <w:rsid w:val="00DA3EC4"/>
    <w:rsid w:val="00DA4019"/>
    <w:rsid w:val="00DA4965"/>
    <w:rsid w:val="00DB0F0C"/>
    <w:rsid w:val="00DB18C1"/>
    <w:rsid w:val="00DB28FB"/>
    <w:rsid w:val="00DB4FFD"/>
    <w:rsid w:val="00DB79FE"/>
    <w:rsid w:val="00DC25B7"/>
    <w:rsid w:val="00DC25E0"/>
    <w:rsid w:val="00DC38BA"/>
    <w:rsid w:val="00DC3D29"/>
    <w:rsid w:val="00DC4907"/>
    <w:rsid w:val="00DC4A54"/>
    <w:rsid w:val="00DD40E4"/>
    <w:rsid w:val="00DD5179"/>
    <w:rsid w:val="00DD71C3"/>
    <w:rsid w:val="00DD787D"/>
    <w:rsid w:val="00DE0BCD"/>
    <w:rsid w:val="00DE32D5"/>
    <w:rsid w:val="00DE38C5"/>
    <w:rsid w:val="00DE3C4B"/>
    <w:rsid w:val="00DE4B2C"/>
    <w:rsid w:val="00DE4DD4"/>
    <w:rsid w:val="00DE4DD5"/>
    <w:rsid w:val="00DF0D09"/>
    <w:rsid w:val="00DF1032"/>
    <w:rsid w:val="00DF1B02"/>
    <w:rsid w:val="00DF1D06"/>
    <w:rsid w:val="00DF2AF0"/>
    <w:rsid w:val="00DF53E2"/>
    <w:rsid w:val="00DF7A27"/>
    <w:rsid w:val="00DF7F83"/>
    <w:rsid w:val="00E0123B"/>
    <w:rsid w:val="00E01254"/>
    <w:rsid w:val="00E02ACC"/>
    <w:rsid w:val="00E04A35"/>
    <w:rsid w:val="00E04D0C"/>
    <w:rsid w:val="00E05FE4"/>
    <w:rsid w:val="00E0692E"/>
    <w:rsid w:val="00E06C99"/>
    <w:rsid w:val="00E06DF9"/>
    <w:rsid w:val="00E07802"/>
    <w:rsid w:val="00E1282C"/>
    <w:rsid w:val="00E13194"/>
    <w:rsid w:val="00E15E2E"/>
    <w:rsid w:val="00E172C2"/>
    <w:rsid w:val="00E17478"/>
    <w:rsid w:val="00E17895"/>
    <w:rsid w:val="00E17A95"/>
    <w:rsid w:val="00E20641"/>
    <w:rsid w:val="00E20CDF"/>
    <w:rsid w:val="00E218B6"/>
    <w:rsid w:val="00E24E69"/>
    <w:rsid w:val="00E250E3"/>
    <w:rsid w:val="00E26E71"/>
    <w:rsid w:val="00E27EF8"/>
    <w:rsid w:val="00E37E7E"/>
    <w:rsid w:val="00E402E6"/>
    <w:rsid w:val="00E406C2"/>
    <w:rsid w:val="00E41136"/>
    <w:rsid w:val="00E42C2C"/>
    <w:rsid w:val="00E43608"/>
    <w:rsid w:val="00E46214"/>
    <w:rsid w:val="00E46984"/>
    <w:rsid w:val="00E46D9A"/>
    <w:rsid w:val="00E470B7"/>
    <w:rsid w:val="00E519A7"/>
    <w:rsid w:val="00E51DDD"/>
    <w:rsid w:val="00E523B1"/>
    <w:rsid w:val="00E529AE"/>
    <w:rsid w:val="00E5449E"/>
    <w:rsid w:val="00E54B23"/>
    <w:rsid w:val="00E55901"/>
    <w:rsid w:val="00E55E9F"/>
    <w:rsid w:val="00E62353"/>
    <w:rsid w:val="00E62AD3"/>
    <w:rsid w:val="00E64A54"/>
    <w:rsid w:val="00E654F4"/>
    <w:rsid w:val="00E6758B"/>
    <w:rsid w:val="00E675E5"/>
    <w:rsid w:val="00E71413"/>
    <w:rsid w:val="00E71D91"/>
    <w:rsid w:val="00E722A7"/>
    <w:rsid w:val="00E73B14"/>
    <w:rsid w:val="00E74FA7"/>
    <w:rsid w:val="00E76A99"/>
    <w:rsid w:val="00E77AC0"/>
    <w:rsid w:val="00E80444"/>
    <w:rsid w:val="00E81EC9"/>
    <w:rsid w:val="00E8286C"/>
    <w:rsid w:val="00E8356F"/>
    <w:rsid w:val="00E84709"/>
    <w:rsid w:val="00E86587"/>
    <w:rsid w:val="00E87599"/>
    <w:rsid w:val="00E90F8C"/>
    <w:rsid w:val="00E91038"/>
    <w:rsid w:val="00E92F49"/>
    <w:rsid w:val="00E969EF"/>
    <w:rsid w:val="00E96BFE"/>
    <w:rsid w:val="00EA01D9"/>
    <w:rsid w:val="00EA1C31"/>
    <w:rsid w:val="00EA20FB"/>
    <w:rsid w:val="00EA420E"/>
    <w:rsid w:val="00EA74F7"/>
    <w:rsid w:val="00EB0CC4"/>
    <w:rsid w:val="00EB11A4"/>
    <w:rsid w:val="00EB12DC"/>
    <w:rsid w:val="00EB330B"/>
    <w:rsid w:val="00EB3648"/>
    <w:rsid w:val="00EB5149"/>
    <w:rsid w:val="00EB666B"/>
    <w:rsid w:val="00EB6C8A"/>
    <w:rsid w:val="00EC061A"/>
    <w:rsid w:val="00EC0C1A"/>
    <w:rsid w:val="00EC1235"/>
    <w:rsid w:val="00EC13EF"/>
    <w:rsid w:val="00EC142A"/>
    <w:rsid w:val="00EC2F74"/>
    <w:rsid w:val="00EC4B29"/>
    <w:rsid w:val="00EC7608"/>
    <w:rsid w:val="00ED05C7"/>
    <w:rsid w:val="00ED157B"/>
    <w:rsid w:val="00ED1FF9"/>
    <w:rsid w:val="00ED7DC7"/>
    <w:rsid w:val="00EE0869"/>
    <w:rsid w:val="00EE1BB2"/>
    <w:rsid w:val="00EE1DC8"/>
    <w:rsid w:val="00EE22C5"/>
    <w:rsid w:val="00EE43DA"/>
    <w:rsid w:val="00EE679D"/>
    <w:rsid w:val="00EF2381"/>
    <w:rsid w:val="00EF379C"/>
    <w:rsid w:val="00EF3B30"/>
    <w:rsid w:val="00EF4F2B"/>
    <w:rsid w:val="00EF693D"/>
    <w:rsid w:val="00F00865"/>
    <w:rsid w:val="00F00F5C"/>
    <w:rsid w:val="00F02249"/>
    <w:rsid w:val="00F0246B"/>
    <w:rsid w:val="00F06660"/>
    <w:rsid w:val="00F11C96"/>
    <w:rsid w:val="00F129EB"/>
    <w:rsid w:val="00F12A50"/>
    <w:rsid w:val="00F14370"/>
    <w:rsid w:val="00F15B4D"/>
    <w:rsid w:val="00F16350"/>
    <w:rsid w:val="00F177F9"/>
    <w:rsid w:val="00F17FBC"/>
    <w:rsid w:val="00F20BA3"/>
    <w:rsid w:val="00F22A90"/>
    <w:rsid w:val="00F23CAB"/>
    <w:rsid w:val="00F23E23"/>
    <w:rsid w:val="00F23F9E"/>
    <w:rsid w:val="00F246A2"/>
    <w:rsid w:val="00F24A28"/>
    <w:rsid w:val="00F25357"/>
    <w:rsid w:val="00F2577E"/>
    <w:rsid w:val="00F25F4A"/>
    <w:rsid w:val="00F261F9"/>
    <w:rsid w:val="00F27A85"/>
    <w:rsid w:val="00F27BBB"/>
    <w:rsid w:val="00F27C69"/>
    <w:rsid w:val="00F30676"/>
    <w:rsid w:val="00F308F3"/>
    <w:rsid w:val="00F313DC"/>
    <w:rsid w:val="00F31A08"/>
    <w:rsid w:val="00F339D9"/>
    <w:rsid w:val="00F347FA"/>
    <w:rsid w:val="00F350C0"/>
    <w:rsid w:val="00F35157"/>
    <w:rsid w:val="00F36831"/>
    <w:rsid w:val="00F368FF"/>
    <w:rsid w:val="00F40119"/>
    <w:rsid w:val="00F419FD"/>
    <w:rsid w:val="00F42C8D"/>
    <w:rsid w:val="00F432A7"/>
    <w:rsid w:val="00F46230"/>
    <w:rsid w:val="00F46853"/>
    <w:rsid w:val="00F46E80"/>
    <w:rsid w:val="00F50A91"/>
    <w:rsid w:val="00F50F13"/>
    <w:rsid w:val="00F51776"/>
    <w:rsid w:val="00F536EF"/>
    <w:rsid w:val="00F55A6F"/>
    <w:rsid w:val="00F57859"/>
    <w:rsid w:val="00F57DCF"/>
    <w:rsid w:val="00F601F0"/>
    <w:rsid w:val="00F60E06"/>
    <w:rsid w:val="00F62D1F"/>
    <w:rsid w:val="00F64014"/>
    <w:rsid w:val="00F646C4"/>
    <w:rsid w:val="00F64D8D"/>
    <w:rsid w:val="00F65A46"/>
    <w:rsid w:val="00F669B3"/>
    <w:rsid w:val="00F66B35"/>
    <w:rsid w:val="00F67444"/>
    <w:rsid w:val="00F70AA9"/>
    <w:rsid w:val="00F70EAD"/>
    <w:rsid w:val="00F731A9"/>
    <w:rsid w:val="00F73580"/>
    <w:rsid w:val="00F742C7"/>
    <w:rsid w:val="00F7468E"/>
    <w:rsid w:val="00F764D3"/>
    <w:rsid w:val="00F766D8"/>
    <w:rsid w:val="00F770F9"/>
    <w:rsid w:val="00F779C8"/>
    <w:rsid w:val="00F77F00"/>
    <w:rsid w:val="00F800A9"/>
    <w:rsid w:val="00F8091D"/>
    <w:rsid w:val="00F8098F"/>
    <w:rsid w:val="00F82509"/>
    <w:rsid w:val="00F82722"/>
    <w:rsid w:val="00F829DD"/>
    <w:rsid w:val="00F82E77"/>
    <w:rsid w:val="00F8307A"/>
    <w:rsid w:val="00F857BD"/>
    <w:rsid w:val="00F85F12"/>
    <w:rsid w:val="00F87155"/>
    <w:rsid w:val="00F871D0"/>
    <w:rsid w:val="00F91F22"/>
    <w:rsid w:val="00F94BCF"/>
    <w:rsid w:val="00F954DD"/>
    <w:rsid w:val="00F95EB1"/>
    <w:rsid w:val="00F97407"/>
    <w:rsid w:val="00FA0725"/>
    <w:rsid w:val="00FA19BD"/>
    <w:rsid w:val="00FA1BBA"/>
    <w:rsid w:val="00FA1DFE"/>
    <w:rsid w:val="00FA1FD1"/>
    <w:rsid w:val="00FA272D"/>
    <w:rsid w:val="00FA30A4"/>
    <w:rsid w:val="00FA4886"/>
    <w:rsid w:val="00FA62C0"/>
    <w:rsid w:val="00FA720D"/>
    <w:rsid w:val="00FA772A"/>
    <w:rsid w:val="00FB1417"/>
    <w:rsid w:val="00FB2090"/>
    <w:rsid w:val="00FB272F"/>
    <w:rsid w:val="00FB2A99"/>
    <w:rsid w:val="00FB4A3F"/>
    <w:rsid w:val="00FB51E5"/>
    <w:rsid w:val="00FB5D35"/>
    <w:rsid w:val="00FB601D"/>
    <w:rsid w:val="00FC00CC"/>
    <w:rsid w:val="00FC1B2A"/>
    <w:rsid w:val="00FC4298"/>
    <w:rsid w:val="00FC4371"/>
    <w:rsid w:val="00FC5A18"/>
    <w:rsid w:val="00FC6D9C"/>
    <w:rsid w:val="00FC75EF"/>
    <w:rsid w:val="00FC7E9C"/>
    <w:rsid w:val="00FD08D0"/>
    <w:rsid w:val="00FD13ED"/>
    <w:rsid w:val="00FD3765"/>
    <w:rsid w:val="00FD56AE"/>
    <w:rsid w:val="00FD5A92"/>
    <w:rsid w:val="00FD5B1B"/>
    <w:rsid w:val="00FD7743"/>
    <w:rsid w:val="00FE0A40"/>
    <w:rsid w:val="00FE0B3D"/>
    <w:rsid w:val="00FE0B8E"/>
    <w:rsid w:val="00FE0ECF"/>
    <w:rsid w:val="00FE171D"/>
    <w:rsid w:val="00FE27E0"/>
    <w:rsid w:val="00FE3CC5"/>
    <w:rsid w:val="00FE3F89"/>
    <w:rsid w:val="00FE4876"/>
    <w:rsid w:val="00FE7708"/>
    <w:rsid w:val="00FF0409"/>
    <w:rsid w:val="00FF2894"/>
    <w:rsid w:val="00FF2F9A"/>
    <w:rsid w:val="00FF35CB"/>
    <w:rsid w:val="00FF3608"/>
    <w:rsid w:val="00FF39E3"/>
    <w:rsid w:val="00FF5101"/>
    <w:rsid w:val="013C8F6E"/>
    <w:rsid w:val="019BE926"/>
    <w:rsid w:val="01FBCEC1"/>
    <w:rsid w:val="021E41C2"/>
    <w:rsid w:val="022032C1"/>
    <w:rsid w:val="023CA494"/>
    <w:rsid w:val="023F486B"/>
    <w:rsid w:val="028CF5FB"/>
    <w:rsid w:val="02910952"/>
    <w:rsid w:val="035B04E1"/>
    <w:rsid w:val="0365AABD"/>
    <w:rsid w:val="03865DDD"/>
    <w:rsid w:val="03872A81"/>
    <w:rsid w:val="03C24E14"/>
    <w:rsid w:val="0418613E"/>
    <w:rsid w:val="041D3A99"/>
    <w:rsid w:val="0452F5E7"/>
    <w:rsid w:val="045C0FD0"/>
    <w:rsid w:val="0480CFC6"/>
    <w:rsid w:val="04CF50B4"/>
    <w:rsid w:val="04E1FAD8"/>
    <w:rsid w:val="04E5E344"/>
    <w:rsid w:val="053C00B6"/>
    <w:rsid w:val="062E80A3"/>
    <w:rsid w:val="069B77B1"/>
    <w:rsid w:val="06E9312C"/>
    <w:rsid w:val="06F0C440"/>
    <w:rsid w:val="06FB7915"/>
    <w:rsid w:val="075A430B"/>
    <w:rsid w:val="075D85C0"/>
    <w:rsid w:val="0865E176"/>
    <w:rsid w:val="088E12DF"/>
    <w:rsid w:val="092B2C4F"/>
    <w:rsid w:val="09E373FD"/>
    <w:rsid w:val="09FD9EBF"/>
    <w:rsid w:val="0A30CBD1"/>
    <w:rsid w:val="0A986C29"/>
    <w:rsid w:val="0AF001AD"/>
    <w:rsid w:val="0B8CA451"/>
    <w:rsid w:val="0BD9EB15"/>
    <w:rsid w:val="0BFB8E98"/>
    <w:rsid w:val="0C158A80"/>
    <w:rsid w:val="0C73B9DB"/>
    <w:rsid w:val="0D8B5DAD"/>
    <w:rsid w:val="0D9CE4FD"/>
    <w:rsid w:val="0DD87DD0"/>
    <w:rsid w:val="0E4504FC"/>
    <w:rsid w:val="0E57A01E"/>
    <w:rsid w:val="0E58DFA2"/>
    <w:rsid w:val="0E7DD547"/>
    <w:rsid w:val="0F537E79"/>
    <w:rsid w:val="0F5D6FF9"/>
    <w:rsid w:val="0F933771"/>
    <w:rsid w:val="0F9D3A38"/>
    <w:rsid w:val="0FB81005"/>
    <w:rsid w:val="10083018"/>
    <w:rsid w:val="102275AA"/>
    <w:rsid w:val="1057DC36"/>
    <w:rsid w:val="10B5F599"/>
    <w:rsid w:val="10C23644"/>
    <w:rsid w:val="10DD45A2"/>
    <w:rsid w:val="10FA6E9E"/>
    <w:rsid w:val="113EDED2"/>
    <w:rsid w:val="11A8231A"/>
    <w:rsid w:val="11D16C69"/>
    <w:rsid w:val="11DC84EE"/>
    <w:rsid w:val="127AA275"/>
    <w:rsid w:val="1287D933"/>
    <w:rsid w:val="1292A240"/>
    <w:rsid w:val="12B29B12"/>
    <w:rsid w:val="12C10FDA"/>
    <w:rsid w:val="134B8A69"/>
    <w:rsid w:val="13CF9214"/>
    <w:rsid w:val="13EF332A"/>
    <w:rsid w:val="1406258C"/>
    <w:rsid w:val="14295694"/>
    <w:rsid w:val="14531B4A"/>
    <w:rsid w:val="14801FE2"/>
    <w:rsid w:val="14A27F1B"/>
    <w:rsid w:val="14C2C0F7"/>
    <w:rsid w:val="1521E0AA"/>
    <w:rsid w:val="161B0EA4"/>
    <w:rsid w:val="1678EBC4"/>
    <w:rsid w:val="169C1FE3"/>
    <w:rsid w:val="174ECE6B"/>
    <w:rsid w:val="17D24488"/>
    <w:rsid w:val="1803C34B"/>
    <w:rsid w:val="182EE57A"/>
    <w:rsid w:val="1848A654"/>
    <w:rsid w:val="19F1E2C8"/>
    <w:rsid w:val="1A2511C8"/>
    <w:rsid w:val="1A6BAF8B"/>
    <w:rsid w:val="1A8236D4"/>
    <w:rsid w:val="1AA26662"/>
    <w:rsid w:val="1AE9E3C6"/>
    <w:rsid w:val="1BCF401E"/>
    <w:rsid w:val="1C0CE7B6"/>
    <w:rsid w:val="1C147285"/>
    <w:rsid w:val="1C5E1EDE"/>
    <w:rsid w:val="1CA5816D"/>
    <w:rsid w:val="1CC825C4"/>
    <w:rsid w:val="1CDED853"/>
    <w:rsid w:val="1CE3F054"/>
    <w:rsid w:val="1CF6EC7E"/>
    <w:rsid w:val="1D381CBD"/>
    <w:rsid w:val="1D7DA984"/>
    <w:rsid w:val="1DD0C045"/>
    <w:rsid w:val="1E3874DB"/>
    <w:rsid w:val="1E3E59BB"/>
    <w:rsid w:val="1E7088C1"/>
    <w:rsid w:val="1E83717C"/>
    <w:rsid w:val="1EC0AC1F"/>
    <w:rsid w:val="1F1EF290"/>
    <w:rsid w:val="1F5D6429"/>
    <w:rsid w:val="1FD2AA7B"/>
    <w:rsid w:val="1FDB68B1"/>
    <w:rsid w:val="1FF0FE1E"/>
    <w:rsid w:val="1FF829C8"/>
    <w:rsid w:val="20410DE8"/>
    <w:rsid w:val="20423E76"/>
    <w:rsid w:val="2053589F"/>
    <w:rsid w:val="205B6911"/>
    <w:rsid w:val="2065E746"/>
    <w:rsid w:val="207DB6AB"/>
    <w:rsid w:val="20C56FE2"/>
    <w:rsid w:val="20DD2AB0"/>
    <w:rsid w:val="2158A406"/>
    <w:rsid w:val="215931B7"/>
    <w:rsid w:val="215C332B"/>
    <w:rsid w:val="2188E8DB"/>
    <w:rsid w:val="21A82CD6"/>
    <w:rsid w:val="21B0C22E"/>
    <w:rsid w:val="223D7438"/>
    <w:rsid w:val="224F808D"/>
    <w:rsid w:val="22B175E3"/>
    <w:rsid w:val="22C2F1FA"/>
    <w:rsid w:val="231824C4"/>
    <w:rsid w:val="239AB79C"/>
    <w:rsid w:val="246CB88E"/>
    <w:rsid w:val="24AF1142"/>
    <w:rsid w:val="253D6787"/>
    <w:rsid w:val="254CDE5B"/>
    <w:rsid w:val="2581CC9A"/>
    <w:rsid w:val="259182DD"/>
    <w:rsid w:val="25C8BA3D"/>
    <w:rsid w:val="265CF225"/>
    <w:rsid w:val="26E1C6C9"/>
    <w:rsid w:val="27898238"/>
    <w:rsid w:val="278ED6FE"/>
    <w:rsid w:val="2799FAE0"/>
    <w:rsid w:val="2820609C"/>
    <w:rsid w:val="287E8B53"/>
    <w:rsid w:val="28B1245A"/>
    <w:rsid w:val="28C91BEF"/>
    <w:rsid w:val="28F44C60"/>
    <w:rsid w:val="2921A6AB"/>
    <w:rsid w:val="2943BE73"/>
    <w:rsid w:val="29EDCBBF"/>
    <w:rsid w:val="2A210664"/>
    <w:rsid w:val="2A3061EF"/>
    <w:rsid w:val="2AA314CB"/>
    <w:rsid w:val="2AE925E9"/>
    <w:rsid w:val="2B03CDF4"/>
    <w:rsid w:val="2B230D10"/>
    <w:rsid w:val="2B680429"/>
    <w:rsid w:val="2C591D00"/>
    <w:rsid w:val="2C698245"/>
    <w:rsid w:val="2C74A5FD"/>
    <w:rsid w:val="2C7E9156"/>
    <w:rsid w:val="2C9D673A"/>
    <w:rsid w:val="2CC066CE"/>
    <w:rsid w:val="2CD3DD18"/>
    <w:rsid w:val="2D18EDB7"/>
    <w:rsid w:val="2D25ADD3"/>
    <w:rsid w:val="2D3E0181"/>
    <w:rsid w:val="2D5344AA"/>
    <w:rsid w:val="2DD32306"/>
    <w:rsid w:val="2DEBB4C7"/>
    <w:rsid w:val="2E1DA0BA"/>
    <w:rsid w:val="2E21FF54"/>
    <w:rsid w:val="2E981281"/>
    <w:rsid w:val="2EAEE642"/>
    <w:rsid w:val="2EB4FAF0"/>
    <w:rsid w:val="2F09703E"/>
    <w:rsid w:val="2FAEF5A4"/>
    <w:rsid w:val="2FE16545"/>
    <w:rsid w:val="300AFCEF"/>
    <w:rsid w:val="3020D620"/>
    <w:rsid w:val="30380949"/>
    <w:rsid w:val="30EFDA6C"/>
    <w:rsid w:val="3115EF04"/>
    <w:rsid w:val="31AD97C4"/>
    <w:rsid w:val="31AFACB9"/>
    <w:rsid w:val="328CD000"/>
    <w:rsid w:val="329C931C"/>
    <w:rsid w:val="3305CD9F"/>
    <w:rsid w:val="336EB59C"/>
    <w:rsid w:val="33D0D882"/>
    <w:rsid w:val="33F94789"/>
    <w:rsid w:val="3405BA56"/>
    <w:rsid w:val="344C295F"/>
    <w:rsid w:val="348C46C9"/>
    <w:rsid w:val="3494C4D0"/>
    <w:rsid w:val="354C4502"/>
    <w:rsid w:val="354E3571"/>
    <w:rsid w:val="35D0AD47"/>
    <w:rsid w:val="35E53CB2"/>
    <w:rsid w:val="35FF05ED"/>
    <w:rsid w:val="3607955D"/>
    <w:rsid w:val="369664CD"/>
    <w:rsid w:val="36D735E9"/>
    <w:rsid w:val="36DB756C"/>
    <w:rsid w:val="36DE11AF"/>
    <w:rsid w:val="36E2F5EE"/>
    <w:rsid w:val="37101025"/>
    <w:rsid w:val="377B0260"/>
    <w:rsid w:val="37934857"/>
    <w:rsid w:val="37B0E749"/>
    <w:rsid w:val="37EA304C"/>
    <w:rsid w:val="37F2DC12"/>
    <w:rsid w:val="3816DAA1"/>
    <w:rsid w:val="384566DC"/>
    <w:rsid w:val="3889130E"/>
    <w:rsid w:val="38DDC103"/>
    <w:rsid w:val="391897FC"/>
    <w:rsid w:val="39F7FBC4"/>
    <w:rsid w:val="39FF461E"/>
    <w:rsid w:val="3A79C5E6"/>
    <w:rsid w:val="3AE2C750"/>
    <w:rsid w:val="3BD881DD"/>
    <w:rsid w:val="3BE662EC"/>
    <w:rsid w:val="3C0308C0"/>
    <w:rsid w:val="3C98358E"/>
    <w:rsid w:val="3D599FE2"/>
    <w:rsid w:val="3DDF67CB"/>
    <w:rsid w:val="3DE199B3"/>
    <w:rsid w:val="3DF339B3"/>
    <w:rsid w:val="3DFFFF36"/>
    <w:rsid w:val="3E0F56C7"/>
    <w:rsid w:val="3E1D992A"/>
    <w:rsid w:val="3EEF62E5"/>
    <w:rsid w:val="3F333752"/>
    <w:rsid w:val="3F8F0FEC"/>
    <w:rsid w:val="3FA1497D"/>
    <w:rsid w:val="3FD98221"/>
    <w:rsid w:val="3FF23C0D"/>
    <w:rsid w:val="40081368"/>
    <w:rsid w:val="40341411"/>
    <w:rsid w:val="40851365"/>
    <w:rsid w:val="40C35126"/>
    <w:rsid w:val="40E6234E"/>
    <w:rsid w:val="415AE585"/>
    <w:rsid w:val="41A73556"/>
    <w:rsid w:val="41AB979B"/>
    <w:rsid w:val="41FE0C48"/>
    <w:rsid w:val="42028B59"/>
    <w:rsid w:val="428878C8"/>
    <w:rsid w:val="429E625A"/>
    <w:rsid w:val="42D1A4F1"/>
    <w:rsid w:val="4300B2B7"/>
    <w:rsid w:val="43B8B68A"/>
    <w:rsid w:val="43D7E56D"/>
    <w:rsid w:val="44B229FD"/>
    <w:rsid w:val="44C04A19"/>
    <w:rsid w:val="454835E5"/>
    <w:rsid w:val="4599F723"/>
    <w:rsid w:val="4610C89D"/>
    <w:rsid w:val="46422BAD"/>
    <w:rsid w:val="4678D801"/>
    <w:rsid w:val="46BFA97E"/>
    <w:rsid w:val="471CDDB0"/>
    <w:rsid w:val="48A181DB"/>
    <w:rsid w:val="495D7C97"/>
    <w:rsid w:val="4964FDB6"/>
    <w:rsid w:val="4A8ACFD8"/>
    <w:rsid w:val="4B44A76A"/>
    <w:rsid w:val="4BE40F8A"/>
    <w:rsid w:val="4D3CE381"/>
    <w:rsid w:val="4D630A6E"/>
    <w:rsid w:val="4D6F3E7E"/>
    <w:rsid w:val="4D90195E"/>
    <w:rsid w:val="4DCA8EC7"/>
    <w:rsid w:val="4DE094FF"/>
    <w:rsid w:val="4E3029CC"/>
    <w:rsid w:val="4E4CC397"/>
    <w:rsid w:val="4E51B7C0"/>
    <w:rsid w:val="4E7D97B1"/>
    <w:rsid w:val="4E855A5C"/>
    <w:rsid w:val="4EABC21C"/>
    <w:rsid w:val="4F99B935"/>
    <w:rsid w:val="4FB8731A"/>
    <w:rsid w:val="4FCD9D36"/>
    <w:rsid w:val="5011CF6D"/>
    <w:rsid w:val="505442D6"/>
    <w:rsid w:val="50B3D1B2"/>
    <w:rsid w:val="50D1C416"/>
    <w:rsid w:val="51947770"/>
    <w:rsid w:val="5294C3CD"/>
    <w:rsid w:val="52CF3477"/>
    <w:rsid w:val="531E3E26"/>
    <w:rsid w:val="53D28F1C"/>
    <w:rsid w:val="544E442A"/>
    <w:rsid w:val="548CDEC8"/>
    <w:rsid w:val="54950CE1"/>
    <w:rsid w:val="54BE82CD"/>
    <w:rsid w:val="54EFDDBC"/>
    <w:rsid w:val="5580DC41"/>
    <w:rsid w:val="55AFC363"/>
    <w:rsid w:val="55F86125"/>
    <w:rsid w:val="560D6DD5"/>
    <w:rsid w:val="562A65EA"/>
    <w:rsid w:val="56D4222C"/>
    <w:rsid w:val="56E19D39"/>
    <w:rsid w:val="56E5A3C6"/>
    <w:rsid w:val="57274530"/>
    <w:rsid w:val="576A362C"/>
    <w:rsid w:val="5787A7F0"/>
    <w:rsid w:val="57904A84"/>
    <w:rsid w:val="57F012AD"/>
    <w:rsid w:val="57FE168A"/>
    <w:rsid w:val="586FB39C"/>
    <w:rsid w:val="58BA1305"/>
    <w:rsid w:val="58E07E37"/>
    <w:rsid w:val="592C6015"/>
    <w:rsid w:val="5984A707"/>
    <w:rsid w:val="599FC2EC"/>
    <w:rsid w:val="59B6C4FC"/>
    <w:rsid w:val="5A62091E"/>
    <w:rsid w:val="5A664D39"/>
    <w:rsid w:val="5A6B1FF2"/>
    <w:rsid w:val="5AAB71A0"/>
    <w:rsid w:val="5AD722B0"/>
    <w:rsid w:val="5B0E7DA4"/>
    <w:rsid w:val="5B365CD0"/>
    <w:rsid w:val="5B7C615C"/>
    <w:rsid w:val="5B841F9E"/>
    <w:rsid w:val="5B897FB9"/>
    <w:rsid w:val="5BFA25EE"/>
    <w:rsid w:val="5C095B22"/>
    <w:rsid w:val="5C6A423B"/>
    <w:rsid w:val="5C9D8ED3"/>
    <w:rsid w:val="5CA4C173"/>
    <w:rsid w:val="5CEC089A"/>
    <w:rsid w:val="5CF18C1B"/>
    <w:rsid w:val="5D0A760C"/>
    <w:rsid w:val="5D145E87"/>
    <w:rsid w:val="5D44FF6B"/>
    <w:rsid w:val="5D7E4B6E"/>
    <w:rsid w:val="5D9A721B"/>
    <w:rsid w:val="5DD0EE62"/>
    <w:rsid w:val="5E3098C2"/>
    <w:rsid w:val="5E3667DE"/>
    <w:rsid w:val="5E4C76F4"/>
    <w:rsid w:val="5E75D854"/>
    <w:rsid w:val="5ECCA2F3"/>
    <w:rsid w:val="5ED44077"/>
    <w:rsid w:val="5F08A9EF"/>
    <w:rsid w:val="5F291291"/>
    <w:rsid w:val="5F439B47"/>
    <w:rsid w:val="5F812C08"/>
    <w:rsid w:val="5FBF0331"/>
    <w:rsid w:val="5FCD026F"/>
    <w:rsid w:val="5FD942AC"/>
    <w:rsid w:val="5FDA8E57"/>
    <w:rsid w:val="600D4969"/>
    <w:rsid w:val="601BD8FE"/>
    <w:rsid w:val="6030D34A"/>
    <w:rsid w:val="604D9978"/>
    <w:rsid w:val="60706104"/>
    <w:rsid w:val="60BD8F2B"/>
    <w:rsid w:val="60D9A898"/>
    <w:rsid w:val="6103ADDA"/>
    <w:rsid w:val="61309740"/>
    <w:rsid w:val="616503AE"/>
    <w:rsid w:val="628FE65B"/>
    <w:rsid w:val="62A61D1F"/>
    <w:rsid w:val="62F1157D"/>
    <w:rsid w:val="635BA463"/>
    <w:rsid w:val="644916BD"/>
    <w:rsid w:val="64D30E90"/>
    <w:rsid w:val="64E5010E"/>
    <w:rsid w:val="656D1361"/>
    <w:rsid w:val="65C8FE33"/>
    <w:rsid w:val="65E21335"/>
    <w:rsid w:val="661CAEB9"/>
    <w:rsid w:val="666BD7F7"/>
    <w:rsid w:val="6701DAD5"/>
    <w:rsid w:val="67C30BD9"/>
    <w:rsid w:val="68154B84"/>
    <w:rsid w:val="6877200A"/>
    <w:rsid w:val="6882CB45"/>
    <w:rsid w:val="68ABD10D"/>
    <w:rsid w:val="68BDC7AA"/>
    <w:rsid w:val="68C6E235"/>
    <w:rsid w:val="6925C9FF"/>
    <w:rsid w:val="69F12E21"/>
    <w:rsid w:val="6AD2A7C1"/>
    <w:rsid w:val="6AED6235"/>
    <w:rsid w:val="6AF3C560"/>
    <w:rsid w:val="6B802957"/>
    <w:rsid w:val="6BA1BF50"/>
    <w:rsid w:val="6BD94E76"/>
    <w:rsid w:val="6BDBF701"/>
    <w:rsid w:val="6BEB1CA5"/>
    <w:rsid w:val="6C425038"/>
    <w:rsid w:val="6C7AD144"/>
    <w:rsid w:val="6CBC40F7"/>
    <w:rsid w:val="6CC9C389"/>
    <w:rsid w:val="6D27410A"/>
    <w:rsid w:val="6D3A972A"/>
    <w:rsid w:val="6D83BBAF"/>
    <w:rsid w:val="6DB8EE16"/>
    <w:rsid w:val="6E665CB6"/>
    <w:rsid w:val="6E86FBAA"/>
    <w:rsid w:val="6E9A881C"/>
    <w:rsid w:val="6EAF7887"/>
    <w:rsid w:val="6F25A34F"/>
    <w:rsid w:val="70040211"/>
    <w:rsid w:val="700E9EDC"/>
    <w:rsid w:val="7043D320"/>
    <w:rsid w:val="705087C5"/>
    <w:rsid w:val="70D393B0"/>
    <w:rsid w:val="70EAC04D"/>
    <w:rsid w:val="7117B766"/>
    <w:rsid w:val="720651F5"/>
    <w:rsid w:val="723F3650"/>
    <w:rsid w:val="72588DDC"/>
    <w:rsid w:val="725DE071"/>
    <w:rsid w:val="726F7692"/>
    <w:rsid w:val="727F2D1F"/>
    <w:rsid w:val="72B1B569"/>
    <w:rsid w:val="72DFB8A1"/>
    <w:rsid w:val="73D0C50A"/>
    <w:rsid w:val="73F3D0F8"/>
    <w:rsid w:val="7411EE4A"/>
    <w:rsid w:val="747D5784"/>
    <w:rsid w:val="748308EB"/>
    <w:rsid w:val="748CB9A4"/>
    <w:rsid w:val="750DBD3F"/>
    <w:rsid w:val="755EC344"/>
    <w:rsid w:val="75A53F86"/>
    <w:rsid w:val="7673D68E"/>
    <w:rsid w:val="76760438"/>
    <w:rsid w:val="767DA011"/>
    <w:rsid w:val="76A5639D"/>
    <w:rsid w:val="76CB46D4"/>
    <w:rsid w:val="76EF3C13"/>
    <w:rsid w:val="77692783"/>
    <w:rsid w:val="7786BFD5"/>
    <w:rsid w:val="782A269A"/>
    <w:rsid w:val="78465291"/>
    <w:rsid w:val="787F4227"/>
    <w:rsid w:val="791191A0"/>
    <w:rsid w:val="7A68EFEF"/>
    <w:rsid w:val="7A85D33B"/>
    <w:rsid w:val="7AE106F9"/>
    <w:rsid w:val="7AEF6E2E"/>
    <w:rsid w:val="7B6135F4"/>
    <w:rsid w:val="7B9300F4"/>
    <w:rsid w:val="7BAA5A47"/>
    <w:rsid w:val="7BEE0333"/>
    <w:rsid w:val="7C0146CB"/>
    <w:rsid w:val="7C1B1629"/>
    <w:rsid w:val="7C2B52B6"/>
    <w:rsid w:val="7C38DD7F"/>
    <w:rsid w:val="7C5FD440"/>
    <w:rsid w:val="7CBDFF2D"/>
    <w:rsid w:val="7CF57BFA"/>
    <w:rsid w:val="7D26192A"/>
    <w:rsid w:val="7DCB5BEC"/>
    <w:rsid w:val="7DD8F7B7"/>
    <w:rsid w:val="7DF1D49B"/>
    <w:rsid w:val="7E2CAC4A"/>
    <w:rsid w:val="7E6CD1A7"/>
    <w:rsid w:val="7E6FCA7A"/>
    <w:rsid w:val="7ED51EE4"/>
    <w:rsid w:val="7EEC1D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451EA7"/>
  <w15:docId w15:val="{7A667287-F028-49C7-B8BD-469BA33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85A"/>
    <w:rPr>
      <w:sz w:val="22"/>
      <w:szCs w:val="24"/>
    </w:rPr>
  </w:style>
  <w:style w:type="paragraph" w:styleId="Heading1">
    <w:name w:val="heading 1"/>
    <w:next w:val="Normal"/>
    <w:qFormat/>
    <w:rsid w:val="00BC2C29"/>
    <w:pPr>
      <w:keepNext/>
      <w:numPr>
        <w:numId w:val="10"/>
      </w:numPr>
      <w:spacing w:after="240"/>
      <w:outlineLvl w:val="0"/>
    </w:pPr>
    <w:rPr>
      <w:b/>
      <w:sz w:val="24"/>
      <w:szCs w:val="24"/>
    </w:rPr>
  </w:style>
  <w:style w:type="paragraph" w:styleId="Heading2">
    <w:name w:val="heading 2"/>
    <w:next w:val="Normal"/>
    <w:qFormat/>
    <w:rsid w:val="00BC2C29"/>
    <w:pPr>
      <w:keepNext/>
      <w:numPr>
        <w:ilvl w:val="1"/>
        <w:numId w:val="10"/>
      </w:numPr>
      <w:spacing w:after="240"/>
      <w:outlineLvl w:val="1"/>
    </w:pPr>
    <w:rPr>
      <w:b/>
      <w:sz w:val="22"/>
      <w:szCs w:val="32"/>
      <w:u w:val="single"/>
    </w:rPr>
  </w:style>
  <w:style w:type="paragraph" w:styleId="Heading3">
    <w:name w:val="heading 3"/>
    <w:next w:val="Normal"/>
    <w:qFormat/>
    <w:rsid w:val="00BC2C29"/>
    <w:pPr>
      <w:keepNext/>
      <w:numPr>
        <w:ilvl w:val="2"/>
        <w:numId w:val="10"/>
      </w:numPr>
      <w:spacing w:line="260" w:lineRule="atLeast"/>
      <w:outlineLvl w:val="2"/>
    </w:pPr>
    <w:rPr>
      <w:b/>
      <w:bCs/>
      <w:i/>
      <w:color w:val="000000"/>
      <w:sz w:val="22"/>
      <w:szCs w:val="24"/>
    </w:rPr>
  </w:style>
  <w:style w:type="paragraph" w:styleId="Heading4">
    <w:name w:val="heading 4"/>
    <w:basedOn w:val="Normal"/>
    <w:next w:val="Normal"/>
    <w:qFormat/>
    <w:rsid w:val="00BC2C29"/>
    <w:pPr>
      <w:keepNext/>
      <w:numPr>
        <w:ilvl w:val="3"/>
        <w:numId w:val="10"/>
      </w:numPr>
      <w:spacing w:before="240" w:after="60"/>
      <w:outlineLvl w:val="3"/>
    </w:pPr>
    <w:rPr>
      <w:b/>
      <w:bCs/>
      <w:sz w:val="28"/>
      <w:szCs w:val="28"/>
    </w:rPr>
  </w:style>
  <w:style w:type="paragraph" w:styleId="Heading5">
    <w:name w:val="heading 5"/>
    <w:basedOn w:val="Normal"/>
    <w:next w:val="Normal"/>
    <w:qFormat/>
    <w:rsid w:val="00BC2C29"/>
    <w:pPr>
      <w:numPr>
        <w:ilvl w:val="4"/>
        <w:numId w:val="10"/>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semiHidden/>
    <w:rsid w:val="001105F0"/>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1"/>
      </w:numPr>
      <w:spacing w:after="240"/>
    </w:pPr>
    <w:rPr>
      <w:sz w:val="22"/>
      <w:szCs w:val="22"/>
    </w:rPr>
  </w:style>
  <w:style w:type="paragraph" w:styleId="Footer">
    <w:name w:val="footer"/>
    <w:link w:val="FooterChar"/>
    <w:uiPriority w:val="99"/>
    <w:rsid w:val="00B3389D"/>
    <w:pPr>
      <w:tabs>
        <w:tab w:val="center" w:pos="4320"/>
        <w:tab w:val="right" w:pos="8640"/>
      </w:tabs>
      <w:jc w:val="center"/>
    </w:pPr>
    <w:rPr>
      <w:sz w:val="22"/>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rPr>
      <w:sz w:val="22"/>
      <w:szCs w:val="22"/>
    </w:r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sz w:val="22"/>
      <w:szCs w:val="22"/>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uiPriority w:val="99"/>
    <w:rsid w:val="00A9666E"/>
    <w:pPr>
      <w:ind w:left="720" w:hanging="720"/>
    </w:pPr>
    <w:rPr>
      <w:sz w:val="18"/>
      <w:szCs w:val="18"/>
    </w:rPr>
  </w:style>
  <w:style w:type="character" w:styleId="FootnoteReference">
    <w:name w:val="footnote reference"/>
    <w:rsid w:val="00A9666E"/>
    <w:rPr>
      <w:vertAlign w:val="superscript"/>
    </w:rPr>
  </w:style>
  <w:style w:type="paragraph" w:customStyle="1" w:styleId="B2L2">
    <w:name w:val="B2L2"/>
    <w:basedOn w:val="Para-n"/>
    <w:rsid w:val="006D134A"/>
    <w:pPr>
      <w:numPr>
        <w:ilvl w:val="1"/>
        <w:numId w:val="2"/>
      </w:numPr>
      <w:tabs>
        <w:tab w:val="num" w:pos="1440"/>
        <w:tab w:val="clear" w:pos="1800"/>
      </w:tabs>
      <w:ind w:left="1440"/>
    </w:pPr>
  </w:style>
  <w:style w:type="paragraph" w:customStyle="1" w:styleId="PN2">
    <w:name w:val="PN2"/>
    <w:basedOn w:val="Default"/>
    <w:rsid w:val="00684EC7"/>
    <w:pPr>
      <w:numPr>
        <w:numId w:val="3"/>
      </w:numPr>
      <w:tabs>
        <w:tab w:val="num" w:pos="1440"/>
        <w:tab w:val="clear" w:pos="2160"/>
      </w:tabs>
      <w:spacing w:after="240"/>
      <w:ind w:left="1440"/>
    </w:pPr>
    <w:rPr>
      <w:rFonts w:ascii="Times New Roman" w:hAnsi="Times New Roman" w:cs="Times New Roman"/>
      <w:sz w:val="22"/>
      <w:szCs w:val="22"/>
    </w:rPr>
  </w:style>
  <w:style w:type="paragraph" w:customStyle="1" w:styleId="Refs">
    <w:name w:val="Refs"/>
    <w:basedOn w:val="CM7"/>
    <w:rsid w:val="00974980"/>
    <w:pPr>
      <w:widowControl/>
      <w:numPr>
        <w:numId w:val="4"/>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A50206"/>
    <w:pPr>
      <w:tabs>
        <w:tab w:val="left" w:pos="360"/>
        <w:tab w:val="right" w:leader="dot" w:pos="9360"/>
      </w:tabs>
    </w:pPr>
    <w:rPr>
      <w:noProof/>
      <w:sz w:val="22"/>
      <w:szCs w:val="22"/>
    </w:rPr>
  </w:style>
  <w:style w:type="paragraph" w:styleId="TOC2">
    <w:name w:val="toc 2"/>
    <w:next w:val="Normal"/>
    <w:autoRedefine/>
    <w:uiPriority w:val="39"/>
    <w:rsid w:val="00A50206"/>
    <w:pPr>
      <w:tabs>
        <w:tab w:val="left" w:pos="720"/>
        <w:tab w:val="right" w:leader="dot" w:pos="9360"/>
      </w:tabs>
    </w:pPr>
    <w:rPr>
      <w:noProof/>
      <w:sz w:val="22"/>
      <w:szCs w:val="22"/>
    </w:rPr>
  </w:style>
  <w:style w:type="paragraph" w:styleId="TOC3">
    <w:name w:val="toc 3"/>
    <w:next w:val="Normal"/>
    <w:autoRedefine/>
    <w:semiHidden/>
    <w:rsid w:val="006B2AC0"/>
    <w:pPr>
      <w:tabs>
        <w:tab w:val="left" w:pos="1440"/>
        <w:tab w:val="right" w:leader="dot" w:pos="9350"/>
      </w:tabs>
      <w:ind w:left="1440" w:right="1980" w:hanging="720"/>
    </w:pPr>
    <w:rPr>
      <w:noProof/>
      <w:sz w:val="22"/>
      <w:szCs w:val="22"/>
    </w:rPr>
  </w:style>
  <w:style w:type="paragraph" w:customStyle="1" w:styleId="PN2a">
    <w:name w:val="PN2a"/>
    <w:rsid w:val="009A2257"/>
    <w:pPr>
      <w:numPr>
        <w:numId w:val="5"/>
      </w:numPr>
      <w:spacing w:after="240"/>
    </w:pPr>
    <w:rPr>
      <w:color w:val="000000"/>
      <w:sz w:val="22"/>
      <w:szCs w:val="22"/>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semiHidden/>
    <w:rsid w:val="00375654"/>
    <w:pPr>
      <w:tabs>
        <w:tab w:val="left" w:pos="2160"/>
        <w:tab w:val="right" w:leader="dot" w:pos="9350"/>
      </w:tabs>
      <w:ind w:left="1440"/>
    </w:pPr>
    <w:rPr>
      <w:noProof/>
      <w:sz w:val="22"/>
      <w:szCs w:val="22"/>
    </w:rPr>
  </w:style>
  <w:style w:type="paragraph" w:styleId="TOC5">
    <w:name w:val="toc 5"/>
    <w:basedOn w:val="Normal"/>
    <w:next w:val="Normal"/>
    <w:autoRedefine/>
    <w:semiHidden/>
    <w:rsid w:val="001B7CC0"/>
    <w:pPr>
      <w:tabs>
        <w:tab w:val="right" w:leader="dot" w:pos="9350"/>
      </w:tabs>
      <w:spacing w:before="240"/>
      <w:ind w:left="960"/>
    </w:pPr>
    <w:rPr>
      <w:noProof/>
      <w:szCs w:val="22"/>
    </w:rPr>
  </w:style>
  <w:style w:type="paragraph" w:customStyle="1" w:styleId="Para-n1">
    <w:name w:val="Para-n1"/>
    <w:basedOn w:val="Para-n"/>
    <w:rsid w:val="00F50F13"/>
    <w:pPr>
      <w:numPr>
        <w:numId w:val="6"/>
      </w:numPr>
      <w:spacing w:after="0"/>
    </w:pPr>
  </w:style>
  <w:style w:type="character" w:styleId="Hyperlink">
    <w:name w:val="Hyperlink"/>
    <w:uiPriority w:val="99"/>
    <w:rsid w:val="00F50F13"/>
    <w:rPr>
      <w:color w:val="0000FF"/>
      <w:u w:val="single"/>
    </w:rPr>
  </w:style>
  <w:style w:type="character" w:styleId="FollowedHyperlink">
    <w:name w:val="FollowedHyperlink"/>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951FBF"/>
    <w:pPr>
      <w:numPr>
        <w:numId w:val="7"/>
      </w:numPr>
      <w:tabs>
        <w:tab w:val="clear" w:pos="216"/>
        <w:tab w:val="num" w:pos="720"/>
      </w:tabs>
      <w:ind w:left="720" w:hanging="720"/>
    </w:pPr>
    <w:rPr>
      <w:rFonts w:ascii="Times New Roman" w:hAnsi="Times New Roman" w:cs="Times New Roman"/>
      <w:sz w:val="22"/>
      <w:szCs w:val="22"/>
    </w:rPr>
  </w:style>
  <w:style w:type="paragraph" w:customStyle="1" w:styleId="Ba1">
    <w:name w:val="Ba1"/>
    <w:basedOn w:val="Normal"/>
    <w:rsid w:val="0066735A"/>
    <w:pPr>
      <w:numPr>
        <w:numId w:val="8"/>
      </w:numPr>
    </w:pPr>
  </w:style>
  <w:style w:type="paragraph" w:customStyle="1" w:styleId="Ba2">
    <w:name w:val="Ba2"/>
    <w:basedOn w:val="Ba1"/>
    <w:rsid w:val="006A0331"/>
    <w:pPr>
      <w:spacing w:after="240"/>
    </w:pPr>
  </w:style>
  <w:style w:type="paragraph" w:styleId="BalloonText">
    <w:name w:val="Balloon Text"/>
    <w:basedOn w:val="Normal"/>
    <w:semiHidden/>
    <w:rsid w:val="00B52F36"/>
    <w:rPr>
      <w:rFonts w:ascii="Tahoma" w:hAnsi="Tahoma" w:cs="Tahoma"/>
      <w:sz w:val="16"/>
      <w:szCs w:val="16"/>
    </w:rPr>
  </w:style>
  <w:style w:type="character" w:styleId="CommentReference">
    <w:name w:val="annotation reference"/>
    <w:semiHidden/>
    <w:rsid w:val="00B52F36"/>
    <w:rPr>
      <w:sz w:val="16"/>
      <w:szCs w:val="16"/>
    </w:rPr>
  </w:style>
  <w:style w:type="paragraph" w:styleId="CommentText">
    <w:name w:val="annotation text"/>
    <w:basedOn w:val="Normal"/>
    <w:link w:val="CommentTextChar"/>
    <w:semiHidden/>
    <w:rsid w:val="00B52F36"/>
    <w:rPr>
      <w:sz w:val="20"/>
      <w:szCs w:val="20"/>
    </w:rPr>
  </w:style>
  <w:style w:type="paragraph" w:styleId="CommentSubject">
    <w:name w:val="annotation subject"/>
    <w:basedOn w:val="CommentText"/>
    <w:next w:val="CommentText"/>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4E67B6"/>
    <w:pPr>
      <w:widowControl/>
    </w:pPr>
    <w:rPr>
      <w:rFonts w:cs="Times New Roman"/>
      <w:szCs w:val="20"/>
    </w:rPr>
  </w:style>
  <w:style w:type="character" w:customStyle="1" w:styleId="HeaderChar">
    <w:name w:val="Header Char"/>
    <w:link w:val="Header"/>
    <w:uiPriority w:val="99"/>
    <w:rsid w:val="00FD56AE"/>
    <w:rPr>
      <w:sz w:val="22"/>
      <w:szCs w:val="24"/>
    </w:rPr>
  </w:style>
  <w:style w:type="paragraph" w:styleId="ListParagraph">
    <w:name w:val="List Paragraph"/>
    <w:basedOn w:val="Normal"/>
    <w:uiPriority w:val="34"/>
    <w:qFormat/>
    <w:rsid w:val="00F12A50"/>
    <w:pPr>
      <w:ind w:left="720"/>
      <w:contextualSpacing/>
    </w:pPr>
    <w:rPr>
      <w:sz w:val="24"/>
      <w:szCs w:val="20"/>
    </w:rPr>
  </w:style>
  <w:style w:type="character" w:customStyle="1" w:styleId="FootnoteTextChar">
    <w:name w:val="Footnote Text Char"/>
    <w:basedOn w:val="DefaultParagraphFont"/>
    <w:link w:val="FootnoteText"/>
    <w:uiPriority w:val="99"/>
    <w:rsid w:val="00981414"/>
    <w:rPr>
      <w:sz w:val="18"/>
      <w:szCs w:val="18"/>
    </w:rPr>
  </w:style>
  <w:style w:type="paragraph" w:styleId="TOCHeading">
    <w:name w:val="TOC Heading"/>
    <w:basedOn w:val="Heading1"/>
    <w:next w:val="Normal"/>
    <w:uiPriority w:val="39"/>
    <w:unhideWhenUsed/>
    <w:qFormat/>
    <w:rsid w:val="0048179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EndnoteText">
    <w:name w:val="endnote text"/>
    <w:basedOn w:val="Normal"/>
    <w:link w:val="EndnoteTextChar"/>
    <w:uiPriority w:val="99"/>
    <w:unhideWhenUsed/>
    <w:rsid w:val="00D759BF"/>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759B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D759BF"/>
    <w:rPr>
      <w:vertAlign w:val="superscript"/>
    </w:rPr>
  </w:style>
  <w:style w:type="paragraph" w:styleId="Revision">
    <w:name w:val="Revision"/>
    <w:hidden/>
    <w:uiPriority w:val="99"/>
    <w:semiHidden/>
    <w:rsid w:val="00123050"/>
    <w:rPr>
      <w:sz w:val="22"/>
      <w:szCs w:val="24"/>
    </w:rPr>
  </w:style>
  <w:style w:type="table" w:customStyle="1" w:styleId="TableGrid2">
    <w:name w:val="Table Grid2"/>
    <w:basedOn w:val="TableNormal"/>
    <w:next w:val="TableGrid"/>
    <w:uiPriority w:val="39"/>
    <w:rsid w:val="00082E8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A5DED"/>
    <w:rPr>
      <w:color w:val="605E5C"/>
      <w:shd w:val="clear" w:color="auto" w:fill="E1DFDD"/>
    </w:rPr>
  </w:style>
  <w:style w:type="character" w:customStyle="1" w:styleId="CommentTextChar">
    <w:name w:val="Comment Text Char"/>
    <w:basedOn w:val="DefaultParagraphFont"/>
    <w:link w:val="CommentText"/>
    <w:semiHidden/>
    <w:rsid w:val="001F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rc.gov/reading-rm/doc-collections/cfr/part050/part050-0090.html" TargetMode="External" /><Relationship Id="rId11" Type="http://schemas.openxmlformats.org/officeDocument/2006/relationships/hyperlink" Target="http://www.nrc.gov/site-help/e-submittals.html" TargetMode="External" /><Relationship Id="rId12" Type="http://schemas.openxmlformats.org/officeDocument/2006/relationships/hyperlink" Target="http://www.nrc.gov/site-help/e-submittals/getting-started.html" TargetMode="External" /><Relationship Id="rId13" Type="http://schemas.openxmlformats.org/officeDocument/2006/relationships/hyperlink" Target="http://www.nrc.gov/site-help/electronic-sub-ref-mat.html"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hyperlink" Target="https://www.nrc.gov/reading-rm/doc-collections/reg-guides/index.html" TargetMode="External" /><Relationship Id="rId2" Type="http://schemas.openxmlformats.org/officeDocument/2006/relationships/hyperlink" Target="https://www.nrc.gov/reading-rm/doc-collections/reg-guides/contactus.html" TargetMode="External" /><Relationship Id="rId3" Type="http://schemas.openxmlformats.org/officeDocument/2006/relationships/hyperlink" Target="https://nrcweb.nrc.gov/reading-rm/doc-collections/reg-guides/" TargetMode="External" /><Relationship Id="rId4" Type="http://schemas.openxmlformats.org/officeDocument/2006/relationships/hyperlink" Target="https://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IAEA.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BA22DB67774A947A3A08D4BF3AC7" ma:contentTypeVersion="9" ma:contentTypeDescription="Create a new document." ma:contentTypeScope="" ma:versionID="4900f0f853f54e75c0eeac0f62fd8a42">
  <xsd:schema xmlns:xsd="http://www.w3.org/2001/XMLSchema" xmlns:xs="http://www.w3.org/2001/XMLSchema" xmlns:p="http://schemas.microsoft.com/office/2006/metadata/properties" xmlns:ns2="d4e282bb-1ef9-4cbd-a653-06682fc7ad56" xmlns:ns3="77ee5da4-ed23-4982-a1a3-8661ddde364f" targetNamespace="http://schemas.microsoft.com/office/2006/metadata/properties" ma:root="true" ma:fieldsID="a468bc76ef2d8682caa4338aa7e4a407" ns2:_="" ns3:_="">
    <xsd:import namespace="d4e282bb-1ef9-4cbd-a653-06682fc7ad56"/>
    <xsd:import namespace="77ee5da4-ed23-4982-a1a3-8661ddde364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82bb-1ef9-4cbd-a653-06682fc7ad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e5da4-ed23-4982-a1a3-8661ddde36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d4e282bb-1ef9-4cbd-a653-06682fc7ad56">NPWYQKRF7TSA-1555704804-398</_dlc_DocId>
    <_dlc_DocIdUrl xmlns="d4e282bb-1ef9-4cbd-a653-06682fc7ad56">
      <Url>https://usnrc.sharepoint.com/teams/NMSS-Non-power-Reactor-License-Renewal-Rulemaking/_layouts/15/DocIdRedir.aspx?ID=NPWYQKRF7TSA-1555704804-398</Url>
      <Description>NPWYQKRF7TSA-1555704804-398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7533-B811-45FD-BBF3-4B4FACA7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82bb-1ef9-4cbd-a653-06682fc7ad56"/>
    <ds:schemaRef ds:uri="77ee5da4-ed23-4982-a1a3-8661ddde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F4FA-EB9C-4A36-B096-724617510C5C}">
  <ds:schemaRefs>
    <ds:schemaRef ds:uri="http://schemas.microsoft.com/sharepoint/events"/>
  </ds:schemaRefs>
</ds:datastoreItem>
</file>

<file path=customXml/itemProps3.xml><?xml version="1.0" encoding="utf-8"?>
<ds:datastoreItem xmlns:ds="http://schemas.openxmlformats.org/officeDocument/2006/customXml" ds:itemID="{37634F57-3BFC-469F-919C-4FD9A2BF63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ee5da4-ed23-4982-a1a3-8661ddde364f"/>
    <ds:schemaRef ds:uri="d4e282bb-1ef9-4cbd-a653-06682fc7ad56"/>
    <ds:schemaRef ds:uri="http://www.w3.org/XML/1998/namespace"/>
    <ds:schemaRef ds:uri="http://purl.org/dc/dcmitype/"/>
  </ds:schemaRefs>
</ds:datastoreItem>
</file>

<file path=customXml/itemProps4.xml><?xml version="1.0" encoding="utf-8"?>
<ds:datastoreItem xmlns:ds="http://schemas.openxmlformats.org/officeDocument/2006/customXml" ds:itemID="{D15D7ABA-A9F2-413E-B01E-B27B4962E357}">
  <ds:schemaRefs>
    <ds:schemaRef ds:uri="http://schemas.microsoft.com/sharepoint/v3/contenttype/forms"/>
  </ds:schemaRefs>
</ds:datastoreItem>
</file>

<file path=customXml/itemProps5.xml><?xml version="1.0" encoding="utf-8"?>
<ds:datastoreItem xmlns:ds="http://schemas.openxmlformats.org/officeDocument/2006/customXml" ds:itemID="{C5FACC10-3006-45FB-A929-AE67B778B01E}">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26</TotalTime>
  <Pages>15</Pages>
  <Words>5268</Words>
  <Characters>29068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Hardesty, Duane</dc:creator>
  <cp:lastModifiedBy>Bob Beall</cp:lastModifiedBy>
  <cp:revision>4</cp:revision>
  <cp:lastPrinted>2019-01-03T17:49:00Z</cp:lastPrinted>
  <dcterms:created xsi:type="dcterms:W3CDTF">2024-10-10T13:39:00Z</dcterms:created>
  <dcterms:modified xsi:type="dcterms:W3CDTF">2024-10-10T13:47:00Z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0x0101004DB4BA22DB67774A947A3A08D4BF3AC7</vt:lpwstr>
  </property>
  <property fmtid="{D5CDD505-2E9C-101B-9397-08002B2CF9AE}" pid="3" name="_dlc_DocIdItemGuid">
    <vt:lpwstr>4a3d602c-5478-4a9d-9af8-2d92d70e0a19</vt:lpwstr>
  </property>
  <property fmtid="{D5CDD505-2E9C-101B-9397-08002B2CF9AE}" pid="4" name="_NewReviewCycle">
    <vt:lpwstr/>
  </property>
</Properties>
</file>