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FFC" w:rsidRPr="00921C6C" w:rsidP="005F1FFC" w14:paraId="7E088B25" w14:textId="77777777">
      <w:pPr>
        <w:rPr>
          <w:sz w:val="24"/>
          <w:szCs w:val="24"/>
        </w:rPr>
      </w:pPr>
    </w:p>
    <w:p w:rsidR="00430886" w:rsidRPr="00921C6C" w:rsidP="00430886" w14:paraId="1C9565CF" w14:textId="671F90E7">
      <w:pPr>
        <w:pStyle w:val="CM10"/>
        <w:jc w:val="center"/>
        <w:rPr>
          <w:b/>
          <w:bCs/>
          <w:color w:val="000000"/>
        </w:rPr>
      </w:pPr>
      <w:r w:rsidRPr="00921C6C">
        <w:rPr>
          <w:b/>
          <w:bCs/>
          <w:color w:val="000000"/>
        </w:rPr>
        <w:t>-</w:t>
      </w:r>
      <w:r w:rsidRPr="00921C6C" w:rsidR="00E12EB2">
        <w:rPr>
          <w:b/>
          <w:bCs/>
          <w:color w:val="000000"/>
        </w:rPr>
        <w:t xml:space="preserve"> </w:t>
      </w:r>
    </w:p>
    <w:p w:rsidR="00430886" w:rsidRPr="00921C6C" w:rsidP="00430886" w14:paraId="2A6F7F55" w14:textId="41642B6E">
      <w:pPr>
        <w:pStyle w:val="CM10"/>
        <w:jc w:val="center"/>
        <w:rPr>
          <w:b/>
          <w:bCs/>
          <w:color w:val="000000"/>
        </w:rPr>
      </w:pPr>
      <w:r w:rsidRPr="00921C6C">
        <w:rPr>
          <w:b/>
          <w:bCs/>
          <w:color w:val="000000"/>
        </w:rPr>
        <w:t xml:space="preserve">PERSONAL FINANCIAL DATA RIGHTS RULEMAKING </w:t>
      </w:r>
    </w:p>
    <w:p w:rsidR="00AE12FF" w:rsidRPr="00921C6C" w:rsidP="003225D2" w14:paraId="03845C32" w14:textId="3EA811AE">
      <w:pPr>
        <w:jc w:val="center"/>
        <w:rPr>
          <w:b/>
          <w:bCs/>
          <w:sz w:val="24"/>
          <w:szCs w:val="24"/>
        </w:rPr>
      </w:pPr>
      <w:r w:rsidRPr="00921C6C">
        <w:rPr>
          <w:b/>
          <w:bCs/>
          <w:sz w:val="24"/>
          <w:szCs w:val="24"/>
        </w:rPr>
        <w:t>OMB CONTROL NO.</w:t>
      </w:r>
      <w:r w:rsidRPr="00921C6C" w:rsidR="004D6F7D">
        <w:rPr>
          <w:b/>
          <w:bCs/>
          <w:sz w:val="24"/>
          <w:szCs w:val="24"/>
        </w:rPr>
        <w:t>:</w:t>
      </w:r>
      <w:r w:rsidRPr="00921C6C">
        <w:rPr>
          <w:b/>
          <w:bCs/>
          <w:sz w:val="24"/>
          <w:szCs w:val="24"/>
        </w:rPr>
        <w:t xml:space="preserve"> </w:t>
      </w:r>
      <w:r w:rsidRPr="00921C6C" w:rsidR="00E81562">
        <w:rPr>
          <w:b/>
          <w:bCs/>
          <w:sz w:val="24"/>
          <w:szCs w:val="24"/>
        </w:rPr>
        <w:t>3170-0</w:t>
      </w:r>
      <w:r w:rsidRPr="00921C6C" w:rsidR="001650D5">
        <w:rPr>
          <w:b/>
          <w:bCs/>
          <w:sz w:val="24"/>
          <w:szCs w:val="24"/>
        </w:rPr>
        <w:t>0XX</w:t>
      </w:r>
    </w:p>
    <w:p w:rsidR="003225D2" w:rsidRPr="00921C6C" w:rsidP="003225D2" w14:paraId="4ACA79D4" w14:textId="13002F23">
      <w:pPr>
        <w:jc w:val="center"/>
        <w:rPr>
          <w:b/>
          <w:bCs/>
          <w:sz w:val="24"/>
          <w:szCs w:val="24"/>
        </w:rPr>
      </w:pPr>
      <w:r w:rsidRPr="00921C6C">
        <w:rPr>
          <w:b/>
          <w:bCs/>
          <w:sz w:val="24"/>
          <w:szCs w:val="24"/>
        </w:rPr>
        <w:t xml:space="preserve"> </w:t>
      </w:r>
      <w:r w:rsidRPr="00921C6C" w:rsidR="00AE12FF">
        <w:rPr>
          <w:b/>
          <w:bCs/>
          <w:sz w:val="24"/>
          <w:szCs w:val="24"/>
        </w:rPr>
        <w:t>(</w:t>
      </w:r>
      <w:r w:rsidRPr="00921C6C" w:rsidR="00C25D47">
        <w:rPr>
          <w:b/>
          <w:bCs/>
          <w:sz w:val="24"/>
          <w:szCs w:val="24"/>
        </w:rPr>
        <w:t>RIN 3170-AA</w:t>
      </w:r>
      <w:r w:rsidRPr="00921C6C" w:rsidR="00313E17">
        <w:rPr>
          <w:b/>
          <w:bCs/>
          <w:sz w:val="24"/>
          <w:szCs w:val="24"/>
        </w:rPr>
        <w:t>78</w:t>
      </w:r>
      <w:r w:rsidRPr="00921C6C" w:rsidR="00C25D47">
        <w:rPr>
          <w:b/>
          <w:bCs/>
          <w:sz w:val="24"/>
          <w:szCs w:val="24"/>
        </w:rPr>
        <w:t xml:space="preserve"> – </w:t>
      </w:r>
      <w:r w:rsidR="009670EA">
        <w:rPr>
          <w:b/>
          <w:bCs/>
          <w:sz w:val="24"/>
          <w:szCs w:val="24"/>
        </w:rPr>
        <w:t>FINAL</w:t>
      </w:r>
      <w:r w:rsidRPr="00921C6C" w:rsidR="009670EA">
        <w:rPr>
          <w:b/>
          <w:bCs/>
          <w:sz w:val="24"/>
          <w:szCs w:val="24"/>
        </w:rPr>
        <w:t xml:space="preserve"> </w:t>
      </w:r>
      <w:r w:rsidRPr="00921C6C" w:rsidR="00C25D47">
        <w:rPr>
          <w:b/>
          <w:bCs/>
          <w:sz w:val="24"/>
          <w:szCs w:val="24"/>
        </w:rPr>
        <w:t>RULE</w:t>
      </w:r>
      <w:r w:rsidRPr="00921C6C" w:rsidR="00313E17">
        <w:rPr>
          <w:b/>
          <w:bCs/>
          <w:sz w:val="24"/>
          <w:szCs w:val="24"/>
        </w:rPr>
        <w:t>)</w:t>
      </w:r>
    </w:p>
    <w:p w:rsidR="00A4452C" w:rsidRPr="00921C6C" w:rsidP="000F0DD6" w14:paraId="7DC5C315" w14:textId="1EA6A327">
      <w:pPr>
        <w:tabs>
          <w:tab w:val="left" w:pos="880"/>
        </w:tabs>
        <w:rPr>
          <w:b/>
          <w:caps/>
          <w:sz w:val="24"/>
          <w:szCs w:val="24"/>
        </w:rPr>
      </w:pPr>
    </w:p>
    <w:p w:rsidR="005F1FFC" w:rsidRPr="00921C6C" w:rsidP="005F1FFC" w14:paraId="14A29F18" w14:textId="77777777">
      <w:pPr>
        <w:jc w:val="center"/>
        <w:rPr>
          <w:b/>
          <w:sz w:val="24"/>
          <w:szCs w:val="24"/>
        </w:rPr>
      </w:pPr>
    </w:p>
    <w:p w:rsidR="005F1FFC" w:rsidRPr="00921C6C" w:rsidP="005F1FFC" w14:paraId="3DBE2AB2" w14:textId="77777777">
      <w:pPr>
        <w:rPr>
          <w:b/>
          <w:sz w:val="24"/>
          <w:szCs w:val="24"/>
        </w:rPr>
      </w:pPr>
      <w:r w:rsidRPr="00921C6C">
        <w:rPr>
          <w:b/>
          <w:sz w:val="24"/>
          <w:szCs w:val="24"/>
        </w:rPr>
        <w:t xml:space="preserve">A.  </w:t>
      </w:r>
      <w:r w:rsidRPr="00921C6C">
        <w:rPr>
          <w:b/>
          <w:caps/>
          <w:sz w:val="24"/>
          <w:szCs w:val="24"/>
        </w:rPr>
        <w:t>Justification</w:t>
      </w:r>
    </w:p>
    <w:p w:rsidR="005F1FFC" w:rsidRPr="00921C6C" w:rsidP="005F1FFC" w14:paraId="4378B360" w14:textId="77777777">
      <w:pPr>
        <w:rPr>
          <w:b/>
          <w:sz w:val="24"/>
          <w:szCs w:val="24"/>
        </w:rPr>
      </w:pPr>
    </w:p>
    <w:p w:rsidR="00092D91" w:rsidRPr="00921C6C" w:rsidP="00092D91" w14:paraId="08863302" w14:textId="77777777">
      <w:pPr>
        <w:rPr>
          <w:sz w:val="24"/>
          <w:szCs w:val="24"/>
        </w:rPr>
      </w:pPr>
      <w:r w:rsidRPr="00921C6C">
        <w:rPr>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1FFC" w:rsidRPr="00921C6C" w:rsidP="005F1FFC" w14:paraId="1F5F91FF" w14:textId="77777777">
      <w:pPr>
        <w:rPr>
          <w:sz w:val="24"/>
          <w:szCs w:val="24"/>
        </w:rPr>
      </w:pPr>
    </w:p>
    <w:p w:rsidR="000F3637" w:rsidRPr="00921C6C" w:rsidP="000F3637" w14:paraId="422A99B3" w14:textId="4585844A">
      <w:pPr>
        <w:rPr>
          <w:sz w:val="24"/>
          <w:szCs w:val="24"/>
        </w:rPr>
      </w:pPr>
      <w:r w:rsidRPr="00921C6C">
        <w:rPr>
          <w:sz w:val="24"/>
          <w:szCs w:val="24"/>
        </w:rPr>
        <w:t>In 2010, Congress explicitly recognized the importance of personal financial data rights in section 1033 of the Consumer Financial Protection Act of 2010 (CFPA).</w:t>
      </w:r>
      <w:r>
        <w:rPr>
          <w:rStyle w:val="FootnoteReference"/>
          <w:sz w:val="24"/>
          <w:szCs w:val="24"/>
        </w:rPr>
        <w:footnoteReference w:id="3"/>
      </w:r>
      <w:r w:rsidRPr="00921C6C" w:rsidR="00147631">
        <w:rPr>
          <w:sz w:val="24"/>
          <w:szCs w:val="24"/>
        </w:rPr>
        <w:t xml:space="preserve"> </w:t>
      </w:r>
      <w:r w:rsidRPr="00921C6C">
        <w:rPr>
          <w:sz w:val="24"/>
          <w:szCs w:val="24"/>
        </w:rPr>
        <w:t xml:space="preserve">CFPA </w:t>
      </w:r>
      <w:r w:rsidRPr="00921C6C" w:rsidR="00420A18">
        <w:rPr>
          <w:sz w:val="24"/>
          <w:szCs w:val="24"/>
        </w:rPr>
        <w:t>S</w:t>
      </w:r>
      <w:r w:rsidRPr="00921C6C">
        <w:rPr>
          <w:sz w:val="24"/>
          <w:szCs w:val="24"/>
        </w:rPr>
        <w:t xml:space="preserve">ection 1033(a) and (b) provide that, subject to rules prescribed by the CFPB, a covered person shall make available to a consumer, upon request, information in the control or possession of the covered person concerning the consumer financial product or service that the consumer obtained from such covered person, subject to certain exceptions. The information must be made available in an electronic form usable by consumers. Section 1002 of the CFPA defines certain terms used in CFPA </w:t>
      </w:r>
      <w:r w:rsidRPr="00921C6C" w:rsidR="00FC25C5">
        <w:rPr>
          <w:sz w:val="24"/>
          <w:szCs w:val="24"/>
        </w:rPr>
        <w:t>S</w:t>
      </w:r>
      <w:r w:rsidRPr="00921C6C">
        <w:rPr>
          <w:sz w:val="24"/>
          <w:szCs w:val="24"/>
        </w:rPr>
        <w:t xml:space="preserve">ection 1033, including defining consumer as “an individual or an agent, trustee, or representative acting on behalf of an individual.” </w:t>
      </w:r>
    </w:p>
    <w:p w:rsidR="000F3637" w:rsidRPr="00921C6C" w:rsidP="000F3637" w14:paraId="6AD9E40F" w14:textId="77777777">
      <w:pPr>
        <w:rPr>
          <w:sz w:val="24"/>
          <w:szCs w:val="24"/>
        </w:rPr>
      </w:pPr>
    </w:p>
    <w:p w:rsidR="000F3637" w:rsidRPr="00921C6C" w:rsidP="000F3637" w14:paraId="6C6CD695" w14:textId="32407EBF">
      <w:pPr>
        <w:rPr>
          <w:sz w:val="24"/>
          <w:szCs w:val="24"/>
        </w:rPr>
      </w:pPr>
      <w:r w:rsidRPr="00921C6C">
        <w:rPr>
          <w:rStyle w:val="CommentReference"/>
          <w:sz w:val="24"/>
          <w:szCs w:val="24"/>
        </w:rPr>
        <w:t xml:space="preserve">Due to the purposes and objectives of </w:t>
      </w:r>
      <w:r w:rsidRPr="00921C6C" w:rsidR="00561BCE">
        <w:rPr>
          <w:rStyle w:val="CommentReference"/>
          <w:sz w:val="24"/>
          <w:szCs w:val="24"/>
        </w:rPr>
        <w:t>S</w:t>
      </w:r>
      <w:r w:rsidRPr="00921C6C">
        <w:rPr>
          <w:rStyle w:val="CommentReference"/>
          <w:sz w:val="24"/>
          <w:szCs w:val="24"/>
        </w:rPr>
        <w:t xml:space="preserve">ection 1033 and the CFPA generally, the CFPB interprets </w:t>
      </w:r>
      <w:r w:rsidRPr="00921C6C">
        <w:rPr>
          <w:sz w:val="24"/>
          <w:szCs w:val="24"/>
        </w:rPr>
        <w:t>CFPA</w:t>
      </w:r>
      <w:r w:rsidRPr="00921C6C">
        <w:rPr>
          <w:rStyle w:val="CommentReference"/>
          <w:sz w:val="24"/>
          <w:szCs w:val="24"/>
        </w:rPr>
        <w:t xml:space="preserve"> </w:t>
      </w:r>
      <w:r w:rsidRPr="00921C6C" w:rsidR="00FC25C5">
        <w:rPr>
          <w:rStyle w:val="CommentReference"/>
          <w:sz w:val="24"/>
          <w:szCs w:val="24"/>
        </w:rPr>
        <w:t>S</w:t>
      </w:r>
      <w:r w:rsidRPr="00921C6C">
        <w:rPr>
          <w:rStyle w:val="CommentReference"/>
          <w:sz w:val="24"/>
          <w:szCs w:val="24"/>
        </w:rPr>
        <w:t xml:space="preserve">ection 1033 </w:t>
      </w:r>
      <w:r w:rsidRPr="00921C6C">
        <w:rPr>
          <w:sz w:val="24"/>
          <w:szCs w:val="24"/>
        </w:rPr>
        <w:t xml:space="preserve">as authority to establish a framework that readily makes available covered data in an electronic form usable by consumers and third parties acting on behalf of consumers, upon request, including authorized third parties offering competing products and services. In addition, CFPA </w:t>
      </w:r>
      <w:r w:rsidRPr="00921C6C" w:rsidR="00561BCE">
        <w:rPr>
          <w:sz w:val="24"/>
          <w:szCs w:val="24"/>
        </w:rPr>
        <w:t>S</w:t>
      </w:r>
      <w:r w:rsidRPr="00921C6C">
        <w:rPr>
          <w:sz w:val="24"/>
          <w:szCs w:val="24"/>
        </w:rPr>
        <w:t>ection 1033(d) provides that t</w:t>
      </w:r>
      <w:r w:rsidRPr="00921C6C">
        <w:rPr>
          <w:rFonts w:eastAsia="Calibri"/>
          <w:sz w:val="24"/>
          <w:szCs w:val="24"/>
        </w:rPr>
        <w:t xml:space="preserve">he </w:t>
      </w:r>
      <w:r w:rsidRPr="00921C6C">
        <w:rPr>
          <w:sz w:val="24"/>
          <w:szCs w:val="24"/>
        </w:rPr>
        <w:t>CFPB</w:t>
      </w:r>
      <w:r w:rsidRPr="00921C6C">
        <w:rPr>
          <w:rFonts w:eastAsia="Calibri"/>
          <w:sz w:val="24"/>
          <w:szCs w:val="24"/>
        </w:rPr>
        <w:t>, by rule, shall prescribe standards applicable to covered persons to promote the</w:t>
      </w:r>
      <w:r w:rsidRPr="00921C6C">
        <w:rPr>
          <w:sz w:val="24"/>
          <w:szCs w:val="24"/>
        </w:rPr>
        <w:t xml:space="preserve"> </w:t>
      </w:r>
      <w:r w:rsidRPr="00921C6C">
        <w:rPr>
          <w:rFonts w:eastAsia="Calibri"/>
          <w:sz w:val="24"/>
          <w:szCs w:val="24"/>
        </w:rPr>
        <w:t xml:space="preserve">development and use of standardized formats for information, including </w:t>
      </w:r>
      <w:r w:rsidRPr="00921C6C" w:rsidR="00EB6404">
        <w:rPr>
          <w:rFonts w:eastAsia="Calibri"/>
          <w:sz w:val="24"/>
          <w:szCs w:val="24"/>
        </w:rPr>
        <w:t>using</w:t>
      </w:r>
      <w:r w:rsidRPr="00921C6C">
        <w:rPr>
          <w:rFonts w:eastAsia="Calibri"/>
          <w:sz w:val="24"/>
          <w:szCs w:val="24"/>
        </w:rPr>
        <w:t xml:space="preserve"> machine-readable files, to be made available to consumers under this section.</w:t>
      </w:r>
      <w:r w:rsidRPr="00921C6C">
        <w:rPr>
          <w:sz w:val="24"/>
          <w:szCs w:val="24"/>
        </w:rPr>
        <w:t xml:space="preserve"> Moreover, the CFPB interprets CFPA </w:t>
      </w:r>
      <w:r w:rsidRPr="00921C6C" w:rsidR="00EB6404">
        <w:rPr>
          <w:sz w:val="24"/>
          <w:szCs w:val="24"/>
        </w:rPr>
        <w:t>S</w:t>
      </w:r>
      <w:r w:rsidRPr="00921C6C">
        <w:rPr>
          <w:sz w:val="24"/>
          <w:szCs w:val="24"/>
        </w:rPr>
        <w:t xml:space="preserve">ection 1033 as authority to specify procedures to ensure third parties are truly acting on behalf of consumers when accessing covered data. These procedures help ensure the market for consumer-authorized data operates fairly, transparently, and competitively. </w:t>
      </w:r>
    </w:p>
    <w:p w:rsidR="000F3637" w:rsidRPr="00921C6C" w:rsidP="000F3637" w14:paraId="0D7DECF1" w14:textId="77777777">
      <w:pPr>
        <w:rPr>
          <w:sz w:val="24"/>
          <w:szCs w:val="24"/>
        </w:rPr>
      </w:pPr>
    </w:p>
    <w:p w:rsidR="00F73174" w:rsidRPr="00921C6C" w:rsidP="00F73174" w14:paraId="52F5491D" w14:textId="356C1CB3">
      <w:pPr>
        <w:rPr>
          <w:sz w:val="24"/>
          <w:szCs w:val="24"/>
        </w:rPr>
      </w:pPr>
      <w:r w:rsidRPr="00921C6C">
        <w:rPr>
          <w:sz w:val="24"/>
          <w:szCs w:val="24"/>
        </w:rPr>
        <w:t xml:space="preserve">CFPA </w:t>
      </w:r>
      <w:r w:rsidRPr="00921C6C" w:rsidR="00EB6404">
        <w:rPr>
          <w:sz w:val="24"/>
          <w:szCs w:val="24"/>
        </w:rPr>
        <w:t>S</w:t>
      </w:r>
      <w:r w:rsidRPr="00921C6C">
        <w:rPr>
          <w:sz w:val="24"/>
          <w:szCs w:val="24"/>
        </w:rPr>
        <w:t xml:space="preserve">ection 1022(b)(1) authorizes the CFPB to prescribe rules as may be necessary or appropriate to enable the CFPB to administer and carry out the purposes and objectives of the </w:t>
      </w:r>
      <w:r w:rsidRPr="00921C6C" w:rsidR="004D294F">
        <w:rPr>
          <w:sz w:val="24"/>
          <w:szCs w:val="24"/>
        </w:rPr>
        <w:t>f</w:t>
      </w:r>
      <w:r w:rsidRPr="00921C6C">
        <w:rPr>
          <w:sz w:val="24"/>
          <w:szCs w:val="24"/>
        </w:rPr>
        <w:t xml:space="preserve">ederal consumer financial laws </w:t>
      </w:r>
      <w:r w:rsidRPr="00921C6C" w:rsidR="004D294F">
        <w:rPr>
          <w:sz w:val="24"/>
          <w:szCs w:val="24"/>
        </w:rPr>
        <w:t>(</w:t>
      </w:r>
      <w:r w:rsidRPr="00921C6C">
        <w:rPr>
          <w:sz w:val="24"/>
          <w:szCs w:val="24"/>
        </w:rPr>
        <w:t xml:space="preserve">including carrying out the objectives of CFPA </w:t>
      </w:r>
      <w:r w:rsidRPr="00921C6C" w:rsidR="004D294F">
        <w:rPr>
          <w:sz w:val="24"/>
          <w:szCs w:val="24"/>
        </w:rPr>
        <w:t>S</w:t>
      </w:r>
      <w:r w:rsidRPr="00921C6C">
        <w:rPr>
          <w:sz w:val="24"/>
          <w:szCs w:val="24"/>
        </w:rPr>
        <w:t>ection 1033</w:t>
      </w:r>
      <w:r w:rsidRPr="00921C6C" w:rsidR="004D294F">
        <w:rPr>
          <w:sz w:val="24"/>
          <w:szCs w:val="24"/>
        </w:rPr>
        <w:t>)</w:t>
      </w:r>
      <w:r w:rsidRPr="00921C6C">
        <w:rPr>
          <w:sz w:val="24"/>
          <w:szCs w:val="24"/>
        </w:rPr>
        <w:t xml:space="preserve"> and to prevent evasions thereof. CFPA </w:t>
      </w:r>
      <w:r w:rsidRPr="00921C6C" w:rsidR="004D294F">
        <w:rPr>
          <w:sz w:val="24"/>
          <w:szCs w:val="24"/>
        </w:rPr>
        <w:t>S</w:t>
      </w:r>
      <w:r w:rsidRPr="00921C6C">
        <w:rPr>
          <w:sz w:val="24"/>
          <w:szCs w:val="24"/>
        </w:rPr>
        <w:t xml:space="preserve">ection 1033(c) provides that a covered person is not required to maintain or keep additional information on a consumer </w:t>
      </w:r>
      <w:r w:rsidRPr="00921C6C">
        <w:rPr>
          <w:sz w:val="24"/>
          <w:szCs w:val="24"/>
        </w:rPr>
        <w:t xml:space="preserve">and </w:t>
      </w:r>
      <w:r w:rsidRPr="00921C6C" w:rsidR="003A3D04">
        <w:rPr>
          <w:sz w:val="24"/>
          <w:szCs w:val="24"/>
        </w:rPr>
        <w:t>does not impose a requirement</w:t>
      </w:r>
      <w:r w:rsidRPr="00921C6C">
        <w:rPr>
          <w:sz w:val="24"/>
          <w:szCs w:val="24"/>
        </w:rPr>
        <w:t xml:space="preserve"> to record retention relating to compliance with CFPA </w:t>
      </w:r>
      <w:r w:rsidRPr="00921C6C" w:rsidR="003A3D04">
        <w:rPr>
          <w:sz w:val="24"/>
          <w:szCs w:val="24"/>
        </w:rPr>
        <w:t>S</w:t>
      </w:r>
      <w:r w:rsidRPr="00921C6C">
        <w:rPr>
          <w:sz w:val="24"/>
          <w:szCs w:val="24"/>
        </w:rPr>
        <w:t xml:space="preserve">ection 1033 itself. </w:t>
      </w:r>
      <w:r w:rsidRPr="00921C6C" w:rsidR="003A3D04">
        <w:rPr>
          <w:sz w:val="24"/>
          <w:szCs w:val="24"/>
        </w:rPr>
        <w:t xml:space="preserve"> </w:t>
      </w:r>
      <w:r w:rsidRPr="00921C6C">
        <w:rPr>
          <w:sz w:val="24"/>
          <w:szCs w:val="24"/>
        </w:rPr>
        <w:t xml:space="preserve">In addition, CFPA </w:t>
      </w:r>
      <w:r w:rsidRPr="00921C6C" w:rsidR="003A3D04">
        <w:rPr>
          <w:sz w:val="24"/>
          <w:szCs w:val="24"/>
        </w:rPr>
        <w:t>S</w:t>
      </w:r>
      <w:r w:rsidRPr="00921C6C">
        <w:rPr>
          <w:sz w:val="24"/>
          <w:szCs w:val="24"/>
        </w:rPr>
        <w:t>ection 1024(b)(7) grants the CFPB authority to impose record retention requirements on CFPB-supervised</w:t>
      </w:r>
      <w:r w:rsidRPr="00921C6C" w:rsidR="003A3D04">
        <w:rPr>
          <w:sz w:val="24"/>
          <w:szCs w:val="24"/>
        </w:rPr>
        <w:t>,</w:t>
      </w:r>
      <w:r w:rsidRPr="00921C6C">
        <w:rPr>
          <w:sz w:val="24"/>
          <w:szCs w:val="24"/>
        </w:rPr>
        <w:t xml:space="preserve"> non</w:t>
      </w:r>
      <w:r w:rsidRPr="00921C6C" w:rsidR="00236130">
        <w:rPr>
          <w:sz w:val="24"/>
          <w:szCs w:val="24"/>
        </w:rPr>
        <w:t>-</w:t>
      </w:r>
      <w:r w:rsidRPr="00921C6C">
        <w:rPr>
          <w:sz w:val="24"/>
          <w:szCs w:val="24"/>
        </w:rPr>
        <w:t xml:space="preserve">depository covered persons “for the purposes of facilitating supervision of such persons and assessing and detecting risks to consumers.” </w:t>
      </w:r>
    </w:p>
    <w:p w:rsidR="00C454A3" w:rsidRPr="00921C6C" w:rsidP="00F73174" w14:paraId="11B1C212" w14:textId="77777777">
      <w:pPr>
        <w:rPr>
          <w:sz w:val="24"/>
          <w:szCs w:val="24"/>
        </w:rPr>
      </w:pPr>
    </w:p>
    <w:p w:rsidR="000F3637" w:rsidRPr="00921C6C" w:rsidP="000F3637" w14:paraId="5D166ED1" w14:textId="77777777">
      <w:pPr>
        <w:rPr>
          <w:sz w:val="24"/>
          <w:szCs w:val="24"/>
        </w:rPr>
      </w:pPr>
    </w:p>
    <w:p w:rsidR="00092D91" w:rsidRPr="00921C6C" w:rsidP="00092D91" w14:paraId="15554E87" w14:textId="77777777">
      <w:pPr>
        <w:rPr>
          <w:sz w:val="24"/>
          <w:szCs w:val="24"/>
        </w:rPr>
      </w:pPr>
      <w:r w:rsidRPr="00921C6C">
        <w:rPr>
          <w:b/>
          <w:bCs/>
          <w:sz w:val="24"/>
          <w:szCs w:val="24"/>
        </w:rPr>
        <w:t>2.  Indicate how, by whom, and for what purpose the information is to be used.  Except for a new collection, indicate the actual use the agency has made of the information received from the current collection.</w:t>
      </w:r>
    </w:p>
    <w:p w:rsidR="00B922E6" w:rsidRPr="00921C6C" w:rsidP="00B922E6" w14:paraId="3595A634" w14:textId="77777777">
      <w:pPr>
        <w:rPr>
          <w:sz w:val="24"/>
          <w:szCs w:val="24"/>
        </w:rPr>
      </w:pPr>
    </w:p>
    <w:p w:rsidR="00475BCD" w:rsidRPr="00921C6C" w:rsidP="00475BCD" w14:paraId="20BC23DA" w14:textId="05DC1C20">
      <w:pPr>
        <w:rPr>
          <w:sz w:val="24"/>
          <w:szCs w:val="24"/>
        </w:rPr>
      </w:pPr>
      <w:r w:rsidRPr="00921C6C">
        <w:rPr>
          <w:sz w:val="24"/>
          <w:szCs w:val="24"/>
        </w:rPr>
        <w:t xml:space="preserve">The </w:t>
      </w:r>
      <w:r w:rsidR="003E1E79">
        <w:rPr>
          <w:sz w:val="24"/>
          <w:szCs w:val="24"/>
        </w:rPr>
        <w:t>final</w:t>
      </w:r>
      <w:r w:rsidRPr="00921C6C" w:rsidR="003E1E79">
        <w:rPr>
          <w:sz w:val="24"/>
          <w:szCs w:val="24"/>
        </w:rPr>
        <w:t xml:space="preserve"> </w:t>
      </w:r>
      <w:r w:rsidRPr="00921C6C">
        <w:rPr>
          <w:sz w:val="24"/>
          <w:szCs w:val="24"/>
        </w:rPr>
        <w:t xml:space="preserve">rule </w:t>
      </w:r>
      <w:r w:rsidR="003E1E79">
        <w:rPr>
          <w:sz w:val="24"/>
          <w:szCs w:val="24"/>
        </w:rPr>
        <w:t>amends</w:t>
      </w:r>
      <w:r w:rsidRPr="00921C6C">
        <w:rPr>
          <w:sz w:val="24"/>
          <w:szCs w:val="24"/>
        </w:rPr>
        <w:t xml:space="preserve"> 12 CFR </w:t>
      </w:r>
      <w:r w:rsidRPr="00921C6C" w:rsidR="002E03C2">
        <w:rPr>
          <w:sz w:val="24"/>
          <w:szCs w:val="24"/>
        </w:rPr>
        <w:t>P</w:t>
      </w:r>
      <w:r w:rsidRPr="00921C6C">
        <w:rPr>
          <w:sz w:val="24"/>
          <w:szCs w:val="24"/>
        </w:rPr>
        <w:t>art 1033</w:t>
      </w:r>
      <w:r w:rsidR="009538FB">
        <w:rPr>
          <w:sz w:val="24"/>
          <w:szCs w:val="24"/>
        </w:rPr>
        <w:t xml:space="preserve"> to include</w:t>
      </w:r>
      <w:r w:rsidRPr="00921C6C" w:rsidR="008B508C">
        <w:rPr>
          <w:sz w:val="24"/>
          <w:szCs w:val="24"/>
        </w:rPr>
        <w:t xml:space="preserve"> the following</w:t>
      </w:r>
      <w:r w:rsidRPr="00921C6C">
        <w:rPr>
          <w:sz w:val="24"/>
          <w:szCs w:val="24"/>
        </w:rPr>
        <w:t xml:space="preserve"> new information collection requirements.</w:t>
      </w:r>
      <w:r>
        <w:rPr>
          <w:rStyle w:val="FootnoteReference"/>
          <w:sz w:val="24"/>
          <w:szCs w:val="24"/>
        </w:rPr>
        <w:footnoteReference w:id="4"/>
      </w:r>
      <w:r w:rsidRPr="00921C6C" w:rsidR="008B508C">
        <w:rPr>
          <w:sz w:val="24"/>
          <w:szCs w:val="24"/>
        </w:rPr>
        <w:t xml:space="preserve"> The information collection requirements in this rule </w:t>
      </w:r>
      <w:r w:rsidR="00B53A62">
        <w:rPr>
          <w:sz w:val="24"/>
          <w:szCs w:val="24"/>
        </w:rPr>
        <w:t>are</w:t>
      </w:r>
      <w:r w:rsidRPr="00921C6C" w:rsidR="008B508C">
        <w:rPr>
          <w:sz w:val="24"/>
          <w:szCs w:val="24"/>
        </w:rPr>
        <w:t xml:space="preserve"> mandatory.</w:t>
      </w:r>
    </w:p>
    <w:p w:rsidR="008B508C" w:rsidRPr="00921C6C" w:rsidP="00475BCD" w14:paraId="0319463F" w14:textId="77777777">
      <w:pPr>
        <w:rPr>
          <w:sz w:val="24"/>
          <w:szCs w:val="24"/>
        </w:rPr>
      </w:pPr>
    </w:p>
    <w:p w:rsidR="00AB3AEC" w:rsidRPr="00921C6C" w:rsidP="00087AB2" w14:paraId="422834E1" w14:textId="08198C37">
      <w:pPr>
        <w:pStyle w:val="ListParagraph"/>
        <w:numPr>
          <w:ilvl w:val="0"/>
          <w:numId w:val="23"/>
        </w:numPr>
        <w:rPr>
          <w:rFonts w:ascii="Times New Roman" w:hAnsi="Times New Roman"/>
          <w:i/>
          <w:iCs/>
          <w:sz w:val="24"/>
          <w:szCs w:val="24"/>
        </w:rPr>
      </w:pPr>
      <w:r w:rsidRPr="00921C6C">
        <w:rPr>
          <w:rFonts w:ascii="Times New Roman" w:hAnsi="Times New Roman"/>
          <w:i/>
          <w:iCs/>
          <w:sz w:val="24"/>
          <w:szCs w:val="24"/>
        </w:rPr>
        <w:t>Obligation to make covered data available (</w:t>
      </w:r>
      <w:r w:rsidR="00F2646C">
        <w:rPr>
          <w:rFonts w:ascii="Times New Roman" w:hAnsi="Times New Roman"/>
          <w:i/>
          <w:iCs/>
          <w:sz w:val="24"/>
          <w:szCs w:val="24"/>
        </w:rPr>
        <w:t>Section</w:t>
      </w:r>
      <w:r w:rsidRPr="00921C6C">
        <w:rPr>
          <w:rFonts w:ascii="Times New Roman" w:hAnsi="Times New Roman"/>
          <w:i/>
          <w:iCs/>
          <w:sz w:val="24"/>
          <w:szCs w:val="24"/>
        </w:rPr>
        <w:t> 1033.201), including general requirements (</w:t>
      </w:r>
      <w:r w:rsidRPr="00921C6C" w:rsidR="00504943">
        <w:rPr>
          <w:rFonts w:ascii="Times New Roman" w:hAnsi="Times New Roman"/>
          <w:i/>
          <w:iCs/>
          <w:sz w:val="24"/>
          <w:szCs w:val="24"/>
        </w:rPr>
        <w:t>Part</w:t>
      </w:r>
      <w:r w:rsidRPr="00921C6C">
        <w:rPr>
          <w:rFonts w:ascii="Times New Roman" w:hAnsi="Times New Roman"/>
          <w:i/>
          <w:iCs/>
          <w:sz w:val="24"/>
          <w:szCs w:val="24"/>
        </w:rPr>
        <w:t> 1033.301) and requirements applicable to developer interface (</w:t>
      </w:r>
      <w:r w:rsidR="00F2646C">
        <w:rPr>
          <w:rFonts w:ascii="Times New Roman" w:hAnsi="Times New Roman"/>
          <w:i/>
          <w:iCs/>
          <w:sz w:val="24"/>
          <w:szCs w:val="24"/>
        </w:rPr>
        <w:t>Section</w:t>
      </w:r>
      <w:r w:rsidRPr="00921C6C">
        <w:rPr>
          <w:rFonts w:ascii="Times New Roman" w:hAnsi="Times New Roman"/>
          <w:i/>
          <w:iCs/>
          <w:sz w:val="24"/>
          <w:szCs w:val="24"/>
        </w:rPr>
        <w:t> 1033.311).</w:t>
      </w:r>
      <w:r w:rsidRPr="00921C6C" w:rsidR="00F12D7A">
        <w:rPr>
          <w:rFonts w:ascii="Times New Roman" w:hAnsi="Times New Roman"/>
          <w:i/>
          <w:iCs/>
          <w:sz w:val="24"/>
          <w:szCs w:val="24"/>
        </w:rPr>
        <w:t xml:space="preserve"> </w:t>
      </w:r>
    </w:p>
    <w:p w:rsidR="00AB3AEC" w:rsidRPr="00921C6C" w:rsidP="00AB3AEC" w14:paraId="4B762299" w14:textId="77777777">
      <w:pPr>
        <w:rPr>
          <w:sz w:val="24"/>
          <w:szCs w:val="24"/>
        </w:rPr>
      </w:pPr>
    </w:p>
    <w:p w:rsidR="00087AB2" w:rsidRPr="00921C6C" w:rsidP="00AB3AEC" w14:paraId="211B4686" w14:textId="5ABD7174">
      <w:pPr>
        <w:rPr>
          <w:sz w:val="24"/>
          <w:szCs w:val="24"/>
        </w:rPr>
      </w:pPr>
      <w:r w:rsidRPr="00921C6C">
        <w:rPr>
          <w:sz w:val="24"/>
          <w:szCs w:val="24"/>
        </w:rPr>
        <w:t xml:space="preserve">These </w:t>
      </w:r>
      <w:r w:rsidR="009670EA">
        <w:rPr>
          <w:sz w:val="24"/>
          <w:szCs w:val="24"/>
        </w:rPr>
        <w:t>provisions</w:t>
      </w:r>
      <w:r w:rsidRPr="00921C6C" w:rsidR="009670EA">
        <w:rPr>
          <w:sz w:val="24"/>
          <w:szCs w:val="24"/>
        </w:rPr>
        <w:t xml:space="preserve"> </w:t>
      </w:r>
      <w:r w:rsidRPr="00921C6C">
        <w:rPr>
          <w:sz w:val="24"/>
          <w:szCs w:val="24"/>
        </w:rPr>
        <w:t xml:space="preserve">carry out the objectives of CFPA </w:t>
      </w:r>
      <w:r w:rsidRPr="00921C6C" w:rsidR="00E47762">
        <w:rPr>
          <w:sz w:val="24"/>
          <w:szCs w:val="24"/>
        </w:rPr>
        <w:t>S</w:t>
      </w:r>
      <w:r w:rsidRPr="00921C6C">
        <w:rPr>
          <w:sz w:val="24"/>
          <w:szCs w:val="24"/>
        </w:rPr>
        <w:t xml:space="preserve">ection 1033 by ensuring consumers and authorized third parties can make requests </w:t>
      </w:r>
      <w:r w:rsidR="00E45FB0">
        <w:rPr>
          <w:sz w:val="24"/>
          <w:szCs w:val="24"/>
        </w:rPr>
        <w:t xml:space="preserve">for </w:t>
      </w:r>
      <w:r w:rsidRPr="00921C6C">
        <w:rPr>
          <w:sz w:val="24"/>
          <w:szCs w:val="24"/>
        </w:rPr>
        <w:t>and receive timely and reliable access to covered data in a usable electronic form</w:t>
      </w:r>
      <w:r w:rsidRPr="00921C6C" w:rsidR="0051457A">
        <w:rPr>
          <w:sz w:val="24"/>
          <w:szCs w:val="24"/>
        </w:rPr>
        <w:t xml:space="preserve"> and promot</w:t>
      </w:r>
      <w:r w:rsidR="00E45FB0">
        <w:rPr>
          <w:sz w:val="24"/>
          <w:szCs w:val="24"/>
        </w:rPr>
        <w:t>ing</w:t>
      </w:r>
      <w:r w:rsidRPr="00921C6C">
        <w:rPr>
          <w:sz w:val="24"/>
          <w:szCs w:val="24"/>
        </w:rPr>
        <w:t xml:space="preserve"> the development and use of standardized formats. </w:t>
      </w:r>
      <w:r w:rsidR="00DA0882">
        <w:rPr>
          <w:sz w:val="24"/>
          <w:szCs w:val="24"/>
        </w:rPr>
        <w:t>Section</w:t>
      </w:r>
      <w:r w:rsidRPr="00921C6C">
        <w:rPr>
          <w:sz w:val="24"/>
          <w:szCs w:val="24"/>
        </w:rPr>
        <w:t> 1033.301 require</w:t>
      </w:r>
      <w:r w:rsidR="00CC5A87">
        <w:rPr>
          <w:sz w:val="24"/>
          <w:szCs w:val="24"/>
        </w:rPr>
        <w:t>s</w:t>
      </w:r>
      <w:r w:rsidRPr="00921C6C">
        <w:rPr>
          <w:sz w:val="24"/>
          <w:szCs w:val="24"/>
        </w:rPr>
        <w:t xml:space="preserve"> a data provider subject to the requirements of </w:t>
      </w:r>
      <w:r w:rsidRPr="00921C6C" w:rsidR="00E47762">
        <w:rPr>
          <w:sz w:val="24"/>
          <w:szCs w:val="24"/>
        </w:rPr>
        <w:t>P</w:t>
      </w:r>
      <w:r w:rsidRPr="00921C6C">
        <w:rPr>
          <w:sz w:val="24"/>
          <w:szCs w:val="24"/>
        </w:rPr>
        <w:t xml:space="preserve">art 1033 to maintain a consumer interface and a developer interface. </w:t>
      </w:r>
      <w:r w:rsidRPr="00921C6C" w:rsidR="00AB3AEC">
        <w:rPr>
          <w:sz w:val="24"/>
          <w:szCs w:val="24"/>
        </w:rPr>
        <w:t xml:space="preserve">The terms consumer interface and developer interface are defined in </w:t>
      </w:r>
      <w:r w:rsidR="00DA0882">
        <w:rPr>
          <w:sz w:val="24"/>
          <w:szCs w:val="24"/>
        </w:rPr>
        <w:t>Section</w:t>
      </w:r>
      <w:r w:rsidRPr="00921C6C" w:rsidR="00247F49">
        <w:rPr>
          <w:sz w:val="24"/>
          <w:szCs w:val="24"/>
        </w:rPr>
        <w:t xml:space="preserve"> </w:t>
      </w:r>
      <w:r w:rsidRPr="00921C6C" w:rsidR="00AB3AEC">
        <w:rPr>
          <w:sz w:val="24"/>
          <w:szCs w:val="24"/>
        </w:rPr>
        <w:t>1033.131 as interfaces through which a data provider receives requests for covered data and makes covered data available in an electronic form usable by consumers and authorized third parties in response to the requests.</w:t>
      </w:r>
    </w:p>
    <w:p w:rsidR="008B508C" w:rsidRPr="00921C6C" w:rsidP="008B508C" w14:paraId="264F373A" w14:textId="77777777">
      <w:pPr>
        <w:rPr>
          <w:sz w:val="24"/>
          <w:szCs w:val="24"/>
        </w:rPr>
      </w:pPr>
    </w:p>
    <w:p w:rsidR="00AB3AEC" w:rsidRPr="00921C6C" w:rsidP="007D62DA" w14:paraId="43127CF2" w14:textId="30B661DB">
      <w:pPr>
        <w:pStyle w:val="ListParagraph"/>
        <w:numPr>
          <w:ilvl w:val="0"/>
          <w:numId w:val="23"/>
        </w:numPr>
        <w:rPr>
          <w:rFonts w:ascii="Times New Roman" w:hAnsi="Times New Roman"/>
          <w:i/>
          <w:iCs/>
          <w:sz w:val="24"/>
          <w:szCs w:val="24"/>
        </w:rPr>
      </w:pPr>
      <w:r w:rsidRPr="00921C6C">
        <w:rPr>
          <w:rFonts w:ascii="Times New Roman" w:hAnsi="Times New Roman"/>
          <w:i/>
          <w:iCs/>
          <w:sz w:val="24"/>
          <w:szCs w:val="24"/>
        </w:rPr>
        <w:t>Information about the data provider (</w:t>
      </w:r>
      <w:r w:rsidR="00AC7589">
        <w:rPr>
          <w:rFonts w:ascii="Times New Roman" w:hAnsi="Times New Roman"/>
          <w:i/>
          <w:iCs/>
          <w:sz w:val="24"/>
          <w:szCs w:val="24"/>
        </w:rPr>
        <w:t>Section</w:t>
      </w:r>
      <w:r w:rsidRPr="00921C6C">
        <w:rPr>
          <w:rFonts w:ascii="Times New Roman" w:hAnsi="Times New Roman"/>
          <w:i/>
          <w:iCs/>
          <w:sz w:val="24"/>
          <w:szCs w:val="24"/>
        </w:rPr>
        <w:t> 1033.341).</w:t>
      </w:r>
      <w:r w:rsidRPr="00921C6C" w:rsidR="007D62DA">
        <w:rPr>
          <w:rFonts w:ascii="Times New Roman" w:hAnsi="Times New Roman"/>
          <w:i/>
          <w:iCs/>
          <w:sz w:val="24"/>
          <w:szCs w:val="24"/>
        </w:rPr>
        <w:t xml:space="preserve"> </w:t>
      </w:r>
    </w:p>
    <w:p w:rsidR="00AB3AEC" w:rsidRPr="00921C6C" w:rsidP="00AB3AEC" w14:paraId="5056EF2E" w14:textId="77777777">
      <w:pPr>
        <w:rPr>
          <w:sz w:val="24"/>
          <w:szCs w:val="24"/>
        </w:rPr>
      </w:pPr>
    </w:p>
    <w:p w:rsidR="00EB5575" w:rsidRPr="00921C6C" w:rsidP="00AB3AEC" w14:paraId="166C4B54" w14:textId="2E598CC9">
      <w:pPr>
        <w:rPr>
          <w:sz w:val="24"/>
          <w:szCs w:val="24"/>
        </w:rPr>
      </w:pPr>
      <w:r w:rsidRPr="00921C6C">
        <w:rPr>
          <w:sz w:val="24"/>
          <w:szCs w:val="24"/>
        </w:rPr>
        <w:t xml:space="preserve">To facilitate the ability of third parties to request covered data through a developer interface, the CFPB is </w:t>
      </w:r>
      <w:r w:rsidR="00F57D3A">
        <w:rPr>
          <w:sz w:val="24"/>
          <w:szCs w:val="24"/>
        </w:rPr>
        <w:t>finalizing</w:t>
      </w:r>
      <w:r w:rsidRPr="00921C6C" w:rsidR="00F57D3A">
        <w:rPr>
          <w:sz w:val="24"/>
          <w:szCs w:val="24"/>
        </w:rPr>
        <w:t xml:space="preserve"> </w:t>
      </w:r>
      <w:r w:rsidRPr="00921C6C">
        <w:rPr>
          <w:sz w:val="24"/>
          <w:szCs w:val="24"/>
        </w:rPr>
        <w:t xml:space="preserve">procedures under CFPA </w:t>
      </w:r>
      <w:r w:rsidRPr="00921C6C" w:rsidR="00247F49">
        <w:rPr>
          <w:sz w:val="24"/>
          <w:szCs w:val="24"/>
        </w:rPr>
        <w:t>S</w:t>
      </w:r>
      <w:r w:rsidRPr="00921C6C">
        <w:rPr>
          <w:sz w:val="24"/>
          <w:szCs w:val="24"/>
        </w:rPr>
        <w:t xml:space="preserve">ection 1033(a) to require data providers to publish in a readily identifiable manner certain information about themselves including identifying information, contact information, and information about their developer interfaces. These provisions carry out the objectives of CFPA </w:t>
      </w:r>
      <w:r w:rsidRPr="00921C6C" w:rsidR="000C674F">
        <w:rPr>
          <w:sz w:val="24"/>
          <w:szCs w:val="24"/>
        </w:rPr>
        <w:t>S</w:t>
      </w:r>
      <w:r w:rsidRPr="00921C6C">
        <w:rPr>
          <w:sz w:val="24"/>
          <w:szCs w:val="24"/>
        </w:rPr>
        <w:t>ection 1033 by ensuring that consumers and authorized third parties have information necessary to make requests and use a developer interface which also promote</w:t>
      </w:r>
      <w:r w:rsidR="00CC5A87">
        <w:rPr>
          <w:sz w:val="24"/>
          <w:szCs w:val="24"/>
        </w:rPr>
        <w:t>s</w:t>
      </w:r>
      <w:r w:rsidRPr="00921C6C">
        <w:rPr>
          <w:sz w:val="24"/>
          <w:szCs w:val="24"/>
        </w:rPr>
        <w:t xml:space="preserve"> the use and development of standardized formats available through the developer interface.</w:t>
      </w:r>
    </w:p>
    <w:p w:rsidR="00EB5575" w:rsidRPr="00921C6C" w:rsidP="00AB3AEC" w14:paraId="3A44AB6D" w14:textId="77777777">
      <w:pPr>
        <w:rPr>
          <w:sz w:val="24"/>
          <w:szCs w:val="24"/>
        </w:rPr>
      </w:pPr>
    </w:p>
    <w:p w:rsidR="00EB5575" w:rsidRPr="00921C6C" w:rsidP="00AB3AEC" w14:paraId="18693789" w14:textId="2968B4B1">
      <w:pPr>
        <w:rPr>
          <w:sz w:val="24"/>
          <w:szCs w:val="24"/>
        </w:rPr>
      </w:pPr>
      <w:r w:rsidRPr="00921C6C">
        <w:rPr>
          <w:sz w:val="24"/>
          <w:szCs w:val="24"/>
        </w:rPr>
        <w:t>Public disclosure of this information reduce</w:t>
      </w:r>
      <w:r w:rsidR="00CC5A87">
        <w:rPr>
          <w:sz w:val="24"/>
          <w:szCs w:val="24"/>
        </w:rPr>
        <w:t>s</w:t>
      </w:r>
      <w:r w:rsidRPr="00921C6C">
        <w:rPr>
          <w:sz w:val="24"/>
          <w:szCs w:val="24"/>
        </w:rPr>
        <w:t xml:space="preserve"> search costs for third parties by giving third parties a low-cost way of identifying how to access a data provider’s interface and facilitate market monitoring by the CFPB and members of the public. The public disclosure of this information also enable</w:t>
      </w:r>
      <w:r w:rsidR="00CB0ED1">
        <w:rPr>
          <w:sz w:val="24"/>
          <w:szCs w:val="24"/>
        </w:rPr>
        <w:t>s</w:t>
      </w:r>
      <w:r w:rsidRPr="00921C6C">
        <w:rPr>
          <w:sz w:val="24"/>
          <w:szCs w:val="24"/>
        </w:rPr>
        <w:t xml:space="preserve"> standard-setting bodies to identify the data </w:t>
      </w:r>
      <w:r w:rsidRPr="00921C6C">
        <w:rPr>
          <w:sz w:val="24"/>
          <w:szCs w:val="24"/>
        </w:rPr>
        <w:t>providers and third parties that are participating in the open banking system which could aid efforts by standard-setting bodies to develop qualified industry standards related to consumer-authorized access.</w:t>
      </w:r>
      <w:r>
        <w:rPr>
          <w:rStyle w:val="FootnoteReference"/>
          <w:sz w:val="24"/>
          <w:szCs w:val="24"/>
        </w:rPr>
        <w:footnoteReference w:id="5"/>
      </w:r>
    </w:p>
    <w:p w:rsidR="008B508C" w:rsidRPr="00921C6C" w:rsidP="008B508C" w14:paraId="3AEA80EF" w14:textId="77777777">
      <w:pPr>
        <w:rPr>
          <w:sz w:val="24"/>
          <w:szCs w:val="24"/>
        </w:rPr>
      </w:pPr>
    </w:p>
    <w:p w:rsidR="00475BCD" w:rsidRPr="00921C6C" w:rsidP="008B508C" w14:paraId="4A3DD3DF" w14:textId="01841FFA">
      <w:pPr>
        <w:pStyle w:val="ListParagraph"/>
        <w:numPr>
          <w:ilvl w:val="0"/>
          <w:numId w:val="23"/>
        </w:numPr>
        <w:rPr>
          <w:rFonts w:ascii="Times New Roman" w:hAnsi="Times New Roman"/>
          <w:i/>
          <w:iCs/>
          <w:sz w:val="24"/>
          <w:szCs w:val="24"/>
        </w:rPr>
      </w:pPr>
      <w:r w:rsidRPr="00921C6C">
        <w:rPr>
          <w:rFonts w:ascii="Times New Roman" w:hAnsi="Times New Roman"/>
          <w:i/>
          <w:iCs/>
          <w:sz w:val="24"/>
          <w:szCs w:val="24"/>
        </w:rPr>
        <w:t>Policies and procedures for data providers (</w:t>
      </w:r>
      <w:r w:rsidR="002566AD">
        <w:rPr>
          <w:rFonts w:ascii="Times New Roman" w:hAnsi="Times New Roman"/>
          <w:i/>
          <w:iCs/>
          <w:sz w:val="24"/>
          <w:szCs w:val="24"/>
        </w:rPr>
        <w:t>Section</w:t>
      </w:r>
      <w:r w:rsidRPr="00921C6C">
        <w:rPr>
          <w:rFonts w:ascii="Times New Roman" w:hAnsi="Times New Roman"/>
          <w:i/>
          <w:iCs/>
          <w:sz w:val="24"/>
          <w:szCs w:val="24"/>
        </w:rPr>
        <w:t> 1033.351).</w:t>
      </w:r>
    </w:p>
    <w:p w:rsidR="00210C2D" w:rsidRPr="00921C6C" w:rsidP="00210C2D" w14:paraId="611C2893" w14:textId="77777777">
      <w:pPr>
        <w:rPr>
          <w:sz w:val="24"/>
          <w:szCs w:val="24"/>
        </w:rPr>
      </w:pPr>
    </w:p>
    <w:p w:rsidR="00F57D3A" w:rsidP="00210C2D" w14:paraId="07088378" w14:textId="44CB7A55">
      <w:pPr>
        <w:rPr>
          <w:sz w:val="24"/>
          <w:szCs w:val="24"/>
        </w:rPr>
      </w:pPr>
      <w:r>
        <w:rPr>
          <w:sz w:val="24"/>
          <w:szCs w:val="24"/>
        </w:rPr>
        <w:t>Section</w:t>
      </w:r>
      <w:r w:rsidRPr="00921C6C" w:rsidR="00190F86">
        <w:rPr>
          <w:sz w:val="24"/>
          <w:szCs w:val="24"/>
        </w:rPr>
        <w:t> 1033.351(a) set</w:t>
      </w:r>
      <w:r w:rsidR="00CC5A87">
        <w:rPr>
          <w:sz w:val="24"/>
          <w:szCs w:val="24"/>
        </w:rPr>
        <w:t>s</w:t>
      </w:r>
      <w:r w:rsidRPr="00921C6C" w:rsidR="00190F86">
        <w:rPr>
          <w:sz w:val="24"/>
          <w:szCs w:val="24"/>
        </w:rPr>
        <w:t xml:space="preserve"> forth the general obligation that data providers establish and maintain written policies and procedures that are reasonably designed to achieve the objectives with respect to data providers’ obligations under the </w:t>
      </w:r>
    </w:p>
    <w:p w:rsidR="00210C2D" w:rsidRPr="00921C6C" w:rsidP="00210C2D" w14:paraId="75689FA6" w14:textId="00C40D95">
      <w:pPr>
        <w:rPr>
          <w:sz w:val="24"/>
          <w:szCs w:val="24"/>
        </w:rPr>
      </w:pPr>
      <w:r w:rsidRPr="00921C6C">
        <w:rPr>
          <w:sz w:val="24"/>
          <w:szCs w:val="24"/>
        </w:rPr>
        <w:t xml:space="preserve">rule, including </w:t>
      </w:r>
      <w:r w:rsidR="00854815">
        <w:rPr>
          <w:sz w:val="24"/>
          <w:szCs w:val="24"/>
        </w:rPr>
        <w:t>Section</w:t>
      </w:r>
      <w:r w:rsidRPr="00921C6C">
        <w:rPr>
          <w:sz w:val="24"/>
          <w:szCs w:val="24"/>
        </w:rPr>
        <w:t xml:space="preserve"> 1033.351(b) through (d). The CFPB </w:t>
      </w:r>
      <w:r w:rsidR="00F57D3A">
        <w:rPr>
          <w:sz w:val="24"/>
          <w:szCs w:val="24"/>
        </w:rPr>
        <w:t>is issuing</w:t>
      </w:r>
      <w:r w:rsidRPr="00921C6C" w:rsidR="00F57D3A">
        <w:rPr>
          <w:sz w:val="24"/>
          <w:szCs w:val="24"/>
        </w:rPr>
        <w:t xml:space="preserve"> </w:t>
      </w:r>
      <w:r w:rsidR="00854815">
        <w:rPr>
          <w:sz w:val="24"/>
          <w:szCs w:val="24"/>
        </w:rPr>
        <w:t>Section</w:t>
      </w:r>
      <w:r w:rsidRPr="00921C6C">
        <w:rPr>
          <w:sz w:val="24"/>
          <w:szCs w:val="24"/>
        </w:rPr>
        <w:t xml:space="preserve"> 1033.351(a) pursuant to its authority provided by CFPA </w:t>
      </w:r>
      <w:r w:rsidRPr="00921C6C" w:rsidR="0045417D">
        <w:rPr>
          <w:sz w:val="24"/>
          <w:szCs w:val="24"/>
        </w:rPr>
        <w:t>S</w:t>
      </w:r>
      <w:r w:rsidRPr="00921C6C">
        <w:rPr>
          <w:sz w:val="24"/>
          <w:szCs w:val="24"/>
        </w:rPr>
        <w:t xml:space="preserve">ections 1033(a) and 1022(b)(1). The policies and procedures in § 1033.351(b) carry out the objectives of CFPA </w:t>
      </w:r>
      <w:r w:rsidRPr="00921C6C" w:rsidR="000E21EB">
        <w:rPr>
          <w:sz w:val="24"/>
          <w:szCs w:val="24"/>
        </w:rPr>
        <w:t>S</w:t>
      </w:r>
      <w:r w:rsidRPr="00921C6C">
        <w:rPr>
          <w:sz w:val="24"/>
          <w:szCs w:val="24"/>
        </w:rPr>
        <w:t xml:space="preserve">ection 1033(a) to make available information upon request by ensuring data providers are accountable for their decisions to make available covered data in response to requests, and in granting third </w:t>
      </w:r>
      <w:r w:rsidRPr="00921C6C">
        <w:rPr>
          <w:sz w:val="24"/>
          <w:szCs w:val="24"/>
        </w:rPr>
        <w:t>parties</w:t>
      </w:r>
      <w:r w:rsidRPr="00921C6C">
        <w:rPr>
          <w:sz w:val="24"/>
          <w:szCs w:val="24"/>
        </w:rPr>
        <w:t xml:space="preserve"> access to the developer interface. The policies and procedures in </w:t>
      </w:r>
      <w:r w:rsidR="00854815">
        <w:rPr>
          <w:sz w:val="24"/>
          <w:szCs w:val="24"/>
        </w:rPr>
        <w:t>Section</w:t>
      </w:r>
      <w:r w:rsidRPr="00921C6C">
        <w:rPr>
          <w:sz w:val="24"/>
          <w:szCs w:val="24"/>
        </w:rPr>
        <w:t xml:space="preserve"> 1033.351(c) carry out the objectives of CFPA </w:t>
      </w:r>
      <w:r w:rsidRPr="00921C6C" w:rsidR="000E21EB">
        <w:rPr>
          <w:sz w:val="24"/>
          <w:szCs w:val="24"/>
        </w:rPr>
        <w:t>S</w:t>
      </w:r>
      <w:r w:rsidRPr="00921C6C">
        <w:rPr>
          <w:sz w:val="24"/>
          <w:szCs w:val="24"/>
        </w:rPr>
        <w:t xml:space="preserve">ection 1033(a) that data be made available in a usable electronic form by ensuring developer interfaces accurately transmit covered data. In addition, the CFPB is </w:t>
      </w:r>
      <w:r w:rsidR="00F57D3A">
        <w:rPr>
          <w:sz w:val="24"/>
          <w:szCs w:val="24"/>
        </w:rPr>
        <w:t>finalizing</w:t>
      </w:r>
      <w:r w:rsidRPr="00921C6C" w:rsidR="00F57D3A">
        <w:rPr>
          <w:sz w:val="24"/>
          <w:szCs w:val="24"/>
        </w:rPr>
        <w:t xml:space="preserve"> </w:t>
      </w:r>
      <w:r w:rsidRPr="00921C6C">
        <w:rPr>
          <w:sz w:val="24"/>
          <w:szCs w:val="24"/>
        </w:rPr>
        <w:t xml:space="preserve">recordkeeping requirements under CFPA </w:t>
      </w:r>
      <w:r w:rsidRPr="00921C6C" w:rsidR="000E21EB">
        <w:rPr>
          <w:sz w:val="24"/>
          <w:szCs w:val="24"/>
        </w:rPr>
        <w:t>S</w:t>
      </w:r>
      <w:r w:rsidRPr="00921C6C">
        <w:rPr>
          <w:sz w:val="24"/>
          <w:szCs w:val="24"/>
        </w:rPr>
        <w:t xml:space="preserve">ection 1022(b)(1) to facilitate supervision and enforcement of the rule and to prevent evasion. </w:t>
      </w:r>
    </w:p>
    <w:p w:rsidR="008B508C" w:rsidRPr="00921C6C" w:rsidP="008B508C" w14:paraId="26B243C3" w14:textId="77777777">
      <w:pPr>
        <w:rPr>
          <w:sz w:val="24"/>
          <w:szCs w:val="24"/>
        </w:rPr>
      </w:pPr>
    </w:p>
    <w:p w:rsidR="00475BCD" w:rsidRPr="00921C6C" w:rsidP="008B508C" w14:paraId="40F5EF4C" w14:textId="7C49C938">
      <w:pPr>
        <w:pStyle w:val="ListParagraph"/>
        <w:numPr>
          <w:ilvl w:val="0"/>
          <w:numId w:val="23"/>
        </w:numPr>
        <w:rPr>
          <w:rFonts w:ascii="Times New Roman" w:hAnsi="Times New Roman"/>
          <w:i/>
          <w:iCs/>
          <w:sz w:val="24"/>
          <w:szCs w:val="24"/>
        </w:rPr>
      </w:pPr>
      <w:r w:rsidRPr="00921C6C">
        <w:rPr>
          <w:rFonts w:ascii="Times New Roman" w:hAnsi="Times New Roman"/>
          <w:i/>
          <w:iCs/>
          <w:sz w:val="24"/>
          <w:szCs w:val="24"/>
        </w:rPr>
        <w:t>Third party authorization; general (</w:t>
      </w:r>
      <w:r w:rsidR="002566AD">
        <w:rPr>
          <w:rFonts w:ascii="Times New Roman" w:hAnsi="Times New Roman"/>
          <w:i/>
          <w:iCs/>
          <w:sz w:val="24"/>
          <w:szCs w:val="24"/>
        </w:rPr>
        <w:t>Section</w:t>
      </w:r>
      <w:r w:rsidRPr="00921C6C">
        <w:rPr>
          <w:rFonts w:ascii="Times New Roman" w:hAnsi="Times New Roman"/>
          <w:i/>
          <w:iCs/>
          <w:sz w:val="24"/>
          <w:szCs w:val="24"/>
        </w:rPr>
        <w:t> 1033.401), including the authorization disclosure (</w:t>
      </w:r>
      <w:r w:rsidRPr="00921C6C" w:rsidR="006926EC">
        <w:rPr>
          <w:rFonts w:ascii="Times New Roman" w:hAnsi="Times New Roman"/>
          <w:i/>
          <w:iCs/>
          <w:sz w:val="24"/>
          <w:szCs w:val="24"/>
        </w:rPr>
        <w:t>Part</w:t>
      </w:r>
      <w:r w:rsidRPr="00921C6C">
        <w:rPr>
          <w:rFonts w:ascii="Times New Roman" w:hAnsi="Times New Roman"/>
          <w:i/>
          <w:iCs/>
          <w:sz w:val="24"/>
          <w:szCs w:val="24"/>
        </w:rPr>
        <w:t> 1033.411).</w:t>
      </w:r>
    </w:p>
    <w:p w:rsidR="00C41088" w:rsidRPr="00921C6C" w:rsidP="00C41088" w14:paraId="0E69C24C" w14:textId="77777777">
      <w:pPr>
        <w:rPr>
          <w:sz w:val="24"/>
          <w:szCs w:val="24"/>
        </w:rPr>
      </w:pPr>
    </w:p>
    <w:p w:rsidR="00C41088" w:rsidRPr="00921C6C" w:rsidP="00C41088" w14:paraId="549F6CF6" w14:textId="23FC5057">
      <w:pPr>
        <w:rPr>
          <w:sz w:val="24"/>
          <w:szCs w:val="24"/>
        </w:rPr>
      </w:pPr>
      <w:r w:rsidRPr="00921C6C">
        <w:rPr>
          <w:sz w:val="24"/>
          <w:szCs w:val="24"/>
        </w:rPr>
        <w:t xml:space="preserve">The CFPB is </w:t>
      </w:r>
      <w:r w:rsidR="00F57D3A">
        <w:rPr>
          <w:sz w:val="24"/>
          <w:szCs w:val="24"/>
        </w:rPr>
        <w:t>finalizing</w:t>
      </w:r>
      <w:r w:rsidRPr="00921C6C" w:rsidR="00F57D3A">
        <w:rPr>
          <w:sz w:val="24"/>
          <w:szCs w:val="24"/>
        </w:rPr>
        <w:t xml:space="preserve"> </w:t>
      </w:r>
      <w:r w:rsidRPr="00921C6C">
        <w:rPr>
          <w:sz w:val="24"/>
          <w:szCs w:val="24"/>
        </w:rPr>
        <w:t xml:space="preserve">authorization procedures for third parties seeking to access covered data on consumers’ behalf. Section 1033(a) of the CFPA generally requires data providers to make information available to a consumer and agents, trustees, or representatives acting on their behalf. The authorization procedures are designed to ensure that third parties accessing covered data are acting on behalf of the consumer. Specifically, the authorization procedures include requirements to provide an authorization disclosure to inform the consumer of key terms of access, certify to the consumer that the third party will abide by certain obligations regarding the consumer’s data, and obtain the consumer’s express informed consent to the key terms of access contained in the authorization disclosure. </w:t>
      </w:r>
    </w:p>
    <w:p w:rsidR="008B508C" w:rsidRPr="00921C6C" w:rsidP="008B508C" w14:paraId="05C84605" w14:textId="77777777">
      <w:pPr>
        <w:rPr>
          <w:sz w:val="24"/>
          <w:szCs w:val="24"/>
        </w:rPr>
      </w:pPr>
    </w:p>
    <w:p w:rsidR="00475BCD" w:rsidRPr="00921C6C" w:rsidP="008B508C" w14:paraId="35EA15EB" w14:textId="35B95D1C">
      <w:pPr>
        <w:pStyle w:val="ListParagraph"/>
        <w:numPr>
          <w:ilvl w:val="0"/>
          <w:numId w:val="23"/>
        </w:numPr>
        <w:rPr>
          <w:rFonts w:ascii="Times New Roman" w:hAnsi="Times New Roman"/>
          <w:i/>
          <w:iCs/>
          <w:sz w:val="24"/>
          <w:szCs w:val="24"/>
        </w:rPr>
      </w:pPr>
      <w:r w:rsidRPr="00921C6C">
        <w:rPr>
          <w:rFonts w:ascii="Times New Roman" w:hAnsi="Times New Roman"/>
          <w:i/>
          <w:iCs/>
          <w:sz w:val="24"/>
          <w:szCs w:val="24"/>
        </w:rPr>
        <w:t>Third party obligations (</w:t>
      </w:r>
      <w:r w:rsidR="002566AD">
        <w:rPr>
          <w:rFonts w:ascii="Times New Roman" w:hAnsi="Times New Roman"/>
          <w:i/>
          <w:iCs/>
          <w:sz w:val="24"/>
          <w:szCs w:val="24"/>
        </w:rPr>
        <w:t>Section</w:t>
      </w:r>
      <w:r w:rsidRPr="00921C6C">
        <w:rPr>
          <w:rFonts w:ascii="Times New Roman" w:hAnsi="Times New Roman"/>
          <w:i/>
          <w:iCs/>
          <w:sz w:val="24"/>
          <w:szCs w:val="24"/>
        </w:rPr>
        <w:t> 1033.421).</w:t>
      </w:r>
    </w:p>
    <w:p w:rsidR="008B508C" w:rsidRPr="00921C6C" w:rsidP="008B508C" w14:paraId="58F7E700" w14:textId="77777777">
      <w:pPr>
        <w:rPr>
          <w:sz w:val="24"/>
          <w:szCs w:val="24"/>
        </w:rPr>
      </w:pPr>
    </w:p>
    <w:p w:rsidR="005D79C4" w:rsidRPr="00921C6C" w:rsidP="00134FF6" w14:paraId="6D393A2A" w14:textId="6CCBC6BA">
      <w:pPr>
        <w:pStyle w:val="Default"/>
        <w:rPr>
          <w:rFonts w:ascii="Times New Roman" w:hAnsi="Times New Roman" w:cs="Times New Roman"/>
        </w:rPr>
      </w:pPr>
      <w:r>
        <w:rPr>
          <w:rFonts w:ascii="Times New Roman" w:hAnsi="Times New Roman" w:cs="Times New Roman"/>
        </w:rPr>
        <w:t>Section</w:t>
      </w:r>
      <w:r w:rsidRPr="00921C6C" w:rsidR="00190F86">
        <w:rPr>
          <w:rFonts w:ascii="Times New Roman" w:hAnsi="Times New Roman" w:cs="Times New Roman"/>
        </w:rPr>
        <w:t> 1033.421 describe</w:t>
      </w:r>
      <w:r w:rsidR="00F57D3A">
        <w:rPr>
          <w:rFonts w:ascii="Times New Roman" w:hAnsi="Times New Roman" w:cs="Times New Roman"/>
        </w:rPr>
        <w:t>s</w:t>
      </w:r>
      <w:r w:rsidRPr="00921C6C" w:rsidR="00190F86">
        <w:rPr>
          <w:rFonts w:ascii="Times New Roman" w:hAnsi="Times New Roman" w:cs="Times New Roman"/>
        </w:rPr>
        <w:t xml:space="preserve"> the obligations to which third parties must certify to be authorized to access covered data. The CFPB is </w:t>
      </w:r>
      <w:r w:rsidR="00F57D3A">
        <w:rPr>
          <w:rFonts w:ascii="Times New Roman" w:hAnsi="Times New Roman" w:cs="Times New Roman"/>
        </w:rPr>
        <w:t>issuing</w:t>
      </w:r>
      <w:r w:rsidRPr="00921C6C" w:rsidR="00F57D3A">
        <w:rPr>
          <w:rFonts w:ascii="Times New Roman" w:hAnsi="Times New Roman" w:cs="Times New Roman"/>
        </w:rPr>
        <w:t xml:space="preserve"> </w:t>
      </w:r>
      <w:r w:rsidRPr="00921C6C" w:rsidR="00190F86">
        <w:rPr>
          <w:rFonts w:ascii="Times New Roman" w:hAnsi="Times New Roman" w:cs="Times New Roman"/>
        </w:rPr>
        <w:t xml:space="preserve">these certification requirements to ensure that third parties accessing covered data are acting on behalf of the consumer. The </w:t>
      </w:r>
      <w:r w:rsidR="00F57D3A">
        <w:rPr>
          <w:rFonts w:ascii="Times New Roman" w:hAnsi="Times New Roman" w:cs="Times New Roman"/>
        </w:rPr>
        <w:t>rule</w:t>
      </w:r>
      <w:r w:rsidRPr="00921C6C" w:rsidR="00F57D3A">
        <w:rPr>
          <w:rFonts w:ascii="Times New Roman" w:hAnsi="Times New Roman" w:cs="Times New Roman"/>
        </w:rPr>
        <w:t xml:space="preserve"> </w:t>
      </w:r>
      <w:r w:rsidRPr="00921C6C" w:rsidR="00190F86">
        <w:rPr>
          <w:rFonts w:ascii="Times New Roman" w:hAnsi="Times New Roman" w:cs="Times New Roman"/>
        </w:rPr>
        <w:t>require</w:t>
      </w:r>
      <w:r w:rsidR="00F57D3A">
        <w:rPr>
          <w:rFonts w:ascii="Times New Roman" w:hAnsi="Times New Roman" w:cs="Times New Roman"/>
        </w:rPr>
        <w:t>s</w:t>
      </w:r>
      <w:r w:rsidRPr="00921C6C" w:rsidR="00190F86">
        <w:rPr>
          <w:rFonts w:ascii="Times New Roman" w:hAnsi="Times New Roman" w:cs="Times New Roman"/>
        </w:rPr>
        <w:t xml:space="preserve"> third parties to certify to limit their collection, use, and retention of covered data</w:t>
      </w:r>
      <w:r w:rsidR="005F58BC">
        <w:rPr>
          <w:rFonts w:ascii="Times New Roman" w:hAnsi="Times New Roman" w:cs="Times New Roman"/>
        </w:rPr>
        <w:t>,</w:t>
      </w:r>
      <w:r w:rsidRPr="00921C6C" w:rsidR="001F63CF">
        <w:rPr>
          <w:rFonts w:ascii="Times New Roman" w:hAnsi="Times New Roman" w:cs="Times New Roman"/>
        </w:rPr>
        <w:t xml:space="preserve"> </w:t>
      </w:r>
      <w:r w:rsidR="005F58BC">
        <w:rPr>
          <w:rFonts w:ascii="Times New Roman" w:hAnsi="Times New Roman" w:cs="Times New Roman"/>
        </w:rPr>
        <w:t>including</w:t>
      </w:r>
      <w:r w:rsidRPr="00921C6C" w:rsidR="00190F86">
        <w:rPr>
          <w:rFonts w:ascii="Times New Roman" w:hAnsi="Times New Roman" w:cs="Times New Roman"/>
        </w:rPr>
        <w:t xml:space="preserve"> limiting the duration and frequency of collection and the </w:t>
      </w:r>
      <w:r w:rsidRPr="00921C6C" w:rsidR="00190F86">
        <w:rPr>
          <w:rFonts w:ascii="Times New Roman" w:hAnsi="Times New Roman" w:cs="Times New Roman"/>
        </w:rPr>
        <w:t>provision of data to other third parties</w:t>
      </w:r>
      <w:r w:rsidR="00D308C4">
        <w:rPr>
          <w:rFonts w:ascii="Times New Roman" w:hAnsi="Times New Roman" w:cs="Times New Roman"/>
        </w:rPr>
        <w:t>,</w:t>
      </w:r>
      <w:r w:rsidRPr="00921C6C" w:rsidR="00190F86">
        <w:rPr>
          <w:rFonts w:ascii="Times New Roman" w:hAnsi="Times New Roman" w:cs="Times New Roman"/>
        </w:rPr>
        <w:t xml:space="preserve"> to what is reasonably necessary to provide the consumer’s requested product or service. Under </w:t>
      </w:r>
      <w:r>
        <w:rPr>
          <w:rFonts w:ascii="Times New Roman" w:hAnsi="Times New Roman" w:cs="Times New Roman"/>
        </w:rPr>
        <w:t>Section</w:t>
      </w:r>
      <w:r w:rsidRPr="00921C6C" w:rsidR="00190F86">
        <w:rPr>
          <w:rFonts w:ascii="Times New Roman" w:hAnsi="Times New Roman" w:cs="Times New Roman"/>
        </w:rPr>
        <w:t xml:space="preserve"> 1033.421, third parties certify to a maximum duration of collection of one year after the consumer’s </w:t>
      </w:r>
      <w:r w:rsidR="009F1D52">
        <w:rPr>
          <w:rFonts w:ascii="Times New Roman" w:hAnsi="Times New Roman" w:cs="Times New Roman"/>
        </w:rPr>
        <w:t xml:space="preserve">most recent </w:t>
      </w:r>
      <w:r w:rsidRPr="00921C6C" w:rsidR="00190F86">
        <w:rPr>
          <w:rFonts w:ascii="Times New Roman" w:hAnsi="Times New Roman" w:cs="Times New Roman"/>
        </w:rPr>
        <w:t xml:space="preserve">authorization unless the consumer reauthorizes the third party’s access. Third parties also </w:t>
      </w:r>
      <w:r w:rsidR="00CC5A87">
        <w:rPr>
          <w:rFonts w:ascii="Times New Roman" w:hAnsi="Times New Roman" w:cs="Times New Roman"/>
        </w:rPr>
        <w:t>are</w:t>
      </w:r>
      <w:r w:rsidRPr="00921C6C" w:rsidR="00CC5A87">
        <w:rPr>
          <w:rFonts w:ascii="Times New Roman" w:hAnsi="Times New Roman" w:cs="Times New Roman"/>
        </w:rPr>
        <w:t xml:space="preserve"> </w:t>
      </w:r>
      <w:r w:rsidRPr="00921C6C" w:rsidR="00190F86">
        <w:rPr>
          <w:rFonts w:ascii="Times New Roman" w:hAnsi="Times New Roman" w:cs="Times New Roman"/>
        </w:rPr>
        <w:t xml:space="preserve">required to certify to provide consumers a simple way to revoke access, to maintain certain accuracy and data security obligations, and to ensure consumers have access to information about the third party’s authorization to access data. </w:t>
      </w:r>
      <w:r w:rsidRPr="00921C6C" w:rsidR="00CB4F80">
        <w:rPr>
          <w:rFonts w:ascii="Times New Roman" w:hAnsi="Times New Roman" w:cs="Times New Roman"/>
        </w:rPr>
        <w:t>Part</w:t>
      </w:r>
      <w:r w:rsidRPr="00921C6C" w:rsidR="00190F86">
        <w:rPr>
          <w:rFonts w:ascii="Times New Roman" w:hAnsi="Times New Roman" w:cs="Times New Roman"/>
        </w:rPr>
        <w:t> 1033.421 also require</w:t>
      </w:r>
      <w:r w:rsidR="00F57D3A">
        <w:rPr>
          <w:rFonts w:ascii="Times New Roman" w:hAnsi="Times New Roman" w:cs="Times New Roman"/>
        </w:rPr>
        <w:t>s</w:t>
      </w:r>
      <w:r w:rsidRPr="00921C6C" w:rsidR="00190F86">
        <w:rPr>
          <w:rFonts w:ascii="Times New Roman" w:hAnsi="Times New Roman" w:cs="Times New Roman"/>
        </w:rPr>
        <w:t xml:space="preserve"> a certification related to providing covered data to another third party and provide</w:t>
      </w:r>
      <w:r w:rsidR="00CC5A87">
        <w:rPr>
          <w:rFonts w:ascii="Times New Roman" w:hAnsi="Times New Roman" w:cs="Times New Roman"/>
        </w:rPr>
        <w:t>s</w:t>
      </w:r>
      <w:r w:rsidRPr="00921C6C" w:rsidR="00190F86">
        <w:rPr>
          <w:rFonts w:ascii="Times New Roman" w:hAnsi="Times New Roman" w:cs="Times New Roman"/>
        </w:rPr>
        <w:t xml:space="preserve"> requirements that apply when the third party is using a data aggregator. </w:t>
      </w:r>
    </w:p>
    <w:p w:rsidR="00DE07AF" w:rsidRPr="00921C6C" w:rsidP="008B508C" w14:paraId="3B6423A4" w14:textId="77777777">
      <w:pPr>
        <w:rPr>
          <w:sz w:val="24"/>
          <w:szCs w:val="24"/>
        </w:rPr>
      </w:pPr>
    </w:p>
    <w:p w:rsidR="00475BCD" w:rsidRPr="00921C6C" w:rsidP="008B508C" w14:paraId="7057B401" w14:textId="6093B62B">
      <w:pPr>
        <w:pStyle w:val="ListParagraph"/>
        <w:numPr>
          <w:ilvl w:val="0"/>
          <w:numId w:val="23"/>
        </w:numPr>
        <w:rPr>
          <w:rFonts w:ascii="Times New Roman" w:hAnsi="Times New Roman"/>
          <w:i/>
          <w:iCs/>
          <w:sz w:val="24"/>
          <w:szCs w:val="24"/>
        </w:rPr>
      </w:pPr>
      <w:r w:rsidRPr="00921C6C">
        <w:rPr>
          <w:rFonts w:ascii="Times New Roman" w:hAnsi="Times New Roman"/>
          <w:i/>
          <w:iCs/>
          <w:sz w:val="24"/>
          <w:szCs w:val="24"/>
        </w:rPr>
        <w:t>Use of data aggregator (</w:t>
      </w:r>
      <w:r w:rsidR="002566AD">
        <w:rPr>
          <w:rFonts w:ascii="Times New Roman" w:hAnsi="Times New Roman"/>
          <w:i/>
          <w:iCs/>
          <w:sz w:val="24"/>
          <w:szCs w:val="24"/>
        </w:rPr>
        <w:t>Section</w:t>
      </w:r>
      <w:r w:rsidRPr="00921C6C">
        <w:rPr>
          <w:rFonts w:ascii="Times New Roman" w:hAnsi="Times New Roman"/>
          <w:i/>
          <w:iCs/>
          <w:sz w:val="24"/>
          <w:szCs w:val="24"/>
        </w:rPr>
        <w:t> 1033.431).</w:t>
      </w:r>
    </w:p>
    <w:p w:rsidR="007B489A" w:rsidRPr="00921C6C" w:rsidP="007B489A" w14:paraId="2A891D53" w14:textId="77777777">
      <w:pPr>
        <w:rPr>
          <w:sz w:val="24"/>
          <w:szCs w:val="24"/>
        </w:rPr>
      </w:pPr>
    </w:p>
    <w:p w:rsidR="007E6B4F" w:rsidRPr="00921C6C" w:rsidP="007E6B4F" w14:paraId="3639BF4C" w14:textId="6FB6A985">
      <w:pPr>
        <w:rPr>
          <w:sz w:val="24"/>
          <w:szCs w:val="24"/>
        </w:rPr>
      </w:pPr>
      <w:r w:rsidRPr="00921C6C">
        <w:rPr>
          <w:sz w:val="24"/>
          <w:szCs w:val="24"/>
        </w:rPr>
        <w:t xml:space="preserve">The CFPB is </w:t>
      </w:r>
      <w:r w:rsidR="00F57D3A">
        <w:rPr>
          <w:sz w:val="24"/>
          <w:szCs w:val="24"/>
        </w:rPr>
        <w:t>issuing</w:t>
      </w:r>
      <w:r w:rsidRPr="00921C6C" w:rsidR="00F57D3A">
        <w:rPr>
          <w:sz w:val="24"/>
          <w:szCs w:val="24"/>
        </w:rPr>
        <w:t xml:space="preserve"> </w:t>
      </w:r>
      <w:r w:rsidR="00C71CDC">
        <w:rPr>
          <w:sz w:val="24"/>
          <w:szCs w:val="24"/>
        </w:rPr>
        <w:t>Section</w:t>
      </w:r>
      <w:r w:rsidRPr="00921C6C" w:rsidR="00CB4F80">
        <w:rPr>
          <w:sz w:val="24"/>
          <w:szCs w:val="24"/>
        </w:rPr>
        <w:t xml:space="preserve"> </w:t>
      </w:r>
      <w:r w:rsidRPr="00921C6C" w:rsidR="009F59BD">
        <w:rPr>
          <w:sz w:val="24"/>
          <w:szCs w:val="24"/>
        </w:rPr>
        <w:t xml:space="preserve">1033.431 </w:t>
      </w:r>
      <w:r w:rsidRPr="00921C6C">
        <w:rPr>
          <w:sz w:val="24"/>
          <w:szCs w:val="24"/>
        </w:rPr>
        <w:t>to adopt certain requirements for the third</w:t>
      </w:r>
      <w:r w:rsidRPr="00921C6C" w:rsidR="00CB4F80">
        <w:rPr>
          <w:sz w:val="24"/>
          <w:szCs w:val="24"/>
        </w:rPr>
        <w:t>-</w:t>
      </w:r>
      <w:r w:rsidRPr="00921C6C">
        <w:rPr>
          <w:sz w:val="24"/>
          <w:szCs w:val="24"/>
        </w:rPr>
        <w:t xml:space="preserve">party authorization procedures when a third party will use a data aggregator to assist with accessing covered data on behalf of a consumer. Currently, many third parties rely on data aggregators to assist with accessing and processing consumer financial data. </w:t>
      </w:r>
      <w:r w:rsidR="00C71CDC">
        <w:rPr>
          <w:sz w:val="24"/>
          <w:szCs w:val="24"/>
        </w:rPr>
        <w:t>Section</w:t>
      </w:r>
      <w:r w:rsidRPr="00921C6C">
        <w:rPr>
          <w:sz w:val="24"/>
          <w:szCs w:val="24"/>
        </w:rPr>
        <w:t xml:space="preserve"> 1033.431 </w:t>
      </w:r>
      <w:r w:rsidR="003A32BF">
        <w:rPr>
          <w:sz w:val="24"/>
          <w:szCs w:val="24"/>
        </w:rPr>
        <w:t>addresses</w:t>
      </w:r>
      <w:r w:rsidRPr="00921C6C" w:rsidR="003A32BF">
        <w:rPr>
          <w:sz w:val="24"/>
          <w:szCs w:val="24"/>
        </w:rPr>
        <w:t xml:space="preserve"> responsibilit</w:t>
      </w:r>
      <w:r w:rsidR="003A32BF">
        <w:rPr>
          <w:sz w:val="24"/>
          <w:szCs w:val="24"/>
        </w:rPr>
        <w:t xml:space="preserve">y </w:t>
      </w:r>
      <w:r w:rsidRPr="00921C6C">
        <w:rPr>
          <w:sz w:val="24"/>
          <w:szCs w:val="24"/>
        </w:rPr>
        <w:t xml:space="preserve">for the authorization procedures </w:t>
      </w:r>
      <w:r w:rsidR="003975B4">
        <w:rPr>
          <w:sz w:val="24"/>
          <w:szCs w:val="24"/>
        </w:rPr>
        <w:t xml:space="preserve">when a third party will use a data aggregator </w:t>
      </w:r>
      <w:r w:rsidRPr="00921C6C">
        <w:rPr>
          <w:sz w:val="24"/>
          <w:szCs w:val="24"/>
        </w:rPr>
        <w:t>and impose</w:t>
      </w:r>
      <w:r w:rsidR="003A32BF">
        <w:rPr>
          <w:sz w:val="24"/>
          <w:szCs w:val="24"/>
        </w:rPr>
        <w:t>s</w:t>
      </w:r>
      <w:r w:rsidRPr="00921C6C">
        <w:rPr>
          <w:sz w:val="24"/>
          <w:szCs w:val="24"/>
        </w:rPr>
        <w:t xml:space="preserve"> certain condition</w:t>
      </w:r>
      <w:r w:rsidR="004F516A">
        <w:rPr>
          <w:sz w:val="24"/>
          <w:szCs w:val="24"/>
        </w:rPr>
        <w:t>s on</w:t>
      </w:r>
      <w:r w:rsidRPr="00921C6C">
        <w:rPr>
          <w:sz w:val="24"/>
          <w:szCs w:val="24"/>
        </w:rPr>
        <w:t xml:space="preserve"> the data aggregator.</w:t>
      </w:r>
    </w:p>
    <w:p w:rsidR="008B508C" w:rsidRPr="00921C6C" w:rsidP="008B508C" w14:paraId="6EC28865" w14:textId="77777777">
      <w:pPr>
        <w:rPr>
          <w:sz w:val="24"/>
          <w:szCs w:val="24"/>
        </w:rPr>
      </w:pPr>
    </w:p>
    <w:p w:rsidR="00475BCD" w:rsidRPr="00921C6C" w:rsidP="008B508C" w14:paraId="6FA1902F" w14:textId="08BD5E4C">
      <w:pPr>
        <w:pStyle w:val="ListParagraph"/>
        <w:numPr>
          <w:ilvl w:val="0"/>
          <w:numId w:val="23"/>
        </w:numPr>
        <w:rPr>
          <w:rFonts w:ascii="Times New Roman" w:hAnsi="Times New Roman"/>
          <w:i/>
          <w:iCs/>
          <w:sz w:val="24"/>
          <w:szCs w:val="24"/>
        </w:rPr>
      </w:pPr>
      <w:r w:rsidRPr="00921C6C">
        <w:rPr>
          <w:rFonts w:ascii="Times New Roman" w:hAnsi="Times New Roman"/>
          <w:i/>
          <w:iCs/>
          <w:sz w:val="24"/>
          <w:szCs w:val="24"/>
        </w:rPr>
        <w:t>Policies and procedures for third party record retention (§ 1033.441).</w:t>
      </w:r>
    </w:p>
    <w:p w:rsidR="008B508C" w:rsidRPr="00921C6C" w:rsidP="00475BCD" w14:paraId="187C1FD8" w14:textId="77777777">
      <w:pPr>
        <w:rPr>
          <w:sz w:val="24"/>
          <w:szCs w:val="24"/>
        </w:rPr>
      </w:pPr>
    </w:p>
    <w:p w:rsidR="00475BCD" w:rsidRPr="00921C6C" w:rsidP="00475BCD" w14:paraId="242544CD" w14:textId="2E5AC0F4">
      <w:pPr>
        <w:rPr>
          <w:sz w:val="24"/>
          <w:szCs w:val="24"/>
        </w:rPr>
      </w:pPr>
      <w:r w:rsidRPr="00921C6C">
        <w:rPr>
          <w:sz w:val="24"/>
          <w:szCs w:val="24"/>
        </w:rPr>
        <w:t xml:space="preserve">The CFPB is </w:t>
      </w:r>
      <w:r w:rsidR="00F57D3A">
        <w:rPr>
          <w:sz w:val="24"/>
          <w:szCs w:val="24"/>
        </w:rPr>
        <w:t>issuing</w:t>
      </w:r>
      <w:r w:rsidRPr="00921C6C" w:rsidR="00F57D3A">
        <w:rPr>
          <w:sz w:val="24"/>
          <w:szCs w:val="24"/>
        </w:rPr>
        <w:t xml:space="preserve"> </w:t>
      </w:r>
      <w:r w:rsidRPr="00921C6C">
        <w:rPr>
          <w:sz w:val="24"/>
          <w:szCs w:val="24"/>
        </w:rPr>
        <w:t xml:space="preserve">in </w:t>
      </w:r>
      <w:r w:rsidR="00C71CDC">
        <w:rPr>
          <w:sz w:val="24"/>
          <w:szCs w:val="24"/>
        </w:rPr>
        <w:t>Section</w:t>
      </w:r>
      <w:r w:rsidRPr="00921C6C">
        <w:rPr>
          <w:sz w:val="24"/>
          <w:szCs w:val="24"/>
        </w:rPr>
        <w:t xml:space="preserve"> 1033.441 to require a third party that is a covered person or service provider </w:t>
      </w:r>
      <w:r w:rsidRPr="00921C6C" w:rsidR="000B03FF">
        <w:rPr>
          <w:sz w:val="24"/>
          <w:szCs w:val="24"/>
        </w:rPr>
        <w:t>(</w:t>
      </w:r>
      <w:r w:rsidRPr="00921C6C">
        <w:rPr>
          <w:sz w:val="24"/>
          <w:szCs w:val="24"/>
        </w:rPr>
        <w:t>as defined in 12 U.S.C. 5481(6) and (26)</w:t>
      </w:r>
      <w:r w:rsidRPr="00921C6C" w:rsidR="000B03FF">
        <w:rPr>
          <w:sz w:val="24"/>
          <w:szCs w:val="24"/>
        </w:rPr>
        <w:t>)</w:t>
      </w:r>
      <w:r w:rsidRPr="00921C6C">
        <w:rPr>
          <w:sz w:val="24"/>
          <w:szCs w:val="24"/>
        </w:rPr>
        <w:t xml:space="preserve"> to establish and maintain policies and procedures reasonably designed to ensure retention of records that evidence compliance with subpart D. </w:t>
      </w:r>
      <w:r w:rsidR="00C71CDC">
        <w:rPr>
          <w:sz w:val="24"/>
          <w:szCs w:val="24"/>
        </w:rPr>
        <w:t>Section</w:t>
      </w:r>
      <w:r w:rsidRPr="00921C6C">
        <w:rPr>
          <w:sz w:val="24"/>
          <w:szCs w:val="24"/>
        </w:rPr>
        <w:t xml:space="preserve"> 1033.441 </w:t>
      </w:r>
      <w:r w:rsidR="00CC5A87">
        <w:rPr>
          <w:sz w:val="24"/>
          <w:szCs w:val="24"/>
        </w:rPr>
        <w:t>is</w:t>
      </w:r>
      <w:r w:rsidRPr="00921C6C">
        <w:rPr>
          <w:sz w:val="24"/>
          <w:szCs w:val="24"/>
        </w:rPr>
        <w:t xml:space="preserve"> authorized under CFPA </w:t>
      </w:r>
      <w:r w:rsidRPr="00921C6C" w:rsidR="000B03FF">
        <w:rPr>
          <w:sz w:val="24"/>
          <w:szCs w:val="24"/>
        </w:rPr>
        <w:t>S</w:t>
      </w:r>
      <w:r w:rsidRPr="00921C6C">
        <w:rPr>
          <w:sz w:val="24"/>
          <w:szCs w:val="24"/>
        </w:rPr>
        <w:t>ection 1022(b)(1) because it enable</w:t>
      </w:r>
      <w:r w:rsidR="00CC5A87">
        <w:rPr>
          <w:sz w:val="24"/>
          <w:szCs w:val="24"/>
        </w:rPr>
        <w:t>s</w:t>
      </w:r>
      <w:r w:rsidRPr="00921C6C">
        <w:rPr>
          <w:sz w:val="24"/>
          <w:szCs w:val="24"/>
        </w:rPr>
        <w:t xml:space="preserve"> the CFPB and others to evaluate a third party’s compliance with </w:t>
      </w:r>
      <w:r w:rsidRPr="00921C6C" w:rsidR="00472754">
        <w:rPr>
          <w:sz w:val="24"/>
          <w:szCs w:val="24"/>
        </w:rPr>
        <w:t>the proposed rule</w:t>
      </w:r>
      <w:r w:rsidRPr="00921C6C">
        <w:rPr>
          <w:sz w:val="24"/>
          <w:szCs w:val="24"/>
        </w:rPr>
        <w:t xml:space="preserve"> and prevent</w:t>
      </w:r>
      <w:r w:rsidR="00CC5A87">
        <w:rPr>
          <w:sz w:val="24"/>
          <w:szCs w:val="24"/>
        </w:rPr>
        <w:t>s</w:t>
      </w:r>
      <w:r w:rsidRPr="00921C6C">
        <w:rPr>
          <w:sz w:val="24"/>
          <w:szCs w:val="24"/>
        </w:rPr>
        <w:t xml:space="preserve"> evasion. To the extent that </w:t>
      </w:r>
      <w:r w:rsidR="00C71CDC">
        <w:rPr>
          <w:sz w:val="24"/>
          <w:szCs w:val="24"/>
        </w:rPr>
        <w:t>Section</w:t>
      </w:r>
      <w:r w:rsidRPr="00921C6C">
        <w:rPr>
          <w:sz w:val="24"/>
          <w:szCs w:val="24"/>
        </w:rPr>
        <w:t> 1033.441 appl</w:t>
      </w:r>
      <w:r w:rsidR="00F57D3A">
        <w:rPr>
          <w:sz w:val="24"/>
          <w:szCs w:val="24"/>
        </w:rPr>
        <w:t>ies</w:t>
      </w:r>
      <w:r w:rsidRPr="00921C6C">
        <w:rPr>
          <w:sz w:val="24"/>
          <w:szCs w:val="24"/>
        </w:rPr>
        <w:t xml:space="preserve"> to CFPB-supervised </w:t>
      </w:r>
      <w:r w:rsidRPr="00921C6C">
        <w:rPr>
          <w:sz w:val="24"/>
          <w:szCs w:val="24"/>
        </w:rPr>
        <w:t>nondepository</w:t>
      </w:r>
      <w:r w:rsidRPr="00921C6C">
        <w:rPr>
          <w:sz w:val="24"/>
          <w:szCs w:val="24"/>
        </w:rPr>
        <w:t xml:space="preserve"> covered persons, it additionally </w:t>
      </w:r>
      <w:r w:rsidR="00CC5A87">
        <w:rPr>
          <w:sz w:val="24"/>
          <w:szCs w:val="24"/>
        </w:rPr>
        <w:t>is</w:t>
      </w:r>
      <w:r w:rsidRPr="00921C6C" w:rsidR="00CC5A87">
        <w:rPr>
          <w:sz w:val="24"/>
          <w:szCs w:val="24"/>
        </w:rPr>
        <w:t xml:space="preserve"> </w:t>
      </w:r>
      <w:r w:rsidRPr="00921C6C">
        <w:rPr>
          <w:sz w:val="24"/>
          <w:szCs w:val="24"/>
        </w:rPr>
        <w:t xml:space="preserve">authorized by CFPA </w:t>
      </w:r>
      <w:r w:rsidRPr="00921C6C" w:rsidR="00763FD3">
        <w:rPr>
          <w:sz w:val="24"/>
          <w:szCs w:val="24"/>
        </w:rPr>
        <w:t>S</w:t>
      </w:r>
      <w:r w:rsidRPr="00921C6C">
        <w:rPr>
          <w:sz w:val="24"/>
          <w:szCs w:val="24"/>
        </w:rPr>
        <w:t>ection 1024(b)(7) because it facilitate</w:t>
      </w:r>
      <w:r w:rsidR="006043E9">
        <w:rPr>
          <w:sz w:val="24"/>
          <w:szCs w:val="24"/>
        </w:rPr>
        <w:t>s</w:t>
      </w:r>
      <w:r w:rsidRPr="00921C6C">
        <w:rPr>
          <w:sz w:val="24"/>
          <w:szCs w:val="24"/>
        </w:rPr>
        <w:t xml:space="preserve"> supervision of such persons and enable</w:t>
      </w:r>
      <w:r w:rsidR="006043E9">
        <w:rPr>
          <w:sz w:val="24"/>
          <w:szCs w:val="24"/>
        </w:rPr>
        <w:t>s</w:t>
      </w:r>
      <w:r w:rsidRPr="00921C6C">
        <w:rPr>
          <w:sz w:val="24"/>
          <w:szCs w:val="24"/>
        </w:rPr>
        <w:t xml:space="preserve"> the CFPB to assess and detect risks to consumers.</w:t>
      </w:r>
    </w:p>
    <w:p w:rsidR="00475BCD" w:rsidRPr="00921C6C" w:rsidP="00475BCD" w14:paraId="7B5F4964" w14:textId="77777777">
      <w:pPr>
        <w:rPr>
          <w:sz w:val="24"/>
          <w:szCs w:val="24"/>
        </w:rPr>
      </w:pPr>
    </w:p>
    <w:p w:rsidR="00092D91" w:rsidRPr="00921C6C" w:rsidP="00092D91" w14:paraId="0C7BE16B" w14:textId="77777777">
      <w:pPr>
        <w:rPr>
          <w:b/>
          <w:bCs/>
          <w:sz w:val="24"/>
          <w:szCs w:val="24"/>
        </w:rPr>
      </w:pPr>
      <w:r w:rsidRPr="00921C6C">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A3D6F" w:rsidRPr="00921C6C" w:rsidP="00092D91" w14:paraId="34A5E7D0" w14:textId="77777777">
      <w:pPr>
        <w:rPr>
          <w:b/>
          <w:bCs/>
          <w:sz w:val="24"/>
          <w:szCs w:val="24"/>
        </w:rPr>
      </w:pPr>
    </w:p>
    <w:p w:rsidR="00B922E6" w:rsidRPr="00921C6C" w:rsidP="00B922E6" w14:paraId="597B0BFC" w14:textId="77777777">
      <w:pPr>
        <w:rPr>
          <w:sz w:val="24"/>
          <w:szCs w:val="24"/>
        </w:rPr>
      </w:pPr>
    </w:p>
    <w:p w:rsidR="004A6E53" w:rsidRPr="00921C6C" w:rsidP="004A6E53" w14:paraId="02B581CD" w14:textId="3A7224CC">
      <w:pPr>
        <w:rPr>
          <w:sz w:val="24"/>
          <w:szCs w:val="24"/>
        </w:rPr>
      </w:pPr>
      <w:r w:rsidRPr="00921C6C">
        <w:rPr>
          <w:sz w:val="24"/>
          <w:szCs w:val="24"/>
        </w:rPr>
        <w:t>As</w:t>
      </w:r>
      <w:r w:rsidRPr="00921C6C" w:rsidR="00B476C8">
        <w:rPr>
          <w:sz w:val="24"/>
          <w:szCs w:val="24"/>
        </w:rPr>
        <w:t xml:space="preserve"> discussed in section A.1, </w:t>
      </w:r>
      <w:r w:rsidRPr="00921C6C">
        <w:rPr>
          <w:sz w:val="24"/>
          <w:szCs w:val="24"/>
        </w:rPr>
        <w:t xml:space="preserve">CFPA </w:t>
      </w:r>
      <w:r w:rsidRPr="00921C6C" w:rsidR="00763FD3">
        <w:rPr>
          <w:sz w:val="24"/>
          <w:szCs w:val="24"/>
        </w:rPr>
        <w:t>S</w:t>
      </w:r>
      <w:r w:rsidRPr="00921C6C">
        <w:rPr>
          <w:sz w:val="24"/>
          <w:szCs w:val="24"/>
        </w:rPr>
        <w:t>ection 1033(a) and (b) provide that, subject to rules prescribed by the CFPB, a covered person shall make available to a consumer, upon request, information in the control or possession of the covered person concerning the consumer financial product or service that the consumer obtained from such covered person, subject to certain exceptions. The information must be made available in an electronic form usable by consumers.</w:t>
      </w:r>
      <w:r w:rsidRPr="00921C6C" w:rsidR="00C5243F">
        <w:rPr>
          <w:sz w:val="24"/>
          <w:szCs w:val="24"/>
        </w:rPr>
        <w:t xml:space="preserve"> </w:t>
      </w:r>
      <w:r w:rsidRPr="00921C6C">
        <w:rPr>
          <w:sz w:val="24"/>
          <w:szCs w:val="24"/>
        </w:rPr>
        <w:t>As discussed in section A.2, the obligation to make covered data available (</w:t>
      </w:r>
      <w:bookmarkStart w:id="0" w:name="_Hlk178861268"/>
      <w:r w:rsidR="005113FE">
        <w:rPr>
          <w:sz w:val="24"/>
          <w:szCs w:val="24"/>
        </w:rPr>
        <w:t>Section</w:t>
      </w:r>
      <w:bookmarkEnd w:id="0"/>
      <w:r w:rsidRPr="00921C6C">
        <w:rPr>
          <w:sz w:val="24"/>
          <w:szCs w:val="24"/>
        </w:rPr>
        <w:t xml:space="preserve"> 1033.201), including general requirements </w:t>
      </w:r>
      <w:r w:rsidRPr="00921C6C">
        <w:rPr>
          <w:sz w:val="24"/>
          <w:szCs w:val="24"/>
        </w:rPr>
        <w:t>(</w:t>
      </w:r>
      <w:r w:rsidR="005113FE">
        <w:rPr>
          <w:sz w:val="24"/>
          <w:szCs w:val="24"/>
        </w:rPr>
        <w:t>Section</w:t>
      </w:r>
      <w:r w:rsidRPr="00921C6C">
        <w:rPr>
          <w:sz w:val="24"/>
          <w:szCs w:val="24"/>
        </w:rPr>
        <w:t> 1033.301) and requirements applicable to developer interface (</w:t>
      </w:r>
      <w:r w:rsidR="008E31EC">
        <w:rPr>
          <w:sz w:val="24"/>
          <w:szCs w:val="24"/>
        </w:rPr>
        <w:t>Section</w:t>
      </w:r>
      <w:r w:rsidRPr="00921C6C">
        <w:rPr>
          <w:sz w:val="24"/>
          <w:szCs w:val="24"/>
        </w:rPr>
        <w:t> 1033.311) require</w:t>
      </w:r>
      <w:r w:rsidR="006043E9">
        <w:rPr>
          <w:sz w:val="24"/>
          <w:szCs w:val="24"/>
        </w:rPr>
        <w:t>s</w:t>
      </w:r>
      <w:r w:rsidRPr="00921C6C">
        <w:rPr>
          <w:sz w:val="24"/>
          <w:szCs w:val="24"/>
        </w:rPr>
        <w:t xml:space="preserve"> a data provider to receive requests for covered data and make covered data available in an electronic form usable by consumers and authorized third parties in response to the requests.</w:t>
      </w:r>
    </w:p>
    <w:p w:rsidR="004F4D2A" w:rsidRPr="00921C6C" w:rsidP="004A6E53" w14:paraId="68970E5E" w14:textId="77777777">
      <w:pPr>
        <w:rPr>
          <w:sz w:val="24"/>
          <w:szCs w:val="24"/>
        </w:rPr>
      </w:pPr>
    </w:p>
    <w:p w:rsidR="004F4D2A" w:rsidRPr="00921C6C" w:rsidP="004F4D2A" w14:paraId="0AD29C29" w14:textId="228ADA29">
      <w:pPr>
        <w:rPr>
          <w:sz w:val="24"/>
          <w:szCs w:val="24"/>
        </w:rPr>
      </w:pPr>
      <w:r w:rsidRPr="00921C6C">
        <w:rPr>
          <w:sz w:val="24"/>
          <w:szCs w:val="24"/>
        </w:rPr>
        <w:t>With respect to information about the data provider (</w:t>
      </w:r>
      <w:r w:rsidR="005113FE">
        <w:rPr>
          <w:sz w:val="24"/>
          <w:szCs w:val="24"/>
        </w:rPr>
        <w:t>Section</w:t>
      </w:r>
      <w:r w:rsidRPr="00921C6C">
        <w:rPr>
          <w:sz w:val="24"/>
          <w:szCs w:val="24"/>
        </w:rPr>
        <w:t xml:space="preserve"> 1033.341), </w:t>
      </w:r>
      <w:r w:rsidR="00B459C5">
        <w:rPr>
          <w:sz w:val="24"/>
          <w:szCs w:val="24"/>
        </w:rPr>
        <w:t>Section</w:t>
      </w:r>
      <w:r w:rsidRPr="00921C6C">
        <w:rPr>
          <w:sz w:val="24"/>
          <w:szCs w:val="24"/>
        </w:rPr>
        <w:t> 1033.341(a) require</w:t>
      </w:r>
      <w:r w:rsidR="006043E9">
        <w:rPr>
          <w:sz w:val="24"/>
          <w:szCs w:val="24"/>
        </w:rPr>
        <w:t>s</w:t>
      </w:r>
      <w:r w:rsidRPr="00921C6C">
        <w:rPr>
          <w:sz w:val="24"/>
          <w:szCs w:val="24"/>
        </w:rPr>
        <w:t xml:space="preserve"> data providers to make the information </w:t>
      </w:r>
      <w:r w:rsidRPr="00921C6C" w:rsidR="006B00D3">
        <w:rPr>
          <w:sz w:val="24"/>
          <w:szCs w:val="24"/>
        </w:rPr>
        <w:t>(</w:t>
      </w:r>
      <w:r w:rsidRPr="00921C6C">
        <w:rPr>
          <w:sz w:val="24"/>
          <w:szCs w:val="24"/>
        </w:rPr>
        <w:t xml:space="preserve">described in </w:t>
      </w:r>
      <w:r w:rsidR="00B459C5">
        <w:rPr>
          <w:sz w:val="24"/>
          <w:szCs w:val="24"/>
        </w:rPr>
        <w:t>Section</w:t>
      </w:r>
      <w:r w:rsidRPr="00921C6C">
        <w:rPr>
          <w:sz w:val="24"/>
          <w:szCs w:val="24"/>
        </w:rPr>
        <w:t> 1033.341(b) through (d)</w:t>
      </w:r>
      <w:r w:rsidRPr="00921C6C" w:rsidR="006B00D3">
        <w:rPr>
          <w:sz w:val="24"/>
          <w:szCs w:val="24"/>
        </w:rPr>
        <w:t>)</w:t>
      </w:r>
      <w:r w:rsidRPr="00921C6C">
        <w:rPr>
          <w:sz w:val="24"/>
          <w:szCs w:val="24"/>
        </w:rPr>
        <w:t xml:space="preserve"> readily identifiable to members of the public, meaning the information must be at least as available as it would be on a public website. A data provider compl</w:t>
      </w:r>
      <w:r w:rsidR="006043E9">
        <w:rPr>
          <w:sz w:val="24"/>
          <w:szCs w:val="24"/>
        </w:rPr>
        <w:t>ies</w:t>
      </w:r>
      <w:r w:rsidRPr="00921C6C">
        <w:rPr>
          <w:sz w:val="24"/>
          <w:szCs w:val="24"/>
        </w:rPr>
        <w:t xml:space="preserve"> with </w:t>
      </w:r>
      <w:r w:rsidR="00B459C5">
        <w:rPr>
          <w:sz w:val="24"/>
          <w:szCs w:val="24"/>
        </w:rPr>
        <w:t>Section</w:t>
      </w:r>
      <w:r w:rsidRPr="00921C6C">
        <w:rPr>
          <w:sz w:val="24"/>
          <w:szCs w:val="24"/>
        </w:rPr>
        <w:t xml:space="preserve"> 1033.341(a)(1) by making the information available on a public website. A data provider also </w:t>
      </w:r>
      <w:r w:rsidR="006043E9">
        <w:rPr>
          <w:sz w:val="24"/>
          <w:szCs w:val="24"/>
        </w:rPr>
        <w:t>is</w:t>
      </w:r>
      <w:r w:rsidRPr="00921C6C" w:rsidR="006043E9">
        <w:rPr>
          <w:sz w:val="24"/>
          <w:szCs w:val="24"/>
        </w:rPr>
        <w:t xml:space="preserve"> </w:t>
      </w:r>
      <w:r w:rsidRPr="00921C6C">
        <w:rPr>
          <w:sz w:val="24"/>
          <w:szCs w:val="24"/>
        </w:rPr>
        <w:t xml:space="preserve">permitted to make the information readily identifiable through some other means, </w:t>
      </w:r>
      <w:r w:rsidRPr="00921C6C">
        <w:rPr>
          <w:sz w:val="24"/>
          <w:szCs w:val="24"/>
        </w:rPr>
        <w:t>as long as</w:t>
      </w:r>
      <w:r w:rsidRPr="00921C6C">
        <w:rPr>
          <w:sz w:val="24"/>
          <w:szCs w:val="24"/>
        </w:rPr>
        <w:t xml:space="preserve"> the information is no less available than it would be on a public website. Under </w:t>
      </w:r>
      <w:r w:rsidR="00B459C5">
        <w:rPr>
          <w:sz w:val="24"/>
          <w:szCs w:val="24"/>
        </w:rPr>
        <w:t>Section</w:t>
      </w:r>
      <w:r w:rsidRPr="00921C6C">
        <w:rPr>
          <w:sz w:val="24"/>
          <w:szCs w:val="24"/>
        </w:rPr>
        <w:t> 1033.341(a)(2), this information must be available in both human- and machine-readable formats. Making the data available in a machine-readable format could enable third parties and other stakeholders to use automated processes to ingest the relevant information into their systems for processing and review, which make</w:t>
      </w:r>
      <w:r w:rsidR="006043E9">
        <w:rPr>
          <w:sz w:val="24"/>
          <w:szCs w:val="24"/>
        </w:rPr>
        <w:t>s</w:t>
      </w:r>
      <w:r w:rsidRPr="00921C6C">
        <w:rPr>
          <w:sz w:val="24"/>
          <w:szCs w:val="24"/>
        </w:rPr>
        <w:t xml:space="preserve"> the process of obtaining this information more efficient.</w:t>
      </w:r>
    </w:p>
    <w:p w:rsidR="0029776A" w:rsidRPr="00921C6C" w:rsidP="004F4D2A" w14:paraId="21ADB108" w14:textId="77777777">
      <w:pPr>
        <w:rPr>
          <w:sz w:val="24"/>
          <w:szCs w:val="24"/>
        </w:rPr>
      </w:pPr>
    </w:p>
    <w:p w:rsidR="0029776A" w:rsidRPr="00921C6C" w:rsidP="0029776A" w14:paraId="4F0BDCF6" w14:textId="0C9E7F1E">
      <w:pPr>
        <w:rPr>
          <w:sz w:val="24"/>
          <w:szCs w:val="24"/>
        </w:rPr>
      </w:pPr>
      <w:r w:rsidRPr="00921C6C">
        <w:rPr>
          <w:sz w:val="24"/>
          <w:szCs w:val="24"/>
        </w:rPr>
        <w:t xml:space="preserve">With respect to third party authorization, </w:t>
      </w:r>
      <w:r w:rsidR="00B459C5">
        <w:rPr>
          <w:sz w:val="24"/>
          <w:szCs w:val="24"/>
        </w:rPr>
        <w:t>Section</w:t>
      </w:r>
      <w:r w:rsidRPr="00921C6C">
        <w:rPr>
          <w:sz w:val="24"/>
          <w:szCs w:val="24"/>
        </w:rPr>
        <w:t xml:space="preserve"> 1033.401 </w:t>
      </w:r>
      <w:r w:rsidR="00B3415E">
        <w:rPr>
          <w:sz w:val="24"/>
          <w:szCs w:val="24"/>
        </w:rPr>
        <w:t xml:space="preserve">provides </w:t>
      </w:r>
      <w:r w:rsidRPr="00921C6C">
        <w:rPr>
          <w:sz w:val="24"/>
          <w:szCs w:val="24"/>
        </w:rPr>
        <w:t xml:space="preserve">that a third party would have to satisfy the prescribed authorization procedures to become an authorized third party. </w:t>
      </w:r>
      <w:r w:rsidR="00B459C5">
        <w:rPr>
          <w:sz w:val="24"/>
          <w:szCs w:val="24"/>
        </w:rPr>
        <w:t>Section</w:t>
      </w:r>
      <w:r w:rsidRPr="00921C6C">
        <w:rPr>
          <w:sz w:val="24"/>
          <w:szCs w:val="24"/>
        </w:rPr>
        <w:t> 1033.401</w:t>
      </w:r>
      <w:r w:rsidRPr="00921C6C" w:rsidR="00D42F77">
        <w:rPr>
          <w:sz w:val="24"/>
          <w:szCs w:val="24"/>
        </w:rPr>
        <w:t xml:space="preserve"> </w:t>
      </w:r>
      <w:r w:rsidRPr="00921C6C">
        <w:rPr>
          <w:sz w:val="24"/>
          <w:szCs w:val="24"/>
        </w:rPr>
        <w:t>require</w:t>
      </w:r>
      <w:r w:rsidR="00B3415E">
        <w:rPr>
          <w:sz w:val="24"/>
          <w:szCs w:val="24"/>
        </w:rPr>
        <w:t>s</w:t>
      </w:r>
      <w:r w:rsidRPr="00921C6C">
        <w:rPr>
          <w:sz w:val="24"/>
          <w:szCs w:val="24"/>
        </w:rPr>
        <w:t xml:space="preserve"> a third party to</w:t>
      </w:r>
      <w:r w:rsidRPr="00921C6C" w:rsidR="001A20AE">
        <w:rPr>
          <w:sz w:val="24"/>
          <w:szCs w:val="24"/>
        </w:rPr>
        <w:t xml:space="preserve"> </w:t>
      </w:r>
      <w:r w:rsidRPr="00921C6C" w:rsidR="00D42F77">
        <w:rPr>
          <w:sz w:val="24"/>
          <w:szCs w:val="24"/>
        </w:rPr>
        <w:t>p</w:t>
      </w:r>
      <w:r w:rsidRPr="00921C6C">
        <w:rPr>
          <w:sz w:val="24"/>
          <w:szCs w:val="24"/>
        </w:rPr>
        <w:t xml:space="preserve">rovide the consumer with an authorization disclosure as described in proposed </w:t>
      </w:r>
      <w:r w:rsidR="00B459C5">
        <w:rPr>
          <w:sz w:val="24"/>
          <w:szCs w:val="24"/>
        </w:rPr>
        <w:t>Section</w:t>
      </w:r>
      <w:r w:rsidRPr="00921C6C">
        <w:rPr>
          <w:sz w:val="24"/>
          <w:szCs w:val="24"/>
        </w:rPr>
        <w:t> 1033.41</w:t>
      </w:r>
      <w:r w:rsidRPr="00921C6C" w:rsidR="002806E6">
        <w:rPr>
          <w:sz w:val="24"/>
          <w:szCs w:val="24"/>
        </w:rPr>
        <w:t xml:space="preserve">1. </w:t>
      </w:r>
      <w:r w:rsidR="00B459C5">
        <w:rPr>
          <w:sz w:val="24"/>
          <w:szCs w:val="24"/>
        </w:rPr>
        <w:t>Section</w:t>
      </w:r>
      <w:r w:rsidRPr="00921C6C" w:rsidR="002806E6">
        <w:rPr>
          <w:color w:val="000000" w:themeColor="text1"/>
          <w:sz w:val="24"/>
          <w:szCs w:val="24"/>
        </w:rPr>
        <w:t> </w:t>
      </w:r>
      <w:r w:rsidRPr="00921C6C" w:rsidR="002806E6">
        <w:rPr>
          <w:sz w:val="24"/>
          <w:szCs w:val="24"/>
        </w:rPr>
        <w:t>1033.411(a) require</w:t>
      </w:r>
      <w:r w:rsidR="00B3415E">
        <w:rPr>
          <w:sz w:val="24"/>
          <w:szCs w:val="24"/>
        </w:rPr>
        <w:t>s</w:t>
      </w:r>
      <w:r w:rsidRPr="00921C6C" w:rsidR="002806E6">
        <w:rPr>
          <w:sz w:val="24"/>
          <w:szCs w:val="24"/>
        </w:rPr>
        <w:t xml:space="preserve"> the third party to provide the consumer with an authorization disclosure electronically or in writing.</w:t>
      </w:r>
      <w:r w:rsidRPr="00921C6C" w:rsidR="00D42F77">
        <w:rPr>
          <w:sz w:val="24"/>
          <w:szCs w:val="24"/>
        </w:rPr>
        <w:t xml:space="preserve"> </w:t>
      </w:r>
      <w:r w:rsidR="00B459C5">
        <w:rPr>
          <w:sz w:val="24"/>
          <w:szCs w:val="24"/>
        </w:rPr>
        <w:t>Section</w:t>
      </w:r>
      <w:r w:rsidRPr="00921C6C" w:rsidR="00D42F77">
        <w:rPr>
          <w:sz w:val="24"/>
          <w:szCs w:val="24"/>
        </w:rPr>
        <w:t> 1033.401 also require</w:t>
      </w:r>
      <w:r w:rsidR="00B3415E">
        <w:rPr>
          <w:sz w:val="24"/>
          <w:szCs w:val="24"/>
        </w:rPr>
        <w:t>s</w:t>
      </w:r>
      <w:r w:rsidRPr="00921C6C" w:rsidR="00D42F77">
        <w:rPr>
          <w:sz w:val="24"/>
          <w:szCs w:val="24"/>
        </w:rPr>
        <w:t xml:space="preserve"> a third party to</w:t>
      </w:r>
      <w:r w:rsidRPr="00921C6C">
        <w:rPr>
          <w:sz w:val="24"/>
          <w:szCs w:val="24"/>
        </w:rPr>
        <w:t> obtain the consumer’s express informed consent to access covered data on behalf of the consumer by obtaining an authorization disclosure that is signed by the consumer electronically or in writing.</w:t>
      </w:r>
    </w:p>
    <w:p w:rsidR="0029776A" w:rsidRPr="00921C6C" w:rsidP="004F4D2A" w14:paraId="4077CD4D" w14:textId="77777777">
      <w:pPr>
        <w:rPr>
          <w:sz w:val="24"/>
          <w:szCs w:val="24"/>
        </w:rPr>
      </w:pPr>
    </w:p>
    <w:p w:rsidR="00EE4875" w:rsidRPr="00921C6C" w:rsidP="00B922E6" w14:paraId="7F201C08" w14:textId="77777777">
      <w:pPr>
        <w:rPr>
          <w:sz w:val="24"/>
          <w:szCs w:val="24"/>
        </w:rPr>
      </w:pPr>
    </w:p>
    <w:p w:rsidR="00092D91" w:rsidRPr="00921C6C" w:rsidP="00092D91" w14:paraId="77362514" w14:textId="723F5705">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921C6C">
        <w:rPr>
          <w:b/>
          <w:sz w:val="24"/>
          <w:szCs w:val="24"/>
        </w:rPr>
        <w:t xml:space="preserve">4.  </w:t>
      </w:r>
      <w:r w:rsidRPr="00921C6C">
        <w:rPr>
          <w:b/>
          <w:bCs/>
          <w:sz w:val="24"/>
          <w:szCs w:val="24"/>
        </w:rPr>
        <w:t>Describe efforts to identify duplication.  Show specifically why any similar information already available cannot be used or modified for use for the purposes described in Item A.2 above.</w:t>
      </w:r>
    </w:p>
    <w:p w:rsidR="00B922E6" w:rsidRPr="00921C6C" w:rsidP="00B922E6" w14:paraId="20D72A79" w14:textId="77777777">
      <w:pPr>
        <w:rPr>
          <w:sz w:val="24"/>
          <w:szCs w:val="24"/>
        </w:rPr>
      </w:pPr>
    </w:p>
    <w:p w:rsidR="00AC30DC" w:rsidRPr="00921C6C" w:rsidP="00B5457C" w14:paraId="79A96F8F" w14:textId="64CFA705">
      <w:pPr>
        <w:rPr>
          <w:sz w:val="24"/>
          <w:szCs w:val="24"/>
        </w:rPr>
      </w:pPr>
      <w:r w:rsidRPr="00921C6C">
        <w:rPr>
          <w:sz w:val="24"/>
          <w:szCs w:val="24"/>
        </w:rPr>
        <w:t xml:space="preserve">The CFPB has identified several consumer financial laws and implementing regulations that may contain obligations </w:t>
      </w:r>
      <w:r w:rsidRPr="00921C6C" w:rsidR="000F7EBD">
        <w:rPr>
          <w:sz w:val="24"/>
          <w:szCs w:val="24"/>
        </w:rPr>
        <w:t>that overlap with the information collections</w:t>
      </w:r>
      <w:r w:rsidRPr="00921C6C" w:rsidR="00EF2D70">
        <w:rPr>
          <w:sz w:val="24"/>
          <w:szCs w:val="24"/>
        </w:rPr>
        <w:t xml:space="preserve"> with respect to disclosures to consumers or recordkeeping requirements</w:t>
      </w:r>
      <w:r w:rsidRPr="00921C6C" w:rsidR="000F7EBD">
        <w:rPr>
          <w:sz w:val="24"/>
          <w:szCs w:val="24"/>
        </w:rPr>
        <w:t xml:space="preserve">: </w:t>
      </w:r>
    </w:p>
    <w:p w:rsidR="002C645F" w:rsidRPr="00921C6C" w:rsidP="002C645F" w14:paraId="03D9ED58" w14:textId="3F2F073E">
      <w:pPr>
        <w:pStyle w:val="ListParagraph"/>
        <w:numPr>
          <w:ilvl w:val="0"/>
          <w:numId w:val="42"/>
        </w:numPr>
        <w:rPr>
          <w:rFonts w:ascii="Times New Roman" w:hAnsi="Times New Roman"/>
          <w:sz w:val="24"/>
          <w:szCs w:val="24"/>
        </w:rPr>
      </w:pPr>
      <w:r w:rsidRPr="00921C6C">
        <w:rPr>
          <w:rFonts w:ascii="Times New Roman" w:hAnsi="Times New Roman"/>
          <w:sz w:val="24"/>
          <w:szCs w:val="24"/>
        </w:rPr>
        <w:t>Equal Credit Opportunity Act (ECOA)</w:t>
      </w:r>
      <w:r w:rsidRPr="00921C6C" w:rsidR="007F1627">
        <w:rPr>
          <w:rFonts w:ascii="Times New Roman" w:hAnsi="Times New Roman"/>
          <w:sz w:val="24"/>
          <w:szCs w:val="24"/>
        </w:rPr>
        <w:t xml:space="preserve"> </w:t>
      </w:r>
      <w:r w:rsidRPr="00921C6C">
        <w:rPr>
          <w:rFonts w:ascii="Times New Roman" w:hAnsi="Times New Roman"/>
          <w:sz w:val="24"/>
          <w:szCs w:val="24"/>
        </w:rPr>
        <w:t>and the CFPB’s implementing regulation, Regulation B (12 CFR part 1002</w:t>
      </w:r>
      <w:r w:rsidRPr="00921C6C">
        <w:rPr>
          <w:rFonts w:ascii="Times New Roman" w:hAnsi="Times New Roman"/>
          <w:sz w:val="24"/>
          <w:szCs w:val="24"/>
        </w:rPr>
        <w:t>)</w:t>
      </w:r>
      <w:r w:rsidRPr="00921C6C" w:rsidR="007F1627">
        <w:rPr>
          <w:rFonts w:ascii="Times New Roman" w:hAnsi="Times New Roman"/>
          <w:sz w:val="24"/>
          <w:szCs w:val="24"/>
        </w:rPr>
        <w:t>;</w:t>
      </w:r>
      <w:r w:rsidRPr="00921C6C" w:rsidR="007F1627">
        <w:rPr>
          <w:rFonts w:ascii="Times New Roman" w:hAnsi="Times New Roman"/>
          <w:sz w:val="24"/>
          <w:szCs w:val="24"/>
        </w:rPr>
        <w:t xml:space="preserve"> </w:t>
      </w:r>
    </w:p>
    <w:p w:rsidR="002C645F" w:rsidRPr="00921C6C" w:rsidP="00AC30DC" w14:paraId="6C58DC97" w14:textId="77777777">
      <w:pPr>
        <w:pStyle w:val="ListParagraph"/>
        <w:numPr>
          <w:ilvl w:val="0"/>
          <w:numId w:val="42"/>
        </w:numPr>
        <w:rPr>
          <w:rFonts w:ascii="Times New Roman" w:hAnsi="Times New Roman"/>
          <w:sz w:val="24"/>
          <w:szCs w:val="24"/>
        </w:rPr>
      </w:pPr>
      <w:r w:rsidRPr="00921C6C">
        <w:rPr>
          <w:rFonts w:ascii="Times New Roman" w:hAnsi="Times New Roman"/>
          <w:sz w:val="24"/>
          <w:szCs w:val="24"/>
        </w:rPr>
        <w:t>EFTA and the CFPB’s implementing regulation, Regulation E</w:t>
      </w:r>
      <w:r w:rsidRPr="00921C6C" w:rsidR="007F1627">
        <w:rPr>
          <w:rFonts w:ascii="Times New Roman" w:hAnsi="Times New Roman"/>
          <w:sz w:val="24"/>
          <w:szCs w:val="24"/>
        </w:rPr>
        <w:t>; t</w:t>
      </w:r>
      <w:r w:rsidRPr="00921C6C">
        <w:rPr>
          <w:rFonts w:ascii="Times New Roman" w:hAnsi="Times New Roman"/>
          <w:sz w:val="24"/>
          <w:szCs w:val="24"/>
        </w:rPr>
        <w:t>he FCRA and the CFPB’s implementing regulation, Regulation V (12 CFR part 1022</w:t>
      </w:r>
      <w:r w:rsidRPr="00921C6C">
        <w:rPr>
          <w:rFonts w:ascii="Times New Roman" w:hAnsi="Times New Roman"/>
          <w:sz w:val="24"/>
          <w:szCs w:val="24"/>
        </w:rPr>
        <w:t>)</w:t>
      </w:r>
      <w:r w:rsidRPr="00921C6C" w:rsidR="007F1627">
        <w:rPr>
          <w:rFonts w:ascii="Times New Roman" w:hAnsi="Times New Roman"/>
          <w:sz w:val="24"/>
          <w:szCs w:val="24"/>
        </w:rPr>
        <w:t>;</w:t>
      </w:r>
      <w:r w:rsidRPr="00921C6C" w:rsidR="007F1627">
        <w:rPr>
          <w:rFonts w:ascii="Times New Roman" w:hAnsi="Times New Roman"/>
          <w:sz w:val="24"/>
          <w:szCs w:val="24"/>
        </w:rPr>
        <w:t xml:space="preserve"> </w:t>
      </w:r>
    </w:p>
    <w:p w:rsidR="002C645F" w:rsidRPr="00921C6C" w:rsidP="00AC30DC" w14:paraId="0CE71A83" w14:textId="77777777">
      <w:pPr>
        <w:pStyle w:val="ListParagraph"/>
        <w:numPr>
          <w:ilvl w:val="0"/>
          <w:numId w:val="42"/>
        </w:numPr>
        <w:rPr>
          <w:rFonts w:ascii="Times New Roman" w:hAnsi="Times New Roman"/>
          <w:sz w:val="24"/>
          <w:szCs w:val="24"/>
        </w:rPr>
      </w:pPr>
      <w:r w:rsidRPr="00921C6C">
        <w:rPr>
          <w:rFonts w:ascii="Times New Roman" w:hAnsi="Times New Roman"/>
          <w:sz w:val="24"/>
          <w:szCs w:val="24"/>
        </w:rPr>
        <w:t>t</w:t>
      </w:r>
      <w:r w:rsidRPr="00921C6C" w:rsidR="00B5457C">
        <w:rPr>
          <w:rFonts w:ascii="Times New Roman" w:hAnsi="Times New Roman"/>
          <w:sz w:val="24"/>
          <w:szCs w:val="24"/>
        </w:rPr>
        <w:t>he GLBA and the CFPB’s implementing regulation, Regulation P (12 CFR part 1016)</w:t>
      </w:r>
      <w:r w:rsidRPr="00921C6C" w:rsidR="005671CD">
        <w:rPr>
          <w:rFonts w:ascii="Times New Roman" w:hAnsi="Times New Roman"/>
          <w:sz w:val="24"/>
          <w:szCs w:val="24"/>
        </w:rPr>
        <w:t xml:space="preserve"> and the r</w:t>
      </w:r>
      <w:r w:rsidRPr="00921C6C" w:rsidR="00B5457C">
        <w:rPr>
          <w:rFonts w:ascii="Times New Roman" w:hAnsi="Times New Roman"/>
          <w:sz w:val="24"/>
          <w:szCs w:val="24"/>
        </w:rPr>
        <w:t>egulations and guidelines of certain other Federal agencies (</w:t>
      </w:r>
      <w:r w:rsidRPr="00921C6C" w:rsidR="00B5457C">
        <w:rPr>
          <w:rFonts w:ascii="Times New Roman" w:hAnsi="Times New Roman"/>
          <w:i/>
          <w:sz w:val="24"/>
          <w:szCs w:val="24"/>
        </w:rPr>
        <w:t>e.g.</w:t>
      </w:r>
      <w:r w:rsidRPr="00921C6C" w:rsidR="00B5457C">
        <w:rPr>
          <w:rFonts w:ascii="Times New Roman" w:hAnsi="Times New Roman"/>
          <w:sz w:val="24"/>
          <w:szCs w:val="24"/>
        </w:rPr>
        <w:t xml:space="preserve">, the FTC’s Safeguards Rule and the prudential regulators’ Safeguards </w:t>
      </w:r>
      <w:r w:rsidRPr="00921C6C" w:rsidR="00B5457C">
        <w:rPr>
          <w:rFonts w:ascii="Times New Roman" w:hAnsi="Times New Roman"/>
          <w:sz w:val="24"/>
          <w:szCs w:val="24"/>
        </w:rPr>
        <w:t>Guidelines</w:t>
      </w:r>
      <w:r w:rsidRPr="00921C6C" w:rsidR="005671CD">
        <w:rPr>
          <w:rFonts w:ascii="Times New Roman" w:hAnsi="Times New Roman"/>
          <w:sz w:val="24"/>
          <w:szCs w:val="24"/>
        </w:rPr>
        <w:t>;</w:t>
      </w:r>
      <w:r w:rsidRPr="00921C6C" w:rsidR="005671CD">
        <w:rPr>
          <w:rFonts w:ascii="Times New Roman" w:hAnsi="Times New Roman"/>
          <w:sz w:val="24"/>
          <w:szCs w:val="24"/>
        </w:rPr>
        <w:t xml:space="preserve"> </w:t>
      </w:r>
    </w:p>
    <w:p w:rsidR="002C645F" w:rsidRPr="00921C6C" w:rsidP="00AC30DC" w14:paraId="6A7BAD0A" w14:textId="77777777">
      <w:pPr>
        <w:pStyle w:val="ListParagraph"/>
        <w:numPr>
          <w:ilvl w:val="0"/>
          <w:numId w:val="42"/>
        </w:numPr>
        <w:rPr>
          <w:rFonts w:ascii="Times New Roman" w:hAnsi="Times New Roman"/>
          <w:sz w:val="24"/>
          <w:szCs w:val="24"/>
        </w:rPr>
      </w:pPr>
      <w:r w:rsidRPr="00921C6C">
        <w:rPr>
          <w:rFonts w:ascii="Times New Roman" w:hAnsi="Times New Roman"/>
          <w:sz w:val="24"/>
          <w:szCs w:val="24"/>
        </w:rPr>
        <w:t>TILA and the CFPB’s implementing regulation, Regulation Z</w:t>
      </w:r>
      <w:r w:rsidRPr="00921C6C" w:rsidR="005671CD">
        <w:rPr>
          <w:rFonts w:ascii="Times New Roman" w:hAnsi="Times New Roman"/>
          <w:sz w:val="24"/>
          <w:szCs w:val="24"/>
        </w:rPr>
        <w:t xml:space="preserve">; </w:t>
      </w:r>
      <w:r w:rsidRPr="00921C6C">
        <w:rPr>
          <w:rFonts w:ascii="Times New Roman" w:hAnsi="Times New Roman"/>
          <w:sz w:val="24"/>
          <w:szCs w:val="24"/>
        </w:rPr>
        <w:t>TISA and the CFPB’s implementing regulation, Regulation DD (12 CFR part 1030)</w:t>
      </w:r>
      <w:r w:rsidRPr="00921C6C" w:rsidR="00633492">
        <w:rPr>
          <w:rFonts w:ascii="Times New Roman" w:hAnsi="Times New Roman"/>
          <w:sz w:val="24"/>
          <w:szCs w:val="24"/>
        </w:rPr>
        <w:t xml:space="preserve"> and</w:t>
      </w:r>
      <w:r w:rsidRPr="00921C6C">
        <w:rPr>
          <w:rFonts w:ascii="Times New Roman" w:hAnsi="Times New Roman"/>
          <w:sz w:val="24"/>
          <w:szCs w:val="24"/>
        </w:rPr>
        <w:t xml:space="preserve"> part 707 of the NCUA Rules and Regulations</w:t>
      </w:r>
      <w:r w:rsidRPr="00921C6C" w:rsidR="00633492">
        <w:rPr>
          <w:rFonts w:ascii="Times New Roman" w:hAnsi="Times New Roman"/>
          <w:sz w:val="24"/>
          <w:szCs w:val="24"/>
        </w:rPr>
        <w:t xml:space="preserve">; and </w:t>
      </w:r>
    </w:p>
    <w:p w:rsidR="00EF2D70" w:rsidRPr="00921C6C" w:rsidP="00AC30DC" w14:paraId="79FB7111" w14:textId="18F0D72E">
      <w:pPr>
        <w:pStyle w:val="ListParagraph"/>
        <w:numPr>
          <w:ilvl w:val="0"/>
          <w:numId w:val="42"/>
        </w:numPr>
        <w:rPr>
          <w:rFonts w:ascii="Times New Roman" w:hAnsi="Times New Roman"/>
          <w:sz w:val="24"/>
          <w:szCs w:val="24"/>
        </w:rPr>
      </w:pPr>
      <w:r w:rsidRPr="00921C6C">
        <w:rPr>
          <w:rFonts w:ascii="Times New Roman" w:hAnsi="Times New Roman"/>
          <w:sz w:val="24"/>
          <w:szCs w:val="24"/>
        </w:rPr>
        <w:t>t</w:t>
      </w:r>
      <w:r w:rsidRPr="00921C6C" w:rsidR="00B5457C">
        <w:rPr>
          <w:rFonts w:ascii="Times New Roman" w:hAnsi="Times New Roman"/>
          <w:sz w:val="24"/>
          <w:szCs w:val="24"/>
        </w:rPr>
        <w:t>he Real Estate Settlement Procedures Act of 1974</w:t>
      </w:r>
      <w:r>
        <w:rPr>
          <w:rStyle w:val="FootnoteReference"/>
          <w:rFonts w:ascii="Times New Roman" w:hAnsi="Times New Roman"/>
          <w:sz w:val="24"/>
          <w:szCs w:val="24"/>
        </w:rPr>
        <w:footnoteReference w:id="6"/>
      </w:r>
      <w:r w:rsidRPr="00921C6C" w:rsidR="00B5457C">
        <w:rPr>
          <w:rFonts w:ascii="Times New Roman" w:hAnsi="Times New Roman"/>
          <w:sz w:val="24"/>
          <w:szCs w:val="24"/>
        </w:rPr>
        <w:t xml:space="preserve"> and the CFPB’s implementing regulation, Regulation X (12 CFR part 1024</w:t>
      </w:r>
      <w:r w:rsidRPr="00921C6C">
        <w:rPr>
          <w:rFonts w:ascii="Times New Roman" w:hAnsi="Times New Roman"/>
          <w:sz w:val="24"/>
          <w:szCs w:val="24"/>
        </w:rPr>
        <w:t xml:space="preserve">). </w:t>
      </w:r>
    </w:p>
    <w:p w:rsidR="00EF2D70" w:rsidRPr="00921C6C" w:rsidP="00B5457C" w14:paraId="76FD2900" w14:textId="77777777">
      <w:pPr>
        <w:rPr>
          <w:sz w:val="24"/>
          <w:szCs w:val="24"/>
        </w:rPr>
      </w:pPr>
    </w:p>
    <w:p w:rsidR="00B922E6" w:rsidRPr="00921C6C" w:rsidP="00B5457C" w14:paraId="7985182E" w14:textId="607959C0">
      <w:pPr>
        <w:rPr>
          <w:sz w:val="24"/>
          <w:szCs w:val="24"/>
        </w:rPr>
      </w:pPr>
      <w:r w:rsidRPr="00921C6C">
        <w:rPr>
          <w:sz w:val="24"/>
          <w:szCs w:val="24"/>
        </w:rPr>
        <w:t>To the extent of any overlap</w:t>
      </w:r>
      <w:r w:rsidRPr="00921C6C" w:rsidR="00EF2D70">
        <w:rPr>
          <w:sz w:val="24"/>
          <w:szCs w:val="24"/>
        </w:rPr>
        <w:t xml:space="preserve"> with respect to disclosures of information to consumers</w:t>
      </w:r>
      <w:r w:rsidRPr="00921C6C">
        <w:rPr>
          <w:sz w:val="24"/>
          <w:szCs w:val="24"/>
        </w:rPr>
        <w:t xml:space="preserve">, the </w:t>
      </w:r>
      <w:r w:rsidRPr="00921C6C" w:rsidR="00633492">
        <w:rPr>
          <w:sz w:val="24"/>
          <w:szCs w:val="24"/>
        </w:rPr>
        <w:t>information collections are unique</w:t>
      </w:r>
      <w:r w:rsidRPr="00921C6C" w:rsidR="001E1348">
        <w:rPr>
          <w:sz w:val="24"/>
          <w:szCs w:val="24"/>
        </w:rPr>
        <w:t xml:space="preserve"> because they </w:t>
      </w:r>
      <w:r w:rsidRPr="00921C6C" w:rsidR="009B329A">
        <w:rPr>
          <w:sz w:val="24"/>
          <w:szCs w:val="24"/>
        </w:rPr>
        <w:t>require disclosures under</w:t>
      </w:r>
      <w:r w:rsidRPr="00921C6C" w:rsidR="001E1348">
        <w:rPr>
          <w:sz w:val="24"/>
          <w:szCs w:val="24"/>
        </w:rPr>
        <w:t xml:space="preserve"> </w:t>
      </w:r>
      <w:r w:rsidRPr="00921C6C" w:rsidR="00FB5A99">
        <w:rPr>
          <w:sz w:val="24"/>
          <w:szCs w:val="24"/>
        </w:rPr>
        <w:t xml:space="preserve">different </w:t>
      </w:r>
      <w:r w:rsidRPr="00921C6C" w:rsidR="001E1348">
        <w:rPr>
          <w:sz w:val="24"/>
          <w:szCs w:val="24"/>
        </w:rPr>
        <w:t>circumstances</w:t>
      </w:r>
      <w:r w:rsidRPr="00921C6C" w:rsidR="00FA0EB0">
        <w:rPr>
          <w:sz w:val="24"/>
          <w:szCs w:val="24"/>
        </w:rPr>
        <w:t xml:space="preserve">. </w:t>
      </w:r>
      <w:r w:rsidR="00B3415E">
        <w:rPr>
          <w:sz w:val="24"/>
          <w:szCs w:val="24"/>
        </w:rPr>
        <w:t>Part 1033</w:t>
      </w:r>
      <w:r w:rsidRPr="00921C6C" w:rsidR="007B678E">
        <w:rPr>
          <w:sz w:val="24"/>
          <w:szCs w:val="24"/>
        </w:rPr>
        <w:t xml:space="preserve"> applies only to disclosures to be made in electronic form and includes obligations to make disclosures to authorized third parties</w:t>
      </w:r>
      <w:r w:rsidRPr="00921C6C" w:rsidR="001E1348">
        <w:rPr>
          <w:sz w:val="24"/>
          <w:szCs w:val="24"/>
        </w:rPr>
        <w:t>.</w:t>
      </w:r>
      <w:r w:rsidRPr="00921C6C" w:rsidR="00EF2D70">
        <w:rPr>
          <w:sz w:val="24"/>
          <w:szCs w:val="24"/>
        </w:rPr>
        <w:t xml:space="preserve"> To the extent of any overlap with respect to recordkeeping requirements, the </w:t>
      </w:r>
      <w:r w:rsidR="00F654CA">
        <w:rPr>
          <w:sz w:val="24"/>
          <w:szCs w:val="24"/>
        </w:rPr>
        <w:t>rule</w:t>
      </w:r>
      <w:r w:rsidRPr="00921C6C" w:rsidR="00F654CA">
        <w:rPr>
          <w:sz w:val="24"/>
          <w:szCs w:val="24"/>
        </w:rPr>
        <w:t xml:space="preserve"> </w:t>
      </w:r>
      <w:r w:rsidRPr="00921C6C" w:rsidR="00321841">
        <w:rPr>
          <w:sz w:val="24"/>
          <w:szCs w:val="24"/>
        </w:rPr>
        <w:t>provide</w:t>
      </w:r>
      <w:r w:rsidR="00F654CA">
        <w:rPr>
          <w:sz w:val="24"/>
          <w:szCs w:val="24"/>
        </w:rPr>
        <w:t>s</w:t>
      </w:r>
      <w:r w:rsidRPr="00921C6C" w:rsidR="00321841">
        <w:rPr>
          <w:sz w:val="24"/>
          <w:szCs w:val="24"/>
        </w:rPr>
        <w:t xml:space="preserve"> </w:t>
      </w:r>
      <w:r w:rsidRPr="00921C6C" w:rsidR="00EF2D70">
        <w:rPr>
          <w:sz w:val="24"/>
          <w:szCs w:val="24"/>
        </w:rPr>
        <w:t xml:space="preserve">flexibility to data providers and third parties </w:t>
      </w:r>
      <w:r w:rsidRPr="00921C6C" w:rsidR="00321841">
        <w:rPr>
          <w:sz w:val="24"/>
          <w:szCs w:val="24"/>
        </w:rPr>
        <w:t>by requiring that they establish and maintain policies and procedures reasonably designed to meet certain objectives.</w:t>
      </w:r>
    </w:p>
    <w:p w:rsidR="00B5457C" w:rsidRPr="00921C6C" w:rsidP="00B5457C" w14:paraId="49D30566" w14:textId="77777777">
      <w:pPr>
        <w:rPr>
          <w:sz w:val="24"/>
          <w:szCs w:val="24"/>
        </w:rPr>
      </w:pPr>
    </w:p>
    <w:p w:rsidR="00092D91" w:rsidRPr="00921C6C" w:rsidP="00092D91" w14:paraId="78977288" w14:textId="77777777">
      <w:pPr>
        <w:pStyle w:val="BodyText"/>
        <w:rPr>
          <w:b/>
          <w:szCs w:val="24"/>
        </w:rPr>
      </w:pPr>
      <w:r w:rsidRPr="00921C6C">
        <w:rPr>
          <w:b/>
          <w:szCs w:val="24"/>
        </w:rPr>
        <w:t xml:space="preserve">5.  </w:t>
      </w:r>
      <w:r w:rsidRPr="00921C6C">
        <w:rPr>
          <w:b/>
          <w:bCs/>
          <w:szCs w:val="24"/>
        </w:rPr>
        <w:t>If the collection of information impacts small businesses or other small entities, describe any methods used to minimize burden.</w:t>
      </w:r>
    </w:p>
    <w:p w:rsidR="00CE37BD" w:rsidRPr="00921C6C" w:rsidP="00CF45E5" w14:paraId="200CDC45" w14:textId="77777777">
      <w:pPr>
        <w:rPr>
          <w:sz w:val="24"/>
          <w:szCs w:val="24"/>
        </w:rPr>
      </w:pPr>
    </w:p>
    <w:p w:rsidR="00CE37BD" w:rsidRPr="00921C6C" w:rsidP="00CF45E5" w14:paraId="1D96A001" w14:textId="58350B01">
      <w:pPr>
        <w:rPr>
          <w:sz w:val="24"/>
          <w:szCs w:val="24"/>
        </w:rPr>
      </w:pPr>
      <w:r w:rsidRPr="00921C6C">
        <w:rPr>
          <w:sz w:val="24"/>
          <w:szCs w:val="24"/>
        </w:rPr>
        <w:t xml:space="preserve">In </w:t>
      </w:r>
      <w:r w:rsidRPr="00921C6C" w:rsidR="00C6486C">
        <w:rPr>
          <w:sz w:val="24"/>
          <w:szCs w:val="24"/>
        </w:rPr>
        <w:t xml:space="preserve">February 2023, the Bureau convened a Small Business Review Panel regarding burden minimization. </w:t>
      </w:r>
      <w:r w:rsidRPr="00921C6C" w:rsidR="005E768D">
        <w:rPr>
          <w:sz w:val="24"/>
          <w:szCs w:val="24"/>
        </w:rPr>
        <w:t xml:space="preserve">Based on the feedback received, the Bureau took several steps to reduce burden in the </w:t>
      </w:r>
      <w:r w:rsidR="00B3415E">
        <w:rPr>
          <w:sz w:val="24"/>
          <w:szCs w:val="24"/>
        </w:rPr>
        <w:t>final</w:t>
      </w:r>
      <w:r w:rsidRPr="00921C6C" w:rsidR="00B3415E">
        <w:rPr>
          <w:sz w:val="24"/>
          <w:szCs w:val="24"/>
        </w:rPr>
        <w:t xml:space="preserve"> </w:t>
      </w:r>
      <w:r w:rsidRPr="00921C6C" w:rsidR="005E768D">
        <w:rPr>
          <w:sz w:val="24"/>
          <w:szCs w:val="24"/>
        </w:rPr>
        <w:t xml:space="preserve">rule. First, </w:t>
      </w:r>
      <w:r w:rsidRPr="00921C6C" w:rsidR="00C70D6E">
        <w:rPr>
          <w:sz w:val="24"/>
          <w:szCs w:val="24"/>
        </w:rPr>
        <w:t>the definition of ‘covered data’ was streamlined</w:t>
      </w:r>
      <w:r w:rsidR="008057A0">
        <w:rPr>
          <w:sz w:val="24"/>
          <w:szCs w:val="24"/>
        </w:rPr>
        <w:t xml:space="preserve"> from</w:t>
      </w:r>
      <w:r w:rsidR="007E18B3">
        <w:rPr>
          <w:sz w:val="24"/>
          <w:szCs w:val="24"/>
        </w:rPr>
        <w:t xml:space="preserve"> </w:t>
      </w:r>
      <w:r w:rsidR="0073537D">
        <w:rPr>
          <w:sz w:val="24"/>
          <w:szCs w:val="24"/>
        </w:rPr>
        <w:t>the Small Business Review Panel version</w:t>
      </w:r>
      <w:r w:rsidRPr="00921C6C" w:rsidR="00C70D6E">
        <w:rPr>
          <w:sz w:val="24"/>
          <w:szCs w:val="24"/>
        </w:rPr>
        <w:t xml:space="preserve"> to </w:t>
      </w:r>
      <w:r w:rsidRPr="00921C6C" w:rsidR="00EB6312">
        <w:rPr>
          <w:sz w:val="24"/>
          <w:szCs w:val="24"/>
        </w:rPr>
        <w:t xml:space="preserve">reduce the </w:t>
      </w:r>
      <w:r w:rsidRPr="00921C6C" w:rsidR="00E455A4">
        <w:rPr>
          <w:sz w:val="24"/>
          <w:szCs w:val="24"/>
        </w:rPr>
        <w:t xml:space="preserve">amount of information that </w:t>
      </w:r>
      <w:r w:rsidRPr="00921C6C" w:rsidR="00845B94">
        <w:rPr>
          <w:sz w:val="24"/>
          <w:szCs w:val="24"/>
        </w:rPr>
        <w:t xml:space="preserve">small entities </w:t>
      </w:r>
      <w:r w:rsidR="00F654CA">
        <w:rPr>
          <w:sz w:val="24"/>
          <w:szCs w:val="24"/>
        </w:rPr>
        <w:t>are</w:t>
      </w:r>
      <w:r w:rsidRPr="00921C6C" w:rsidR="00F654CA">
        <w:rPr>
          <w:sz w:val="24"/>
          <w:szCs w:val="24"/>
        </w:rPr>
        <w:t xml:space="preserve"> </w:t>
      </w:r>
      <w:r w:rsidRPr="00921C6C" w:rsidR="007036F4">
        <w:rPr>
          <w:sz w:val="24"/>
          <w:szCs w:val="24"/>
        </w:rPr>
        <w:t xml:space="preserve">be required to </w:t>
      </w:r>
      <w:r w:rsidRPr="00921C6C" w:rsidR="00ED5738">
        <w:rPr>
          <w:sz w:val="24"/>
          <w:szCs w:val="24"/>
        </w:rPr>
        <w:t>make available</w:t>
      </w:r>
      <w:r w:rsidRPr="00921C6C" w:rsidR="00C419D7">
        <w:rPr>
          <w:sz w:val="24"/>
          <w:szCs w:val="24"/>
        </w:rPr>
        <w:t xml:space="preserve">. </w:t>
      </w:r>
      <w:r w:rsidRPr="00921C6C" w:rsidR="00A44461">
        <w:rPr>
          <w:sz w:val="24"/>
          <w:szCs w:val="24"/>
        </w:rPr>
        <w:t>Second, t</w:t>
      </w:r>
      <w:r w:rsidRPr="00921C6C" w:rsidR="00E059DD">
        <w:rPr>
          <w:sz w:val="24"/>
          <w:szCs w:val="24"/>
        </w:rPr>
        <w:t xml:space="preserve">he </w:t>
      </w:r>
      <w:r w:rsidR="00E6472E">
        <w:rPr>
          <w:sz w:val="24"/>
          <w:szCs w:val="24"/>
        </w:rPr>
        <w:t>final rule does not</w:t>
      </w:r>
      <w:r w:rsidR="00CF192A">
        <w:rPr>
          <w:sz w:val="24"/>
          <w:szCs w:val="24"/>
        </w:rPr>
        <w:t xml:space="preserve"> apply to</w:t>
      </w:r>
      <w:r w:rsidRPr="00921C6C" w:rsidR="00E6472E">
        <w:rPr>
          <w:sz w:val="24"/>
          <w:szCs w:val="24"/>
        </w:rPr>
        <w:t xml:space="preserve"> </w:t>
      </w:r>
      <w:r w:rsidRPr="00921C6C" w:rsidR="002C3388">
        <w:rPr>
          <w:sz w:val="24"/>
          <w:szCs w:val="24"/>
        </w:rPr>
        <w:t>depositor</w:t>
      </w:r>
      <w:r w:rsidR="006410B1">
        <w:rPr>
          <w:sz w:val="24"/>
          <w:szCs w:val="24"/>
        </w:rPr>
        <w:t>y institutions</w:t>
      </w:r>
      <w:r w:rsidRPr="00921C6C" w:rsidR="002C3388">
        <w:rPr>
          <w:sz w:val="24"/>
          <w:szCs w:val="24"/>
        </w:rPr>
        <w:t xml:space="preserve"> </w:t>
      </w:r>
      <w:r w:rsidR="00CF192A">
        <w:rPr>
          <w:sz w:val="24"/>
          <w:szCs w:val="24"/>
        </w:rPr>
        <w:t>that</w:t>
      </w:r>
      <w:r w:rsidR="00603A8A">
        <w:rPr>
          <w:sz w:val="24"/>
          <w:szCs w:val="24"/>
        </w:rPr>
        <w:t xml:space="preserve"> hold total assets at or</w:t>
      </w:r>
      <w:r w:rsidR="00CF192A">
        <w:rPr>
          <w:sz w:val="24"/>
          <w:szCs w:val="24"/>
        </w:rPr>
        <w:t xml:space="preserve"> below the applicable Small Business Administration size standard for</w:t>
      </w:r>
      <w:r w:rsidR="009A6B30">
        <w:rPr>
          <w:sz w:val="24"/>
          <w:szCs w:val="24"/>
        </w:rPr>
        <w:t xml:space="preserve"> the depository institution’s appropriate NAICS code for commercial banking, credit unions, savings institutions and other depository</w:t>
      </w:r>
      <w:r w:rsidR="008859DA">
        <w:rPr>
          <w:sz w:val="24"/>
          <w:szCs w:val="24"/>
        </w:rPr>
        <w:t xml:space="preserve"> credit intermediation, or credit card issuing, as codified in 13 CFR 121.201.</w:t>
      </w:r>
      <w:r w:rsidR="005247D1">
        <w:rPr>
          <w:sz w:val="24"/>
          <w:szCs w:val="24"/>
        </w:rPr>
        <w:t xml:space="preserve"> </w:t>
      </w:r>
      <w:r w:rsidRPr="00921C6C" w:rsidR="00F77F1F">
        <w:rPr>
          <w:sz w:val="24"/>
          <w:szCs w:val="24"/>
        </w:rPr>
        <w:t xml:space="preserve"> </w:t>
      </w:r>
      <w:r w:rsidRPr="00921C6C" w:rsidR="00342D6C">
        <w:rPr>
          <w:sz w:val="24"/>
          <w:szCs w:val="24"/>
        </w:rPr>
        <w:t>Third</w:t>
      </w:r>
      <w:r w:rsidRPr="00921C6C" w:rsidR="00D56A9D">
        <w:rPr>
          <w:sz w:val="24"/>
          <w:szCs w:val="24"/>
        </w:rPr>
        <w:t xml:space="preserve">, </w:t>
      </w:r>
      <w:r w:rsidRPr="00921C6C" w:rsidR="00D90933">
        <w:rPr>
          <w:sz w:val="24"/>
          <w:szCs w:val="24"/>
        </w:rPr>
        <w:t xml:space="preserve">the </w:t>
      </w:r>
      <w:r w:rsidR="00557DB5">
        <w:rPr>
          <w:sz w:val="24"/>
          <w:szCs w:val="24"/>
        </w:rPr>
        <w:t>final rule extends</w:t>
      </w:r>
      <w:r w:rsidRPr="00921C6C" w:rsidR="00CA4F24">
        <w:rPr>
          <w:sz w:val="24"/>
          <w:szCs w:val="24"/>
        </w:rPr>
        <w:t xml:space="preserve"> compliance timelines for</w:t>
      </w:r>
      <w:r w:rsidRPr="00921C6C" w:rsidR="00557DB5">
        <w:rPr>
          <w:sz w:val="24"/>
          <w:szCs w:val="24"/>
        </w:rPr>
        <w:t xml:space="preserve"> </w:t>
      </w:r>
      <w:r w:rsidR="00557DB5">
        <w:rPr>
          <w:sz w:val="24"/>
          <w:szCs w:val="24"/>
        </w:rPr>
        <w:t>all data providers, including smaller data providers</w:t>
      </w:r>
      <w:r w:rsidRPr="00921C6C" w:rsidR="00A4624C">
        <w:rPr>
          <w:sz w:val="24"/>
          <w:szCs w:val="24"/>
        </w:rPr>
        <w:t>.</w:t>
      </w:r>
      <w:r w:rsidRPr="00921C6C" w:rsidR="00342D6C">
        <w:rPr>
          <w:sz w:val="24"/>
          <w:szCs w:val="24"/>
        </w:rPr>
        <w:t xml:space="preserve"> </w:t>
      </w:r>
      <w:r w:rsidR="00557DB5">
        <w:rPr>
          <w:sz w:val="24"/>
          <w:szCs w:val="24"/>
        </w:rPr>
        <w:t>Fourth</w:t>
      </w:r>
      <w:r w:rsidRPr="00921C6C" w:rsidR="00342D6C">
        <w:rPr>
          <w:sz w:val="24"/>
          <w:szCs w:val="24"/>
        </w:rPr>
        <w:t xml:space="preserve">, the </w:t>
      </w:r>
      <w:r w:rsidRPr="00921C6C" w:rsidR="00786D98">
        <w:rPr>
          <w:sz w:val="24"/>
          <w:szCs w:val="24"/>
        </w:rPr>
        <w:t>recordkeeping requirements</w:t>
      </w:r>
      <w:r w:rsidRPr="00921C6C" w:rsidR="00802ED2">
        <w:rPr>
          <w:sz w:val="24"/>
          <w:szCs w:val="24"/>
        </w:rPr>
        <w:t xml:space="preserve"> </w:t>
      </w:r>
      <w:r w:rsidR="00557DB5">
        <w:rPr>
          <w:sz w:val="24"/>
          <w:szCs w:val="24"/>
        </w:rPr>
        <w:t>are</w:t>
      </w:r>
      <w:r w:rsidRPr="00921C6C" w:rsidR="00557DB5">
        <w:rPr>
          <w:sz w:val="24"/>
          <w:szCs w:val="24"/>
        </w:rPr>
        <w:t xml:space="preserve"> </w:t>
      </w:r>
      <w:r w:rsidRPr="00921C6C" w:rsidR="00802ED2">
        <w:rPr>
          <w:sz w:val="24"/>
          <w:szCs w:val="24"/>
        </w:rPr>
        <w:t>flexible for data providers</w:t>
      </w:r>
      <w:r w:rsidRPr="00921C6C" w:rsidR="60162488">
        <w:rPr>
          <w:sz w:val="24"/>
          <w:szCs w:val="24"/>
        </w:rPr>
        <w:t xml:space="preserve"> and third parties</w:t>
      </w:r>
      <w:r w:rsidRPr="00921C6C" w:rsidR="00802ED2">
        <w:rPr>
          <w:sz w:val="24"/>
          <w:szCs w:val="24"/>
        </w:rPr>
        <w:t>.</w:t>
      </w:r>
      <w:r w:rsidRPr="00921C6C" w:rsidR="002C3388">
        <w:rPr>
          <w:sz w:val="24"/>
          <w:szCs w:val="24"/>
        </w:rPr>
        <w:t xml:space="preserve"> </w:t>
      </w:r>
      <w:r w:rsidR="00557DB5">
        <w:rPr>
          <w:sz w:val="24"/>
          <w:szCs w:val="24"/>
        </w:rPr>
        <w:t xml:space="preserve">Fifth, the final rule’s minimum standards for commercially reasonable performance </w:t>
      </w:r>
      <w:r w:rsidR="00557DB5">
        <w:rPr>
          <w:sz w:val="24"/>
          <w:szCs w:val="24"/>
        </w:rPr>
        <w:t>is</w:t>
      </w:r>
      <w:r w:rsidR="00557DB5">
        <w:rPr>
          <w:sz w:val="24"/>
          <w:szCs w:val="24"/>
        </w:rPr>
        <w:t xml:space="preserve"> more flexible than the proposal.</w:t>
      </w:r>
    </w:p>
    <w:p w:rsidR="00E939D3" w:rsidRPr="00921C6C" w:rsidP="005F1FFC" w14:paraId="2EE74F06" w14:textId="77777777">
      <w:pPr>
        <w:pStyle w:val="BodyText"/>
        <w:rPr>
          <w:szCs w:val="24"/>
        </w:rPr>
      </w:pPr>
    </w:p>
    <w:p w:rsidR="00F660E8" w:rsidRPr="00921C6C" w:rsidP="00F660E8" w14:paraId="7ACF7470" w14:textId="77777777">
      <w:pPr>
        <w:rPr>
          <w:b/>
          <w:sz w:val="24"/>
          <w:szCs w:val="24"/>
        </w:rPr>
      </w:pPr>
      <w:r w:rsidRPr="00921C6C">
        <w:rPr>
          <w:b/>
          <w:sz w:val="24"/>
          <w:szCs w:val="24"/>
        </w:rPr>
        <w:t xml:space="preserve">6.  </w:t>
      </w:r>
      <w:r w:rsidRPr="00921C6C">
        <w:rPr>
          <w:b/>
          <w:bCs/>
          <w:sz w:val="24"/>
          <w:szCs w:val="24"/>
        </w:rPr>
        <w:t xml:space="preserve">Describe the consequence to federal program or policy activities if the collection is not conducted or is conducted less frequently, as well as any technical or legal obstacles to reducing burden. </w:t>
      </w:r>
    </w:p>
    <w:p w:rsidR="005F1FFC" w:rsidRPr="00921C6C" w:rsidP="005F1FFC" w14:paraId="039568CD" w14:textId="3A629536">
      <w:pPr>
        <w:rPr>
          <w:sz w:val="24"/>
          <w:szCs w:val="24"/>
        </w:rPr>
      </w:pPr>
    </w:p>
    <w:p w:rsidR="009513B5" w:rsidRPr="00921C6C" w:rsidP="00CF45E5" w14:paraId="4B0C5ECD" w14:textId="05F4050D">
      <w:pPr>
        <w:rPr>
          <w:sz w:val="24"/>
          <w:szCs w:val="24"/>
        </w:rPr>
      </w:pPr>
      <w:r w:rsidRPr="00921C6C">
        <w:rPr>
          <w:sz w:val="24"/>
          <w:szCs w:val="24"/>
        </w:rPr>
        <w:t>The general obligation to make covered data available (</w:t>
      </w:r>
      <w:r w:rsidR="001B15A2">
        <w:rPr>
          <w:sz w:val="24"/>
          <w:szCs w:val="24"/>
        </w:rPr>
        <w:t>Section</w:t>
      </w:r>
      <w:r w:rsidRPr="00921C6C">
        <w:rPr>
          <w:sz w:val="24"/>
          <w:szCs w:val="24"/>
        </w:rPr>
        <w:t xml:space="preserve"> 1033.201) is necessary to carry out the statutory text of CFPA </w:t>
      </w:r>
      <w:r w:rsidRPr="00921C6C" w:rsidR="002B377E">
        <w:rPr>
          <w:sz w:val="24"/>
          <w:szCs w:val="24"/>
        </w:rPr>
        <w:t>S</w:t>
      </w:r>
      <w:r w:rsidRPr="00921C6C">
        <w:rPr>
          <w:sz w:val="24"/>
          <w:szCs w:val="24"/>
        </w:rPr>
        <w:t xml:space="preserve">ection 1033(a).  If the other </w:t>
      </w:r>
      <w:r w:rsidRPr="00921C6C" w:rsidR="00610E13">
        <w:rPr>
          <w:sz w:val="24"/>
          <w:szCs w:val="24"/>
        </w:rPr>
        <w:t xml:space="preserve">requirements were not adopted, the CFPB </w:t>
      </w:r>
      <w:r w:rsidRPr="00921C6C">
        <w:rPr>
          <w:sz w:val="24"/>
          <w:szCs w:val="24"/>
        </w:rPr>
        <w:t>t</w:t>
      </w:r>
      <w:r w:rsidRPr="00921C6C" w:rsidR="00610E13">
        <w:rPr>
          <w:sz w:val="24"/>
          <w:szCs w:val="24"/>
        </w:rPr>
        <w:t xml:space="preserve">he objectives of CFPA </w:t>
      </w:r>
      <w:r w:rsidRPr="00921C6C" w:rsidR="005E7000">
        <w:rPr>
          <w:sz w:val="24"/>
          <w:szCs w:val="24"/>
        </w:rPr>
        <w:t>S</w:t>
      </w:r>
      <w:r w:rsidRPr="00921C6C" w:rsidR="00610E13">
        <w:rPr>
          <w:sz w:val="24"/>
          <w:szCs w:val="24"/>
        </w:rPr>
        <w:t xml:space="preserve">ection 1033 would </w:t>
      </w:r>
      <w:r w:rsidRPr="00921C6C">
        <w:rPr>
          <w:sz w:val="24"/>
          <w:szCs w:val="24"/>
        </w:rPr>
        <w:t xml:space="preserve">not </w:t>
      </w:r>
      <w:r w:rsidRPr="00921C6C" w:rsidR="00610E13">
        <w:rPr>
          <w:sz w:val="24"/>
          <w:szCs w:val="24"/>
        </w:rPr>
        <w:t>be carried out effectively</w:t>
      </w:r>
      <w:r w:rsidRPr="00921C6C">
        <w:rPr>
          <w:sz w:val="24"/>
          <w:szCs w:val="24"/>
        </w:rPr>
        <w:t>. Specifically, the CFPB would not achieve the objectives describe in section A.2 above.</w:t>
      </w:r>
    </w:p>
    <w:p w:rsidR="00E939D3" w:rsidRPr="00921C6C" w:rsidP="00BE61FE" w14:paraId="224E9EAF" w14:textId="77777777">
      <w:pPr>
        <w:rPr>
          <w:sz w:val="24"/>
          <w:szCs w:val="24"/>
        </w:rPr>
      </w:pPr>
    </w:p>
    <w:p w:rsidR="00F660E8" w:rsidRPr="00921C6C"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21C6C">
        <w:rPr>
          <w:b/>
          <w:sz w:val="24"/>
          <w:szCs w:val="24"/>
        </w:rPr>
        <w:t xml:space="preserve">7.  </w:t>
      </w:r>
      <w:r w:rsidRPr="00921C6C">
        <w:rPr>
          <w:b/>
          <w:bCs/>
          <w:sz w:val="24"/>
          <w:szCs w:val="24"/>
        </w:rPr>
        <w:t>Explain any special circumstances that would cause an information collection to be conducted in a manner:</w:t>
      </w:r>
    </w:p>
    <w:p w:rsidR="00F660E8" w:rsidRPr="00921C6C"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21C6C">
        <w:rPr>
          <w:b/>
          <w:bCs/>
          <w:sz w:val="24"/>
          <w:szCs w:val="24"/>
        </w:rPr>
        <w:t xml:space="preserve">requiring respondents to report information to the agency more often than </w:t>
      </w:r>
      <w:r w:rsidRPr="00921C6C">
        <w:rPr>
          <w:b/>
          <w:bCs/>
          <w:sz w:val="24"/>
          <w:szCs w:val="24"/>
        </w:rPr>
        <w:t>quarterly;</w:t>
      </w:r>
    </w:p>
    <w:p w:rsidR="00F660E8" w:rsidRPr="00921C6C"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21C6C">
        <w:rPr>
          <w:b/>
          <w:bCs/>
          <w:sz w:val="24"/>
          <w:szCs w:val="24"/>
        </w:rPr>
        <w:t xml:space="preserve">requiring respondents to prepare a written response to a collection of information in fewer than 30 days after receipt of </w:t>
      </w:r>
      <w:r w:rsidRPr="00921C6C">
        <w:rPr>
          <w:b/>
          <w:bCs/>
          <w:sz w:val="24"/>
          <w:szCs w:val="24"/>
        </w:rPr>
        <w:t>it;</w:t>
      </w:r>
    </w:p>
    <w:p w:rsidR="00F660E8" w:rsidRPr="00921C6C"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21C6C">
        <w:rPr>
          <w:b/>
          <w:bCs/>
          <w:sz w:val="24"/>
          <w:szCs w:val="24"/>
        </w:rPr>
        <w:t xml:space="preserve">requiring respondents to submit more than an original and two copies of any </w:t>
      </w:r>
      <w:r w:rsidRPr="00921C6C">
        <w:rPr>
          <w:b/>
          <w:bCs/>
          <w:sz w:val="24"/>
          <w:szCs w:val="24"/>
        </w:rPr>
        <w:t>document;</w:t>
      </w:r>
    </w:p>
    <w:p w:rsidR="00F660E8" w:rsidRPr="00921C6C"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921C6C">
        <w:rPr>
          <w:b/>
          <w:bCs/>
          <w:sz w:val="24"/>
          <w:szCs w:val="24"/>
        </w:rPr>
        <w:t xml:space="preserve">requiring respondents to retain records, other than health, medical, government contract, grant-in-aid, or tax records for more than three </w:t>
      </w:r>
      <w:r w:rsidRPr="00921C6C">
        <w:rPr>
          <w:b/>
          <w:bCs/>
          <w:sz w:val="24"/>
          <w:szCs w:val="24"/>
        </w:rPr>
        <w:t>years;</w:t>
      </w:r>
    </w:p>
    <w:p w:rsidR="00F660E8" w:rsidRPr="00921C6C"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21C6C">
        <w:rPr>
          <w:b/>
          <w:bCs/>
        </w:rPr>
        <w:t xml:space="preserve">in connection with a statistical survey, that is not designed to produce valid and reliable results that can be generalized to the universe of </w:t>
      </w:r>
      <w:r w:rsidRPr="00921C6C">
        <w:rPr>
          <w:b/>
          <w:bCs/>
        </w:rPr>
        <w:t>study;</w:t>
      </w:r>
    </w:p>
    <w:p w:rsidR="00F660E8" w:rsidRPr="00921C6C"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21C6C">
        <w:rPr>
          <w:b/>
          <w:bCs/>
        </w:rPr>
        <w:t xml:space="preserve">requiring the use of statistical data classification that has not been reviewed and approved by </w:t>
      </w:r>
      <w:r w:rsidRPr="00921C6C">
        <w:rPr>
          <w:b/>
          <w:bCs/>
        </w:rPr>
        <w:t>OMB;</w:t>
      </w:r>
    </w:p>
    <w:p w:rsidR="00F660E8" w:rsidRPr="00921C6C"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21C6C">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60E8" w:rsidRPr="00921C6C"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1C6C">
        <w:rPr>
          <w:b/>
          <w:bCs/>
        </w:rPr>
        <w:t>requiring respondents to submit proprietary trade secret, or other confidential information unless the agency can demonstrate that it has instituted procedures to protect the information's confidentially to the extent permitted by law.</w:t>
      </w:r>
    </w:p>
    <w:p w:rsidR="005F1FFC" w:rsidRPr="00921C6C" w:rsidP="005F1FFC" w14:paraId="394DE9F1" w14:textId="77777777">
      <w:pPr>
        <w:ind w:left="720"/>
        <w:rPr>
          <w:sz w:val="24"/>
          <w:szCs w:val="24"/>
        </w:rPr>
      </w:pPr>
    </w:p>
    <w:p w:rsidR="00AA6F70" w:rsidRPr="00921C6C" w:rsidP="00AA6F70" w14:paraId="6C4B31A6" w14:textId="30C89675">
      <w:pPr>
        <w:pStyle w:val="Default"/>
        <w:rPr>
          <w:rFonts w:ascii="Times New Roman" w:hAnsi="Times New Roman" w:cs="Times New Roman"/>
        </w:rPr>
      </w:pPr>
      <w:r w:rsidRPr="00921C6C">
        <w:rPr>
          <w:rFonts w:ascii="Times New Roman" w:hAnsi="Times New Roman" w:cs="Times New Roman"/>
        </w:rPr>
        <w:t xml:space="preserve">There are no special circumstances.  The collection of information requirements </w:t>
      </w:r>
      <w:r w:rsidRPr="00921C6C">
        <w:rPr>
          <w:rFonts w:ascii="Times New Roman" w:hAnsi="Times New Roman" w:cs="Times New Roman"/>
        </w:rPr>
        <w:t>are</w:t>
      </w:r>
      <w:r w:rsidRPr="00921C6C">
        <w:rPr>
          <w:rFonts w:ascii="Times New Roman" w:hAnsi="Times New Roman" w:cs="Times New Roman"/>
        </w:rPr>
        <w:t xml:space="preserve"> consistent with the applicable guidelines contained in 5 CFR </w:t>
      </w:r>
      <w:r w:rsidRPr="00921C6C" w:rsidR="005E7000">
        <w:rPr>
          <w:rFonts w:ascii="Times New Roman" w:hAnsi="Times New Roman" w:cs="Times New Roman"/>
        </w:rPr>
        <w:t>Part</w:t>
      </w:r>
      <w:r w:rsidRPr="00921C6C">
        <w:rPr>
          <w:rFonts w:ascii="Times New Roman" w:hAnsi="Times New Roman" w:cs="Times New Roman"/>
        </w:rPr>
        <w:t xml:space="preserve"> 1320.5(d)(2).</w:t>
      </w:r>
    </w:p>
    <w:p w:rsidR="00E939D3" w:rsidRPr="00921C6C" w:rsidP="005F1FFC" w14:paraId="630F2A4B" w14:textId="77777777">
      <w:pPr>
        <w:ind w:left="720"/>
        <w:rPr>
          <w:sz w:val="24"/>
          <w:szCs w:val="24"/>
        </w:rPr>
      </w:pPr>
    </w:p>
    <w:p w:rsidR="00F660E8" w:rsidRPr="00921C6C" w:rsidP="00F660E8" w14:paraId="57D65F4E" w14:textId="217611C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921C6C">
        <w:rPr>
          <w:b/>
          <w:sz w:val="24"/>
          <w:szCs w:val="24"/>
        </w:rPr>
        <w:t xml:space="preserve">8.  </w:t>
      </w:r>
      <w:r w:rsidRPr="00921C6C">
        <w:rPr>
          <w:b/>
          <w:bCs/>
          <w:sz w:val="24"/>
          <w:szCs w:val="24"/>
        </w:rPr>
        <w:t xml:space="preserve">If applicable, provide a copy and identify the date and page number of </w:t>
      </w:r>
      <w:r w:rsidRPr="00921C6C">
        <w:rPr>
          <w:b/>
          <w:bCs/>
          <w:sz w:val="24"/>
          <w:szCs w:val="24"/>
        </w:rPr>
        <w:t>publication</w:t>
      </w:r>
      <w:r w:rsidRPr="00921C6C">
        <w:rPr>
          <w:b/>
          <w:bCs/>
          <w:sz w:val="24"/>
          <w:szCs w:val="24"/>
        </w:rPr>
        <w:t xml:space="preserve"> in the Federal Register of the agency</w:t>
      </w:r>
      <w:r w:rsidRPr="00921C6C" w:rsidR="00F05E66">
        <w:rPr>
          <w:b/>
          <w:bCs/>
          <w:sz w:val="24"/>
          <w:szCs w:val="24"/>
        </w:rPr>
        <w:t>’</w:t>
      </w:r>
      <w:r w:rsidRPr="00921C6C">
        <w:rPr>
          <w:b/>
          <w:bCs/>
          <w:sz w:val="24"/>
          <w:szCs w:val="24"/>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0E8" w:rsidRPr="00921C6C"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921C6C"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921C6C">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660E8" w:rsidRPr="00921C6C"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921C6C"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921C6C">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2958F6" w:rsidRPr="00921C6C" w:rsidP="002958F6" w14:paraId="5B8D6D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8F6" w:rsidRPr="00921C6C" w:rsidP="00140051" w14:paraId="7648FBA6" w14:textId="7D7275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1C6C">
        <w:rPr>
          <w:sz w:val="24"/>
          <w:szCs w:val="24"/>
        </w:rPr>
        <w:t xml:space="preserve">The Bureau convened a Small Business Review Panel to obtain feedback from small entities covered by CFPA </w:t>
      </w:r>
      <w:r w:rsidRPr="00921C6C" w:rsidR="00F620B4">
        <w:rPr>
          <w:sz w:val="24"/>
          <w:szCs w:val="24"/>
        </w:rPr>
        <w:t>S</w:t>
      </w:r>
      <w:r w:rsidRPr="00921C6C">
        <w:rPr>
          <w:sz w:val="24"/>
          <w:szCs w:val="24"/>
        </w:rPr>
        <w:t xml:space="preserve">ection 1033 as well as the </w:t>
      </w:r>
      <w:r w:rsidRPr="00921C6C">
        <w:rPr>
          <w:sz w:val="24"/>
          <w:szCs w:val="24"/>
        </w:rPr>
        <w:t>general public</w:t>
      </w:r>
      <w:r w:rsidRPr="00921C6C">
        <w:rPr>
          <w:sz w:val="24"/>
          <w:szCs w:val="24"/>
        </w:rPr>
        <w:t xml:space="preserve">. In developing the </w:t>
      </w:r>
      <w:r w:rsidRPr="00921C6C">
        <w:rPr>
          <w:sz w:val="24"/>
          <w:szCs w:val="24"/>
        </w:rPr>
        <w:t xml:space="preserve">rule, the Bureau has consulted, or offered to consult with, the appropriate prudential regulators, the Federal Trade Commission, and other Federal agencies including regarding consistency with any prudential, market, or systemic objectives administered by such agencies, and with respect to factors described in CFPA </w:t>
      </w:r>
      <w:r w:rsidRPr="00921C6C" w:rsidR="00F620B4">
        <w:rPr>
          <w:sz w:val="24"/>
          <w:szCs w:val="24"/>
        </w:rPr>
        <w:t>S</w:t>
      </w:r>
      <w:r w:rsidRPr="00921C6C">
        <w:rPr>
          <w:sz w:val="24"/>
          <w:szCs w:val="24"/>
        </w:rPr>
        <w:t>ection 1033(e).</w:t>
      </w:r>
    </w:p>
    <w:p w:rsidR="00140051" w:rsidRPr="00921C6C" w:rsidP="00140051" w14:paraId="798F96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56A2" w:rsidRPr="00921C6C" w:rsidP="00BC56A2" w14:paraId="4EF51BBA" w14:textId="48E7426F">
      <w:pPr>
        <w:rPr>
          <w:bCs/>
          <w:sz w:val="24"/>
          <w:szCs w:val="24"/>
        </w:rPr>
      </w:pPr>
      <w:r w:rsidRPr="00921C6C">
        <w:rPr>
          <w:bCs/>
          <w:sz w:val="24"/>
          <w:szCs w:val="24"/>
        </w:rPr>
        <w:t xml:space="preserve">In accordance with 5 CFR </w:t>
      </w:r>
      <w:r w:rsidRPr="00921C6C" w:rsidR="00F620B4">
        <w:rPr>
          <w:bCs/>
          <w:sz w:val="24"/>
          <w:szCs w:val="24"/>
        </w:rPr>
        <w:t>Part</w:t>
      </w:r>
      <w:r w:rsidRPr="00921C6C" w:rsidR="00CB4375">
        <w:rPr>
          <w:bCs/>
          <w:sz w:val="24"/>
          <w:szCs w:val="24"/>
        </w:rPr>
        <w:t> </w:t>
      </w:r>
      <w:r w:rsidRPr="00921C6C">
        <w:rPr>
          <w:bCs/>
          <w:sz w:val="24"/>
          <w:szCs w:val="24"/>
        </w:rPr>
        <w:t>1320.8(d)(1), the Bureau published</w:t>
      </w:r>
      <w:r w:rsidR="00921C6C">
        <w:rPr>
          <w:bCs/>
          <w:sz w:val="24"/>
          <w:szCs w:val="24"/>
        </w:rPr>
        <w:t xml:space="preserve"> </w:t>
      </w:r>
      <w:r w:rsidR="00557DB5">
        <w:rPr>
          <w:bCs/>
          <w:sz w:val="24"/>
          <w:szCs w:val="24"/>
        </w:rPr>
        <w:t xml:space="preserve">the </w:t>
      </w:r>
      <w:r w:rsidR="00921C6C">
        <w:rPr>
          <w:bCs/>
          <w:sz w:val="24"/>
          <w:szCs w:val="24"/>
        </w:rPr>
        <w:t>proposed rule</w:t>
      </w:r>
      <w:r>
        <w:rPr>
          <w:rStyle w:val="FootnoteReference"/>
          <w:bCs/>
          <w:sz w:val="24"/>
          <w:szCs w:val="24"/>
        </w:rPr>
        <w:footnoteReference w:id="7"/>
      </w:r>
      <w:r w:rsidRPr="00921C6C">
        <w:rPr>
          <w:bCs/>
          <w:sz w:val="24"/>
          <w:szCs w:val="24"/>
        </w:rPr>
        <w:t xml:space="preserve"> in </w:t>
      </w:r>
      <w:r w:rsidR="00A44504">
        <w:rPr>
          <w:bCs/>
          <w:sz w:val="24"/>
          <w:szCs w:val="24"/>
        </w:rPr>
        <w:t xml:space="preserve">the </w:t>
      </w:r>
      <w:r w:rsidRPr="00921C6C">
        <w:rPr>
          <w:bCs/>
          <w:iCs/>
          <w:sz w:val="24"/>
          <w:szCs w:val="24"/>
        </w:rPr>
        <w:t>Federal Register</w:t>
      </w:r>
      <w:r w:rsidRPr="00921C6C">
        <w:rPr>
          <w:bCs/>
          <w:sz w:val="24"/>
          <w:szCs w:val="24"/>
        </w:rPr>
        <w:t xml:space="preserve"> that provides the public 60 calendar days to comment </w:t>
      </w:r>
      <w:r w:rsidRPr="00921C6C" w:rsidR="008B7570">
        <w:rPr>
          <w:bCs/>
          <w:sz w:val="24"/>
          <w:szCs w:val="24"/>
        </w:rPr>
        <w:t xml:space="preserve">on the </w:t>
      </w:r>
      <w:r w:rsidR="00921C6C">
        <w:rPr>
          <w:bCs/>
          <w:sz w:val="24"/>
          <w:szCs w:val="24"/>
        </w:rPr>
        <w:t xml:space="preserve">related </w:t>
      </w:r>
      <w:r w:rsidRPr="00921C6C" w:rsidR="008B7570">
        <w:rPr>
          <w:bCs/>
          <w:sz w:val="24"/>
          <w:szCs w:val="24"/>
        </w:rPr>
        <w:t>information collections</w:t>
      </w:r>
      <w:r w:rsidR="00921C6C">
        <w:rPr>
          <w:bCs/>
          <w:sz w:val="24"/>
          <w:szCs w:val="24"/>
        </w:rPr>
        <w:t>.</w:t>
      </w:r>
      <w:r w:rsidR="00640EE5">
        <w:rPr>
          <w:bCs/>
          <w:sz w:val="24"/>
          <w:szCs w:val="24"/>
        </w:rPr>
        <w:t xml:space="preserve">   Extensive comments were received which are summarized and discussed in the text of the final rule.</w:t>
      </w:r>
    </w:p>
    <w:p w:rsidR="00F620B4" w:rsidRPr="00921C6C" w:rsidP="00BC56A2" w14:paraId="2AE97244" w14:textId="77777777">
      <w:pPr>
        <w:rPr>
          <w:bCs/>
          <w:sz w:val="24"/>
          <w:szCs w:val="24"/>
        </w:rPr>
      </w:pPr>
    </w:p>
    <w:p w:rsidR="00F660E8" w:rsidRPr="00921C6C" w:rsidP="00F660E8" w14:paraId="3BE65949" w14:textId="77777777">
      <w:pPr>
        <w:autoSpaceDE w:val="0"/>
        <w:autoSpaceDN w:val="0"/>
        <w:adjustRightInd w:val="0"/>
        <w:rPr>
          <w:b/>
          <w:sz w:val="24"/>
          <w:szCs w:val="24"/>
        </w:rPr>
      </w:pPr>
      <w:r w:rsidRPr="00921C6C">
        <w:rPr>
          <w:b/>
          <w:sz w:val="24"/>
          <w:szCs w:val="24"/>
        </w:rPr>
        <w:t xml:space="preserve">9.  </w:t>
      </w:r>
      <w:r w:rsidRPr="00921C6C">
        <w:rPr>
          <w:b/>
          <w:bCs/>
          <w:sz w:val="24"/>
          <w:szCs w:val="24"/>
        </w:rPr>
        <w:t>Explain any decision to provide any payments or gifts to respondents, other than remuneration of contractors or grantees.</w:t>
      </w:r>
    </w:p>
    <w:p w:rsidR="00BC7382" w:rsidRPr="00921C6C" w:rsidP="00CF45E5" w14:paraId="63D896F1" w14:textId="77777777">
      <w:pPr>
        <w:rPr>
          <w:sz w:val="24"/>
          <w:szCs w:val="24"/>
        </w:rPr>
      </w:pPr>
    </w:p>
    <w:p w:rsidR="002210EB" w:rsidRPr="00921C6C" w:rsidP="002210EB" w14:paraId="7678B1FD" w14:textId="1B20CD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1C6C">
        <w:rPr>
          <w:sz w:val="24"/>
          <w:szCs w:val="24"/>
        </w:rPr>
        <w:t>No payment, gifts, or other incentives are provided to respondents.</w:t>
      </w:r>
    </w:p>
    <w:p w:rsidR="00A93967" w:rsidRPr="00921C6C" w:rsidP="009E1042" w14:paraId="7CFFEB9F" w14:textId="77777777">
      <w:pPr>
        <w:rPr>
          <w:sz w:val="24"/>
          <w:szCs w:val="24"/>
        </w:rPr>
      </w:pPr>
    </w:p>
    <w:p w:rsidR="00F660E8" w:rsidRPr="00921C6C" w:rsidP="00F660E8" w14:paraId="00FF3777" w14:textId="77777777">
      <w:pPr>
        <w:rPr>
          <w:b/>
          <w:sz w:val="24"/>
          <w:szCs w:val="24"/>
        </w:rPr>
      </w:pPr>
      <w:r w:rsidRPr="00921C6C">
        <w:rPr>
          <w:b/>
          <w:sz w:val="24"/>
          <w:szCs w:val="24"/>
        </w:rPr>
        <w:t xml:space="preserve">10.  </w:t>
      </w:r>
      <w:r w:rsidRPr="00921C6C">
        <w:rPr>
          <w:b/>
          <w:bCs/>
          <w:sz w:val="24"/>
          <w:szCs w:val="24"/>
        </w:rPr>
        <w:t>Describe any assurance of confidentiality provided to respondents and the basis for the assurance in statute, regulation, or agency policy.</w:t>
      </w:r>
    </w:p>
    <w:p w:rsidR="00B922E6" w:rsidRPr="00921C6C" w:rsidP="00B922E6" w14:paraId="0EAE2000" w14:textId="77777777">
      <w:pPr>
        <w:rPr>
          <w:sz w:val="24"/>
          <w:szCs w:val="24"/>
        </w:rPr>
      </w:pPr>
    </w:p>
    <w:p w:rsidR="00FB281C" w:rsidRPr="00921C6C" w:rsidP="00FB281C" w14:paraId="5AA54AFE" w14:textId="2B1194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1C6C">
        <w:rPr>
          <w:sz w:val="24"/>
          <w:szCs w:val="24"/>
        </w:rPr>
        <w:t>The Bureau does not collect any information</w:t>
      </w:r>
      <w:r w:rsidRPr="00921C6C" w:rsidR="00F620B4">
        <w:rPr>
          <w:sz w:val="24"/>
          <w:szCs w:val="24"/>
        </w:rPr>
        <w:t xml:space="preserve"> due to the requirements within</w:t>
      </w:r>
      <w:r w:rsidRPr="00921C6C">
        <w:rPr>
          <w:sz w:val="24"/>
          <w:szCs w:val="24"/>
        </w:rPr>
        <w:t xml:space="preserve"> this rule.</w:t>
      </w:r>
      <w:r w:rsidRPr="00921C6C" w:rsidR="00F620B4">
        <w:rPr>
          <w:sz w:val="24"/>
          <w:szCs w:val="24"/>
        </w:rPr>
        <w:t xml:space="preserve"> </w:t>
      </w:r>
      <w:r w:rsidRPr="00921C6C">
        <w:rPr>
          <w:sz w:val="24"/>
          <w:szCs w:val="24"/>
        </w:rPr>
        <w:t xml:space="preserve">To the extent that </w:t>
      </w:r>
      <w:r w:rsidRPr="00921C6C" w:rsidR="00674E43">
        <w:rPr>
          <w:sz w:val="24"/>
          <w:szCs w:val="24"/>
        </w:rPr>
        <w:t xml:space="preserve">the Bureau collects </w:t>
      </w:r>
      <w:r w:rsidRPr="00921C6C">
        <w:rPr>
          <w:sz w:val="24"/>
          <w:szCs w:val="24"/>
        </w:rPr>
        <w:t>information covered by a recordkeeping requirement</w:t>
      </w:r>
      <w:r w:rsidRPr="00921C6C" w:rsidR="00674E43">
        <w:rPr>
          <w:sz w:val="24"/>
          <w:szCs w:val="24"/>
        </w:rPr>
        <w:t xml:space="preserve"> </w:t>
      </w:r>
      <w:r w:rsidRPr="00921C6C">
        <w:rPr>
          <w:sz w:val="24"/>
          <w:szCs w:val="24"/>
        </w:rPr>
        <w:t>for law enforcement purposes, the confidentiality provisions of the Bureau’s rules on the Disclosure of Records and Information</w:t>
      </w:r>
      <w:r w:rsidRPr="00921C6C" w:rsidR="00674E43">
        <w:rPr>
          <w:sz w:val="24"/>
          <w:szCs w:val="24"/>
        </w:rPr>
        <w:t xml:space="preserve"> (</w:t>
      </w:r>
      <w:r w:rsidRPr="00921C6C">
        <w:rPr>
          <w:sz w:val="24"/>
          <w:szCs w:val="24"/>
        </w:rPr>
        <w:t xml:space="preserve">12 CFR </w:t>
      </w:r>
      <w:r w:rsidR="00D53067">
        <w:rPr>
          <w:sz w:val="24"/>
          <w:szCs w:val="24"/>
        </w:rPr>
        <w:t>P</w:t>
      </w:r>
      <w:r w:rsidRPr="00921C6C">
        <w:rPr>
          <w:sz w:val="24"/>
          <w:szCs w:val="24"/>
        </w:rPr>
        <w:t>art 1070</w:t>
      </w:r>
      <w:r w:rsidRPr="00921C6C" w:rsidR="00674E43">
        <w:rPr>
          <w:sz w:val="24"/>
          <w:szCs w:val="24"/>
        </w:rPr>
        <w:t>)</w:t>
      </w:r>
      <w:r w:rsidRPr="00921C6C">
        <w:rPr>
          <w:sz w:val="24"/>
          <w:szCs w:val="24"/>
        </w:rPr>
        <w:t xml:space="preserve"> would apply.</w:t>
      </w:r>
    </w:p>
    <w:p w:rsidR="00B922E6" w:rsidRPr="00921C6C" w:rsidP="00B922E6" w14:paraId="490E69F4" w14:textId="77777777">
      <w:pPr>
        <w:rPr>
          <w:sz w:val="24"/>
          <w:szCs w:val="24"/>
        </w:rPr>
      </w:pPr>
    </w:p>
    <w:p w:rsidR="00F660E8" w:rsidRPr="00921C6C" w:rsidP="00F660E8" w14:paraId="466038D0" w14:textId="77777777">
      <w:pPr>
        <w:rPr>
          <w:sz w:val="24"/>
          <w:szCs w:val="24"/>
        </w:rPr>
      </w:pPr>
      <w:r w:rsidRPr="00921C6C">
        <w:rPr>
          <w:b/>
          <w:sz w:val="24"/>
          <w:szCs w:val="24"/>
        </w:rPr>
        <w:t xml:space="preserve">11.  </w:t>
      </w:r>
      <w:r w:rsidRPr="00921C6C">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922E6" w:rsidRPr="00921C6C" w:rsidP="00B922E6" w14:paraId="57A829D0" w14:textId="77777777">
      <w:pPr>
        <w:rPr>
          <w:sz w:val="24"/>
          <w:szCs w:val="24"/>
        </w:rPr>
      </w:pPr>
    </w:p>
    <w:p w:rsidR="009E361D" w:rsidRPr="00921C6C" w:rsidP="00F660E8" w14:paraId="699412B5" w14:textId="23A5BC2B">
      <w:pPr>
        <w:contextualSpacing/>
        <w:rPr>
          <w:b/>
          <w:sz w:val="24"/>
          <w:szCs w:val="24"/>
        </w:rPr>
      </w:pPr>
      <w:r w:rsidRPr="00921C6C">
        <w:rPr>
          <w:sz w:val="24"/>
          <w:szCs w:val="24"/>
        </w:rPr>
        <w:t>The Bureau requests no information of sensitive nature within this information collection</w:t>
      </w:r>
      <w:r w:rsidRPr="00921C6C">
        <w:rPr>
          <w:b/>
          <w:sz w:val="24"/>
          <w:szCs w:val="24"/>
        </w:rPr>
        <w:t>.</w:t>
      </w:r>
    </w:p>
    <w:p w:rsidR="009E361D" w:rsidRPr="00921C6C" w:rsidP="00F660E8" w14:paraId="0EC05226" w14:textId="77777777">
      <w:pPr>
        <w:contextualSpacing/>
        <w:rPr>
          <w:b/>
          <w:sz w:val="24"/>
          <w:szCs w:val="24"/>
        </w:rPr>
      </w:pPr>
    </w:p>
    <w:p w:rsidR="00502322" w:rsidRPr="00921C6C" w:rsidP="005F1FFC" w14:paraId="21D2E3FD" w14:textId="322BF551">
      <w:pPr>
        <w:rPr>
          <w:b/>
          <w:sz w:val="24"/>
          <w:szCs w:val="24"/>
        </w:rPr>
      </w:pPr>
      <w:r w:rsidRPr="00921C6C">
        <w:rPr>
          <w:b/>
          <w:sz w:val="24"/>
          <w:szCs w:val="24"/>
        </w:rPr>
        <w:t xml:space="preserve">12.  Provide estimates of the hour burden of the collection of information.  </w:t>
      </w:r>
    </w:p>
    <w:p w:rsidR="00F25D30" w:rsidRPr="00921C6C" w:rsidP="005F1FFC" w14:paraId="65DDC126" w14:textId="77777777">
      <w:pPr>
        <w:rPr>
          <w:bCs/>
          <w:sz w:val="24"/>
          <w:szCs w:val="24"/>
        </w:rPr>
      </w:pPr>
    </w:p>
    <w:p w:rsidR="005F1FFC" w:rsidRPr="00921C6C" w:rsidP="0075720E" w14:paraId="3717194D" w14:textId="37954B42">
      <w:pPr>
        <w:rPr>
          <w:sz w:val="24"/>
          <w:szCs w:val="24"/>
        </w:rPr>
      </w:pPr>
      <w:r w:rsidRPr="00921C6C">
        <w:rPr>
          <w:sz w:val="24"/>
          <w:szCs w:val="24"/>
        </w:rPr>
        <w:t>The Bureau estimates the burden of this information collection as follows:</w:t>
      </w:r>
    </w:p>
    <w:p w:rsidR="006D7C17" w:rsidRPr="00921C6C" w:rsidP="006D7C17" w14:paraId="12286294" w14:textId="77777777">
      <w:pPr>
        <w:rPr>
          <w:sz w:val="24"/>
          <w:szCs w:val="24"/>
        </w:rPr>
      </w:pPr>
    </w:p>
    <w:tbl>
      <w:tblPr>
        <w:tblW w:w="9630" w:type="dxa"/>
        <w:tblLayout w:type="fixed"/>
        <w:tblCellMar>
          <w:left w:w="0" w:type="dxa"/>
          <w:right w:w="0" w:type="dxa"/>
        </w:tblCellMar>
        <w:tblLook w:val="04A0"/>
      </w:tblPr>
      <w:tblGrid>
        <w:gridCol w:w="1702"/>
        <w:gridCol w:w="1808"/>
        <w:gridCol w:w="1440"/>
        <w:gridCol w:w="1440"/>
        <w:gridCol w:w="1440"/>
        <w:gridCol w:w="1800"/>
      </w:tblGrid>
      <w:tr w14:paraId="36623400" w14:textId="77777777" w:rsidTr="41D6112F">
        <w:tblPrEx>
          <w:tblW w:w="9630" w:type="dxa"/>
          <w:tblLayout w:type="fixed"/>
          <w:tblCellMar>
            <w:left w:w="0" w:type="dxa"/>
            <w:right w:w="0" w:type="dxa"/>
          </w:tblCellMar>
          <w:tblLook w:val="04A0"/>
        </w:tblPrEx>
        <w:trPr>
          <w:trHeight w:val="1035"/>
        </w:trPr>
        <w:tc>
          <w:tcPr>
            <w:tcW w:w="17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90" w:type="dxa"/>
              <w:bottom w:w="0" w:type="dxa"/>
              <w:right w:w="90" w:type="dxa"/>
            </w:tcMar>
            <w:vAlign w:val="center"/>
            <w:hideMark/>
          </w:tcPr>
          <w:p w:rsidR="006D7C17" w:rsidRPr="00921C6C" w:rsidP="005E6D62" w14:paraId="325A7C84" w14:textId="77777777">
            <w:pPr>
              <w:jc w:val="center"/>
              <w:rPr>
                <w:color w:val="000000"/>
                <w:sz w:val="24"/>
                <w:szCs w:val="24"/>
              </w:rPr>
            </w:pPr>
            <w:r w:rsidRPr="00921C6C">
              <w:rPr>
                <w:b/>
                <w:bCs/>
                <w:color w:val="000000"/>
                <w:sz w:val="24"/>
                <w:szCs w:val="24"/>
              </w:rPr>
              <w:t>Information Collection Requirements</w:t>
            </w:r>
          </w:p>
        </w:tc>
        <w:tc>
          <w:tcPr>
            <w:tcW w:w="180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90" w:type="dxa"/>
              <w:bottom w:w="0" w:type="dxa"/>
              <w:right w:w="90" w:type="dxa"/>
            </w:tcMar>
            <w:vAlign w:val="center"/>
            <w:hideMark/>
          </w:tcPr>
          <w:p w:rsidR="006D7C17" w:rsidRPr="00921C6C" w:rsidP="005E6D62" w14:paraId="5467A8FF" w14:textId="77777777">
            <w:pPr>
              <w:jc w:val="center"/>
              <w:rPr>
                <w:color w:val="000000"/>
                <w:sz w:val="24"/>
                <w:szCs w:val="24"/>
              </w:rPr>
            </w:pPr>
            <w:r w:rsidRPr="00921C6C">
              <w:rPr>
                <w:b/>
                <w:bCs/>
                <w:color w:val="000000"/>
                <w:sz w:val="24"/>
                <w:szCs w:val="24"/>
              </w:rPr>
              <w:t>Information Collection Details</w:t>
            </w:r>
          </w:p>
        </w:tc>
        <w:tc>
          <w:tcPr>
            <w:tcW w:w="144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90" w:type="dxa"/>
              <w:bottom w:w="0" w:type="dxa"/>
              <w:right w:w="90" w:type="dxa"/>
            </w:tcMar>
            <w:vAlign w:val="center"/>
            <w:hideMark/>
          </w:tcPr>
          <w:p w:rsidR="006D7C17" w:rsidRPr="00921C6C" w:rsidP="005E6D62" w14:paraId="27CB1EB2" w14:textId="77777777">
            <w:pPr>
              <w:jc w:val="center"/>
              <w:rPr>
                <w:color w:val="000000"/>
                <w:sz w:val="24"/>
                <w:szCs w:val="24"/>
              </w:rPr>
            </w:pPr>
            <w:r w:rsidRPr="00921C6C">
              <w:rPr>
                <w:b/>
                <w:bCs/>
                <w:color w:val="000000"/>
                <w:sz w:val="24"/>
                <w:szCs w:val="24"/>
              </w:rPr>
              <w:t>Number of Respondents</w:t>
            </w:r>
          </w:p>
        </w:tc>
        <w:tc>
          <w:tcPr>
            <w:tcW w:w="144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6D7C17" w:rsidRPr="00921C6C" w:rsidP="005E6D62" w14:paraId="36656742" w14:textId="77777777">
            <w:pPr>
              <w:jc w:val="center"/>
              <w:rPr>
                <w:b/>
                <w:bCs/>
                <w:color w:val="000000"/>
                <w:sz w:val="24"/>
                <w:szCs w:val="24"/>
              </w:rPr>
            </w:pPr>
            <w:r w:rsidRPr="00921C6C">
              <w:rPr>
                <w:b/>
                <w:bCs/>
                <w:color w:val="000000"/>
                <w:sz w:val="24"/>
                <w:szCs w:val="24"/>
              </w:rPr>
              <w:t>Number of annual responses</w:t>
            </w:r>
          </w:p>
        </w:tc>
        <w:tc>
          <w:tcPr>
            <w:tcW w:w="144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6D7C17" w:rsidRPr="00921C6C" w:rsidP="005E6D62" w14:paraId="6B372B96" w14:textId="7ACEBD15">
            <w:pPr>
              <w:jc w:val="center"/>
              <w:rPr>
                <w:b/>
                <w:bCs/>
                <w:color w:val="000000"/>
                <w:sz w:val="24"/>
                <w:szCs w:val="24"/>
              </w:rPr>
            </w:pPr>
            <w:r w:rsidRPr="0A76AE55">
              <w:rPr>
                <w:b/>
                <w:bCs/>
                <w:color w:val="000000" w:themeColor="text1"/>
                <w:sz w:val="24"/>
                <w:szCs w:val="24"/>
              </w:rPr>
              <w:t>Time per response</w:t>
            </w:r>
          </w:p>
        </w:tc>
        <w:tc>
          <w:tcPr>
            <w:tcW w:w="18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90" w:type="dxa"/>
              <w:bottom w:w="0" w:type="dxa"/>
              <w:right w:w="90" w:type="dxa"/>
            </w:tcMar>
            <w:vAlign w:val="center"/>
            <w:hideMark/>
          </w:tcPr>
          <w:p w:rsidR="006D7C17" w:rsidRPr="00921C6C" w:rsidP="005E6D62" w14:paraId="3E9006D0" w14:textId="77777777">
            <w:pPr>
              <w:jc w:val="center"/>
              <w:rPr>
                <w:color w:val="000000"/>
                <w:sz w:val="24"/>
                <w:szCs w:val="24"/>
              </w:rPr>
            </w:pPr>
            <w:r w:rsidRPr="00921C6C">
              <w:rPr>
                <w:b/>
                <w:bCs/>
                <w:color w:val="000000"/>
                <w:sz w:val="24"/>
                <w:szCs w:val="24"/>
              </w:rPr>
              <w:t>Total Burden Hours</w:t>
            </w:r>
          </w:p>
        </w:tc>
      </w:tr>
      <w:tr w14:paraId="2F796C9C" w14:textId="77777777" w:rsidTr="004F516A">
        <w:tblPrEx>
          <w:tblW w:w="9630" w:type="dxa"/>
          <w:tblLayout w:type="fixed"/>
          <w:tblCellMar>
            <w:left w:w="0" w:type="dxa"/>
            <w:right w:w="0" w:type="dxa"/>
          </w:tblCellMar>
          <w:tblLook w:val="04A0"/>
        </w:tblPrEx>
        <w:trPr>
          <w:trHeight w:val="510"/>
        </w:trPr>
        <w:tc>
          <w:tcPr>
            <w:tcW w:w="9630" w:type="dxa"/>
            <w:gridSpan w:val="6"/>
            <w:tcBorders>
              <w:top w:val="nil"/>
              <w:left w:val="single" w:sz="8" w:space="0" w:color="auto"/>
              <w:bottom w:val="single" w:sz="8" w:space="0" w:color="auto"/>
              <w:right w:val="single" w:sz="8" w:space="0" w:color="auto"/>
            </w:tcBorders>
            <w:tcMar>
              <w:top w:w="0" w:type="dxa"/>
              <w:left w:w="90" w:type="dxa"/>
              <w:bottom w:w="0" w:type="dxa"/>
              <w:right w:w="90" w:type="dxa"/>
            </w:tcMar>
            <w:vAlign w:val="center"/>
          </w:tcPr>
          <w:p w:rsidR="00F8608F" w:rsidRPr="00921C6C" w:rsidP="00F8608F" w14:paraId="69A30EBE" w14:textId="69F0B88F">
            <w:pPr>
              <w:jc w:val="center"/>
              <w:rPr>
                <w:color w:val="000000"/>
                <w:sz w:val="24"/>
                <w:szCs w:val="24"/>
              </w:rPr>
            </w:pPr>
            <w:r w:rsidRPr="00921C6C">
              <w:rPr>
                <w:b/>
                <w:bCs/>
                <w:color w:val="000000"/>
                <w:sz w:val="24"/>
                <w:szCs w:val="24"/>
              </w:rPr>
              <w:t>Recordkeeping</w:t>
            </w:r>
          </w:p>
        </w:tc>
      </w:tr>
      <w:tr w14:paraId="32D1C0B1" w14:textId="77777777" w:rsidTr="41D6112F">
        <w:tblPrEx>
          <w:tblW w:w="9630" w:type="dxa"/>
          <w:tblLayout w:type="fixed"/>
          <w:tblCellMar>
            <w:left w:w="0" w:type="dxa"/>
            <w:right w:w="0" w:type="dxa"/>
          </w:tblCellMar>
          <w:tblLook w:val="04A0"/>
        </w:tblPrEx>
        <w:trPr>
          <w:trHeight w:val="615"/>
        </w:trPr>
        <w:tc>
          <w:tcPr>
            <w:tcW w:w="1702" w:type="dxa"/>
            <w:tcBorders>
              <w:top w:val="nil"/>
              <w:left w:val="single" w:sz="8" w:space="0" w:color="auto"/>
              <w:bottom w:val="single" w:sz="8" w:space="0" w:color="auto"/>
              <w:right w:val="single" w:sz="8" w:space="0" w:color="auto"/>
            </w:tcBorders>
            <w:tcMar>
              <w:top w:w="0" w:type="dxa"/>
              <w:left w:w="90" w:type="dxa"/>
              <w:bottom w:w="0" w:type="dxa"/>
              <w:right w:w="90" w:type="dxa"/>
            </w:tcMar>
            <w:vAlign w:val="center"/>
          </w:tcPr>
          <w:p w:rsidR="006D7C17" w:rsidRPr="00921C6C" w:rsidP="005E6D62" w14:paraId="6048717D" w14:textId="77777777">
            <w:pPr>
              <w:rPr>
                <w:color w:val="000000"/>
                <w:sz w:val="24"/>
                <w:szCs w:val="24"/>
              </w:rPr>
            </w:pPr>
            <w:r w:rsidRPr="00921C6C">
              <w:rPr>
                <w:color w:val="000000"/>
                <w:sz w:val="24"/>
                <w:szCs w:val="24"/>
              </w:rPr>
              <w:t>1033.351-one time</w:t>
            </w:r>
          </w:p>
        </w:tc>
        <w:tc>
          <w:tcPr>
            <w:tcW w:w="1808" w:type="dxa"/>
            <w:tcBorders>
              <w:top w:val="nil"/>
              <w:left w:val="nil"/>
              <w:bottom w:val="single" w:sz="8" w:space="0" w:color="auto"/>
              <w:right w:val="single" w:sz="8" w:space="0" w:color="auto"/>
            </w:tcBorders>
            <w:tcMar>
              <w:top w:w="0" w:type="dxa"/>
              <w:left w:w="90" w:type="dxa"/>
              <w:bottom w:w="0" w:type="dxa"/>
              <w:right w:w="90" w:type="dxa"/>
            </w:tcMar>
            <w:vAlign w:val="center"/>
            <w:hideMark/>
          </w:tcPr>
          <w:p w:rsidR="006D7C17" w:rsidRPr="00921C6C" w:rsidP="006D7C17" w14:paraId="5636B9ED" w14:textId="77777777">
            <w:pPr>
              <w:pStyle w:val="ListParagraph"/>
              <w:numPr>
                <w:ilvl w:val="0"/>
                <w:numId w:val="37"/>
              </w:numPr>
              <w:rPr>
                <w:rFonts w:ascii="Times New Roman" w:eastAsia="Times New Roman" w:hAnsi="Times New Roman"/>
                <w:color w:val="000000"/>
                <w:sz w:val="24"/>
                <w:szCs w:val="24"/>
              </w:rPr>
            </w:pPr>
            <w:r w:rsidRPr="00921C6C">
              <w:rPr>
                <w:rFonts w:ascii="Times New Roman" w:eastAsia="Times New Roman" w:hAnsi="Times New Roman"/>
                <w:color w:val="000000"/>
                <w:sz w:val="24"/>
                <w:szCs w:val="24"/>
              </w:rPr>
              <w:t xml:space="preserve">1033.351: Policies and </w:t>
            </w:r>
            <w:r w:rsidRPr="00921C6C">
              <w:rPr>
                <w:rFonts w:ascii="Times New Roman" w:eastAsia="Times New Roman" w:hAnsi="Times New Roman"/>
                <w:color w:val="000000"/>
                <w:sz w:val="24"/>
                <w:szCs w:val="24"/>
              </w:rPr>
              <w:t>procedures for data providers</w:t>
            </w:r>
          </w:p>
        </w:tc>
        <w:tc>
          <w:tcPr>
            <w:tcW w:w="1440" w:type="dxa"/>
            <w:tcBorders>
              <w:top w:val="nil"/>
              <w:left w:val="nil"/>
              <w:bottom w:val="single" w:sz="8" w:space="0" w:color="auto"/>
              <w:right w:val="single" w:sz="8" w:space="0" w:color="auto"/>
            </w:tcBorders>
            <w:tcMar>
              <w:top w:w="0" w:type="dxa"/>
              <w:left w:w="90" w:type="dxa"/>
              <w:bottom w:w="0" w:type="dxa"/>
              <w:right w:w="90" w:type="dxa"/>
            </w:tcMar>
            <w:vAlign w:val="center"/>
            <w:hideMark/>
          </w:tcPr>
          <w:p w:rsidR="006D7C17" w:rsidRPr="00921C6C" w:rsidP="00C262D4" w14:paraId="0C879A0F" w14:textId="5C6E4781">
            <w:pPr>
              <w:jc w:val="right"/>
              <w:rPr>
                <w:color w:val="000000"/>
                <w:sz w:val="24"/>
                <w:szCs w:val="24"/>
              </w:rPr>
            </w:pPr>
            <w:r w:rsidRPr="3163BF46">
              <w:rPr>
                <w:color w:val="000000" w:themeColor="text1"/>
                <w:sz w:val="24"/>
                <w:szCs w:val="24"/>
              </w:rPr>
              <w:t>1,785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C17" w:rsidRPr="00921C6C" w:rsidP="00C262D4" w14:paraId="492DE693" w14:textId="0DBA12CF">
            <w:pPr>
              <w:jc w:val="right"/>
              <w:rPr>
                <w:b/>
                <w:bCs/>
                <w:color w:val="000000"/>
                <w:sz w:val="24"/>
                <w:szCs w:val="24"/>
              </w:rPr>
            </w:pPr>
            <w:r w:rsidRPr="3163BF46">
              <w:rPr>
                <w:color w:val="000000" w:themeColor="text1"/>
                <w:sz w:val="24"/>
                <w:szCs w:val="24"/>
              </w:rPr>
              <w:t>1,785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6D7C17" w:rsidRPr="00921C6C" w:rsidP="00C262D4" w14:paraId="00F366EE" w14:textId="367034BD">
            <w:pPr>
              <w:jc w:val="right"/>
              <w:rPr>
                <w:color w:val="000000"/>
                <w:sz w:val="24"/>
                <w:szCs w:val="24"/>
              </w:rPr>
            </w:pPr>
            <w:r w:rsidRPr="41D6112F">
              <w:rPr>
                <w:color w:val="000000" w:themeColor="text1"/>
                <w:sz w:val="24"/>
                <w:szCs w:val="24"/>
              </w:rPr>
              <w:t>557</w:t>
            </w:r>
          </w:p>
        </w:tc>
        <w:tc>
          <w:tcPr>
            <w:tcW w:w="1800" w:type="dxa"/>
            <w:tcBorders>
              <w:top w:val="nil"/>
              <w:left w:val="nil"/>
              <w:bottom w:val="single" w:sz="8" w:space="0" w:color="auto"/>
              <w:right w:val="single" w:sz="8" w:space="0" w:color="auto"/>
            </w:tcBorders>
            <w:tcMar>
              <w:top w:w="0" w:type="dxa"/>
              <w:left w:w="90" w:type="dxa"/>
              <w:bottom w:w="0" w:type="dxa"/>
              <w:right w:w="90" w:type="dxa"/>
            </w:tcMar>
            <w:vAlign w:val="center"/>
          </w:tcPr>
          <w:p w:rsidR="006D7C17" w:rsidRPr="00921C6C" w:rsidP="00C262D4" w14:paraId="14C05D8E" w14:textId="09A41094">
            <w:pPr>
              <w:jc w:val="right"/>
              <w:rPr>
                <w:color w:val="000000"/>
                <w:sz w:val="24"/>
                <w:szCs w:val="24"/>
              </w:rPr>
            </w:pPr>
            <w:r w:rsidRPr="41D6112F">
              <w:rPr>
                <w:color w:val="000000" w:themeColor="text1"/>
                <w:sz w:val="24"/>
                <w:szCs w:val="24"/>
              </w:rPr>
              <w:t>994,245</w:t>
            </w:r>
          </w:p>
        </w:tc>
      </w:tr>
      <w:tr w14:paraId="357C2CFD" w14:textId="77777777" w:rsidTr="41D6112F">
        <w:tblPrEx>
          <w:tblW w:w="9630" w:type="dxa"/>
          <w:tblLayout w:type="fixed"/>
          <w:tblCellMar>
            <w:left w:w="0" w:type="dxa"/>
            <w:right w:w="0" w:type="dxa"/>
          </w:tblCellMar>
          <w:tblLook w:val="04A0"/>
        </w:tblPrEx>
        <w:trPr>
          <w:trHeight w:val="615"/>
        </w:trPr>
        <w:tc>
          <w:tcPr>
            <w:tcW w:w="1702" w:type="dxa"/>
            <w:tcBorders>
              <w:top w:val="nil"/>
              <w:left w:val="single" w:sz="8" w:space="0" w:color="auto"/>
              <w:bottom w:val="single" w:sz="8" w:space="0" w:color="auto"/>
              <w:right w:val="single" w:sz="8" w:space="0" w:color="auto"/>
            </w:tcBorders>
            <w:tcMar>
              <w:top w:w="0" w:type="dxa"/>
              <w:left w:w="90" w:type="dxa"/>
              <w:bottom w:w="0" w:type="dxa"/>
              <w:right w:w="90" w:type="dxa"/>
            </w:tcMar>
            <w:vAlign w:val="center"/>
          </w:tcPr>
          <w:p w:rsidR="006D7C17" w:rsidRPr="00921C6C" w:rsidP="005E6D62" w14:paraId="33DA1CCE" w14:textId="77777777">
            <w:pPr>
              <w:rPr>
                <w:color w:val="000000"/>
                <w:sz w:val="24"/>
                <w:szCs w:val="24"/>
              </w:rPr>
            </w:pPr>
            <w:r w:rsidRPr="00921C6C">
              <w:rPr>
                <w:color w:val="000000"/>
                <w:sz w:val="24"/>
                <w:szCs w:val="24"/>
              </w:rPr>
              <w:t>1033.351-ongoing</w:t>
            </w:r>
          </w:p>
        </w:tc>
        <w:tc>
          <w:tcPr>
            <w:tcW w:w="1808" w:type="dxa"/>
            <w:tcBorders>
              <w:top w:val="nil"/>
              <w:left w:val="nil"/>
              <w:bottom w:val="single" w:sz="8" w:space="0" w:color="auto"/>
              <w:right w:val="single" w:sz="8" w:space="0" w:color="auto"/>
            </w:tcBorders>
            <w:tcMar>
              <w:top w:w="0" w:type="dxa"/>
              <w:left w:w="90" w:type="dxa"/>
              <w:bottom w:w="0" w:type="dxa"/>
              <w:right w:w="90" w:type="dxa"/>
            </w:tcMar>
            <w:vAlign w:val="center"/>
            <w:hideMark/>
          </w:tcPr>
          <w:p w:rsidR="006D7C17" w:rsidRPr="00921C6C" w:rsidP="006D7C17" w14:paraId="518FEC81" w14:textId="77777777">
            <w:pPr>
              <w:pStyle w:val="ListParagraph"/>
              <w:numPr>
                <w:ilvl w:val="0"/>
                <w:numId w:val="37"/>
              </w:numPr>
              <w:rPr>
                <w:rFonts w:ascii="Times New Roman" w:eastAsia="Times New Roman" w:hAnsi="Times New Roman"/>
                <w:color w:val="000000"/>
                <w:sz w:val="24"/>
                <w:szCs w:val="24"/>
              </w:rPr>
            </w:pPr>
            <w:r w:rsidRPr="00921C6C">
              <w:rPr>
                <w:rFonts w:ascii="Times New Roman" w:eastAsia="Times New Roman" w:hAnsi="Times New Roman"/>
                <w:color w:val="000000"/>
                <w:sz w:val="24"/>
                <w:szCs w:val="24"/>
              </w:rPr>
              <w:t>1033.351: Policies and procedures for data providers</w:t>
            </w:r>
          </w:p>
        </w:tc>
        <w:tc>
          <w:tcPr>
            <w:tcW w:w="1440" w:type="dxa"/>
            <w:tcBorders>
              <w:top w:val="nil"/>
              <w:left w:val="nil"/>
              <w:bottom w:val="single" w:sz="8" w:space="0" w:color="auto"/>
              <w:right w:val="single" w:sz="8" w:space="0" w:color="auto"/>
            </w:tcBorders>
            <w:tcMar>
              <w:top w:w="0" w:type="dxa"/>
              <w:left w:w="90" w:type="dxa"/>
              <w:bottom w:w="0" w:type="dxa"/>
              <w:right w:w="90" w:type="dxa"/>
            </w:tcMar>
            <w:vAlign w:val="center"/>
            <w:hideMark/>
          </w:tcPr>
          <w:p w:rsidR="006D7C17" w:rsidRPr="00921C6C" w:rsidP="00C262D4" w14:paraId="1970F502" w14:textId="761CB00A">
            <w:pPr>
              <w:jc w:val="right"/>
              <w:rPr>
                <w:color w:val="000000"/>
                <w:sz w:val="24"/>
                <w:szCs w:val="24"/>
              </w:rPr>
            </w:pPr>
            <w:r w:rsidRPr="3163BF46">
              <w:rPr>
                <w:color w:val="000000" w:themeColor="text1"/>
                <w:sz w:val="24"/>
                <w:szCs w:val="24"/>
              </w:rPr>
              <w:t>1,785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C17" w:rsidRPr="00921C6C" w:rsidP="00C262D4" w14:paraId="1D740B52" w14:textId="459A6B44">
            <w:pPr>
              <w:jc w:val="right"/>
              <w:rPr>
                <w:b/>
                <w:bCs/>
                <w:color w:val="000000"/>
                <w:sz w:val="24"/>
                <w:szCs w:val="24"/>
              </w:rPr>
            </w:pPr>
            <w:r w:rsidRPr="3163BF46">
              <w:rPr>
                <w:color w:val="000000" w:themeColor="text1"/>
                <w:sz w:val="24"/>
                <w:szCs w:val="24"/>
              </w:rPr>
              <w:t>1,785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6D7C17" w:rsidRPr="00921C6C" w:rsidP="00C262D4" w14:paraId="07E3081B" w14:textId="77777777">
            <w:pPr>
              <w:jc w:val="right"/>
              <w:rPr>
                <w:color w:val="000000"/>
                <w:sz w:val="24"/>
                <w:szCs w:val="24"/>
              </w:rPr>
            </w:pPr>
            <w:r w:rsidRPr="00921C6C">
              <w:rPr>
                <w:color w:val="000000"/>
                <w:sz w:val="24"/>
                <w:szCs w:val="24"/>
              </w:rPr>
              <w:t>60</w:t>
            </w:r>
          </w:p>
        </w:tc>
        <w:tc>
          <w:tcPr>
            <w:tcW w:w="1800" w:type="dxa"/>
            <w:tcBorders>
              <w:top w:val="nil"/>
              <w:left w:val="nil"/>
              <w:bottom w:val="single" w:sz="8" w:space="0" w:color="auto"/>
              <w:right w:val="single" w:sz="8" w:space="0" w:color="auto"/>
            </w:tcBorders>
            <w:tcMar>
              <w:top w:w="0" w:type="dxa"/>
              <w:left w:w="90" w:type="dxa"/>
              <w:bottom w:w="0" w:type="dxa"/>
              <w:right w:w="90" w:type="dxa"/>
            </w:tcMar>
            <w:vAlign w:val="center"/>
          </w:tcPr>
          <w:p w:rsidR="006D7C17" w:rsidRPr="00921C6C" w:rsidP="00C262D4" w14:paraId="2BBAB9F1" w14:textId="5011DE74">
            <w:pPr>
              <w:jc w:val="right"/>
              <w:rPr>
                <w:color w:val="000000"/>
                <w:sz w:val="24"/>
                <w:szCs w:val="24"/>
              </w:rPr>
            </w:pPr>
            <w:r w:rsidRPr="024F6077">
              <w:rPr>
                <w:color w:val="000000" w:themeColor="text1"/>
                <w:sz w:val="24"/>
                <w:szCs w:val="24"/>
              </w:rPr>
              <w:t>107,100</w:t>
            </w:r>
          </w:p>
        </w:tc>
      </w:tr>
      <w:tr w14:paraId="23F0EC5D" w14:textId="77777777" w:rsidTr="41D6112F">
        <w:tblPrEx>
          <w:tblW w:w="9630" w:type="dxa"/>
          <w:tblLayout w:type="fixed"/>
          <w:tblCellMar>
            <w:left w:w="0" w:type="dxa"/>
            <w:right w:w="0" w:type="dxa"/>
          </w:tblCellMar>
          <w:tblLook w:val="04A0"/>
        </w:tblPrEx>
        <w:trPr>
          <w:trHeight w:val="300"/>
        </w:trPr>
        <w:tc>
          <w:tcPr>
            <w:tcW w:w="1702" w:type="dxa"/>
            <w:tcBorders>
              <w:top w:val="nil"/>
              <w:left w:val="single" w:sz="8" w:space="0" w:color="auto"/>
              <w:bottom w:val="single" w:sz="8" w:space="0" w:color="auto"/>
              <w:right w:val="single" w:sz="8" w:space="0" w:color="auto"/>
            </w:tcBorders>
            <w:tcMar>
              <w:top w:w="0" w:type="dxa"/>
              <w:left w:w="90" w:type="dxa"/>
              <w:bottom w:w="0" w:type="dxa"/>
              <w:right w:w="90" w:type="dxa"/>
            </w:tcMar>
            <w:vAlign w:val="center"/>
            <w:hideMark/>
          </w:tcPr>
          <w:p w:rsidR="006D7C17" w:rsidRPr="00921C6C" w:rsidP="005E6D62" w14:paraId="77D6C8F6" w14:textId="77777777">
            <w:pPr>
              <w:rPr>
                <w:color w:val="000000"/>
                <w:sz w:val="24"/>
                <w:szCs w:val="24"/>
              </w:rPr>
            </w:pPr>
            <w:r w:rsidRPr="00921C6C">
              <w:rPr>
                <w:color w:val="000000"/>
                <w:sz w:val="24"/>
                <w:szCs w:val="24"/>
              </w:rPr>
              <w:t>1033.441-One time</w:t>
            </w:r>
          </w:p>
        </w:tc>
        <w:tc>
          <w:tcPr>
            <w:tcW w:w="1808" w:type="dxa"/>
            <w:tcBorders>
              <w:top w:val="nil"/>
              <w:left w:val="nil"/>
              <w:bottom w:val="single" w:sz="8" w:space="0" w:color="auto"/>
              <w:right w:val="single" w:sz="8" w:space="0" w:color="auto"/>
            </w:tcBorders>
            <w:tcMar>
              <w:top w:w="0" w:type="dxa"/>
              <w:left w:w="90" w:type="dxa"/>
              <w:bottom w:w="0" w:type="dxa"/>
              <w:right w:w="90" w:type="dxa"/>
            </w:tcMar>
            <w:vAlign w:val="center"/>
            <w:hideMark/>
          </w:tcPr>
          <w:p w:rsidR="006D7C17" w:rsidRPr="00921C6C" w:rsidP="006D7C17" w14:paraId="05E88A85" w14:textId="588FDE4F">
            <w:pPr>
              <w:pStyle w:val="ListParagraph"/>
              <w:numPr>
                <w:ilvl w:val="0"/>
                <w:numId w:val="36"/>
              </w:numPr>
              <w:rPr>
                <w:rFonts w:ascii="Times New Roman" w:eastAsia="Times New Roman" w:hAnsi="Times New Roman"/>
                <w:color w:val="000000"/>
                <w:sz w:val="24"/>
                <w:szCs w:val="24"/>
              </w:rPr>
            </w:pPr>
            <w:r w:rsidRPr="00921C6C">
              <w:rPr>
                <w:rFonts w:ascii="Times New Roman" w:eastAsia="Times New Roman" w:hAnsi="Times New Roman"/>
                <w:color w:val="000000"/>
                <w:sz w:val="24"/>
                <w:szCs w:val="24"/>
              </w:rPr>
              <w:t>1033</w:t>
            </w:r>
            <w:r w:rsidR="0012381F">
              <w:rPr>
                <w:rFonts w:ascii="Times New Roman" w:eastAsia="Times New Roman" w:hAnsi="Times New Roman"/>
                <w:color w:val="000000"/>
                <w:sz w:val="24"/>
                <w:szCs w:val="24"/>
              </w:rPr>
              <w:t>.</w:t>
            </w:r>
            <w:r w:rsidRPr="00921C6C">
              <w:rPr>
                <w:rFonts w:ascii="Times New Roman" w:eastAsia="Times New Roman" w:hAnsi="Times New Roman"/>
                <w:color w:val="000000"/>
                <w:sz w:val="24"/>
                <w:szCs w:val="24"/>
              </w:rPr>
              <w:t>441: Policies and procedures for third party record retention.</w:t>
            </w:r>
          </w:p>
        </w:tc>
        <w:tc>
          <w:tcPr>
            <w:tcW w:w="1440" w:type="dxa"/>
            <w:tcBorders>
              <w:top w:val="nil"/>
              <w:left w:val="nil"/>
              <w:bottom w:val="single" w:sz="8" w:space="0" w:color="auto"/>
              <w:right w:val="single" w:sz="8" w:space="0" w:color="auto"/>
            </w:tcBorders>
            <w:tcMar>
              <w:top w:w="0" w:type="dxa"/>
              <w:left w:w="90" w:type="dxa"/>
              <w:bottom w:w="0" w:type="dxa"/>
              <w:right w:w="90" w:type="dxa"/>
            </w:tcMar>
            <w:vAlign w:val="center"/>
            <w:hideMark/>
          </w:tcPr>
          <w:p w:rsidR="006D7C17" w:rsidRPr="00921C6C" w:rsidP="00C262D4" w14:paraId="4516BB40" w14:textId="77777777">
            <w:pPr>
              <w:jc w:val="right"/>
              <w:rPr>
                <w:color w:val="000000"/>
                <w:sz w:val="24"/>
                <w:szCs w:val="24"/>
              </w:rPr>
            </w:pPr>
            <w:r w:rsidRPr="00921C6C">
              <w:rPr>
                <w:color w:val="000000"/>
                <w:sz w:val="24"/>
                <w:szCs w:val="24"/>
              </w:rPr>
              <w:t>8,500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C17" w:rsidRPr="00921C6C" w:rsidP="00C262D4" w14:paraId="141A632A" w14:textId="77777777">
            <w:pPr>
              <w:jc w:val="right"/>
              <w:rPr>
                <w:color w:val="000000"/>
                <w:sz w:val="24"/>
                <w:szCs w:val="24"/>
              </w:rPr>
            </w:pPr>
            <w:r w:rsidRPr="00921C6C">
              <w:rPr>
                <w:color w:val="000000"/>
                <w:sz w:val="24"/>
                <w:szCs w:val="24"/>
              </w:rPr>
              <w:t>8,500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6D7C17" w:rsidRPr="00921C6C" w:rsidP="00C262D4" w14:paraId="535AFEB9" w14:textId="77777777">
            <w:pPr>
              <w:jc w:val="right"/>
              <w:rPr>
                <w:color w:val="000000"/>
                <w:sz w:val="24"/>
                <w:szCs w:val="24"/>
              </w:rPr>
            </w:pPr>
            <w:r w:rsidRPr="00921C6C">
              <w:rPr>
                <w:color w:val="000000"/>
                <w:sz w:val="24"/>
                <w:szCs w:val="24"/>
              </w:rPr>
              <w:t>320</w:t>
            </w:r>
          </w:p>
        </w:tc>
        <w:tc>
          <w:tcPr>
            <w:tcW w:w="1800" w:type="dxa"/>
            <w:tcBorders>
              <w:top w:val="nil"/>
              <w:left w:val="nil"/>
              <w:bottom w:val="single" w:sz="8" w:space="0" w:color="auto"/>
              <w:right w:val="single" w:sz="8" w:space="0" w:color="auto"/>
            </w:tcBorders>
            <w:tcMar>
              <w:top w:w="0" w:type="dxa"/>
              <w:left w:w="90" w:type="dxa"/>
              <w:bottom w:w="0" w:type="dxa"/>
              <w:right w:w="90" w:type="dxa"/>
            </w:tcMar>
            <w:vAlign w:val="center"/>
          </w:tcPr>
          <w:p w:rsidR="006D7C17" w:rsidRPr="00921C6C" w:rsidP="00C262D4" w14:paraId="64EAEF73" w14:textId="77777777">
            <w:pPr>
              <w:jc w:val="right"/>
              <w:rPr>
                <w:color w:val="000000"/>
                <w:sz w:val="24"/>
                <w:szCs w:val="24"/>
              </w:rPr>
            </w:pPr>
            <w:r w:rsidRPr="00921C6C">
              <w:rPr>
                <w:color w:val="000000"/>
                <w:sz w:val="24"/>
                <w:szCs w:val="24"/>
              </w:rPr>
              <w:t>2,720,000</w:t>
            </w:r>
          </w:p>
        </w:tc>
      </w:tr>
      <w:tr w14:paraId="712CA1E3" w14:textId="77777777" w:rsidTr="41D6112F">
        <w:tblPrEx>
          <w:tblW w:w="9630" w:type="dxa"/>
          <w:tblLayout w:type="fixed"/>
          <w:tblCellMar>
            <w:left w:w="0" w:type="dxa"/>
            <w:right w:w="0" w:type="dxa"/>
          </w:tblCellMar>
          <w:tblLook w:val="04A0"/>
        </w:tblPrEx>
        <w:trPr>
          <w:trHeight w:val="300"/>
        </w:trPr>
        <w:tc>
          <w:tcPr>
            <w:tcW w:w="1702" w:type="dxa"/>
            <w:tcBorders>
              <w:top w:val="nil"/>
              <w:left w:val="single" w:sz="8" w:space="0" w:color="auto"/>
              <w:bottom w:val="single" w:sz="8" w:space="0" w:color="auto"/>
              <w:right w:val="single" w:sz="8" w:space="0" w:color="auto"/>
            </w:tcBorders>
            <w:tcMar>
              <w:top w:w="0" w:type="dxa"/>
              <w:left w:w="90" w:type="dxa"/>
              <w:bottom w:w="0" w:type="dxa"/>
              <w:right w:w="90" w:type="dxa"/>
            </w:tcMar>
            <w:vAlign w:val="center"/>
            <w:hideMark/>
          </w:tcPr>
          <w:p w:rsidR="006D7C17" w:rsidRPr="00921C6C" w:rsidP="005E6D62" w14:paraId="6CA8809A" w14:textId="77777777">
            <w:pPr>
              <w:rPr>
                <w:color w:val="000000"/>
                <w:sz w:val="24"/>
                <w:szCs w:val="24"/>
              </w:rPr>
            </w:pPr>
            <w:r w:rsidRPr="00921C6C">
              <w:rPr>
                <w:color w:val="000000"/>
                <w:sz w:val="24"/>
                <w:szCs w:val="24"/>
              </w:rPr>
              <w:t>1033.441-ongoing</w:t>
            </w:r>
          </w:p>
        </w:tc>
        <w:tc>
          <w:tcPr>
            <w:tcW w:w="1808" w:type="dxa"/>
            <w:tcBorders>
              <w:top w:val="nil"/>
              <w:left w:val="nil"/>
              <w:bottom w:val="single" w:sz="8" w:space="0" w:color="auto"/>
              <w:right w:val="single" w:sz="8" w:space="0" w:color="auto"/>
            </w:tcBorders>
            <w:tcMar>
              <w:top w:w="0" w:type="dxa"/>
              <w:left w:w="90" w:type="dxa"/>
              <w:bottom w:w="0" w:type="dxa"/>
              <w:right w:w="90" w:type="dxa"/>
            </w:tcMar>
            <w:vAlign w:val="center"/>
            <w:hideMark/>
          </w:tcPr>
          <w:p w:rsidR="006D7C17" w:rsidRPr="00921C6C" w:rsidP="006D7C17" w14:paraId="175A8577" w14:textId="22505232">
            <w:pPr>
              <w:pStyle w:val="ListParagraph"/>
              <w:numPr>
                <w:ilvl w:val="0"/>
                <w:numId w:val="36"/>
              </w:numPr>
              <w:rPr>
                <w:rFonts w:ascii="Times New Roman" w:eastAsia="Times New Roman" w:hAnsi="Times New Roman"/>
                <w:color w:val="000000"/>
                <w:sz w:val="24"/>
                <w:szCs w:val="24"/>
              </w:rPr>
            </w:pPr>
            <w:r w:rsidRPr="00921C6C">
              <w:rPr>
                <w:rFonts w:ascii="Times New Roman" w:eastAsia="Times New Roman" w:hAnsi="Times New Roman"/>
                <w:color w:val="000000"/>
                <w:sz w:val="24"/>
                <w:szCs w:val="24"/>
              </w:rPr>
              <w:t>1033</w:t>
            </w:r>
            <w:r w:rsidR="0012381F">
              <w:rPr>
                <w:rFonts w:ascii="Times New Roman" w:eastAsia="Times New Roman" w:hAnsi="Times New Roman"/>
                <w:color w:val="000000"/>
                <w:sz w:val="24"/>
                <w:szCs w:val="24"/>
              </w:rPr>
              <w:t>.</w:t>
            </w:r>
            <w:r w:rsidRPr="00921C6C">
              <w:rPr>
                <w:rFonts w:ascii="Times New Roman" w:eastAsia="Times New Roman" w:hAnsi="Times New Roman"/>
                <w:color w:val="000000"/>
                <w:sz w:val="24"/>
                <w:szCs w:val="24"/>
              </w:rPr>
              <w:t>441: Policies and procedures for third party record retention.</w:t>
            </w:r>
          </w:p>
        </w:tc>
        <w:tc>
          <w:tcPr>
            <w:tcW w:w="1440" w:type="dxa"/>
            <w:tcBorders>
              <w:top w:val="nil"/>
              <w:left w:val="nil"/>
              <w:bottom w:val="single" w:sz="8" w:space="0" w:color="auto"/>
              <w:right w:val="single" w:sz="8" w:space="0" w:color="auto"/>
            </w:tcBorders>
            <w:tcMar>
              <w:top w:w="0" w:type="dxa"/>
              <w:left w:w="90" w:type="dxa"/>
              <w:bottom w:w="0" w:type="dxa"/>
              <w:right w:w="90" w:type="dxa"/>
            </w:tcMar>
            <w:vAlign w:val="center"/>
            <w:hideMark/>
          </w:tcPr>
          <w:p w:rsidR="006D7C17" w:rsidRPr="00921C6C" w:rsidP="00C262D4" w14:paraId="06BEE0E7" w14:textId="77777777">
            <w:pPr>
              <w:jc w:val="right"/>
              <w:rPr>
                <w:color w:val="000000"/>
                <w:sz w:val="24"/>
                <w:szCs w:val="24"/>
              </w:rPr>
            </w:pPr>
            <w:r w:rsidRPr="00921C6C">
              <w:rPr>
                <w:color w:val="000000"/>
                <w:sz w:val="24"/>
                <w:szCs w:val="24"/>
              </w:rPr>
              <w:t>8,500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C17" w:rsidRPr="00921C6C" w:rsidP="00C262D4" w14:paraId="63C6BA02" w14:textId="77777777">
            <w:pPr>
              <w:jc w:val="right"/>
              <w:rPr>
                <w:color w:val="000000"/>
                <w:sz w:val="24"/>
                <w:szCs w:val="24"/>
              </w:rPr>
            </w:pPr>
            <w:r w:rsidRPr="00921C6C">
              <w:rPr>
                <w:color w:val="000000"/>
                <w:sz w:val="24"/>
                <w:szCs w:val="24"/>
              </w:rPr>
              <w:t>8,500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6D7C17" w:rsidRPr="00921C6C" w:rsidP="00C262D4" w14:paraId="59DAD27D" w14:textId="77777777">
            <w:pPr>
              <w:jc w:val="right"/>
              <w:rPr>
                <w:color w:val="000000"/>
                <w:sz w:val="24"/>
                <w:szCs w:val="24"/>
              </w:rPr>
            </w:pPr>
            <w:r w:rsidRPr="00921C6C">
              <w:rPr>
                <w:color w:val="000000"/>
                <w:sz w:val="24"/>
                <w:szCs w:val="24"/>
              </w:rPr>
              <w:t>150</w:t>
            </w:r>
          </w:p>
        </w:tc>
        <w:tc>
          <w:tcPr>
            <w:tcW w:w="1800" w:type="dxa"/>
            <w:tcBorders>
              <w:top w:val="nil"/>
              <w:left w:val="nil"/>
              <w:bottom w:val="single" w:sz="8" w:space="0" w:color="auto"/>
              <w:right w:val="single" w:sz="8" w:space="0" w:color="auto"/>
            </w:tcBorders>
            <w:tcMar>
              <w:top w:w="0" w:type="dxa"/>
              <w:left w:w="90" w:type="dxa"/>
              <w:bottom w:w="0" w:type="dxa"/>
              <w:right w:w="90" w:type="dxa"/>
            </w:tcMar>
            <w:vAlign w:val="center"/>
          </w:tcPr>
          <w:p w:rsidR="006D7C17" w:rsidRPr="00921C6C" w:rsidP="00C262D4" w14:paraId="3AC9F79A" w14:textId="77777777">
            <w:pPr>
              <w:jc w:val="right"/>
              <w:rPr>
                <w:color w:val="000000"/>
                <w:sz w:val="24"/>
                <w:szCs w:val="24"/>
              </w:rPr>
            </w:pPr>
            <w:r w:rsidRPr="00921C6C">
              <w:rPr>
                <w:color w:val="000000"/>
                <w:sz w:val="24"/>
                <w:szCs w:val="24"/>
              </w:rPr>
              <w:t>1,275,000</w:t>
            </w:r>
          </w:p>
        </w:tc>
      </w:tr>
      <w:tr w14:paraId="175A6DC9" w14:textId="77777777" w:rsidTr="41D6112F">
        <w:tblPrEx>
          <w:tblW w:w="9630" w:type="dxa"/>
          <w:tblLayout w:type="fixed"/>
          <w:tblCellMar>
            <w:left w:w="0" w:type="dxa"/>
            <w:right w:w="0" w:type="dxa"/>
          </w:tblCellMar>
          <w:tblLook w:val="04A0"/>
        </w:tblPrEx>
        <w:trPr>
          <w:trHeight w:val="495"/>
        </w:trPr>
        <w:tc>
          <w:tcPr>
            <w:tcW w:w="1702" w:type="dxa"/>
            <w:tcBorders>
              <w:top w:val="nil"/>
              <w:left w:val="single" w:sz="8" w:space="0" w:color="auto"/>
              <w:bottom w:val="single" w:sz="8" w:space="0" w:color="auto"/>
              <w:right w:val="single" w:sz="8" w:space="0" w:color="auto"/>
            </w:tcBorders>
            <w:tcMar>
              <w:top w:w="0" w:type="dxa"/>
              <w:left w:w="90" w:type="dxa"/>
              <w:bottom w:w="0" w:type="dxa"/>
              <w:right w:w="90" w:type="dxa"/>
            </w:tcMar>
            <w:vAlign w:val="center"/>
            <w:hideMark/>
          </w:tcPr>
          <w:p w:rsidR="006D7C17" w:rsidRPr="00921C6C" w:rsidP="005E6D62" w14:paraId="584B8497" w14:textId="77777777">
            <w:pPr>
              <w:rPr>
                <w:color w:val="000000"/>
                <w:sz w:val="24"/>
                <w:szCs w:val="24"/>
              </w:rPr>
            </w:pPr>
            <w:r w:rsidRPr="00921C6C">
              <w:rPr>
                <w:b/>
                <w:bCs/>
                <w:color w:val="000000"/>
                <w:sz w:val="24"/>
                <w:szCs w:val="24"/>
              </w:rPr>
              <w:t>Disclosures</w:t>
            </w:r>
          </w:p>
        </w:tc>
        <w:tc>
          <w:tcPr>
            <w:tcW w:w="1808" w:type="dxa"/>
            <w:tcBorders>
              <w:top w:val="nil"/>
              <w:left w:val="nil"/>
              <w:bottom w:val="single" w:sz="8" w:space="0" w:color="auto"/>
              <w:right w:val="single" w:sz="8" w:space="0" w:color="auto"/>
            </w:tcBorders>
            <w:tcMar>
              <w:top w:w="0" w:type="dxa"/>
              <w:left w:w="90" w:type="dxa"/>
              <w:bottom w:w="0" w:type="dxa"/>
              <w:right w:w="90" w:type="dxa"/>
            </w:tcMar>
            <w:vAlign w:val="center"/>
          </w:tcPr>
          <w:p w:rsidR="006D7C17" w:rsidRPr="00921C6C" w:rsidP="005E6D62" w14:paraId="642A69E6" w14:textId="77777777">
            <w:pPr>
              <w:rPr>
                <w:color w:val="000000"/>
                <w:sz w:val="24"/>
                <w:szCs w:val="24"/>
              </w:rPr>
            </w:pPr>
          </w:p>
        </w:tc>
        <w:tc>
          <w:tcPr>
            <w:tcW w:w="1440" w:type="dxa"/>
            <w:tcBorders>
              <w:top w:val="nil"/>
              <w:left w:val="nil"/>
              <w:bottom w:val="single" w:sz="8" w:space="0" w:color="auto"/>
              <w:right w:val="single" w:sz="8" w:space="0" w:color="auto"/>
            </w:tcBorders>
            <w:tcMar>
              <w:top w:w="0" w:type="dxa"/>
              <w:left w:w="90" w:type="dxa"/>
              <w:bottom w:w="0" w:type="dxa"/>
              <w:right w:w="90" w:type="dxa"/>
            </w:tcMar>
            <w:vAlign w:val="center"/>
          </w:tcPr>
          <w:p w:rsidR="006D7C17" w:rsidRPr="00921C6C" w:rsidP="00C262D4" w14:paraId="4A2D7C9D" w14:textId="77777777">
            <w:pPr>
              <w:jc w:val="right"/>
              <w:rPr>
                <w:color w:val="00000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6D7C17" w:rsidRPr="00921C6C" w:rsidP="00C262D4" w14:paraId="4E1267A1" w14:textId="77777777">
            <w:pPr>
              <w:jc w:val="right"/>
              <w:rPr>
                <w:color w:val="00000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6D7C17" w:rsidRPr="00921C6C" w:rsidP="00C262D4" w14:paraId="331E681A" w14:textId="77777777">
            <w:pPr>
              <w:jc w:val="right"/>
              <w:rPr>
                <w:color w:val="000000"/>
                <w:sz w:val="24"/>
                <w:szCs w:val="24"/>
              </w:rPr>
            </w:pPr>
          </w:p>
        </w:tc>
        <w:tc>
          <w:tcPr>
            <w:tcW w:w="1800" w:type="dxa"/>
            <w:tcBorders>
              <w:top w:val="nil"/>
              <w:left w:val="nil"/>
              <w:bottom w:val="single" w:sz="8" w:space="0" w:color="auto"/>
              <w:right w:val="single" w:sz="8" w:space="0" w:color="auto"/>
            </w:tcBorders>
            <w:tcMar>
              <w:top w:w="0" w:type="dxa"/>
              <w:left w:w="90" w:type="dxa"/>
              <w:bottom w:w="0" w:type="dxa"/>
              <w:right w:w="90" w:type="dxa"/>
            </w:tcMar>
            <w:vAlign w:val="center"/>
          </w:tcPr>
          <w:p w:rsidR="006D7C17" w:rsidRPr="00921C6C" w:rsidP="00C262D4" w14:paraId="308C7467" w14:textId="77777777">
            <w:pPr>
              <w:jc w:val="right"/>
              <w:rPr>
                <w:color w:val="000000"/>
                <w:sz w:val="24"/>
                <w:szCs w:val="24"/>
              </w:rPr>
            </w:pPr>
          </w:p>
        </w:tc>
      </w:tr>
      <w:tr w14:paraId="2DBA8FC7" w14:textId="77777777" w:rsidTr="41D6112F">
        <w:tblPrEx>
          <w:tblW w:w="9630" w:type="dxa"/>
          <w:tblLayout w:type="fixed"/>
          <w:tblCellMar>
            <w:left w:w="0" w:type="dxa"/>
            <w:right w:w="0" w:type="dxa"/>
          </w:tblCellMar>
          <w:tblLook w:val="04A0"/>
        </w:tblPrEx>
        <w:trPr>
          <w:trHeight w:val="1215"/>
        </w:trPr>
        <w:tc>
          <w:tcPr>
            <w:tcW w:w="1702" w:type="dxa"/>
            <w:tcBorders>
              <w:top w:val="nil"/>
              <w:left w:val="single" w:sz="8" w:space="0" w:color="auto"/>
              <w:bottom w:val="single" w:sz="8" w:space="0" w:color="auto"/>
              <w:right w:val="single" w:sz="8" w:space="0" w:color="auto"/>
            </w:tcBorders>
            <w:tcMar>
              <w:top w:w="0" w:type="dxa"/>
              <w:left w:w="90" w:type="dxa"/>
              <w:bottom w:w="0" w:type="dxa"/>
              <w:right w:w="90" w:type="dxa"/>
            </w:tcMar>
            <w:vAlign w:val="center"/>
            <w:hideMark/>
          </w:tcPr>
          <w:p w:rsidR="006D7C17" w:rsidRPr="00921C6C" w:rsidP="005E6D62" w14:paraId="03326DBF" w14:textId="77777777">
            <w:pPr>
              <w:rPr>
                <w:color w:val="000000"/>
                <w:sz w:val="24"/>
                <w:szCs w:val="24"/>
              </w:rPr>
            </w:pPr>
            <w:r w:rsidRPr="00921C6C">
              <w:rPr>
                <w:color w:val="000000"/>
                <w:sz w:val="24"/>
                <w:szCs w:val="24"/>
              </w:rPr>
              <w:t>1033.341</w:t>
            </w:r>
          </w:p>
          <w:p w:rsidR="006D7C17" w:rsidRPr="00921C6C" w:rsidP="005E6D62" w14:paraId="40A8F4EE" w14:textId="77777777">
            <w:pPr>
              <w:rPr>
                <w:color w:val="000000"/>
                <w:sz w:val="24"/>
                <w:szCs w:val="24"/>
              </w:rPr>
            </w:pPr>
            <w:r w:rsidRPr="00921C6C">
              <w:rPr>
                <w:color w:val="000000"/>
                <w:sz w:val="24"/>
                <w:szCs w:val="24"/>
              </w:rPr>
              <w:t>1033.201</w:t>
            </w:r>
          </w:p>
          <w:p w:rsidR="006D7C17" w:rsidRPr="00921C6C" w:rsidP="005E6D62" w14:paraId="2CC91F50" w14:textId="77777777">
            <w:pPr>
              <w:rPr>
                <w:color w:val="000000"/>
                <w:sz w:val="24"/>
                <w:szCs w:val="24"/>
              </w:rPr>
            </w:pPr>
            <w:r w:rsidRPr="00921C6C">
              <w:rPr>
                <w:color w:val="000000"/>
                <w:sz w:val="24"/>
                <w:szCs w:val="24"/>
              </w:rPr>
              <w:t>1033.301</w:t>
            </w:r>
          </w:p>
          <w:p w:rsidR="006D7C17" w:rsidRPr="00921C6C" w:rsidP="005E6D62" w14:paraId="3AC30A2B" w14:textId="77777777">
            <w:pPr>
              <w:rPr>
                <w:color w:val="000000"/>
                <w:sz w:val="24"/>
                <w:szCs w:val="24"/>
              </w:rPr>
            </w:pPr>
            <w:r w:rsidRPr="00921C6C">
              <w:rPr>
                <w:color w:val="000000"/>
                <w:sz w:val="24"/>
                <w:szCs w:val="24"/>
              </w:rPr>
              <w:t>1033.311-one time</w:t>
            </w:r>
          </w:p>
        </w:tc>
        <w:tc>
          <w:tcPr>
            <w:tcW w:w="1808" w:type="dxa"/>
            <w:tcBorders>
              <w:top w:val="nil"/>
              <w:left w:val="nil"/>
              <w:bottom w:val="single" w:sz="8" w:space="0" w:color="auto"/>
              <w:right w:val="single" w:sz="8" w:space="0" w:color="auto"/>
            </w:tcBorders>
            <w:tcMar>
              <w:top w:w="0" w:type="dxa"/>
              <w:left w:w="90" w:type="dxa"/>
              <w:bottom w:w="0" w:type="dxa"/>
              <w:right w:w="90" w:type="dxa"/>
            </w:tcMar>
            <w:vAlign w:val="center"/>
            <w:hideMark/>
          </w:tcPr>
          <w:p w:rsidR="006D7C17" w:rsidRPr="00921C6C" w:rsidP="006D7C17" w14:paraId="6769DFBF" w14:textId="77777777">
            <w:pPr>
              <w:pStyle w:val="ListParagraph"/>
              <w:numPr>
                <w:ilvl w:val="0"/>
                <w:numId w:val="35"/>
              </w:numPr>
              <w:rPr>
                <w:rFonts w:ascii="Times New Roman" w:eastAsia="Times New Roman" w:hAnsi="Times New Roman"/>
                <w:color w:val="000000"/>
                <w:sz w:val="24"/>
                <w:szCs w:val="24"/>
              </w:rPr>
            </w:pPr>
            <w:r w:rsidRPr="00921C6C">
              <w:rPr>
                <w:rFonts w:ascii="Times New Roman" w:eastAsia="Times New Roman" w:hAnsi="Times New Roman"/>
                <w:color w:val="000000"/>
                <w:sz w:val="24"/>
                <w:szCs w:val="24"/>
              </w:rPr>
              <w:t>1033.341: Information about the data provider</w:t>
            </w:r>
          </w:p>
          <w:p w:rsidR="006D7C17" w:rsidRPr="00921C6C" w:rsidP="006D7C17" w14:paraId="63B99134" w14:textId="77777777">
            <w:pPr>
              <w:pStyle w:val="ListParagraph"/>
              <w:numPr>
                <w:ilvl w:val="0"/>
                <w:numId w:val="35"/>
              </w:numPr>
              <w:rPr>
                <w:rFonts w:ascii="Times New Roman" w:eastAsia="Times New Roman" w:hAnsi="Times New Roman"/>
                <w:color w:val="000000"/>
                <w:sz w:val="24"/>
                <w:szCs w:val="24"/>
              </w:rPr>
            </w:pPr>
            <w:r w:rsidRPr="00921C6C">
              <w:rPr>
                <w:rFonts w:ascii="Times New Roman" w:eastAsia="Times New Roman" w:hAnsi="Times New Roman"/>
                <w:color w:val="000000"/>
                <w:sz w:val="24"/>
                <w:szCs w:val="24"/>
              </w:rPr>
              <w:t>1033.201: Obligation to make covered data available.</w:t>
            </w:r>
          </w:p>
          <w:p w:rsidR="006D7C17" w:rsidRPr="00921C6C" w:rsidP="006D7C17" w14:paraId="61046A87" w14:textId="77777777">
            <w:pPr>
              <w:pStyle w:val="ListParagraph"/>
              <w:numPr>
                <w:ilvl w:val="0"/>
                <w:numId w:val="35"/>
              </w:numPr>
              <w:rPr>
                <w:rFonts w:ascii="Times New Roman" w:eastAsia="Times New Roman" w:hAnsi="Times New Roman"/>
                <w:color w:val="000000"/>
                <w:sz w:val="24"/>
                <w:szCs w:val="24"/>
              </w:rPr>
            </w:pPr>
            <w:r w:rsidRPr="00921C6C">
              <w:rPr>
                <w:rFonts w:ascii="Times New Roman" w:eastAsia="Times New Roman" w:hAnsi="Times New Roman"/>
                <w:color w:val="000000"/>
                <w:sz w:val="24"/>
                <w:szCs w:val="24"/>
              </w:rPr>
              <w:t>1033.301: General requirements.</w:t>
            </w:r>
          </w:p>
          <w:p w:rsidR="006D7C17" w:rsidRPr="00921C6C" w:rsidP="006D7C17" w14:paraId="0177B9CD" w14:textId="77777777">
            <w:pPr>
              <w:pStyle w:val="ListParagraph"/>
              <w:numPr>
                <w:ilvl w:val="0"/>
                <w:numId w:val="35"/>
              </w:numPr>
              <w:rPr>
                <w:rFonts w:ascii="Times New Roman" w:eastAsia="Times New Roman" w:hAnsi="Times New Roman"/>
                <w:color w:val="000000"/>
                <w:sz w:val="24"/>
                <w:szCs w:val="24"/>
              </w:rPr>
            </w:pPr>
            <w:r w:rsidRPr="00921C6C">
              <w:rPr>
                <w:rFonts w:ascii="Times New Roman" w:eastAsia="Times New Roman" w:hAnsi="Times New Roman"/>
                <w:color w:val="000000"/>
                <w:sz w:val="24"/>
                <w:szCs w:val="24"/>
              </w:rPr>
              <w:t>1033.311: Requirements applicable to developer interface</w:t>
            </w:r>
          </w:p>
        </w:tc>
        <w:tc>
          <w:tcPr>
            <w:tcW w:w="1440" w:type="dxa"/>
            <w:tcBorders>
              <w:top w:val="nil"/>
              <w:left w:val="nil"/>
              <w:bottom w:val="single" w:sz="8" w:space="0" w:color="auto"/>
              <w:right w:val="single" w:sz="8" w:space="0" w:color="auto"/>
            </w:tcBorders>
            <w:tcMar>
              <w:top w:w="0" w:type="dxa"/>
              <w:left w:w="90" w:type="dxa"/>
              <w:bottom w:w="0" w:type="dxa"/>
              <w:right w:w="90" w:type="dxa"/>
            </w:tcMar>
            <w:vAlign w:val="center"/>
            <w:hideMark/>
          </w:tcPr>
          <w:p w:rsidR="006D7C17" w:rsidRPr="00921C6C" w:rsidP="00C262D4" w14:paraId="691FB181" w14:textId="7E6E054D">
            <w:pPr>
              <w:jc w:val="right"/>
              <w:rPr>
                <w:color w:val="000000"/>
                <w:sz w:val="24"/>
                <w:szCs w:val="24"/>
              </w:rPr>
            </w:pPr>
            <w:r w:rsidRPr="024F6077">
              <w:rPr>
                <w:color w:val="000000" w:themeColor="text1"/>
                <w:sz w:val="24"/>
                <w:szCs w:val="24"/>
              </w:rPr>
              <w:t>1,785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C17" w:rsidRPr="00921C6C" w:rsidP="00C262D4" w14:paraId="7FE99F5E" w14:textId="5DCE6391">
            <w:pPr>
              <w:jc w:val="right"/>
              <w:rPr>
                <w:color w:val="000000"/>
                <w:sz w:val="24"/>
                <w:szCs w:val="24"/>
              </w:rPr>
            </w:pPr>
            <w:r w:rsidRPr="024F6077">
              <w:rPr>
                <w:color w:val="000000" w:themeColor="text1"/>
                <w:sz w:val="24"/>
                <w:szCs w:val="24"/>
              </w:rPr>
              <w:t>1,785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6D7C17" w:rsidRPr="00921C6C" w:rsidP="00C262D4" w14:paraId="4093C7F8" w14:textId="77777777">
            <w:pPr>
              <w:jc w:val="right"/>
              <w:rPr>
                <w:color w:val="000000"/>
                <w:sz w:val="24"/>
                <w:szCs w:val="24"/>
              </w:rPr>
            </w:pPr>
            <w:r w:rsidRPr="00921C6C">
              <w:rPr>
                <w:color w:val="000000" w:themeColor="text1"/>
                <w:sz w:val="24"/>
                <w:szCs w:val="24"/>
              </w:rPr>
              <w:t>324</w:t>
            </w:r>
          </w:p>
        </w:tc>
        <w:tc>
          <w:tcPr>
            <w:tcW w:w="1800" w:type="dxa"/>
            <w:tcBorders>
              <w:top w:val="nil"/>
              <w:left w:val="nil"/>
              <w:bottom w:val="single" w:sz="8" w:space="0" w:color="auto"/>
              <w:right w:val="single" w:sz="8" w:space="0" w:color="auto"/>
            </w:tcBorders>
            <w:tcMar>
              <w:top w:w="0" w:type="dxa"/>
              <w:left w:w="90" w:type="dxa"/>
              <w:bottom w:w="0" w:type="dxa"/>
              <w:right w:w="90" w:type="dxa"/>
            </w:tcMar>
            <w:vAlign w:val="center"/>
          </w:tcPr>
          <w:p w:rsidR="006D7C17" w:rsidRPr="00921C6C" w:rsidP="00C262D4" w14:paraId="006B4173" w14:textId="51CE909C">
            <w:pPr>
              <w:jc w:val="right"/>
              <w:rPr>
                <w:color w:val="000000"/>
                <w:sz w:val="24"/>
                <w:szCs w:val="24"/>
              </w:rPr>
            </w:pPr>
            <w:r w:rsidRPr="024F6077">
              <w:rPr>
                <w:color w:val="000000" w:themeColor="text1"/>
                <w:sz w:val="24"/>
                <w:szCs w:val="24"/>
              </w:rPr>
              <w:t>578,340</w:t>
            </w:r>
          </w:p>
        </w:tc>
      </w:tr>
      <w:tr w14:paraId="08E887C3" w14:textId="77777777" w:rsidTr="41D6112F">
        <w:tblPrEx>
          <w:tblW w:w="9630" w:type="dxa"/>
          <w:tblLayout w:type="fixed"/>
          <w:tblCellMar>
            <w:left w:w="0" w:type="dxa"/>
            <w:right w:w="0" w:type="dxa"/>
          </w:tblCellMar>
          <w:tblLook w:val="04A0"/>
        </w:tblPrEx>
        <w:trPr>
          <w:trHeight w:val="1215"/>
        </w:trPr>
        <w:tc>
          <w:tcPr>
            <w:tcW w:w="1702" w:type="dxa"/>
            <w:tcBorders>
              <w:top w:val="nil"/>
              <w:left w:val="single" w:sz="8" w:space="0" w:color="auto"/>
              <w:bottom w:val="single" w:sz="8" w:space="0" w:color="auto"/>
              <w:right w:val="single" w:sz="8" w:space="0" w:color="auto"/>
            </w:tcBorders>
            <w:tcMar>
              <w:top w:w="0" w:type="dxa"/>
              <w:left w:w="90" w:type="dxa"/>
              <w:bottom w:w="0" w:type="dxa"/>
              <w:right w:w="90" w:type="dxa"/>
            </w:tcMar>
            <w:vAlign w:val="center"/>
            <w:hideMark/>
          </w:tcPr>
          <w:p w:rsidR="006D7C17" w:rsidRPr="00921C6C" w:rsidP="005E6D62" w14:paraId="692A8535" w14:textId="77777777">
            <w:pPr>
              <w:rPr>
                <w:color w:val="000000"/>
                <w:sz w:val="24"/>
                <w:szCs w:val="24"/>
              </w:rPr>
            </w:pPr>
            <w:r w:rsidRPr="00921C6C">
              <w:rPr>
                <w:color w:val="000000"/>
                <w:sz w:val="24"/>
                <w:szCs w:val="24"/>
              </w:rPr>
              <w:t>1033.341</w:t>
            </w:r>
          </w:p>
          <w:p w:rsidR="006D7C17" w:rsidRPr="00921C6C" w:rsidP="005E6D62" w14:paraId="1F452546" w14:textId="77777777">
            <w:pPr>
              <w:rPr>
                <w:color w:val="000000"/>
                <w:sz w:val="24"/>
                <w:szCs w:val="24"/>
              </w:rPr>
            </w:pPr>
            <w:r w:rsidRPr="00921C6C">
              <w:rPr>
                <w:color w:val="000000"/>
                <w:sz w:val="24"/>
                <w:szCs w:val="24"/>
              </w:rPr>
              <w:t>1033.201</w:t>
            </w:r>
          </w:p>
          <w:p w:rsidR="006D7C17" w:rsidRPr="00921C6C" w:rsidP="005E6D62" w14:paraId="3AB3B683" w14:textId="77777777">
            <w:pPr>
              <w:rPr>
                <w:color w:val="000000"/>
                <w:sz w:val="24"/>
                <w:szCs w:val="24"/>
              </w:rPr>
            </w:pPr>
            <w:r w:rsidRPr="00921C6C">
              <w:rPr>
                <w:color w:val="000000"/>
                <w:sz w:val="24"/>
                <w:szCs w:val="24"/>
              </w:rPr>
              <w:t>1033.301</w:t>
            </w:r>
          </w:p>
          <w:p w:rsidR="006D7C17" w:rsidRPr="00921C6C" w:rsidP="005E6D62" w14:paraId="1B6D8F64" w14:textId="77777777">
            <w:pPr>
              <w:rPr>
                <w:color w:val="000000"/>
                <w:sz w:val="24"/>
                <w:szCs w:val="24"/>
              </w:rPr>
            </w:pPr>
            <w:r w:rsidRPr="00921C6C">
              <w:rPr>
                <w:color w:val="000000"/>
                <w:sz w:val="24"/>
                <w:szCs w:val="24"/>
              </w:rPr>
              <w:t>1033.311-ongoing</w:t>
            </w:r>
          </w:p>
        </w:tc>
        <w:tc>
          <w:tcPr>
            <w:tcW w:w="1808" w:type="dxa"/>
            <w:tcBorders>
              <w:top w:val="nil"/>
              <w:left w:val="nil"/>
              <w:bottom w:val="single" w:sz="8" w:space="0" w:color="auto"/>
              <w:right w:val="single" w:sz="8" w:space="0" w:color="auto"/>
            </w:tcBorders>
            <w:tcMar>
              <w:top w:w="0" w:type="dxa"/>
              <w:left w:w="90" w:type="dxa"/>
              <w:bottom w:w="0" w:type="dxa"/>
              <w:right w:w="90" w:type="dxa"/>
            </w:tcMar>
            <w:vAlign w:val="center"/>
            <w:hideMark/>
          </w:tcPr>
          <w:p w:rsidR="006D7C17" w:rsidRPr="00921C6C" w:rsidP="006D7C17" w14:paraId="5522B3F6" w14:textId="77777777">
            <w:pPr>
              <w:pStyle w:val="ListParagraph"/>
              <w:numPr>
                <w:ilvl w:val="0"/>
                <w:numId w:val="35"/>
              </w:numPr>
              <w:rPr>
                <w:rFonts w:ascii="Times New Roman" w:eastAsia="Times New Roman" w:hAnsi="Times New Roman"/>
                <w:color w:val="000000"/>
                <w:sz w:val="24"/>
                <w:szCs w:val="24"/>
              </w:rPr>
            </w:pPr>
            <w:r w:rsidRPr="00921C6C">
              <w:rPr>
                <w:rFonts w:ascii="Times New Roman" w:eastAsia="Times New Roman" w:hAnsi="Times New Roman"/>
                <w:color w:val="000000"/>
                <w:sz w:val="24"/>
                <w:szCs w:val="24"/>
              </w:rPr>
              <w:t xml:space="preserve">1033.341: Information about the </w:t>
            </w:r>
            <w:r w:rsidRPr="00921C6C">
              <w:rPr>
                <w:rFonts w:ascii="Times New Roman" w:eastAsia="Times New Roman" w:hAnsi="Times New Roman"/>
                <w:color w:val="000000"/>
                <w:sz w:val="24"/>
                <w:szCs w:val="24"/>
              </w:rPr>
              <w:t>data provider</w:t>
            </w:r>
          </w:p>
          <w:p w:rsidR="006D7C17" w:rsidRPr="00921C6C" w:rsidP="006D7C17" w14:paraId="2F5ECCE5" w14:textId="77777777">
            <w:pPr>
              <w:pStyle w:val="ListParagraph"/>
              <w:numPr>
                <w:ilvl w:val="0"/>
                <w:numId w:val="35"/>
              </w:numPr>
              <w:rPr>
                <w:rFonts w:ascii="Times New Roman" w:eastAsia="Times New Roman" w:hAnsi="Times New Roman"/>
                <w:color w:val="000000"/>
                <w:sz w:val="24"/>
                <w:szCs w:val="24"/>
              </w:rPr>
            </w:pPr>
            <w:r w:rsidRPr="00921C6C">
              <w:rPr>
                <w:rFonts w:ascii="Times New Roman" w:eastAsia="Times New Roman" w:hAnsi="Times New Roman"/>
                <w:color w:val="000000"/>
                <w:sz w:val="24"/>
                <w:szCs w:val="24"/>
              </w:rPr>
              <w:t>1033.201: Obligation to make covered data available.</w:t>
            </w:r>
          </w:p>
          <w:p w:rsidR="006D7C17" w:rsidRPr="00921C6C" w:rsidP="006D7C17" w14:paraId="62E72F93" w14:textId="77777777">
            <w:pPr>
              <w:pStyle w:val="ListParagraph"/>
              <w:numPr>
                <w:ilvl w:val="0"/>
                <w:numId w:val="35"/>
              </w:numPr>
              <w:rPr>
                <w:rFonts w:ascii="Times New Roman" w:eastAsia="Times New Roman" w:hAnsi="Times New Roman"/>
                <w:color w:val="000000"/>
                <w:sz w:val="24"/>
                <w:szCs w:val="24"/>
              </w:rPr>
            </w:pPr>
            <w:r w:rsidRPr="00921C6C">
              <w:rPr>
                <w:rFonts w:ascii="Times New Roman" w:eastAsia="Times New Roman" w:hAnsi="Times New Roman"/>
                <w:color w:val="000000"/>
                <w:sz w:val="24"/>
                <w:szCs w:val="24"/>
              </w:rPr>
              <w:t>1033.301: General requirements.</w:t>
            </w:r>
          </w:p>
          <w:p w:rsidR="006D7C17" w:rsidRPr="00921C6C" w:rsidP="006D7C17" w14:paraId="5A19180E" w14:textId="77777777">
            <w:pPr>
              <w:pStyle w:val="ListParagraph"/>
              <w:numPr>
                <w:ilvl w:val="0"/>
                <w:numId w:val="35"/>
              </w:numPr>
              <w:rPr>
                <w:rFonts w:ascii="Times New Roman" w:eastAsia="Times New Roman" w:hAnsi="Times New Roman"/>
                <w:color w:val="000000"/>
                <w:sz w:val="24"/>
                <w:szCs w:val="24"/>
              </w:rPr>
            </w:pPr>
            <w:r w:rsidRPr="00921C6C">
              <w:rPr>
                <w:rFonts w:ascii="Times New Roman" w:eastAsia="Times New Roman" w:hAnsi="Times New Roman"/>
                <w:color w:val="000000"/>
                <w:sz w:val="24"/>
                <w:szCs w:val="24"/>
              </w:rPr>
              <w:t>1033.311: Requirements applicable to developer interface</w:t>
            </w:r>
          </w:p>
        </w:tc>
        <w:tc>
          <w:tcPr>
            <w:tcW w:w="1440" w:type="dxa"/>
            <w:tcBorders>
              <w:top w:val="nil"/>
              <w:left w:val="nil"/>
              <w:bottom w:val="single" w:sz="8" w:space="0" w:color="auto"/>
              <w:right w:val="single" w:sz="8" w:space="0" w:color="auto"/>
            </w:tcBorders>
            <w:tcMar>
              <w:top w:w="0" w:type="dxa"/>
              <w:left w:w="90" w:type="dxa"/>
              <w:bottom w:w="0" w:type="dxa"/>
              <w:right w:w="90" w:type="dxa"/>
            </w:tcMar>
            <w:vAlign w:val="center"/>
            <w:hideMark/>
          </w:tcPr>
          <w:p w:rsidR="006D7C17" w:rsidRPr="00921C6C" w:rsidP="00C262D4" w14:paraId="0FBCC261" w14:textId="7C8E8FD4">
            <w:pPr>
              <w:jc w:val="right"/>
              <w:rPr>
                <w:color w:val="000000"/>
                <w:sz w:val="24"/>
                <w:szCs w:val="24"/>
              </w:rPr>
            </w:pPr>
            <w:r w:rsidRPr="024F6077">
              <w:rPr>
                <w:color w:val="000000" w:themeColor="text1"/>
                <w:sz w:val="24"/>
                <w:szCs w:val="24"/>
              </w:rPr>
              <w:t>1,785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C17" w:rsidRPr="00921C6C" w:rsidP="00C262D4" w14:paraId="5779CF4A" w14:textId="0430AC15">
            <w:pPr>
              <w:jc w:val="right"/>
              <w:rPr>
                <w:color w:val="000000"/>
                <w:sz w:val="24"/>
                <w:szCs w:val="24"/>
              </w:rPr>
            </w:pPr>
            <w:r w:rsidRPr="024F6077">
              <w:rPr>
                <w:color w:val="000000" w:themeColor="text1"/>
                <w:sz w:val="24"/>
                <w:szCs w:val="24"/>
              </w:rPr>
              <w:t>1,785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6D7C17" w:rsidRPr="00921C6C" w:rsidP="00C262D4" w14:paraId="771231BB" w14:textId="77777777">
            <w:pPr>
              <w:jc w:val="right"/>
              <w:rPr>
                <w:color w:val="000000"/>
                <w:sz w:val="24"/>
                <w:szCs w:val="24"/>
              </w:rPr>
            </w:pPr>
            <w:r w:rsidRPr="00921C6C">
              <w:rPr>
                <w:color w:val="000000"/>
                <w:sz w:val="24"/>
                <w:szCs w:val="24"/>
              </w:rPr>
              <w:t>30</w:t>
            </w:r>
          </w:p>
        </w:tc>
        <w:tc>
          <w:tcPr>
            <w:tcW w:w="1800" w:type="dxa"/>
            <w:tcBorders>
              <w:top w:val="nil"/>
              <w:left w:val="nil"/>
              <w:bottom w:val="single" w:sz="8" w:space="0" w:color="auto"/>
              <w:right w:val="single" w:sz="8" w:space="0" w:color="auto"/>
            </w:tcBorders>
            <w:tcMar>
              <w:top w:w="0" w:type="dxa"/>
              <w:left w:w="90" w:type="dxa"/>
              <w:bottom w:w="0" w:type="dxa"/>
              <w:right w:w="90" w:type="dxa"/>
            </w:tcMar>
            <w:vAlign w:val="center"/>
          </w:tcPr>
          <w:p w:rsidR="006D7C17" w:rsidRPr="00921C6C" w:rsidP="00C262D4" w14:paraId="100AC9B3" w14:textId="5A46630A">
            <w:pPr>
              <w:jc w:val="right"/>
              <w:rPr>
                <w:color w:val="000000"/>
                <w:sz w:val="24"/>
                <w:szCs w:val="24"/>
              </w:rPr>
            </w:pPr>
            <w:r w:rsidRPr="024F6077">
              <w:rPr>
                <w:color w:val="000000" w:themeColor="text1"/>
                <w:sz w:val="24"/>
                <w:szCs w:val="24"/>
              </w:rPr>
              <w:t>53,550</w:t>
            </w:r>
          </w:p>
        </w:tc>
      </w:tr>
      <w:tr w14:paraId="1A94DCB2" w14:textId="77777777" w:rsidTr="41D6112F">
        <w:tblPrEx>
          <w:tblW w:w="9630" w:type="dxa"/>
          <w:tblLayout w:type="fixed"/>
          <w:tblCellMar>
            <w:left w:w="0" w:type="dxa"/>
            <w:right w:w="0" w:type="dxa"/>
          </w:tblCellMar>
          <w:tblLook w:val="04A0"/>
        </w:tblPrEx>
        <w:trPr>
          <w:trHeight w:val="300"/>
        </w:trPr>
        <w:tc>
          <w:tcPr>
            <w:tcW w:w="1702" w:type="dxa"/>
            <w:tcBorders>
              <w:top w:val="nil"/>
              <w:left w:val="single" w:sz="8" w:space="0" w:color="auto"/>
              <w:bottom w:val="single" w:sz="8" w:space="0" w:color="auto"/>
              <w:right w:val="single" w:sz="8" w:space="0" w:color="auto"/>
            </w:tcBorders>
            <w:tcMar>
              <w:top w:w="0" w:type="dxa"/>
              <w:left w:w="90" w:type="dxa"/>
              <w:bottom w:w="0" w:type="dxa"/>
              <w:right w:w="90" w:type="dxa"/>
            </w:tcMar>
            <w:vAlign w:val="center"/>
            <w:hideMark/>
          </w:tcPr>
          <w:p w:rsidR="006D7C17" w:rsidRPr="00921C6C" w:rsidP="005E6D62" w14:paraId="5BACEC00" w14:textId="77777777">
            <w:pPr>
              <w:rPr>
                <w:color w:val="000000"/>
                <w:sz w:val="24"/>
                <w:szCs w:val="24"/>
              </w:rPr>
            </w:pPr>
            <w:r w:rsidRPr="00921C6C">
              <w:rPr>
                <w:color w:val="000000"/>
                <w:sz w:val="24"/>
                <w:szCs w:val="24"/>
              </w:rPr>
              <w:t>1033.411</w:t>
            </w:r>
          </w:p>
          <w:p w:rsidR="006D7C17" w:rsidRPr="00921C6C" w:rsidP="005E6D62" w14:paraId="13E6A3A1" w14:textId="77777777">
            <w:pPr>
              <w:rPr>
                <w:color w:val="000000"/>
                <w:sz w:val="24"/>
                <w:szCs w:val="24"/>
              </w:rPr>
            </w:pPr>
            <w:r w:rsidRPr="00921C6C">
              <w:rPr>
                <w:color w:val="000000"/>
                <w:sz w:val="24"/>
                <w:szCs w:val="24"/>
              </w:rPr>
              <w:t>1033.421</w:t>
            </w:r>
          </w:p>
          <w:p w:rsidR="006D7C17" w:rsidRPr="00921C6C" w:rsidP="005E6D62" w14:paraId="122012FC" w14:textId="77777777">
            <w:pPr>
              <w:rPr>
                <w:color w:val="000000"/>
                <w:sz w:val="24"/>
                <w:szCs w:val="24"/>
              </w:rPr>
            </w:pPr>
            <w:r w:rsidRPr="00921C6C">
              <w:rPr>
                <w:color w:val="000000"/>
                <w:sz w:val="24"/>
                <w:szCs w:val="24"/>
              </w:rPr>
              <w:t>1033.401</w:t>
            </w:r>
          </w:p>
          <w:p w:rsidR="006D7C17" w:rsidRPr="00921C6C" w:rsidP="005E6D62" w14:paraId="73850990" w14:textId="77777777">
            <w:pPr>
              <w:rPr>
                <w:color w:val="000000"/>
                <w:sz w:val="24"/>
                <w:szCs w:val="24"/>
              </w:rPr>
            </w:pPr>
            <w:r w:rsidRPr="00921C6C">
              <w:rPr>
                <w:color w:val="000000"/>
                <w:sz w:val="24"/>
                <w:szCs w:val="24"/>
              </w:rPr>
              <w:t xml:space="preserve">1033.431-one time </w:t>
            </w:r>
          </w:p>
        </w:tc>
        <w:tc>
          <w:tcPr>
            <w:tcW w:w="1808" w:type="dxa"/>
            <w:tcBorders>
              <w:top w:val="nil"/>
              <w:left w:val="nil"/>
              <w:bottom w:val="single" w:sz="8" w:space="0" w:color="auto"/>
              <w:right w:val="single" w:sz="8" w:space="0" w:color="auto"/>
            </w:tcBorders>
            <w:tcMar>
              <w:top w:w="0" w:type="dxa"/>
              <w:left w:w="90" w:type="dxa"/>
              <w:bottom w:w="0" w:type="dxa"/>
              <w:right w:w="90" w:type="dxa"/>
            </w:tcMar>
            <w:vAlign w:val="center"/>
            <w:hideMark/>
          </w:tcPr>
          <w:p w:rsidR="006D7C17" w:rsidRPr="00921C6C" w:rsidP="006D7C17" w14:paraId="51CCC61C" w14:textId="77777777">
            <w:pPr>
              <w:pStyle w:val="ListParagraph"/>
              <w:numPr>
                <w:ilvl w:val="0"/>
                <w:numId w:val="31"/>
              </w:numPr>
              <w:rPr>
                <w:rFonts w:ascii="Times New Roman" w:eastAsia="Times New Roman" w:hAnsi="Times New Roman"/>
                <w:color w:val="000000"/>
                <w:sz w:val="24"/>
                <w:szCs w:val="24"/>
              </w:rPr>
            </w:pPr>
            <w:r w:rsidRPr="00921C6C">
              <w:rPr>
                <w:rFonts w:ascii="Times New Roman" w:eastAsia="Times New Roman" w:hAnsi="Times New Roman"/>
                <w:color w:val="000000"/>
                <w:sz w:val="24"/>
                <w:szCs w:val="24"/>
              </w:rPr>
              <w:t>1033.411: Authorization disclosure</w:t>
            </w:r>
          </w:p>
          <w:p w:rsidR="006D7C17" w:rsidRPr="00921C6C" w:rsidP="006D7C17" w14:paraId="37D8F01F" w14:textId="77777777">
            <w:pPr>
              <w:pStyle w:val="ListParagraph"/>
              <w:numPr>
                <w:ilvl w:val="0"/>
                <w:numId w:val="31"/>
              </w:numPr>
              <w:rPr>
                <w:rFonts w:ascii="Times New Roman" w:eastAsia="Times New Roman" w:hAnsi="Times New Roman"/>
                <w:color w:val="000000"/>
                <w:sz w:val="24"/>
                <w:szCs w:val="24"/>
              </w:rPr>
            </w:pPr>
            <w:r w:rsidRPr="00921C6C">
              <w:rPr>
                <w:rFonts w:ascii="Times New Roman" w:eastAsia="Times New Roman" w:hAnsi="Times New Roman"/>
                <w:color w:val="000000"/>
                <w:sz w:val="24"/>
                <w:szCs w:val="24"/>
              </w:rPr>
              <w:t>1033.421: Third party obligations</w:t>
            </w:r>
          </w:p>
          <w:p w:rsidR="006D7C17" w:rsidRPr="00921C6C" w:rsidP="006D7C17" w14:paraId="1880A7D6" w14:textId="77777777">
            <w:pPr>
              <w:pStyle w:val="ListParagraph"/>
              <w:numPr>
                <w:ilvl w:val="0"/>
                <w:numId w:val="31"/>
              </w:numPr>
              <w:rPr>
                <w:rFonts w:ascii="Times New Roman" w:eastAsia="Times New Roman" w:hAnsi="Times New Roman"/>
                <w:color w:val="000000"/>
                <w:sz w:val="24"/>
                <w:szCs w:val="24"/>
              </w:rPr>
            </w:pPr>
            <w:r w:rsidRPr="00921C6C">
              <w:rPr>
                <w:rFonts w:ascii="Times New Roman" w:eastAsia="Times New Roman" w:hAnsi="Times New Roman"/>
                <w:color w:val="000000"/>
                <w:sz w:val="24"/>
                <w:szCs w:val="24"/>
              </w:rPr>
              <w:t>1033.401: Third party authorization; general</w:t>
            </w:r>
          </w:p>
          <w:p w:rsidR="006D7C17" w:rsidRPr="00921C6C" w:rsidP="006D7C17" w14:paraId="1AB376AA" w14:textId="77777777">
            <w:pPr>
              <w:pStyle w:val="ListParagraph"/>
              <w:numPr>
                <w:ilvl w:val="0"/>
                <w:numId w:val="31"/>
              </w:numPr>
              <w:rPr>
                <w:rFonts w:ascii="Times New Roman" w:eastAsia="Times New Roman" w:hAnsi="Times New Roman"/>
                <w:color w:val="000000"/>
                <w:sz w:val="24"/>
                <w:szCs w:val="24"/>
              </w:rPr>
            </w:pPr>
            <w:r w:rsidRPr="00921C6C">
              <w:rPr>
                <w:rFonts w:ascii="Times New Roman" w:eastAsia="Times New Roman" w:hAnsi="Times New Roman"/>
                <w:color w:val="000000"/>
                <w:sz w:val="24"/>
                <w:szCs w:val="24"/>
              </w:rPr>
              <w:t>1033.431: Use of data aggregator</w:t>
            </w:r>
          </w:p>
        </w:tc>
        <w:tc>
          <w:tcPr>
            <w:tcW w:w="1440" w:type="dxa"/>
            <w:tcBorders>
              <w:top w:val="nil"/>
              <w:left w:val="nil"/>
              <w:bottom w:val="single" w:sz="8" w:space="0" w:color="auto"/>
              <w:right w:val="single" w:sz="8" w:space="0" w:color="auto"/>
            </w:tcBorders>
            <w:tcMar>
              <w:top w:w="0" w:type="dxa"/>
              <w:left w:w="90" w:type="dxa"/>
              <w:bottom w:w="0" w:type="dxa"/>
              <w:right w:w="90" w:type="dxa"/>
            </w:tcMar>
            <w:vAlign w:val="center"/>
            <w:hideMark/>
          </w:tcPr>
          <w:p w:rsidR="006D7C17" w:rsidRPr="00921C6C" w:rsidP="00C262D4" w14:paraId="71DC1AE4" w14:textId="77777777">
            <w:pPr>
              <w:jc w:val="right"/>
              <w:rPr>
                <w:color w:val="000000"/>
                <w:sz w:val="24"/>
                <w:szCs w:val="24"/>
              </w:rPr>
            </w:pPr>
            <w:r w:rsidRPr="00921C6C">
              <w:rPr>
                <w:color w:val="000000"/>
                <w:sz w:val="24"/>
                <w:szCs w:val="24"/>
              </w:rPr>
              <w:t>8,500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C17" w:rsidRPr="00921C6C" w:rsidP="00C262D4" w14:paraId="24009371" w14:textId="77777777">
            <w:pPr>
              <w:jc w:val="right"/>
              <w:rPr>
                <w:color w:val="000000"/>
                <w:sz w:val="24"/>
                <w:szCs w:val="24"/>
              </w:rPr>
            </w:pPr>
            <w:r w:rsidRPr="00921C6C">
              <w:rPr>
                <w:color w:val="000000"/>
                <w:sz w:val="24"/>
                <w:szCs w:val="24"/>
              </w:rPr>
              <w:t>8,500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C17" w:rsidRPr="00921C6C" w:rsidP="00C262D4" w14:paraId="45251E35" w14:textId="77777777">
            <w:pPr>
              <w:jc w:val="right"/>
              <w:rPr>
                <w:color w:val="000000"/>
                <w:sz w:val="24"/>
                <w:szCs w:val="24"/>
              </w:rPr>
            </w:pPr>
            <w:r w:rsidRPr="00921C6C">
              <w:rPr>
                <w:color w:val="000000"/>
                <w:sz w:val="24"/>
                <w:szCs w:val="24"/>
              </w:rPr>
              <w:t>162</w:t>
            </w:r>
          </w:p>
        </w:tc>
        <w:tc>
          <w:tcPr>
            <w:tcW w:w="1800" w:type="dxa"/>
            <w:tcBorders>
              <w:top w:val="nil"/>
              <w:left w:val="nil"/>
              <w:bottom w:val="single" w:sz="8" w:space="0" w:color="auto"/>
              <w:right w:val="single" w:sz="8" w:space="0" w:color="auto"/>
            </w:tcBorders>
            <w:tcMar>
              <w:top w:w="0" w:type="dxa"/>
              <w:left w:w="90" w:type="dxa"/>
              <w:bottom w:w="0" w:type="dxa"/>
              <w:right w:w="90" w:type="dxa"/>
            </w:tcMar>
            <w:vAlign w:val="center"/>
            <w:hideMark/>
          </w:tcPr>
          <w:p w:rsidR="006D7C17" w:rsidRPr="00921C6C" w:rsidP="00C262D4" w14:paraId="3C04AE05" w14:textId="3DE58BEC">
            <w:pPr>
              <w:jc w:val="right"/>
              <w:rPr>
                <w:sz w:val="24"/>
                <w:szCs w:val="24"/>
              </w:rPr>
            </w:pPr>
            <w:r w:rsidRPr="00E9581E">
              <w:rPr>
                <w:sz w:val="24"/>
                <w:szCs w:val="24"/>
              </w:rPr>
              <w:t>1</w:t>
            </w:r>
            <w:r>
              <w:rPr>
                <w:sz w:val="24"/>
                <w:szCs w:val="24"/>
              </w:rPr>
              <w:t>,</w:t>
            </w:r>
            <w:r w:rsidRPr="00E9581E">
              <w:rPr>
                <w:sz w:val="24"/>
                <w:szCs w:val="24"/>
              </w:rPr>
              <w:t>377</w:t>
            </w:r>
            <w:r>
              <w:rPr>
                <w:sz w:val="24"/>
                <w:szCs w:val="24"/>
              </w:rPr>
              <w:t>,</w:t>
            </w:r>
            <w:r w:rsidRPr="00E9581E">
              <w:rPr>
                <w:sz w:val="24"/>
                <w:szCs w:val="24"/>
              </w:rPr>
              <w:t>000</w:t>
            </w:r>
          </w:p>
        </w:tc>
      </w:tr>
      <w:tr w14:paraId="34E196CF" w14:textId="77777777" w:rsidTr="00E9581E">
        <w:tblPrEx>
          <w:tblW w:w="9630" w:type="dxa"/>
          <w:tblLayout w:type="fixed"/>
          <w:tblCellMar>
            <w:left w:w="0" w:type="dxa"/>
            <w:right w:w="0" w:type="dxa"/>
          </w:tblCellMar>
          <w:tblLook w:val="04A0"/>
        </w:tblPrEx>
        <w:trPr>
          <w:trHeight w:val="187"/>
        </w:trPr>
        <w:tc>
          <w:tcPr>
            <w:tcW w:w="1702" w:type="dxa"/>
            <w:tcBorders>
              <w:top w:val="nil"/>
              <w:left w:val="single" w:sz="8" w:space="0" w:color="auto"/>
              <w:bottom w:val="single" w:sz="8" w:space="0" w:color="auto"/>
              <w:right w:val="single" w:sz="8" w:space="0" w:color="auto"/>
            </w:tcBorders>
            <w:tcMar>
              <w:top w:w="0" w:type="dxa"/>
              <w:left w:w="90" w:type="dxa"/>
              <w:bottom w:w="0" w:type="dxa"/>
              <w:right w:w="90" w:type="dxa"/>
            </w:tcMar>
            <w:vAlign w:val="center"/>
            <w:hideMark/>
          </w:tcPr>
          <w:p w:rsidR="006D7C17" w:rsidRPr="00921C6C" w:rsidP="005E6D62" w14:paraId="5BE35B33" w14:textId="7110859B">
            <w:pPr>
              <w:rPr>
                <w:color w:val="000000"/>
                <w:sz w:val="24"/>
                <w:szCs w:val="24"/>
              </w:rPr>
            </w:pPr>
            <w:r w:rsidRPr="00921C6C">
              <w:rPr>
                <w:b/>
                <w:bCs/>
                <w:color w:val="000000"/>
                <w:sz w:val="24"/>
                <w:szCs w:val="24"/>
              </w:rPr>
              <w:t>TOTAL</w:t>
            </w:r>
          </w:p>
        </w:tc>
        <w:tc>
          <w:tcPr>
            <w:tcW w:w="1808" w:type="dxa"/>
            <w:tcBorders>
              <w:top w:val="nil"/>
              <w:left w:val="nil"/>
              <w:bottom w:val="single" w:sz="8" w:space="0" w:color="auto"/>
              <w:right w:val="single" w:sz="8" w:space="0" w:color="auto"/>
            </w:tcBorders>
            <w:tcMar>
              <w:top w:w="0" w:type="dxa"/>
              <w:left w:w="90" w:type="dxa"/>
              <w:bottom w:w="0" w:type="dxa"/>
              <w:right w:w="90" w:type="dxa"/>
            </w:tcMar>
            <w:vAlign w:val="center"/>
          </w:tcPr>
          <w:p w:rsidR="006D7C17" w:rsidRPr="00921C6C" w:rsidP="005E6D62" w14:paraId="3C2E98C2" w14:textId="77777777">
            <w:pPr>
              <w:rPr>
                <w:color w:val="000000"/>
                <w:sz w:val="24"/>
                <w:szCs w:val="24"/>
              </w:rPr>
            </w:pPr>
          </w:p>
        </w:tc>
        <w:tc>
          <w:tcPr>
            <w:tcW w:w="1440" w:type="dxa"/>
            <w:tcBorders>
              <w:top w:val="nil"/>
              <w:left w:val="nil"/>
              <w:bottom w:val="single" w:sz="8" w:space="0" w:color="auto"/>
              <w:right w:val="single" w:sz="8" w:space="0" w:color="auto"/>
            </w:tcBorders>
            <w:tcMar>
              <w:top w:w="0" w:type="dxa"/>
              <w:left w:w="90" w:type="dxa"/>
              <w:bottom w:w="0" w:type="dxa"/>
              <w:right w:w="90" w:type="dxa"/>
            </w:tcMar>
            <w:vAlign w:val="center"/>
          </w:tcPr>
          <w:p w:rsidR="006D7C17" w:rsidRPr="00921C6C" w:rsidP="00C262D4" w14:paraId="62A70D29" w14:textId="5952666D">
            <w:pPr>
              <w:jc w:val="right"/>
              <w:rPr>
                <w:b/>
                <w:bCs/>
                <w:color w:val="000000"/>
                <w:sz w:val="24"/>
                <w:szCs w:val="24"/>
              </w:rPr>
            </w:pPr>
            <w:r w:rsidRPr="024F6077">
              <w:rPr>
                <w:b/>
                <w:bCs/>
                <w:color w:val="000000" w:themeColor="text1"/>
                <w:sz w:val="24"/>
                <w:szCs w:val="24"/>
              </w:rPr>
              <w:t>10,285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C17" w:rsidRPr="00921C6C" w:rsidP="00C262D4" w14:paraId="3DB0D10F" w14:textId="49303DBC">
            <w:pPr>
              <w:jc w:val="right"/>
              <w:rPr>
                <w:b/>
                <w:bCs/>
                <w:color w:val="000000"/>
                <w:sz w:val="24"/>
                <w:szCs w:val="24"/>
              </w:rPr>
            </w:pPr>
            <w:r w:rsidRPr="024F6077">
              <w:rPr>
                <w:b/>
                <w:bCs/>
                <w:color w:val="000000" w:themeColor="text1"/>
                <w:sz w:val="24"/>
                <w:szCs w:val="24"/>
              </w:rPr>
              <w:t>32,640</w:t>
            </w:r>
          </w:p>
        </w:tc>
        <w:tc>
          <w:tcPr>
            <w:tcW w:w="1440" w:type="dxa"/>
            <w:tcBorders>
              <w:top w:val="nil"/>
              <w:left w:val="nil"/>
              <w:bottom w:val="single" w:sz="8" w:space="0" w:color="auto"/>
              <w:right w:val="single" w:sz="8" w:space="0" w:color="auto"/>
            </w:tcBorders>
            <w:shd w:val="clear" w:color="auto" w:fill="92D050"/>
            <w:tcMar>
              <w:top w:w="0" w:type="dxa"/>
              <w:left w:w="108" w:type="dxa"/>
              <w:bottom w:w="0" w:type="dxa"/>
              <w:right w:w="108" w:type="dxa"/>
            </w:tcMar>
            <w:vAlign w:val="center"/>
          </w:tcPr>
          <w:p w:rsidR="006D7C17" w:rsidRPr="00921C6C" w:rsidP="00C262D4" w14:paraId="43510D42" w14:textId="757131F4">
            <w:pPr>
              <w:jc w:val="right"/>
              <w:rPr>
                <w:b/>
                <w:bCs/>
                <w:color w:val="000000"/>
                <w:sz w:val="24"/>
                <w:szCs w:val="24"/>
              </w:rPr>
            </w:pPr>
          </w:p>
        </w:tc>
        <w:tc>
          <w:tcPr>
            <w:tcW w:w="1800" w:type="dxa"/>
            <w:tcBorders>
              <w:top w:val="nil"/>
              <w:left w:val="nil"/>
              <w:bottom w:val="single" w:sz="8" w:space="0" w:color="auto"/>
              <w:right w:val="single" w:sz="8" w:space="0" w:color="auto"/>
            </w:tcBorders>
            <w:tcMar>
              <w:top w:w="0" w:type="dxa"/>
              <w:left w:w="90" w:type="dxa"/>
              <w:bottom w:w="0" w:type="dxa"/>
              <w:right w:w="90" w:type="dxa"/>
            </w:tcMar>
            <w:vAlign w:val="center"/>
          </w:tcPr>
          <w:p w:rsidR="006D7C17" w:rsidRPr="00921C6C" w:rsidP="00C262D4" w14:paraId="17766A88" w14:textId="79D64FC2">
            <w:pPr>
              <w:jc w:val="right"/>
              <w:rPr>
                <w:b/>
                <w:bCs/>
                <w:color w:val="000000"/>
                <w:sz w:val="24"/>
                <w:szCs w:val="24"/>
              </w:rPr>
            </w:pPr>
            <w:r w:rsidRPr="00E9581E">
              <w:rPr>
                <w:b/>
                <w:bCs/>
                <w:color w:val="000000" w:themeColor="text1"/>
                <w:sz w:val="24"/>
                <w:szCs w:val="24"/>
              </w:rPr>
              <w:t>7</w:t>
            </w:r>
            <w:r>
              <w:rPr>
                <w:b/>
                <w:bCs/>
                <w:color w:val="000000" w:themeColor="text1"/>
                <w:sz w:val="24"/>
                <w:szCs w:val="24"/>
              </w:rPr>
              <w:t>,</w:t>
            </w:r>
            <w:r w:rsidRPr="00E9581E">
              <w:rPr>
                <w:b/>
                <w:bCs/>
                <w:color w:val="000000" w:themeColor="text1"/>
                <w:sz w:val="24"/>
                <w:szCs w:val="24"/>
              </w:rPr>
              <w:t>105</w:t>
            </w:r>
            <w:r>
              <w:rPr>
                <w:b/>
                <w:bCs/>
                <w:color w:val="000000" w:themeColor="text1"/>
                <w:sz w:val="24"/>
                <w:szCs w:val="24"/>
              </w:rPr>
              <w:t>,</w:t>
            </w:r>
            <w:r w:rsidRPr="00E9581E">
              <w:rPr>
                <w:b/>
                <w:bCs/>
                <w:color w:val="000000" w:themeColor="text1"/>
                <w:sz w:val="24"/>
                <w:szCs w:val="24"/>
              </w:rPr>
              <w:t>235</w:t>
            </w:r>
          </w:p>
        </w:tc>
      </w:tr>
    </w:tbl>
    <w:p w:rsidR="006D7C17" w:rsidRPr="00921C6C" w:rsidP="006D7C17" w14:paraId="4D634DE7" w14:textId="77777777">
      <w:pPr>
        <w:rPr>
          <w:sz w:val="24"/>
          <w:szCs w:val="24"/>
        </w:rPr>
      </w:pPr>
      <w:r w:rsidRPr="00921C6C">
        <w:rPr>
          <w:i/>
          <w:iCs/>
          <w:sz w:val="24"/>
          <w:szCs w:val="24"/>
        </w:rPr>
        <w:t xml:space="preserve">Note: </w:t>
      </w:r>
      <w:r w:rsidRPr="00921C6C">
        <w:rPr>
          <w:sz w:val="24"/>
          <w:szCs w:val="24"/>
        </w:rPr>
        <w:t>Time per response has been rounded to the nearest whole hour.</w:t>
      </w:r>
    </w:p>
    <w:p w:rsidR="00C262D4" w:rsidRPr="00921C6C" w:rsidP="00EB108E" w14:paraId="58CF8A41" w14:textId="77777777">
      <w:pPr>
        <w:rPr>
          <w:b/>
          <w:bCs/>
          <w:i/>
          <w:iCs/>
          <w:color w:val="000000" w:themeColor="text1"/>
          <w:sz w:val="24"/>
          <w:szCs w:val="24"/>
        </w:rPr>
      </w:pPr>
    </w:p>
    <w:p w:rsidR="00502322" w:rsidRPr="00921C6C" w:rsidP="00EB108E" w14:paraId="7998A297" w14:textId="537208FC">
      <w:pPr>
        <w:rPr>
          <w:i/>
          <w:iCs/>
          <w:color w:val="000000" w:themeColor="text1"/>
          <w:sz w:val="24"/>
          <w:szCs w:val="24"/>
        </w:rPr>
      </w:pPr>
      <w:r w:rsidRPr="00921C6C">
        <w:rPr>
          <w:i/>
          <w:iCs/>
          <w:color w:val="000000" w:themeColor="text1"/>
          <w:sz w:val="24"/>
          <w:szCs w:val="24"/>
        </w:rPr>
        <w:t>1.</w:t>
      </w:r>
      <w:r w:rsidRPr="00921C6C" w:rsidR="0090025B">
        <w:rPr>
          <w:sz w:val="24"/>
          <w:szCs w:val="24"/>
        </w:rPr>
        <w:tab/>
      </w:r>
      <w:r w:rsidRPr="00921C6C">
        <w:rPr>
          <w:i/>
          <w:iCs/>
          <w:color w:val="000000" w:themeColor="text1"/>
          <w:sz w:val="24"/>
          <w:szCs w:val="24"/>
        </w:rPr>
        <w:t>Recordkeeping</w:t>
      </w:r>
    </w:p>
    <w:p w:rsidR="00502322" w:rsidRPr="00921C6C" w:rsidP="00EB108E" w14:paraId="1B230C18" w14:textId="77777777">
      <w:pPr>
        <w:rPr>
          <w:color w:val="000000" w:themeColor="text1"/>
          <w:sz w:val="24"/>
          <w:szCs w:val="24"/>
        </w:rPr>
      </w:pPr>
    </w:p>
    <w:p w:rsidR="0090025B" w:rsidP="00EB108E" w14:paraId="7514B09B" w14:textId="5FDC2151">
      <w:pPr>
        <w:rPr>
          <w:color w:val="000000" w:themeColor="text1"/>
          <w:sz w:val="24"/>
          <w:szCs w:val="24"/>
        </w:rPr>
      </w:pPr>
      <w:r w:rsidRPr="00921C6C">
        <w:rPr>
          <w:color w:val="000000" w:themeColor="text1"/>
          <w:sz w:val="24"/>
          <w:szCs w:val="24"/>
        </w:rPr>
        <w:t>Data providers (</w:t>
      </w:r>
      <w:r w:rsidR="005E5EDA">
        <w:rPr>
          <w:sz w:val="24"/>
          <w:szCs w:val="24"/>
        </w:rPr>
        <w:t>Section</w:t>
      </w:r>
      <w:r w:rsidRPr="00921C6C" w:rsidR="00B11600">
        <w:rPr>
          <w:color w:val="000000" w:themeColor="text1"/>
          <w:sz w:val="24"/>
          <w:szCs w:val="24"/>
        </w:rPr>
        <w:t xml:space="preserve"> </w:t>
      </w:r>
      <w:r w:rsidRPr="00921C6C">
        <w:rPr>
          <w:color w:val="000000" w:themeColor="text1"/>
          <w:sz w:val="24"/>
          <w:szCs w:val="24"/>
        </w:rPr>
        <w:t>1033.351) and third parties (</w:t>
      </w:r>
      <w:r w:rsidR="005E5EDA">
        <w:rPr>
          <w:sz w:val="24"/>
          <w:szCs w:val="24"/>
        </w:rPr>
        <w:t>Section</w:t>
      </w:r>
      <w:r w:rsidRPr="00921C6C" w:rsidR="00B11600">
        <w:rPr>
          <w:color w:val="000000" w:themeColor="text1"/>
          <w:sz w:val="24"/>
          <w:szCs w:val="24"/>
        </w:rPr>
        <w:t xml:space="preserve"> </w:t>
      </w:r>
      <w:r w:rsidRPr="00921C6C">
        <w:rPr>
          <w:color w:val="000000" w:themeColor="text1"/>
          <w:sz w:val="24"/>
          <w:szCs w:val="24"/>
        </w:rPr>
        <w:t xml:space="preserve">1033.441) are required to establish “reasonable written policies and procedures” related to record keeping and retention. Data providers must establish and maintain written policies and procedures that are reasonably designed to achieve the objectives set forth in subparts B and C of the rule, including those set forth in paragraphs (b) through (d) of </w:t>
      </w:r>
      <w:r w:rsidRPr="00921C6C" w:rsidR="00B11600">
        <w:rPr>
          <w:color w:val="000000" w:themeColor="text1"/>
          <w:sz w:val="24"/>
          <w:szCs w:val="24"/>
        </w:rPr>
        <w:t>S</w:t>
      </w:r>
      <w:r w:rsidRPr="00921C6C">
        <w:rPr>
          <w:color w:val="000000" w:themeColor="text1"/>
          <w:sz w:val="24"/>
          <w:szCs w:val="24"/>
        </w:rPr>
        <w:t xml:space="preserve">ection 351 of the rule. Policies and procedures must be appropriate to the size, nature, and complexity of the data provider’s activities. Furthermore, data providers must periodically review the policies and procedures required by </w:t>
      </w:r>
      <w:r w:rsidRPr="00921C6C" w:rsidR="001B1DEF">
        <w:rPr>
          <w:color w:val="000000" w:themeColor="text1"/>
          <w:sz w:val="24"/>
          <w:szCs w:val="24"/>
        </w:rPr>
        <w:t>S</w:t>
      </w:r>
      <w:r w:rsidRPr="00921C6C">
        <w:rPr>
          <w:color w:val="000000" w:themeColor="text1"/>
          <w:sz w:val="24"/>
          <w:szCs w:val="24"/>
        </w:rPr>
        <w:t xml:space="preserve">ection 351 and update them as appropriate to ensure their continued effectiveness. Third parties must establish and maintain written policies and procedures that are reasonably designed to retain records that are evidence of </w:t>
      </w:r>
      <w:r w:rsidRPr="00921C6C">
        <w:rPr>
          <w:color w:val="000000" w:themeColor="text1"/>
          <w:sz w:val="24"/>
          <w:szCs w:val="24"/>
        </w:rPr>
        <w:t>compliance with the requirements of subpart D of 1033, for a reasonable period, not less than three years after a consumer’s most recent authorization.</w:t>
      </w:r>
    </w:p>
    <w:p w:rsidR="00355C79" w:rsidRPr="00921C6C" w:rsidP="00EB108E" w14:paraId="2DDD16C4" w14:textId="77777777">
      <w:pPr>
        <w:rPr>
          <w:color w:val="000000" w:themeColor="text1"/>
          <w:sz w:val="24"/>
          <w:szCs w:val="24"/>
        </w:rPr>
      </w:pPr>
    </w:p>
    <w:p w:rsidR="0090025B" w:rsidRPr="00921C6C" w:rsidP="00E97688" w14:paraId="15C06B2A" w14:textId="1AF708CE">
      <w:pPr>
        <w:rPr>
          <w:color w:val="000000" w:themeColor="text1"/>
          <w:sz w:val="24"/>
          <w:szCs w:val="24"/>
        </w:rPr>
      </w:pPr>
      <w:r w:rsidRPr="00921C6C">
        <w:rPr>
          <w:color w:val="000000" w:themeColor="text1"/>
          <w:sz w:val="24"/>
          <w:szCs w:val="24"/>
        </w:rPr>
        <w:t>The Bureau expects that complying with the rule will require data providers and third parties to establish and maintain a computer system for the purposes of record keeping and retention. These systems will be designed to be automated, requiring little human input. The Bureau expects that some data providers will rely on vendors to create their reporting and recordkeeping automated systems, instead of creating the systems in-house. Since vendors may be able to use similar systems to serve multiple data providers, actual burden hours may be lower than the estimates provided here.</w:t>
      </w:r>
    </w:p>
    <w:p w:rsidR="00E97688" w:rsidRPr="00921C6C" w:rsidP="00EB108E" w14:paraId="58C0B7E8" w14:textId="77777777">
      <w:pPr>
        <w:rPr>
          <w:color w:val="000000" w:themeColor="text1"/>
          <w:sz w:val="24"/>
          <w:szCs w:val="24"/>
        </w:rPr>
      </w:pPr>
    </w:p>
    <w:p w:rsidR="0090025B" w:rsidRPr="00921C6C" w:rsidP="00E97688" w14:paraId="4CA9BF80" w14:textId="2D39D0E2">
      <w:pPr>
        <w:rPr>
          <w:i/>
          <w:iCs/>
          <w:color w:val="000000" w:themeColor="text1"/>
          <w:sz w:val="24"/>
          <w:szCs w:val="24"/>
        </w:rPr>
      </w:pPr>
      <w:r w:rsidRPr="00921C6C">
        <w:rPr>
          <w:i/>
          <w:iCs/>
          <w:color w:val="000000" w:themeColor="text1"/>
          <w:sz w:val="24"/>
          <w:szCs w:val="24"/>
        </w:rPr>
        <w:t>i</w:t>
      </w:r>
      <w:r w:rsidRPr="00921C6C">
        <w:rPr>
          <w:i/>
          <w:iCs/>
          <w:color w:val="000000" w:themeColor="text1"/>
          <w:sz w:val="24"/>
          <w:szCs w:val="24"/>
        </w:rPr>
        <w:t xml:space="preserve">. </w:t>
      </w:r>
      <w:r w:rsidRPr="00921C6C" w:rsidR="00EB108E">
        <w:rPr>
          <w:i/>
          <w:iCs/>
          <w:color w:val="000000" w:themeColor="text1"/>
          <w:sz w:val="24"/>
          <w:szCs w:val="24"/>
        </w:rPr>
        <w:tab/>
      </w:r>
      <w:r w:rsidRPr="00921C6C" w:rsidR="66D76AA2">
        <w:rPr>
          <w:i/>
          <w:iCs/>
          <w:color w:val="000000" w:themeColor="text1"/>
          <w:sz w:val="24"/>
          <w:szCs w:val="24"/>
        </w:rPr>
        <w:t xml:space="preserve">One-Time </w:t>
      </w:r>
      <w:r w:rsidRPr="00921C6C" w:rsidR="697F6725">
        <w:rPr>
          <w:i/>
          <w:iCs/>
          <w:color w:val="000000" w:themeColor="text1"/>
          <w:sz w:val="24"/>
          <w:szCs w:val="24"/>
        </w:rPr>
        <w:t>C</w:t>
      </w:r>
      <w:r w:rsidRPr="00921C6C" w:rsidR="66D76AA2">
        <w:rPr>
          <w:i/>
          <w:iCs/>
          <w:color w:val="000000" w:themeColor="text1"/>
          <w:sz w:val="24"/>
          <w:szCs w:val="24"/>
        </w:rPr>
        <w:t xml:space="preserve">osts  </w:t>
      </w:r>
    </w:p>
    <w:p w:rsidR="00E97688" w:rsidRPr="00921C6C" w:rsidP="00EB108E" w14:paraId="49736975" w14:textId="77777777">
      <w:pPr>
        <w:rPr>
          <w:color w:val="000000" w:themeColor="text1"/>
          <w:sz w:val="24"/>
          <w:szCs w:val="24"/>
        </w:rPr>
      </w:pPr>
    </w:p>
    <w:p w:rsidR="0090025B" w:rsidRPr="00921C6C" w:rsidP="00E97688" w14:paraId="185B4571" w14:textId="12197B4A">
      <w:pPr>
        <w:rPr>
          <w:color w:val="000000" w:themeColor="text1"/>
          <w:sz w:val="24"/>
          <w:szCs w:val="24"/>
        </w:rPr>
      </w:pPr>
      <w:r w:rsidRPr="00921C6C">
        <w:rPr>
          <w:color w:val="000000" w:themeColor="text1"/>
          <w:sz w:val="24"/>
          <w:szCs w:val="24"/>
        </w:rPr>
        <w:t xml:space="preserve">The Bureau has identified two high-level one-time costs associated with the Recordkeeping category. The first are the costs associated with designing and vetting the policies and procedures that data providers and third parties </w:t>
      </w:r>
      <w:r w:rsidRPr="00921C6C" w:rsidR="00572EC7">
        <w:rPr>
          <w:color w:val="000000" w:themeColor="text1"/>
          <w:sz w:val="24"/>
          <w:szCs w:val="24"/>
        </w:rPr>
        <w:t>incur</w:t>
      </w:r>
      <w:r w:rsidRPr="00921C6C">
        <w:rPr>
          <w:color w:val="000000" w:themeColor="text1"/>
          <w:sz w:val="24"/>
          <w:szCs w:val="24"/>
        </w:rPr>
        <w:t>. The second are the costs associated with the creation and vetting of the computer systems that record and process information.</w:t>
      </w:r>
    </w:p>
    <w:p w:rsidR="00E97688" w:rsidRPr="00921C6C" w:rsidP="00EB108E" w14:paraId="148FDDA7" w14:textId="77777777">
      <w:pPr>
        <w:rPr>
          <w:color w:val="000000" w:themeColor="text1"/>
          <w:sz w:val="24"/>
          <w:szCs w:val="24"/>
        </w:rPr>
      </w:pPr>
    </w:p>
    <w:p w:rsidR="0090025B" w:rsidRPr="00921C6C" w:rsidP="00C56A4C" w14:paraId="5CFC13C8" w14:textId="074C947B">
      <w:pPr>
        <w:rPr>
          <w:color w:val="000000" w:themeColor="text1"/>
          <w:sz w:val="24"/>
          <w:szCs w:val="24"/>
        </w:rPr>
      </w:pPr>
      <w:r w:rsidRPr="00921C6C">
        <w:rPr>
          <w:color w:val="000000" w:themeColor="text1"/>
          <w:sz w:val="24"/>
          <w:szCs w:val="24"/>
        </w:rPr>
        <w:t xml:space="preserve">The initial creation of the written policies and procedures are a one-time cost associated with the rule. The initial creation, review, and implementation of the policy plans will involve a time burden for both the data providers and the third parties. </w:t>
      </w:r>
    </w:p>
    <w:p w:rsidR="0090025B" w:rsidRPr="00921C6C" w:rsidP="00E97688" w14:paraId="7FA799F2" w14:textId="769B7F0D">
      <w:pPr>
        <w:rPr>
          <w:color w:val="000000" w:themeColor="text1"/>
          <w:sz w:val="24"/>
          <w:szCs w:val="24"/>
        </w:rPr>
      </w:pPr>
      <w:r w:rsidRPr="00921C6C">
        <w:rPr>
          <w:color w:val="000000" w:themeColor="text1"/>
          <w:sz w:val="24"/>
          <w:szCs w:val="24"/>
        </w:rPr>
        <w:t>Regarding the initial creation of recordkeeping computer systems, the Bureau expects that around 25% of data providers will choose to create their system in-house</w:t>
      </w:r>
      <w:r w:rsidRPr="00921C6C" w:rsidR="005C3CC3">
        <w:rPr>
          <w:color w:val="000000" w:themeColor="text1"/>
          <w:sz w:val="24"/>
          <w:szCs w:val="24"/>
        </w:rPr>
        <w:t>. T</w:t>
      </w:r>
      <w:r w:rsidRPr="00921C6C">
        <w:rPr>
          <w:color w:val="000000" w:themeColor="text1"/>
          <w:sz w:val="24"/>
          <w:szCs w:val="24"/>
        </w:rPr>
        <w:t xml:space="preserve">he remaining 75% </w:t>
      </w:r>
      <w:r w:rsidRPr="00921C6C" w:rsidR="005C3CC3">
        <w:rPr>
          <w:color w:val="000000" w:themeColor="text1"/>
          <w:sz w:val="24"/>
          <w:szCs w:val="24"/>
        </w:rPr>
        <w:t xml:space="preserve">will </w:t>
      </w:r>
      <w:r w:rsidRPr="00921C6C">
        <w:rPr>
          <w:color w:val="000000" w:themeColor="text1"/>
          <w:sz w:val="24"/>
          <w:szCs w:val="24"/>
        </w:rPr>
        <w:t>creat</w:t>
      </w:r>
      <w:r w:rsidR="0011769D">
        <w:rPr>
          <w:color w:val="000000" w:themeColor="text1"/>
          <w:sz w:val="24"/>
          <w:szCs w:val="24"/>
        </w:rPr>
        <w:t>e</w:t>
      </w:r>
      <w:r w:rsidRPr="00921C6C">
        <w:rPr>
          <w:color w:val="000000" w:themeColor="text1"/>
          <w:sz w:val="24"/>
          <w:szCs w:val="24"/>
        </w:rPr>
        <w:t xml:space="preserve"> them through their contracted vendors. For the first set of data providers, the creation of the computer system will primarily be an upfront one-time cost, while for the second set of providers, the cost will be ongoing. </w:t>
      </w:r>
    </w:p>
    <w:p w:rsidR="00E97688" w:rsidRPr="00921C6C" w:rsidP="00EB108E" w14:paraId="5D609B74" w14:textId="77777777">
      <w:pPr>
        <w:rPr>
          <w:color w:val="000000" w:themeColor="text1"/>
          <w:sz w:val="24"/>
          <w:szCs w:val="24"/>
        </w:rPr>
      </w:pPr>
    </w:p>
    <w:p w:rsidR="0090025B" w:rsidRPr="00921C6C" w:rsidP="00E97688" w14:paraId="6DC937F8" w14:textId="0527F32E">
      <w:pPr>
        <w:rPr>
          <w:b/>
          <w:bCs/>
          <w:i/>
          <w:iCs/>
          <w:color w:val="000000" w:themeColor="text1"/>
          <w:sz w:val="24"/>
          <w:szCs w:val="24"/>
        </w:rPr>
      </w:pPr>
      <w:r w:rsidRPr="00921C6C">
        <w:rPr>
          <w:b/>
          <w:bCs/>
          <w:i/>
          <w:iCs/>
          <w:color w:val="000000" w:themeColor="text1"/>
          <w:sz w:val="24"/>
          <w:szCs w:val="24"/>
        </w:rPr>
        <w:t>2.</w:t>
      </w:r>
      <w:r w:rsidRPr="00921C6C">
        <w:rPr>
          <w:sz w:val="24"/>
          <w:szCs w:val="24"/>
        </w:rPr>
        <w:tab/>
      </w:r>
      <w:r w:rsidRPr="00921C6C">
        <w:rPr>
          <w:b/>
          <w:bCs/>
          <w:i/>
          <w:iCs/>
          <w:color w:val="000000" w:themeColor="text1"/>
          <w:sz w:val="24"/>
          <w:szCs w:val="24"/>
        </w:rPr>
        <w:t>Disclosures</w:t>
      </w:r>
    </w:p>
    <w:p w:rsidR="00A02610" w:rsidRPr="00921C6C" w:rsidP="00EB108E" w14:paraId="726A42E8" w14:textId="77777777">
      <w:pPr>
        <w:rPr>
          <w:color w:val="000000" w:themeColor="text1"/>
          <w:sz w:val="24"/>
          <w:szCs w:val="24"/>
        </w:rPr>
      </w:pPr>
    </w:p>
    <w:p w:rsidR="00A02610" w:rsidRPr="00921C6C" w:rsidP="00E97688" w14:paraId="7A6EC99A" w14:textId="6F88098C">
      <w:pPr>
        <w:rPr>
          <w:color w:val="000000" w:themeColor="text1"/>
          <w:sz w:val="24"/>
          <w:szCs w:val="24"/>
        </w:rPr>
      </w:pPr>
      <w:r w:rsidRPr="00921C6C">
        <w:rPr>
          <w:color w:val="000000" w:themeColor="text1"/>
          <w:sz w:val="24"/>
          <w:szCs w:val="24"/>
        </w:rPr>
        <w:t xml:space="preserve">To comply with </w:t>
      </w:r>
      <w:r w:rsidR="005E5EDA">
        <w:rPr>
          <w:sz w:val="24"/>
          <w:szCs w:val="24"/>
        </w:rPr>
        <w:t>Section</w:t>
      </w:r>
      <w:r w:rsidRPr="00921C6C">
        <w:rPr>
          <w:color w:val="000000" w:themeColor="text1"/>
          <w:sz w:val="24"/>
          <w:szCs w:val="24"/>
        </w:rPr>
        <w:t xml:space="preserve"> 1033.341, data providers must publish in a readily identifiable manner certain information about themselves, including identifying information, contact information, information about their interface for third parties, and performance specifications. The initial creation, validation, and vetting of this public disclosure system will primarily involve software engineers, with the automated public disclosures being implemented in the initial creation of the computer system. To comply with </w:t>
      </w:r>
      <w:r w:rsidR="005E5EDA">
        <w:rPr>
          <w:sz w:val="24"/>
          <w:szCs w:val="24"/>
        </w:rPr>
        <w:t>Section</w:t>
      </w:r>
      <w:r w:rsidRPr="00921C6C">
        <w:rPr>
          <w:color w:val="000000" w:themeColor="text1"/>
          <w:sz w:val="24"/>
          <w:szCs w:val="24"/>
        </w:rPr>
        <w:t xml:space="preserve"> 1033.201, providers must make available, upon request, covered data in the provider’s control. Furthermore, in accordance with </w:t>
      </w:r>
      <w:r w:rsidR="005E5EDA">
        <w:rPr>
          <w:sz w:val="24"/>
          <w:szCs w:val="24"/>
        </w:rPr>
        <w:t>Section</w:t>
      </w:r>
      <w:r w:rsidRPr="00921C6C">
        <w:rPr>
          <w:color w:val="000000" w:themeColor="text1"/>
          <w:sz w:val="24"/>
          <w:szCs w:val="24"/>
        </w:rPr>
        <w:t xml:space="preserve"> 1033.301, providers must establish and maintain consumer and developer interfaces in which data requests will be received and processed. </w:t>
      </w:r>
    </w:p>
    <w:p w:rsidR="00A02610" w:rsidRPr="00921C6C" w:rsidP="00E97688" w14:paraId="36276C40" w14:textId="77777777">
      <w:pPr>
        <w:rPr>
          <w:color w:val="000000" w:themeColor="text1"/>
          <w:sz w:val="24"/>
          <w:szCs w:val="24"/>
        </w:rPr>
      </w:pPr>
    </w:p>
    <w:p w:rsidR="0090025B" w:rsidRPr="00921C6C" w:rsidP="00E97688" w14:paraId="77AAEF55" w14:textId="50E32AA2">
      <w:pPr>
        <w:rPr>
          <w:color w:val="000000" w:themeColor="text1"/>
          <w:sz w:val="24"/>
          <w:szCs w:val="24"/>
        </w:rPr>
      </w:pPr>
      <w:r w:rsidRPr="00921C6C">
        <w:rPr>
          <w:color w:val="000000" w:themeColor="text1"/>
          <w:sz w:val="24"/>
          <w:szCs w:val="24"/>
        </w:rPr>
        <w:t xml:space="preserve">To comply with </w:t>
      </w:r>
      <w:r w:rsidR="005E5EDA">
        <w:rPr>
          <w:sz w:val="24"/>
          <w:szCs w:val="24"/>
        </w:rPr>
        <w:t>Section</w:t>
      </w:r>
      <w:r w:rsidRPr="00921C6C">
        <w:rPr>
          <w:color w:val="000000" w:themeColor="text1"/>
          <w:sz w:val="24"/>
          <w:szCs w:val="24"/>
        </w:rPr>
        <w:t xml:space="preserve"> 1033.311, providers’ developer interfaces must meet the specified requirements. The Bureau expects that after the initial creation of the interfaces, the processes will be automated requiring little human input.</w:t>
      </w:r>
    </w:p>
    <w:p w:rsidR="00A02610" w:rsidRPr="00921C6C" w:rsidP="00EB108E" w14:paraId="07AC8623" w14:textId="77777777">
      <w:pPr>
        <w:rPr>
          <w:color w:val="000000" w:themeColor="text1"/>
          <w:sz w:val="24"/>
          <w:szCs w:val="24"/>
        </w:rPr>
      </w:pPr>
    </w:p>
    <w:p w:rsidR="0090025B" w:rsidRPr="00921C6C" w:rsidP="00E97688" w14:paraId="37179DD0" w14:textId="07D63C95">
      <w:pPr>
        <w:rPr>
          <w:color w:val="000000" w:themeColor="text1"/>
          <w:sz w:val="24"/>
          <w:szCs w:val="24"/>
        </w:rPr>
      </w:pPr>
      <w:r w:rsidRPr="00921C6C">
        <w:rPr>
          <w:color w:val="000000" w:themeColor="text1"/>
          <w:sz w:val="24"/>
          <w:szCs w:val="24"/>
        </w:rPr>
        <w:t xml:space="preserve">To comply with </w:t>
      </w:r>
      <w:r w:rsidR="005E5EDA">
        <w:rPr>
          <w:sz w:val="24"/>
          <w:szCs w:val="24"/>
        </w:rPr>
        <w:t>Section</w:t>
      </w:r>
      <w:r w:rsidRPr="00921C6C">
        <w:rPr>
          <w:color w:val="000000" w:themeColor="text1"/>
          <w:sz w:val="24"/>
          <w:szCs w:val="24"/>
        </w:rPr>
        <w:t xml:space="preserve"> 1033.401(a), third parties must provide the consumer with an Authorization Disclosure that meets the requirements of </w:t>
      </w:r>
      <w:r w:rsidR="005E5EDA">
        <w:rPr>
          <w:sz w:val="24"/>
          <w:szCs w:val="24"/>
        </w:rPr>
        <w:t>Section</w:t>
      </w:r>
      <w:r w:rsidRPr="00921C6C">
        <w:rPr>
          <w:color w:val="000000" w:themeColor="text1"/>
          <w:sz w:val="24"/>
          <w:szCs w:val="24"/>
        </w:rPr>
        <w:t xml:space="preserve"> 1033.411. The Authorization Disclosure must be in writing, clear, conspicuous, and segregated from other material. The initial creation, validation, and vetting of the disclosure forms will primarily involve compliance officers, with the automated disclosure process being implemented in the initial creation of the computer system.</w:t>
      </w:r>
    </w:p>
    <w:p w:rsidR="00A02610" w:rsidRPr="00921C6C" w:rsidP="00EB108E" w14:paraId="6F80A9FC" w14:textId="77777777">
      <w:pPr>
        <w:rPr>
          <w:color w:val="000000" w:themeColor="text1"/>
          <w:sz w:val="24"/>
          <w:szCs w:val="24"/>
        </w:rPr>
      </w:pPr>
    </w:p>
    <w:p w:rsidR="0090025B" w:rsidRPr="00921C6C" w:rsidP="00E97688" w14:paraId="5B0CF433" w14:textId="40DECBD0">
      <w:pPr>
        <w:rPr>
          <w:color w:val="000000" w:themeColor="text1"/>
          <w:sz w:val="24"/>
          <w:szCs w:val="24"/>
        </w:rPr>
      </w:pPr>
      <w:r w:rsidRPr="00921C6C">
        <w:rPr>
          <w:color w:val="000000" w:themeColor="text1"/>
          <w:sz w:val="24"/>
          <w:szCs w:val="24"/>
        </w:rPr>
        <w:t xml:space="preserve">To comply with </w:t>
      </w:r>
      <w:r w:rsidR="005E5EDA">
        <w:rPr>
          <w:sz w:val="24"/>
          <w:szCs w:val="24"/>
        </w:rPr>
        <w:t>Section</w:t>
      </w:r>
      <w:r w:rsidRPr="00921C6C">
        <w:rPr>
          <w:color w:val="000000" w:themeColor="text1"/>
          <w:sz w:val="24"/>
          <w:szCs w:val="24"/>
        </w:rPr>
        <w:t xml:space="preserve"> 1033.421, third parties must also create a system to provide to the consumer, upon request, a copy of their authorization disclosure, information on how to contact the third party, and information regarding the types and uses of consumer-authorized data being shared under the rule. The Bureau expects these disclosures to be built into third parties’ existing websites and computer systems, and that the information will be disclosed automatically and electronically.</w:t>
      </w:r>
    </w:p>
    <w:p w:rsidR="00A02610" w:rsidRPr="00921C6C" w:rsidP="00EB108E" w14:paraId="6DD6BD7E" w14:textId="77777777">
      <w:pPr>
        <w:rPr>
          <w:color w:val="000000" w:themeColor="text1"/>
          <w:sz w:val="24"/>
          <w:szCs w:val="24"/>
        </w:rPr>
      </w:pPr>
    </w:p>
    <w:p w:rsidR="0090025B" w:rsidRPr="00921C6C" w:rsidP="00E97688" w14:paraId="5FF4C052" w14:textId="515C0E22">
      <w:pPr>
        <w:rPr>
          <w:i/>
          <w:iCs/>
          <w:color w:val="000000" w:themeColor="text1"/>
          <w:sz w:val="24"/>
          <w:szCs w:val="24"/>
        </w:rPr>
      </w:pPr>
      <w:r w:rsidRPr="00921C6C">
        <w:rPr>
          <w:i/>
          <w:iCs/>
          <w:color w:val="000000" w:themeColor="text1"/>
          <w:sz w:val="24"/>
          <w:szCs w:val="24"/>
        </w:rPr>
        <w:t>i</w:t>
      </w:r>
      <w:r w:rsidRPr="00921C6C">
        <w:rPr>
          <w:i/>
          <w:iCs/>
          <w:color w:val="000000" w:themeColor="text1"/>
          <w:sz w:val="24"/>
          <w:szCs w:val="24"/>
        </w:rPr>
        <w:t>.</w:t>
      </w:r>
      <w:r w:rsidRPr="00921C6C">
        <w:rPr>
          <w:sz w:val="24"/>
          <w:szCs w:val="24"/>
        </w:rPr>
        <w:tab/>
      </w:r>
      <w:r w:rsidRPr="00921C6C">
        <w:rPr>
          <w:i/>
          <w:iCs/>
          <w:color w:val="000000" w:themeColor="text1"/>
          <w:sz w:val="24"/>
          <w:szCs w:val="24"/>
        </w:rPr>
        <w:t>One-Time Costs</w:t>
      </w:r>
    </w:p>
    <w:p w:rsidR="00A3232C" w:rsidP="00E97688" w14:paraId="187FE07F" w14:textId="77777777">
      <w:pPr>
        <w:rPr>
          <w:color w:val="000000" w:themeColor="text1"/>
          <w:sz w:val="24"/>
          <w:szCs w:val="24"/>
        </w:rPr>
      </w:pPr>
    </w:p>
    <w:p w:rsidR="00A02610" w:rsidRPr="00921C6C" w:rsidP="00E97688" w14:paraId="0CE51E3A" w14:textId="57F97810">
      <w:pPr>
        <w:rPr>
          <w:color w:val="000000" w:themeColor="text1"/>
          <w:sz w:val="24"/>
          <w:szCs w:val="24"/>
        </w:rPr>
      </w:pPr>
      <w:r w:rsidRPr="00921C6C">
        <w:rPr>
          <w:color w:val="000000" w:themeColor="text1"/>
          <w:sz w:val="24"/>
          <w:szCs w:val="24"/>
        </w:rPr>
        <w:t xml:space="preserve"> The Bureau understands that data providers generally maintain the information that is required to be disclosed in the normal course of business, so the costs are only related to </w:t>
      </w:r>
      <w:r w:rsidRPr="00921C6C" w:rsidR="00A3232C">
        <w:rPr>
          <w:color w:val="000000" w:themeColor="text1"/>
          <w:sz w:val="24"/>
          <w:szCs w:val="24"/>
        </w:rPr>
        <w:t>the per-entity labor hours needed to create the public disclosure system</w:t>
      </w:r>
      <w:r w:rsidRPr="00921C6C" w:rsidR="00A3232C">
        <w:rPr>
          <w:color w:val="000000" w:themeColor="text1"/>
          <w:sz w:val="24"/>
          <w:szCs w:val="24"/>
        </w:rPr>
        <w:t xml:space="preserve"> </w:t>
      </w:r>
      <w:r w:rsidR="00A3232C">
        <w:rPr>
          <w:color w:val="000000" w:themeColor="text1"/>
          <w:sz w:val="24"/>
          <w:szCs w:val="24"/>
        </w:rPr>
        <w:t xml:space="preserve">and </w:t>
      </w:r>
      <w:r w:rsidRPr="00921C6C">
        <w:rPr>
          <w:color w:val="000000" w:themeColor="text1"/>
          <w:sz w:val="24"/>
          <w:szCs w:val="24"/>
        </w:rPr>
        <w:t>publishing that information on a public facing webpage.</w:t>
      </w:r>
    </w:p>
    <w:p w:rsidR="0090025B" w:rsidRPr="00921C6C" w:rsidP="00EB108E" w14:paraId="2941B8CE" w14:textId="165318A5">
      <w:pPr>
        <w:rPr>
          <w:color w:val="000000" w:themeColor="text1"/>
          <w:sz w:val="24"/>
          <w:szCs w:val="24"/>
        </w:rPr>
      </w:pPr>
      <w:r w:rsidRPr="00921C6C">
        <w:rPr>
          <w:color w:val="000000" w:themeColor="text1"/>
          <w:sz w:val="24"/>
          <w:szCs w:val="24"/>
        </w:rPr>
        <w:t xml:space="preserve"> </w:t>
      </w:r>
    </w:p>
    <w:p w:rsidR="0090025B" w:rsidRPr="00921C6C" w:rsidP="00E97688" w14:paraId="0CFBE01B" w14:textId="6C1C0436">
      <w:pPr>
        <w:rPr>
          <w:i/>
          <w:iCs/>
          <w:color w:val="000000" w:themeColor="text1"/>
          <w:sz w:val="24"/>
          <w:szCs w:val="24"/>
        </w:rPr>
      </w:pPr>
      <w:r w:rsidRPr="00921C6C">
        <w:rPr>
          <w:i/>
          <w:iCs/>
          <w:color w:val="000000" w:themeColor="text1"/>
          <w:sz w:val="24"/>
          <w:szCs w:val="24"/>
        </w:rPr>
        <w:t>ii.</w:t>
      </w:r>
      <w:r w:rsidRPr="00921C6C">
        <w:rPr>
          <w:sz w:val="24"/>
          <w:szCs w:val="24"/>
        </w:rPr>
        <w:tab/>
      </w:r>
      <w:r w:rsidRPr="00921C6C">
        <w:rPr>
          <w:i/>
          <w:iCs/>
          <w:color w:val="000000" w:themeColor="text1"/>
          <w:sz w:val="24"/>
          <w:szCs w:val="24"/>
        </w:rPr>
        <w:t>Ongoing Costs</w:t>
      </w:r>
    </w:p>
    <w:p w:rsidR="00AC69C1" w:rsidRPr="00921C6C" w:rsidP="00EB108E" w14:paraId="13CAAC47" w14:textId="77777777">
      <w:pPr>
        <w:rPr>
          <w:color w:val="000000" w:themeColor="text1"/>
          <w:sz w:val="24"/>
          <w:szCs w:val="24"/>
        </w:rPr>
      </w:pPr>
    </w:p>
    <w:p w:rsidR="76BC4CA6" w:rsidRPr="00921C6C" w:rsidP="001C734E" w14:paraId="58038222" w14:textId="3E3DC06E">
      <w:pPr>
        <w:rPr>
          <w:sz w:val="24"/>
          <w:szCs w:val="24"/>
        </w:rPr>
      </w:pPr>
      <w:r w:rsidRPr="00921C6C">
        <w:rPr>
          <w:color w:val="000000" w:themeColor="text1"/>
          <w:sz w:val="24"/>
          <w:szCs w:val="24"/>
        </w:rPr>
        <w:t xml:space="preserve">The ongoing costs associated with the public disclosure requirements, along with the ongoing compliance with </w:t>
      </w:r>
      <w:r w:rsidR="005E5EDA">
        <w:rPr>
          <w:sz w:val="24"/>
          <w:szCs w:val="24"/>
        </w:rPr>
        <w:t>Section</w:t>
      </w:r>
      <w:r w:rsidRPr="00921C6C" w:rsidR="00BD122B">
        <w:rPr>
          <w:color w:val="000000" w:themeColor="text1"/>
          <w:sz w:val="24"/>
          <w:szCs w:val="24"/>
        </w:rPr>
        <w:t xml:space="preserve"> </w:t>
      </w:r>
      <w:r w:rsidRPr="00921C6C">
        <w:rPr>
          <w:color w:val="000000" w:themeColor="text1"/>
          <w:sz w:val="24"/>
          <w:szCs w:val="24"/>
        </w:rPr>
        <w:t xml:space="preserve">1033.201, for data providers are likely to be minimal, since the one-time costs would cover the creation of an automated system, which will update a public facing website automatically. Ongoing costs related to the public disclosures will likely be minimal for most data providers and would generally only involve updating the public facing website if, for example, the details of their public-facing computer interface changed. </w:t>
      </w:r>
    </w:p>
    <w:p w:rsidR="00A93967" w:rsidRPr="00921C6C" w:rsidP="005F1FFC" w14:paraId="0D6A5C78" w14:textId="4AFC0AFE">
      <w:pPr>
        <w:rPr>
          <w:b/>
          <w:sz w:val="24"/>
          <w:szCs w:val="24"/>
        </w:rPr>
      </w:pPr>
    </w:p>
    <w:p w:rsidR="00F660E8" w:rsidRPr="00921C6C" w:rsidP="00F660E8" w14:paraId="446A24E3" w14:textId="77777777">
      <w:pPr>
        <w:rPr>
          <w:b/>
          <w:sz w:val="24"/>
          <w:szCs w:val="24"/>
        </w:rPr>
      </w:pPr>
      <w:r w:rsidRPr="00921C6C">
        <w:rPr>
          <w:b/>
          <w:sz w:val="24"/>
          <w:szCs w:val="24"/>
        </w:rPr>
        <w:t>13.  Provide an estimate of the total annual cost burden to respondents or record</w:t>
      </w:r>
      <w:r w:rsidRPr="00921C6C" w:rsidR="007E7E37">
        <w:rPr>
          <w:b/>
          <w:sz w:val="24"/>
          <w:szCs w:val="24"/>
        </w:rPr>
        <w:t xml:space="preserve"> </w:t>
      </w:r>
      <w:r w:rsidRPr="00921C6C">
        <w:rPr>
          <w:b/>
          <w:sz w:val="24"/>
          <w:szCs w:val="24"/>
        </w:rPr>
        <w:t>keepers resulting from the collection of information.  (Do not include the cost of any hour burden shown in Items 12 and 14).</w:t>
      </w:r>
    </w:p>
    <w:p w:rsidR="0030039F" w:rsidRPr="00B701B6" w:rsidP="00B701B6" w14:paraId="04E141AC" w14:textId="77777777">
      <w:pPr>
        <w:rPr>
          <w:sz w:val="24"/>
          <w:szCs w:val="24"/>
        </w:rPr>
      </w:pPr>
    </w:p>
    <w:p w:rsidR="00A3232C" w:rsidRPr="00921C6C" w:rsidP="00A3232C" w14:paraId="52AA7BC3" w14:textId="77777777">
      <w:pPr>
        <w:rPr>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2160"/>
        <w:gridCol w:w="2160"/>
        <w:gridCol w:w="2160"/>
        <w:gridCol w:w="2160"/>
      </w:tblGrid>
      <w:tr w14:paraId="0C5650C9" w14:textId="77777777" w:rsidTr="00AE749A">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216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A3232C" w:rsidRPr="00921C6C" w:rsidP="00AE749A" w14:paraId="715ADA7A" w14:textId="77777777">
            <w:pPr>
              <w:jc w:val="center"/>
              <w:rPr>
                <w:color w:val="000000" w:themeColor="text1"/>
                <w:sz w:val="24"/>
                <w:szCs w:val="24"/>
              </w:rPr>
            </w:pPr>
            <w:r w:rsidRPr="00921C6C">
              <w:rPr>
                <w:color w:val="000000" w:themeColor="text1"/>
                <w:sz w:val="24"/>
                <w:szCs w:val="24"/>
              </w:rPr>
              <w:t>Entities</w:t>
            </w:r>
          </w:p>
        </w:tc>
        <w:tc>
          <w:tcPr>
            <w:tcW w:w="216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A3232C" w:rsidRPr="00921C6C" w:rsidP="00AE749A" w14:paraId="457C7713" w14:textId="77777777">
            <w:pPr>
              <w:jc w:val="center"/>
              <w:rPr>
                <w:color w:val="000000" w:themeColor="text1"/>
                <w:sz w:val="24"/>
                <w:szCs w:val="24"/>
              </w:rPr>
            </w:pPr>
            <w:r w:rsidRPr="00921C6C">
              <w:rPr>
                <w:color w:val="000000" w:themeColor="text1"/>
                <w:sz w:val="24"/>
                <w:szCs w:val="24"/>
              </w:rPr>
              <w:t>Number of Entities</w:t>
            </w:r>
          </w:p>
        </w:tc>
        <w:tc>
          <w:tcPr>
            <w:tcW w:w="216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A3232C" w:rsidRPr="00921C6C" w:rsidP="00AE749A" w14:paraId="52F0FE60" w14:textId="77777777">
            <w:pPr>
              <w:jc w:val="center"/>
              <w:rPr>
                <w:color w:val="000000" w:themeColor="text1"/>
                <w:sz w:val="24"/>
                <w:szCs w:val="24"/>
              </w:rPr>
            </w:pPr>
            <w:r w:rsidRPr="00921C6C">
              <w:rPr>
                <w:color w:val="000000" w:themeColor="text1"/>
                <w:sz w:val="24"/>
                <w:szCs w:val="24"/>
              </w:rPr>
              <w:t>Annualized Burden Amount Per Entity</w:t>
            </w:r>
          </w:p>
        </w:tc>
        <w:tc>
          <w:tcPr>
            <w:tcW w:w="216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A3232C" w:rsidRPr="00921C6C" w:rsidP="00AE749A" w14:paraId="025B86FD" w14:textId="77777777">
            <w:pPr>
              <w:jc w:val="center"/>
              <w:rPr>
                <w:color w:val="000000" w:themeColor="text1"/>
                <w:sz w:val="24"/>
                <w:szCs w:val="24"/>
              </w:rPr>
            </w:pPr>
            <w:r w:rsidRPr="00921C6C">
              <w:rPr>
                <w:color w:val="000000" w:themeColor="text1"/>
                <w:sz w:val="24"/>
                <w:szCs w:val="24"/>
              </w:rPr>
              <w:t>Total Annualized Burden (dollars)</w:t>
            </w:r>
          </w:p>
        </w:tc>
      </w:tr>
      <w:tr w14:paraId="606C614E" w14:textId="77777777" w:rsidTr="00AE749A">
        <w:tblPrEx>
          <w:tblW w:w="0" w:type="auto"/>
          <w:tblLayout w:type="fixed"/>
          <w:tblLook w:val="04A0"/>
        </w:tblPrEx>
        <w:trPr>
          <w:trHeight w:val="300"/>
        </w:trPr>
        <w:tc>
          <w:tcPr>
            <w:tcW w:w="2160" w:type="dxa"/>
            <w:tcBorders>
              <w:top w:val="single" w:sz="6" w:space="0" w:color="auto"/>
              <w:left w:val="single" w:sz="6" w:space="0" w:color="auto"/>
              <w:bottom w:val="single" w:sz="6" w:space="0" w:color="auto"/>
              <w:right w:val="single" w:sz="6" w:space="0" w:color="auto"/>
            </w:tcBorders>
            <w:tcMar>
              <w:left w:w="90" w:type="dxa"/>
              <w:right w:w="90" w:type="dxa"/>
            </w:tcMar>
          </w:tcPr>
          <w:p w:rsidR="00A3232C" w:rsidRPr="00921C6C" w:rsidP="00AE749A" w14:paraId="6665DD53" w14:textId="77777777">
            <w:pPr>
              <w:rPr>
                <w:color w:val="000000" w:themeColor="text1"/>
                <w:sz w:val="24"/>
                <w:szCs w:val="24"/>
              </w:rPr>
            </w:pPr>
            <w:r w:rsidRPr="00921C6C">
              <w:rPr>
                <w:color w:val="000000" w:themeColor="text1"/>
                <w:sz w:val="24"/>
                <w:szCs w:val="24"/>
              </w:rPr>
              <w:t>Data Providers</w:t>
            </w:r>
            <w:r>
              <w:rPr>
                <w:color w:val="000000" w:themeColor="text1"/>
                <w:sz w:val="24"/>
                <w:szCs w:val="24"/>
              </w:rPr>
              <w:t>-</w:t>
            </w:r>
            <w:r>
              <w:rPr>
                <w:color w:val="000000" w:themeColor="text1"/>
                <w:sz w:val="24"/>
                <w:szCs w:val="24"/>
              </w:rPr>
              <w:t>one time</w:t>
            </w:r>
            <w:r>
              <w:rPr>
                <w:color w:val="000000" w:themeColor="text1"/>
                <w:sz w:val="24"/>
                <w:szCs w:val="24"/>
              </w:rPr>
              <w:t xml:space="preserve"> costs </w:t>
            </w:r>
          </w:p>
        </w:tc>
        <w:tc>
          <w:tcPr>
            <w:tcW w:w="216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A3232C" w:rsidRPr="00921C6C" w:rsidP="00AE749A" w14:paraId="6CE8B3B9" w14:textId="77777777">
            <w:pPr>
              <w:jc w:val="center"/>
              <w:rPr>
                <w:color w:val="000000" w:themeColor="text1"/>
                <w:sz w:val="24"/>
                <w:szCs w:val="24"/>
              </w:rPr>
            </w:pPr>
            <w:r w:rsidRPr="024F6077">
              <w:rPr>
                <w:color w:val="000000" w:themeColor="text1"/>
                <w:sz w:val="24"/>
                <w:szCs w:val="24"/>
              </w:rPr>
              <w:t>1,339</w:t>
            </w:r>
          </w:p>
        </w:tc>
        <w:tc>
          <w:tcPr>
            <w:tcW w:w="216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A3232C" w:rsidRPr="00921C6C" w:rsidP="00AE749A" w14:paraId="3643B76B" w14:textId="77777777">
            <w:pPr>
              <w:jc w:val="center"/>
              <w:rPr>
                <w:color w:val="000000" w:themeColor="text1"/>
                <w:sz w:val="24"/>
                <w:szCs w:val="24"/>
              </w:rPr>
            </w:pPr>
            <w:r w:rsidRPr="00921C6C">
              <w:rPr>
                <w:color w:val="000000" w:themeColor="text1"/>
                <w:sz w:val="24"/>
                <w:szCs w:val="24"/>
              </w:rPr>
              <w:t>$</w:t>
            </w:r>
            <w:r>
              <w:rPr>
                <w:color w:val="000000" w:themeColor="text1"/>
                <w:sz w:val="24"/>
                <w:szCs w:val="24"/>
              </w:rPr>
              <w:t>16,800</w:t>
            </w:r>
          </w:p>
        </w:tc>
        <w:tc>
          <w:tcPr>
            <w:tcW w:w="216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A3232C" w:rsidRPr="00921C6C" w:rsidP="00AE749A" w14:paraId="5EE05D69" w14:textId="77777777">
            <w:pPr>
              <w:jc w:val="center"/>
              <w:rPr>
                <w:color w:val="000000" w:themeColor="text1"/>
                <w:sz w:val="24"/>
                <w:szCs w:val="24"/>
              </w:rPr>
            </w:pPr>
            <w:r w:rsidRPr="024F6077">
              <w:rPr>
                <w:color w:val="000000" w:themeColor="text1"/>
                <w:sz w:val="24"/>
                <w:szCs w:val="24"/>
              </w:rPr>
              <w:t>$</w:t>
            </w:r>
            <w:r w:rsidRPr="00236ECA">
              <w:rPr>
                <w:color w:val="000000" w:themeColor="text1"/>
                <w:sz w:val="24"/>
                <w:szCs w:val="24"/>
              </w:rPr>
              <w:t>22,495,200</w:t>
            </w:r>
          </w:p>
        </w:tc>
      </w:tr>
      <w:tr w14:paraId="071B0E68" w14:textId="77777777" w:rsidTr="00AE749A">
        <w:tblPrEx>
          <w:tblW w:w="0" w:type="auto"/>
          <w:tblLayout w:type="fixed"/>
          <w:tblLook w:val="04A0"/>
        </w:tblPrEx>
        <w:trPr>
          <w:trHeight w:val="300"/>
        </w:trPr>
        <w:tc>
          <w:tcPr>
            <w:tcW w:w="2160" w:type="dxa"/>
            <w:tcBorders>
              <w:top w:val="single" w:sz="6" w:space="0" w:color="auto"/>
              <w:left w:val="single" w:sz="6" w:space="0" w:color="auto"/>
              <w:bottom w:val="single" w:sz="6" w:space="0" w:color="auto"/>
              <w:right w:val="single" w:sz="6" w:space="0" w:color="auto"/>
            </w:tcBorders>
            <w:tcMar>
              <w:left w:w="90" w:type="dxa"/>
              <w:right w:w="90" w:type="dxa"/>
            </w:tcMar>
          </w:tcPr>
          <w:p w:rsidR="00A3232C" w:rsidRPr="00921C6C" w:rsidP="00AE749A" w14:paraId="38DDD736" w14:textId="77777777">
            <w:pPr>
              <w:rPr>
                <w:color w:val="000000" w:themeColor="text1"/>
                <w:sz w:val="24"/>
                <w:szCs w:val="24"/>
              </w:rPr>
            </w:pPr>
            <w:r>
              <w:rPr>
                <w:color w:val="000000" w:themeColor="text1"/>
                <w:sz w:val="24"/>
                <w:szCs w:val="24"/>
              </w:rPr>
              <w:t>Data Providers-ongoing</w:t>
            </w:r>
          </w:p>
        </w:tc>
        <w:tc>
          <w:tcPr>
            <w:tcW w:w="216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A3232C" w:rsidRPr="024F6077" w:rsidP="00AE749A" w14:paraId="3195FF58" w14:textId="77777777">
            <w:pPr>
              <w:jc w:val="center"/>
              <w:rPr>
                <w:color w:val="000000" w:themeColor="text1"/>
                <w:sz w:val="24"/>
                <w:szCs w:val="24"/>
              </w:rPr>
            </w:pPr>
            <w:r w:rsidRPr="024F6077">
              <w:rPr>
                <w:color w:val="000000" w:themeColor="text1"/>
                <w:sz w:val="24"/>
                <w:szCs w:val="24"/>
              </w:rPr>
              <w:t>1,339</w:t>
            </w:r>
          </w:p>
        </w:tc>
        <w:tc>
          <w:tcPr>
            <w:tcW w:w="216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A3232C" w:rsidRPr="00921C6C" w:rsidP="00AE749A" w14:paraId="6271ACCE" w14:textId="77777777">
            <w:pPr>
              <w:jc w:val="center"/>
              <w:rPr>
                <w:color w:val="000000" w:themeColor="text1"/>
                <w:sz w:val="24"/>
                <w:szCs w:val="24"/>
              </w:rPr>
            </w:pPr>
            <w:r>
              <w:rPr>
                <w:color w:val="000000" w:themeColor="text1"/>
                <w:sz w:val="24"/>
                <w:szCs w:val="24"/>
              </w:rPr>
              <w:t>4,200</w:t>
            </w:r>
          </w:p>
        </w:tc>
        <w:tc>
          <w:tcPr>
            <w:tcW w:w="216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A3232C" w:rsidRPr="024F6077" w:rsidP="00AE749A" w14:paraId="3DFF52DF" w14:textId="77777777">
            <w:pPr>
              <w:jc w:val="center"/>
              <w:rPr>
                <w:color w:val="000000" w:themeColor="text1"/>
                <w:sz w:val="24"/>
                <w:szCs w:val="24"/>
              </w:rPr>
            </w:pPr>
            <w:r w:rsidRPr="00236ECA">
              <w:rPr>
                <w:color w:val="000000" w:themeColor="text1"/>
                <w:sz w:val="24"/>
                <w:szCs w:val="24"/>
              </w:rPr>
              <w:t>5,623,800</w:t>
            </w:r>
          </w:p>
        </w:tc>
      </w:tr>
    </w:tbl>
    <w:p w:rsidR="00A3232C" w:rsidRPr="00921C6C" w:rsidP="00A3232C" w14:paraId="340453A5" w14:textId="77777777">
      <w:pPr>
        <w:rPr>
          <w:color w:val="000000" w:themeColor="text1"/>
          <w:sz w:val="24"/>
          <w:szCs w:val="24"/>
        </w:rPr>
      </w:pPr>
      <w:r w:rsidRPr="024F6077">
        <w:rPr>
          <w:b/>
          <w:bCs/>
          <w:color w:val="000000" w:themeColor="text1"/>
          <w:sz w:val="24"/>
          <w:szCs w:val="24"/>
        </w:rPr>
        <w:t>Total Ongoing Contract Cost of Recordkeeping</w:t>
      </w:r>
      <w:r>
        <w:rPr>
          <w:b/>
          <w:bCs/>
          <w:color w:val="000000" w:themeColor="text1"/>
          <w:sz w:val="24"/>
          <w:szCs w:val="24"/>
        </w:rPr>
        <w:t xml:space="preserve"> and Disclosure Systems</w:t>
      </w:r>
      <w:r w:rsidRPr="024F6077">
        <w:rPr>
          <w:b/>
          <w:bCs/>
          <w:color w:val="000000" w:themeColor="text1"/>
          <w:sz w:val="24"/>
          <w:szCs w:val="24"/>
        </w:rPr>
        <w:t xml:space="preserve"> for all Data Providers: $</w:t>
      </w:r>
      <w:r w:rsidRPr="00236ECA">
        <w:rPr>
          <w:b/>
          <w:bCs/>
          <w:color w:val="000000" w:themeColor="text1"/>
          <w:sz w:val="24"/>
          <w:szCs w:val="24"/>
        </w:rPr>
        <w:t>28,119,000</w:t>
      </w:r>
    </w:p>
    <w:p w:rsidR="00A3232C" w:rsidP="024F6077" w14:paraId="1326CD9B" w14:textId="77777777">
      <w:pPr>
        <w:rPr>
          <w:color w:val="000000" w:themeColor="text1"/>
          <w:sz w:val="24"/>
          <w:szCs w:val="24"/>
        </w:rPr>
      </w:pPr>
    </w:p>
    <w:p w:rsidR="00CA1033" w:rsidRPr="00921C6C" w:rsidP="024F6077" w14:paraId="57966C09" w14:textId="780FD9E3">
      <w:pPr>
        <w:rPr>
          <w:color w:val="000000" w:themeColor="text1"/>
          <w:sz w:val="24"/>
          <w:szCs w:val="24"/>
        </w:rPr>
      </w:pPr>
      <w:r w:rsidRPr="024F6077">
        <w:rPr>
          <w:color w:val="000000" w:themeColor="text1"/>
          <w:sz w:val="24"/>
          <w:szCs w:val="24"/>
        </w:rPr>
        <w:t xml:space="preserve">The Bureau anticipates that 75% of all data providers will contract for the creation and maintenance of their record keeping systems through vendors. Therefore, these providers will have the additional ongoing cost of contracting with these vendors. The Bureau understands that vendor fees vary, but the midpoint is expected to be around $42,000 a year. The Bureau estimates that 25% of these costs </w:t>
      </w:r>
      <w:r w:rsidRPr="024F6077" w:rsidR="008F17CD">
        <w:rPr>
          <w:color w:val="000000" w:themeColor="text1"/>
          <w:sz w:val="24"/>
          <w:szCs w:val="24"/>
        </w:rPr>
        <w:t>(</w:t>
      </w:r>
      <w:r w:rsidRPr="024F6077">
        <w:rPr>
          <w:color w:val="000000" w:themeColor="text1"/>
          <w:sz w:val="24"/>
          <w:szCs w:val="24"/>
        </w:rPr>
        <w:t>$10,500</w:t>
      </w:r>
      <w:r w:rsidRPr="024F6077" w:rsidR="008F17CD">
        <w:rPr>
          <w:color w:val="000000" w:themeColor="text1"/>
          <w:sz w:val="24"/>
          <w:szCs w:val="24"/>
        </w:rPr>
        <w:t>)</w:t>
      </w:r>
      <w:r w:rsidRPr="024F6077">
        <w:rPr>
          <w:color w:val="000000" w:themeColor="text1"/>
          <w:sz w:val="24"/>
          <w:szCs w:val="24"/>
        </w:rPr>
        <w:t xml:space="preserve"> are record keeping burden under the PRA</w:t>
      </w:r>
      <w:r w:rsidR="00A43AD1">
        <w:rPr>
          <w:color w:val="000000" w:themeColor="text1"/>
          <w:sz w:val="24"/>
          <w:szCs w:val="24"/>
        </w:rPr>
        <w:t xml:space="preserve"> and a</w:t>
      </w:r>
      <w:r w:rsidR="00236ECA">
        <w:rPr>
          <w:color w:val="000000" w:themeColor="text1"/>
          <w:sz w:val="24"/>
          <w:szCs w:val="24"/>
        </w:rPr>
        <w:t>nother</w:t>
      </w:r>
      <w:r w:rsidR="00A43AD1">
        <w:rPr>
          <w:color w:val="000000" w:themeColor="text1"/>
          <w:sz w:val="24"/>
          <w:szCs w:val="24"/>
        </w:rPr>
        <w:t xml:space="preserve"> 25% is attributable to the costs of </w:t>
      </w:r>
      <w:r w:rsidR="00236ECA">
        <w:rPr>
          <w:color w:val="000000" w:themeColor="text1"/>
          <w:sz w:val="24"/>
          <w:szCs w:val="24"/>
        </w:rPr>
        <w:t>creating  systems</w:t>
      </w:r>
      <w:r w:rsidR="00236ECA">
        <w:rPr>
          <w:color w:val="000000" w:themeColor="text1"/>
          <w:sz w:val="24"/>
          <w:szCs w:val="24"/>
        </w:rPr>
        <w:t xml:space="preserve"> to </w:t>
      </w:r>
      <w:r w:rsidR="00A43AD1">
        <w:rPr>
          <w:color w:val="000000" w:themeColor="text1"/>
          <w:sz w:val="24"/>
          <w:szCs w:val="24"/>
        </w:rPr>
        <w:t>providing the disclosure</w:t>
      </w:r>
      <w:r w:rsidR="00236ECA">
        <w:rPr>
          <w:color w:val="000000" w:themeColor="text1"/>
          <w:sz w:val="24"/>
          <w:szCs w:val="24"/>
        </w:rPr>
        <w:t>s</w:t>
      </w:r>
      <w:r w:rsidR="00A43AD1">
        <w:rPr>
          <w:color w:val="000000" w:themeColor="text1"/>
          <w:sz w:val="24"/>
          <w:szCs w:val="24"/>
        </w:rPr>
        <w:t xml:space="preserve"> required under this rule</w:t>
      </w:r>
      <w:r w:rsidRPr="024F6077">
        <w:rPr>
          <w:color w:val="000000" w:themeColor="text1"/>
          <w:sz w:val="24"/>
          <w:szCs w:val="24"/>
        </w:rPr>
        <w:t xml:space="preserve">. The total annualized PRA burden for data providers that contract with vendors to produce their systems is </w:t>
      </w:r>
      <w:r w:rsidRPr="024F6077" w:rsidR="7B3EC680">
        <w:rPr>
          <w:b/>
          <w:bCs/>
          <w:color w:val="000000" w:themeColor="text1"/>
          <w:sz w:val="24"/>
          <w:szCs w:val="24"/>
        </w:rPr>
        <w:t>$</w:t>
      </w:r>
      <w:r w:rsidRPr="00236ECA" w:rsidR="00236ECA">
        <w:t xml:space="preserve"> </w:t>
      </w:r>
      <w:r w:rsidRPr="00236ECA" w:rsidR="00236ECA">
        <w:rPr>
          <w:b/>
          <w:bCs/>
          <w:color w:val="000000" w:themeColor="text1"/>
          <w:sz w:val="24"/>
          <w:szCs w:val="24"/>
        </w:rPr>
        <w:t>28,119,000</w:t>
      </w:r>
      <w:r w:rsidRPr="024F6077">
        <w:rPr>
          <w:color w:val="000000" w:themeColor="text1"/>
          <w:sz w:val="24"/>
          <w:szCs w:val="24"/>
        </w:rPr>
        <w:t>.</w:t>
      </w:r>
      <w:r w:rsidR="00A43AD1">
        <w:rPr>
          <w:color w:val="000000" w:themeColor="text1"/>
          <w:sz w:val="24"/>
          <w:szCs w:val="24"/>
        </w:rPr>
        <w:t xml:space="preserve">  Further the Bureau </w:t>
      </w:r>
      <w:r w:rsidR="00236ECA">
        <w:rPr>
          <w:color w:val="000000" w:themeColor="text1"/>
          <w:sz w:val="24"/>
          <w:szCs w:val="24"/>
        </w:rPr>
        <w:t>estimates that 20% of this total ($</w:t>
      </w:r>
      <w:r w:rsidRPr="00236ECA" w:rsidR="00236ECA">
        <w:rPr>
          <w:color w:val="000000" w:themeColor="text1"/>
          <w:sz w:val="24"/>
          <w:szCs w:val="24"/>
        </w:rPr>
        <w:t>5,623,800</w:t>
      </w:r>
      <w:r w:rsidRPr="00236ECA" w:rsidR="00236ECA">
        <w:rPr>
          <w:color w:val="000000" w:themeColor="text1"/>
          <w:sz w:val="24"/>
          <w:szCs w:val="24"/>
        </w:rPr>
        <w:t xml:space="preserve"> </w:t>
      </w:r>
      <w:r w:rsidR="00236ECA">
        <w:rPr>
          <w:color w:val="000000" w:themeColor="text1"/>
          <w:sz w:val="24"/>
          <w:szCs w:val="24"/>
        </w:rPr>
        <w:t>)will</w:t>
      </w:r>
      <w:r w:rsidR="00236ECA">
        <w:rPr>
          <w:color w:val="000000" w:themeColor="text1"/>
          <w:sz w:val="24"/>
          <w:szCs w:val="24"/>
        </w:rPr>
        <w:t xml:space="preserve"> be one-time costs associated with acquiring and developing these systems and the remainder will be ongoing</w:t>
      </w:r>
    </w:p>
    <w:p w:rsidR="00CA1033" w:rsidP="00CA1033" w14:paraId="40BB7D6C" w14:textId="77777777">
      <w:pPr>
        <w:rPr>
          <w:color w:val="000000" w:themeColor="text1"/>
          <w:sz w:val="24"/>
          <w:szCs w:val="24"/>
        </w:rPr>
      </w:pPr>
    </w:p>
    <w:p w:rsidR="00DE6B63" w:rsidRPr="00921C6C" w:rsidP="00F127E5" w14:paraId="153CB39F" w14:textId="77777777">
      <w:pPr>
        <w:rPr>
          <w:sz w:val="24"/>
          <w:szCs w:val="24"/>
        </w:rPr>
      </w:pPr>
    </w:p>
    <w:p w:rsidR="00F660E8" w:rsidRPr="00921C6C"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921C6C">
        <w:rPr>
          <w:b/>
          <w:sz w:val="24"/>
          <w:szCs w:val="24"/>
        </w:rPr>
        <w:t xml:space="preserve">14.  </w:t>
      </w:r>
      <w:r w:rsidRPr="00921C6C">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921C6C">
        <w:rPr>
          <w:sz w:val="24"/>
          <w:szCs w:val="24"/>
        </w:rPr>
        <w:t xml:space="preserve"> </w:t>
      </w:r>
      <w:r w:rsidRPr="00921C6C">
        <w:rPr>
          <w:b/>
          <w:bCs/>
          <w:sz w:val="24"/>
          <w:szCs w:val="24"/>
        </w:rPr>
        <w:t>without this collection of information.  Agencies also may aggregate cost estimates from Items 12, 13, and 14 into a single table.</w:t>
      </w:r>
    </w:p>
    <w:p w:rsidR="00F127E5" w:rsidRPr="00921C6C" w:rsidP="00F127E5" w14:paraId="4F97297C" w14:textId="77777777">
      <w:pPr>
        <w:rPr>
          <w:sz w:val="24"/>
          <w:szCs w:val="24"/>
        </w:rPr>
      </w:pPr>
    </w:p>
    <w:p w:rsidR="00B77C95" w:rsidRPr="00921C6C" w:rsidP="00CF45E5" w14:paraId="2A4CF198" w14:textId="3874DB36">
      <w:pPr>
        <w:rPr>
          <w:sz w:val="24"/>
          <w:szCs w:val="24"/>
        </w:rPr>
      </w:pPr>
      <w:r w:rsidRPr="00921C6C">
        <w:rPr>
          <w:sz w:val="24"/>
          <w:szCs w:val="24"/>
        </w:rPr>
        <w:t xml:space="preserve">There are not costs to the Federal Government, as the Bureau does not collect any information under this rule.  </w:t>
      </w:r>
    </w:p>
    <w:p w:rsidR="00F127E5" w:rsidRPr="00921C6C" w:rsidP="00F127E5" w14:paraId="751F6976" w14:textId="77777777">
      <w:pPr>
        <w:rPr>
          <w:sz w:val="24"/>
          <w:szCs w:val="24"/>
        </w:rPr>
      </w:pPr>
    </w:p>
    <w:p w:rsidR="00F660E8" w:rsidRPr="00921C6C" w:rsidP="00F660E8" w14:paraId="2B232019" w14:textId="77777777">
      <w:pPr>
        <w:rPr>
          <w:b/>
          <w:sz w:val="24"/>
          <w:szCs w:val="24"/>
        </w:rPr>
      </w:pPr>
      <w:r w:rsidRPr="00921C6C">
        <w:rPr>
          <w:b/>
          <w:sz w:val="24"/>
          <w:szCs w:val="24"/>
        </w:rPr>
        <w:t xml:space="preserve">15.  </w:t>
      </w:r>
      <w:r w:rsidRPr="00921C6C">
        <w:rPr>
          <w:b/>
          <w:bCs/>
          <w:sz w:val="24"/>
          <w:szCs w:val="24"/>
        </w:rPr>
        <w:t>Explain the reasons for any program changes or adjustments.</w:t>
      </w:r>
    </w:p>
    <w:p w:rsidR="005F1FFC" w:rsidRPr="00921C6C" w:rsidP="005F1FFC" w14:paraId="7D933924" w14:textId="0397CA5B">
      <w:pPr>
        <w:numPr>
          <w:ilvl w:val="12"/>
          <w:numId w:val="0"/>
        </w:numPr>
        <w:rPr>
          <w:sz w:val="24"/>
          <w:szCs w:val="24"/>
        </w:rPr>
      </w:pPr>
    </w:p>
    <w:p w:rsidR="00294D3C" w:rsidRPr="00921C6C" w:rsidP="00294D3C" w14:paraId="7A1DE968" w14:textId="4A1D3744">
      <w:pPr>
        <w:rPr>
          <w:sz w:val="24"/>
          <w:szCs w:val="24"/>
        </w:rPr>
      </w:pPr>
      <w:r w:rsidRPr="00921C6C">
        <w:rPr>
          <w:sz w:val="24"/>
          <w:szCs w:val="24"/>
        </w:rPr>
        <w:t xml:space="preserve">There are neither program changes </w:t>
      </w:r>
      <w:r w:rsidRPr="00921C6C" w:rsidR="00CE221D">
        <w:rPr>
          <w:sz w:val="24"/>
          <w:szCs w:val="24"/>
        </w:rPr>
        <w:t>nor</w:t>
      </w:r>
      <w:r w:rsidRPr="00921C6C">
        <w:rPr>
          <w:sz w:val="24"/>
          <w:szCs w:val="24"/>
        </w:rPr>
        <w:t xml:space="preserve"> adjustments to an existing information collection.  </w:t>
      </w:r>
    </w:p>
    <w:p w:rsidR="00294D3C" w:rsidRPr="00921C6C" w:rsidP="00294D3C" w14:paraId="00A6A220" w14:textId="77777777">
      <w:pPr>
        <w:rPr>
          <w:sz w:val="24"/>
          <w:szCs w:val="24"/>
        </w:rPr>
      </w:pPr>
    </w:p>
    <w:p w:rsidR="00807138" w:rsidRPr="00921C6C" w:rsidP="00294D3C" w14:paraId="3865CF72" w14:textId="1F3F6B32">
      <w:pPr>
        <w:rPr>
          <w:color w:val="000000" w:themeColor="text1"/>
          <w:sz w:val="24"/>
          <w:szCs w:val="24"/>
        </w:rPr>
      </w:pPr>
      <w:r w:rsidRPr="41D6112F">
        <w:rPr>
          <w:sz w:val="24"/>
          <w:szCs w:val="24"/>
        </w:rPr>
        <w:t>This is a</w:t>
      </w:r>
      <w:r w:rsidRPr="41D6112F" w:rsidR="26E5B166">
        <w:rPr>
          <w:sz w:val="24"/>
          <w:szCs w:val="24"/>
        </w:rPr>
        <w:t xml:space="preserve"> new information collection</w:t>
      </w:r>
      <w:r w:rsidRPr="41D6112F">
        <w:rPr>
          <w:sz w:val="24"/>
          <w:szCs w:val="24"/>
        </w:rPr>
        <w:t xml:space="preserve">. </w:t>
      </w:r>
      <w:r w:rsidRPr="41D6112F" w:rsidR="7C681279">
        <w:rPr>
          <w:color w:val="000000" w:themeColor="text1"/>
          <w:sz w:val="24"/>
          <w:szCs w:val="24"/>
        </w:rPr>
        <w:t xml:space="preserve">The rule is a new regulation and has both one-time and ongoing burden hours and costs. Regarding the </w:t>
      </w:r>
      <w:r w:rsidRPr="41D6112F" w:rsidR="7AD33D31">
        <w:rPr>
          <w:color w:val="000000" w:themeColor="text1"/>
          <w:sz w:val="24"/>
          <w:szCs w:val="24"/>
        </w:rPr>
        <w:t>requested annual burden</w:t>
      </w:r>
      <w:r w:rsidRPr="41D6112F" w:rsidR="1338EFCB">
        <w:rPr>
          <w:color w:val="000000" w:themeColor="text1"/>
          <w:sz w:val="24"/>
          <w:szCs w:val="24"/>
        </w:rPr>
        <w:t xml:space="preserve"> (accounting for </w:t>
      </w:r>
      <w:r w:rsidRPr="41D6112F" w:rsidR="7C681279">
        <w:rPr>
          <w:color w:val="000000" w:themeColor="text1"/>
          <w:sz w:val="24"/>
          <w:szCs w:val="24"/>
        </w:rPr>
        <w:t>both one-time and ongoing costs</w:t>
      </w:r>
      <w:r w:rsidRPr="41D6112F" w:rsidR="1338EFCB">
        <w:rPr>
          <w:color w:val="000000" w:themeColor="text1"/>
          <w:sz w:val="24"/>
          <w:szCs w:val="24"/>
        </w:rPr>
        <w:t>)</w:t>
      </w:r>
      <w:r w:rsidRPr="41D6112F" w:rsidR="7C681279">
        <w:rPr>
          <w:color w:val="000000" w:themeColor="text1"/>
          <w:sz w:val="24"/>
          <w:szCs w:val="24"/>
        </w:rPr>
        <w:t xml:space="preserve"> </w:t>
      </w:r>
      <w:r w:rsidRPr="41D6112F" w:rsidR="1338EFCB">
        <w:rPr>
          <w:color w:val="000000" w:themeColor="text1"/>
          <w:sz w:val="24"/>
          <w:szCs w:val="24"/>
        </w:rPr>
        <w:t xml:space="preserve">approximately </w:t>
      </w:r>
      <w:r w:rsidRPr="41D6112F" w:rsidR="697A1730">
        <w:rPr>
          <w:color w:val="000000" w:themeColor="text1"/>
          <w:sz w:val="24"/>
          <w:szCs w:val="24"/>
        </w:rPr>
        <w:t>80</w:t>
      </w:r>
      <w:r w:rsidRPr="41D6112F" w:rsidR="7C681279">
        <w:rPr>
          <w:color w:val="000000" w:themeColor="text1"/>
          <w:sz w:val="24"/>
          <w:szCs w:val="24"/>
        </w:rPr>
        <w:t xml:space="preserve">% of the total is comprised of the one-time </w:t>
      </w:r>
      <w:r w:rsidRPr="41D6112F" w:rsidR="1338EFCB">
        <w:rPr>
          <w:color w:val="000000" w:themeColor="text1"/>
          <w:sz w:val="24"/>
          <w:szCs w:val="24"/>
        </w:rPr>
        <w:t xml:space="preserve">(implementation) </w:t>
      </w:r>
      <w:r w:rsidRPr="41D6112F" w:rsidR="7C681279">
        <w:rPr>
          <w:color w:val="000000" w:themeColor="text1"/>
          <w:sz w:val="24"/>
          <w:szCs w:val="24"/>
        </w:rPr>
        <w:t xml:space="preserve">burden hours with the remaining </w:t>
      </w:r>
      <w:r w:rsidRPr="41D6112F" w:rsidR="02446211">
        <w:rPr>
          <w:color w:val="000000" w:themeColor="text1"/>
          <w:sz w:val="24"/>
          <w:szCs w:val="24"/>
        </w:rPr>
        <w:t>20%</w:t>
      </w:r>
      <w:r w:rsidRPr="41D6112F" w:rsidR="7C681279">
        <w:rPr>
          <w:color w:val="000000" w:themeColor="text1"/>
          <w:sz w:val="24"/>
          <w:szCs w:val="24"/>
        </w:rPr>
        <w:t xml:space="preserve"> being comprised of the ongoing burden hours.</w:t>
      </w:r>
    </w:p>
    <w:p w:rsidR="00A93967" w:rsidRPr="00921C6C" w:rsidP="00253FF0" w14:paraId="52F188B0" w14:textId="77777777">
      <w:pPr>
        <w:rPr>
          <w:sz w:val="24"/>
          <w:szCs w:val="24"/>
        </w:rPr>
      </w:pPr>
    </w:p>
    <w:p w:rsidR="00F660E8" w:rsidRPr="00921C6C" w:rsidP="00F660E8" w14:paraId="1715AB5F" w14:textId="77777777">
      <w:pPr>
        <w:rPr>
          <w:b/>
          <w:sz w:val="24"/>
          <w:szCs w:val="24"/>
        </w:rPr>
      </w:pPr>
      <w:r w:rsidRPr="00921C6C">
        <w:rPr>
          <w:b/>
          <w:sz w:val="24"/>
          <w:szCs w:val="24"/>
        </w:rPr>
        <w:t>16.  F</w:t>
      </w:r>
      <w:r w:rsidRPr="00921C6C">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921C6C">
        <w:rPr>
          <w:sz w:val="24"/>
          <w:szCs w:val="24"/>
        </w:rPr>
        <w:t>.</w:t>
      </w:r>
    </w:p>
    <w:p w:rsidR="00F127E5" w:rsidRPr="00921C6C" w:rsidP="00F127E5" w14:paraId="6DE5431E" w14:textId="77777777">
      <w:pPr>
        <w:rPr>
          <w:sz w:val="24"/>
          <w:szCs w:val="24"/>
        </w:rPr>
      </w:pPr>
    </w:p>
    <w:p w:rsidR="00F127E5" w:rsidRPr="00921C6C" w:rsidP="00F127E5" w14:paraId="0F4CC0C0" w14:textId="47569EB3">
      <w:pPr>
        <w:rPr>
          <w:sz w:val="24"/>
          <w:szCs w:val="24"/>
        </w:rPr>
      </w:pPr>
      <w:r w:rsidRPr="00921C6C">
        <w:rPr>
          <w:sz w:val="24"/>
          <w:szCs w:val="24"/>
        </w:rPr>
        <w:t xml:space="preserve">This information collection </w:t>
      </w:r>
      <w:r w:rsidRPr="00921C6C" w:rsidR="004D199D">
        <w:rPr>
          <w:sz w:val="24"/>
          <w:szCs w:val="24"/>
        </w:rPr>
        <w:t>will not have any results published</w:t>
      </w:r>
      <w:r w:rsidRPr="00921C6C" w:rsidR="00AF0BFA">
        <w:rPr>
          <w:sz w:val="24"/>
          <w:szCs w:val="24"/>
        </w:rPr>
        <w:t>.</w:t>
      </w:r>
      <w:r w:rsidRPr="00921C6C" w:rsidR="004D199D">
        <w:rPr>
          <w:sz w:val="24"/>
          <w:szCs w:val="24"/>
        </w:rPr>
        <w:t xml:space="preserve"> </w:t>
      </w:r>
      <w:r w:rsidRPr="00921C6C" w:rsidR="00AF0BFA">
        <w:rPr>
          <w:sz w:val="24"/>
          <w:szCs w:val="24"/>
        </w:rPr>
        <w:t>T</w:t>
      </w:r>
      <w:r w:rsidRPr="00921C6C" w:rsidR="00256A10">
        <w:rPr>
          <w:sz w:val="24"/>
          <w:szCs w:val="24"/>
        </w:rPr>
        <w:t xml:space="preserve">he Bureau does not collect any information under this rule.  </w:t>
      </w:r>
    </w:p>
    <w:p w:rsidR="005833D6" w:rsidRPr="00921C6C" w:rsidP="00F127E5" w14:paraId="4B5E32C8" w14:textId="77777777">
      <w:pPr>
        <w:rPr>
          <w:sz w:val="24"/>
          <w:szCs w:val="24"/>
        </w:rPr>
      </w:pPr>
    </w:p>
    <w:p w:rsidR="00F660E8" w:rsidRPr="00921C6C" w:rsidP="00F660E8" w14:paraId="7F4F1EB6" w14:textId="77777777">
      <w:pPr>
        <w:rPr>
          <w:b/>
          <w:sz w:val="24"/>
          <w:szCs w:val="24"/>
        </w:rPr>
      </w:pPr>
      <w:r w:rsidRPr="00921C6C">
        <w:rPr>
          <w:b/>
          <w:sz w:val="24"/>
          <w:szCs w:val="24"/>
        </w:rPr>
        <w:t>17.  I</w:t>
      </w:r>
      <w:r w:rsidRPr="00921C6C">
        <w:rPr>
          <w:b/>
          <w:bCs/>
          <w:sz w:val="24"/>
          <w:szCs w:val="24"/>
        </w:rPr>
        <w:t>f seeking approval to not display the expiration date for OMB approval of the information collection, explain the reasons that display would be inappropriate</w:t>
      </w:r>
      <w:r w:rsidRPr="00921C6C">
        <w:rPr>
          <w:b/>
          <w:sz w:val="24"/>
          <w:szCs w:val="24"/>
        </w:rPr>
        <w:t>.</w:t>
      </w:r>
    </w:p>
    <w:p w:rsidR="005F1FFC" w:rsidRPr="00921C6C" w:rsidP="005F1FFC" w14:paraId="195A2521" w14:textId="77777777">
      <w:pPr>
        <w:rPr>
          <w:sz w:val="24"/>
          <w:szCs w:val="24"/>
        </w:rPr>
      </w:pPr>
    </w:p>
    <w:p w:rsidR="007C06C4" w:rsidRPr="00921C6C" w:rsidP="005C2BE3" w14:paraId="7CF83582" w14:textId="3E1EB6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1C6C">
        <w:rPr>
          <w:sz w:val="24"/>
          <w:szCs w:val="24"/>
        </w:rPr>
        <w:t xml:space="preserve">The OMB control number and expiration date associated with this PRA submission will be displayed on the Federal government’s electronic PRA docket at </w:t>
      </w:r>
      <w:hyperlink r:id="rId9" w:history="1">
        <w:r w:rsidRPr="00921C6C">
          <w:rPr>
            <w:rStyle w:val="Hyperlink"/>
            <w:sz w:val="24"/>
            <w:szCs w:val="24"/>
          </w:rPr>
          <w:t>www.reginfo.gov</w:t>
        </w:r>
      </w:hyperlink>
      <w:r w:rsidRPr="00921C6C">
        <w:rPr>
          <w:sz w:val="24"/>
          <w:szCs w:val="24"/>
        </w:rPr>
        <w:t>, as well as in the Code of Federal Regulations.  There are no required forms or other documents upon which display of the control number and expiration date would be appropriate.</w:t>
      </w:r>
    </w:p>
    <w:p w:rsidR="00A93967" w:rsidRPr="00921C6C" w:rsidP="003E083F" w14:paraId="58CE7FA0" w14:textId="77777777">
      <w:pPr>
        <w:rPr>
          <w:sz w:val="24"/>
          <w:szCs w:val="24"/>
        </w:rPr>
      </w:pPr>
    </w:p>
    <w:p w:rsidR="00F660E8" w:rsidRPr="00921C6C" w:rsidP="00F660E8" w14:paraId="0503086D" w14:textId="77777777">
      <w:pPr>
        <w:rPr>
          <w:b/>
          <w:sz w:val="24"/>
          <w:szCs w:val="24"/>
        </w:rPr>
      </w:pPr>
      <w:r w:rsidRPr="00921C6C">
        <w:rPr>
          <w:b/>
          <w:sz w:val="24"/>
          <w:szCs w:val="24"/>
        </w:rPr>
        <w:t>18.  Explain each exception to the certification statement.</w:t>
      </w:r>
    </w:p>
    <w:p w:rsidR="00F127E5" w:rsidRPr="00921C6C" w:rsidP="00F127E5" w14:paraId="09F7441B" w14:textId="77777777">
      <w:pPr>
        <w:rPr>
          <w:sz w:val="24"/>
          <w:szCs w:val="24"/>
        </w:rPr>
      </w:pPr>
    </w:p>
    <w:p w:rsidR="005309BC" w:rsidRPr="00921C6C" w:rsidP="005309BC" w14:paraId="42D02DE3" w14:textId="43FEB0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1C6C">
        <w:rPr>
          <w:sz w:val="24"/>
          <w:szCs w:val="24"/>
        </w:rPr>
        <w:t xml:space="preserve">The Bureau certifies that this collection of information is consistent with the requirements of 5 CFR </w:t>
      </w:r>
      <w:r w:rsidRPr="00921C6C" w:rsidR="009B0C3C">
        <w:rPr>
          <w:sz w:val="24"/>
          <w:szCs w:val="24"/>
        </w:rPr>
        <w:t>Part</w:t>
      </w:r>
      <w:r w:rsidRPr="00921C6C">
        <w:rPr>
          <w:sz w:val="24"/>
          <w:szCs w:val="24"/>
        </w:rPr>
        <w:t xml:space="preserve"> 1320.9, and the related provisions of 5 CFR </w:t>
      </w:r>
      <w:r w:rsidRPr="00921C6C" w:rsidR="009B0C3C">
        <w:rPr>
          <w:sz w:val="24"/>
          <w:szCs w:val="24"/>
        </w:rPr>
        <w:t>Part</w:t>
      </w:r>
      <w:r w:rsidRPr="00921C6C">
        <w:rPr>
          <w:sz w:val="24"/>
          <w:szCs w:val="24"/>
        </w:rPr>
        <w:t xml:space="preserve"> 1320.8(b)(3) and is not seeking an exemption to these certification requirements.</w:t>
      </w:r>
    </w:p>
    <w:p w:rsidR="00CA6DAB" w:rsidRPr="00921C6C" w:rsidP="00F127E5" w14:paraId="235F0EA3" w14:textId="3EB6B3BB">
      <w:pPr>
        <w:pStyle w:val="BodyText"/>
        <w:rPr>
          <w:szCs w:val="24"/>
        </w:rPr>
      </w:pPr>
    </w:p>
    <w:sectPr w:rsidSect="0079547E">
      <w:headerReference w:type="default" r:id="rId10"/>
      <w:footerReference w:type="default" r:id="rId11"/>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4DD5" w:rsidP="0079547E" w14:paraId="17530E6B" w14:textId="77777777">
      <w:r>
        <w:separator/>
      </w:r>
    </w:p>
  </w:footnote>
  <w:footnote w:type="continuationSeparator" w:id="1">
    <w:p w:rsidR="00554DD5" w:rsidP="0079547E" w14:paraId="4D2C446D" w14:textId="77777777">
      <w:r>
        <w:continuationSeparator/>
      </w:r>
    </w:p>
  </w:footnote>
  <w:footnote w:type="continuationNotice" w:id="2">
    <w:p w:rsidR="00554DD5" w14:paraId="49FAC4A1" w14:textId="77777777"/>
  </w:footnote>
  <w:footnote w:id="3">
    <w:p w:rsidR="00A3104F" w:rsidP="00A3104F" w14:paraId="7FA3F36E" w14:textId="77777777">
      <w:pPr>
        <w:pStyle w:val="FootnoteText"/>
      </w:pPr>
      <w:r>
        <w:rPr>
          <w:rStyle w:val="FootnoteReference"/>
        </w:rPr>
        <w:footnoteRef/>
      </w:r>
      <w:r>
        <w:t xml:space="preserve"> The CFPA is title X of the Dodd-Frank Wall Street Reform and Consumer Protection Act, </w:t>
      </w:r>
      <w:r w:rsidRPr="00605CEC">
        <w:t>Pub. L. 111-203, 124 Stat. 1376</w:t>
      </w:r>
      <w:r>
        <w:t>, 2008</w:t>
      </w:r>
      <w:r w:rsidRPr="00605CEC">
        <w:t xml:space="preserve"> (2010)</w:t>
      </w:r>
      <w:r>
        <w:t>.</w:t>
      </w:r>
    </w:p>
  </w:footnote>
  <w:footnote w:id="4">
    <w:p w:rsidR="008458EA" w14:paraId="0711F4EA" w14:textId="2ADC7DEE">
      <w:pPr>
        <w:pStyle w:val="FootnoteText"/>
      </w:pPr>
      <w:r>
        <w:rPr>
          <w:rStyle w:val="FootnoteReference"/>
        </w:rPr>
        <w:footnoteRef/>
      </w:r>
      <w:r>
        <w:t xml:space="preserve"> </w:t>
      </w:r>
      <w:r w:rsidR="00B53A62">
        <w:rPr>
          <w:rStyle w:val="normaltextrun"/>
          <w:color w:val="000000"/>
          <w:shd w:val="clear" w:color="auto" w:fill="FFFFFF"/>
        </w:rPr>
        <w:t>The</w:t>
      </w:r>
      <w:r>
        <w:rPr>
          <w:rStyle w:val="normaltextrun"/>
          <w:color w:val="000000"/>
          <w:shd w:val="clear" w:color="auto" w:fill="FFFFFF"/>
        </w:rPr>
        <w:t xml:space="preserve"> CFPB </w:t>
      </w:r>
      <w:r w:rsidR="00B53A62">
        <w:rPr>
          <w:rStyle w:val="normaltextrun"/>
          <w:color w:val="000000"/>
          <w:shd w:val="clear" w:color="auto" w:fill="FFFFFF"/>
        </w:rPr>
        <w:t>formally created</w:t>
      </w:r>
      <w:r>
        <w:rPr>
          <w:rStyle w:val="normaltextrun"/>
          <w:color w:val="000000"/>
          <w:shd w:val="clear" w:color="auto" w:fill="FFFFFF"/>
        </w:rPr>
        <w:t xml:space="preserve"> part 1033 </w:t>
      </w:r>
      <w:r w:rsidR="00B53A62">
        <w:rPr>
          <w:rStyle w:val="normaltextrun"/>
          <w:color w:val="000000"/>
          <w:shd w:val="clear" w:color="auto" w:fill="FFFFFF"/>
        </w:rPr>
        <w:t>in a separate final rule</w:t>
      </w:r>
      <w:r>
        <w:rPr>
          <w:rStyle w:val="normaltextrun"/>
          <w:color w:val="000000"/>
          <w:shd w:val="clear" w:color="auto" w:fill="FFFFFF"/>
        </w:rPr>
        <w:t xml:space="preserve">. </w:t>
      </w:r>
      <w:r>
        <w:rPr>
          <w:rStyle w:val="normaltextrun"/>
          <w:i/>
          <w:iCs/>
          <w:color w:val="000000"/>
          <w:shd w:val="clear" w:color="auto" w:fill="FFFFFF"/>
        </w:rPr>
        <w:t>See</w:t>
      </w:r>
      <w:r>
        <w:rPr>
          <w:rStyle w:val="normaltextrun"/>
          <w:color w:val="000000"/>
          <w:shd w:val="clear" w:color="auto" w:fill="FFFFFF"/>
        </w:rPr>
        <w:t xml:space="preserve"> 89 FR 49084 (June 11, 2024)</w:t>
      </w:r>
    </w:p>
  </w:footnote>
  <w:footnote w:id="5">
    <w:p w:rsidR="007523A7" w14:paraId="0090FDED" w14:textId="2A41357F">
      <w:pPr>
        <w:pStyle w:val="FootnoteText"/>
      </w:pPr>
      <w:r>
        <w:rPr>
          <w:rStyle w:val="FootnoteReference"/>
        </w:rPr>
        <w:footnoteRef/>
      </w:r>
      <w:r>
        <w:t xml:space="preserve"> </w:t>
      </w:r>
      <w:r w:rsidR="00E71E9B">
        <w:t>Part</w:t>
      </w:r>
      <w:r>
        <w:t> </w:t>
      </w:r>
      <w:r w:rsidRPr="00E3137A">
        <w:t>1033.131 define</w:t>
      </w:r>
      <w:r w:rsidR="00CC5A87">
        <w:t>s</w:t>
      </w:r>
      <w:r w:rsidRPr="00E3137A">
        <w:t xml:space="preserve"> the term </w:t>
      </w:r>
      <w:r w:rsidR="00CC5A87">
        <w:t>consensus</w:t>
      </w:r>
      <w:r w:rsidRPr="00E3137A">
        <w:t xml:space="preserve"> standard to mean a standard that is issued by a standard-setting body that is fair, open, and inclusive. In turn, </w:t>
      </w:r>
      <w:r w:rsidR="00E71E9B">
        <w:t>Part</w:t>
      </w:r>
      <w:r>
        <w:t> </w:t>
      </w:r>
      <w:r w:rsidRPr="00E3137A">
        <w:t>1033.141 provide</w:t>
      </w:r>
      <w:r>
        <w:t>s</w:t>
      </w:r>
      <w:r w:rsidRPr="00E3137A">
        <w:t xml:space="preserve"> that a standard-setting body is fair, open, and inclusive and</w:t>
      </w:r>
      <w:r>
        <w:t xml:space="preserve"> is an issuer of </w:t>
      </w:r>
      <w:r w:rsidR="00CC5A87">
        <w:t>consensus</w:t>
      </w:r>
      <w:r>
        <w:t xml:space="preserve"> standards when the body has certain attributes.</w:t>
      </w:r>
    </w:p>
  </w:footnote>
  <w:footnote w:id="6">
    <w:p w:rsidR="00B5457C" w:rsidP="00B5457C" w14:paraId="26F8CAD4" w14:textId="77777777">
      <w:pPr>
        <w:pStyle w:val="FootnoteText"/>
      </w:pPr>
      <w:r>
        <w:rPr>
          <w:rStyle w:val="FootnoteReference"/>
        </w:rPr>
        <w:footnoteRef/>
      </w:r>
      <w:r>
        <w:t xml:space="preserve"> 12 U.S.C. 2601 </w:t>
      </w:r>
      <w:r>
        <w:rPr>
          <w:i/>
          <w:iCs/>
        </w:rPr>
        <w:t>et seq.</w:t>
      </w:r>
    </w:p>
  </w:footnote>
  <w:footnote w:id="7">
    <w:p w:rsidR="00A75A47" w14:paraId="49198E82" w14:textId="24B35383">
      <w:pPr>
        <w:pStyle w:val="FootnoteText"/>
      </w:pPr>
      <w:r>
        <w:rPr>
          <w:rStyle w:val="FootnoteReference"/>
        </w:rPr>
        <w:footnoteRef/>
      </w:r>
      <w:r>
        <w:t xml:space="preserve"> 88 FR 74796 (10/31/2023).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A77" w14:paraId="7244205A" w14:textId="41B01F34">
    <w:pPr>
      <w:pStyle w:val="Header"/>
    </w:pPr>
    <w:r w:rsidRPr="003E47F8">
      <w:t>Personal Financial Data Rights Rule</w:t>
    </w:r>
  </w:p>
  <w:p w:rsidR="00B35205" w14:paraId="55C694D9" w14:textId="6D91179F">
    <w:pPr>
      <w:pStyle w:val="Header"/>
    </w:pPr>
    <w:r>
      <w:t>OMB Control Number</w:t>
    </w:r>
    <w:r w:rsidR="004D6F7D">
      <w:t>:</w:t>
    </w:r>
    <w:r>
      <w:t xml:space="preserve"> </w:t>
    </w:r>
    <w:r w:rsidR="00E81562">
      <w:t>3170-</w:t>
    </w:r>
    <w:r w:rsidR="001650D5">
      <w:t>XXXX</w:t>
    </w:r>
  </w:p>
  <w:p w:rsidR="00B35205" w14:paraId="3E4932DB" w14:textId="58E5D1B5">
    <w:pPr>
      <w:pStyle w:val="Header"/>
    </w:pPr>
    <w:r>
      <w:t xml:space="preserve">OMB Expiration Date: </w:t>
    </w:r>
    <w:r w:rsidR="001650D5">
      <w:t>XX/XX/XXXX</w:t>
    </w:r>
  </w:p>
  <w:p w:rsidR="00B35205" w:rsidP="00F52D42" w14:paraId="1930D639" w14:textId="77777777">
    <w:pPr>
      <w:pStyle w:val="Header"/>
      <w:tabs>
        <w:tab w:val="clear" w:pos="4680"/>
        <w:tab w:val="left" w:pos="6526"/>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000364"/>
    <w:multiLevelType w:val="hybridMultilevel"/>
    <w:tmpl w:val="E5547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6B52FD"/>
    <w:multiLevelType w:val="hybridMultilevel"/>
    <w:tmpl w:val="B5840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6A805F"/>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AEC489"/>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9E4EAD"/>
    <w:multiLevelType w:val="hybridMultilevel"/>
    <w:tmpl w:val="E5547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9E1626"/>
    <w:multiLevelType w:val="hybridMultilevel"/>
    <w:tmpl w:val="E5547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D567412"/>
    <w:multiLevelType w:val="hybridMultilevel"/>
    <w:tmpl w:val="2BB63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14">
    <w:nsid w:val="30C4A0FC"/>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4445B37"/>
    <w:multiLevelType w:val="hybridMultilevel"/>
    <w:tmpl w:val="E5547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A945DC"/>
    <w:multiLevelType w:val="hybridMultilevel"/>
    <w:tmpl w:val="A31265BC"/>
    <w:lvl w:ilvl="0">
      <w:start w:val="2"/>
      <w:numFmt w:val="low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A06BC4"/>
    <w:multiLevelType w:val="hybridMultilevel"/>
    <w:tmpl w:val="E5547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9">
    <w:nsid w:val="43931C2B"/>
    <w:multiLevelType w:val="hybridMultilevel"/>
    <w:tmpl w:val="A0BA95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21">
    <w:nsid w:val="4B96E942"/>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24">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26">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27">
    <w:nsid w:val="5BC7D6B2"/>
    <w:multiLevelType w:val="hybridMultilevel"/>
    <w:tmpl w:val="BA48FD0C"/>
    <w:lvl w:ilvl="0">
      <w:start w:val="1"/>
      <w:numFmt w:val="low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2FE084A"/>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5820451"/>
    <w:multiLevelType w:val="hybridMultilevel"/>
    <w:tmpl w:val="9E025C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8095AE0"/>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04F274D"/>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129F09E"/>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36">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E6F3584"/>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FED1514"/>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89634150">
    <w:abstractNumId w:val="23"/>
  </w:num>
  <w:num w:numId="2" w16cid:durableId="468203548">
    <w:abstractNumId w:val="20"/>
  </w:num>
  <w:num w:numId="3" w16cid:durableId="934098248">
    <w:abstractNumId w:val="35"/>
  </w:num>
  <w:num w:numId="4" w16cid:durableId="521675889">
    <w:abstractNumId w:val="18"/>
  </w:num>
  <w:num w:numId="5" w16cid:durableId="421997651">
    <w:abstractNumId w:val="26"/>
  </w:num>
  <w:num w:numId="6" w16cid:durableId="905803681">
    <w:abstractNumId w:val="25"/>
  </w:num>
  <w:num w:numId="7" w16cid:durableId="164692993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4485983">
    <w:abstractNumId w:val="29"/>
  </w:num>
  <w:num w:numId="9" w16cid:durableId="295837592">
    <w:abstractNumId w:val="28"/>
  </w:num>
  <w:num w:numId="10" w16cid:durableId="440152485">
    <w:abstractNumId w:val="8"/>
  </w:num>
  <w:num w:numId="11" w16cid:durableId="17903144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18725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272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9148055">
    <w:abstractNumId w:val="11"/>
  </w:num>
  <w:num w:numId="15" w16cid:durableId="1765148707">
    <w:abstractNumId w:val="3"/>
  </w:num>
  <w:num w:numId="16" w16cid:durableId="1300843510">
    <w:abstractNumId w:val="36"/>
  </w:num>
  <w:num w:numId="17" w16cid:durableId="1853757313">
    <w:abstractNumId w:val="5"/>
  </w:num>
  <w:num w:numId="18" w16cid:durableId="1629119346">
    <w:abstractNumId w:val="13"/>
  </w:num>
  <w:num w:numId="19" w16cid:durableId="205338067">
    <w:abstractNumId w:val="7"/>
  </w:num>
  <w:num w:numId="20" w16cid:durableId="1063793308">
    <w:abstractNumId w:val="22"/>
  </w:num>
  <w:num w:numId="21" w16cid:durableId="1932542515">
    <w:abstractNumId w:val="0"/>
  </w:num>
  <w:num w:numId="22" w16cid:durableId="39673620">
    <w:abstractNumId w:val="19"/>
  </w:num>
  <w:num w:numId="23" w16cid:durableId="1445148304">
    <w:abstractNumId w:val="1"/>
  </w:num>
  <w:num w:numId="24" w16cid:durableId="71703752">
    <w:abstractNumId w:val="9"/>
  </w:num>
  <w:num w:numId="25" w16cid:durableId="193032826">
    <w:abstractNumId w:val="15"/>
  </w:num>
  <w:num w:numId="26" w16cid:durableId="116222040">
    <w:abstractNumId w:val="17"/>
  </w:num>
  <w:num w:numId="27" w16cid:durableId="1506744569">
    <w:abstractNumId w:val="10"/>
  </w:num>
  <w:num w:numId="28" w16cid:durableId="1562061297">
    <w:abstractNumId w:val="37"/>
  </w:num>
  <w:num w:numId="29" w16cid:durableId="874855262">
    <w:abstractNumId w:val="30"/>
  </w:num>
  <w:num w:numId="30" w16cid:durableId="1067875540">
    <w:abstractNumId w:val="14"/>
  </w:num>
  <w:num w:numId="31" w16cid:durableId="391782362">
    <w:abstractNumId w:val="32"/>
  </w:num>
  <w:num w:numId="32" w16cid:durableId="447965705">
    <w:abstractNumId w:val="4"/>
  </w:num>
  <w:num w:numId="33" w16cid:durableId="830408877">
    <w:abstractNumId w:val="6"/>
  </w:num>
  <w:num w:numId="34" w16cid:durableId="2059434532">
    <w:abstractNumId w:val="33"/>
  </w:num>
  <w:num w:numId="35" w16cid:durableId="11150542">
    <w:abstractNumId w:val="34"/>
  </w:num>
  <w:num w:numId="36" w16cid:durableId="465437011">
    <w:abstractNumId w:val="21"/>
  </w:num>
  <w:num w:numId="37" w16cid:durableId="2112699278">
    <w:abstractNumId w:val="38"/>
  </w:num>
  <w:num w:numId="38" w16cid:durableId="653071548">
    <w:abstractNumId w:val="16"/>
  </w:num>
  <w:num w:numId="39" w16cid:durableId="395472178">
    <w:abstractNumId w:val="27"/>
  </w:num>
  <w:num w:numId="40" w16cid:durableId="2002468609">
    <w:abstractNumId w:val="2"/>
  </w:num>
  <w:num w:numId="41" w16cid:durableId="372971516">
    <w:abstractNumId w:val="31"/>
  </w:num>
  <w:num w:numId="42" w16cid:durableId="1410930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FC"/>
    <w:rsid w:val="0000044A"/>
    <w:rsid w:val="00000B69"/>
    <w:rsid w:val="00002D98"/>
    <w:rsid w:val="00006FD5"/>
    <w:rsid w:val="0001380B"/>
    <w:rsid w:val="00014936"/>
    <w:rsid w:val="000239A2"/>
    <w:rsid w:val="00023DDE"/>
    <w:rsid w:val="000267DB"/>
    <w:rsid w:val="00032848"/>
    <w:rsid w:val="00032C14"/>
    <w:rsid w:val="00034C49"/>
    <w:rsid w:val="00035E5E"/>
    <w:rsid w:val="00037FD5"/>
    <w:rsid w:val="00041D40"/>
    <w:rsid w:val="0004229D"/>
    <w:rsid w:val="0004446C"/>
    <w:rsid w:val="000462FD"/>
    <w:rsid w:val="000465ED"/>
    <w:rsid w:val="0005023D"/>
    <w:rsid w:val="0005070D"/>
    <w:rsid w:val="0005101C"/>
    <w:rsid w:val="000533A4"/>
    <w:rsid w:val="000557BC"/>
    <w:rsid w:val="00056027"/>
    <w:rsid w:val="0005687E"/>
    <w:rsid w:val="0005724D"/>
    <w:rsid w:val="000574A2"/>
    <w:rsid w:val="00057B87"/>
    <w:rsid w:val="00061509"/>
    <w:rsid w:val="0006702C"/>
    <w:rsid w:val="0007006A"/>
    <w:rsid w:val="00071C66"/>
    <w:rsid w:val="00075A5D"/>
    <w:rsid w:val="000763B3"/>
    <w:rsid w:val="00080781"/>
    <w:rsid w:val="00081109"/>
    <w:rsid w:val="00086CCF"/>
    <w:rsid w:val="00087AB2"/>
    <w:rsid w:val="00091AE1"/>
    <w:rsid w:val="000922A7"/>
    <w:rsid w:val="00092D91"/>
    <w:rsid w:val="0009401F"/>
    <w:rsid w:val="00096F2E"/>
    <w:rsid w:val="000A19A7"/>
    <w:rsid w:val="000A3D6F"/>
    <w:rsid w:val="000A44E3"/>
    <w:rsid w:val="000A735A"/>
    <w:rsid w:val="000B03FF"/>
    <w:rsid w:val="000B199A"/>
    <w:rsid w:val="000B50F5"/>
    <w:rsid w:val="000B5C2D"/>
    <w:rsid w:val="000C1729"/>
    <w:rsid w:val="000C39BD"/>
    <w:rsid w:val="000C674F"/>
    <w:rsid w:val="000D0B4D"/>
    <w:rsid w:val="000D3E1A"/>
    <w:rsid w:val="000D74D0"/>
    <w:rsid w:val="000E0538"/>
    <w:rsid w:val="000E21EB"/>
    <w:rsid w:val="000E4F45"/>
    <w:rsid w:val="000E5E4F"/>
    <w:rsid w:val="000F0DD6"/>
    <w:rsid w:val="000F3637"/>
    <w:rsid w:val="000F5117"/>
    <w:rsid w:val="000F6E19"/>
    <w:rsid w:val="000F7EBD"/>
    <w:rsid w:val="00100120"/>
    <w:rsid w:val="00101985"/>
    <w:rsid w:val="00106A66"/>
    <w:rsid w:val="00110F8E"/>
    <w:rsid w:val="00114D1E"/>
    <w:rsid w:val="0011769D"/>
    <w:rsid w:val="00120468"/>
    <w:rsid w:val="0012381F"/>
    <w:rsid w:val="001345AE"/>
    <w:rsid w:val="001346E6"/>
    <w:rsid w:val="00134FF6"/>
    <w:rsid w:val="00135A84"/>
    <w:rsid w:val="00140051"/>
    <w:rsid w:val="00141E34"/>
    <w:rsid w:val="00143C38"/>
    <w:rsid w:val="00143D87"/>
    <w:rsid w:val="00144246"/>
    <w:rsid w:val="00145471"/>
    <w:rsid w:val="00147631"/>
    <w:rsid w:val="00155442"/>
    <w:rsid w:val="00162371"/>
    <w:rsid w:val="001639C2"/>
    <w:rsid w:val="001650D5"/>
    <w:rsid w:val="00166D3B"/>
    <w:rsid w:val="00166FBE"/>
    <w:rsid w:val="00172ECE"/>
    <w:rsid w:val="00175ECD"/>
    <w:rsid w:val="00177293"/>
    <w:rsid w:val="0018066A"/>
    <w:rsid w:val="00187617"/>
    <w:rsid w:val="00190F86"/>
    <w:rsid w:val="001912C5"/>
    <w:rsid w:val="00193BFF"/>
    <w:rsid w:val="00194264"/>
    <w:rsid w:val="001A20AE"/>
    <w:rsid w:val="001A4C10"/>
    <w:rsid w:val="001A65CE"/>
    <w:rsid w:val="001A66C7"/>
    <w:rsid w:val="001B12AF"/>
    <w:rsid w:val="001B15A2"/>
    <w:rsid w:val="001B1DEF"/>
    <w:rsid w:val="001B26C0"/>
    <w:rsid w:val="001B443D"/>
    <w:rsid w:val="001B50EB"/>
    <w:rsid w:val="001C0BBB"/>
    <w:rsid w:val="001C1DAC"/>
    <w:rsid w:val="001C4457"/>
    <w:rsid w:val="001C59A8"/>
    <w:rsid w:val="001C734E"/>
    <w:rsid w:val="001D2A61"/>
    <w:rsid w:val="001D3892"/>
    <w:rsid w:val="001D5558"/>
    <w:rsid w:val="001E1348"/>
    <w:rsid w:val="001E273E"/>
    <w:rsid w:val="001E3F9D"/>
    <w:rsid w:val="001E418A"/>
    <w:rsid w:val="001E6227"/>
    <w:rsid w:val="001F0989"/>
    <w:rsid w:val="001F2032"/>
    <w:rsid w:val="001F253A"/>
    <w:rsid w:val="001F63CF"/>
    <w:rsid w:val="002029FA"/>
    <w:rsid w:val="002063CD"/>
    <w:rsid w:val="00210C2D"/>
    <w:rsid w:val="00211F72"/>
    <w:rsid w:val="002153B7"/>
    <w:rsid w:val="00215D5F"/>
    <w:rsid w:val="002210EB"/>
    <w:rsid w:val="002215EA"/>
    <w:rsid w:val="002229F6"/>
    <w:rsid w:val="0022424F"/>
    <w:rsid w:val="00226237"/>
    <w:rsid w:val="002341FB"/>
    <w:rsid w:val="00235BD3"/>
    <w:rsid w:val="00236130"/>
    <w:rsid w:val="00236ECA"/>
    <w:rsid w:val="00241738"/>
    <w:rsid w:val="0024243A"/>
    <w:rsid w:val="00242638"/>
    <w:rsid w:val="002479B7"/>
    <w:rsid w:val="00247F49"/>
    <w:rsid w:val="0025091D"/>
    <w:rsid w:val="00252344"/>
    <w:rsid w:val="00253FF0"/>
    <w:rsid w:val="00254C21"/>
    <w:rsid w:val="00255107"/>
    <w:rsid w:val="00255B05"/>
    <w:rsid w:val="00256325"/>
    <w:rsid w:val="002566AD"/>
    <w:rsid w:val="00256A10"/>
    <w:rsid w:val="00266858"/>
    <w:rsid w:val="002678C2"/>
    <w:rsid w:val="00274CC0"/>
    <w:rsid w:val="002806E6"/>
    <w:rsid w:val="00283F84"/>
    <w:rsid w:val="002945E5"/>
    <w:rsid w:val="00294D3C"/>
    <w:rsid w:val="00294DF4"/>
    <w:rsid w:val="0029506E"/>
    <w:rsid w:val="00295579"/>
    <w:rsid w:val="002958F6"/>
    <w:rsid w:val="0029752E"/>
    <w:rsid w:val="0029776A"/>
    <w:rsid w:val="00297B20"/>
    <w:rsid w:val="002A10CE"/>
    <w:rsid w:val="002A5709"/>
    <w:rsid w:val="002A7BFB"/>
    <w:rsid w:val="002B0AB2"/>
    <w:rsid w:val="002B341A"/>
    <w:rsid w:val="002B377E"/>
    <w:rsid w:val="002B7700"/>
    <w:rsid w:val="002C064D"/>
    <w:rsid w:val="002C126F"/>
    <w:rsid w:val="002C3388"/>
    <w:rsid w:val="002C5F25"/>
    <w:rsid w:val="002C645F"/>
    <w:rsid w:val="002C6BC6"/>
    <w:rsid w:val="002D1431"/>
    <w:rsid w:val="002D19AD"/>
    <w:rsid w:val="002D2C81"/>
    <w:rsid w:val="002D2E7E"/>
    <w:rsid w:val="002D5173"/>
    <w:rsid w:val="002D789D"/>
    <w:rsid w:val="002E03C2"/>
    <w:rsid w:val="002E0E6B"/>
    <w:rsid w:val="002E20E6"/>
    <w:rsid w:val="002E65EF"/>
    <w:rsid w:val="002E7B73"/>
    <w:rsid w:val="002F17DC"/>
    <w:rsid w:val="002F4F70"/>
    <w:rsid w:val="0030039F"/>
    <w:rsid w:val="003020C8"/>
    <w:rsid w:val="00302B1C"/>
    <w:rsid w:val="0030470D"/>
    <w:rsid w:val="003105AC"/>
    <w:rsid w:val="00312C7C"/>
    <w:rsid w:val="00313E17"/>
    <w:rsid w:val="003161D3"/>
    <w:rsid w:val="00316F7F"/>
    <w:rsid w:val="00316FE0"/>
    <w:rsid w:val="0032127E"/>
    <w:rsid w:val="00321841"/>
    <w:rsid w:val="003225D2"/>
    <w:rsid w:val="003252C5"/>
    <w:rsid w:val="00327A0B"/>
    <w:rsid w:val="00331519"/>
    <w:rsid w:val="003326D8"/>
    <w:rsid w:val="0033632B"/>
    <w:rsid w:val="003372E9"/>
    <w:rsid w:val="00340510"/>
    <w:rsid w:val="00340BC9"/>
    <w:rsid w:val="003427C8"/>
    <w:rsid w:val="00342D6C"/>
    <w:rsid w:val="00343795"/>
    <w:rsid w:val="00344476"/>
    <w:rsid w:val="00345241"/>
    <w:rsid w:val="00345720"/>
    <w:rsid w:val="0034621C"/>
    <w:rsid w:val="00350314"/>
    <w:rsid w:val="00355C79"/>
    <w:rsid w:val="003560DF"/>
    <w:rsid w:val="00357907"/>
    <w:rsid w:val="0036198E"/>
    <w:rsid w:val="0036474D"/>
    <w:rsid w:val="0036475F"/>
    <w:rsid w:val="0036697E"/>
    <w:rsid w:val="00366EAF"/>
    <w:rsid w:val="00367E44"/>
    <w:rsid w:val="00374DA8"/>
    <w:rsid w:val="00375BDD"/>
    <w:rsid w:val="003771B1"/>
    <w:rsid w:val="0038607F"/>
    <w:rsid w:val="0038749E"/>
    <w:rsid w:val="003975B4"/>
    <w:rsid w:val="003A1CBC"/>
    <w:rsid w:val="003A32BF"/>
    <w:rsid w:val="003A3605"/>
    <w:rsid w:val="003A3D04"/>
    <w:rsid w:val="003A66A4"/>
    <w:rsid w:val="003B3193"/>
    <w:rsid w:val="003B4596"/>
    <w:rsid w:val="003B4917"/>
    <w:rsid w:val="003C0C32"/>
    <w:rsid w:val="003C30A7"/>
    <w:rsid w:val="003C4F2E"/>
    <w:rsid w:val="003C66B9"/>
    <w:rsid w:val="003D04EC"/>
    <w:rsid w:val="003D1A46"/>
    <w:rsid w:val="003D3ED3"/>
    <w:rsid w:val="003D63E2"/>
    <w:rsid w:val="003D6C6B"/>
    <w:rsid w:val="003D6EA7"/>
    <w:rsid w:val="003E0355"/>
    <w:rsid w:val="003E083F"/>
    <w:rsid w:val="003E1E79"/>
    <w:rsid w:val="003E34FA"/>
    <w:rsid w:val="003E47F8"/>
    <w:rsid w:val="003F2B4D"/>
    <w:rsid w:val="003F5467"/>
    <w:rsid w:val="003F67CC"/>
    <w:rsid w:val="004019E1"/>
    <w:rsid w:val="004077B1"/>
    <w:rsid w:val="0042063D"/>
    <w:rsid w:val="00420A18"/>
    <w:rsid w:val="00423D3F"/>
    <w:rsid w:val="00426741"/>
    <w:rsid w:val="00426D4F"/>
    <w:rsid w:val="00427149"/>
    <w:rsid w:val="00430886"/>
    <w:rsid w:val="004318BF"/>
    <w:rsid w:val="00433D35"/>
    <w:rsid w:val="004342CA"/>
    <w:rsid w:val="00434951"/>
    <w:rsid w:val="00441BED"/>
    <w:rsid w:val="00442BE5"/>
    <w:rsid w:val="00444168"/>
    <w:rsid w:val="004460F3"/>
    <w:rsid w:val="0045417D"/>
    <w:rsid w:val="00467762"/>
    <w:rsid w:val="00472754"/>
    <w:rsid w:val="00473ADB"/>
    <w:rsid w:val="0047444F"/>
    <w:rsid w:val="00475305"/>
    <w:rsid w:val="00475BCD"/>
    <w:rsid w:val="00477376"/>
    <w:rsid w:val="00481A62"/>
    <w:rsid w:val="00486C34"/>
    <w:rsid w:val="00487A05"/>
    <w:rsid w:val="0049767C"/>
    <w:rsid w:val="004A0C5F"/>
    <w:rsid w:val="004A309F"/>
    <w:rsid w:val="004A5D8F"/>
    <w:rsid w:val="004A6E53"/>
    <w:rsid w:val="004A7DC4"/>
    <w:rsid w:val="004B45A2"/>
    <w:rsid w:val="004B7532"/>
    <w:rsid w:val="004C0E57"/>
    <w:rsid w:val="004C77CB"/>
    <w:rsid w:val="004D0461"/>
    <w:rsid w:val="004D199D"/>
    <w:rsid w:val="004D294F"/>
    <w:rsid w:val="004D2AD4"/>
    <w:rsid w:val="004D4BC5"/>
    <w:rsid w:val="004D4D0F"/>
    <w:rsid w:val="004D4FE1"/>
    <w:rsid w:val="004D665B"/>
    <w:rsid w:val="004D6F7D"/>
    <w:rsid w:val="004E05F2"/>
    <w:rsid w:val="004E1F5B"/>
    <w:rsid w:val="004E4A2D"/>
    <w:rsid w:val="004F4B39"/>
    <w:rsid w:val="004F4D2A"/>
    <w:rsid w:val="004F516A"/>
    <w:rsid w:val="004F6C88"/>
    <w:rsid w:val="00501916"/>
    <w:rsid w:val="00502322"/>
    <w:rsid w:val="00502954"/>
    <w:rsid w:val="00504943"/>
    <w:rsid w:val="005113FE"/>
    <w:rsid w:val="00511C92"/>
    <w:rsid w:val="00513ACA"/>
    <w:rsid w:val="00514143"/>
    <w:rsid w:val="0051457A"/>
    <w:rsid w:val="005148FE"/>
    <w:rsid w:val="0051614E"/>
    <w:rsid w:val="005168DD"/>
    <w:rsid w:val="00516CC6"/>
    <w:rsid w:val="0051716A"/>
    <w:rsid w:val="00520727"/>
    <w:rsid w:val="005247D1"/>
    <w:rsid w:val="00525DAA"/>
    <w:rsid w:val="005270DF"/>
    <w:rsid w:val="005309BC"/>
    <w:rsid w:val="00532872"/>
    <w:rsid w:val="00533076"/>
    <w:rsid w:val="00533405"/>
    <w:rsid w:val="005339D5"/>
    <w:rsid w:val="00536912"/>
    <w:rsid w:val="00541B54"/>
    <w:rsid w:val="0054251A"/>
    <w:rsid w:val="00544DBE"/>
    <w:rsid w:val="00553771"/>
    <w:rsid w:val="00554DD5"/>
    <w:rsid w:val="00557DB5"/>
    <w:rsid w:val="00561BCE"/>
    <w:rsid w:val="005647A5"/>
    <w:rsid w:val="005671CD"/>
    <w:rsid w:val="00567DBD"/>
    <w:rsid w:val="0057278C"/>
    <w:rsid w:val="00572EC7"/>
    <w:rsid w:val="00573509"/>
    <w:rsid w:val="00573E47"/>
    <w:rsid w:val="0057551F"/>
    <w:rsid w:val="00581783"/>
    <w:rsid w:val="005833D6"/>
    <w:rsid w:val="005847A3"/>
    <w:rsid w:val="00585FC0"/>
    <w:rsid w:val="00591C08"/>
    <w:rsid w:val="00593142"/>
    <w:rsid w:val="00594C60"/>
    <w:rsid w:val="00595988"/>
    <w:rsid w:val="00595DDD"/>
    <w:rsid w:val="005A1AE0"/>
    <w:rsid w:val="005A762C"/>
    <w:rsid w:val="005B3933"/>
    <w:rsid w:val="005B404C"/>
    <w:rsid w:val="005B6341"/>
    <w:rsid w:val="005C2A27"/>
    <w:rsid w:val="005C2BE3"/>
    <w:rsid w:val="005C3CC3"/>
    <w:rsid w:val="005C6C78"/>
    <w:rsid w:val="005C70EF"/>
    <w:rsid w:val="005D2B19"/>
    <w:rsid w:val="005D6DBE"/>
    <w:rsid w:val="005D79C4"/>
    <w:rsid w:val="005E5175"/>
    <w:rsid w:val="005E5EDA"/>
    <w:rsid w:val="005E65F1"/>
    <w:rsid w:val="005E6D62"/>
    <w:rsid w:val="005E7000"/>
    <w:rsid w:val="005E768D"/>
    <w:rsid w:val="005F1FFC"/>
    <w:rsid w:val="005F249F"/>
    <w:rsid w:val="005F3E60"/>
    <w:rsid w:val="005F4B4E"/>
    <w:rsid w:val="005F58BC"/>
    <w:rsid w:val="00600A9A"/>
    <w:rsid w:val="00603A8A"/>
    <w:rsid w:val="006043E9"/>
    <w:rsid w:val="00605CEC"/>
    <w:rsid w:val="00610E13"/>
    <w:rsid w:val="006213DD"/>
    <w:rsid w:val="00622108"/>
    <w:rsid w:val="00625395"/>
    <w:rsid w:val="00626F36"/>
    <w:rsid w:val="00633492"/>
    <w:rsid w:val="00634112"/>
    <w:rsid w:val="00634AEB"/>
    <w:rsid w:val="00635204"/>
    <w:rsid w:val="00637913"/>
    <w:rsid w:val="00640EE5"/>
    <w:rsid w:val="006410B1"/>
    <w:rsid w:val="00641707"/>
    <w:rsid w:val="00643244"/>
    <w:rsid w:val="00643848"/>
    <w:rsid w:val="00646CF5"/>
    <w:rsid w:val="00650767"/>
    <w:rsid w:val="0065680E"/>
    <w:rsid w:val="00661030"/>
    <w:rsid w:val="00664D05"/>
    <w:rsid w:val="00665C34"/>
    <w:rsid w:val="006712C1"/>
    <w:rsid w:val="00674300"/>
    <w:rsid w:val="00674E43"/>
    <w:rsid w:val="00681DE8"/>
    <w:rsid w:val="0068349A"/>
    <w:rsid w:val="00690B79"/>
    <w:rsid w:val="006926EC"/>
    <w:rsid w:val="006952E0"/>
    <w:rsid w:val="006A5577"/>
    <w:rsid w:val="006A7D8B"/>
    <w:rsid w:val="006B00D3"/>
    <w:rsid w:val="006B1827"/>
    <w:rsid w:val="006B7AD2"/>
    <w:rsid w:val="006C4D6C"/>
    <w:rsid w:val="006C511F"/>
    <w:rsid w:val="006C7C21"/>
    <w:rsid w:val="006D01DE"/>
    <w:rsid w:val="006D1E8C"/>
    <w:rsid w:val="006D37FD"/>
    <w:rsid w:val="006D41BF"/>
    <w:rsid w:val="006D4E10"/>
    <w:rsid w:val="006D7C17"/>
    <w:rsid w:val="006E0517"/>
    <w:rsid w:val="006E1644"/>
    <w:rsid w:val="006E2197"/>
    <w:rsid w:val="006E6951"/>
    <w:rsid w:val="006F05F0"/>
    <w:rsid w:val="006F0A01"/>
    <w:rsid w:val="006F13DD"/>
    <w:rsid w:val="006F2252"/>
    <w:rsid w:val="006F40DE"/>
    <w:rsid w:val="006F4CC1"/>
    <w:rsid w:val="006F61CF"/>
    <w:rsid w:val="007011FA"/>
    <w:rsid w:val="007036F4"/>
    <w:rsid w:val="00704DE8"/>
    <w:rsid w:val="007059EE"/>
    <w:rsid w:val="00706218"/>
    <w:rsid w:val="00710CC5"/>
    <w:rsid w:val="00711DFB"/>
    <w:rsid w:val="00715C7F"/>
    <w:rsid w:val="0072228D"/>
    <w:rsid w:val="007319B7"/>
    <w:rsid w:val="00732F4F"/>
    <w:rsid w:val="00733C46"/>
    <w:rsid w:val="0073537D"/>
    <w:rsid w:val="007355AA"/>
    <w:rsid w:val="00744ECB"/>
    <w:rsid w:val="0074629B"/>
    <w:rsid w:val="00751335"/>
    <w:rsid w:val="00751358"/>
    <w:rsid w:val="007523A7"/>
    <w:rsid w:val="0075720E"/>
    <w:rsid w:val="00763D5B"/>
    <w:rsid w:val="00763FD3"/>
    <w:rsid w:val="00765C7B"/>
    <w:rsid w:val="0076753D"/>
    <w:rsid w:val="007803A7"/>
    <w:rsid w:val="00780513"/>
    <w:rsid w:val="00782E1C"/>
    <w:rsid w:val="0078466C"/>
    <w:rsid w:val="00785328"/>
    <w:rsid w:val="00786D98"/>
    <w:rsid w:val="00791AC9"/>
    <w:rsid w:val="0079339F"/>
    <w:rsid w:val="00793479"/>
    <w:rsid w:val="0079547E"/>
    <w:rsid w:val="00796D53"/>
    <w:rsid w:val="00797CCE"/>
    <w:rsid w:val="007A30EB"/>
    <w:rsid w:val="007A6EE8"/>
    <w:rsid w:val="007B489A"/>
    <w:rsid w:val="007B678E"/>
    <w:rsid w:val="007B7665"/>
    <w:rsid w:val="007C06C4"/>
    <w:rsid w:val="007C0923"/>
    <w:rsid w:val="007C0C6F"/>
    <w:rsid w:val="007C14DC"/>
    <w:rsid w:val="007C2743"/>
    <w:rsid w:val="007C3C35"/>
    <w:rsid w:val="007C7E60"/>
    <w:rsid w:val="007C8920"/>
    <w:rsid w:val="007D0869"/>
    <w:rsid w:val="007D3D93"/>
    <w:rsid w:val="007D4B3D"/>
    <w:rsid w:val="007D62DA"/>
    <w:rsid w:val="007D7922"/>
    <w:rsid w:val="007D7A5C"/>
    <w:rsid w:val="007E18B3"/>
    <w:rsid w:val="007E6085"/>
    <w:rsid w:val="007E6B4F"/>
    <w:rsid w:val="007E7E37"/>
    <w:rsid w:val="007F1627"/>
    <w:rsid w:val="007F3057"/>
    <w:rsid w:val="007F35B6"/>
    <w:rsid w:val="007F4556"/>
    <w:rsid w:val="008009B5"/>
    <w:rsid w:val="00801678"/>
    <w:rsid w:val="00801A67"/>
    <w:rsid w:val="00802ED2"/>
    <w:rsid w:val="008057A0"/>
    <w:rsid w:val="0080691B"/>
    <w:rsid w:val="0080698B"/>
    <w:rsid w:val="00807138"/>
    <w:rsid w:val="00810CD5"/>
    <w:rsid w:val="00810FF4"/>
    <w:rsid w:val="0081330B"/>
    <w:rsid w:val="00814193"/>
    <w:rsid w:val="00815C40"/>
    <w:rsid w:val="00816792"/>
    <w:rsid w:val="00816AA8"/>
    <w:rsid w:val="00823C1A"/>
    <w:rsid w:val="00823FDC"/>
    <w:rsid w:val="00837DDB"/>
    <w:rsid w:val="0084109A"/>
    <w:rsid w:val="0084408B"/>
    <w:rsid w:val="008458EA"/>
    <w:rsid w:val="00845B94"/>
    <w:rsid w:val="00853115"/>
    <w:rsid w:val="00854815"/>
    <w:rsid w:val="00855182"/>
    <w:rsid w:val="00855E15"/>
    <w:rsid w:val="008568DA"/>
    <w:rsid w:val="008573A2"/>
    <w:rsid w:val="008576C7"/>
    <w:rsid w:val="0086257F"/>
    <w:rsid w:val="008671F9"/>
    <w:rsid w:val="00867BE2"/>
    <w:rsid w:val="008713CE"/>
    <w:rsid w:val="008726A5"/>
    <w:rsid w:val="00874859"/>
    <w:rsid w:val="00875B65"/>
    <w:rsid w:val="0088222A"/>
    <w:rsid w:val="00882422"/>
    <w:rsid w:val="00882935"/>
    <w:rsid w:val="008853D6"/>
    <w:rsid w:val="008859DA"/>
    <w:rsid w:val="00887CB4"/>
    <w:rsid w:val="008915F8"/>
    <w:rsid w:val="008964E9"/>
    <w:rsid w:val="00896C60"/>
    <w:rsid w:val="008970DC"/>
    <w:rsid w:val="008A6525"/>
    <w:rsid w:val="008A6EA0"/>
    <w:rsid w:val="008B001F"/>
    <w:rsid w:val="008B2CB9"/>
    <w:rsid w:val="008B40CD"/>
    <w:rsid w:val="008B508C"/>
    <w:rsid w:val="008B54DF"/>
    <w:rsid w:val="008B5613"/>
    <w:rsid w:val="008B7570"/>
    <w:rsid w:val="008C44A7"/>
    <w:rsid w:val="008C7818"/>
    <w:rsid w:val="008D026F"/>
    <w:rsid w:val="008D3161"/>
    <w:rsid w:val="008D38AE"/>
    <w:rsid w:val="008D3940"/>
    <w:rsid w:val="008D4C9C"/>
    <w:rsid w:val="008D4FE5"/>
    <w:rsid w:val="008D7065"/>
    <w:rsid w:val="008E164F"/>
    <w:rsid w:val="008E2BAC"/>
    <w:rsid w:val="008E31EC"/>
    <w:rsid w:val="008E3E92"/>
    <w:rsid w:val="008E5D30"/>
    <w:rsid w:val="008E777F"/>
    <w:rsid w:val="008F17CD"/>
    <w:rsid w:val="008F6897"/>
    <w:rsid w:val="0090025B"/>
    <w:rsid w:val="00903E71"/>
    <w:rsid w:val="00904477"/>
    <w:rsid w:val="00907D81"/>
    <w:rsid w:val="00915458"/>
    <w:rsid w:val="00916985"/>
    <w:rsid w:val="00917BAA"/>
    <w:rsid w:val="0092092B"/>
    <w:rsid w:val="00921C6C"/>
    <w:rsid w:val="00923029"/>
    <w:rsid w:val="00925417"/>
    <w:rsid w:val="00926DFC"/>
    <w:rsid w:val="009336CF"/>
    <w:rsid w:val="00934720"/>
    <w:rsid w:val="00935CC7"/>
    <w:rsid w:val="0093704F"/>
    <w:rsid w:val="00945D37"/>
    <w:rsid w:val="009513B5"/>
    <w:rsid w:val="009538FB"/>
    <w:rsid w:val="00954684"/>
    <w:rsid w:val="00955CDF"/>
    <w:rsid w:val="0096415E"/>
    <w:rsid w:val="009664D0"/>
    <w:rsid w:val="009670EA"/>
    <w:rsid w:val="00967432"/>
    <w:rsid w:val="0097154F"/>
    <w:rsid w:val="00973293"/>
    <w:rsid w:val="00977470"/>
    <w:rsid w:val="00985CF0"/>
    <w:rsid w:val="009870A9"/>
    <w:rsid w:val="00990CFC"/>
    <w:rsid w:val="009927D0"/>
    <w:rsid w:val="00992CCF"/>
    <w:rsid w:val="00992DB3"/>
    <w:rsid w:val="009936CA"/>
    <w:rsid w:val="00994943"/>
    <w:rsid w:val="00996A0D"/>
    <w:rsid w:val="009A13BD"/>
    <w:rsid w:val="009A4DA7"/>
    <w:rsid w:val="009A5BA0"/>
    <w:rsid w:val="009A641F"/>
    <w:rsid w:val="009A6B30"/>
    <w:rsid w:val="009B0C3C"/>
    <w:rsid w:val="009B30FA"/>
    <w:rsid w:val="009B329A"/>
    <w:rsid w:val="009B3CA2"/>
    <w:rsid w:val="009B54CD"/>
    <w:rsid w:val="009C10E1"/>
    <w:rsid w:val="009C5ABF"/>
    <w:rsid w:val="009C7539"/>
    <w:rsid w:val="009D195A"/>
    <w:rsid w:val="009D33D2"/>
    <w:rsid w:val="009D412E"/>
    <w:rsid w:val="009D7886"/>
    <w:rsid w:val="009E1042"/>
    <w:rsid w:val="009E10AA"/>
    <w:rsid w:val="009E361D"/>
    <w:rsid w:val="009E47CC"/>
    <w:rsid w:val="009E5C76"/>
    <w:rsid w:val="009E5F25"/>
    <w:rsid w:val="009E76E0"/>
    <w:rsid w:val="009E77B0"/>
    <w:rsid w:val="009F0BC4"/>
    <w:rsid w:val="009F1D52"/>
    <w:rsid w:val="009F3A08"/>
    <w:rsid w:val="009F4469"/>
    <w:rsid w:val="009F49A3"/>
    <w:rsid w:val="009F59BD"/>
    <w:rsid w:val="009F6E69"/>
    <w:rsid w:val="009F7E64"/>
    <w:rsid w:val="00A02610"/>
    <w:rsid w:val="00A0364C"/>
    <w:rsid w:val="00A0474C"/>
    <w:rsid w:val="00A06C9A"/>
    <w:rsid w:val="00A13C84"/>
    <w:rsid w:val="00A16960"/>
    <w:rsid w:val="00A22B63"/>
    <w:rsid w:val="00A30AA0"/>
    <w:rsid w:val="00A3104F"/>
    <w:rsid w:val="00A3232C"/>
    <w:rsid w:val="00A33116"/>
    <w:rsid w:val="00A33EBE"/>
    <w:rsid w:val="00A345B4"/>
    <w:rsid w:val="00A358CE"/>
    <w:rsid w:val="00A36144"/>
    <w:rsid w:val="00A43338"/>
    <w:rsid w:val="00A43AD1"/>
    <w:rsid w:val="00A44461"/>
    <w:rsid w:val="00A44504"/>
    <w:rsid w:val="00A4452C"/>
    <w:rsid w:val="00A445AF"/>
    <w:rsid w:val="00A4507C"/>
    <w:rsid w:val="00A4624C"/>
    <w:rsid w:val="00A47543"/>
    <w:rsid w:val="00A53612"/>
    <w:rsid w:val="00A55293"/>
    <w:rsid w:val="00A55878"/>
    <w:rsid w:val="00A575C1"/>
    <w:rsid w:val="00A57C8F"/>
    <w:rsid w:val="00A622E9"/>
    <w:rsid w:val="00A637BE"/>
    <w:rsid w:val="00A67727"/>
    <w:rsid w:val="00A67A6C"/>
    <w:rsid w:val="00A71151"/>
    <w:rsid w:val="00A75A47"/>
    <w:rsid w:val="00A818AE"/>
    <w:rsid w:val="00A83ED2"/>
    <w:rsid w:val="00A84128"/>
    <w:rsid w:val="00A90DA3"/>
    <w:rsid w:val="00A92A19"/>
    <w:rsid w:val="00A93747"/>
    <w:rsid w:val="00A93967"/>
    <w:rsid w:val="00A93F2E"/>
    <w:rsid w:val="00AA633C"/>
    <w:rsid w:val="00AA66A0"/>
    <w:rsid w:val="00AA6EC1"/>
    <w:rsid w:val="00AA6F70"/>
    <w:rsid w:val="00AB3AEC"/>
    <w:rsid w:val="00AB7EB0"/>
    <w:rsid w:val="00AC2DFF"/>
    <w:rsid w:val="00AC30DC"/>
    <w:rsid w:val="00AC69C1"/>
    <w:rsid w:val="00AC7589"/>
    <w:rsid w:val="00AD0BCB"/>
    <w:rsid w:val="00AD2890"/>
    <w:rsid w:val="00AD4673"/>
    <w:rsid w:val="00AD7C75"/>
    <w:rsid w:val="00AE12FF"/>
    <w:rsid w:val="00AE210D"/>
    <w:rsid w:val="00AE3AA9"/>
    <w:rsid w:val="00AE6C0D"/>
    <w:rsid w:val="00AE749A"/>
    <w:rsid w:val="00AF0BFA"/>
    <w:rsid w:val="00AF1678"/>
    <w:rsid w:val="00AF51D0"/>
    <w:rsid w:val="00AF5306"/>
    <w:rsid w:val="00AF6E52"/>
    <w:rsid w:val="00B0041E"/>
    <w:rsid w:val="00B006C4"/>
    <w:rsid w:val="00B01DB9"/>
    <w:rsid w:val="00B02F1E"/>
    <w:rsid w:val="00B03988"/>
    <w:rsid w:val="00B07D28"/>
    <w:rsid w:val="00B10271"/>
    <w:rsid w:val="00B10ED8"/>
    <w:rsid w:val="00B11600"/>
    <w:rsid w:val="00B16815"/>
    <w:rsid w:val="00B22613"/>
    <w:rsid w:val="00B23DB5"/>
    <w:rsid w:val="00B258FB"/>
    <w:rsid w:val="00B27D8F"/>
    <w:rsid w:val="00B30BA4"/>
    <w:rsid w:val="00B3415E"/>
    <w:rsid w:val="00B35205"/>
    <w:rsid w:val="00B43E7B"/>
    <w:rsid w:val="00B459C5"/>
    <w:rsid w:val="00B476C8"/>
    <w:rsid w:val="00B53A62"/>
    <w:rsid w:val="00B5457C"/>
    <w:rsid w:val="00B56B07"/>
    <w:rsid w:val="00B701B6"/>
    <w:rsid w:val="00B7194A"/>
    <w:rsid w:val="00B7337A"/>
    <w:rsid w:val="00B76BED"/>
    <w:rsid w:val="00B77C95"/>
    <w:rsid w:val="00B804F3"/>
    <w:rsid w:val="00B81634"/>
    <w:rsid w:val="00B8470B"/>
    <w:rsid w:val="00B85F31"/>
    <w:rsid w:val="00B860C7"/>
    <w:rsid w:val="00B90396"/>
    <w:rsid w:val="00B9080B"/>
    <w:rsid w:val="00B922E6"/>
    <w:rsid w:val="00B92BDE"/>
    <w:rsid w:val="00B96DD6"/>
    <w:rsid w:val="00B974E3"/>
    <w:rsid w:val="00B97B72"/>
    <w:rsid w:val="00BA1433"/>
    <w:rsid w:val="00BA16FC"/>
    <w:rsid w:val="00BA2C0F"/>
    <w:rsid w:val="00BA4383"/>
    <w:rsid w:val="00BA47A3"/>
    <w:rsid w:val="00BA4E4A"/>
    <w:rsid w:val="00BB29F3"/>
    <w:rsid w:val="00BB79B2"/>
    <w:rsid w:val="00BC0BB6"/>
    <w:rsid w:val="00BC10FD"/>
    <w:rsid w:val="00BC16BB"/>
    <w:rsid w:val="00BC56A2"/>
    <w:rsid w:val="00BC575F"/>
    <w:rsid w:val="00BC5B56"/>
    <w:rsid w:val="00BC7382"/>
    <w:rsid w:val="00BD122B"/>
    <w:rsid w:val="00BD2363"/>
    <w:rsid w:val="00BD42E6"/>
    <w:rsid w:val="00BD440C"/>
    <w:rsid w:val="00BD596F"/>
    <w:rsid w:val="00BD634B"/>
    <w:rsid w:val="00BD789B"/>
    <w:rsid w:val="00BD7D0B"/>
    <w:rsid w:val="00BE4034"/>
    <w:rsid w:val="00BE414D"/>
    <w:rsid w:val="00BE61FE"/>
    <w:rsid w:val="00BF19DB"/>
    <w:rsid w:val="00BF394E"/>
    <w:rsid w:val="00BF3B8E"/>
    <w:rsid w:val="00BF6D43"/>
    <w:rsid w:val="00C01BBE"/>
    <w:rsid w:val="00C05B3E"/>
    <w:rsid w:val="00C06CCF"/>
    <w:rsid w:val="00C110E3"/>
    <w:rsid w:val="00C1276F"/>
    <w:rsid w:val="00C25D47"/>
    <w:rsid w:val="00C262D4"/>
    <w:rsid w:val="00C26D14"/>
    <w:rsid w:val="00C3225C"/>
    <w:rsid w:val="00C34282"/>
    <w:rsid w:val="00C34CD3"/>
    <w:rsid w:val="00C35E86"/>
    <w:rsid w:val="00C36109"/>
    <w:rsid w:val="00C37D4E"/>
    <w:rsid w:val="00C40CD8"/>
    <w:rsid w:val="00C41088"/>
    <w:rsid w:val="00C41186"/>
    <w:rsid w:val="00C4132E"/>
    <w:rsid w:val="00C41820"/>
    <w:rsid w:val="00C419D7"/>
    <w:rsid w:val="00C434EF"/>
    <w:rsid w:val="00C44DA9"/>
    <w:rsid w:val="00C454A3"/>
    <w:rsid w:val="00C5091D"/>
    <w:rsid w:val="00C51760"/>
    <w:rsid w:val="00C5243F"/>
    <w:rsid w:val="00C540F7"/>
    <w:rsid w:val="00C56A4C"/>
    <w:rsid w:val="00C602F5"/>
    <w:rsid w:val="00C6037A"/>
    <w:rsid w:val="00C62364"/>
    <w:rsid w:val="00C62A14"/>
    <w:rsid w:val="00C6486C"/>
    <w:rsid w:val="00C6633F"/>
    <w:rsid w:val="00C701D2"/>
    <w:rsid w:val="00C7040B"/>
    <w:rsid w:val="00C70859"/>
    <w:rsid w:val="00C70D6E"/>
    <w:rsid w:val="00C71185"/>
    <w:rsid w:val="00C71CDC"/>
    <w:rsid w:val="00C73D96"/>
    <w:rsid w:val="00C75DE5"/>
    <w:rsid w:val="00C7631A"/>
    <w:rsid w:val="00C77B51"/>
    <w:rsid w:val="00C801D4"/>
    <w:rsid w:val="00C812E5"/>
    <w:rsid w:val="00C86DD8"/>
    <w:rsid w:val="00C8745F"/>
    <w:rsid w:val="00C9092B"/>
    <w:rsid w:val="00C910D5"/>
    <w:rsid w:val="00C94F5A"/>
    <w:rsid w:val="00CA1033"/>
    <w:rsid w:val="00CA4F24"/>
    <w:rsid w:val="00CA6DAB"/>
    <w:rsid w:val="00CB0ED1"/>
    <w:rsid w:val="00CB2943"/>
    <w:rsid w:val="00CB33D0"/>
    <w:rsid w:val="00CB4048"/>
    <w:rsid w:val="00CB4375"/>
    <w:rsid w:val="00CB4F80"/>
    <w:rsid w:val="00CB5026"/>
    <w:rsid w:val="00CB6B31"/>
    <w:rsid w:val="00CB6D80"/>
    <w:rsid w:val="00CC014B"/>
    <w:rsid w:val="00CC2259"/>
    <w:rsid w:val="00CC2D48"/>
    <w:rsid w:val="00CC384D"/>
    <w:rsid w:val="00CC45DE"/>
    <w:rsid w:val="00CC5231"/>
    <w:rsid w:val="00CC5A87"/>
    <w:rsid w:val="00CC5E8F"/>
    <w:rsid w:val="00CC7299"/>
    <w:rsid w:val="00CC7831"/>
    <w:rsid w:val="00CD44DE"/>
    <w:rsid w:val="00CD5F33"/>
    <w:rsid w:val="00CD6306"/>
    <w:rsid w:val="00CE060C"/>
    <w:rsid w:val="00CE13C5"/>
    <w:rsid w:val="00CE1467"/>
    <w:rsid w:val="00CE221D"/>
    <w:rsid w:val="00CE2CA6"/>
    <w:rsid w:val="00CE36FF"/>
    <w:rsid w:val="00CE37BD"/>
    <w:rsid w:val="00CE65D6"/>
    <w:rsid w:val="00CE6EF6"/>
    <w:rsid w:val="00CE781E"/>
    <w:rsid w:val="00CF1807"/>
    <w:rsid w:val="00CF192A"/>
    <w:rsid w:val="00CF45E5"/>
    <w:rsid w:val="00CF54AB"/>
    <w:rsid w:val="00CF6E73"/>
    <w:rsid w:val="00D01B78"/>
    <w:rsid w:val="00D03250"/>
    <w:rsid w:val="00D109B7"/>
    <w:rsid w:val="00D132A5"/>
    <w:rsid w:val="00D13CC0"/>
    <w:rsid w:val="00D152D6"/>
    <w:rsid w:val="00D1640B"/>
    <w:rsid w:val="00D1702D"/>
    <w:rsid w:val="00D17CEB"/>
    <w:rsid w:val="00D21CAF"/>
    <w:rsid w:val="00D266CF"/>
    <w:rsid w:val="00D26EEC"/>
    <w:rsid w:val="00D273BC"/>
    <w:rsid w:val="00D27EE7"/>
    <w:rsid w:val="00D308C4"/>
    <w:rsid w:val="00D35E81"/>
    <w:rsid w:val="00D36BD1"/>
    <w:rsid w:val="00D41323"/>
    <w:rsid w:val="00D42F77"/>
    <w:rsid w:val="00D51A8E"/>
    <w:rsid w:val="00D5266A"/>
    <w:rsid w:val="00D53067"/>
    <w:rsid w:val="00D54E06"/>
    <w:rsid w:val="00D561AD"/>
    <w:rsid w:val="00D56A9D"/>
    <w:rsid w:val="00D56FCC"/>
    <w:rsid w:val="00D71E47"/>
    <w:rsid w:val="00D74804"/>
    <w:rsid w:val="00D806D7"/>
    <w:rsid w:val="00D84541"/>
    <w:rsid w:val="00D86091"/>
    <w:rsid w:val="00D90933"/>
    <w:rsid w:val="00D9192B"/>
    <w:rsid w:val="00D96D1F"/>
    <w:rsid w:val="00DA0882"/>
    <w:rsid w:val="00DA0CF0"/>
    <w:rsid w:val="00DA40F0"/>
    <w:rsid w:val="00DA62F9"/>
    <w:rsid w:val="00DA659B"/>
    <w:rsid w:val="00DB3639"/>
    <w:rsid w:val="00DB5704"/>
    <w:rsid w:val="00DC133A"/>
    <w:rsid w:val="00DC5F82"/>
    <w:rsid w:val="00DD1FDE"/>
    <w:rsid w:val="00DD20FC"/>
    <w:rsid w:val="00DD30D4"/>
    <w:rsid w:val="00DD3EB0"/>
    <w:rsid w:val="00DD40BE"/>
    <w:rsid w:val="00DD50EB"/>
    <w:rsid w:val="00DD6F06"/>
    <w:rsid w:val="00DD7A26"/>
    <w:rsid w:val="00DE07AF"/>
    <w:rsid w:val="00DE28F2"/>
    <w:rsid w:val="00DE2E05"/>
    <w:rsid w:val="00DE3025"/>
    <w:rsid w:val="00DE6849"/>
    <w:rsid w:val="00DE6B63"/>
    <w:rsid w:val="00DE70D6"/>
    <w:rsid w:val="00DF1477"/>
    <w:rsid w:val="00DF22FC"/>
    <w:rsid w:val="00DF2DAA"/>
    <w:rsid w:val="00DF76E8"/>
    <w:rsid w:val="00E0047E"/>
    <w:rsid w:val="00E0306E"/>
    <w:rsid w:val="00E059DD"/>
    <w:rsid w:val="00E05B9C"/>
    <w:rsid w:val="00E12EB2"/>
    <w:rsid w:val="00E22A8C"/>
    <w:rsid w:val="00E2598F"/>
    <w:rsid w:val="00E26D98"/>
    <w:rsid w:val="00E30F77"/>
    <w:rsid w:val="00E3137A"/>
    <w:rsid w:val="00E31770"/>
    <w:rsid w:val="00E34C47"/>
    <w:rsid w:val="00E35C99"/>
    <w:rsid w:val="00E365FF"/>
    <w:rsid w:val="00E40E81"/>
    <w:rsid w:val="00E42F21"/>
    <w:rsid w:val="00E44531"/>
    <w:rsid w:val="00E455A4"/>
    <w:rsid w:val="00E45FB0"/>
    <w:rsid w:val="00E47762"/>
    <w:rsid w:val="00E509E8"/>
    <w:rsid w:val="00E563E7"/>
    <w:rsid w:val="00E577E0"/>
    <w:rsid w:val="00E6073A"/>
    <w:rsid w:val="00E60E1C"/>
    <w:rsid w:val="00E621CC"/>
    <w:rsid w:val="00E63DE1"/>
    <w:rsid w:val="00E6472E"/>
    <w:rsid w:val="00E65554"/>
    <w:rsid w:val="00E66CDA"/>
    <w:rsid w:val="00E707CF"/>
    <w:rsid w:val="00E71E9B"/>
    <w:rsid w:val="00E74FA6"/>
    <w:rsid w:val="00E75D51"/>
    <w:rsid w:val="00E81562"/>
    <w:rsid w:val="00E81DA1"/>
    <w:rsid w:val="00E84820"/>
    <w:rsid w:val="00E85B4C"/>
    <w:rsid w:val="00E939D3"/>
    <w:rsid w:val="00E94287"/>
    <w:rsid w:val="00E9581E"/>
    <w:rsid w:val="00E97688"/>
    <w:rsid w:val="00EA1984"/>
    <w:rsid w:val="00EA669E"/>
    <w:rsid w:val="00EB0A8A"/>
    <w:rsid w:val="00EB108E"/>
    <w:rsid w:val="00EB2F75"/>
    <w:rsid w:val="00EB4DF0"/>
    <w:rsid w:val="00EB554A"/>
    <w:rsid w:val="00EB5575"/>
    <w:rsid w:val="00EB6312"/>
    <w:rsid w:val="00EB6404"/>
    <w:rsid w:val="00EC2804"/>
    <w:rsid w:val="00EC5A19"/>
    <w:rsid w:val="00ED26B5"/>
    <w:rsid w:val="00ED5738"/>
    <w:rsid w:val="00EE0432"/>
    <w:rsid w:val="00EE2BB4"/>
    <w:rsid w:val="00EE31E1"/>
    <w:rsid w:val="00EE35F6"/>
    <w:rsid w:val="00EE4875"/>
    <w:rsid w:val="00EE6C88"/>
    <w:rsid w:val="00EF26C0"/>
    <w:rsid w:val="00EF2D70"/>
    <w:rsid w:val="00F04277"/>
    <w:rsid w:val="00F04735"/>
    <w:rsid w:val="00F05E66"/>
    <w:rsid w:val="00F07733"/>
    <w:rsid w:val="00F07C26"/>
    <w:rsid w:val="00F10718"/>
    <w:rsid w:val="00F10F75"/>
    <w:rsid w:val="00F120C4"/>
    <w:rsid w:val="00F127E5"/>
    <w:rsid w:val="00F12D7A"/>
    <w:rsid w:val="00F13A08"/>
    <w:rsid w:val="00F1588B"/>
    <w:rsid w:val="00F162D6"/>
    <w:rsid w:val="00F213B5"/>
    <w:rsid w:val="00F2419A"/>
    <w:rsid w:val="00F25BA8"/>
    <w:rsid w:val="00F25D30"/>
    <w:rsid w:val="00F26141"/>
    <w:rsid w:val="00F2646C"/>
    <w:rsid w:val="00F307E5"/>
    <w:rsid w:val="00F309B9"/>
    <w:rsid w:val="00F31F2A"/>
    <w:rsid w:val="00F32331"/>
    <w:rsid w:val="00F32901"/>
    <w:rsid w:val="00F348C5"/>
    <w:rsid w:val="00F40D8F"/>
    <w:rsid w:val="00F43FAC"/>
    <w:rsid w:val="00F449B5"/>
    <w:rsid w:val="00F45091"/>
    <w:rsid w:val="00F50D5F"/>
    <w:rsid w:val="00F52081"/>
    <w:rsid w:val="00F524E6"/>
    <w:rsid w:val="00F52D42"/>
    <w:rsid w:val="00F561CC"/>
    <w:rsid w:val="00F57D3A"/>
    <w:rsid w:val="00F60B0E"/>
    <w:rsid w:val="00F620B4"/>
    <w:rsid w:val="00F62EE2"/>
    <w:rsid w:val="00F654CA"/>
    <w:rsid w:val="00F660E8"/>
    <w:rsid w:val="00F7084F"/>
    <w:rsid w:val="00F70BBC"/>
    <w:rsid w:val="00F73174"/>
    <w:rsid w:val="00F7353F"/>
    <w:rsid w:val="00F77F1F"/>
    <w:rsid w:val="00F804DD"/>
    <w:rsid w:val="00F84A77"/>
    <w:rsid w:val="00F858A5"/>
    <w:rsid w:val="00F85F5D"/>
    <w:rsid w:val="00F8608F"/>
    <w:rsid w:val="00F912DB"/>
    <w:rsid w:val="00F91A9B"/>
    <w:rsid w:val="00F9485D"/>
    <w:rsid w:val="00F95F7C"/>
    <w:rsid w:val="00F97A0C"/>
    <w:rsid w:val="00FA0EB0"/>
    <w:rsid w:val="00FB281C"/>
    <w:rsid w:val="00FB3756"/>
    <w:rsid w:val="00FB4384"/>
    <w:rsid w:val="00FB4B0E"/>
    <w:rsid w:val="00FB4F85"/>
    <w:rsid w:val="00FB531D"/>
    <w:rsid w:val="00FB5A99"/>
    <w:rsid w:val="00FC25C5"/>
    <w:rsid w:val="00FC3BA2"/>
    <w:rsid w:val="00FD2FDB"/>
    <w:rsid w:val="00FD371A"/>
    <w:rsid w:val="00FD39F0"/>
    <w:rsid w:val="00FD45EB"/>
    <w:rsid w:val="00FD57FC"/>
    <w:rsid w:val="00FD666D"/>
    <w:rsid w:val="00FE58A4"/>
    <w:rsid w:val="00FE75F6"/>
    <w:rsid w:val="00FF6C53"/>
    <w:rsid w:val="02446211"/>
    <w:rsid w:val="024F6077"/>
    <w:rsid w:val="075EDD04"/>
    <w:rsid w:val="0A76AE55"/>
    <w:rsid w:val="0B98B554"/>
    <w:rsid w:val="0B9C18D6"/>
    <w:rsid w:val="0C4F169A"/>
    <w:rsid w:val="0E35A6BE"/>
    <w:rsid w:val="0E86D5A2"/>
    <w:rsid w:val="0EFECA0F"/>
    <w:rsid w:val="1082F046"/>
    <w:rsid w:val="11C5AD48"/>
    <w:rsid w:val="124DDFDB"/>
    <w:rsid w:val="1284DF6A"/>
    <w:rsid w:val="1338EFCB"/>
    <w:rsid w:val="13658010"/>
    <w:rsid w:val="13F1ED20"/>
    <w:rsid w:val="1585809D"/>
    <w:rsid w:val="19DA427B"/>
    <w:rsid w:val="1CAFFA27"/>
    <w:rsid w:val="1CD535DE"/>
    <w:rsid w:val="1DA3BD1A"/>
    <w:rsid w:val="201D5905"/>
    <w:rsid w:val="2232B06C"/>
    <w:rsid w:val="226899F0"/>
    <w:rsid w:val="23DFFD3A"/>
    <w:rsid w:val="25F248DC"/>
    <w:rsid w:val="25F798A4"/>
    <w:rsid w:val="26E5B166"/>
    <w:rsid w:val="28FB702E"/>
    <w:rsid w:val="29966AB5"/>
    <w:rsid w:val="29BEE8C0"/>
    <w:rsid w:val="2AB4F192"/>
    <w:rsid w:val="2B1912B9"/>
    <w:rsid w:val="2B1E5715"/>
    <w:rsid w:val="2B323B16"/>
    <w:rsid w:val="2CCE0B77"/>
    <w:rsid w:val="2D7CEF3A"/>
    <w:rsid w:val="2DEB9BDD"/>
    <w:rsid w:val="3163BF46"/>
    <w:rsid w:val="32B63F75"/>
    <w:rsid w:val="33BE9453"/>
    <w:rsid w:val="34255F9D"/>
    <w:rsid w:val="37434E27"/>
    <w:rsid w:val="382E7E9E"/>
    <w:rsid w:val="38E90A77"/>
    <w:rsid w:val="38EFFF65"/>
    <w:rsid w:val="3B9BD177"/>
    <w:rsid w:val="3BE1052B"/>
    <w:rsid w:val="3C25E05E"/>
    <w:rsid w:val="3EE9CF89"/>
    <w:rsid w:val="40393FDF"/>
    <w:rsid w:val="40401B8D"/>
    <w:rsid w:val="4078C027"/>
    <w:rsid w:val="413D3B05"/>
    <w:rsid w:val="41D6112F"/>
    <w:rsid w:val="457C794A"/>
    <w:rsid w:val="47BB27AA"/>
    <w:rsid w:val="4AC83D6C"/>
    <w:rsid w:val="4B708970"/>
    <w:rsid w:val="4CEE1062"/>
    <w:rsid w:val="50BA93FA"/>
    <w:rsid w:val="51DF3C6E"/>
    <w:rsid w:val="5616C40B"/>
    <w:rsid w:val="56D3C279"/>
    <w:rsid w:val="572DE755"/>
    <w:rsid w:val="5B14FC07"/>
    <w:rsid w:val="5DE0A969"/>
    <w:rsid w:val="5F75A6F5"/>
    <w:rsid w:val="60162488"/>
    <w:rsid w:val="60F863C4"/>
    <w:rsid w:val="612CAC01"/>
    <w:rsid w:val="61EDC99B"/>
    <w:rsid w:val="626CFA7C"/>
    <w:rsid w:val="62D7B583"/>
    <w:rsid w:val="658CF04B"/>
    <w:rsid w:val="667C6233"/>
    <w:rsid w:val="6699DB9B"/>
    <w:rsid w:val="66B46E50"/>
    <w:rsid w:val="66D76AA2"/>
    <w:rsid w:val="679003C2"/>
    <w:rsid w:val="68747BCD"/>
    <w:rsid w:val="68C4910D"/>
    <w:rsid w:val="692C4976"/>
    <w:rsid w:val="697A1730"/>
    <w:rsid w:val="697F6725"/>
    <w:rsid w:val="69D17C5D"/>
    <w:rsid w:val="69D87198"/>
    <w:rsid w:val="6A7E58A0"/>
    <w:rsid w:val="75042D54"/>
    <w:rsid w:val="76BC4CA6"/>
    <w:rsid w:val="77886582"/>
    <w:rsid w:val="793084A0"/>
    <w:rsid w:val="7968DA12"/>
    <w:rsid w:val="79901618"/>
    <w:rsid w:val="7A49230F"/>
    <w:rsid w:val="7AD33D31"/>
    <w:rsid w:val="7B007316"/>
    <w:rsid w:val="7B05D5AC"/>
    <w:rsid w:val="7B3EC680"/>
    <w:rsid w:val="7C681279"/>
    <w:rsid w:val="7CEBCAB7"/>
    <w:rsid w:val="7E4D5F25"/>
    <w:rsid w:val="7F7624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5835986"/>
  <w15:docId w15:val="{56701D7E-65F9-4C48-A996-E25EF637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uiPriority w:val="99"/>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uiPriority w:val="99"/>
    <w:qFormat/>
    <w:rsid w:val="00F26141"/>
  </w:style>
  <w:style w:type="character" w:customStyle="1" w:styleId="FootnoteTextChar">
    <w:name w:val="Footnote Text Char"/>
    <w:aliases w:val="ALTS FOOTNOTE Char,Car Char,Footnote Text Char Char Char,Footnote Text Char Char Char Char Char,Footnote Text Char Char Char Char Char Char Char Char Char Char Char Char Char Char Char Char Char Char,Footnote Text Char1 Char,fn Char"/>
    <w:basedOn w:val="DefaultParagraphFont"/>
    <w:link w:val="FootnoteText"/>
    <w:uiPriority w:val="99"/>
    <w:rsid w:val="00F26141"/>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unhideWhenUsed/>
    <w:rsid w:val="00E81562"/>
    <w:rPr>
      <w:color w:val="605E5C"/>
      <w:shd w:val="clear" w:color="auto" w:fill="E1DFDD"/>
    </w:rPr>
  </w:style>
  <w:style w:type="paragraph" w:customStyle="1" w:styleId="CM10">
    <w:name w:val="CM10"/>
    <w:basedOn w:val="Default"/>
    <w:next w:val="Default"/>
    <w:uiPriority w:val="99"/>
    <w:rsid w:val="00430886"/>
    <w:pPr>
      <w:widowControl w:val="0"/>
    </w:pPr>
    <w:rPr>
      <w:rFonts w:ascii="Times New Roman" w:hAnsi="Times New Roman" w:cs="Times New Roman"/>
      <w:color w:val="auto"/>
    </w:rPr>
  </w:style>
  <w:style w:type="character" w:styleId="Mention">
    <w:name w:val="Mention"/>
    <w:basedOn w:val="DefaultParagraphFont"/>
    <w:uiPriority w:val="99"/>
    <w:unhideWhenUsed/>
    <w:rsid w:val="00CF45E5"/>
    <w:rPr>
      <w:color w:val="2B579A"/>
      <w:shd w:val="clear" w:color="auto" w:fill="E1DFDD"/>
    </w:rPr>
  </w:style>
  <w:style w:type="character" w:customStyle="1" w:styleId="cf01">
    <w:name w:val="cf01"/>
    <w:basedOn w:val="DefaultParagraphFont"/>
    <w:rsid w:val="004D4D0F"/>
    <w:rPr>
      <w:rFonts w:ascii="Segoe UI" w:hAnsi="Segoe UI" w:cs="Segoe UI" w:hint="default"/>
      <w:sz w:val="18"/>
      <w:szCs w:val="18"/>
    </w:rPr>
  </w:style>
  <w:style w:type="character" w:styleId="Emphasis">
    <w:name w:val="Emphasis"/>
    <w:uiPriority w:val="20"/>
    <w:qFormat/>
    <w:rsid w:val="00F73174"/>
    <w:rPr>
      <w:i/>
      <w:iCs/>
    </w:rPr>
  </w:style>
  <w:style w:type="character" w:customStyle="1" w:styleId="normaltextrun">
    <w:name w:val="normaltextrun"/>
    <w:basedOn w:val="DefaultParagraphFont"/>
    <w:rsid w:val="00845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reginf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41b3ae0-daf4-45c4-8d54-e82e89e6ceb1">
      <UserInfo>
        <DisplayName>Scherzer, Michael (CFPB)</DisplayName>
        <AccountId>121</AccountId>
        <AccountType/>
      </UserInfo>
      <UserInfo>
        <DisplayName>Velez, Yaritza (CFPB)</DisplayName>
        <AccountId>60</AccountId>
        <AccountType/>
      </UserInfo>
    </SharedWithUsers>
    <_activity xmlns="a9553836-b81d-43cb-867a-65ef38b86c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05A65A93CB0D42990E1F68E39BA869" ma:contentTypeVersion="14" ma:contentTypeDescription="Create a new document." ma:contentTypeScope="" ma:versionID="10302a9f6439d0f531ce33338adf4d77">
  <xsd:schema xmlns:xsd="http://www.w3.org/2001/XMLSchema" xmlns:xs="http://www.w3.org/2001/XMLSchema" xmlns:p="http://schemas.microsoft.com/office/2006/metadata/properties" xmlns:ns3="a9553836-b81d-43cb-867a-65ef38b86c0e" xmlns:ns4="141b3ae0-daf4-45c4-8d54-e82e89e6ceb1" targetNamespace="http://schemas.microsoft.com/office/2006/metadata/properties" ma:root="true" ma:fieldsID="cbd9e29bad07b7d6e7a8eba35efd76cb" ns3:_="" ns4:_="">
    <xsd:import namespace="a9553836-b81d-43cb-867a-65ef38b86c0e"/>
    <xsd:import namespace="141b3ae0-daf4-45c4-8d54-e82e89e6ceb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53836-b81d-43cb-867a-65ef38b86c0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1b3ae0-daf4-45c4-8d54-e82e89e6ceb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2.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141b3ae0-daf4-45c4-8d54-e82e89e6ceb1"/>
    <ds:schemaRef ds:uri="a9553836-b81d-43cb-867a-65ef38b86c0e"/>
  </ds:schemaRefs>
</ds:datastoreItem>
</file>

<file path=customXml/itemProps3.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4.xml><?xml version="1.0" encoding="utf-8"?>
<ds:datastoreItem xmlns:ds="http://schemas.openxmlformats.org/officeDocument/2006/customXml" ds:itemID="{46AB68D7-8902-4610-B948-CB82BF795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53836-b81d-43cb-867a-65ef38b86c0e"/>
    <ds:schemaRef ds:uri="141b3ae0-daf4-45c4-8d54-e82e89e6c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4869</Words>
  <Characters>27757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Galleher, Michael (CFPB)</cp:lastModifiedBy>
  <cp:revision>3</cp:revision>
  <cp:lastPrinted>2017-07-26T07:39:00Z</cp:lastPrinted>
  <dcterms:created xsi:type="dcterms:W3CDTF">2024-11-18T17:15:00Z</dcterms:created>
  <dcterms:modified xsi:type="dcterms:W3CDTF">2024-11-18T17:30:00Z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0x010100DB05A65A93CB0D42990E1F68E39BA869</vt:lpwstr>
  </property>
  <property fmtid="{D5CDD505-2E9C-101B-9397-08002B2CF9AE}" pid="3" name="CUI">
    <vt:lpwstr/>
  </property>
  <property fmtid="{D5CDD505-2E9C-101B-9397-08002B2CF9AE}" pid="4" name="ha7d3917c94f4bf395de9c38b301cb4d">
    <vt:lpwstr/>
  </property>
  <property fmtid="{D5CDD505-2E9C-101B-9397-08002B2CF9AE}" pid="5" name="k44039c78db54660831f19f4953573330">
    <vt:lpwstr/>
  </property>
  <property fmtid="{D5CDD505-2E9C-101B-9397-08002B2CF9AE}" pid="6" name="MediaServiceImageTags">
    <vt:lpwstr/>
  </property>
  <property fmtid="{D5CDD505-2E9C-101B-9397-08002B2CF9AE}" pid="7" name="TaxKeyword">
    <vt:lpwstr/>
  </property>
  <property fmtid="{D5CDD505-2E9C-101B-9397-08002B2CF9AE}" pid="8" name="West km Library Group RMR-Regs">
    <vt:lpwstr/>
  </property>
  <property fmtid="{D5CDD505-2E9C-101B-9397-08002B2CF9AE}" pid="9" name="WestKMLibraryGroup">
    <vt:lpwstr/>
  </property>
  <property fmtid="{D5CDD505-2E9C-101B-9397-08002B2CF9AE}" pid="10" name="_dlc_DocIdItemGuid">
    <vt:lpwstr>e179d146-cee6-4bd4-9fc9-1ef7feebbe68</vt:lpwstr>
  </property>
  <property fmtid="{D5CDD505-2E9C-101B-9397-08002B2CF9AE}" pid="11" name="_NewReviewCycle">
    <vt:lpwstr/>
  </property>
</Properties>
</file>