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0B73743D">
      <w:pPr>
        <w:pStyle w:val="NoSpacing"/>
        <w:jc w:val="center"/>
        <w:rPr>
          <w:rFonts w:ascii="Calibri" w:hAnsi="Calibri" w:cs="Calibri"/>
          <w:b/>
          <w:sz w:val="24"/>
        </w:rPr>
      </w:pPr>
      <w:r w:rsidRPr="006C0921">
        <w:rPr>
          <w:rFonts w:ascii="Calibri" w:hAnsi="Calibri" w:cs="Calibri"/>
          <w:b/>
          <w:sz w:val="24"/>
        </w:rPr>
        <w:t>Census Household Panel</w:t>
      </w:r>
      <w:r w:rsidRPr="006C0921">
        <w:rPr>
          <w:rFonts w:ascii="Calibri" w:hAnsi="Calibri" w:cs="Calibri"/>
          <w:b/>
          <w:sz w:val="24"/>
        </w:rPr>
        <w:t xml:space="preserve"> </w:t>
      </w:r>
    </w:p>
    <w:p w:rsidR="005367D0" w:rsidRPr="00E12A81" w:rsidP="005367D0" w14:paraId="0712F59D" w14:textId="73B96744">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725D68" w:rsidR="00725D68">
        <w:rPr>
          <w:rFonts w:ascii="Calibri" w:hAnsi="Calibri" w:cs="Calibri"/>
          <w:b/>
          <w:sz w:val="24"/>
        </w:rPr>
        <w:t>1025</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807295A" w14:textId="2CDF072C">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00774685">
        <w:rPr>
          <w:rFonts w:ascii="Calibri" w:hAnsi="Calibri" w:cs="Calibri"/>
        </w:rPr>
        <w:t xml:space="preserve"> </w:t>
      </w:r>
      <w:r w:rsidRPr="00124446">
        <w:rPr>
          <w:rFonts w:ascii="Calibri" w:hAnsi="Calibri" w:cs="Calibri"/>
        </w:rPr>
        <w:t>collection.</w:t>
      </w:r>
    </w:p>
    <w:p w:rsidR="00774685" w:rsidRPr="00774685" w:rsidP="00A63C05" w14:paraId="51A01C9E" w14:textId="61CA1ECD">
      <w:pPr>
        <w:spacing w:before="161"/>
        <w:ind w:left="400" w:right="362"/>
        <w:rPr>
          <w:rFonts w:ascii="Calibri" w:hAnsi="Calibri" w:cs="Calibri"/>
          <w:bCs/>
          <w:sz w:val="24"/>
        </w:rPr>
      </w:pPr>
      <w:r w:rsidRPr="002038D4">
        <w:rPr>
          <w:rFonts w:ascii="Calibri" w:hAnsi="Calibri" w:cs="Calibri"/>
          <w:sz w:val="24"/>
          <w:szCs w:val="24"/>
        </w:rPr>
        <w:t>The topical</w:t>
      </w:r>
      <w:r w:rsidRPr="002038D4">
        <w:rPr>
          <w:rFonts w:ascii="Calibri" w:hAnsi="Calibri" w:cs="Calibri"/>
          <w:sz w:val="24"/>
          <w:szCs w:val="24"/>
        </w:rPr>
        <w:t xml:space="preserve"> sample size </w:t>
      </w:r>
      <w:r w:rsidR="00C30F3D">
        <w:rPr>
          <w:rFonts w:ascii="Calibri" w:hAnsi="Calibri" w:cs="Calibri"/>
          <w:sz w:val="24"/>
          <w:szCs w:val="24"/>
        </w:rPr>
        <w:t>is currently</w:t>
      </w:r>
      <w:r w:rsidRPr="002038D4">
        <w:rPr>
          <w:rFonts w:ascii="Calibri" w:hAnsi="Calibri" w:cs="Calibri"/>
          <w:sz w:val="24"/>
          <w:szCs w:val="24"/>
        </w:rPr>
        <w:t xml:space="preserve"> </w:t>
      </w:r>
      <w:r w:rsidR="00E21840">
        <w:rPr>
          <w:rFonts w:ascii="Calibri" w:hAnsi="Calibri" w:cs="Calibri"/>
          <w:sz w:val="24"/>
          <w:szCs w:val="24"/>
        </w:rPr>
        <w:t>17,</w:t>
      </w:r>
      <w:r w:rsidR="00F31AA9">
        <w:rPr>
          <w:rFonts w:ascii="Calibri" w:hAnsi="Calibri" w:cs="Calibri"/>
          <w:sz w:val="24"/>
          <w:szCs w:val="24"/>
        </w:rPr>
        <w:t>852</w:t>
      </w:r>
      <w:r w:rsidRPr="002038D4">
        <w:rPr>
          <w:rFonts w:ascii="Calibri" w:hAnsi="Calibri" w:cs="Calibri"/>
          <w:sz w:val="24"/>
          <w:szCs w:val="24"/>
        </w:rPr>
        <w:t xml:space="preserve"> housing units</w:t>
      </w:r>
      <w:r w:rsidR="00E21840">
        <w:rPr>
          <w:rFonts w:ascii="Calibri" w:hAnsi="Calibri" w:cs="Calibri"/>
          <w:sz w:val="24"/>
          <w:szCs w:val="24"/>
        </w:rPr>
        <w:t xml:space="preserve"> after conducting sample replenishment</w:t>
      </w:r>
      <w:r w:rsidR="00C30F3D">
        <w:rPr>
          <w:rFonts w:ascii="Calibri" w:hAnsi="Calibri" w:cs="Calibri"/>
          <w:sz w:val="24"/>
          <w:szCs w:val="24"/>
        </w:rPr>
        <w:t xml:space="preserve"> in March</w:t>
      </w:r>
      <w:r w:rsidRPr="002038D4">
        <w:rPr>
          <w:rFonts w:ascii="Calibri" w:hAnsi="Calibri" w:cs="Calibri"/>
          <w:sz w:val="24"/>
          <w:szCs w:val="24"/>
        </w:rPr>
        <w:t xml:space="preserve">. </w:t>
      </w:r>
      <w:r w:rsidR="00AE74AE">
        <w:rPr>
          <w:rFonts w:ascii="Calibri" w:hAnsi="Calibri" w:cs="Calibri"/>
          <w:sz w:val="24"/>
          <w:szCs w:val="24"/>
        </w:rPr>
        <w:t>Previous topicals yielded, on average, a response rate of</w:t>
      </w:r>
      <w:r w:rsidR="00332063">
        <w:rPr>
          <w:rFonts w:ascii="Calibri" w:hAnsi="Calibri" w:cs="Calibri"/>
          <w:sz w:val="24"/>
          <w:szCs w:val="24"/>
        </w:rPr>
        <w:t xml:space="preserve"> approximately </w:t>
      </w:r>
      <w:r w:rsidR="00AE74AE">
        <w:rPr>
          <w:rFonts w:ascii="Calibri" w:hAnsi="Calibri" w:cs="Calibri"/>
          <w:sz w:val="24"/>
          <w:szCs w:val="24"/>
        </w:rPr>
        <w:t>58</w:t>
      </w:r>
      <w:r w:rsidR="00332063">
        <w:rPr>
          <w:rFonts w:ascii="Calibri" w:hAnsi="Calibri" w:cs="Calibri"/>
          <w:sz w:val="24"/>
          <w:szCs w:val="24"/>
        </w:rPr>
        <w:t>%. Subsequent topicals are expected to have a similar response rate</w:t>
      </w:r>
      <w:r w:rsidRPr="002038D4" w:rsidR="002038D4">
        <w:rPr>
          <w:rFonts w:ascii="Calibri" w:hAnsi="Calibri" w:cs="Calibri"/>
          <w:sz w:val="24"/>
          <w:szCs w:val="24"/>
        </w:rPr>
        <w:t xml:space="preserve">, </w:t>
      </w:r>
      <w:r w:rsidRPr="002038D4">
        <w:rPr>
          <w:rFonts w:ascii="Calibri" w:hAnsi="Calibri" w:cs="Calibri"/>
          <w:sz w:val="24"/>
          <w:szCs w:val="24"/>
        </w:rPr>
        <w:t xml:space="preserve">resulting in </w:t>
      </w:r>
      <w:r w:rsidRPr="002038D4" w:rsidR="002038D4">
        <w:rPr>
          <w:rFonts w:ascii="Calibri" w:hAnsi="Calibri" w:cs="Calibri"/>
          <w:sz w:val="24"/>
          <w:szCs w:val="24"/>
        </w:rPr>
        <w:t xml:space="preserve">approximately </w:t>
      </w:r>
      <w:r w:rsidR="00647934">
        <w:rPr>
          <w:rFonts w:ascii="Calibri" w:hAnsi="Calibri" w:cs="Calibri"/>
          <w:sz w:val="24"/>
          <w:szCs w:val="24"/>
        </w:rPr>
        <w:t>10,</w:t>
      </w:r>
      <w:r w:rsidR="00F31AA9">
        <w:rPr>
          <w:rFonts w:ascii="Calibri" w:hAnsi="Calibri" w:cs="Calibri"/>
          <w:sz w:val="24"/>
          <w:szCs w:val="24"/>
        </w:rPr>
        <w:t>35</w:t>
      </w:r>
      <w:r w:rsidR="007E0B54">
        <w:rPr>
          <w:rFonts w:ascii="Calibri" w:hAnsi="Calibri" w:cs="Calibri"/>
          <w:sz w:val="24"/>
          <w:szCs w:val="24"/>
        </w:rPr>
        <w:t>4</w:t>
      </w:r>
      <w:r w:rsidRPr="002038D4">
        <w:rPr>
          <w:rFonts w:ascii="Calibri" w:hAnsi="Calibri" w:cs="Calibri"/>
          <w:sz w:val="24"/>
          <w:szCs w:val="24"/>
        </w:rPr>
        <w:t xml:space="preserve"> households </w:t>
      </w:r>
      <w:r w:rsidRPr="002038D4" w:rsidR="00AB0698">
        <w:rPr>
          <w:rFonts w:ascii="Calibri" w:hAnsi="Calibri" w:cs="Calibri"/>
          <w:sz w:val="24"/>
          <w:szCs w:val="24"/>
        </w:rPr>
        <w:t xml:space="preserve">responding to the </w:t>
      </w:r>
      <w:r w:rsidR="00C31A66">
        <w:rPr>
          <w:rFonts w:ascii="Calibri" w:hAnsi="Calibri" w:cs="Calibri"/>
          <w:sz w:val="24"/>
          <w:szCs w:val="24"/>
        </w:rPr>
        <w:t>13th and 14th</w:t>
      </w:r>
      <w:r w:rsidR="00AE74AE">
        <w:rPr>
          <w:rFonts w:ascii="Calibri" w:hAnsi="Calibri" w:cs="Calibri"/>
          <w:sz w:val="24"/>
          <w:szCs w:val="24"/>
        </w:rPr>
        <w:t xml:space="preserve"> </w:t>
      </w:r>
      <w:r w:rsidRPr="002038D4" w:rsidR="002038D4">
        <w:rPr>
          <w:rFonts w:ascii="Calibri" w:hAnsi="Calibri" w:cs="Calibri"/>
          <w:sz w:val="24"/>
          <w:szCs w:val="24"/>
        </w:rPr>
        <w:t>topical surveys.</w:t>
      </w:r>
    </w:p>
    <w:p w:rsidR="00B955B7" w:rsidRPr="00A63C05" w:rsidP="00942196" w14:paraId="568610C7"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A01EE" w:rsidRPr="009A01EE" w:rsidP="009A01EE" w14:paraId="624B51BB" w14:textId="173F2589">
      <w:pPr>
        <w:pStyle w:val="BodyText"/>
        <w:spacing w:before="221" w:line="259" w:lineRule="auto"/>
        <w:ind w:right="340"/>
        <w:rPr>
          <w:rFonts w:ascii="Calibri" w:hAnsi="Calibri" w:cs="Calibri"/>
        </w:rPr>
      </w:pPr>
      <w:r w:rsidRPr="0E6A75DD">
        <w:rPr>
          <w:rFonts w:ascii="Calibri" w:hAnsi="Calibri" w:cs="Calibri"/>
        </w:rPr>
        <w:t xml:space="preserve">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four Census Bureau regions.  MAF records not stratified into a stratum based on the DF or PDB will be defined as their own strata.  The sample will be distributed proportionately within regions of the country to each stratum based on the number </w:t>
      </w:r>
      <w:r w:rsidRPr="0E6A75DD" w:rsidR="5884989C">
        <w:rPr>
          <w:rFonts w:ascii="Calibri" w:hAnsi="Calibri" w:cs="Calibri"/>
        </w:rPr>
        <w:t xml:space="preserve">of </w:t>
      </w:r>
      <w:r w:rsidRPr="0E6A75DD">
        <w:rPr>
          <w:rFonts w:ascii="Calibri" w:hAnsi="Calibri" w:cs="Calibri"/>
        </w:rPr>
        <w:t>housing units within the stratum.  We will conduct a subsampling operation in stratum that, based on results of other demographic surveys, have higher response rates.  Thus, the stratum where no subsampling occurs will be oversampled.</w:t>
      </w:r>
    </w:p>
    <w:p w:rsidR="00942196" w:rsidP="009A01EE" w14:paraId="443F8059" w14:textId="70D01ADE">
      <w:pPr>
        <w:pStyle w:val="BodyText"/>
        <w:spacing w:before="221" w:line="259" w:lineRule="auto"/>
        <w:ind w:right="340"/>
        <w:rPr>
          <w:rFonts w:ascii="Calibri" w:hAnsi="Calibri" w:cs="Calibri"/>
        </w:rPr>
      </w:pPr>
      <w:r w:rsidRPr="009A01EE">
        <w:rPr>
          <w:rFonts w:ascii="Calibri" w:hAnsi="Calibri" w:cs="Calibri"/>
        </w:rPr>
        <w:t xml:space="preserve">Future refreshment samples will be drawn from a frame that uses updated MAF, DF and PDB </w:t>
      </w:r>
      <w:r w:rsidRPr="009A01EE">
        <w:rPr>
          <w:rFonts w:ascii="Calibri" w:hAnsi="Calibri" w:cs="Calibri"/>
        </w:rPr>
        <w:t xml:space="preserve">information, and those samples may be targeted at the geographic or domain level, </w:t>
      </w:r>
      <w:r w:rsidRPr="009A01EE" w:rsidR="000E7FA4">
        <w:rPr>
          <w:rFonts w:ascii="Calibri" w:hAnsi="Calibri" w:cs="Calibri"/>
        </w:rPr>
        <w:t>to</w:t>
      </w:r>
      <w:r w:rsidRPr="009A01EE">
        <w:rPr>
          <w:rFonts w:ascii="Calibri" w:hAnsi="Calibri" w:cs="Calibri"/>
        </w:rPr>
        <w:t xml:space="preserve"> maintain representativeness of the Household Panel Survey, adjust sample sizes based on observed nonresponse, and account for sample units that are rotating out of the panel.</w:t>
      </w:r>
    </w:p>
    <w:p w:rsidR="009A01EE" w:rsidRPr="009A01EE" w:rsidP="009A01EE" w14:paraId="0910DEE4" w14:textId="27140994">
      <w:pPr>
        <w:pStyle w:val="BodyText"/>
        <w:spacing w:before="221" w:line="259" w:lineRule="auto"/>
        <w:ind w:right="340"/>
        <w:rPr>
          <w:rFonts w:asciiTheme="minorHAnsi" w:hAnsiTheme="minorHAnsi" w:cstheme="minorHAnsi"/>
        </w:rPr>
      </w:pPr>
      <w:r w:rsidRPr="009A01EE">
        <w:rPr>
          <w:rFonts w:asciiTheme="minorHAnsi" w:hAnsiTheme="minorHAnsi" w:cstheme="minorHAnsi"/>
        </w:rPr>
        <w:t xml:space="preserve">The final Household Panel Survey weights are designed to produce estimates for the total persons </w:t>
      </w:r>
      <w:r w:rsidRPr="009A01EE" w:rsidR="000E7FA4">
        <w:rPr>
          <w:rFonts w:asciiTheme="minorHAnsi" w:hAnsiTheme="minorHAnsi" w:cstheme="minorHAnsi"/>
        </w:rPr>
        <w:t>aged</w:t>
      </w:r>
      <w:r w:rsidRPr="009A01EE">
        <w:rPr>
          <w:rFonts w:asciiTheme="minorHAnsi" w:hAnsiTheme="minorHAnsi" w:cstheme="minorHAnsi"/>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Household Panel Survey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124446" w:rsidP="00942196" w14:paraId="532BBA3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006C0921" w14:paraId="7462578B" w14:textId="066D85E3">
      <w:pPr>
        <w:pStyle w:val="BodyText"/>
        <w:ind w:left="360"/>
        <w:rPr>
          <w:rFonts w:ascii="Calibri" w:hAnsi="Calibri" w:cs="Calibri"/>
        </w:rPr>
      </w:pPr>
      <w:r>
        <w:rPr>
          <w:rFonts w:ascii="Calibri" w:hAnsi="Calibri" w:cs="Calibri"/>
        </w:rPr>
        <w:t>Enrolled p</w:t>
      </w:r>
      <w:r w:rsidR="00AB0698">
        <w:rPr>
          <w:rFonts w:ascii="Calibri" w:hAnsi="Calibri" w:cs="Calibri"/>
        </w:rPr>
        <w:t>anelists</w:t>
      </w:r>
      <w:r w:rsidRPr="00D64EFA" w:rsidR="5E88C2A8">
        <w:rPr>
          <w:rFonts w:ascii="Calibri" w:hAnsi="Calibri" w:cs="Calibri"/>
        </w:rPr>
        <w:t xml:space="preserve"> will be invited to respond to monthly topical surveys. Invitations will be sent by email, text message (opt-in), and</w:t>
      </w:r>
      <w:r w:rsidR="00AB0698">
        <w:rPr>
          <w:rFonts w:ascii="Calibri" w:hAnsi="Calibri" w:cs="Calibri"/>
        </w:rPr>
        <w:t xml:space="preserve"> for those panelists with no email or mobile phone contact information, outbound telephone calling. </w:t>
      </w:r>
      <w:r w:rsidRPr="00D64EFA" w:rsidR="5E88C2A8">
        <w:rPr>
          <w:rFonts w:ascii="Calibri" w:hAnsi="Calibri" w:cs="Calibri"/>
        </w:rPr>
        <w:t xml:space="preserve">Using a unique login or QR code, panelists can access a topical questionnaire by computer, tablet, or smartphone to complete a topical survey. Phone-only panelists will complete topical surveys via inbound </w:t>
      </w:r>
      <w:r w:rsidR="00AB0698">
        <w:rPr>
          <w:rFonts w:ascii="Calibri" w:hAnsi="Calibri" w:cs="Calibri"/>
        </w:rPr>
        <w:t xml:space="preserve">or outbound </w:t>
      </w:r>
      <w:r w:rsidRPr="00D64EFA" w:rsidR="5E88C2A8">
        <w:rPr>
          <w:rFonts w:ascii="Calibri" w:hAnsi="Calibri" w:cs="Calibri"/>
        </w:rPr>
        <w:t xml:space="preserve">CATI. </w:t>
      </w:r>
    </w:p>
    <w:p w:rsidR="00D64EFA" w:rsidRPr="00D64EFA" w:rsidP="006C0921" w14:paraId="7BC55E76" w14:textId="4CB0164D">
      <w:pPr>
        <w:pStyle w:val="BodyText"/>
        <w:ind w:left="360"/>
        <w:rPr>
          <w:rFonts w:ascii="Calibri" w:hAnsi="Calibri" w:cs="Calibri"/>
        </w:rPr>
      </w:pPr>
      <w:r w:rsidRPr="42C6A1A1">
        <w:rPr>
          <w:rFonts w:ascii="Calibri" w:hAnsi="Calibri" w:cs="Calibri"/>
        </w:rPr>
        <w:t xml:space="preserve">Data collection for each topical survey will take place in a 2-week window. Each topical survey will be approximately </w:t>
      </w:r>
      <w:r w:rsidRPr="42C6A1A1" w:rsidR="005B2CBD">
        <w:rPr>
          <w:rFonts w:ascii="Calibri" w:hAnsi="Calibri" w:cs="Calibri"/>
        </w:rPr>
        <w:t xml:space="preserve">20 </w:t>
      </w:r>
      <w:r w:rsidRPr="42C6A1A1">
        <w:rPr>
          <w:rFonts w:ascii="Calibri" w:hAnsi="Calibri" w:cs="Calibri"/>
        </w:rPr>
        <w:t xml:space="preserve">minutes long and panelists will receive up to two reminders to complete a topical survey. Panelists who complete a topical survey will be mailed a thank you letter with a $10 cash incentive about </w:t>
      </w:r>
      <w:r w:rsidRPr="42C6A1A1" w:rsidR="00292D2F">
        <w:rPr>
          <w:rFonts w:ascii="Calibri" w:hAnsi="Calibri" w:cs="Calibri"/>
        </w:rPr>
        <w:t>6 weeks</w:t>
      </w:r>
      <w:r w:rsidRPr="42C6A1A1">
        <w:rPr>
          <w:rFonts w:ascii="Calibri" w:hAnsi="Calibri" w:cs="Calibri"/>
        </w:rPr>
        <w:t xml:space="preserve"> after the topical survey field period closes.</w:t>
      </w:r>
    </w:p>
    <w:p w:rsidR="02DB1C3A" w:rsidP="42C6A1A1" w14:paraId="52EC495E" w14:textId="4A2A342B">
      <w:pPr>
        <w:pStyle w:val="BodyText"/>
        <w:ind w:left="360"/>
        <w:rPr>
          <w:rFonts w:ascii="Calibri" w:hAnsi="Calibri" w:cs="Calibri"/>
        </w:rPr>
      </w:pPr>
      <w:bookmarkStart w:id="0" w:name="_Hlk176941645"/>
      <w:r w:rsidRPr="39F9E1A1">
        <w:rPr>
          <w:rFonts w:ascii="Calibri" w:hAnsi="Calibri" w:cs="Calibri"/>
        </w:rPr>
        <w:t xml:space="preserve">The topical survey that will field in November (Topical 13) </w:t>
      </w:r>
      <w:bookmarkStart w:id="1" w:name="_Hlk176941832"/>
      <w:r w:rsidRPr="39F9E1A1">
        <w:rPr>
          <w:rFonts w:ascii="Calibri" w:hAnsi="Calibri" w:cs="Calibri"/>
        </w:rPr>
        <w:t xml:space="preserve">will include three split-ballot experiments. The first will </w:t>
      </w:r>
      <w:r w:rsidRPr="39F9E1A1" w:rsidR="6EF3E171">
        <w:rPr>
          <w:rFonts w:ascii="Calibri" w:hAnsi="Calibri" w:cs="Calibri"/>
        </w:rPr>
        <w:t>test the usage of dependent interviewing for health insurance and social isolation questions previously administered on the panel. The second experiment will test the usage of “Don’t know” options on sensitive or difficult questions. The third experiment will evaluate whether people a</w:t>
      </w:r>
      <w:r w:rsidRPr="39F9E1A1" w:rsidR="50F8F9C7">
        <w:rPr>
          <w:rFonts w:ascii="Calibri" w:hAnsi="Calibri" w:cs="Calibri"/>
        </w:rPr>
        <w:t xml:space="preserve">re willing to upload information such as resumes, mortgage statements, or escrow analysis statements and whether it is preferred to answering survey questions. </w:t>
      </w:r>
      <w:bookmarkEnd w:id="1"/>
    </w:p>
    <w:bookmarkEnd w:id="0"/>
    <w:p w:rsidR="00D64EFA" w:rsidRPr="00D64EFA" w:rsidP="006C0921" w14:paraId="5DC5D584" w14:textId="48D5635E">
      <w:pPr>
        <w:pStyle w:val="BodyText"/>
        <w:ind w:left="360"/>
        <w:rPr>
          <w:rFonts w:ascii="Calibri" w:hAnsi="Calibri" w:cs="Calibri"/>
        </w:rPr>
      </w:pPr>
      <w:r w:rsidRPr="00D64EFA">
        <w:rPr>
          <w:rFonts w:ascii="Calibri" w:hAnsi="Calibri" w:cs="Calibri"/>
        </w:rPr>
        <w:t>Future topical surveys can be sponsored by other Census Bureau survey programs. Each topical survey will offer panelists an opportunity to update contact information and verify their address for incentive mailing. Content governance will initially follow policies developed for the Household Pulse Survey and be amended as necessary.</w:t>
      </w:r>
    </w:p>
    <w:p w:rsidR="005561F6" w:rsidP="00D64EFA" w14:paraId="29B05BA4" w14:textId="77777777">
      <w:pPr>
        <w:spacing w:line="276" w:lineRule="auto"/>
        <w:ind w:left="320"/>
        <w:rPr>
          <w:rFonts w:ascii="Calibri" w:hAnsi="Calibri" w:cs="Calibri"/>
          <w:sz w:val="24"/>
          <w:szCs w:val="24"/>
        </w:rPr>
      </w:pPr>
    </w:p>
    <w:p w:rsidR="00D64EFA" w:rsidRPr="00D64EFA" w:rsidP="00D64EFA" w14:paraId="3166C00F" w14:textId="4DD97027">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w:t>
      </w:r>
      <w:r w:rsidR="00292D2F">
        <w:rPr>
          <w:rFonts w:ascii="Calibri" w:hAnsi="Calibri" w:cs="Calibri"/>
          <w:sz w:val="24"/>
          <w:szCs w:val="24"/>
        </w:rPr>
        <w:t>will continue</w:t>
      </w:r>
      <w:r w:rsidRPr="00D64EFA">
        <w:rPr>
          <w:rFonts w:ascii="Calibri" w:hAnsi="Calibri" w:cs="Calibri"/>
          <w:sz w:val="24"/>
          <w:szCs w:val="24"/>
        </w:rPr>
        <w:t xml:space="preserve"> sending panelists one topical survey per month to keep them engaged. Panelists </w:t>
      </w:r>
      <w:r w:rsidRPr="00D64EFA">
        <w:rPr>
          <w:rFonts w:ascii="Calibri" w:hAnsi="Calibri" w:cs="Calibri"/>
          <w:sz w:val="24"/>
          <w:szCs w:val="24"/>
        </w:rPr>
        <w:t>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asked to respond to a pre-designed panel maintenance questionnaire that will also serve to verify demographic information and record any changes.</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29880047">
      <w:pPr>
        <w:spacing w:line="276" w:lineRule="auto"/>
        <w:ind w:left="320"/>
        <w:rPr>
          <w:rFonts w:ascii="Calibri" w:hAnsi="Calibri" w:cs="Calibri"/>
          <w:sz w:val="24"/>
          <w:szCs w:val="24"/>
        </w:rPr>
      </w:pPr>
      <w:r w:rsidRPr="3AF4A5F5">
        <w:rPr>
          <w:rFonts w:ascii="Calibri" w:hAnsi="Calibri" w:cs="Calibri"/>
          <w:sz w:val="24"/>
          <w:szCs w:val="24"/>
        </w:rPr>
        <w:t>In the future, w</w:t>
      </w:r>
      <w:r w:rsidRPr="3AF4A5F5">
        <w:rPr>
          <w:rFonts w:ascii="Calibri" w:hAnsi="Calibri" w:cs="Calibri"/>
          <w:sz w:val="24"/>
          <w:szCs w:val="24"/>
        </w:rPr>
        <w:t>e plan to use the Audience Management functionality in Qualtrics to create a web page where panelists can view their upcoming surveys, check for mailing of incentives for past questionnaires, update their contact information, access technical assistance, and opt-out of panel participation. At least once a year, panelists will be asked to verify or update information from their original Baseline Questionnaire to ensure information about the panelist and their household is current.</w:t>
      </w:r>
    </w:p>
    <w:p w:rsidR="3AF4A5F5" w:rsidP="3AF4A5F5" w14:paraId="0D3F0A2D" w14:textId="559E66E6">
      <w:pPr>
        <w:spacing w:line="276" w:lineRule="auto"/>
        <w:ind w:left="320"/>
        <w:rPr>
          <w:rFonts w:ascii="Calibri" w:hAnsi="Calibri" w:cs="Calibri"/>
          <w:sz w:val="24"/>
          <w:szCs w:val="24"/>
        </w:rPr>
      </w:pPr>
    </w:p>
    <w:p w:rsidR="00D64EFA" w:rsidRPr="00D64EFA" w:rsidP="00D64EFA" w14:paraId="34C6A4BA" w14:textId="77777777">
      <w:pPr>
        <w:pStyle w:val="Heading2"/>
        <w:ind w:left="320"/>
        <w:rPr>
          <w:rFonts w:ascii="Calibri" w:eastAsia="Arial" w:hAnsi="Calibri" w:cs="Calibri"/>
          <w:color w:val="auto"/>
          <w:sz w:val="24"/>
          <w:szCs w:val="24"/>
        </w:rPr>
      </w:pPr>
      <w:bookmarkStart w:id="2" w:name="_Toc78201646"/>
      <w:r w:rsidRPr="002F57F7">
        <w:rPr>
          <w:rFonts w:ascii="Calibri" w:eastAsia="Arial" w:hAnsi="Calibri" w:cs="Calibri"/>
          <w:color w:val="auto"/>
          <w:sz w:val="24"/>
          <w:szCs w:val="24"/>
        </w:rPr>
        <w:t>Panel Replacement and Replenishment</w:t>
      </w:r>
      <w:bookmarkEnd w:id="2"/>
      <w:r w:rsidRPr="002F57F7">
        <w:rPr>
          <w:rFonts w:ascii="Calibri" w:eastAsia="Arial" w:hAnsi="Calibri" w:cs="Calibri"/>
          <w:color w:val="auto"/>
          <w:sz w:val="24"/>
          <w:szCs w:val="24"/>
        </w:rPr>
        <w:t xml:space="preserve"> </w:t>
      </w:r>
    </w:p>
    <w:p w:rsidR="00D64EFA" w:rsidRPr="00D64EFA" w:rsidP="006C0921" w14:paraId="43AA53C7" w14:textId="77777777">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7777777">
      <w:pPr>
        <w:pStyle w:val="BodyText"/>
        <w:ind w:left="360"/>
        <w:rPr>
          <w:rFonts w:ascii="Calibri" w:hAnsi="Calibri" w:cs="Calibri"/>
        </w:rPr>
      </w:pPr>
      <w:r w:rsidRPr="00D64EFA">
        <w:rPr>
          <w:rFonts w:ascii="Calibri" w:hAnsi="Calibri" w:cs="Calibri"/>
        </w:rPr>
        <w:t>Panelist requests to disenroll from the panel will be identified and processed according to forthcoming protocols. Periodic nonresponse or refusal to the monthly requests for otherwise active panelists is expected. The definition of an inactive panelist is as follows:</w:t>
      </w:r>
    </w:p>
    <w:p w:rsidR="00D64EFA" w:rsidRPr="00D64EFA" w:rsidP="006C0921" w14:paraId="50900287" w14:textId="77777777">
      <w:pPr>
        <w:pStyle w:val="BodyText"/>
        <w:spacing w:line="276" w:lineRule="auto"/>
        <w:ind w:left="360"/>
        <w:rPr>
          <w:rFonts w:ascii="Calibri" w:hAnsi="Calibri" w:cs="Calibri"/>
        </w:rPr>
      </w:pPr>
      <w:r w:rsidRPr="00D64EFA">
        <w:rPr>
          <w:rFonts w:ascii="Calibri" w:hAnsi="Calibri" w:cs="Calibri"/>
        </w:rPr>
        <w:t>No response or active refusal to:</w:t>
      </w:r>
    </w:p>
    <w:p w:rsidR="00D64EFA" w:rsidRPr="00D64EFA" w:rsidP="006C0921" w14:paraId="3FBDC60A"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a survey request for two consecutive months;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more than 50% of survey requests within a 12-month period.</w:t>
      </w:r>
    </w:p>
    <w:p w:rsidR="00D64EFA" w:rsidRPr="00D64EFA" w:rsidP="006C0921" w14:paraId="73C20738" w14:textId="203A8D1F">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nonresponse to questions deemed critical for analysis, high item nonresponse alone or after data review), and poor-quality data resulting in an unusable interview. Inactive panelists will remain members of the Census Household Panel if reengagement is desired by Census staff, especially for rare or historically undercounted populations. Definition of poor-quality responses is forthcoming.</w:t>
      </w:r>
    </w:p>
    <w:p w:rsidR="00D64EFA" w:rsidRPr="00D64EFA" w:rsidP="006C0921" w14:paraId="759BDE29" w14:textId="77777777">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p>
    <w:p w:rsidR="00D64EFA" w:rsidP="006C0921" w14:paraId="78B0A038" w14:textId="77777777">
      <w:pPr>
        <w:pStyle w:val="table-sourcealt-1"/>
        <w:ind w:left="360" w:firstLine="0"/>
        <w:rPr>
          <w:rFonts w:ascii="Calibri" w:eastAsia="Arial" w:hAnsi="Calibri" w:cs="Calibri"/>
          <w:sz w:val="24"/>
          <w:szCs w:val="24"/>
          <w:lang w:eastAsia="en-US" w:bidi="en-US"/>
        </w:rPr>
      </w:pPr>
    </w:p>
    <w:p w:rsidR="00D64EFA" w:rsidRPr="00D64EFA" w:rsidP="006C0921" w14:paraId="77A6BD9B" w14:textId="1C40B01A">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p>
    <w:p w:rsidR="00D64EFA" w:rsidRPr="00D64EFA" w:rsidP="006C0921" w14:paraId="2956A05A" w14:textId="77777777">
      <w:pPr>
        <w:pStyle w:val="BodyText"/>
        <w:ind w:left="360"/>
        <w:rPr>
          <w:rFonts w:ascii="Calibri" w:hAnsi="Calibri" w:cs="Calibri"/>
        </w:rPr>
      </w:pPr>
      <w:bookmarkStart w:id="3" w:name="_Toc78199018"/>
      <w:bookmarkStart w:id="4" w:name="_Toc78200110"/>
      <w:bookmarkStart w:id="5" w:name="_Toc78200166"/>
      <w:bookmarkStart w:id="6" w:name="_Toc78200222"/>
      <w:bookmarkStart w:id="7" w:name="_Toc78201529"/>
      <w:bookmarkStart w:id="8" w:name="_Toc78201651"/>
      <w:bookmarkStart w:id="9" w:name="_Toc78199019"/>
      <w:bookmarkStart w:id="10" w:name="_Toc78200111"/>
      <w:bookmarkStart w:id="11" w:name="_Toc78200167"/>
      <w:bookmarkStart w:id="12" w:name="_Toc78200223"/>
      <w:bookmarkStart w:id="13" w:name="_Toc78201530"/>
      <w:bookmarkStart w:id="14" w:name="_Toc78201652"/>
      <w:bookmarkEnd w:id="3"/>
      <w:bookmarkEnd w:id="4"/>
      <w:bookmarkEnd w:id="5"/>
      <w:bookmarkEnd w:id="6"/>
      <w:bookmarkEnd w:id="7"/>
      <w:bookmarkEnd w:id="8"/>
      <w:bookmarkEnd w:id="9"/>
      <w:bookmarkEnd w:id="10"/>
      <w:bookmarkEnd w:id="11"/>
      <w:bookmarkEnd w:id="12"/>
      <w:bookmarkEnd w:id="13"/>
      <w:bookmarkEnd w:id="14"/>
      <w:r w:rsidRPr="3AF4A5F5">
        <w:rPr>
          <w:rFonts w:ascii="Calibri" w:hAnsi="Calibri" w:cs="Calibri"/>
        </w:rPr>
        <w:t>Because incentives remain one of the most effective ways to encourage survey participation. The current incentive design includes the following:</w:t>
      </w:r>
    </w:p>
    <w:p w:rsidR="3AF4A5F5" w:rsidP="3AF4A5F5" w14:paraId="788D7014" w14:textId="2D3A8D50">
      <w:pPr>
        <w:pStyle w:val="BodyText"/>
        <w:ind w:left="360"/>
        <w:rPr>
          <w:rFonts w:ascii="Calibri" w:hAnsi="Calibri" w:cs="Calibri"/>
        </w:rPr>
      </w:pP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0BDA23E0">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Topical Surveys: $10 for each topical survey (~</w:t>
      </w:r>
      <w:r w:rsidR="00C31A66">
        <w:rPr>
          <w:rFonts w:ascii="Calibri" w:eastAsia="Arial" w:hAnsi="Calibri" w:cs="Calibri"/>
          <w:sz w:val="24"/>
          <w:szCs w:val="24"/>
          <w:lang w:eastAsia="en-US" w:bidi="en-US"/>
        </w:rPr>
        <w:t>20</w:t>
      </w:r>
      <w:r w:rsidRPr="00D64EFA">
        <w:rPr>
          <w:rFonts w:ascii="Calibri" w:eastAsia="Arial" w:hAnsi="Calibri" w:cs="Calibri"/>
          <w:sz w:val="24"/>
          <w:szCs w:val="24"/>
          <w:lang w:eastAsia="en-US" w:bidi="en-US"/>
        </w:rPr>
        <w:t>-minute average; once per month).</w:t>
      </w:r>
    </w:p>
    <w:p w:rsidR="00D64EFA" w:rsidRPr="00D64EFA" w:rsidP="006C0921" w14:paraId="2D40FA5C" w14:textId="7611E7C9">
      <w:pPr>
        <w:pStyle w:val="BodyText"/>
        <w:ind w:left="360"/>
        <w:rPr>
          <w:rFonts w:ascii="Calibri" w:hAnsi="Calibri" w:cs="Calibri"/>
        </w:rPr>
      </w:pPr>
      <w:r w:rsidRPr="00D64EFA">
        <w:rPr>
          <w:rFonts w:ascii="Calibri" w:hAnsi="Calibri" w:cs="Calibri"/>
        </w:rPr>
        <w:t xml:space="preserve">Respondents will be mailed cash </w:t>
      </w:r>
      <w:r w:rsidR="00C31A66">
        <w:rPr>
          <w:rFonts w:ascii="Calibri" w:hAnsi="Calibri" w:cs="Calibri"/>
        </w:rPr>
        <w:t xml:space="preserve">or </w:t>
      </w:r>
      <w:r w:rsidRPr="00D64EFA">
        <w:rPr>
          <w:rFonts w:ascii="Calibri" w:hAnsi="Calibri" w:cs="Calibri"/>
        </w:rPr>
        <w:t>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893405" w:rsidP="00893405" w14:paraId="4821705C" w14:textId="77777777">
      <w:pPr>
        <w:pStyle w:val="BodyText"/>
        <w:spacing w:line="259" w:lineRule="auto"/>
        <w:ind w:left="0" w:right="407"/>
        <w:rPr>
          <w:rFonts w:ascii="Calibri" w:hAnsi="Calibri" w:cs="Calibri"/>
        </w:rPr>
      </w:pPr>
    </w:p>
    <w:p w:rsidR="00893405" w:rsidRPr="00893405" w:rsidP="00893405" w14:paraId="551550EF" w14:textId="36B490BD">
      <w:pPr>
        <w:pStyle w:val="BodyText"/>
        <w:spacing w:line="259" w:lineRule="auto"/>
        <w:ind w:left="0" w:right="407" w:firstLine="400"/>
        <w:rPr>
          <w:rFonts w:ascii="Calibri" w:hAnsi="Calibri" w:cs="Calibri"/>
          <w:b/>
          <w:bCs/>
          <w:u w:val="single"/>
        </w:rPr>
      </w:pPr>
      <w:r w:rsidRPr="00893405">
        <w:rPr>
          <w:rFonts w:ascii="Calibri" w:hAnsi="Calibri" w:cs="Calibri"/>
          <w:b/>
          <w:bCs/>
          <w:u w:val="single"/>
        </w:rPr>
        <w:t>Digital Incentives Experiment</w:t>
      </w:r>
    </w:p>
    <w:p w:rsidR="00C31A66" w:rsidP="0098249B" w14:paraId="03596315" w14:textId="251EA108">
      <w:pPr>
        <w:pStyle w:val="BodyText"/>
        <w:spacing w:line="259" w:lineRule="auto"/>
        <w:ind w:right="407"/>
        <w:rPr>
          <w:rFonts w:ascii="Calibri" w:hAnsi="Calibri" w:cs="Calibri"/>
        </w:rPr>
      </w:pPr>
      <w:r w:rsidRPr="0E6A75DD">
        <w:rPr>
          <w:rFonts w:ascii="Calibri" w:hAnsi="Calibri" w:cs="Calibri"/>
        </w:rPr>
        <w:t>The Census Household Panel (CHP) has relied on cash incentives since it began fielding in August 2023. The availability</w:t>
      </w:r>
      <w:r w:rsidRPr="0E6A75DD" w:rsidR="4FDB6910">
        <w:rPr>
          <w:rFonts w:ascii="Calibri" w:hAnsi="Calibri" w:cs="Calibri"/>
        </w:rPr>
        <w:t xml:space="preserve"> of</w:t>
      </w:r>
      <w:r w:rsidRPr="0E6A75DD">
        <w:rPr>
          <w:rFonts w:ascii="Calibri" w:hAnsi="Calibri" w:cs="Calibri"/>
        </w:rPr>
        <w:t xml:space="preserve"> digital incentives will allow us to begin offering redeemable codes to panelists in November and December 2024. Digital incentives will be delivered faster than cash and panelists will be able to choose between popular online retailers. For November and December, the Census Bureau proposes an experiment as a soft launch of digital incentives to test and inform operations around digital incentive delivery, and to assess how the introduction of digital incentives might affect response behavior. This will be conducted as a split-panel test with one-half of the sample eligible to receive digital incentives while the other half will be sent cash incentives. Cash will also be sent to the panelists who do not provide an email address or refuse the digital incentive.</w:t>
      </w:r>
    </w:p>
    <w:p w:rsidR="00AF392F" w:rsidP="0098249B" w14:paraId="446E649B" w14:textId="77777777">
      <w:pPr>
        <w:pStyle w:val="BodyText"/>
        <w:spacing w:line="259" w:lineRule="auto"/>
        <w:ind w:right="407"/>
        <w:rPr>
          <w:rFonts w:ascii="Calibri" w:hAnsi="Calibri" w:cs="Calibri"/>
        </w:rPr>
      </w:pPr>
    </w:p>
    <w:p w:rsidR="00893405" w:rsidRPr="00893405" w:rsidP="00893405" w14:paraId="0E92A249" w14:textId="77777777">
      <w:pPr>
        <w:widowControl/>
        <w:autoSpaceDE/>
        <w:autoSpaceDN/>
        <w:spacing w:after="80" w:line="259" w:lineRule="auto"/>
        <w:ind w:firstLine="400"/>
        <w:rPr>
          <w:rFonts w:ascii="Calibri" w:eastAsia="Calibri" w:hAnsi="Calibri" w:cs="Calibri"/>
          <w:b/>
          <w:bCs/>
          <w:kern w:val="2"/>
          <w:sz w:val="24"/>
          <w:szCs w:val="24"/>
          <w:u w:val="single"/>
          <w:lang w:bidi="ar-SA"/>
          <w14:ligatures w14:val="standardContextual"/>
        </w:rPr>
      </w:pPr>
      <w:r w:rsidRPr="00893405">
        <w:rPr>
          <w:rFonts w:ascii="Calibri" w:eastAsia="Calibri" w:hAnsi="Calibri" w:cs="Calibri"/>
          <w:b/>
          <w:bCs/>
          <w:kern w:val="2"/>
          <w:sz w:val="24"/>
          <w:szCs w:val="24"/>
          <w:u w:val="single"/>
          <w:lang w:bidi="ar-SA"/>
          <w14:ligatures w14:val="standardContextual"/>
        </w:rPr>
        <w:t>Data Collection Quality Improvement Initiative Experiments</w:t>
      </w:r>
    </w:p>
    <w:p w:rsidR="00AF392F" w:rsidP="0098249B" w14:paraId="3173739A" w14:textId="675A9473">
      <w:pPr>
        <w:pStyle w:val="BodyText"/>
        <w:spacing w:line="259" w:lineRule="auto"/>
        <w:ind w:right="407"/>
        <w:rPr>
          <w:rFonts w:ascii="Calibri" w:hAnsi="Calibri" w:cs="Calibri"/>
          <w:u w:val="single"/>
        </w:rPr>
      </w:pPr>
      <w:r>
        <w:rPr>
          <w:rFonts w:ascii="Calibri" w:hAnsi="Calibri" w:cs="Calibri"/>
        </w:rPr>
        <w:t xml:space="preserve">The November instrument </w:t>
      </w:r>
      <w:r w:rsidRPr="39F9E1A1">
        <w:rPr>
          <w:rFonts w:ascii="Calibri" w:hAnsi="Calibri" w:cs="Calibri"/>
        </w:rPr>
        <w:t xml:space="preserve">will include three split-ballot experiments. The first will test the </w:t>
      </w:r>
      <w:r w:rsidRPr="39F9E1A1">
        <w:rPr>
          <w:rFonts w:ascii="Calibri" w:hAnsi="Calibri" w:cs="Calibri"/>
        </w:rPr>
        <w:t>usage of dependent interviewing for health insurance and social isolation questions previously administered on the panel. The second experiment will test the usage of “Don’t know” options on sensitive or difficult questions. The third experiment will evaluate whether people are willing to upload information such as resumes, mortgage statements, or escrow analysis statements and whether it is preferred to answering survey questions.</w:t>
      </w:r>
    </w:p>
    <w:p w:rsidR="00AF392F" w:rsidP="0098249B" w14:paraId="54A18659" w14:textId="77777777">
      <w:pPr>
        <w:pStyle w:val="BodyText"/>
        <w:spacing w:line="259" w:lineRule="auto"/>
        <w:ind w:right="407"/>
        <w:rPr>
          <w:rFonts w:ascii="Calibri" w:hAnsi="Calibri" w:cs="Calibri"/>
          <w:u w:val="single"/>
        </w:rPr>
      </w:pP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3F82DD94" w14:paraId="494774A8" w14:textId="679B870A">
      <w:pPr>
        <w:tabs>
          <w:tab w:val="left" w:pos="480"/>
          <w:tab w:val="left" w:pos="99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u w:val="single"/>
        </w:rPr>
        <w:t>Statistical Design</w:t>
      </w:r>
      <w:r w:rsidRPr="3F82DD94">
        <w:rPr>
          <w:rFonts w:asciiTheme="minorHAnsi" w:hAnsiTheme="minorHAnsi" w:cstheme="minorBid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AF29544" w:rsidP="39F9E1A1" w14:paraId="17798594" w14:textId="5FF67F0B">
      <w:p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Bidi"/>
          <w:sz w:val="24"/>
          <w:szCs w:val="24"/>
        </w:rPr>
      </w:pPr>
      <w:r w:rsidRPr="39F9E1A1">
        <w:rPr>
          <w:rFonts w:asciiTheme="minorHAnsi" w:hAnsiTheme="minorHAnsi" w:cstheme="minorBidi"/>
          <w:sz w:val="24"/>
          <w:szCs w:val="24"/>
        </w:rPr>
        <w:t>Demographic Programs Directorate</w:t>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3F82DD94" w14:paraId="5434C6AD" w14:textId="5670181C">
      <w:p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rPr>
        <w:t>David Waddington</w:t>
      </w:r>
    </w:p>
    <w:p w:rsidR="005A6942" w:rsidRPr="005A6942" w:rsidP="3F82DD94" w14:paraId="3AE48DE7" w14:textId="77777777">
      <w:p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rPr>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david.g.waddington@census.gov</w:t>
      </w:r>
    </w:p>
    <w:p w:rsidR="00A057FA" w:rsidRPr="005A6942" w:rsidP="00942196" w14:paraId="53F5F7C1" w14:textId="77777777">
      <w:pPr>
        <w:pStyle w:val="BodyText"/>
        <w:spacing w:before="160" w:line="259" w:lineRule="auto"/>
        <w:rPr>
          <w:rFonts w:asciiTheme="minorHAnsi" w:hAnsiTheme="minorHAnsi" w:cstheme="minorHAnsi"/>
          <w:color w:val="0070C0"/>
        </w:rPr>
      </w:pPr>
    </w:p>
    <w:sectPr w:rsidSect="00942196">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53A18"/>
    <w:rsid w:val="000B2AA7"/>
    <w:rsid w:val="000B515B"/>
    <w:rsid w:val="000E7FA4"/>
    <w:rsid w:val="00124446"/>
    <w:rsid w:val="001304CC"/>
    <w:rsid w:val="00130530"/>
    <w:rsid w:val="00170A53"/>
    <w:rsid w:val="001D5A72"/>
    <w:rsid w:val="002038D4"/>
    <w:rsid w:val="0023781D"/>
    <w:rsid w:val="00292D2F"/>
    <w:rsid w:val="002F57F7"/>
    <w:rsid w:val="00325F54"/>
    <w:rsid w:val="00332063"/>
    <w:rsid w:val="003436E2"/>
    <w:rsid w:val="00353F8C"/>
    <w:rsid w:val="003902F3"/>
    <w:rsid w:val="003E0710"/>
    <w:rsid w:val="00442F57"/>
    <w:rsid w:val="00471C90"/>
    <w:rsid w:val="00490FD9"/>
    <w:rsid w:val="004E2561"/>
    <w:rsid w:val="00505C26"/>
    <w:rsid w:val="00512BBE"/>
    <w:rsid w:val="005367D0"/>
    <w:rsid w:val="005561F6"/>
    <w:rsid w:val="00596850"/>
    <w:rsid w:val="005A1D38"/>
    <w:rsid w:val="005A6942"/>
    <w:rsid w:val="005B2CBD"/>
    <w:rsid w:val="00615B02"/>
    <w:rsid w:val="00647934"/>
    <w:rsid w:val="006533B0"/>
    <w:rsid w:val="00677C42"/>
    <w:rsid w:val="006C0921"/>
    <w:rsid w:val="00725D68"/>
    <w:rsid w:val="00774685"/>
    <w:rsid w:val="007B055E"/>
    <w:rsid w:val="007B36BA"/>
    <w:rsid w:val="007E0B54"/>
    <w:rsid w:val="00817764"/>
    <w:rsid w:val="00833FE2"/>
    <w:rsid w:val="00837B80"/>
    <w:rsid w:val="00892982"/>
    <w:rsid w:val="00893405"/>
    <w:rsid w:val="008A1A1D"/>
    <w:rsid w:val="00942196"/>
    <w:rsid w:val="0098249B"/>
    <w:rsid w:val="009A01EE"/>
    <w:rsid w:val="009A05A9"/>
    <w:rsid w:val="009C500B"/>
    <w:rsid w:val="009D1016"/>
    <w:rsid w:val="00A057FA"/>
    <w:rsid w:val="00A63C05"/>
    <w:rsid w:val="00AB0698"/>
    <w:rsid w:val="00AE74AE"/>
    <w:rsid w:val="00AF392F"/>
    <w:rsid w:val="00B90413"/>
    <w:rsid w:val="00B955B7"/>
    <w:rsid w:val="00BC1E42"/>
    <w:rsid w:val="00C30F3D"/>
    <w:rsid w:val="00C31A66"/>
    <w:rsid w:val="00C96CF5"/>
    <w:rsid w:val="00CB6264"/>
    <w:rsid w:val="00CD3BD1"/>
    <w:rsid w:val="00D455B4"/>
    <w:rsid w:val="00D548D5"/>
    <w:rsid w:val="00D64EFA"/>
    <w:rsid w:val="00D704EC"/>
    <w:rsid w:val="00E023A4"/>
    <w:rsid w:val="00E12A81"/>
    <w:rsid w:val="00E21840"/>
    <w:rsid w:val="00E7588B"/>
    <w:rsid w:val="00E971A9"/>
    <w:rsid w:val="00EC6FA3"/>
    <w:rsid w:val="00F31AA9"/>
    <w:rsid w:val="02DB1C3A"/>
    <w:rsid w:val="067208CF"/>
    <w:rsid w:val="0AF29544"/>
    <w:rsid w:val="0C4603B0"/>
    <w:rsid w:val="0C98DAC5"/>
    <w:rsid w:val="0E6A75DD"/>
    <w:rsid w:val="10FF0A87"/>
    <w:rsid w:val="1BA5ED54"/>
    <w:rsid w:val="2129F4FD"/>
    <w:rsid w:val="3014C738"/>
    <w:rsid w:val="34908F70"/>
    <w:rsid w:val="39F9E1A1"/>
    <w:rsid w:val="3AF4A5F5"/>
    <w:rsid w:val="3D49A21E"/>
    <w:rsid w:val="3F82DD94"/>
    <w:rsid w:val="42C6A1A1"/>
    <w:rsid w:val="4468FD5D"/>
    <w:rsid w:val="474F9928"/>
    <w:rsid w:val="47CAA914"/>
    <w:rsid w:val="4B00FF06"/>
    <w:rsid w:val="4FDB6910"/>
    <w:rsid w:val="50F8F9C7"/>
    <w:rsid w:val="51DC39C0"/>
    <w:rsid w:val="543110C2"/>
    <w:rsid w:val="5884989C"/>
    <w:rsid w:val="5A78B66F"/>
    <w:rsid w:val="5C9E1594"/>
    <w:rsid w:val="5E88C2A8"/>
    <w:rsid w:val="6426B7D8"/>
    <w:rsid w:val="6710F5FB"/>
    <w:rsid w:val="69D92356"/>
    <w:rsid w:val="6D10C418"/>
    <w:rsid w:val="6EF3E171"/>
    <w:rsid w:val="6F67C515"/>
    <w:rsid w:val="7A4349AC"/>
    <w:rsid w:val="7C7ED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1757</Parent_ICR>
    <ICR_ID xmlns="f762c95d-3cca-4969-a35b-3d8ab5bf0d48">1757</ICR_ID>
    <DocumentType xmlns="f762c95d-3cca-4969-a35b-3d8ab5bf0d48">Supporting Statement B</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DADCDF7C-A524-4C82-A864-B81CABA0B5DB}">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558250db-76c6-400c-8e4d-8eb171d738bd"/>
    <ds:schemaRef ds:uri="6e791d5b-3bd7-4d87-b80d-5e4c71e4c5f9"/>
    <ds:schemaRef ds:uri="f762c95d-3cca-4969-a35b-3d8ab5bf0d48"/>
  </ds:schemaRefs>
</ds:datastoreItem>
</file>

<file path=customXml/itemProps3.xml><?xml version="1.0" encoding="utf-8"?>
<ds:datastoreItem xmlns:ds="http://schemas.openxmlformats.org/officeDocument/2006/customXml" ds:itemID="{347B461C-EEC3-4B9A-BB1D-7A2DB5F99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1886</Words>
  <Characters>10752</Characters>
  <Application>Microsoft Office Word</Application>
  <DocSecurity>0</DocSecurity>
  <Lines>89</Lines>
  <Paragraphs>25</Paragraphs>
  <ScaleCrop>false</ScaleCrop>
  <Company>Bureau of the Census</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Household Panel Topical 13 and 14 Supporting Statement Part B_rev</dc:title>
  <dc:creator>Mary Reuling Lenaiyasa (CENSUS/PCO FED)</dc:creator>
  <cp:lastModifiedBy>Cassandra Logan (CENSUS/ADDP FED)</cp:lastModifiedBy>
  <cp:revision>3</cp:revision>
  <dcterms:created xsi:type="dcterms:W3CDTF">2024-09-24T18:46:00Z</dcterms:created>
  <dcterms:modified xsi:type="dcterms:W3CDTF">2024-09-24T18:47:00Z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_dlc_DocIdItemGuid">
    <vt:lpwstr>5a86410b-1247-43c2-ad4e-0d29e9645750</vt:lpwstr>
  </property>
</Properties>
</file>