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A0C" w:rsidRPr="00C45431" w:rsidP="00CE5AA9" w14:paraId="22E2A2ED" w14:textId="77777777">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Statement </w:t>
      </w:r>
      <w:r w:rsidRPr="00C45431">
        <w:rPr>
          <w:rFonts w:ascii="Arial" w:hAnsi="Arial" w:cs="Arial"/>
          <w:b/>
          <w:bCs/>
          <w:sz w:val="32"/>
          <w:szCs w:val="32"/>
        </w:rPr>
        <w:t>A</w:t>
      </w:r>
    </w:p>
    <w:p w:rsidR="00BA1A0C" w:rsidRPr="00C45431" w:rsidP="00CE5AA9" w14:paraId="22E2A2EE" w14:textId="77777777">
      <w:pPr>
        <w:tabs>
          <w:tab w:val="center" w:pos="4680"/>
        </w:tabs>
        <w:spacing w:before="120"/>
        <w:jc w:val="center"/>
        <w:rPr>
          <w:rFonts w:ascii="Arial" w:hAnsi="Arial" w:cs="Arial"/>
          <w:b/>
          <w:bCs/>
          <w:sz w:val="32"/>
          <w:szCs w:val="32"/>
        </w:rPr>
      </w:pPr>
    </w:p>
    <w:p w:rsidR="009B3794" w:rsidRPr="00C45431" w:rsidP="00CE5AA9" w14:paraId="22E2A2EF" w14:textId="4B20CA05">
      <w:pPr>
        <w:tabs>
          <w:tab w:val="center" w:pos="4680"/>
        </w:tabs>
        <w:spacing w:before="120"/>
        <w:jc w:val="center"/>
        <w:rPr>
          <w:rFonts w:ascii="Arial" w:hAnsi="Arial" w:cs="Arial"/>
          <w:b/>
          <w:bCs/>
          <w:sz w:val="32"/>
          <w:szCs w:val="32"/>
        </w:rPr>
      </w:pPr>
      <w:r w:rsidRPr="00497711">
        <w:rPr>
          <w:rFonts w:ascii="Arial" w:hAnsi="Arial" w:cs="Arial"/>
          <w:b/>
          <w:bCs/>
          <w:sz w:val="32"/>
          <w:szCs w:val="32"/>
        </w:rPr>
        <w:t xml:space="preserve">340B Drug Pricing Program; Initiation of the Administrative Dispute Resolution Process </w:t>
      </w:r>
    </w:p>
    <w:p w:rsidR="00BA1A0C" w:rsidRPr="00C45431" w:rsidP="00CE5AA9" w14:paraId="22E2A2F0" w14:textId="77777777">
      <w:pPr>
        <w:tabs>
          <w:tab w:val="center" w:pos="4680"/>
        </w:tabs>
        <w:spacing w:before="120"/>
        <w:jc w:val="center"/>
        <w:rPr>
          <w:rFonts w:ascii="Arial" w:hAnsi="Arial" w:cs="Arial"/>
          <w:b/>
          <w:bCs/>
          <w:sz w:val="32"/>
          <w:szCs w:val="32"/>
        </w:rPr>
      </w:pPr>
    </w:p>
    <w:p w:rsidR="00BA1A0C" w:rsidRPr="00C45431" w:rsidP="00CE5AA9" w14:paraId="22E2A2F1" w14:textId="0433FFBC">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OMB Control No. </w:t>
      </w:r>
      <w:r w:rsidRPr="00656C44" w:rsidR="00C96292">
        <w:rPr>
          <w:rFonts w:ascii="Arial" w:hAnsi="Arial" w:cs="Arial"/>
          <w:b/>
          <w:bCs/>
          <w:color w:val="00B050"/>
          <w:sz w:val="32"/>
          <w:szCs w:val="32"/>
        </w:rPr>
        <w:t>0906</w:t>
      </w:r>
      <w:r w:rsidRPr="00C45431">
        <w:rPr>
          <w:rFonts w:ascii="Arial" w:hAnsi="Arial" w:cs="Arial"/>
          <w:b/>
          <w:bCs/>
          <w:sz w:val="32"/>
          <w:szCs w:val="32"/>
        </w:rPr>
        <w:t>-XXXX</w:t>
      </w:r>
    </w:p>
    <w:p w:rsidR="009B3794" w:rsidRPr="00C45431" w:rsidP="00CE5AA9" w14:paraId="22E2A2F3" w14:textId="77777777">
      <w:pPr>
        <w:tabs>
          <w:tab w:val="center" w:pos="4680"/>
        </w:tabs>
        <w:spacing w:before="120"/>
        <w:jc w:val="center"/>
        <w:rPr>
          <w:rFonts w:ascii="Arial" w:hAnsi="Arial" w:cs="Arial"/>
          <w:b/>
          <w:bCs/>
          <w:sz w:val="32"/>
          <w:szCs w:val="32"/>
        </w:rPr>
      </w:pPr>
    </w:p>
    <w:p w:rsidR="009B3794" w:rsidRPr="00C45431" w:rsidP="00CE5AA9" w14:paraId="22E2A2F4" w14:textId="32AB72D9">
      <w:pPr>
        <w:spacing w:before="120"/>
        <w:rPr>
          <w:rFonts w:ascii="Arial" w:hAnsi="Arial" w:cs="Arial"/>
          <w:b/>
          <w:sz w:val="24"/>
        </w:rPr>
      </w:pPr>
      <w:r w:rsidRPr="00C45431">
        <w:rPr>
          <w:rFonts w:ascii="Arial" w:hAnsi="Arial" w:cs="Arial"/>
          <w:b/>
          <w:sz w:val="24"/>
        </w:rPr>
        <w:t>Terms of Clearance</w:t>
      </w:r>
      <w:r w:rsidRPr="00C45431" w:rsidR="002F555D">
        <w:rPr>
          <w:rFonts w:ascii="Arial" w:hAnsi="Arial" w:cs="Arial"/>
          <w:b/>
          <w:sz w:val="24"/>
        </w:rPr>
        <w:t>:</w:t>
      </w:r>
      <w:r w:rsidRPr="00C45431" w:rsidR="002F555D">
        <w:rPr>
          <w:rFonts w:ascii="Arial" w:hAnsi="Arial" w:cs="Arial"/>
          <w:sz w:val="24"/>
        </w:rPr>
        <w:t xml:space="preserve"> “</w:t>
      </w:r>
      <w:r w:rsidRPr="00C45431">
        <w:rPr>
          <w:rFonts w:ascii="Arial" w:hAnsi="Arial" w:cs="Arial"/>
          <w:b/>
          <w:sz w:val="24"/>
        </w:rPr>
        <w:t>None”.</w:t>
      </w:r>
      <w:r w:rsidRPr="00C45431" w:rsidR="00BA1A0C">
        <w:rPr>
          <w:rFonts w:ascii="Arial" w:hAnsi="Arial" w:cs="Arial"/>
          <w:b/>
          <w:sz w:val="24"/>
        </w:rPr>
        <w:t xml:space="preserve"> </w:t>
      </w:r>
    </w:p>
    <w:p w:rsidR="009B3794" w:rsidRPr="00C45431" w:rsidP="00CA3DA6" w14:paraId="22E2A2F5" w14:textId="77777777">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rsidR="009B3794" w:rsidRPr="00C45431" w:rsidP="00E42439" w14:paraId="22E2A2F6" w14:textId="77777777">
      <w:pPr>
        <w:numPr>
          <w:ilvl w:val="0"/>
          <w:numId w:val="1"/>
        </w:numPr>
        <w:spacing w:before="240"/>
        <w:rPr>
          <w:rFonts w:ascii="Arial" w:hAnsi="Arial" w:cs="Arial"/>
          <w:b/>
          <w:sz w:val="24"/>
        </w:rPr>
      </w:pPr>
      <w:r w:rsidRPr="00C45431">
        <w:rPr>
          <w:rFonts w:ascii="Arial" w:hAnsi="Arial" w:cs="Arial"/>
          <w:b/>
          <w:sz w:val="24"/>
          <w:u w:val="single"/>
        </w:rPr>
        <w:t>Circumstances Making the Collection of Information Necessary</w:t>
      </w:r>
    </w:p>
    <w:p w:rsidR="009B3794" w:rsidRPr="002F555D" w:rsidP="002F555D" w14:paraId="22E2A2FA" w14:textId="06893621">
      <w:pPr>
        <w:spacing w:before="120"/>
        <w:ind w:left="360"/>
        <w:rPr>
          <w:rFonts w:ascii="Arial" w:hAnsi="Arial" w:cs="Arial"/>
          <w:color w:val="000000"/>
          <w:sz w:val="24"/>
        </w:rPr>
      </w:pPr>
      <w:r w:rsidRPr="00497711">
        <w:rPr>
          <w:rFonts w:ascii="Arial" w:hAnsi="Arial" w:cs="Arial"/>
          <w:color w:val="000000" w:themeColor="text1"/>
          <w:sz w:val="24"/>
        </w:rPr>
        <w:t>Section 340B(d)(3) to the PHS Act requires HHS to promulgate regulations establishing and implementing a binding 340B Administrative Dispute Resolution (ADR) process for certain disputes arising under the 340B Drug Pricing Program</w:t>
      </w:r>
      <w:r w:rsidR="00163F2D">
        <w:rPr>
          <w:rFonts w:ascii="Arial" w:hAnsi="Arial" w:cs="Arial"/>
          <w:color w:val="000000" w:themeColor="text1"/>
          <w:sz w:val="24"/>
        </w:rPr>
        <w:t xml:space="preserve">. </w:t>
      </w:r>
      <w:r w:rsidRPr="00497711">
        <w:rPr>
          <w:rFonts w:ascii="Arial" w:hAnsi="Arial" w:cs="Arial"/>
          <w:color w:val="000000" w:themeColor="text1"/>
          <w:sz w:val="24"/>
        </w:rPr>
        <w:t>Pursuant to the statute, the 340B ADR process is intended to resolve (1) claims by covered entities that they have been overcharged for covered outpatient drugs by manufacturers and (2) claims by manufacturers, after a manufacturer has conducted an audit as authorized by section 340B(a)(5)(C) of the PHS Act, that a covered entity has violated the prohibition on diversion or duplicate discounts</w:t>
      </w:r>
      <w:r w:rsidR="00163F2D">
        <w:rPr>
          <w:rFonts w:ascii="Arial" w:hAnsi="Arial" w:cs="Arial"/>
          <w:color w:val="000000" w:themeColor="text1"/>
          <w:sz w:val="24"/>
        </w:rPr>
        <w:t xml:space="preserve">. </w:t>
      </w:r>
    </w:p>
    <w:p w:rsidR="007C5D70" w:rsidRPr="002F555D" w:rsidP="002F555D" w14:paraId="61821BEC" w14:textId="4314BE5D">
      <w:pPr>
        <w:spacing w:before="120"/>
        <w:ind w:left="360"/>
        <w:rPr>
          <w:rFonts w:ascii="Arial" w:hAnsi="Arial" w:cs="Arial"/>
          <w:color w:val="000000" w:themeColor="text1"/>
          <w:sz w:val="24"/>
        </w:rPr>
      </w:pPr>
      <w:r w:rsidRPr="002F555D">
        <w:rPr>
          <w:rFonts w:ascii="Arial" w:hAnsi="Arial" w:cs="Arial"/>
          <w:color w:val="000000" w:themeColor="text1"/>
          <w:sz w:val="24"/>
        </w:rPr>
        <w:t>On April 19, 2024, HRSA published the 340B Drug Pricing Program; Administrative Dispute Resolution Regulation Final Rule (</w:t>
      </w:r>
      <w:bookmarkStart w:id="0" w:name="_Hlk169093729"/>
      <w:r w:rsidRPr="002F555D">
        <w:rPr>
          <w:rFonts w:ascii="Arial" w:hAnsi="Arial" w:cs="Arial"/>
          <w:color w:val="000000" w:themeColor="text1"/>
          <w:sz w:val="24"/>
        </w:rPr>
        <w:t>340B ADR Final Rule</w:t>
      </w:r>
      <w:bookmarkEnd w:id="0"/>
      <w:r w:rsidRPr="002F555D">
        <w:rPr>
          <w:rFonts w:ascii="Arial" w:hAnsi="Arial" w:cs="Arial"/>
          <w:color w:val="000000" w:themeColor="text1"/>
          <w:sz w:val="24"/>
        </w:rPr>
        <w:t xml:space="preserve">) (89 Fed. Reg. 28643 (Apr. 19, 2024) (to </w:t>
      </w:r>
      <w:r w:rsidRPr="002F555D">
        <w:rPr>
          <w:rFonts w:ascii="Arial" w:hAnsi="Arial" w:cs="Arial"/>
          <w:color w:val="000000" w:themeColor="text1"/>
          <w:sz w:val="24"/>
        </w:rPr>
        <w:t>be codified</w:t>
      </w:r>
      <w:r w:rsidRPr="002F555D">
        <w:rPr>
          <w:rFonts w:ascii="Arial" w:hAnsi="Arial" w:cs="Arial"/>
          <w:color w:val="000000" w:themeColor="text1"/>
          <w:sz w:val="24"/>
        </w:rPr>
        <w:t xml:space="preserve"> at 42 C.F.R. part 10))</w:t>
      </w:r>
      <w:r w:rsidR="00163F2D">
        <w:rPr>
          <w:rFonts w:ascii="Arial" w:hAnsi="Arial" w:cs="Arial"/>
          <w:color w:val="000000" w:themeColor="text1"/>
          <w:sz w:val="24"/>
        </w:rPr>
        <w:t xml:space="preserve">. </w:t>
      </w:r>
      <w:r w:rsidRPr="002F555D">
        <w:rPr>
          <w:rFonts w:ascii="Arial" w:hAnsi="Arial" w:cs="Arial"/>
          <w:color w:val="000000" w:themeColor="text1"/>
          <w:sz w:val="24"/>
        </w:rPr>
        <w:t xml:space="preserve">The </w:t>
      </w:r>
      <w:bookmarkStart w:id="1" w:name="_Hlk171428155"/>
      <w:r w:rsidRPr="002F555D">
        <w:rPr>
          <w:rFonts w:ascii="Arial" w:hAnsi="Arial" w:cs="Arial"/>
          <w:color w:val="000000" w:themeColor="text1"/>
          <w:sz w:val="24"/>
        </w:rPr>
        <w:t xml:space="preserve">340B ADR Final Rule </w:t>
      </w:r>
      <w:bookmarkEnd w:id="1"/>
      <w:r w:rsidRPr="002F555D">
        <w:rPr>
          <w:rFonts w:ascii="Arial" w:hAnsi="Arial" w:cs="Arial"/>
          <w:color w:val="000000" w:themeColor="text1"/>
          <w:sz w:val="24"/>
        </w:rPr>
        <w:t>provides the requirements for filing a 340B ADR claim</w:t>
      </w:r>
      <w:r w:rsidR="00163F2D">
        <w:rPr>
          <w:rFonts w:ascii="Arial" w:hAnsi="Arial" w:cs="Arial"/>
          <w:color w:val="000000" w:themeColor="text1"/>
          <w:sz w:val="24"/>
        </w:rPr>
        <w:t xml:space="preserve">. </w:t>
      </w:r>
      <w:r w:rsidRPr="002F555D">
        <w:rPr>
          <w:rFonts w:ascii="Arial" w:hAnsi="Arial" w:cs="Arial"/>
          <w:color w:val="000000" w:themeColor="text1"/>
          <w:sz w:val="24"/>
        </w:rPr>
        <w:t>The 340B ADR Final Rule requires the submission of a 340B ADR claim within 3 years of the date of the alleged violation and specifies that it is a remedy open to all manufacturers and covered entities that participate in the 340B Drug Pricing Program</w:t>
      </w:r>
      <w:r w:rsidR="00163F2D">
        <w:rPr>
          <w:rFonts w:ascii="Arial" w:hAnsi="Arial" w:cs="Arial"/>
          <w:color w:val="000000" w:themeColor="text1"/>
          <w:sz w:val="24"/>
        </w:rPr>
        <w:t xml:space="preserve">. </w:t>
      </w:r>
    </w:p>
    <w:p w:rsidR="007C5D70" w:rsidRPr="002F555D" w:rsidP="002F555D" w14:paraId="09641830" w14:textId="0A0DC8B2">
      <w:pPr>
        <w:spacing w:before="120"/>
        <w:ind w:left="360"/>
        <w:rPr>
          <w:rFonts w:ascii="Arial" w:hAnsi="Arial" w:cs="Arial"/>
          <w:color w:val="000000" w:themeColor="text1"/>
          <w:sz w:val="24"/>
        </w:rPr>
      </w:pPr>
      <w:r w:rsidRPr="002F555D">
        <w:rPr>
          <w:rFonts w:ascii="Arial" w:hAnsi="Arial" w:cs="Arial"/>
          <w:color w:val="000000" w:themeColor="text1"/>
          <w:sz w:val="24"/>
        </w:rPr>
        <w:t xml:space="preserve">HRSA is requesting this information collection to implement the requirements as outlined in the Final Rule. </w:t>
      </w:r>
      <w:r w:rsidR="0035489D">
        <w:rPr>
          <w:rFonts w:ascii="Arial" w:hAnsi="Arial" w:cs="Arial"/>
          <w:color w:val="000000" w:themeColor="text1"/>
          <w:sz w:val="24"/>
        </w:rPr>
        <w:t>T</w:t>
      </w:r>
      <w:r w:rsidRPr="002F555D">
        <w:rPr>
          <w:rFonts w:ascii="Arial" w:hAnsi="Arial" w:cs="Arial"/>
          <w:color w:val="000000" w:themeColor="text1"/>
          <w:sz w:val="24"/>
        </w:rPr>
        <w:t xml:space="preserve">his information collection is only applicable to the initiation of a </w:t>
      </w:r>
      <w:r w:rsidR="0035489D">
        <w:rPr>
          <w:rFonts w:ascii="Arial" w:hAnsi="Arial" w:cs="Arial"/>
          <w:color w:val="000000" w:themeColor="text1"/>
          <w:sz w:val="24"/>
        </w:rPr>
        <w:t xml:space="preserve">340B ADR </w:t>
      </w:r>
      <w:r w:rsidRPr="002F555D">
        <w:rPr>
          <w:rFonts w:ascii="Arial" w:hAnsi="Arial" w:cs="Arial"/>
          <w:color w:val="000000" w:themeColor="text1"/>
          <w:sz w:val="24"/>
        </w:rPr>
        <w:t xml:space="preserve">claim. </w:t>
      </w:r>
    </w:p>
    <w:p w:rsidR="009B3794" w:rsidRPr="00C45431" w:rsidP="00E42439" w14:paraId="22E2A2FB" w14:textId="77777777">
      <w:pPr>
        <w:numPr>
          <w:ilvl w:val="0"/>
          <w:numId w:val="1"/>
        </w:numPr>
        <w:spacing w:before="240"/>
        <w:rPr>
          <w:rFonts w:ascii="Arial" w:hAnsi="Arial" w:cs="Arial"/>
          <w:b/>
          <w:sz w:val="24"/>
        </w:rPr>
      </w:pPr>
      <w:r w:rsidRPr="00C45431">
        <w:rPr>
          <w:rFonts w:ascii="Arial" w:hAnsi="Arial" w:cs="Arial"/>
          <w:b/>
          <w:sz w:val="24"/>
          <w:u w:val="single"/>
        </w:rPr>
        <w:t>Purpose and Use of Information Collection</w:t>
      </w:r>
    </w:p>
    <w:p w:rsidR="007C5D70" w:rsidRPr="002F555D" w:rsidP="002F555D" w14:paraId="3C8029FF" w14:textId="180D7196">
      <w:pPr>
        <w:widowControl/>
        <w:autoSpaceDE/>
        <w:autoSpaceDN/>
        <w:adjustRightInd/>
        <w:spacing w:before="120"/>
        <w:ind w:left="360"/>
        <w:rPr>
          <w:rFonts w:ascii="Arial" w:hAnsi="Arial" w:cs="Arial"/>
          <w:color w:val="000000" w:themeColor="text1"/>
          <w:sz w:val="24"/>
        </w:rPr>
      </w:pPr>
      <w:r>
        <w:rPr>
          <w:rFonts w:ascii="Arial" w:hAnsi="Arial" w:cs="Arial"/>
          <w:color w:val="000000"/>
          <w:sz w:val="24"/>
        </w:rPr>
        <w:t xml:space="preserve">The information provided in this collection will </w:t>
      </w:r>
      <w:r>
        <w:rPr>
          <w:rFonts w:ascii="Arial" w:hAnsi="Arial" w:cs="Arial"/>
          <w:color w:val="000000"/>
          <w:sz w:val="24"/>
        </w:rPr>
        <w:t>be used</w:t>
      </w:r>
      <w:r>
        <w:rPr>
          <w:rFonts w:ascii="Arial" w:hAnsi="Arial" w:cs="Arial"/>
          <w:color w:val="000000"/>
          <w:sz w:val="24"/>
        </w:rPr>
        <w:t xml:space="preserve"> by 340B ADR panels.</w:t>
      </w:r>
      <w:r w:rsidR="0049750B">
        <w:rPr>
          <w:rFonts w:ascii="Arial" w:hAnsi="Arial" w:cs="Arial"/>
          <w:color w:val="000000"/>
          <w:sz w:val="24"/>
        </w:rPr>
        <w:t xml:space="preserve"> The </w:t>
      </w:r>
      <w:r w:rsidRPr="00E767E6" w:rsidR="0049750B">
        <w:rPr>
          <w:rFonts w:ascii="Arial" w:hAnsi="Arial" w:cs="Arial"/>
          <w:color w:val="000000" w:themeColor="text1"/>
          <w:sz w:val="24"/>
        </w:rPr>
        <w:t xml:space="preserve">340B ADR panel is a group of OPA staff members selected from a roster of OPA staff appointed by the Secretary, to review and evaluate petitions submitted by covered entities and manufacturers to resolve a dispute. The 340B ADR Panel will conduct a review of the claims. The 340B ADR Panel will review all documents gathered during the 340B ADR process to determine if a violation </w:t>
      </w:r>
      <w:r w:rsidR="0049750B">
        <w:rPr>
          <w:rFonts w:ascii="Arial" w:hAnsi="Arial" w:cs="Arial"/>
          <w:color w:val="000000" w:themeColor="text1"/>
          <w:sz w:val="24"/>
        </w:rPr>
        <w:t xml:space="preserve">of overcharge, diversion or duplicate discounts has occurred. </w:t>
      </w:r>
      <w:r w:rsidRPr="002F555D">
        <w:rPr>
          <w:rFonts w:ascii="Arial" w:hAnsi="Arial" w:cs="Arial"/>
          <w:color w:val="000000" w:themeColor="text1"/>
          <w:sz w:val="24"/>
        </w:rPr>
        <w:t xml:space="preserve">This information collection request </w:t>
      </w:r>
      <w:r w:rsidRPr="002F555D">
        <w:rPr>
          <w:rFonts w:ascii="Arial" w:hAnsi="Arial" w:cs="Arial"/>
          <w:color w:val="000000" w:themeColor="text1"/>
          <w:sz w:val="24"/>
        </w:rPr>
        <w:t>is limited</w:t>
      </w:r>
      <w:r w:rsidRPr="002F555D">
        <w:rPr>
          <w:rFonts w:ascii="Arial" w:hAnsi="Arial" w:cs="Arial"/>
          <w:color w:val="000000" w:themeColor="text1"/>
          <w:sz w:val="24"/>
        </w:rPr>
        <w:t xml:space="preserve"> to the initiation of the 340B ADR process and the uploading of the related </w:t>
      </w:r>
      <w:r w:rsidRPr="002F555D">
        <w:rPr>
          <w:rFonts w:ascii="Arial" w:hAnsi="Arial" w:cs="Arial"/>
          <w:color w:val="000000" w:themeColor="text1"/>
          <w:sz w:val="24"/>
        </w:rPr>
        <w:t>documents</w:t>
      </w:r>
      <w:r w:rsidR="00163F2D">
        <w:rPr>
          <w:rFonts w:ascii="Arial" w:hAnsi="Arial" w:cs="Arial"/>
          <w:color w:val="000000" w:themeColor="text1"/>
          <w:sz w:val="24"/>
        </w:rPr>
        <w:t xml:space="preserve">. </w:t>
      </w:r>
      <w:r w:rsidRPr="002F555D">
        <w:rPr>
          <w:rFonts w:ascii="Arial" w:hAnsi="Arial" w:cs="Arial"/>
          <w:color w:val="000000" w:themeColor="text1"/>
          <w:sz w:val="24"/>
        </w:rPr>
        <w:t>Filing a claim though the 340B ADR process is a remedy open to all manufacturers and covered entities that participate in the 340B Drug Pricing Program, which can constitute a standardized federal information collection.</w:t>
      </w:r>
    </w:p>
    <w:p w:rsidR="009B3794" w:rsidRPr="00C45431" w:rsidP="00E42439" w14:paraId="22E2A300" w14:textId="77777777">
      <w:pPr>
        <w:numPr>
          <w:ilvl w:val="0"/>
          <w:numId w:val="1"/>
        </w:numPr>
        <w:spacing w:before="240"/>
        <w:rPr>
          <w:rFonts w:ascii="Arial" w:hAnsi="Arial" w:cs="Arial"/>
          <w:sz w:val="24"/>
        </w:rPr>
      </w:pPr>
      <w:r w:rsidRPr="00C45431">
        <w:rPr>
          <w:rFonts w:ascii="Arial" w:hAnsi="Arial" w:cs="Arial"/>
          <w:b/>
          <w:sz w:val="24"/>
          <w:u w:val="single"/>
        </w:rPr>
        <w:t>Use of Improved Information Technology and Burden Reduction</w:t>
      </w:r>
    </w:p>
    <w:p w:rsidR="009B3794" w:rsidRPr="00281924" w:rsidP="002F555D" w14:paraId="22E2A301" w14:textId="56CB4B60">
      <w:pPr>
        <w:spacing w:before="120"/>
        <w:ind w:left="360"/>
        <w:rPr>
          <w:rFonts w:ascii="Arial" w:hAnsi="Arial" w:cs="Arial"/>
          <w:sz w:val="24"/>
        </w:rPr>
      </w:pPr>
      <w:r>
        <w:rPr>
          <w:rFonts w:ascii="Arial" w:hAnsi="Arial" w:cs="Arial"/>
          <w:sz w:val="24"/>
        </w:rPr>
        <w:t xml:space="preserve">The 340B Office of Pharmacy Affairs Information System (OPAIS) will </w:t>
      </w:r>
      <w:r>
        <w:rPr>
          <w:rFonts w:ascii="Arial" w:hAnsi="Arial" w:cs="Arial"/>
          <w:sz w:val="24"/>
        </w:rPr>
        <w:t>be used</w:t>
      </w:r>
      <w:r>
        <w:rPr>
          <w:rFonts w:ascii="Arial" w:hAnsi="Arial" w:cs="Arial"/>
          <w:sz w:val="24"/>
        </w:rPr>
        <w:t xml:space="preserve"> as a platform for submitting and the repository for maintain information submitted related to a 340B ADR petition. Additionally, information may </w:t>
      </w:r>
      <w:r>
        <w:rPr>
          <w:rFonts w:ascii="Arial" w:hAnsi="Arial" w:cs="Arial"/>
          <w:sz w:val="24"/>
        </w:rPr>
        <w:t>be submitted</w:t>
      </w:r>
      <w:r>
        <w:rPr>
          <w:rFonts w:ascii="Arial" w:hAnsi="Arial" w:cs="Arial"/>
          <w:sz w:val="24"/>
        </w:rPr>
        <w:t xml:space="preserve"> via email to </w:t>
      </w:r>
      <w:hyperlink r:id="rId8" w:history="1">
        <w:r w:rsidRPr="00B11B4F">
          <w:rPr>
            <w:rStyle w:val="Hyperlink"/>
            <w:rFonts w:ascii="Arial" w:hAnsi="Arial" w:cs="Arial"/>
            <w:sz w:val="24"/>
          </w:rPr>
          <w:t>340BADR@hrsa.gov</w:t>
        </w:r>
      </w:hyperlink>
      <w:r>
        <w:rPr>
          <w:rFonts w:ascii="Arial" w:hAnsi="Arial" w:cs="Arial"/>
          <w:sz w:val="24"/>
        </w:rPr>
        <w:t xml:space="preserve">. </w:t>
      </w:r>
    </w:p>
    <w:p w:rsidR="009B3794" w:rsidRPr="00C45431" w:rsidP="00E42439" w14:paraId="22E2A305" w14:textId="63A2E3AA">
      <w:pPr>
        <w:numPr>
          <w:ilvl w:val="0"/>
          <w:numId w:val="1"/>
        </w:numPr>
        <w:spacing w:before="240"/>
        <w:rPr>
          <w:rFonts w:ascii="Arial" w:hAnsi="Arial" w:cs="Arial"/>
          <w:b/>
          <w:bCs/>
          <w:sz w:val="24"/>
        </w:rPr>
      </w:pPr>
      <w:r w:rsidRPr="6981A5CD">
        <w:rPr>
          <w:rFonts w:ascii="Arial" w:hAnsi="Arial" w:cs="Arial"/>
          <w:b/>
          <w:bCs/>
          <w:sz w:val="24"/>
          <w:u w:val="single"/>
        </w:rPr>
        <w:t>Efforts to Identify Duplication and Use of Similar Information</w:t>
      </w:r>
    </w:p>
    <w:p w:rsidR="009B3794" w:rsidRPr="00C45431" w:rsidP="002F555D" w14:paraId="22E2A306" w14:textId="687E03DF">
      <w:pPr>
        <w:spacing w:before="120"/>
        <w:ind w:left="360"/>
        <w:rPr>
          <w:rFonts w:ascii="Arial" w:hAnsi="Arial" w:cs="Arial"/>
          <w:b/>
          <w:sz w:val="24"/>
        </w:rPr>
      </w:pPr>
      <w:r>
        <w:rPr>
          <w:rFonts w:ascii="Arial" w:hAnsi="Arial" w:cs="Arial"/>
          <w:sz w:val="24"/>
        </w:rPr>
        <w:t>The information collected is specific to each individual dispute</w:t>
      </w:r>
      <w:r w:rsidRPr="00C45431">
        <w:rPr>
          <w:rFonts w:ascii="Arial" w:hAnsi="Arial" w:cs="Arial"/>
          <w:sz w:val="24"/>
        </w:rPr>
        <w:t>.</w:t>
      </w:r>
    </w:p>
    <w:p w:rsidR="009B3794" w:rsidRPr="00C45431" w:rsidP="00E42439" w14:paraId="22E2A307" w14:textId="77777777">
      <w:pPr>
        <w:numPr>
          <w:ilvl w:val="0"/>
          <w:numId w:val="1"/>
        </w:numPr>
        <w:spacing w:before="240"/>
        <w:rPr>
          <w:rFonts w:ascii="Arial" w:hAnsi="Arial" w:cs="Arial"/>
          <w:color w:val="000000"/>
          <w:sz w:val="24"/>
        </w:rPr>
      </w:pPr>
      <w:r w:rsidRPr="00C45431">
        <w:rPr>
          <w:rFonts w:ascii="Arial" w:hAnsi="Arial" w:cs="Arial"/>
          <w:b/>
          <w:sz w:val="24"/>
          <w:u w:val="single"/>
        </w:rPr>
        <w:t>Impact on Small Businesses or Other Small Entities</w:t>
      </w:r>
    </w:p>
    <w:p w:rsidR="00E767E6" w:rsidRPr="00E767E6" w:rsidP="00E767E6" w14:paraId="029E32C1" w14:textId="77777777">
      <w:pPr>
        <w:spacing w:before="240"/>
        <w:ind w:left="360"/>
        <w:rPr>
          <w:rFonts w:ascii="Arial" w:hAnsi="Arial" w:cs="Arial"/>
          <w:b/>
          <w:sz w:val="24"/>
        </w:rPr>
      </w:pPr>
      <w:r w:rsidRPr="00AC1BBA">
        <w:rPr>
          <w:rFonts w:ascii="Arial" w:hAnsi="Arial" w:cs="Arial"/>
          <w:color w:val="000000" w:themeColor="text1"/>
          <w:sz w:val="24"/>
        </w:rPr>
        <w:t xml:space="preserve">The collection information for participating in the 340B Program for both covered entities and manufacturers may impact small entities. HRSA expects the burden associated with collection of this information to be low. Participation </w:t>
      </w:r>
      <w:r>
        <w:rPr>
          <w:rFonts w:ascii="Arial" w:hAnsi="Arial" w:cs="Arial"/>
          <w:color w:val="000000" w:themeColor="text1"/>
          <w:sz w:val="24"/>
        </w:rPr>
        <w:t xml:space="preserve">in the 340B ADR process </w:t>
      </w:r>
      <w:r w:rsidRPr="00AC1BBA">
        <w:rPr>
          <w:rFonts w:ascii="Arial" w:hAnsi="Arial" w:cs="Arial"/>
          <w:color w:val="000000" w:themeColor="text1"/>
          <w:sz w:val="24"/>
        </w:rPr>
        <w:t xml:space="preserve">for both entities and manufacturers </w:t>
      </w:r>
      <w:r w:rsidRPr="00AC1BBA">
        <w:rPr>
          <w:rFonts w:ascii="Arial" w:hAnsi="Arial" w:cs="Arial"/>
          <w:color w:val="000000" w:themeColor="text1"/>
          <w:sz w:val="24"/>
        </w:rPr>
        <w:t>is</w:t>
      </w:r>
      <w:r w:rsidRPr="00AC1BBA">
        <w:rPr>
          <w:rFonts w:ascii="Arial" w:hAnsi="Arial" w:cs="Arial"/>
          <w:color w:val="000000" w:themeColor="text1"/>
          <w:sz w:val="24"/>
        </w:rPr>
        <w:t xml:space="preserve"> voluntary</w:t>
      </w:r>
      <w:r>
        <w:rPr>
          <w:rFonts w:ascii="Arial" w:hAnsi="Arial" w:cs="Arial"/>
          <w:color w:val="000000" w:themeColor="text1"/>
          <w:sz w:val="24"/>
        </w:rPr>
        <w:t>.</w:t>
      </w:r>
      <w:r w:rsidRPr="00AC1BBA">
        <w:rPr>
          <w:rFonts w:ascii="Arial" w:hAnsi="Arial" w:cs="Arial"/>
          <w:color w:val="000000" w:themeColor="text1"/>
          <w:sz w:val="24"/>
        </w:rPr>
        <w:t xml:space="preserve"> </w:t>
      </w:r>
    </w:p>
    <w:p w:rsidR="009B3794" w:rsidRPr="00C45431" w:rsidP="00E42439" w14:paraId="22E2A30D" w14:textId="1A88868B">
      <w:pPr>
        <w:numPr>
          <w:ilvl w:val="0"/>
          <w:numId w:val="1"/>
        </w:numPr>
        <w:spacing w:before="240"/>
        <w:rPr>
          <w:rFonts w:ascii="Arial" w:hAnsi="Arial" w:cs="Arial"/>
          <w:b/>
          <w:sz w:val="24"/>
        </w:rPr>
      </w:pPr>
      <w:r w:rsidRPr="00C45431">
        <w:rPr>
          <w:rFonts w:ascii="Arial" w:hAnsi="Arial" w:cs="Arial"/>
          <w:b/>
          <w:sz w:val="24"/>
          <w:u w:val="single"/>
        </w:rPr>
        <w:t>Consequences of Collecting the Information Less Frequent</w:t>
      </w:r>
      <w:r w:rsidRPr="00C45431" w:rsidR="001325B2">
        <w:rPr>
          <w:rFonts w:ascii="Arial" w:hAnsi="Arial" w:cs="Arial"/>
          <w:b/>
          <w:sz w:val="24"/>
          <w:u w:val="single"/>
        </w:rPr>
        <w:t>ly</w:t>
      </w:r>
    </w:p>
    <w:p w:rsidR="00BC337B" w:rsidRPr="0D994D30" w:rsidP="002F555D" w14:paraId="22E2A30E" w14:textId="620D4BE2">
      <w:pPr>
        <w:widowControl/>
        <w:autoSpaceDE/>
        <w:autoSpaceDN/>
        <w:adjustRightInd/>
        <w:spacing w:before="120"/>
        <w:ind w:left="360"/>
        <w:rPr>
          <w:rFonts w:ascii="Arial" w:hAnsi="Arial" w:cs="Arial"/>
          <w:b/>
          <w:bCs/>
          <w:color w:val="000000" w:themeColor="text1"/>
          <w:sz w:val="24"/>
        </w:rPr>
      </w:pPr>
      <w:r>
        <w:rPr>
          <w:rFonts w:ascii="Arial" w:hAnsi="Arial" w:cs="Arial"/>
          <w:sz w:val="24"/>
        </w:rPr>
        <w:t>There is no frequency requirement for this data collection</w:t>
      </w:r>
      <w:r w:rsidR="00163F2D">
        <w:rPr>
          <w:rFonts w:ascii="Arial" w:hAnsi="Arial" w:cs="Arial"/>
          <w:sz w:val="24"/>
        </w:rPr>
        <w:t xml:space="preserve">. </w:t>
      </w:r>
      <w:r>
        <w:rPr>
          <w:rFonts w:ascii="Arial" w:hAnsi="Arial" w:cs="Arial"/>
          <w:sz w:val="24"/>
        </w:rPr>
        <w:t>Submissions are voluntary.</w:t>
      </w:r>
    </w:p>
    <w:p w:rsidR="009B3794" w:rsidRPr="00C45431" w:rsidP="00E42439" w14:paraId="22E2A312" w14:textId="77777777">
      <w:pPr>
        <w:numPr>
          <w:ilvl w:val="0"/>
          <w:numId w:val="1"/>
        </w:numPr>
        <w:spacing w:before="240"/>
        <w:rPr>
          <w:rFonts w:ascii="Arial" w:hAnsi="Arial" w:cs="Arial"/>
          <w:b/>
          <w:sz w:val="24"/>
        </w:rPr>
      </w:pPr>
      <w:r w:rsidRPr="00C45431">
        <w:rPr>
          <w:rFonts w:ascii="Arial" w:hAnsi="Arial" w:cs="Arial"/>
          <w:b/>
          <w:sz w:val="24"/>
          <w:u w:val="single"/>
        </w:rPr>
        <w:t>Special Circumstances Relating to the Guidelines of 5 CFR 1320.5</w:t>
      </w:r>
    </w:p>
    <w:p w:rsidR="009B3794" w:rsidRPr="00BC337B" w:rsidP="002F555D" w14:paraId="22E2A31B" w14:textId="78059F79">
      <w:pPr>
        <w:spacing w:before="120"/>
        <w:ind w:left="360"/>
        <w:rPr>
          <w:rFonts w:ascii="Arial" w:hAnsi="Arial" w:cs="Arial"/>
          <w:sz w:val="24"/>
        </w:rPr>
      </w:pPr>
      <w:r w:rsidRPr="00BC337B">
        <w:rPr>
          <w:rFonts w:ascii="Arial" w:hAnsi="Arial" w:cs="Arial"/>
          <w:sz w:val="24"/>
        </w:rPr>
        <w:t>T</w:t>
      </w:r>
      <w:r w:rsidRPr="00BC337B">
        <w:rPr>
          <w:rFonts w:ascii="Arial" w:hAnsi="Arial" w:cs="Arial"/>
          <w:sz w:val="24"/>
        </w:rPr>
        <w:t xml:space="preserve">he request fully complies with the </w:t>
      </w:r>
      <w:r w:rsidRPr="00BC337B" w:rsidR="00311F91">
        <w:rPr>
          <w:rFonts w:ascii="Arial" w:hAnsi="Arial" w:cs="Arial"/>
          <w:sz w:val="24"/>
        </w:rPr>
        <w:t>regulation.</w:t>
      </w:r>
    </w:p>
    <w:p w:rsidR="009B3794" w:rsidRPr="00C45431" w:rsidP="00E42439" w14:paraId="22E2A31C" w14:textId="77777777">
      <w:pPr>
        <w:numPr>
          <w:ilvl w:val="0"/>
          <w:numId w:val="1"/>
        </w:numPr>
        <w:spacing w:before="24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rsidR="00DE3A45" w:rsidRPr="00B917E6" w:rsidP="00E767E6" w14:paraId="22E2A31D" w14:textId="77777777">
      <w:pPr>
        <w:spacing w:before="120"/>
        <w:ind w:firstLine="360"/>
        <w:rPr>
          <w:rFonts w:ascii="Arial" w:hAnsi="Arial" w:cs="Arial"/>
          <w:b/>
          <w:iCs/>
          <w:sz w:val="24"/>
          <w:u w:val="single"/>
        </w:rPr>
      </w:pPr>
      <w:r w:rsidRPr="00B917E6">
        <w:rPr>
          <w:rFonts w:ascii="Arial" w:hAnsi="Arial" w:cs="Arial"/>
          <w:b/>
          <w:iCs/>
          <w:sz w:val="24"/>
          <w:u w:val="single"/>
        </w:rPr>
        <w:t>Section 8A:</w:t>
      </w:r>
    </w:p>
    <w:p w:rsidR="00BC337B" w:rsidP="00E767E6" w14:paraId="05204A3B" w14:textId="332506E7">
      <w:pPr>
        <w:spacing w:before="120"/>
        <w:ind w:left="360"/>
        <w:rPr>
          <w:rFonts w:ascii="Arial" w:hAnsi="Arial" w:cs="Arial"/>
          <w:sz w:val="24"/>
        </w:rPr>
      </w:pPr>
      <w:r w:rsidRPr="00BC337B">
        <w:rPr>
          <w:rFonts w:ascii="Arial" w:hAnsi="Arial" w:cs="Arial"/>
          <w:sz w:val="24"/>
        </w:rPr>
        <w:t xml:space="preserve">On April 19, 2024, HRSA published the 340B Drug Pricing Program; Administrative Dispute Resolution Regulation Final Rule (340B ADR Final Rule) (89 Fed. Reg. 28,643 (Apr. 19, 2024) (to </w:t>
      </w:r>
      <w:r w:rsidRPr="00BC337B">
        <w:rPr>
          <w:rFonts w:ascii="Arial" w:hAnsi="Arial" w:cs="Arial"/>
          <w:sz w:val="24"/>
        </w:rPr>
        <w:t>be codified</w:t>
      </w:r>
      <w:r w:rsidRPr="00BC337B">
        <w:rPr>
          <w:rFonts w:ascii="Arial" w:hAnsi="Arial" w:cs="Arial"/>
          <w:sz w:val="24"/>
        </w:rPr>
        <w:t xml:space="preserve"> at 42 C.F.R. part 10))</w:t>
      </w:r>
      <w:r w:rsidR="00163F2D">
        <w:rPr>
          <w:rFonts w:ascii="Arial" w:hAnsi="Arial" w:cs="Arial"/>
          <w:sz w:val="24"/>
        </w:rPr>
        <w:t xml:space="preserve">. </w:t>
      </w:r>
    </w:p>
    <w:p w:rsidR="008E0338" w:rsidRPr="008E0338" w:rsidP="00E767E6" w14:paraId="7E5BC811" w14:textId="7B8F77CE">
      <w:pPr>
        <w:spacing w:before="120"/>
        <w:ind w:left="360"/>
        <w:rPr>
          <w:rFonts w:ascii="Arial" w:hAnsi="Arial" w:cs="Arial"/>
          <w:sz w:val="24"/>
        </w:rPr>
      </w:pPr>
      <w:r w:rsidRPr="008E0338">
        <w:rPr>
          <w:rFonts w:ascii="Arial" w:hAnsi="Arial" w:cs="Arial"/>
          <w:sz w:val="24"/>
        </w:rPr>
        <w:t>A 60-day notice published in the Federal Register on August 7, 2024, vol. 89, No. 152; pp. 64468-69</w:t>
      </w:r>
      <w:r w:rsidR="00163F2D">
        <w:rPr>
          <w:rFonts w:ascii="Arial" w:hAnsi="Arial" w:cs="Arial"/>
          <w:sz w:val="24"/>
        </w:rPr>
        <w:t xml:space="preserve">. </w:t>
      </w:r>
      <w:r w:rsidRPr="008E0338">
        <w:rPr>
          <w:rFonts w:ascii="Arial" w:hAnsi="Arial" w:cs="Arial"/>
          <w:sz w:val="24"/>
        </w:rPr>
        <w:t>HRSA received five public comments</w:t>
      </w:r>
      <w:r w:rsidR="00163F2D">
        <w:rPr>
          <w:rFonts w:ascii="Arial" w:hAnsi="Arial" w:cs="Arial"/>
          <w:sz w:val="24"/>
        </w:rPr>
        <w:t xml:space="preserve">. </w:t>
      </w:r>
    </w:p>
    <w:p w:rsidR="008E0338" w:rsidRPr="008E0338" w:rsidP="00E767E6" w14:paraId="22173BF3" w14:textId="49F4117F">
      <w:pPr>
        <w:spacing w:before="120"/>
        <w:ind w:left="360"/>
        <w:rPr>
          <w:rFonts w:ascii="Arial" w:hAnsi="Arial" w:cs="Arial"/>
          <w:sz w:val="24"/>
        </w:rPr>
      </w:pPr>
      <w:r>
        <w:rPr>
          <w:rFonts w:ascii="Arial" w:hAnsi="Arial" w:cs="Arial"/>
          <w:sz w:val="24"/>
        </w:rPr>
        <w:t>Three</w:t>
      </w:r>
      <w:r w:rsidRPr="008E0338">
        <w:rPr>
          <w:rFonts w:ascii="Arial" w:hAnsi="Arial" w:cs="Arial"/>
          <w:sz w:val="24"/>
        </w:rPr>
        <w:t xml:space="preserve"> </w:t>
      </w:r>
      <w:r w:rsidRPr="008E0338">
        <w:rPr>
          <w:rFonts w:ascii="Arial" w:hAnsi="Arial" w:cs="Arial"/>
          <w:sz w:val="24"/>
        </w:rPr>
        <w:t xml:space="preserve">commenters explained that HRSA’s estimate of 2.5 hours per response grossly underestimates the significant burden manufacturers incur to access the ADR process. Some comments explained that a manufacturer can only access the ADR process after it has completed an audit of a covered entity and HRSA’s manufacturer audit guidelines impose significant burdens on manufacturers’ ability to audit, thereby effectively denying manufacturers access to the ADR process. This information collection request </w:t>
      </w:r>
      <w:r w:rsidRPr="008E0338">
        <w:rPr>
          <w:rFonts w:ascii="Arial" w:hAnsi="Arial" w:cs="Arial"/>
          <w:sz w:val="24"/>
        </w:rPr>
        <w:t>is limited</w:t>
      </w:r>
      <w:r w:rsidRPr="008E0338">
        <w:rPr>
          <w:rFonts w:ascii="Arial" w:hAnsi="Arial" w:cs="Arial"/>
          <w:sz w:val="24"/>
        </w:rPr>
        <w:t xml:space="preserve"> only to the initiation of the 340B ADR process and the uploading of the related documents at the initial phase of the 340B ADR process. It does not include audits performed by manufacturers of covered entities. Though manufacturer audits of covered entities are a prerequisite to filing </w:t>
      </w:r>
      <w:r w:rsidRPr="008E0338">
        <w:rPr>
          <w:rFonts w:ascii="Arial" w:hAnsi="Arial" w:cs="Arial"/>
          <w:sz w:val="24"/>
        </w:rPr>
        <w:t xml:space="preserve">an ADR claim for manufacturers, those audits are a separate investigative process and are not subject to this information request. </w:t>
      </w:r>
    </w:p>
    <w:p w:rsidR="008E0338" w:rsidRPr="008E0338" w:rsidP="00E767E6" w14:paraId="706391D8" w14:textId="3D7B2370">
      <w:pPr>
        <w:spacing w:before="120"/>
        <w:ind w:left="360"/>
        <w:rPr>
          <w:rFonts w:ascii="Arial" w:hAnsi="Arial" w:cs="Arial"/>
          <w:sz w:val="24"/>
        </w:rPr>
      </w:pPr>
      <w:r w:rsidRPr="008E0338">
        <w:rPr>
          <w:rFonts w:ascii="Arial" w:hAnsi="Arial" w:cs="Arial"/>
          <w:sz w:val="24"/>
        </w:rPr>
        <w:t xml:space="preserve">One commenter requested that HRSA require manufacturers to present specific types of documentation and evidence </w:t>
      </w:r>
      <w:r w:rsidR="00184DD0">
        <w:rPr>
          <w:rFonts w:ascii="Arial" w:hAnsi="Arial" w:cs="Arial"/>
          <w:sz w:val="24"/>
        </w:rPr>
        <w:t>to initiate</w:t>
      </w:r>
      <w:r w:rsidRPr="008E0338">
        <w:rPr>
          <w:rFonts w:ascii="Arial" w:hAnsi="Arial" w:cs="Arial"/>
          <w:sz w:val="24"/>
        </w:rPr>
        <w:t xml:space="preserve"> a dispute</w:t>
      </w:r>
      <w:r w:rsidR="00163F2D">
        <w:rPr>
          <w:rFonts w:ascii="Arial" w:hAnsi="Arial" w:cs="Arial"/>
          <w:sz w:val="24"/>
        </w:rPr>
        <w:t xml:space="preserve">. </w:t>
      </w:r>
      <w:r w:rsidRPr="008E0338">
        <w:rPr>
          <w:rFonts w:ascii="Arial" w:hAnsi="Arial" w:cs="Arial"/>
          <w:sz w:val="24"/>
        </w:rPr>
        <w:t>One commenter requested that HRSA specify what “sufficient documentation” consists of for submitting an ADR claim</w:t>
      </w:r>
      <w:r w:rsidR="00163F2D">
        <w:rPr>
          <w:rFonts w:ascii="Arial" w:hAnsi="Arial" w:cs="Arial"/>
          <w:sz w:val="24"/>
        </w:rPr>
        <w:t xml:space="preserve">. </w:t>
      </w:r>
      <w:r w:rsidRPr="008E0338">
        <w:rPr>
          <w:rFonts w:ascii="Arial" w:hAnsi="Arial" w:cs="Arial"/>
          <w:sz w:val="24"/>
        </w:rPr>
        <w:t xml:space="preserve">Documentation provided by the petitioner </w:t>
      </w:r>
      <w:r w:rsidR="00184DD0">
        <w:rPr>
          <w:rFonts w:ascii="Arial" w:hAnsi="Arial" w:cs="Arial"/>
          <w:sz w:val="24"/>
        </w:rPr>
        <w:t xml:space="preserve">is </w:t>
      </w:r>
      <w:r w:rsidRPr="008E0338">
        <w:rPr>
          <w:rFonts w:ascii="Arial" w:hAnsi="Arial" w:cs="Arial"/>
          <w:sz w:val="24"/>
        </w:rPr>
        <w:t xml:space="preserve">left to the discretion of the submitter </w:t>
      </w:r>
      <w:r w:rsidRPr="008E0338">
        <w:rPr>
          <w:rFonts w:ascii="Arial" w:hAnsi="Arial" w:cs="Arial"/>
          <w:sz w:val="24"/>
        </w:rPr>
        <w:t>in order to</w:t>
      </w:r>
      <w:r w:rsidRPr="008E0338">
        <w:rPr>
          <w:rFonts w:ascii="Arial" w:hAnsi="Arial" w:cs="Arial"/>
          <w:sz w:val="24"/>
        </w:rPr>
        <w:t xml:space="preserve"> substantiate</w:t>
      </w:r>
      <w:r w:rsidR="004624AF">
        <w:rPr>
          <w:rFonts w:ascii="Arial" w:hAnsi="Arial" w:cs="Arial"/>
          <w:sz w:val="24"/>
        </w:rPr>
        <w:t xml:space="preserve"> initiation of</w:t>
      </w:r>
      <w:r w:rsidRPr="008E0338">
        <w:rPr>
          <w:rFonts w:ascii="Arial" w:hAnsi="Arial" w:cs="Arial"/>
          <w:sz w:val="24"/>
        </w:rPr>
        <w:t xml:space="preserve"> their position as part of the claim.  </w:t>
      </w:r>
    </w:p>
    <w:p w:rsidR="008E0338" w:rsidRPr="008E0338" w:rsidP="00E767E6" w14:paraId="36DF10FE" w14:textId="03CC0C2B">
      <w:pPr>
        <w:spacing w:before="120"/>
        <w:ind w:left="360"/>
        <w:rPr>
          <w:rFonts w:ascii="Arial" w:hAnsi="Arial" w:cs="Arial"/>
          <w:sz w:val="24"/>
        </w:rPr>
      </w:pPr>
      <w:r w:rsidRPr="008E0338">
        <w:rPr>
          <w:rFonts w:ascii="Arial" w:hAnsi="Arial" w:cs="Arial"/>
          <w:sz w:val="24"/>
        </w:rPr>
        <w:t>The other comments discussed specifics elements of the ADR rule, including defining what good faith efforts entail, how child site eligibility relates to diversion and what the definition of an overcharge should include</w:t>
      </w:r>
      <w:r w:rsidR="00163F2D">
        <w:rPr>
          <w:rFonts w:ascii="Arial" w:hAnsi="Arial" w:cs="Arial"/>
          <w:sz w:val="24"/>
        </w:rPr>
        <w:t xml:space="preserve">. </w:t>
      </w:r>
      <w:r w:rsidRPr="008E0338">
        <w:rPr>
          <w:rFonts w:ascii="Arial" w:hAnsi="Arial" w:cs="Arial"/>
          <w:sz w:val="24"/>
        </w:rPr>
        <w:t>These comments are outside of the scope of this information collection request</w:t>
      </w:r>
      <w:r w:rsidR="00163F2D">
        <w:rPr>
          <w:rFonts w:ascii="Arial" w:hAnsi="Arial" w:cs="Arial"/>
          <w:sz w:val="24"/>
        </w:rPr>
        <w:t xml:space="preserve">. </w:t>
      </w:r>
      <w:r w:rsidRPr="00337A9C" w:rsidR="00337A9C">
        <w:rPr>
          <w:rFonts w:ascii="Arial" w:hAnsi="Arial" w:cs="Arial"/>
          <w:sz w:val="24"/>
        </w:rPr>
        <w:t xml:space="preserve">After detailed analysis of the comments received, </w:t>
      </w:r>
      <w:r w:rsidRPr="008E0338">
        <w:rPr>
          <w:rFonts w:ascii="Arial" w:hAnsi="Arial" w:cs="Arial"/>
          <w:sz w:val="24"/>
        </w:rPr>
        <w:t>HRSA is moving forward with the burden hours as stated in the 60-day notice.</w:t>
      </w:r>
    </w:p>
    <w:p w:rsidR="003B5EAD" w:rsidP="00E767E6" w14:paraId="7190A98C" w14:textId="77777777">
      <w:pPr>
        <w:spacing w:before="120"/>
        <w:ind w:firstLine="360"/>
        <w:rPr>
          <w:rFonts w:ascii="Arial" w:hAnsi="Arial" w:cs="Arial"/>
          <w:b/>
          <w:sz w:val="28"/>
          <w:szCs w:val="28"/>
        </w:rPr>
      </w:pPr>
      <w:r w:rsidRPr="00B917E6">
        <w:rPr>
          <w:rFonts w:ascii="Arial" w:hAnsi="Arial" w:cs="Arial"/>
          <w:b/>
          <w:sz w:val="24"/>
          <w:u w:val="single"/>
        </w:rPr>
        <w:t>Section 8B</w:t>
      </w:r>
      <w:r w:rsidRPr="008E0338">
        <w:rPr>
          <w:rFonts w:ascii="Arial" w:hAnsi="Arial" w:cs="Arial"/>
          <w:b/>
          <w:sz w:val="28"/>
          <w:szCs w:val="28"/>
        </w:rPr>
        <w:t>:</w:t>
      </w:r>
      <w:r w:rsidR="002F555D">
        <w:rPr>
          <w:rFonts w:ascii="Arial" w:hAnsi="Arial" w:cs="Arial"/>
          <w:b/>
          <w:sz w:val="28"/>
          <w:szCs w:val="28"/>
        </w:rPr>
        <w:t xml:space="preserve"> </w:t>
      </w:r>
    </w:p>
    <w:p w:rsidR="00DE3A45" w:rsidRPr="00B917E6" w:rsidP="00E767E6" w14:paraId="22E2A321" w14:textId="2486DB05">
      <w:pPr>
        <w:spacing w:before="120"/>
        <w:ind w:left="360"/>
        <w:rPr>
          <w:rFonts w:ascii="Arial" w:hAnsi="Arial" w:cs="Arial"/>
          <w:sz w:val="24"/>
        </w:rPr>
      </w:pPr>
      <w:r w:rsidRPr="00B917E6">
        <w:rPr>
          <w:rFonts w:ascii="Arial" w:hAnsi="Arial" w:cs="Arial"/>
          <w:sz w:val="24"/>
        </w:rPr>
        <w:t>Not applicable</w:t>
      </w:r>
      <w:r w:rsidR="00163F2D">
        <w:rPr>
          <w:rFonts w:ascii="Arial" w:hAnsi="Arial" w:cs="Arial"/>
          <w:sz w:val="24"/>
        </w:rPr>
        <w:t>.</w:t>
      </w:r>
    </w:p>
    <w:p w:rsidR="009B3794" w:rsidRPr="00C45431" w:rsidP="00E42439" w14:paraId="22E2A32A" w14:textId="0C77FDEC">
      <w:pPr>
        <w:numPr>
          <w:ilvl w:val="0"/>
          <w:numId w:val="1"/>
        </w:numPr>
        <w:spacing w:before="240"/>
        <w:rPr>
          <w:rFonts w:ascii="Arial" w:hAnsi="Arial" w:cs="Arial"/>
          <w:b/>
          <w:sz w:val="24"/>
        </w:rPr>
      </w:pPr>
      <w:r w:rsidRPr="00C45431">
        <w:rPr>
          <w:rFonts w:ascii="Arial" w:hAnsi="Arial" w:cs="Arial"/>
          <w:b/>
          <w:sz w:val="24"/>
          <w:u w:val="single"/>
        </w:rPr>
        <w:t>Explanation of any Payment/Gift to Respondents</w:t>
      </w:r>
    </w:p>
    <w:p w:rsidR="00935E77" w:rsidRPr="00C45431" w:rsidP="00B917E6" w14:paraId="22E2A32D" w14:textId="106B4F0C">
      <w:pPr>
        <w:spacing w:before="120"/>
        <w:ind w:left="360"/>
        <w:rPr>
          <w:rFonts w:ascii="Arial" w:hAnsi="Arial" w:cs="Arial"/>
          <w:b/>
          <w:sz w:val="24"/>
        </w:rPr>
      </w:pPr>
      <w:r w:rsidRPr="00C45431">
        <w:rPr>
          <w:rFonts w:ascii="Arial" w:hAnsi="Arial" w:cs="Arial"/>
          <w:b/>
          <w:sz w:val="24"/>
        </w:rPr>
        <w:t xml:space="preserve"> </w:t>
      </w:r>
      <w:r w:rsidRPr="00311F91">
        <w:rPr>
          <w:rFonts w:ascii="Arial" w:hAnsi="Arial" w:cs="Arial"/>
          <w:bCs/>
          <w:sz w:val="24"/>
        </w:rPr>
        <w:t xml:space="preserve">Respondents will not receive </w:t>
      </w:r>
      <w:r w:rsidRPr="00311F91" w:rsidR="008B04CA">
        <w:rPr>
          <w:rFonts w:ascii="Arial" w:hAnsi="Arial" w:cs="Arial"/>
          <w:bCs/>
          <w:sz w:val="24"/>
        </w:rPr>
        <w:t xml:space="preserve">any </w:t>
      </w:r>
      <w:r w:rsidRPr="00311F91">
        <w:rPr>
          <w:rFonts w:ascii="Arial" w:hAnsi="Arial" w:cs="Arial"/>
          <w:bCs/>
          <w:sz w:val="24"/>
        </w:rPr>
        <w:t>payment</w:t>
      </w:r>
      <w:r w:rsidRPr="00311F91" w:rsidR="008B04CA">
        <w:rPr>
          <w:rFonts w:ascii="Arial" w:hAnsi="Arial" w:cs="Arial"/>
          <w:bCs/>
          <w:sz w:val="24"/>
        </w:rPr>
        <w:t>s</w:t>
      </w:r>
      <w:r w:rsidRPr="00311F91">
        <w:rPr>
          <w:rFonts w:ascii="Arial" w:hAnsi="Arial" w:cs="Arial"/>
          <w:bCs/>
          <w:sz w:val="24"/>
        </w:rPr>
        <w:t xml:space="preserve"> or gifts.</w:t>
      </w:r>
    </w:p>
    <w:p w:rsidR="009B3794" w:rsidRPr="00C45431" w:rsidP="00E42439" w14:paraId="22E2A32E" w14:textId="4047901F">
      <w:pPr>
        <w:numPr>
          <w:ilvl w:val="0"/>
          <w:numId w:val="1"/>
        </w:numPr>
        <w:spacing w:before="240"/>
        <w:rPr>
          <w:rFonts w:ascii="Arial" w:hAnsi="Arial" w:cs="Arial"/>
          <w:b/>
          <w:sz w:val="24"/>
        </w:rPr>
      </w:pPr>
      <w:r>
        <w:rPr>
          <w:rFonts w:ascii="Arial" w:hAnsi="Arial" w:cs="Arial"/>
          <w:b/>
          <w:sz w:val="24"/>
          <w:u w:val="single"/>
        </w:rPr>
        <w:t xml:space="preserve"> </w:t>
      </w:r>
      <w:r w:rsidRPr="00C45431">
        <w:rPr>
          <w:rFonts w:ascii="Arial" w:hAnsi="Arial" w:cs="Arial"/>
          <w:b/>
          <w:sz w:val="24"/>
          <w:u w:val="single"/>
        </w:rPr>
        <w:t>Assurance of Confidentiality Provided to Respondents</w:t>
      </w:r>
    </w:p>
    <w:p w:rsidR="00422D7A" w:rsidP="003B5EAD" w14:paraId="33F4BC01" w14:textId="28FA0B12">
      <w:pPr>
        <w:spacing w:before="120"/>
        <w:ind w:left="360"/>
        <w:rPr>
          <w:rFonts w:ascii="Arial" w:hAnsi="Arial" w:cs="Arial"/>
          <w:sz w:val="24"/>
        </w:rPr>
      </w:pPr>
      <w:r>
        <w:rPr>
          <w:rFonts w:ascii="Arial" w:hAnsi="Arial" w:cs="Arial"/>
          <w:sz w:val="24"/>
        </w:rPr>
        <w:t>340B Office of Pharmacy Affairs Information System (OPAIS) is a secure system that only allows access to registered and logged in users</w:t>
      </w:r>
      <w:r w:rsidR="00163F2D">
        <w:rPr>
          <w:rFonts w:ascii="Arial" w:hAnsi="Arial" w:cs="Arial"/>
          <w:sz w:val="24"/>
        </w:rPr>
        <w:t xml:space="preserve">. </w:t>
      </w:r>
      <w:r>
        <w:rPr>
          <w:rFonts w:ascii="Arial" w:hAnsi="Arial" w:cs="Arial"/>
          <w:sz w:val="24"/>
        </w:rPr>
        <w:t xml:space="preserve">Users only have access to the ADR petitions that they are a party to. </w:t>
      </w:r>
      <w:r w:rsidRPr="00817661" w:rsidR="00817661">
        <w:rPr>
          <w:rFonts w:ascii="Arial" w:hAnsi="Arial" w:cs="Arial"/>
          <w:sz w:val="24"/>
        </w:rPr>
        <w:t>The 340B statute</w:t>
      </w:r>
      <w:r w:rsidR="005F5B88">
        <w:rPr>
          <w:rFonts w:ascii="Arial" w:hAnsi="Arial" w:cs="Arial"/>
          <w:sz w:val="24"/>
        </w:rPr>
        <w:t xml:space="preserve"> (</w:t>
      </w:r>
      <w:r w:rsidRPr="005F5B88" w:rsidR="005F5B88">
        <w:rPr>
          <w:rFonts w:ascii="Arial" w:hAnsi="Arial" w:cs="Arial"/>
          <w:sz w:val="24"/>
        </w:rPr>
        <w:t>42 U.S.C. § 256b</w:t>
      </w:r>
      <w:r w:rsidR="005F5B88">
        <w:rPr>
          <w:rFonts w:ascii="Arial" w:hAnsi="Arial" w:cs="Arial"/>
          <w:sz w:val="24"/>
        </w:rPr>
        <w:t>(d)(1)(B)(iii)</w:t>
      </w:r>
      <w:r w:rsidRPr="005F5B88" w:rsidR="005F5B88">
        <w:rPr>
          <w:rFonts w:ascii="Arial" w:hAnsi="Arial" w:cs="Arial"/>
          <w:sz w:val="24"/>
        </w:rPr>
        <w:t>)</w:t>
      </w:r>
      <w:r w:rsidRPr="00817661" w:rsidR="00817661">
        <w:rPr>
          <w:rFonts w:ascii="Arial" w:hAnsi="Arial" w:cs="Arial"/>
          <w:sz w:val="24"/>
        </w:rPr>
        <w:t xml:space="preserve"> requires protection of privileged pricing data from unauthorized re-disclosure.</w:t>
      </w:r>
      <w:r w:rsidR="00817661">
        <w:rPr>
          <w:rFonts w:ascii="Arial" w:hAnsi="Arial" w:cs="Arial"/>
          <w:sz w:val="24"/>
        </w:rPr>
        <w:t xml:space="preserve"> </w:t>
      </w:r>
      <w:r w:rsidRPr="00184DD0" w:rsidR="00184DD0">
        <w:rPr>
          <w:rFonts w:ascii="Arial" w:hAnsi="Arial" w:cs="Arial"/>
          <w:sz w:val="24"/>
        </w:rPr>
        <w:t xml:space="preserve">Data will </w:t>
      </w:r>
      <w:r w:rsidRPr="00184DD0" w:rsidR="00184DD0">
        <w:rPr>
          <w:rFonts w:ascii="Arial" w:hAnsi="Arial" w:cs="Arial"/>
          <w:sz w:val="24"/>
        </w:rPr>
        <w:t>be kept</w:t>
      </w:r>
      <w:r w:rsidRPr="00184DD0" w:rsidR="00184DD0">
        <w:rPr>
          <w:rFonts w:ascii="Arial" w:hAnsi="Arial" w:cs="Arial"/>
          <w:sz w:val="24"/>
        </w:rPr>
        <w:t xml:space="preserve"> private to the extent allowed by law</w:t>
      </w:r>
      <w:r w:rsidR="00B24553">
        <w:rPr>
          <w:rFonts w:ascii="Arial" w:hAnsi="Arial" w:cs="Arial"/>
          <w:sz w:val="24"/>
        </w:rPr>
        <w:t>.</w:t>
      </w:r>
      <w:r w:rsidR="00817661">
        <w:rPr>
          <w:rFonts w:ascii="Arial" w:hAnsi="Arial" w:cs="Arial"/>
          <w:sz w:val="24"/>
        </w:rPr>
        <w:t xml:space="preserve"> </w:t>
      </w:r>
    </w:p>
    <w:p w:rsidR="009B3794" w:rsidRPr="00B917E6" w:rsidP="00B917E6" w14:paraId="22E2A336" w14:textId="4FE90B5D">
      <w:pPr>
        <w:pStyle w:val="ListParagraph"/>
        <w:numPr>
          <w:ilvl w:val="0"/>
          <w:numId w:val="1"/>
        </w:numPr>
        <w:spacing w:before="120"/>
        <w:rPr>
          <w:rFonts w:ascii="Arial" w:hAnsi="Arial" w:cs="Arial"/>
          <w:b/>
          <w:sz w:val="24"/>
        </w:rPr>
      </w:pPr>
      <w:r>
        <w:rPr>
          <w:rFonts w:ascii="Arial" w:hAnsi="Arial" w:cs="Arial"/>
          <w:b/>
          <w:sz w:val="24"/>
          <w:u w:val="single"/>
        </w:rPr>
        <w:t xml:space="preserve"> </w:t>
      </w:r>
      <w:r w:rsidRPr="00B917E6">
        <w:rPr>
          <w:rFonts w:ascii="Arial" w:hAnsi="Arial" w:cs="Arial"/>
          <w:b/>
          <w:sz w:val="24"/>
          <w:u w:val="single"/>
        </w:rPr>
        <w:t>Justification for Sensitive Questions</w:t>
      </w:r>
    </w:p>
    <w:p w:rsidR="00B61B64" w:rsidRPr="00B61B64" w:rsidP="00B917E6" w14:paraId="39993EB8" w14:textId="6FE244F7">
      <w:pPr>
        <w:pStyle w:val="ListParagraph"/>
        <w:spacing w:before="240"/>
        <w:ind w:left="360"/>
        <w:rPr>
          <w:rFonts w:ascii="Arial" w:hAnsi="Arial" w:cs="Arial"/>
          <w:sz w:val="24"/>
        </w:rPr>
      </w:pPr>
      <w:r w:rsidRPr="00B61B64">
        <w:rPr>
          <w:rFonts w:ascii="Arial" w:hAnsi="Arial" w:cs="Arial"/>
          <w:sz w:val="24"/>
        </w:rPr>
        <w:t>There are no sensitive questions for this information collection.</w:t>
      </w:r>
    </w:p>
    <w:p w:rsidR="009B3794" w:rsidRPr="00C45431" w:rsidP="00B917E6" w14:paraId="22E2A33C" w14:textId="77777777">
      <w:pPr>
        <w:numPr>
          <w:ilvl w:val="0"/>
          <w:numId w:val="13"/>
        </w:numPr>
        <w:spacing w:before="240"/>
        <w:rPr>
          <w:rFonts w:ascii="Arial" w:hAnsi="Arial" w:cs="Arial"/>
          <w:sz w:val="24"/>
        </w:rPr>
      </w:pPr>
      <w:r w:rsidRPr="165E32E8">
        <w:rPr>
          <w:rFonts w:ascii="Arial" w:hAnsi="Arial" w:cs="Arial"/>
          <w:b/>
          <w:bCs/>
          <w:sz w:val="24"/>
          <w:u w:val="single"/>
        </w:rPr>
        <w:t xml:space="preserve">Estimates of Annualized Hour and Cost Burden  </w:t>
      </w:r>
    </w:p>
    <w:p w:rsidR="00933A78" w:rsidRPr="0006577C" w:rsidP="00E767E6" w14:paraId="40C64C4F" w14:textId="2895EBEC">
      <w:pPr>
        <w:spacing w:before="120"/>
        <w:ind w:left="360"/>
        <w:rPr>
          <w:rFonts w:ascii="Arial" w:hAnsi="Arial" w:cs="Arial"/>
          <w:sz w:val="24"/>
        </w:rPr>
      </w:pPr>
      <w:r w:rsidRPr="003B5EAD">
        <w:rPr>
          <w:rFonts w:ascii="Arial" w:hAnsi="Arial" w:cs="Arial"/>
          <w:sz w:val="24"/>
        </w:rPr>
        <w:t>Likely</w:t>
      </w:r>
      <w:r w:rsidRPr="0006577C">
        <w:rPr>
          <w:rFonts w:ascii="Arial" w:hAnsi="Arial" w:cs="Arial"/>
          <w:sz w:val="24"/>
        </w:rPr>
        <w:t xml:space="preserve"> </w:t>
      </w:r>
      <w:r w:rsidR="002F555D">
        <w:rPr>
          <w:rFonts w:ascii="Arial" w:hAnsi="Arial" w:cs="Arial"/>
          <w:sz w:val="24"/>
        </w:rPr>
        <w:t>r</w:t>
      </w:r>
      <w:r w:rsidRPr="0006577C">
        <w:rPr>
          <w:rFonts w:ascii="Arial" w:hAnsi="Arial" w:cs="Arial"/>
          <w:sz w:val="24"/>
        </w:rPr>
        <w:t xml:space="preserve">espondents include </w:t>
      </w:r>
      <w:r w:rsidR="002F555D">
        <w:rPr>
          <w:rFonts w:ascii="Arial" w:hAnsi="Arial" w:cs="Arial"/>
          <w:sz w:val="24"/>
        </w:rPr>
        <w:t>c</w:t>
      </w:r>
      <w:r w:rsidRPr="0006577C">
        <w:rPr>
          <w:rFonts w:ascii="Arial" w:hAnsi="Arial" w:cs="Arial"/>
          <w:sz w:val="24"/>
        </w:rPr>
        <w:t xml:space="preserve">overed entities </w:t>
      </w:r>
      <w:r w:rsidRPr="007251B8" w:rsidR="007251B8">
        <w:rPr>
          <w:rFonts w:ascii="Arial" w:hAnsi="Arial" w:cs="Arial"/>
          <w:sz w:val="24"/>
        </w:rPr>
        <w:t xml:space="preserve">(or their membership organizations or associations) </w:t>
      </w:r>
      <w:r w:rsidRPr="0006577C">
        <w:rPr>
          <w:rFonts w:ascii="Arial" w:hAnsi="Arial" w:cs="Arial"/>
          <w:sz w:val="24"/>
        </w:rPr>
        <w:t>and manufacturers</w:t>
      </w:r>
      <w:r w:rsidR="00163F2D">
        <w:rPr>
          <w:rFonts w:ascii="Arial" w:hAnsi="Arial" w:cs="Arial"/>
          <w:sz w:val="24"/>
        </w:rPr>
        <w:t xml:space="preserve">. </w:t>
      </w:r>
      <w:r w:rsidR="00E94134">
        <w:rPr>
          <w:rFonts w:ascii="Arial" w:hAnsi="Arial" w:cs="Arial"/>
          <w:sz w:val="24"/>
        </w:rPr>
        <w:t xml:space="preserve">There is no set frequency of response, because submission is voluntary and based on a stakeholder’s circumstance if initiation of a petition is necessary. Burden </w:t>
      </w:r>
      <w:r w:rsidR="00E94134">
        <w:rPr>
          <w:rFonts w:ascii="Arial" w:hAnsi="Arial" w:cs="Arial"/>
          <w:sz w:val="24"/>
        </w:rPr>
        <w:t>was estimated</w:t>
      </w:r>
      <w:r w:rsidR="00E94134">
        <w:rPr>
          <w:rFonts w:ascii="Arial" w:hAnsi="Arial" w:cs="Arial"/>
          <w:sz w:val="24"/>
        </w:rPr>
        <w:t xml:space="preserve"> based on the number of petitions submitted</w:t>
      </w:r>
      <w:r w:rsidR="00800CD4">
        <w:rPr>
          <w:rFonts w:ascii="Arial" w:hAnsi="Arial" w:cs="Arial"/>
          <w:sz w:val="24"/>
        </w:rPr>
        <w:t xml:space="preserve"> to date</w:t>
      </w:r>
      <w:r w:rsidR="00175847">
        <w:rPr>
          <w:rFonts w:ascii="Arial" w:hAnsi="Arial" w:cs="Arial"/>
          <w:sz w:val="24"/>
        </w:rPr>
        <w:t>, including the breakdown between covered entities and manufacturers making ADR submissions</w:t>
      </w:r>
      <w:r w:rsidR="00800CD4">
        <w:rPr>
          <w:rFonts w:ascii="Arial" w:hAnsi="Arial" w:cs="Arial"/>
          <w:sz w:val="24"/>
        </w:rPr>
        <w:t xml:space="preserve">. </w:t>
      </w:r>
    </w:p>
    <w:p w:rsidR="009B3794" w:rsidRPr="00933A78" w:rsidP="003B5EAD" w14:paraId="22E2A33F" w14:textId="4FF0762B">
      <w:pPr>
        <w:spacing w:before="120"/>
        <w:rPr>
          <w:rFonts w:ascii="Arial" w:hAnsi="Arial" w:cs="Arial"/>
          <w:b/>
          <w:sz w:val="24"/>
        </w:rPr>
      </w:pPr>
      <w:r>
        <w:rPr>
          <w:rFonts w:ascii="Arial" w:hAnsi="Arial" w:cs="Arial"/>
          <w:b/>
          <w:bCs/>
          <w:sz w:val="24"/>
        </w:rPr>
        <w:br w:type="column"/>
      </w:r>
      <w:r w:rsidRPr="00E767E6">
        <w:rPr>
          <w:rFonts w:ascii="Arial" w:hAnsi="Arial" w:cs="Arial"/>
          <w:b/>
          <w:bCs/>
          <w:sz w:val="24"/>
        </w:rPr>
        <w:t>12A</w:t>
      </w:r>
      <w:r w:rsidRPr="00E767E6" w:rsidR="00163F2D">
        <w:rPr>
          <w:rFonts w:ascii="Arial" w:hAnsi="Arial" w:cs="Arial"/>
          <w:b/>
          <w:bCs/>
          <w:sz w:val="24"/>
        </w:rPr>
        <w:t xml:space="preserve">. </w:t>
      </w:r>
      <w:r w:rsidRPr="00933A78">
        <w:rPr>
          <w:rFonts w:ascii="Arial" w:hAnsi="Arial" w:cs="Arial"/>
          <w:sz w:val="24"/>
        </w:rPr>
        <w:t xml:space="preserve">      </w:t>
      </w:r>
      <w:r w:rsidRPr="00933A78">
        <w:rPr>
          <w:rFonts w:ascii="Arial" w:hAnsi="Arial" w:cs="Arial"/>
          <w:b/>
          <w:sz w:val="24"/>
        </w:rPr>
        <w:t>Estimated Annualized Burden Hours</w:t>
      </w:r>
    </w:p>
    <w:tbl>
      <w:tblPr>
        <w:tblpPr w:leftFromText="180" w:rightFromText="180" w:vertAnchor="text" w:horzAnchor="margin" w:tblpY="230"/>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70"/>
        <w:gridCol w:w="1457"/>
        <w:gridCol w:w="1737"/>
        <w:gridCol w:w="1603"/>
        <w:gridCol w:w="1469"/>
        <w:gridCol w:w="1130"/>
      </w:tblGrid>
      <w:tr w14:paraId="09244319" w14:textId="77777777" w:rsidTr="00933A78">
        <w:tblPrEx>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430"/>
        </w:trPr>
        <w:tc>
          <w:tcPr>
            <w:tcW w:w="1009" w:type="pct"/>
          </w:tcPr>
          <w:p w:rsidR="00EF322D" w:rsidRPr="00C45431" w:rsidP="00E767E6" w14:paraId="3661029C" w14:textId="77777777">
            <w:pPr>
              <w:widowControl/>
              <w:tabs>
                <w:tab w:val="num" w:pos="1080"/>
              </w:tabs>
              <w:rPr>
                <w:rFonts w:ascii="Arial" w:hAnsi="Arial" w:cs="Arial"/>
                <w:b/>
                <w:bCs/>
                <w:sz w:val="24"/>
              </w:rPr>
            </w:pPr>
            <w:r w:rsidRPr="00C45431">
              <w:rPr>
                <w:rFonts w:ascii="Arial" w:hAnsi="Arial" w:cs="Arial"/>
                <w:b/>
                <w:bCs/>
                <w:sz w:val="24"/>
              </w:rPr>
              <w:t>Type of</w:t>
            </w:r>
          </w:p>
          <w:p w:rsidR="00EF322D" w:rsidRPr="00C45431" w:rsidP="00E767E6" w14:paraId="42ADED05" w14:textId="77777777">
            <w:pPr>
              <w:widowControl/>
              <w:tabs>
                <w:tab w:val="num" w:pos="1080"/>
              </w:tabs>
              <w:rPr>
                <w:rFonts w:ascii="Arial" w:hAnsi="Arial" w:cs="Arial"/>
                <w:b/>
                <w:bCs/>
                <w:sz w:val="24"/>
              </w:rPr>
            </w:pPr>
            <w:r w:rsidRPr="00C45431">
              <w:rPr>
                <w:rFonts w:ascii="Arial" w:hAnsi="Arial" w:cs="Arial"/>
                <w:b/>
                <w:bCs/>
                <w:sz w:val="24"/>
              </w:rPr>
              <w:t>Respondent</w:t>
            </w:r>
          </w:p>
          <w:p w:rsidR="00EF322D" w:rsidRPr="00C45431" w:rsidP="00E767E6" w14:paraId="256AA432" w14:textId="77777777">
            <w:pPr>
              <w:widowControl/>
              <w:tabs>
                <w:tab w:val="num" w:pos="1080"/>
              </w:tabs>
              <w:rPr>
                <w:rFonts w:ascii="Arial" w:hAnsi="Arial" w:cs="Arial"/>
                <w:b/>
                <w:bCs/>
                <w:sz w:val="24"/>
              </w:rPr>
            </w:pPr>
          </w:p>
        </w:tc>
        <w:tc>
          <w:tcPr>
            <w:tcW w:w="786" w:type="pct"/>
          </w:tcPr>
          <w:p w:rsidR="00EF322D" w:rsidRPr="00C45431" w:rsidP="00E767E6" w14:paraId="0729E1AB" w14:textId="77777777">
            <w:pPr>
              <w:widowControl/>
              <w:tabs>
                <w:tab w:val="num" w:pos="1080"/>
              </w:tabs>
              <w:rPr>
                <w:rFonts w:ascii="Arial" w:hAnsi="Arial" w:cs="Arial"/>
                <w:b/>
                <w:bCs/>
                <w:sz w:val="24"/>
              </w:rPr>
            </w:pPr>
            <w:r>
              <w:rPr>
                <w:rFonts w:ascii="Arial" w:hAnsi="Arial" w:cs="Arial"/>
                <w:b/>
                <w:bCs/>
                <w:sz w:val="24"/>
              </w:rPr>
              <w:t>Collection</w:t>
            </w:r>
          </w:p>
          <w:p w:rsidR="00EF322D" w:rsidRPr="00C45431" w:rsidP="00E767E6" w14:paraId="6CC305E1" w14:textId="77777777">
            <w:pPr>
              <w:widowControl/>
              <w:tabs>
                <w:tab w:val="num" w:pos="1080"/>
              </w:tabs>
              <w:rPr>
                <w:rFonts w:ascii="Arial" w:hAnsi="Arial" w:cs="Arial"/>
                <w:b/>
                <w:bCs/>
                <w:sz w:val="24"/>
              </w:rPr>
            </w:pPr>
            <w:r w:rsidRPr="00C45431">
              <w:rPr>
                <w:rFonts w:ascii="Arial" w:hAnsi="Arial" w:cs="Arial"/>
                <w:b/>
                <w:bCs/>
                <w:sz w:val="24"/>
              </w:rPr>
              <w:t>Name</w:t>
            </w:r>
          </w:p>
          <w:p w:rsidR="00EF322D" w:rsidRPr="00C45431" w:rsidP="00E767E6" w14:paraId="10C581C0" w14:textId="77777777">
            <w:pPr>
              <w:widowControl/>
              <w:tabs>
                <w:tab w:val="num" w:pos="1080"/>
              </w:tabs>
              <w:rPr>
                <w:rFonts w:ascii="Arial" w:hAnsi="Arial" w:cs="Arial"/>
                <w:b/>
                <w:bCs/>
                <w:sz w:val="24"/>
              </w:rPr>
            </w:pPr>
          </w:p>
        </w:tc>
        <w:tc>
          <w:tcPr>
            <w:tcW w:w="937" w:type="pct"/>
          </w:tcPr>
          <w:p w:rsidR="00EF322D" w:rsidRPr="00C45431" w:rsidP="00E767E6" w14:paraId="040F63B8" w14:textId="77777777">
            <w:pPr>
              <w:widowControl/>
              <w:tabs>
                <w:tab w:val="num" w:pos="1080"/>
              </w:tabs>
              <w:rPr>
                <w:rFonts w:ascii="Arial" w:hAnsi="Arial" w:cs="Arial"/>
                <w:b/>
                <w:bCs/>
                <w:sz w:val="24"/>
              </w:rPr>
            </w:pPr>
            <w:r w:rsidRPr="00C45431">
              <w:rPr>
                <w:rFonts w:ascii="Arial" w:hAnsi="Arial" w:cs="Arial"/>
                <w:b/>
                <w:bCs/>
                <w:sz w:val="24"/>
              </w:rPr>
              <w:t>No. of</w:t>
            </w:r>
          </w:p>
          <w:p w:rsidR="00EF322D" w:rsidRPr="00C45431" w:rsidP="00E767E6" w14:paraId="5D712976" w14:textId="77777777">
            <w:pPr>
              <w:widowControl/>
              <w:tabs>
                <w:tab w:val="num" w:pos="1080"/>
              </w:tabs>
              <w:rPr>
                <w:rFonts w:ascii="Arial" w:hAnsi="Arial" w:cs="Arial"/>
                <w:b/>
                <w:bCs/>
                <w:sz w:val="24"/>
              </w:rPr>
            </w:pPr>
            <w:r w:rsidRPr="00C45431">
              <w:rPr>
                <w:rFonts w:ascii="Arial" w:hAnsi="Arial" w:cs="Arial"/>
                <w:b/>
                <w:bCs/>
                <w:sz w:val="24"/>
              </w:rPr>
              <w:t>Respondents</w:t>
            </w:r>
          </w:p>
        </w:tc>
        <w:tc>
          <w:tcPr>
            <w:tcW w:w="865" w:type="pct"/>
          </w:tcPr>
          <w:p w:rsidR="00EF322D" w:rsidRPr="00C45431" w:rsidP="00E767E6" w14:paraId="595086BB" w14:textId="77777777">
            <w:pPr>
              <w:widowControl/>
              <w:tabs>
                <w:tab w:val="num" w:pos="1080"/>
              </w:tabs>
              <w:rPr>
                <w:rFonts w:ascii="Arial" w:hAnsi="Arial" w:cs="Arial"/>
                <w:b/>
                <w:bCs/>
                <w:sz w:val="24"/>
              </w:rPr>
            </w:pPr>
            <w:r w:rsidRPr="00C45431">
              <w:rPr>
                <w:rFonts w:ascii="Arial" w:hAnsi="Arial" w:cs="Arial"/>
                <w:b/>
                <w:bCs/>
                <w:sz w:val="24"/>
              </w:rPr>
              <w:t>No.</w:t>
            </w:r>
          </w:p>
          <w:p w:rsidR="00EF322D" w:rsidRPr="00C45431" w:rsidP="00E767E6" w14:paraId="014D9F3C" w14:textId="77777777">
            <w:pPr>
              <w:widowControl/>
              <w:tabs>
                <w:tab w:val="num" w:pos="1080"/>
              </w:tabs>
              <w:rPr>
                <w:rFonts w:ascii="Arial" w:hAnsi="Arial" w:cs="Arial"/>
                <w:b/>
                <w:bCs/>
                <w:sz w:val="24"/>
              </w:rPr>
            </w:pPr>
            <w:r w:rsidRPr="00C45431">
              <w:rPr>
                <w:rFonts w:ascii="Arial" w:hAnsi="Arial" w:cs="Arial"/>
                <w:b/>
                <w:bCs/>
                <w:sz w:val="24"/>
              </w:rPr>
              <w:t>Responses</w:t>
            </w:r>
          </w:p>
          <w:p w:rsidR="00EF322D" w:rsidRPr="00C45431" w:rsidP="00E767E6" w14:paraId="19E27879" w14:textId="77777777">
            <w:pPr>
              <w:widowControl/>
              <w:tabs>
                <w:tab w:val="num" w:pos="1080"/>
              </w:tabs>
              <w:rPr>
                <w:rFonts w:ascii="Arial" w:hAnsi="Arial" w:cs="Arial"/>
                <w:b/>
                <w:bCs/>
                <w:sz w:val="24"/>
              </w:rPr>
            </w:pPr>
            <w:r w:rsidRPr="00C45431">
              <w:rPr>
                <w:rFonts w:ascii="Arial" w:hAnsi="Arial" w:cs="Arial"/>
                <w:b/>
                <w:bCs/>
                <w:sz w:val="24"/>
              </w:rPr>
              <w:t>per</w:t>
            </w:r>
          </w:p>
          <w:p w:rsidR="00EF322D" w:rsidRPr="00C45431" w:rsidP="00E767E6" w14:paraId="20346BDD" w14:textId="77777777">
            <w:pPr>
              <w:widowControl/>
              <w:tabs>
                <w:tab w:val="num" w:pos="1080"/>
              </w:tabs>
              <w:rPr>
                <w:rFonts w:ascii="Arial" w:hAnsi="Arial" w:cs="Arial"/>
                <w:b/>
                <w:bCs/>
                <w:sz w:val="24"/>
              </w:rPr>
            </w:pPr>
            <w:r w:rsidRPr="00C45431">
              <w:rPr>
                <w:rFonts w:ascii="Arial" w:hAnsi="Arial" w:cs="Arial"/>
                <w:b/>
                <w:bCs/>
                <w:sz w:val="24"/>
              </w:rPr>
              <w:t>Respondent</w:t>
            </w:r>
          </w:p>
        </w:tc>
        <w:tc>
          <w:tcPr>
            <w:tcW w:w="793" w:type="pct"/>
          </w:tcPr>
          <w:p w:rsidR="00EF322D" w:rsidRPr="00C45431" w:rsidP="00E767E6" w14:paraId="161ABB37" w14:textId="77777777">
            <w:pPr>
              <w:widowControl/>
              <w:tabs>
                <w:tab w:val="num" w:pos="1080"/>
              </w:tabs>
              <w:rPr>
                <w:rFonts w:ascii="Arial" w:hAnsi="Arial" w:cs="Arial"/>
                <w:b/>
                <w:bCs/>
                <w:sz w:val="24"/>
              </w:rPr>
            </w:pPr>
            <w:r w:rsidRPr="00C45431">
              <w:rPr>
                <w:rFonts w:ascii="Arial" w:hAnsi="Arial" w:cs="Arial"/>
                <w:b/>
                <w:bCs/>
                <w:sz w:val="24"/>
              </w:rPr>
              <w:t>Average</w:t>
            </w:r>
          </w:p>
          <w:p w:rsidR="00EF322D" w:rsidRPr="00C45431" w:rsidP="00E767E6" w14:paraId="1A8CF879" w14:textId="77777777">
            <w:pPr>
              <w:widowControl/>
              <w:tabs>
                <w:tab w:val="num" w:pos="1080"/>
              </w:tabs>
              <w:rPr>
                <w:rFonts w:ascii="Arial" w:hAnsi="Arial" w:cs="Arial"/>
                <w:b/>
                <w:bCs/>
                <w:sz w:val="24"/>
              </w:rPr>
            </w:pPr>
            <w:r w:rsidRPr="00C45431">
              <w:rPr>
                <w:rFonts w:ascii="Arial" w:hAnsi="Arial" w:cs="Arial"/>
                <w:b/>
                <w:bCs/>
                <w:sz w:val="24"/>
              </w:rPr>
              <w:t>Burden per</w:t>
            </w:r>
          </w:p>
          <w:p w:rsidR="00EF322D" w:rsidRPr="00C45431" w:rsidP="00E767E6" w14:paraId="2D2500BA" w14:textId="77777777">
            <w:pPr>
              <w:widowControl/>
              <w:tabs>
                <w:tab w:val="num" w:pos="1080"/>
              </w:tabs>
              <w:rPr>
                <w:rFonts w:ascii="Arial" w:hAnsi="Arial" w:cs="Arial"/>
                <w:b/>
                <w:bCs/>
                <w:sz w:val="24"/>
              </w:rPr>
            </w:pPr>
            <w:r w:rsidRPr="00C45431">
              <w:rPr>
                <w:rFonts w:ascii="Arial" w:hAnsi="Arial" w:cs="Arial"/>
                <w:b/>
                <w:bCs/>
                <w:sz w:val="24"/>
              </w:rPr>
              <w:t>Response</w:t>
            </w:r>
          </w:p>
          <w:p w:rsidR="00EF322D" w:rsidRPr="00C45431" w:rsidP="00E767E6" w14:paraId="7F99BBB1" w14:textId="77777777">
            <w:pPr>
              <w:widowControl/>
              <w:tabs>
                <w:tab w:val="num" w:pos="1080"/>
              </w:tabs>
              <w:rPr>
                <w:rFonts w:ascii="Arial" w:hAnsi="Arial" w:cs="Arial"/>
                <w:b/>
                <w:bCs/>
                <w:sz w:val="24"/>
              </w:rPr>
            </w:pPr>
            <w:r w:rsidRPr="00C45431">
              <w:rPr>
                <w:rFonts w:ascii="Arial" w:hAnsi="Arial" w:cs="Arial"/>
                <w:b/>
                <w:bCs/>
                <w:sz w:val="24"/>
              </w:rPr>
              <w:t>(in hours)</w:t>
            </w:r>
          </w:p>
        </w:tc>
        <w:tc>
          <w:tcPr>
            <w:tcW w:w="610" w:type="pct"/>
          </w:tcPr>
          <w:p w:rsidR="00EF322D" w:rsidRPr="00C45431" w:rsidP="00E767E6" w14:paraId="47C26EDF" w14:textId="77777777">
            <w:pPr>
              <w:widowControl/>
              <w:tabs>
                <w:tab w:val="num" w:pos="1080"/>
              </w:tabs>
              <w:rPr>
                <w:rFonts w:ascii="Arial" w:hAnsi="Arial" w:cs="Arial"/>
                <w:b/>
                <w:bCs/>
                <w:sz w:val="24"/>
              </w:rPr>
            </w:pPr>
            <w:r w:rsidRPr="00C45431">
              <w:rPr>
                <w:rFonts w:ascii="Arial" w:hAnsi="Arial" w:cs="Arial"/>
                <w:b/>
                <w:bCs/>
                <w:sz w:val="24"/>
              </w:rPr>
              <w:t>Total Burden Hours</w:t>
            </w:r>
          </w:p>
        </w:tc>
      </w:tr>
      <w:tr w14:paraId="34AEA109" w14:textId="77777777" w:rsidTr="00933A78">
        <w:tblPrEx>
          <w:tblW w:w="4955" w:type="pct"/>
          <w:tblLook w:val="01E0"/>
        </w:tblPrEx>
        <w:trPr>
          <w:trHeight w:val="679"/>
        </w:trPr>
        <w:tc>
          <w:tcPr>
            <w:tcW w:w="1009" w:type="pct"/>
          </w:tcPr>
          <w:p w:rsidR="00EF322D" w:rsidRPr="00C45431" w:rsidP="00E767E6" w14:paraId="4F2EC0A4" w14:textId="77777777">
            <w:pPr>
              <w:widowControl/>
              <w:tabs>
                <w:tab w:val="num" w:pos="1080"/>
              </w:tabs>
              <w:rPr>
                <w:rFonts w:ascii="Arial" w:hAnsi="Arial" w:cs="Arial"/>
                <w:b/>
                <w:bCs/>
                <w:sz w:val="24"/>
              </w:rPr>
            </w:pPr>
            <w:r>
              <w:rPr>
                <w:rFonts w:ascii="Arial" w:hAnsi="Arial" w:cs="Arial"/>
                <w:b/>
                <w:bCs/>
                <w:sz w:val="24"/>
              </w:rPr>
              <w:t>Covered entities</w:t>
            </w:r>
          </w:p>
        </w:tc>
        <w:tc>
          <w:tcPr>
            <w:tcW w:w="786" w:type="pct"/>
          </w:tcPr>
          <w:p w:rsidR="00EF322D" w:rsidRPr="00C45431" w:rsidP="00E767E6" w14:paraId="4FA13403" w14:textId="2623611D">
            <w:pPr>
              <w:widowControl/>
              <w:tabs>
                <w:tab w:val="num" w:pos="1080"/>
              </w:tabs>
              <w:rPr>
                <w:rFonts w:ascii="Arial" w:hAnsi="Arial" w:cs="Arial"/>
                <w:b/>
                <w:bCs/>
                <w:sz w:val="24"/>
              </w:rPr>
            </w:pPr>
            <w:r>
              <w:rPr>
                <w:rFonts w:ascii="Arial" w:hAnsi="Arial" w:cs="Arial"/>
                <w:sz w:val="24"/>
              </w:rPr>
              <w:t xml:space="preserve">ADR </w:t>
            </w:r>
            <w:r w:rsidR="00933A78">
              <w:rPr>
                <w:rFonts w:ascii="Arial" w:hAnsi="Arial" w:cs="Arial"/>
                <w:sz w:val="24"/>
              </w:rPr>
              <w:t>Submission</w:t>
            </w:r>
          </w:p>
        </w:tc>
        <w:tc>
          <w:tcPr>
            <w:tcW w:w="937" w:type="pct"/>
          </w:tcPr>
          <w:p w:rsidR="00EF322D" w:rsidRPr="00C45431" w:rsidP="00E767E6" w14:paraId="76552829" w14:textId="77777777">
            <w:pPr>
              <w:widowControl/>
              <w:tabs>
                <w:tab w:val="num" w:pos="1080"/>
              </w:tabs>
              <w:jc w:val="right"/>
              <w:rPr>
                <w:rFonts w:ascii="Arial" w:hAnsi="Arial" w:cs="Arial"/>
                <w:b/>
                <w:bCs/>
                <w:sz w:val="24"/>
              </w:rPr>
            </w:pPr>
            <w:r>
              <w:rPr>
                <w:rFonts w:ascii="Arial" w:hAnsi="Arial" w:cs="Arial"/>
                <w:sz w:val="24"/>
              </w:rPr>
              <w:t>14</w:t>
            </w:r>
            <w:r w:rsidRPr="00C45431">
              <w:rPr>
                <w:rFonts w:ascii="Arial" w:hAnsi="Arial" w:cs="Arial"/>
                <w:sz w:val="24"/>
              </w:rPr>
              <w:t xml:space="preserve">  </w:t>
            </w:r>
          </w:p>
        </w:tc>
        <w:tc>
          <w:tcPr>
            <w:tcW w:w="865" w:type="pct"/>
          </w:tcPr>
          <w:p w:rsidR="00EF322D" w:rsidRPr="00C45431" w:rsidP="00E767E6" w14:paraId="3BF29B44" w14:textId="77777777">
            <w:pPr>
              <w:widowControl/>
              <w:tabs>
                <w:tab w:val="num" w:pos="1080"/>
              </w:tabs>
              <w:jc w:val="right"/>
              <w:rPr>
                <w:rFonts w:ascii="Arial" w:hAnsi="Arial" w:cs="Arial"/>
                <w:b/>
                <w:bCs/>
                <w:sz w:val="24"/>
              </w:rPr>
            </w:pPr>
            <w:r>
              <w:rPr>
                <w:rFonts w:ascii="Arial" w:hAnsi="Arial" w:cs="Arial"/>
                <w:sz w:val="24"/>
              </w:rPr>
              <w:t>1</w:t>
            </w:r>
          </w:p>
        </w:tc>
        <w:tc>
          <w:tcPr>
            <w:tcW w:w="793" w:type="pct"/>
          </w:tcPr>
          <w:p w:rsidR="00EF322D" w:rsidRPr="00C45431" w:rsidP="00E767E6" w14:paraId="653B489B" w14:textId="77777777">
            <w:pPr>
              <w:widowControl/>
              <w:tabs>
                <w:tab w:val="num" w:pos="1080"/>
              </w:tabs>
              <w:jc w:val="right"/>
              <w:rPr>
                <w:rFonts w:ascii="Arial" w:hAnsi="Arial" w:cs="Arial"/>
                <w:b/>
                <w:bCs/>
                <w:sz w:val="24"/>
              </w:rPr>
            </w:pPr>
            <w:r>
              <w:rPr>
                <w:rFonts w:ascii="Arial" w:hAnsi="Arial" w:cs="Arial"/>
                <w:sz w:val="24"/>
              </w:rPr>
              <w:t>2.5</w:t>
            </w:r>
          </w:p>
        </w:tc>
        <w:tc>
          <w:tcPr>
            <w:tcW w:w="610" w:type="pct"/>
          </w:tcPr>
          <w:p w:rsidR="00EF322D" w:rsidRPr="00C45431" w:rsidP="00E767E6" w14:paraId="2E5D5866" w14:textId="77777777">
            <w:pPr>
              <w:widowControl/>
              <w:tabs>
                <w:tab w:val="num" w:pos="1080"/>
              </w:tabs>
              <w:jc w:val="right"/>
              <w:rPr>
                <w:rFonts w:ascii="Arial" w:hAnsi="Arial" w:cs="Arial"/>
                <w:b/>
                <w:bCs/>
                <w:sz w:val="24"/>
              </w:rPr>
            </w:pPr>
            <w:r>
              <w:rPr>
                <w:rFonts w:ascii="Arial" w:hAnsi="Arial" w:cs="Arial"/>
                <w:sz w:val="24"/>
              </w:rPr>
              <w:t>35</w:t>
            </w:r>
          </w:p>
        </w:tc>
      </w:tr>
      <w:tr w14:paraId="242D6276" w14:textId="77777777" w:rsidTr="00933A78">
        <w:tblPrEx>
          <w:tblW w:w="4955" w:type="pct"/>
          <w:tblLook w:val="01E0"/>
        </w:tblPrEx>
        <w:trPr>
          <w:trHeight w:val="576"/>
        </w:trPr>
        <w:tc>
          <w:tcPr>
            <w:tcW w:w="1009" w:type="pct"/>
          </w:tcPr>
          <w:p w:rsidR="00933A78" w:rsidRPr="00C45431" w:rsidP="00E767E6" w14:paraId="167CC57E" w14:textId="77777777">
            <w:pPr>
              <w:widowControl/>
              <w:tabs>
                <w:tab w:val="num" w:pos="1080"/>
              </w:tabs>
              <w:rPr>
                <w:rFonts w:ascii="Arial" w:hAnsi="Arial" w:cs="Arial"/>
                <w:b/>
                <w:bCs/>
                <w:sz w:val="24"/>
              </w:rPr>
            </w:pPr>
            <w:r>
              <w:rPr>
                <w:rFonts w:ascii="Arial" w:hAnsi="Arial" w:cs="Arial"/>
                <w:b/>
                <w:bCs/>
                <w:sz w:val="24"/>
              </w:rPr>
              <w:t>Manufacturers</w:t>
            </w:r>
          </w:p>
        </w:tc>
        <w:tc>
          <w:tcPr>
            <w:tcW w:w="786" w:type="pct"/>
          </w:tcPr>
          <w:p w:rsidR="00933A78" w:rsidRPr="00C45431" w:rsidP="00E767E6" w14:paraId="4BB134C9" w14:textId="54CE20FF">
            <w:pPr>
              <w:widowControl/>
              <w:tabs>
                <w:tab w:val="num" w:pos="1080"/>
              </w:tabs>
              <w:rPr>
                <w:rFonts w:ascii="Arial" w:hAnsi="Arial" w:cs="Arial"/>
                <w:b/>
                <w:bCs/>
                <w:sz w:val="24"/>
              </w:rPr>
            </w:pPr>
            <w:r>
              <w:rPr>
                <w:rFonts w:ascii="Arial" w:hAnsi="Arial" w:cs="Arial"/>
                <w:sz w:val="24"/>
              </w:rPr>
              <w:t>ADR Submission</w:t>
            </w:r>
          </w:p>
        </w:tc>
        <w:tc>
          <w:tcPr>
            <w:tcW w:w="937" w:type="pct"/>
          </w:tcPr>
          <w:p w:rsidR="00933A78" w:rsidRPr="00C45431" w:rsidP="00E767E6" w14:paraId="6842DDD5" w14:textId="77777777">
            <w:pPr>
              <w:widowControl/>
              <w:tabs>
                <w:tab w:val="num" w:pos="1080"/>
              </w:tabs>
              <w:jc w:val="right"/>
              <w:rPr>
                <w:rFonts w:ascii="Arial" w:hAnsi="Arial" w:cs="Arial"/>
                <w:b/>
                <w:bCs/>
                <w:sz w:val="24"/>
              </w:rPr>
            </w:pPr>
            <w:r>
              <w:rPr>
                <w:rFonts w:ascii="Arial" w:hAnsi="Arial" w:cs="Arial"/>
                <w:sz w:val="24"/>
              </w:rPr>
              <w:t>1</w:t>
            </w:r>
          </w:p>
        </w:tc>
        <w:tc>
          <w:tcPr>
            <w:tcW w:w="865" w:type="pct"/>
          </w:tcPr>
          <w:p w:rsidR="00933A78" w:rsidRPr="00C45431" w:rsidP="00E767E6" w14:paraId="684513E9" w14:textId="77777777">
            <w:pPr>
              <w:widowControl/>
              <w:tabs>
                <w:tab w:val="num" w:pos="1080"/>
              </w:tabs>
              <w:jc w:val="right"/>
              <w:rPr>
                <w:rFonts w:ascii="Arial" w:hAnsi="Arial" w:cs="Arial"/>
                <w:b/>
                <w:bCs/>
                <w:sz w:val="24"/>
              </w:rPr>
            </w:pPr>
            <w:r w:rsidRPr="00C45431">
              <w:rPr>
                <w:rFonts w:ascii="Arial" w:hAnsi="Arial" w:cs="Arial"/>
                <w:sz w:val="24"/>
              </w:rPr>
              <w:t>1</w:t>
            </w:r>
          </w:p>
        </w:tc>
        <w:tc>
          <w:tcPr>
            <w:tcW w:w="793" w:type="pct"/>
          </w:tcPr>
          <w:p w:rsidR="00933A78" w:rsidRPr="00C45431" w:rsidP="00E767E6" w14:paraId="3D19C230" w14:textId="77777777">
            <w:pPr>
              <w:widowControl/>
              <w:tabs>
                <w:tab w:val="num" w:pos="1080"/>
              </w:tabs>
              <w:jc w:val="right"/>
              <w:rPr>
                <w:rFonts w:ascii="Arial" w:hAnsi="Arial" w:cs="Arial"/>
                <w:b/>
                <w:bCs/>
                <w:sz w:val="24"/>
              </w:rPr>
            </w:pPr>
            <w:r>
              <w:rPr>
                <w:rFonts w:ascii="Arial" w:hAnsi="Arial" w:cs="Arial"/>
                <w:sz w:val="24"/>
              </w:rPr>
              <w:t>2.5</w:t>
            </w:r>
          </w:p>
        </w:tc>
        <w:tc>
          <w:tcPr>
            <w:tcW w:w="610" w:type="pct"/>
          </w:tcPr>
          <w:p w:rsidR="00933A78" w:rsidRPr="00E767E6" w:rsidP="00E767E6" w14:paraId="2572121B" w14:textId="08AFCBF5">
            <w:pPr>
              <w:widowControl/>
              <w:tabs>
                <w:tab w:val="num" w:pos="1080"/>
              </w:tabs>
              <w:jc w:val="right"/>
              <w:rPr>
                <w:rFonts w:ascii="Arial" w:hAnsi="Arial" w:cs="Arial"/>
                <w:sz w:val="24"/>
              </w:rPr>
            </w:pPr>
            <w:r>
              <w:rPr>
                <w:rFonts w:ascii="Arial" w:hAnsi="Arial" w:cs="Arial"/>
                <w:sz w:val="24"/>
              </w:rPr>
              <w:t>2.5</w:t>
            </w:r>
          </w:p>
        </w:tc>
      </w:tr>
      <w:tr w14:paraId="7810524F" w14:textId="77777777" w:rsidTr="00933A78">
        <w:tblPrEx>
          <w:tblW w:w="4955" w:type="pct"/>
          <w:tblLook w:val="01E0"/>
        </w:tblPrEx>
        <w:trPr>
          <w:trHeight w:val="260"/>
        </w:trPr>
        <w:tc>
          <w:tcPr>
            <w:tcW w:w="1009" w:type="pct"/>
          </w:tcPr>
          <w:p w:rsidR="00EF322D" w:rsidRPr="00C45431" w:rsidP="00E767E6" w14:paraId="7C271BBC" w14:textId="77777777">
            <w:pPr>
              <w:widowControl/>
              <w:tabs>
                <w:tab w:val="num" w:pos="1080"/>
              </w:tabs>
              <w:rPr>
                <w:rFonts w:ascii="Arial" w:hAnsi="Arial" w:cs="Arial"/>
                <w:b/>
                <w:bCs/>
                <w:sz w:val="24"/>
              </w:rPr>
            </w:pPr>
            <w:r w:rsidRPr="00C45431">
              <w:rPr>
                <w:rFonts w:ascii="Arial" w:hAnsi="Arial" w:cs="Arial"/>
                <w:b/>
                <w:bCs/>
                <w:sz w:val="24"/>
              </w:rPr>
              <w:t>Total</w:t>
            </w:r>
          </w:p>
        </w:tc>
        <w:tc>
          <w:tcPr>
            <w:tcW w:w="786" w:type="pct"/>
          </w:tcPr>
          <w:p w:rsidR="00EF322D" w:rsidRPr="00C45431" w:rsidP="00E767E6" w14:paraId="035FF775" w14:textId="77777777">
            <w:pPr>
              <w:widowControl/>
              <w:tabs>
                <w:tab w:val="num" w:pos="1080"/>
              </w:tabs>
              <w:rPr>
                <w:rFonts w:ascii="Arial" w:hAnsi="Arial" w:cs="Arial"/>
                <w:sz w:val="24"/>
              </w:rPr>
            </w:pPr>
          </w:p>
        </w:tc>
        <w:tc>
          <w:tcPr>
            <w:tcW w:w="937" w:type="pct"/>
          </w:tcPr>
          <w:p w:rsidR="00EF322D" w:rsidRPr="00374BC1" w:rsidP="00E767E6" w14:paraId="13A4F63C" w14:textId="6A7AE248">
            <w:pPr>
              <w:widowControl/>
              <w:tabs>
                <w:tab w:val="num" w:pos="1080"/>
              </w:tabs>
              <w:jc w:val="right"/>
              <w:rPr>
                <w:rFonts w:ascii="Arial" w:hAnsi="Arial" w:cs="Arial"/>
                <w:b/>
                <w:bCs/>
                <w:sz w:val="24"/>
              </w:rPr>
            </w:pPr>
            <w:r w:rsidRPr="00374BC1">
              <w:rPr>
                <w:rFonts w:ascii="Arial" w:hAnsi="Arial" w:cs="Arial"/>
                <w:b/>
                <w:bCs/>
                <w:sz w:val="24"/>
              </w:rPr>
              <w:t>15</w:t>
            </w:r>
          </w:p>
        </w:tc>
        <w:tc>
          <w:tcPr>
            <w:tcW w:w="865" w:type="pct"/>
          </w:tcPr>
          <w:p w:rsidR="00EF322D" w:rsidRPr="00C45431" w:rsidP="00E767E6" w14:paraId="3A870E26" w14:textId="77777777">
            <w:pPr>
              <w:widowControl/>
              <w:tabs>
                <w:tab w:val="num" w:pos="1080"/>
              </w:tabs>
              <w:jc w:val="right"/>
              <w:rPr>
                <w:rFonts w:ascii="Arial" w:hAnsi="Arial" w:cs="Arial"/>
                <w:sz w:val="24"/>
              </w:rPr>
            </w:pPr>
          </w:p>
        </w:tc>
        <w:tc>
          <w:tcPr>
            <w:tcW w:w="793" w:type="pct"/>
          </w:tcPr>
          <w:p w:rsidR="00EF322D" w:rsidRPr="00C45431" w:rsidP="00E767E6" w14:paraId="6A36A40A" w14:textId="77777777">
            <w:pPr>
              <w:widowControl/>
              <w:tabs>
                <w:tab w:val="num" w:pos="1080"/>
              </w:tabs>
              <w:jc w:val="right"/>
              <w:rPr>
                <w:rFonts w:ascii="Arial" w:hAnsi="Arial" w:cs="Arial"/>
                <w:sz w:val="24"/>
              </w:rPr>
            </w:pPr>
          </w:p>
        </w:tc>
        <w:tc>
          <w:tcPr>
            <w:tcW w:w="610" w:type="pct"/>
          </w:tcPr>
          <w:p w:rsidR="00EF322D" w:rsidRPr="00C45431" w:rsidP="00E767E6" w14:paraId="2BF884ED" w14:textId="14227EC0">
            <w:pPr>
              <w:widowControl/>
              <w:tabs>
                <w:tab w:val="num" w:pos="1080"/>
              </w:tabs>
              <w:jc w:val="right"/>
              <w:rPr>
                <w:rFonts w:ascii="Arial" w:hAnsi="Arial" w:cs="Arial"/>
                <w:sz w:val="24"/>
              </w:rPr>
            </w:pPr>
            <w:r>
              <w:rPr>
                <w:rFonts w:ascii="Arial" w:hAnsi="Arial" w:cs="Arial"/>
                <w:b/>
                <w:bCs/>
                <w:sz w:val="24"/>
              </w:rPr>
              <w:t>37.5</w:t>
            </w:r>
            <w:r w:rsidR="00191A76">
              <w:rPr>
                <w:rFonts w:ascii="Arial" w:hAnsi="Arial" w:cs="Arial"/>
                <w:b/>
                <w:bCs/>
                <w:sz w:val="24"/>
              </w:rPr>
              <w:t>*</w:t>
            </w:r>
          </w:p>
        </w:tc>
      </w:tr>
    </w:tbl>
    <w:p w:rsidR="003B5EAD" w:rsidRPr="00191A76" w:rsidP="00E767E6" w14:paraId="75E31B69" w14:textId="495DDAB3">
      <w:pPr>
        <w:spacing w:before="120"/>
        <w:rPr>
          <w:rFonts w:ascii="Arial" w:hAnsi="Arial" w:cs="Arial"/>
          <w:szCs w:val="20"/>
        </w:rPr>
      </w:pPr>
      <w:r w:rsidRPr="00191A76">
        <w:rPr>
          <w:rFonts w:ascii="Arial" w:hAnsi="Arial" w:cs="Arial"/>
          <w:szCs w:val="20"/>
        </w:rPr>
        <w:t>* Rounds up to 38 hours in ROCIS.</w:t>
      </w:r>
    </w:p>
    <w:p w:rsidR="00191A76" w:rsidRPr="00C45431" w:rsidP="00E767E6" w14:paraId="666E6012" w14:textId="77777777">
      <w:pPr>
        <w:spacing w:before="120"/>
        <w:rPr>
          <w:rFonts w:ascii="Arial" w:hAnsi="Arial" w:cs="Arial"/>
          <w:sz w:val="24"/>
        </w:rPr>
      </w:pPr>
    </w:p>
    <w:p w:rsidR="003B5EAD" w:rsidRPr="00656C44" w:rsidP="00E94134" w14:paraId="0C52D8B5" w14:textId="63C43EB4">
      <w:pPr>
        <w:widowControl/>
        <w:tabs>
          <w:tab w:val="num" w:pos="990"/>
        </w:tabs>
        <w:spacing w:before="120"/>
        <w:ind w:left="270"/>
        <w:rPr>
          <w:rFonts w:ascii="Arial" w:hAnsi="Arial" w:cs="Arial"/>
          <w:b/>
          <w:bCs/>
          <w:color w:val="00B050"/>
          <w:sz w:val="24"/>
        </w:rPr>
      </w:pPr>
      <w:r>
        <w:rPr>
          <w:rFonts w:ascii="Arial" w:hAnsi="Arial" w:cs="Arial"/>
          <w:sz w:val="24"/>
        </w:rPr>
        <w:t xml:space="preserve">No forms </w:t>
      </w:r>
      <w:r>
        <w:rPr>
          <w:rFonts w:ascii="Arial" w:hAnsi="Arial" w:cs="Arial"/>
          <w:sz w:val="24"/>
        </w:rPr>
        <w:t>are required</w:t>
      </w:r>
      <w:r>
        <w:rPr>
          <w:rFonts w:ascii="Arial" w:hAnsi="Arial" w:cs="Arial"/>
          <w:sz w:val="24"/>
        </w:rPr>
        <w:t xml:space="preserve"> in this collection</w:t>
      </w:r>
      <w:r w:rsidR="00163F2D">
        <w:rPr>
          <w:rFonts w:ascii="Arial" w:hAnsi="Arial" w:cs="Arial"/>
          <w:sz w:val="24"/>
        </w:rPr>
        <w:t xml:space="preserve">, instead this information collection will consist of documents submitted for the initiation of the ADR process in OPAIS or email. </w:t>
      </w:r>
      <w:r w:rsidRPr="00E94134">
        <w:rPr>
          <w:rFonts w:ascii="Arial" w:hAnsi="Arial" w:cs="Arial"/>
          <w:sz w:val="24"/>
        </w:rPr>
        <w:t>Burden in this context means the time expended by persons to generate, maintain, retain, disclose, or provide the information requested</w:t>
      </w:r>
      <w:r w:rsidR="00163F2D">
        <w:rPr>
          <w:rFonts w:ascii="Arial" w:hAnsi="Arial" w:cs="Arial"/>
          <w:sz w:val="24"/>
        </w:rPr>
        <w:t xml:space="preserve">. </w:t>
      </w:r>
      <w:r w:rsidRPr="00E94134">
        <w:rPr>
          <w:rFonts w:ascii="Arial" w:hAnsi="Arial" w:cs="Arial"/>
          <w:sz w:val="24"/>
        </w:rPr>
        <w:t>This includes the time needed to review instructions; to develop, acquire, install, and utilize technology and systems for the purpose of collecting, validating, and verifying information, processing and maintaining information, and disclosing and providing information; to train personnel and to be able to respond to a collection of information; to search data sources; to complete and review the collection of information; and to transmit or otherwise disclose the information.</w:t>
      </w:r>
      <w:r w:rsidRPr="00656C44" w:rsidR="00FA4D63">
        <w:rPr>
          <w:rFonts w:ascii="Arial" w:hAnsi="Arial" w:cs="Arial"/>
          <w:b/>
          <w:bCs/>
          <w:color w:val="00B050"/>
          <w:sz w:val="24"/>
        </w:rPr>
        <w:t xml:space="preserve"> </w:t>
      </w:r>
    </w:p>
    <w:p w:rsidR="00D92E1D" w:rsidRPr="00C45431" w:rsidP="00CA3DA6" w14:paraId="22E2A372" w14:textId="7AA65987">
      <w:pPr>
        <w:widowControl/>
        <w:spacing w:before="120"/>
        <w:rPr>
          <w:rFonts w:ascii="Arial" w:hAnsi="Arial" w:cs="Arial"/>
          <w:sz w:val="28"/>
          <w:szCs w:val="28"/>
        </w:rPr>
      </w:pPr>
      <w:r w:rsidRPr="00B917E6">
        <w:rPr>
          <w:rFonts w:ascii="Arial" w:hAnsi="Arial" w:cs="Arial"/>
          <w:b/>
          <w:sz w:val="24"/>
        </w:rPr>
        <w:t>12B</w:t>
      </w:r>
      <w:r w:rsidR="00163F2D">
        <w:rPr>
          <w:rFonts w:ascii="Arial" w:hAnsi="Arial" w:cs="Arial"/>
          <w:sz w:val="28"/>
          <w:szCs w:val="28"/>
        </w:rPr>
        <w:t xml:space="preserve">. </w:t>
      </w:r>
    </w:p>
    <w:p w:rsidR="005C39C5" w:rsidP="1C1144AE" w14:paraId="75708D32" w14:textId="0DFB124F">
      <w:pPr>
        <w:widowControl/>
        <w:spacing w:before="120"/>
        <w:ind w:left="270"/>
        <w:rPr>
          <w:rFonts w:ascii="Arial" w:hAnsi="Arial" w:cs="Arial"/>
          <w:sz w:val="24"/>
        </w:rPr>
      </w:pPr>
      <w:r w:rsidRPr="10078FFC">
        <w:rPr>
          <w:rFonts w:ascii="Arial" w:hAnsi="Arial" w:cs="Arial"/>
          <w:sz w:val="24"/>
        </w:rPr>
        <w:t xml:space="preserve">The Department of Labor </w:t>
      </w:r>
      <w:r w:rsidR="00800CD4">
        <w:rPr>
          <w:rFonts w:ascii="Arial" w:hAnsi="Arial" w:cs="Arial"/>
          <w:sz w:val="24"/>
        </w:rPr>
        <w:t xml:space="preserve">was </w:t>
      </w:r>
      <w:r w:rsidRPr="10078FFC">
        <w:rPr>
          <w:rFonts w:ascii="Arial" w:hAnsi="Arial" w:cs="Arial"/>
          <w:sz w:val="24"/>
        </w:rPr>
        <w:t>used</w:t>
      </w:r>
      <w:r w:rsidRPr="10078FFC">
        <w:rPr>
          <w:rFonts w:ascii="Arial" w:hAnsi="Arial" w:cs="Arial"/>
          <w:sz w:val="24"/>
        </w:rPr>
        <w:t xml:space="preserve"> to determine appropriate wage rates for respondents</w:t>
      </w:r>
      <w:r w:rsidRPr="10078FFC" w:rsidR="00EE529C">
        <w:rPr>
          <w:rFonts w:ascii="Arial" w:hAnsi="Arial" w:cs="Arial"/>
          <w:sz w:val="24"/>
        </w:rPr>
        <w:t xml:space="preserve"> (</w:t>
      </w:r>
      <w:hyperlink r:id="rId9">
        <w:r w:rsidRPr="10078FFC" w:rsidR="00EE529C">
          <w:rPr>
            <w:rStyle w:val="Hyperlink"/>
            <w:rFonts w:ascii="Arial" w:hAnsi="Arial" w:cs="Arial"/>
            <w:sz w:val="24"/>
          </w:rPr>
          <w:t>http://www.bls.gov/bls/blswage.htm</w:t>
        </w:r>
      </w:hyperlink>
      <w:r w:rsidRPr="10078FFC" w:rsidR="00EE529C">
        <w:rPr>
          <w:rFonts w:ascii="Arial" w:hAnsi="Arial" w:cs="Arial"/>
          <w:sz w:val="24"/>
        </w:rPr>
        <w:t>)</w:t>
      </w:r>
      <w:r w:rsidR="00163F2D">
        <w:rPr>
          <w:rFonts w:ascii="Arial" w:hAnsi="Arial" w:cs="Arial"/>
          <w:sz w:val="24"/>
        </w:rPr>
        <w:t xml:space="preserve">. </w:t>
      </w:r>
      <w:r w:rsidRPr="00800CD4" w:rsidR="008F6C97">
        <w:rPr>
          <w:rFonts w:ascii="Arial" w:hAnsi="Arial" w:cs="Arial"/>
          <w:sz w:val="24"/>
        </w:rPr>
        <w:t>The</w:t>
      </w:r>
      <w:r w:rsidRPr="00800CD4" w:rsidR="5F7B7FC2">
        <w:rPr>
          <w:rFonts w:ascii="Arial" w:hAnsi="Arial" w:cs="Arial"/>
          <w:sz w:val="24"/>
        </w:rPr>
        <w:t xml:space="preserve"> Median hourly </w:t>
      </w:r>
      <w:r w:rsidRPr="00800CD4" w:rsidR="00800CD4">
        <w:rPr>
          <w:rFonts w:ascii="Arial" w:hAnsi="Arial" w:cs="Arial"/>
          <w:sz w:val="24"/>
        </w:rPr>
        <w:t xml:space="preserve">wage </w:t>
      </w:r>
      <w:r w:rsidRPr="00800CD4" w:rsidR="00800CD4">
        <w:rPr>
          <w:rFonts w:ascii="Arial" w:hAnsi="Arial" w:cs="Arial"/>
          <w:sz w:val="24"/>
        </w:rPr>
        <w:t>was used</w:t>
      </w:r>
      <w:r w:rsidRPr="00800CD4" w:rsidR="00800CD4">
        <w:rPr>
          <w:rFonts w:ascii="Arial" w:hAnsi="Arial" w:cs="Arial"/>
          <w:sz w:val="24"/>
        </w:rPr>
        <w:t xml:space="preserve">. </w:t>
      </w:r>
    </w:p>
    <w:p w:rsidR="00933A78" w:rsidP="00933A78" w14:paraId="2E5C30EC" w14:textId="27CD5E5D">
      <w:pPr>
        <w:widowControl/>
        <w:spacing w:before="120"/>
        <w:ind w:left="270"/>
        <w:rPr>
          <w:rFonts w:ascii="Arial" w:hAnsi="Arial" w:cs="Arial"/>
          <w:b/>
          <w:sz w:val="24"/>
        </w:rPr>
      </w:pPr>
      <w:r w:rsidRPr="006978E0">
        <w:rPr>
          <w:rFonts w:ascii="Arial" w:hAnsi="Arial" w:cs="Arial"/>
          <w:sz w:val="24"/>
        </w:rPr>
        <w:t xml:space="preserve">Bureau of Labor Statistics (BLS) occupation code(s) </w:t>
      </w:r>
      <w:r w:rsidRPr="006978E0" w:rsidR="006978E0">
        <w:rPr>
          <w:rFonts w:ascii="Arial" w:hAnsi="Arial" w:cs="Arial"/>
          <w:sz w:val="24"/>
        </w:rPr>
        <w:t>were</w:t>
      </w:r>
      <w:r w:rsidRPr="006978E0">
        <w:rPr>
          <w:rFonts w:ascii="Arial" w:hAnsi="Arial" w:cs="Arial"/>
          <w:sz w:val="24"/>
        </w:rPr>
        <w:t xml:space="preserve"> used</w:t>
      </w:r>
      <w:r w:rsidR="00163F2D">
        <w:rPr>
          <w:rFonts w:ascii="Arial" w:hAnsi="Arial" w:cs="Arial"/>
          <w:sz w:val="24"/>
        </w:rPr>
        <w:t xml:space="preserve">. </w:t>
      </w:r>
      <w:r w:rsidRPr="006978E0" w:rsidR="006978E0">
        <w:rPr>
          <w:rFonts w:ascii="Arial" w:hAnsi="Arial" w:cs="Arial"/>
          <w:sz w:val="24"/>
        </w:rPr>
        <w:t xml:space="preserve">Attorneys have historically submitted information on behalf of covered entities and manufacturers, therefore BLS occupation code 23-1011 </w:t>
      </w:r>
      <w:r w:rsidRPr="006978E0" w:rsidR="006978E0">
        <w:rPr>
          <w:rFonts w:ascii="Arial" w:hAnsi="Arial" w:cs="Arial"/>
          <w:sz w:val="24"/>
        </w:rPr>
        <w:t>was used</w:t>
      </w:r>
      <w:r w:rsidRPr="006978E0" w:rsidR="006978E0">
        <w:rPr>
          <w:rFonts w:ascii="Arial" w:hAnsi="Arial" w:cs="Arial"/>
          <w:sz w:val="24"/>
        </w:rPr>
        <w:t xml:space="preserve"> to identify the median hourly wage</w:t>
      </w:r>
      <w:r w:rsidR="00163F2D">
        <w:rPr>
          <w:rFonts w:ascii="Arial" w:hAnsi="Arial" w:cs="Arial"/>
          <w:sz w:val="24"/>
        </w:rPr>
        <w:t>.</w:t>
      </w:r>
    </w:p>
    <w:p w:rsidR="009B3794" w:rsidRPr="00C45431" w:rsidP="00933A78" w14:paraId="22E2A374" w14:textId="6ADFFF90">
      <w:pPr>
        <w:widowControl/>
        <w:spacing w:before="120"/>
        <w:ind w:left="270"/>
        <w:rPr>
          <w:rFonts w:ascii="Arial" w:hAnsi="Arial" w:cs="Arial"/>
          <w:b/>
          <w:sz w:val="24"/>
        </w:rPr>
      </w:pPr>
      <w:r w:rsidRPr="00C45431">
        <w:rPr>
          <w:rFonts w:ascii="Arial" w:hAnsi="Arial" w:cs="Arial"/>
          <w:b/>
          <w:sz w:val="24"/>
        </w:rPr>
        <w:t>Estimated Annualized Burden Costs</w:t>
      </w:r>
    </w:p>
    <w:tbl>
      <w:tblPr>
        <w:tblW w:w="596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1240"/>
        <w:gridCol w:w="1403"/>
        <w:gridCol w:w="1719"/>
      </w:tblGrid>
      <w:tr w14:paraId="22E2A380" w14:textId="77777777" w:rsidTr="00E767E6">
        <w:tblPrEx>
          <w:tblW w:w="596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00"/>
        </w:trPr>
        <w:tc>
          <w:tcPr>
            <w:tcW w:w="1603" w:type="dxa"/>
          </w:tcPr>
          <w:p w:rsidR="009B3794" w:rsidRPr="00C45431" w:rsidP="00E767E6" w14:paraId="22E2A375" w14:textId="77777777">
            <w:pPr>
              <w:widowControl/>
              <w:rPr>
                <w:rFonts w:ascii="Arial" w:hAnsi="Arial" w:cs="Arial"/>
                <w:b/>
                <w:bCs/>
                <w:sz w:val="24"/>
              </w:rPr>
            </w:pPr>
            <w:r w:rsidRPr="00C45431">
              <w:rPr>
                <w:rFonts w:ascii="Arial" w:hAnsi="Arial" w:cs="Arial"/>
                <w:b/>
                <w:bCs/>
                <w:sz w:val="24"/>
              </w:rPr>
              <w:t>Type of</w:t>
            </w:r>
          </w:p>
          <w:p w:rsidR="009B3794" w:rsidRPr="00C45431" w:rsidP="00E767E6" w14:paraId="22E2A376" w14:textId="77777777">
            <w:pPr>
              <w:widowControl/>
              <w:rPr>
                <w:rFonts w:ascii="Arial" w:hAnsi="Arial" w:cs="Arial"/>
                <w:sz w:val="24"/>
              </w:rPr>
            </w:pPr>
            <w:r w:rsidRPr="00C45431">
              <w:rPr>
                <w:rFonts w:ascii="Arial" w:hAnsi="Arial" w:cs="Arial"/>
                <w:b/>
                <w:bCs/>
                <w:sz w:val="24"/>
              </w:rPr>
              <w:t>Respondent</w:t>
            </w:r>
          </w:p>
          <w:p w:rsidR="009B3794" w:rsidRPr="00C45431" w:rsidP="00E767E6" w14:paraId="22E2A377" w14:textId="77777777">
            <w:pPr>
              <w:widowControl/>
              <w:rPr>
                <w:rFonts w:ascii="Arial" w:hAnsi="Arial" w:cs="Arial"/>
                <w:b/>
                <w:bCs/>
                <w:sz w:val="24"/>
              </w:rPr>
            </w:pPr>
          </w:p>
        </w:tc>
        <w:tc>
          <w:tcPr>
            <w:tcW w:w="1240" w:type="dxa"/>
          </w:tcPr>
          <w:p w:rsidR="009B3794" w:rsidRPr="00C45431" w:rsidP="00E767E6" w14:paraId="22E2A378" w14:textId="77777777">
            <w:pPr>
              <w:widowControl/>
              <w:rPr>
                <w:rFonts w:ascii="Arial" w:hAnsi="Arial" w:cs="Arial"/>
                <w:b/>
                <w:bCs/>
                <w:sz w:val="24"/>
              </w:rPr>
            </w:pPr>
            <w:r w:rsidRPr="00C45431">
              <w:rPr>
                <w:rFonts w:ascii="Arial" w:hAnsi="Arial" w:cs="Arial"/>
                <w:b/>
                <w:bCs/>
                <w:sz w:val="24"/>
              </w:rPr>
              <w:t>Total Burden</w:t>
            </w:r>
          </w:p>
          <w:p w:rsidR="009B3794" w:rsidRPr="00C45431" w:rsidP="00E767E6" w14:paraId="22E2A37A" w14:textId="0CA9EDC1">
            <w:pPr>
              <w:widowControl/>
              <w:rPr>
                <w:rFonts w:ascii="Arial" w:hAnsi="Arial" w:cs="Arial"/>
                <w:b/>
                <w:bCs/>
                <w:sz w:val="24"/>
              </w:rPr>
            </w:pPr>
            <w:r w:rsidRPr="00C45431">
              <w:rPr>
                <w:rFonts w:ascii="Arial" w:hAnsi="Arial" w:cs="Arial"/>
                <w:b/>
                <w:bCs/>
                <w:sz w:val="24"/>
              </w:rPr>
              <w:t>Hours</w:t>
            </w:r>
          </w:p>
        </w:tc>
        <w:tc>
          <w:tcPr>
            <w:tcW w:w="1403" w:type="dxa"/>
          </w:tcPr>
          <w:p w:rsidR="009B3794" w:rsidRPr="00C45431" w:rsidP="00E767E6" w14:paraId="22E2A37B" w14:textId="77777777">
            <w:pPr>
              <w:widowControl/>
              <w:rPr>
                <w:rFonts w:ascii="Arial" w:hAnsi="Arial" w:cs="Arial"/>
                <w:b/>
                <w:bCs/>
                <w:sz w:val="24"/>
              </w:rPr>
            </w:pPr>
            <w:r w:rsidRPr="00C45431">
              <w:rPr>
                <w:rFonts w:ascii="Arial" w:hAnsi="Arial" w:cs="Arial"/>
                <w:b/>
                <w:bCs/>
                <w:sz w:val="24"/>
              </w:rPr>
              <w:t>Hourly</w:t>
            </w:r>
          </w:p>
          <w:p w:rsidR="009B3794" w:rsidRPr="00C45431" w:rsidP="00E767E6" w14:paraId="22E2A37D" w14:textId="6E12C207">
            <w:pPr>
              <w:widowControl/>
              <w:rPr>
                <w:rFonts w:ascii="Arial" w:hAnsi="Arial" w:cs="Arial"/>
                <w:b/>
                <w:bCs/>
                <w:sz w:val="24"/>
              </w:rPr>
            </w:pPr>
            <w:r w:rsidRPr="00C45431">
              <w:rPr>
                <w:rFonts w:ascii="Arial" w:hAnsi="Arial" w:cs="Arial"/>
                <w:b/>
                <w:bCs/>
                <w:sz w:val="24"/>
              </w:rPr>
              <w:t>Wage Rate</w:t>
            </w:r>
            <w:r w:rsidR="003130C3">
              <w:rPr>
                <w:rFonts w:ascii="Arial" w:hAnsi="Arial" w:cs="Arial"/>
                <w:b/>
                <w:bCs/>
                <w:sz w:val="24"/>
              </w:rPr>
              <w:t xml:space="preserve"> (x2)</w:t>
            </w:r>
          </w:p>
        </w:tc>
        <w:tc>
          <w:tcPr>
            <w:tcW w:w="1719" w:type="dxa"/>
          </w:tcPr>
          <w:p w:rsidR="009B3794" w:rsidRPr="00C45431" w:rsidP="00E767E6" w14:paraId="22E2A37F" w14:textId="60AA7A3B">
            <w:pPr>
              <w:widowControl/>
              <w:rPr>
                <w:rFonts w:ascii="Arial" w:hAnsi="Arial" w:cs="Arial"/>
                <w:b/>
                <w:bCs/>
                <w:sz w:val="24"/>
              </w:rPr>
            </w:pPr>
            <w:r w:rsidRPr="00C45431">
              <w:rPr>
                <w:rFonts w:ascii="Arial" w:hAnsi="Arial" w:cs="Arial"/>
                <w:b/>
                <w:bCs/>
                <w:sz w:val="24"/>
              </w:rPr>
              <w:t>Total Respondent Costs</w:t>
            </w:r>
          </w:p>
        </w:tc>
      </w:tr>
      <w:tr w14:paraId="22E2A385" w14:textId="77777777" w:rsidTr="00E767E6">
        <w:tblPrEx>
          <w:tblW w:w="5965" w:type="dxa"/>
          <w:tblInd w:w="265" w:type="dxa"/>
          <w:tblLook w:val="01E0"/>
        </w:tblPrEx>
        <w:trPr>
          <w:trHeight w:val="300"/>
        </w:trPr>
        <w:tc>
          <w:tcPr>
            <w:tcW w:w="1603" w:type="dxa"/>
          </w:tcPr>
          <w:p w:rsidR="009B3794" w:rsidRPr="00C45431" w:rsidP="00E767E6" w14:paraId="22E2A381" w14:textId="04E4500F">
            <w:pPr>
              <w:rPr>
                <w:rFonts w:ascii="Arial" w:hAnsi="Arial" w:cs="Arial"/>
                <w:sz w:val="24"/>
              </w:rPr>
            </w:pPr>
            <w:r>
              <w:rPr>
                <w:rFonts w:ascii="Arial" w:hAnsi="Arial" w:cs="Arial"/>
                <w:sz w:val="24"/>
              </w:rPr>
              <w:t>Lawyer</w:t>
            </w:r>
            <w:r w:rsidRPr="00C45431">
              <w:rPr>
                <w:rFonts w:ascii="Arial" w:hAnsi="Arial" w:cs="Arial"/>
                <w:sz w:val="24"/>
              </w:rPr>
              <w:t xml:space="preserve"> </w:t>
            </w:r>
          </w:p>
        </w:tc>
        <w:tc>
          <w:tcPr>
            <w:tcW w:w="1240" w:type="dxa"/>
          </w:tcPr>
          <w:p w:rsidR="00EF322D" w:rsidRPr="00EF322D" w:rsidP="00E767E6" w14:paraId="3AF273A4" w14:textId="77777777">
            <w:pPr>
              <w:widowControl/>
              <w:tabs>
                <w:tab w:val="num" w:pos="1080"/>
              </w:tabs>
              <w:jc w:val="right"/>
              <w:rPr>
                <w:rFonts w:ascii="Arial" w:hAnsi="Arial" w:cs="Arial"/>
                <w:sz w:val="24"/>
              </w:rPr>
            </w:pPr>
            <w:r w:rsidRPr="00E767E6">
              <w:rPr>
                <w:rFonts w:ascii="Arial" w:hAnsi="Arial" w:cs="Arial"/>
                <w:sz w:val="24"/>
              </w:rPr>
              <w:t>37.5</w:t>
            </w:r>
          </w:p>
          <w:p w:rsidR="009B3794" w:rsidRPr="00EF322D" w:rsidP="00E767E6" w14:paraId="22E2A382" w14:textId="072014A9">
            <w:pPr>
              <w:jc w:val="right"/>
              <w:rPr>
                <w:rFonts w:ascii="Arial" w:hAnsi="Arial" w:cs="Arial"/>
                <w:sz w:val="24"/>
              </w:rPr>
            </w:pPr>
          </w:p>
        </w:tc>
        <w:tc>
          <w:tcPr>
            <w:tcW w:w="1403" w:type="dxa"/>
          </w:tcPr>
          <w:p w:rsidR="009B3794" w:rsidRPr="00C45431" w:rsidP="00E767E6" w14:paraId="22E2A383" w14:textId="4BB771A5">
            <w:pPr>
              <w:jc w:val="right"/>
              <w:rPr>
                <w:rFonts w:ascii="Arial" w:hAnsi="Arial" w:cs="Arial"/>
                <w:sz w:val="24"/>
              </w:rPr>
            </w:pPr>
            <w:r w:rsidRPr="00C45431">
              <w:rPr>
                <w:rFonts w:ascii="Arial" w:hAnsi="Arial" w:cs="Arial"/>
                <w:sz w:val="24"/>
              </w:rPr>
              <w:t xml:space="preserve"> $</w:t>
            </w:r>
            <w:r w:rsidR="00800CD4">
              <w:rPr>
                <w:rFonts w:ascii="Arial" w:hAnsi="Arial" w:cs="Arial"/>
                <w:sz w:val="24"/>
              </w:rPr>
              <w:t>140.16</w:t>
            </w:r>
            <w:r w:rsidRPr="00C45431">
              <w:rPr>
                <w:rFonts w:ascii="Arial" w:hAnsi="Arial" w:cs="Arial"/>
                <w:sz w:val="24"/>
              </w:rPr>
              <w:t xml:space="preserve"> </w:t>
            </w:r>
          </w:p>
        </w:tc>
        <w:tc>
          <w:tcPr>
            <w:tcW w:w="1719" w:type="dxa"/>
          </w:tcPr>
          <w:p w:rsidR="009B3794" w:rsidRPr="00C45431" w:rsidP="00E767E6" w14:paraId="22E2A384" w14:textId="4F6BC378">
            <w:pPr>
              <w:jc w:val="right"/>
              <w:rPr>
                <w:rFonts w:ascii="Arial" w:hAnsi="Arial" w:cs="Arial"/>
                <w:sz w:val="24"/>
              </w:rPr>
            </w:pPr>
            <w:r w:rsidRPr="00C45431">
              <w:rPr>
                <w:rFonts w:ascii="Arial" w:hAnsi="Arial" w:cs="Arial"/>
                <w:sz w:val="24"/>
              </w:rPr>
              <w:t>$</w:t>
            </w:r>
            <w:r w:rsidRPr="00EF322D" w:rsidR="00EF322D">
              <w:rPr>
                <w:rFonts w:ascii="Arial" w:hAnsi="Arial" w:cs="Arial"/>
                <w:sz w:val="24"/>
              </w:rPr>
              <w:t>5,256</w:t>
            </w:r>
          </w:p>
        </w:tc>
      </w:tr>
      <w:tr w14:paraId="22E2A38F" w14:textId="77777777" w:rsidTr="00E767E6">
        <w:tblPrEx>
          <w:tblW w:w="5965" w:type="dxa"/>
          <w:tblInd w:w="265" w:type="dxa"/>
          <w:tblLook w:val="01E0"/>
        </w:tblPrEx>
        <w:trPr>
          <w:trHeight w:val="440"/>
        </w:trPr>
        <w:tc>
          <w:tcPr>
            <w:tcW w:w="1603" w:type="dxa"/>
          </w:tcPr>
          <w:p w:rsidR="009B3794" w:rsidRPr="00C45431" w:rsidP="00E767E6" w14:paraId="22E2A38B" w14:textId="77777777">
            <w:pPr>
              <w:widowControl/>
              <w:rPr>
                <w:rFonts w:ascii="Arial" w:hAnsi="Arial" w:cs="Arial"/>
                <w:sz w:val="24"/>
              </w:rPr>
            </w:pPr>
            <w:r w:rsidRPr="00C45431">
              <w:rPr>
                <w:rFonts w:ascii="Arial" w:hAnsi="Arial" w:cs="Arial"/>
                <w:sz w:val="24"/>
              </w:rPr>
              <w:t>Total</w:t>
            </w:r>
          </w:p>
        </w:tc>
        <w:tc>
          <w:tcPr>
            <w:tcW w:w="1240" w:type="dxa"/>
          </w:tcPr>
          <w:p w:rsidR="009B3794" w:rsidRPr="00C45431" w:rsidP="00E767E6" w14:paraId="22E2A38C" w14:textId="77777777">
            <w:pPr>
              <w:widowControl/>
              <w:jc w:val="right"/>
              <w:rPr>
                <w:rFonts w:ascii="Arial" w:hAnsi="Arial" w:cs="Arial"/>
                <w:sz w:val="24"/>
              </w:rPr>
            </w:pPr>
          </w:p>
        </w:tc>
        <w:tc>
          <w:tcPr>
            <w:tcW w:w="1403" w:type="dxa"/>
          </w:tcPr>
          <w:p w:rsidR="009B3794" w:rsidRPr="00C45431" w:rsidP="00E767E6" w14:paraId="22E2A38D" w14:textId="77777777">
            <w:pPr>
              <w:widowControl/>
              <w:jc w:val="right"/>
              <w:rPr>
                <w:rFonts w:ascii="Arial" w:hAnsi="Arial" w:cs="Arial"/>
                <w:sz w:val="24"/>
              </w:rPr>
            </w:pPr>
          </w:p>
        </w:tc>
        <w:tc>
          <w:tcPr>
            <w:tcW w:w="1719" w:type="dxa"/>
          </w:tcPr>
          <w:p w:rsidR="009B3794" w:rsidRPr="00C45431" w:rsidP="00E767E6" w14:paraId="22E2A38E" w14:textId="7436AB15">
            <w:pPr>
              <w:widowControl/>
              <w:jc w:val="right"/>
              <w:rPr>
                <w:rFonts w:ascii="Arial" w:hAnsi="Arial" w:cs="Arial"/>
                <w:sz w:val="24"/>
              </w:rPr>
            </w:pPr>
            <w:r w:rsidRPr="00C45431">
              <w:rPr>
                <w:rFonts w:ascii="Arial" w:hAnsi="Arial" w:cs="Arial"/>
                <w:sz w:val="24"/>
              </w:rPr>
              <w:t>$</w:t>
            </w:r>
            <w:r w:rsidRPr="00EF322D" w:rsidR="00EF322D">
              <w:rPr>
                <w:rFonts w:ascii="Arial" w:hAnsi="Arial" w:cs="Arial"/>
                <w:sz w:val="24"/>
              </w:rPr>
              <w:t>5,256</w:t>
            </w:r>
          </w:p>
        </w:tc>
      </w:tr>
    </w:tbl>
    <w:p w:rsidR="00A21AFD" w:rsidRPr="006978E0" w:rsidP="00E767E6" w14:paraId="18FD2F92" w14:textId="02ED7100">
      <w:pPr>
        <w:widowControl/>
        <w:spacing w:before="120"/>
        <w:ind w:left="270"/>
        <w:rPr>
          <w:rFonts w:ascii="Arial" w:hAnsi="Arial" w:cs="Arial"/>
          <w:b/>
          <w:bCs/>
          <w:sz w:val="24"/>
        </w:rPr>
      </w:pPr>
      <w:r w:rsidRPr="006978E0">
        <w:rPr>
          <w:b/>
          <w:bCs/>
          <w:i/>
          <w:iCs/>
          <w:sz w:val="24"/>
        </w:rPr>
        <w:t>Hourly Wage Rate based on the United States Department of Labor, Bureau of Labor Statistics</w:t>
      </w:r>
      <w:r w:rsidRPr="006978E0" w:rsidR="00B6127B">
        <w:rPr>
          <w:b/>
          <w:bCs/>
          <w:i/>
          <w:iCs/>
          <w:sz w:val="24"/>
        </w:rPr>
        <w:t xml:space="preserve"> </w:t>
      </w:r>
      <w:r w:rsidRPr="006978E0" w:rsidR="006978E0">
        <w:rPr>
          <w:b/>
          <w:bCs/>
          <w:i/>
          <w:iCs/>
          <w:sz w:val="24"/>
        </w:rPr>
        <w:t>(</w:t>
      </w:r>
      <w:hyperlink r:id="rId10" w:history="1">
        <w:r w:rsidRPr="007C3E59" w:rsidR="00EF322D">
          <w:rPr>
            <w:rStyle w:val="Hyperlink"/>
            <w:b/>
            <w:bCs/>
            <w:i/>
            <w:iCs/>
            <w:sz w:val="24"/>
          </w:rPr>
          <w:t>https://www.bls.gov/oes/current/oes231011.htm</w:t>
        </w:r>
      </w:hyperlink>
      <w:r w:rsidRPr="006978E0" w:rsidR="006978E0">
        <w:rPr>
          <w:b/>
          <w:bCs/>
          <w:i/>
          <w:iCs/>
          <w:sz w:val="24"/>
        </w:rPr>
        <w:t>)</w:t>
      </w:r>
      <w:r w:rsidR="00163F2D">
        <w:rPr>
          <w:b/>
          <w:bCs/>
          <w:i/>
          <w:iCs/>
          <w:sz w:val="24"/>
        </w:rPr>
        <w:t xml:space="preserve">. </w:t>
      </w:r>
      <w:r w:rsidRPr="006978E0">
        <w:rPr>
          <w:b/>
          <w:bCs/>
          <w:i/>
          <w:iCs/>
          <w:sz w:val="24"/>
        </w:rPr>
        <w:t xml:space="preserve">Hourly wage doubled to account for benefits. </w:t>
      </w:r>
    </w:p>
    <w:p w:rsidR="009B3794" w:rsidRPr="00C45431" w:rsidP="00E42439" w14:paraId="22E2A391" w14:textId="77777777">
      <w:pPr>
        <w:numPr>
          <w:ilvl w:val="0"/>
          <w:numId w:val="13"/>
        </w:numPr>
        <w:spacing w:before="240"/>
        <w:rPr>
          <w:rFonts w:ascii="Arial" w:hAnsi="Arial" w:cs="Arial"/>
          <w:b/>
          <w:sz w:val="24"/>
        </w:rPr>
      </w:pPr>
      <w:r w:rsidRPr="165E32E8">
        <w:rPr>
          <w:rFonts w:ascii="Arial" w:hAnsi="Arial" w:cs="Arial"/>
          <w:b/>
          <w:bCs/>
          <w:sz w:val="24"/>
          <w:u w:val="single"/>
        </w:rPr>
        <w:t>Estimates of other Total Annual Cost Burden to Respondents or Recordkeepers/Capital Costs</w:t>
      </w:r>
    </w:p>
    <w:p w:rsidR="00D11CA3" w:rsidRPr="006978E0" w:rsidP="00B917E6" w14:paraId="22E2A394" w14:textId="7CA57599">
      <w:pPr>
        <w:pStyle w:val="BodyTextIndent"/>
        <w:spacing w:before="120"/>
        <w:ind w:left="360"/>
        <w:rPr>
          <w:rFonts w:ascii="Arial" w:hAnsi="Arial" w:cs="Arial"/>
        </w:rPr>
      </w:pPr>
      <w:r w:rsidRPr="006978E0">
        <w:rPr>
          <w:rFonts w:ascii="Arial" w:hAnsi="Arial" w:cs="Arial"/>
        </w:rPr>
        <w:t>Other than their time, there is no cost to respondents.</w:t>
      </w:r>
      <w:r w:rsidR="00E767E6">
        <w:rPr>
          <w:rFonts w:ascii="Arial" w:hAnsi="Arial" w:cs="Arial"/>
        </w:rPr>
        <w:t xml:space="preserve"> </w:t>
      </w:r>
      <w:r w:rsidRPr="008E0338" w:rsidR="00E767E6">
        <w:rPr>
          <w:rFonts w:ascii="Arial" w:hAnsi="Arial" w:cs="Arial"/>
        </w:rPr>
        <w:t xml:space="preserve">This information collection request </w:t>
      </w:r>
      <w:r w:rsidRPr="008E0338" w:rsidR="00E767E6">
        <w:rPr>
          <w:rFonts w:ascii="Arial" w:hAnsi="Arial" w:cs="Arial"/>
        </w:rPr>
        <w:t>is limited</w:t>
      </w:r>
      <w:r w:rsidRPr="008E0338" w:rsidR="00E767E6">
        <w:rPr>
          <w:rFonts w:ascii="Arial" w:hAnsi="Arial" w:cs="Arial"/>
        </w:rPr>
        <w:t xml:space="preserve"> only to the initiation of the 340B ADR process and the uploading of the related documents at the initial phase of the 340B ADR process. It does not include audits performed by manufacturers of covered entities. Though manufacturer audits of covered entities are a prerequisite to filing an ADR claim for manufacturers, those audits are a separate investigative process and are not subject to this information request. </w:t>
      </w:r>
    </w:p>
    <w:p w:rsidR="009B3794" w:rsidRPr="002F555D" w:rsidP="00E42439" w14:paraId="22E2A395" w14:textId="77777777">
      <w:pPr>
        <w:numPr>
          <w:ilvl w:val="0"/>
          <w:numId w:val="13"/>
        </w:numPr>
        <w:spacing w:before="240"/>
        <w:rPr>
          <w:rFonts w:ascii="Arial" w:hAnsi="Arial" w:cs="Arial"/>
          <w:b/>
          <w:sz w:val="24"/>
        </w:rPr>
      </w:pPr>
      <w:r w:rsidRPr="165E32E8">
        <w:rPr>
          <w:rFonts w:ascii="Arial" w:hAnsi="Arial" w:cs="Arial"/>
          <w:b/>
          <w:bCs/>
          <w:sz w:val="24"/>
          <w:u w:val="single"/>
        </w:rPr>
        <w:t>Annualized Cost to Federal Government</w:t>
      </w:r>
    </w:p>
    <w:p w:rsidR="006F5AD3" w:rsidRPr="002F555D" w:rsidP="002F555D" w14:paraId="64CBDC94" w14:textId="6D943BA3">
      <w:pPr>
        <w:pStyle w:val="ListParagraph"/>
        <w:spacing w:before="240"/>
        <w:ind w:left="360"/>
        <w:rPr>
          <w:rFonts w:ascii="Arial" w:hAnsi="Arial" w:cs="Arial"/>
          <w:bCs/>
          <w:sz w:val="24"/>
        </w:rPr>
      </w:pPr>
      <w:r w:rsidRPr="002F555D">
        <w:rPr>
          <w:rFonts w:ascii="Arial" w:hAnsi="Arial" w:cs="Arial"/>
          <w:bCs/>
          <w:sz w:val="24"/>
        </w:rPr>
        <w:t>This information collection request</w:t>
      </w:r>
      <w:r>
        <w:rPr>
          <w:rFonts w:ascii="Arial" w:hAnsi="Arial" w:cs="Arial"/>
          <w:bCs/>
          <w:sz w:val="24"/>
        </w:rPr>
        <w:t xml:space="preserve"> is non-routine</w:t>
      </w:r>
      <w:r w:rsidR="00163F2D">
        <w:rPr>
          <w:rFonts w:ascii="Arial" w:hAnsi="Arial" w:cs="Arial"/>
          <w:bCs/>
          <w:sz w:val="24"/>
        </w:rPr>
        <w:t xml:space="preserve">. </w:t>
      </w:r>
      <w:r w:rsidRPr="002F555D">
        <w:rPr>
          <w:rFonts w:ascii="Arial" w:hAnsi="Arial" w:cs="Arial"/>
          <w:bCs/>
          <w:sz w:val="24"/>
        </w:rPr>
        <w:t xml:space="preserve">The estimated average federal cost to implement the manufacturer and covered entity </w:t>
      </w:r>
      <w:r>
        <w:rPr>
          <w:rFonts w:ascii="Arial" w:hAnsi="Arial" w:cs="Arial"/>
          <w:bCs/>
          <w:sz w:val="24"/>
        </w:rPr>
        <w:t>ADR submissions</w:t>
      </w:r>
      <w:r w:rsidRPr="002F555D">
        <w:rPr>
          <w:rFonts w:ascii="Arial" w:hAnsi="Arial" w:cs="Arial"/>
          <w:bCs/>
          <w:sz w:val="24"/>
        </w:rPr>
        <w:t xml:space="preserve"> </w:t>
      </w:r>
      <w:r>
        <w:rPr>
          <w:rFonts w:ascii="Arial" w:hAnsi="Arial" w:cs="Arial"/>
          <w:bCs/>
          <w:sz w:val="24"/>
        </w:rPr>
        <w:t>are included</w:t>
      </w:r>
      <w:r>
        <w:rPr>
          <w:rFonts w:ascii="Arial" w:hAnsi="Arial" w:cs="Arial"/>
          <w:bCs/>
          <w:sz w:val="24"/>
        </w:rPr>
        <w:t xml:space="preserve"> in the</w:t>
      </w:r>
      <w:r w:rsidRPr="002F555D">
        <w:rPr>
          <w:rFonts w:ascii="Arial" w:hAnsi="Arial" w:cs="Arial"/>
          <w:bCs/>
          <w:sz w:val="24"/>
        </w:rPr>
        <w:t xml:space="preserve"> 340B OPAIS system </w:t>
      </w:r>
      <w:r>
        <w:rPr>
          <w:rFonts w:ascii="Arial" w:hAnsi="Arial" w:cs="Arial"/>
          <w:bCs/>
          <w:sz w:val="24"/>
        </w:rPr>
        <w:t xml:space="preserve">annual system costs for registration and pricing and </w:t>
      </w:r>
      <w:r w:rsidRPr="002F555D">
        <w:rPr>
          <w:rFonts w:ascii="Arial" w:hAnsi="Arial" w:cs="Arial"/>
          <w:bCs/>
          <w:sz w:val="24"/>
        </w:rPr>
        <w:t>will be approximately $4 million per year</w:t>
      </w:r>
      <w:r w:rsidR="00163F2D">
        <w:rPr>
          <w:rFonts w:ascii="Arial" w:hAnsi="Arial" w:cs="Arial"/>
          <w:bCs/>
          <w:sz w:val="24"/>
        </w:rPr>
        <w:t xml:space="preserve">. </w:t>
      </w:r>
      <w:r w:rsidRPr="002F555D">
        <w:rPr>
          <w:rFonts w:ascii="Arial" w:hAnsi="Arial" w:cs="Arial"/>
          <w:bCs/>
          <w:sz w:val="24"/>
        </w:rPr>
        <w:t>The HRSA contractor will develop and maintain the system on an annual basis.</w:t>
      </w:r>
      <w:r w:rsidR="00EC3830">
        <w:rPr>
          <w:rFonts w:ascii="Arial" w:hAnsi="Arial" w:cs="Arial"/>
          <w:bCs/>
          <w:sz w:val="24"/>
        </w:rPr>
        <w:t xml:space="preserve"> The GS-14 Pharmacist will also spend approximately 25% of their time annually reviewing incoming ADR submissions. The annual salary is $139,335, which </w:t>
      </w:r>
      <w:r w:rsidR="00EC3830">
        <w:rPr>
          <w:rFonts w:ascii="Arial" w:hAnsi="Arial" w:cs="Arial"/>
          <w:bCs/>
          <w:sz w:val="24"/>
        </w:rPr>
        <w:t>is multiplied</w:t>
      </w:r>
      <w:r w:rsidR="00EC3830">
        <w:rPr>
          <w:rFonts w:ascii="Arial" w:hAnsi="Arial" w:cs="Arial"/>
          <w:bCs/>
          <w:sz w:val="24"/>
        </w:rPr>
        <w:t xml:space="preserve"> by 1.5 to account for overhead costs in the table below (bringing the total to $</w:t>
      </w:r>
      <w:r w:rsidRPr="00EC3830" w:rsidR="00EC3830">
        <w:rPr>
          <w:rFonts w:ascii="Arial" w:hAnsi="Arial" w:cs="Arial"/>
          <w:bCs/>
          <w:sz w:val="24"/>
        </w:rPr>
        <w:t>209,092.5</w:t>
      </w:r>
      <w:r w:rsidR="00EC3830">
        <w:rPr>
          <w:rFonts w:ascii="Arial" w:hAnsi="Arial" w:cs="Arial"/>
          <w:bCs/>
          <w:sz w:val="24"/>
        </w:rPr>
        <w:t>)</w:t>
      </w:r>
    </w:p>
    <w:tbl>
      <w:tblPr>
        <w:tblStyle w:val="TableGrid"/>
        <w:tblpPr w:leftFromText="180" w:rightFromText="180" w:vertAnchor="text" w:horzAnchor="margin" w:tblpX="355" w:tblpY="230"/>
        <w:tblW w:w="5000" w:type="pct"/>
        <w:tblLayout w:type="fixed"/>
        <w:tblLook w:val="04A0"/>
      </w:tblPr>
      <w:tblGrid>
        <w:gridCol w:w="4716"/>
        <w:gridCol w:w="952"/>
        <w:gridCol w:w="1726"/>
        <w:gridCol w:w="1956"/>
      </w:tblGrid>
      <w:tr w14:paraId="15CFAAA5" w14:textId="77777777" w:rsidTr="00E767E6">
        <w:tblPrEx>
          <w:tblW w:w="5000" w:type="pct"/>
          <w:tblLayout w:type="fixed"/>
          <w:tblLook w:val="04A0"/>
        </w:tblPrEx>
        <w:trPr>
          <w:cantSplit/>
          <w:tblHeader/>
        </w:trPr>
        <w:tc>
          <w:tcPr>
            <w:tcW w:w="2522" w:type="pct"/>
          </w:tcPr>
          <w:p w:rsidR="00EF322D" w:rsidRPr="00E767E6" w:rsidP="00EF322D" w14:paraId="583DD927" w14:textId="77777777">
            <w:pPr>
              <w:pStyle w:val="ListParagraph"/>
              <w:ind w:left="0"/>
              <w:rPr>
                <w:rFonts w:ascii="Arial" w:hAnsi="Arial" w:cs="Arial"/>
                <w:b/>
                <w:sz w:val="24"/>
              </w:rPr>
            </w:pPr>
            <w:r w:rsidRPr="00E767E6">
              <w:rPr>
                <w:rFonts w:ascii="Arial" w:hAnsi="Arial" w:cs="Arial"/>
                <w:b/>
                <w:sz w:val="24"/>
              </w:rPr>
              <w:t>Description</w:t>
            </w:r>
          </w:p>
        </w:tc>
        <w:tc>
          <w:tcPr>
            <w:tcW w:w="509" w:type="pct"/>
          </w:tcPr>
          <w:p w:rsidR="00EF322D" w:rsidRPr="00E767E6" w:rsidP="00EF322D" w14:paraId="57C08176" w14:textId="77777777">
            <w:pPr>
              <w:pStyle w:val="ListParagraph"/>
              <w:ind w:left="0"/>
              <w:rPr>
                <w:rFonts w:ascii="Arial" w:hAnsi="Arial" w:cs="Arial"/>
                <w:b/>
                <w:sz w:val="24"/>
              </w:rPr>
            </w:pPr>
            <w:r w:rsidRPr="00E767E6">
              <w:rPr>
                <w:rFonts w:ascii="Arial" w:hAnsi="Arial" w:cs="Arial"/>
                <w:b/>
                <w:sz w:val="24"/>
              </w:rPr>
              <w:t>Time</w:t>
            </w:r>
          </w:p>
        </w:tc>
        <w:tc>
          <w:tcPr>
            <w:tcW w:w="921" w:type="pct"/>
          </w:tcPr>
          <w:p w:rsidR="00EF322D" w:rsidRPr="00E767E6" w:rsidP="00EF322D" w14:paraId="0F33815C" w14:textId="1ACA6A93">
            <w:pPr>
              <w:pStyle w:val="ListParagraph"/>
              <w:ind w:left="0"/>
              <w:rPr>
                <w:rFonts w:ascii="Arial" w:hAnsi="Arial" w:cs="Arial"/>
                <w:b/>
                <w:sz w:val="24"/>
              </w:rPr>
            </w:pPr>
            <w:r w:rsidRPr="00E767E6">
              <w:rPr>
                <w:rFonts w:ascii="Arial" w:hAnsi="Arial" w:cs="Arial"/>
                <w:b/>
                <w:sz w:val="24"/>
              </w:rPr>
              <w:t>Salary</w:t>
            </w:r>
            <w:r w:rsidR="00EC3830">
              <w:rPr>
                <w:rFonts w:ascii="Arial" w:hAnsi="Arial" w:cs="Arial"/>
                <w:b/>
                <w:sz w:val="24"/>
              </w:rPr>
              <w:t xml:space="preserve"> (x 1.5)</w:t>
            </w:r>
          </w:p>
        </w:tc>
        <w:tc>
          <w:tcPr>
            <w:tcW w:w="1046" w:type="pct"/>
          </w:tcPr>
          <w:p w:rsidR="00EF322D" w:rsidRPr="00E767E6" w:rsidP="00EF322D" w14:paraId="45F652B4" w14:textId="77777777">
            <w:pPr>
              <w:pStyle w:val="ListParagraph"/>
              <w:ind w:left="0"/>
              <w:rPr>
                <w:rFonts w:ascii="Arial" w:hAnsi="Arial" w:cs="Arial"/>
                <w:b/>
                <w:sz w:val="24"/>
              </w:rPr>
            </w:pPr>
            <w:r w:rsidRPr="00E767E6">
              <w:rPr>
                <w:rFonts w:ascii="Arial" w:hAnsi="Arial" w:cs="Arial"/>
                <w:b/>
                <w:sz w:val="24"/>
              </w:rPr>
              <w:t>Annual Cost</w:t>
            </w:r>
          </w:p>
        </w:tc>
      </w:tr>
      <w:tr w14:paraId="7EA2A0E0" w14:textId="77777777" w:rsidTr="00E767E6">
        <w:tblPrEx>
          <w:tblW w:w="5000" w:type="pct"/>
          <w:tblLayout w:type="fixed"/>
          <w:tblLook w:val="04A0"/>
        </w:tblPrEx>
        <w:tc>
          <w:tcPr>
            <w:tcW w:w="2522" w:type="pct"/>
          </w:tcPr>
          <w:p w:rsidR="00EF322D" w:rsidRPr="00E767E6" w:rsidP="00EF322D" w14:paraId="5AD23AF4" w14:textId="77777777">
            <w:pPr>
              <w:pStyle w:val="ListParagraph"/>
              <w:ind w:left="0"/>
              <w:rPr>
                <w:rFonts w:ascii="Arial" w:hAnsi="Arial" w:cs="Arial"/>
                <w:sz w:val="24"/>
              </w:rPr>
            </w:pPr>
            <w:r w:rsidRPr="00E767E6">
              <w:rPr>
                <w:rFonts w:ascii="Arial" w:hAnsi="Arial" w:cs="Arial"/>
                <w:sz w:val="24"/>
              </w:rPr>
              <w:t>OPA Information System Maintenance/Enhancement Contract</w:t>
            </w:r>
          </w:p>
        </w:tc>
        <w:tc>
          <w:tcPr>
            <w:tcW w:w="509" w:type="pct"/>
          </w:tcPr>
          <w:p w:rsidR="00EF322D" w:rsidRPr="00E767E6" w:rsidP="00EF322D" w14:paraId="4E2C99A0" w14:textId="77777777">
            <w:pPr>
              <w:pStyle w:val="ListParagraph"/>
              <w:ind w:left="0"/>
              <w:rPr>
                <w:rFonts w:ascii="Arial" w:hAnsi="Arial" w:cs="Arial"/>
                <w:sz w:val="24"/>
              </w:rPr>
            </w:pPr>
            <w:r w:rsidRPr="00E767E6">
              <w:rPr>
                <w:rFonts w:ascii="Arial" w:hAnsi="Arial" w:cs="Arial"/>
                <w:sz w:val="24"/>
              </w:rPr>
              <w:t>Yearly</w:t>
            </w:r>
          </w:p>
        </w:tc>
        <w:tc>
          <w:tcPr>
            <w:tcW w:w="921" w:type="pct"/>
          </w:tcPr>
          <w:p w:rsidR="00EF322D" w:rsidRPr="00E767E6" w:rsidP="00EF322D" w14:paraId="200E7A0D" w14:textId="77777777">
            <w:pPr>
              <w:pStyle w:val="ListParagraph"/>
              <w:ind w:left="0"/>
              <w:rPr>
                <w:rFonts w:ascii="Arial" w:hAnsi="Arial" w:cs="Arial"/>
                <w:sz w:val="24"/>
              </w:rPr>
            </w:pPr>
            <w:r w:rsidRPr="00E767E6">
              <w:rPr>
                <w:rFonts w:ascii="Arial" w:hAnsi="Arial" w:cs="Arial"/>
                <w:sz w:val="24"/>
              </w:rPr>
              <w:t>N/A</w:t>
            </w:r>
          </w:p>
        </w:tc>
        <w:tc>
          <w:tcPr>
            <w:tcW w:w="1046" w:type="pct"/>
          </w:tcPr>
          <w:p w:rsidR="00EF322D" w:rsidRPr="00E767E6" w:rsidP="00EF322D" w14:paraId="666CFFEA" w14:textId="77777777">
            <w:pPr>
              <w:pStyle w:val="ListParagraph"/>
              <w:ind w:left="0"/>
              <w:jc w:val="right"/>
              <w:rPr>
                <w:rFonts w:ascii="Arial" w:hAnsi="Arial" w:cs="Arial"/>
                <w:sz w:val="24"/>
              </w:rPr>
            </w:pPr>
            <w:r w:rsidRPr="00E767E6">
              <w:rPr>
                <w:rFonts w:ascii="Arial" w:hAnsi="Arial" w:cs="Arial"/>
                <w:sz w:val="24"/>
              </w:rPr>
              <w:t>$4,000,000</w:t>
            </w:r>
          </w:p>
        </w:tc>
      </w:tr>
      <w:tr w14:paraId="0E1959AE" w14:textId="77777777" w:rsidTr="00E767E6">
        <w:tblPrEx>
          <w:tblW w:w="5000" w:type="pct"/>
          <w:tblLayout w:type="fixed"/>
          <w:tblLook w:val="04A0"/>
        </w:tblPrEx>
        <w:tc>
          <w:tcPr>
            <w:tcW w:w="2522" w:type="pct"/>
          </w:tcPr>
          <w:p w:rsidR="00EF322D" w:rsidRPr="00E767E6" w:rsidP="00EF322D" w14:paraId="4002AEA8" w14:textId="77777777">
            <w:pPr>
              <w:pStyle w:val="ListParagraph"/>
              <w:ind w:left="0"/>
              <w:rPr>
                <w:rFonts w:ascii="Arial" w:hAnsi="Arial" w:cs="Arial"/>
                <w:sz w:val="24"/>
              </w:rPr>
            </w:pPr>
            <w:r w:rsidRPr="00E767E6">
              <w:rPr>
                <w:rFonts w:ascii="Arial" w:hAnsi="Arial" w:cs="Arial"/>
                <w:sz w:val="24"/>
              </w:rPr>
              <w:t>Pharmacist (ADR Coordinator) -</w:t>
            </w:r>
          </w:p>
          <w:p w:rsidR="00EF322D" w:rsidRPr="00E767E6" w:rsidP="00EF322D" w14:paraId="41F3317B" w14:textId="77777777">
            <w:pPr>
              <w:pStyle w:val="ListParagraph"/>
              <w:ind w:left="0"/>
              <w:rPr>
                <w:rFonts w:ascii="Arial" w:hAnsi="Arial" w:cs="Arial"/>
                <w:sz w:val="24"/>
              </w:rPr>
            </w:pPr>
            <w:r w:rsidRPr="00E767E6">
              <w:rPr>
                <w:rFonts w:ascii="Arial" w:hAnsi="Arial" w:cs="Arial"/>
                <w:sz w:val="24"/>
              </w:rPr>
              <w:t xml:space="preserve">GS-14/1 </w:t>
            </w:r>
          </w:p>
        </w:tc>
        <w:tc>
          <w:tcPr>
            <w:tcW w:w="509" w:type="pct"/>
          </w:tcPr>
          <w:p w:rsidR="00EF322D" w:rsidRPr="00E767E6" w:rsidP="00EF322D" w14:paraId="29BE1C58" w14:textId="77777777">
            <w:pPr>
              <w:pStyle w:val="ListParagraph"/>
              <w:ind w:left="0"/>
              <w:rPr>
                <w:rFonts w:ascii="Arial" w:hAnsi="Arial" w:cs="Arial"/>
                <w:sz w:val="24"/>
              </w:rPr>
            </w:pPr>
            <w:r w:rsidRPr="00E767E6">
              <w:rPr>
                <w:rFonts w:ascii="Arial" w:hAnsi="Arial" w:cs="Arial"/>
                <w:sz w:val="24"/>
              </w:rPr>
              <w:t>25% of time</w:t>
            </w:r>
          </w:p>
        </w:tc>
        <w:tc>
          <w:tcPr>
            <w:tcW w:w="921" w:type="pct"/>
          </w:tcPr>
          <w:p w:rsidR="00EF322D" w:rsidRPr="00E767E6" w:rsidP="00EF322D" w14:paraId="7D521B94" w14:textId="6AC0C94F">
            <w:pPr>
              <w:pStyle w:val="ListParagraph"/>
              <w:ind w:left="0"/>
              <w:rPr>
                <w:rFonts w:ascii="Arial" w:hAnsi="Arial" w:cs="Arial"/>
                <w:sz w:val="24"/>
              </w:rPr>
            </w:pPr>
            <w:r w:rsidRPr="00E767E6">
              <w:rPr>
                <w:rFonts w:ascii="Arial" w:hAnsi="Arial" w:cs="Arial"/>
                <w:sz w:val="24"/>
              </w:rPr>
              <w:t>$</w:t>
            </w:r>
            <w:r w:rsidR="00EC3830">
              <w:rPr>
                <w:rFonts w:ascii="Arial" w:hAnsi="Arial" w:cs="Arial"/>
                <w:sz w:val="24"/>
              </w:rPr>
              <w:t>209,092.5</w:t>
            </w:r>
          </w:p>
        </w:tc>
        <w:tc>
          <w:tcPr>
            <w:tcW w:w="1046" w:type="pct"/>
          </w:tcPr>
          <w:p w:rsidR="00EF322D" w:rsidRPr="00E767E6" w:rsidP="00EF322D" w14:paraId="51F90522" w14:textId="00F7C786">
            <w:pPr>
              <w:pStyle w:val="ListParagraph"/>
              <w:ind w:left="0"/>
              <w:jc w:val="right"/>
              <w:rPr>
                <w:rFonts w:ascii="Arial" w:hAnsi="Arial" w:cs="Arial"/>
                <w:sz w:val="24"/>
              </w:rPr>
            </w:pPr>
            <w:r w:rsidRPr="00E767E6">
              <w:rPr>
                <w:rFonts w:ascii="Arial" w:hAnsi="Arial" w:cs="Arial"/>
                <w:sz w:val="24"/>
              </w:rPr>
              <w:t>$</w:t>
            </w:r>
            <w:r w:rsidRPr="00EC3830" w:rsidR="00EC3830">
              <w:rPr>
                <w:rFonts w:ascii="Arial" w:hAnsi="Arial" w:cs="Arial"/>
                <w:sz w:val="24"/>
              </w:rPr>
              <w:t>52,273.125</w:t>
            </w:r>
          </w:p>
          <w:p w:rsidR="00EF322D" w:rsidRPr="00E767E6" w:rsidP="00EF322D" w14:paraId="5946D9AB" w14:textId="77777777">
            <w:pPr>
              <w:pStyle w:val="ListParagraph"/>
              <w:ind w:left="0"/>
              <w:jc w:val="right"/>
              <w:rPr>
                <w:rFonts w:ascii="Arial" w:hAnsi="Arial" w:cs="Arial"/>
                <w:sz w:val="24"/>
              </w:rPr>
            </w:pPr>
          </w:p>
        </w:tc>
      </w:tr>
      <w:tr w14:paraId="56BEC366" w14:textId="77777777" w:rsidTr="00EC3830">
        <w:tblPrEx>
          <w:tblW w:w="5000" w:type="pct"/>
          <w:tblLayout w:type="fixed"/>
          <w:tblLook w:val="04A0"/>
        </w:tblPrEx>
        <w:tc>
          <w:tcPr>
            <w:tcW w:w="3954" w:type="pct"/>
            <w:gridSpan w:val="3"/>
          </w:tcPr>
          <w:p w:rsidR="00EF322D" w:rsidRPr="00E767E6" w:rsidP="00EF322D" w14:paraId="7D92128B" w14:textId="77777777">
            <w:pPr>
              <w:rPr>
                <w:rFonts w:ascii="Arial" w:hAnsi="Arial" w:cs="Arial"/>
                <w:b/>
                <w:color w:val="000000"/>
                <w:sz w:val="24"/>
              </w:rPr>
            </w:pPr>
            <w:r w:rsidRPr="00E767E6">
              <w:rPr>
                <w:rFonts w:ascii="Arial" w:hAnsi="Arial" w:cs="Arial"/>
                <w:b/>
                <w:sz w:val="24"/>
              </w:rPr>
              <w:t>Total per year:</w:t>
            </w:r>
          </w:p>
        </w:tc>
        <w:tc>
          <w:tcPr>
            <w:tcW w:w="1046" w:type="pct"/>
            <w:vAlign w:val="bottom"/>
          </w:tcPr>
          <w:p w:rsidR="00EF322D" w:rsidRPr="00E767E6" w:rsidP="00EF322D" w14:paraId="67DE5063" w14:textId="3CAE21C4">
            <w:pPr>
              <w:jc w:val="right"/>
              <w:rPr>
                <w:rFonts w:ascii="Arial" w:hAnsi="Arial" w:cs="Arial"/>
                <w:b/>
                <w:color w:val="000000"/>
                <w:sz w:val="24"/>
              </w:rPr>
            </w:pPr>
            <w:r w:rsidRPr="00E767E6">
              <w:rPr>
                <w:rFonts w:ascii="Arial" w:hAnsi="Arial" w:cs="Arial"/>
                <w:b/>
                <w:color w:val="000000"/>
                <w:sz w:val="24"/>
              </w:rPr>
              <w:t>$</w:t>
            </w:r>
            <w:r w:rsidRPr="00EC3830" w:rsidR="00EC3830">
              <w:rPr>
                <w:rFonts w:ascii="Arial" w:hAnsi="Arial" w:cs="Arial"/>
                <w:b/>
                <w:color w:val="000000"/>
                <w:sz w:val="24"/>
              </w:rPr>
              <w:t>4,052,273.125</w:t>
            </w:r>
          </w:p>
        </w:tc>
      </w:tr>
    </w:tbl>
    <w:p w:rsidR="009B3794" w:rsidRPr="00C45431" w:rsidP="00E42439" w14:paraId="22E2A398" w14:textId="77777777">
      <w:pPr>
        <w:numPr>
          <w:ilvl w:val="0"/>
          <w:numId w:val="13"/>
        </w:numPr>
        <w:spacing w:before="240"/>
        <w:rPr>
          <w:rFonts w:ascii="Arial" w:hAnsi="Arial" w:cs="Arial"/>
          <w:b/>
          <w:sz w:val="24"/>
        </w:rPr>
      </w:pPr>
      <w:r w:rsidRPr="165E32E8">
        <w:rPr>
          <w:rFonts w:ascii="Arial" w:hAnsi="Arial" w:cs="Arial"/>
          <w:b/>
          <w:bCs/>
          <w:sz w:val="24"/>
          <w:u w:val="single"/>
        </w:rPr>
        <w:t>Explanation for Program Changes or Adjustments</w:t>
      </w:r>
    </w:p>
    <w:p w:rsidR="00E962DB" w:rsidRPr="00C45431" w:rsidP="00CA3DA6" w14:paraId="22E2A39F" w14:textId="4581038B">
      <w:pPr>
        <w:pStyle w:val="BodyTextIndent"/>
        <w:spacing w:before="120"/>
        <w:ind w:left="360"/>
        <w:rPr>
          <w:rFonts w:ascii="Arial" w:hAnsi="Arial" w:cs="Arial"/>
        </w:rPr>
      </w:pPr>
      <w:r w:rsidRPr="00C45431">
        <w:rPr>
          <w:rFonts w:ascii="Arial" w:hAnsi="Arial" w:cs="Arial"/>
        </w:rPr>
        <w:t xml:space="preserve">This is a new </w:t>
      </w:r>
      <w:r w:rsidRPr="00C45431" w:rsidR="00FE6C30">
        <w:rPr>
          <w:rFonts w:ascii="Arial" w:hAnsi="Arial" w:cs="Arial"/>
        </w:rPr>
        <w:t>information</w:t>
      </w:r>
      <w:r w:rsidRPr="00C45431">
        <w:rPr>
          <w:rFonts w:ascii="Arial" w:hAnsi="Arial" w:cs="Arial"/>
        </w:rPr>
        <w:t xml:space="preserve"> collection.</w:t>
      </w:r>
      <w:r w:rsidR="006978E0">
        <w:rPr>
          <w:rFonts w:ascii="Arial" w:hAnsi="Arial" w:cs="Arial"/>
        </w:rPr>
        <w:t xml:space="preserve"> Ch</w:t>
      </w:r>
      <w:r w:rsidRPr="00C45431">
        <w:rPr>
          <w:rFonts w:ascii="Arial" w:hAnsi="Arial" w:cs="Arial"/>
        </w:rPr>
        <w:t xml:space="preserve">anges in cost burden </w:t>
      </w:r>
      <w:r w:rsidRPr="00C45431">
        <w:rPr>
          <w:rFonts w:ascii="Arial" w:hAnsi="Arial" w:cs="Arial"/>
        </w:rPr>
        <w:t>are not discussed</w:t>
      </w:r>
      <w:r w:rsidRPr="00C45431">
        <w:rPr>
          <w:rFonts w:ascii="Arial" w:hAnsi="Arial" w:cs="Arial"/>
        </w:rPr>
        <w:t xml:space="preserve"> in this section.</w:t>
      </w:r>
    </w:p>
    <w:p w:rsidR="009B3794" w:rsidRPr="0080221A" w:rsidP="00E42439" w14:paraId="22E2A3A0" w14:textId="77777777">
      <w:pPr>
        <w:numPr>
          <w:ilvl w:val="0"/>
          <w:numId w:val="13"/>
        </w:numPr>
        <w:spacing w:before="240"/>
        <w:rPr>
          <w:rFonts w:ascii="Arial" w:hAnsi="Arial" w:cs="Arial"/>
          <w:b/>
          <w:sz w:val="24"/>
        </w:rPr>
      </w:pPr>
      <w:r w:rsidRPr="165E32E8">
        <w:rPr>
          <w:rFonts w:ascii="Arial" w:hAnsi="Arial" w:cs="Arial"/>
          <w:b/>
          <w:bCs/>
          <w:sz w:val="24"/>
          <w:u w:val="single"/>
        </w:rPr>
        <w:t>Plans for Tabulation</w:t>
      </w:r>
      <w:r w:rsidRPr="165E32E8" w:rsidR="002118B4">
        <w:rPr>
          <w:rFonts w:ascii="Arial" w:hAnsi="Arial" w:cs="Arial"/>
          <w:b/>
          <w:bCs/>
          <w:sz w:val="24"/>
          <w:u w:val="single"/>
        </w:rPr>
        <w:t xml:space="preserve">, </w:t>
      </w:r>
      <w:r w:rsidRPr="165E32E8">
        <w:rPr>
          <w:rFonts w:ascii="Arial" w:hAnsi="Arial" w:cs="Arial"/>
          <w:b/>
          <w:bCs/>
          <w:sz w:val="24"/>
          <w:u w:val="single"/>
        </w:rPr>
        <w:t>Publication</w:t>
      </w:r>
      <w:r w:rsidRPr="165E32E8" w:rsidR="002118B4">
        <w:rPr>
          <w:rFonts w:ascii="Arial" w:hAnsi="Arial" w:cs="Arial"/>
          <w:b/>
          <w:bCs/>
          <w:sz w:val="24"/>
          <w:u w:val="single"/>
        </w:rPr>
        <w:t>,</w:t>
      </w:r>
      <w:r w:rsidRPr="165E32E8">
        <w:rPr>
          <w:rFonts w:ascii="Arial" w:hAnsi="Arial" w:cs="Arial"/>
          <w:b/>
          <w:bCs/>
          <w:sz w:val="24"/>
          <w:u w:val="single"/>
        </w:rPr>
        <w:t xml:space="preserve"> and Project Time Schedule</w:t>
      </w:r>
    </w:p>
    <w:p w:rsidR="00E767E6" w:rsidP="00E767E6" w14:paraId="6275D0D9" w14:textId="730751D3">
      <w:pPr>
        <w:spacing w:before="240"/>
        <w:ind w:left="360"/>
        <w:rPr>
          <w:rFonts w:ascii="Arial" w:hAnsi="Arial" w:cs="Arial"/>
          <w:sz w:val="24"/>
        </w:rPr>
      </w:pPr>
      <w:r>
        <w:rPr>
          <w:rFonts w:ascii="Arial" w:hAnsi="Arial" w:cs="Arial"/>
          <w:sz w:val="24"/>
        </w:rPr>
        <w:t xml:space="preserve">Information collected will not </w:t>
      </w:r>
      <w:r>
        <w:rPr>
          <w:rFonts w:ascii="Arial" w:hAnsi="Arial" w:cs="Arial"/>
          <w:sz w:val="24"/>
        </w:rPr>
        <w:t>be published</w:t>
      </w:r>
      <w:r>
        <w:rPr>
          <w:rFonts w:ascii="Arial" w:hAnsi="Arial" w:cs="Arial"/>
          <w:sz w:val="24"/>
        </w:rPr>
        <w:t xml:space="preserve"> or tabulated</w:t>
      </w:r>
      <w:r w:rsidR="00337A9C">
        <w:rPr>
          <w:rFonts w:ascii="Arial" w:hAnsi="Arial" w:cs="Arial"/>
          <w:sz w:val="24"/>
        </w:rPr>
        <w:t xml:space="preserve">.  The information collected in the 340B ADR process is confidential and proprietary in nature, therefore, cannot </w:t>
      </w:r>
      <w:r w:rsidR="00337A9C">
        <w:rPr>
          <w:rFonts w:ascii="Arial" w:hAnsi="Arial" w:cs="Arial"/>
          <w:sz w:val="24"/>
        </w:rPr>
        <w:t>be publicly disclosed</w:t>
      </w:r>
      <w:r w:rsidR="00337A9C">
        <w:rPr>
          <w:rFonts w:ascii="Arial" w:hAnsi="Arial" w:cs="Arial"/>
          <w:sz w:val="24"/>
        </w:rPr>
        <w:t>.</w:t>
      </w:r>
      <w:r w:rsidR="00E4029E">
        <w:rPr>
          <w:rFonts w:ascii="Arial" w:hAnsi="Arial" w:cs="Arial"/>
          <w:sz w:val="24"/>
        </w:rPr>
        <w:t xml:space="preserve"> </w:t>
      </w:r>
      <w:r w:rsidRPr="00817661" w:rsidR="00E4029E">
        <w:rPr>
          <w:rFonts w:ascii="Arial" w:hAnsi="Arial" w:cs="Arial"/>
          <w:sz w:val="24"/>
        </w:rPr>
        <w:t>The 340B statute</w:t>
      </w:r>
      <w:r w:rsidR="00E4029E">
        <w:rPr>
          <w:rFonts w:ascii="Arial" w:hAnsi="Arial" w:cs="Arial"/>
          <w:sz w:val="24"/>
        </w:rPr>
        <w:t xml:space="preserve"> (</w:t>
      </w:r>
      <w:r w:rsidRPr="005F5B88" w:rsidR="00E4029E">
        <w:rPr>
          <w:rFonts w:ascii="Arial" w:hAnsi="Arial" w:cs="Arial"/>
          <w:sz w:val="24"/>
        </w:rPr>
        <w:t>42 U.S.C. § 256b</w:t>
      </w:r>
      <w:r w:rsidR="00E4029E">
        <w:rPr>
          <w:rFonts w:ascii="Arial" w:hAnsi="Arial" w:cs="Arial"/>
          <w:sz w:val="24"/>
        </w:rPr>
        <w:t>(d)(1)(B)(iii)</w:t>
      </w:r>
      <w:r w:rsidRPr="005F5B88" w:rsidR="00E4029E">
        <w:rPr>
          <w:rFonts w:ascii="Arial" w:hAnsi="Arial" w:cs="Arial"/>
          <w:sz w:val="24"/>
        </w:rPr>
        <w:t>)</w:t>
      </w:r>
      <w:r w:rsidRPr="00817661" w:rsidR="00E4029E">
        <w:rPr>
          <w:rFonts w:ascii="Arial" w:hAnsi="Arial" w:cs="Arial"/>
          <w:sz w:val="24"/>
        </w:rPr>
        <w:t xml:space="preserve"> requires protection of privileged pricing data from unauthorized re-disclosure.</w:t>
      </w:r>
    </w:p>
    <w:p w:rsidR="009B3794" w:rsidRPr="00C45431" w:rsidP="00E767E6" w14:paraId="22E2A3A3" w14:textId="076C57ED">
      <w:pPr>
        <w:numPr>
          <w:ilvl w:val="0"/>
          <w:numId w:val="13"/>
        </w:numPr>
        <w:spacing w:before="240"/>
        <w:rPr>
          <w:rFonts w:ascii="Arial" w:hAnsi="Arial" w:cs="Arial"/>
          <w:b/>
          <w:sz w:val="24"/>
        </w:rPr>
      </w:pPr>
      <w:r w:rsidRPr="165E32E8">
        <w:rPr>
          <w:rFonts w:ascii="Arial" w:hAnsi="Arial" w:cs="Arial"/>
          <w:b/>
          <w:bCs/>
          <w:sz w:val="24"/>
          <w:u w:val="single"/>
        </w:rPr>
        <w:t>Reason(s) Display of OMB Expiration Date is Inappropriate</w:t>
      </w:r>
    </w:p>
    <w:p w:rsidR="009B3794" w:rsidRPr="005D78C7" w:rsidP="00CA3DA6" w14:paraId="22E2A3A4" w14:textId="28591F5E">
      <w:pPr>
        <w:pStyle w:val="BodyTextIndent"/>
        <w:spacing w:before="120"/>
        <w:ind w:left="360"/>
        <w:rPr>
          <w:rFonts w:ascii="Arial" w:hAnsi="Arial" w:cs="Arial"/>
          <w:bCs/>
        </w:rPr>
      </w:pPr>
      <w:r w:rsidRPr="005D78C7">
        <w:rPr>
          <w:rFonts w:ascii="Arial" w:hAnsi="Arial" w:cs="Arial"/>
          <w:bCs/>
        </w:rPr>
        <w:t xml:space="preserve">The OMB number and Expiration date will </w:t>
      </w:r>
      <w:r w:rsidRPr="005D78C7">
        <w:rPr>
          <w:rFonts w:ascii="Arial" w:hAnsi="Arial" w:cs="Arial"/>
          <w:bCs/>
        </w:rPr>
        <w:t>be displayed</w:t>
      </w:r>
      <w:r w:rsidRPr="005D78C7">
        <w:rPr>
          <w:rFonts w:ascii="Arial" w:hAnsi="Arial" w:cs="Arial"/>
          <w:bCs/>
        </w:rPr>
        <w:t xml:space="preserve"> on every page of every form/instrument.</w:t>
      </w:r>
    </w:p>
    <w:p w:rsidR="009B3794" w:rsidRPr="00C45431" w:rsidP="00E42439" w14:paraId="22E2A3A5" w14:textId="77777777">
      <w:pPr>
        <w:numPr>
          <w:ilvl w:val="0"/>
          <w:numId w:val="13"/>
        </w:numPr>
        <w:spacing w:before="240"/>
        <w:rPr>
          <w:rFonts w:ascii="Arial" w:hAnsi="Arial" w:cs="Arial"/>
          <w:b/>
          <w:sz w:val="24"/>
        </w:rPr>
      </w:pPr>
      <w:r w:rsidRPr="165E32E8">
        <w:rPr>
          <w:rFonts w:ascii="Arial" w:hAnsi="Arial" w:cs="Arial"/>
          <w:b/>
          <w:bCs/>
          <w:sz w:val="24"/>
          <w:u w:val="single"/>
        </w:rPr>
        <w:t>Exceptions to Certification for Paperwork Reduction Act Submissions</w:t>
      </w:r>
    </w:p>
    <w:p w:rsidR="00E846A8" w:rsidRPr="0080221A" w:rsidP="00CA3DA6" w14:paraId="3A105411" w14:textId="3DEA3EC2">
      <w:pPr>
        <w:pStyle w:val="BodyTextIndent"/>
        <w:spacing w:before="120"/>
        <w:ind w:left="360"/>
        <w:rPr>
          <w:rFonts w:ascii="Arial" w:hAnsi="Arial" w:cs="Arial"/>
          <w:bCs/>
        </w:rPr>
      </w:pPr>
      <w:r w:rsidRPr="0080221A">
        <w:rPr>
          <w:rFonts w:ascii="Arial" w:hAnsi="Arial" w:cs="Arial"/>
          <w:bCs/>
        </w:rPr>
        <w:t>There are no exceptions to the certification.</w:t>
      </w:r>
    </w:p>
    <w:sectPr w:rsidSect="001D4856">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356F19F7"/>
    <w:multiLevelType w:val="hybridMultilevel"/>
    <w:tmpl w:val="BA68B7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453962B6"/>
    <w:multiLevelType w:val="hybridMultilevel"/>
    <w:tmpl w:val="AB00D24E"/>
    <w:lvl w:ilvl="0">
      <w:start w:val="3"/>
      <w:numFmt w:val="decimal"/>
      <w:lvlText w:val="%1."/>
      <w:lvlJc w:val="left"/>
      <w:pPr>
        <w:ind w:left="1080" w:hanging="360"/>
      </w:pPr>
      <w:rPr>
        <w:rFonts w:hint="default"/>
        <w:b/>
        <w:bCs/>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4A1D7109"/>
    <w:multiLevelType w:val="hybridMultilevel"/>
    <w:tmpl w:val="462ED118"/>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5AA94C4C"/>
    <w:multiLevelType w:val="hybridMultilevel"/>
    <w:tmpl w:val="7A883268"/>
    <w:lvl w:ilvl="0">
      <w:start w:val="1"/>
      <w:numFmt w:val="bullet"/>
      <w:lvlText w:val=""/>
      <w:lvlJc w:val="left"/>
      <w:pPr>
        <w:tabs>
          <w:tab w:val="num" w:pos="1800"/>
        </w:tabs>
        <w:ind w:left="1800" w:hanging="360"/>
      </w:pPr>
      <w:rPr>
        <w:rFonts w:ascii="Symbol" w:hAnsi="Symbol" w:hint="default"/>
      </w:rPr>
    </w:lvl>
    <w:lvl w:ilvl="1">
      <w:start w:val="0"/>
      <w:numFmt w:val="bullet"/>
      <w:lvlText w:val="•"/>
      <w:lvlJc w:val="left"/>
      <w:pPr>
        <w:ind w:left="2520" w:hanging="360"/>
      </w:pPr>
      <w:rPr>
        <w:rFonts w:ascii="Arial" w:eastAsia="Times New Roman" w:hAnsi="Arial" w:cs="Arial"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8">
    <w:nsid w:val="5B7B54D5"/>
    <w:multiLevelType w:val="hybridMultilevel"/>
    <w:tmpl w:val="6980CE52"/>
    <w:lvl w:ilvl="0">
      <w:start w:val="12"/>
      <w:numFmt w:val="decimal"/>
      <w:lvlText w:val="%1."/>
      <w:lvlJc w:val="left"/>
      <w:pPr>
        <w:tabs>
          <w:tab w:val="num" w:pos="360"/>
        </w:tabs>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0">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79B974A1"/>
    <w:multiLevelType w:val="hybridMultilevel"/>
    <w:tmpl w:val="2DC2BE2C"/>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bCs/>
        <w:color w:val="auto"/>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num w:numId="1" w16cid:durableId="1665935422">
    <w:abstractNumId w:val="5"/>
  </w:num>
  <w:num w:numId="2" w16cid:durableId="1324817599">
    <w:abstractNumId w:val="6"/>
  </w:num>
  <w:num w:numId="3" w16cid:durableId="1508250948">
    <w:abstractNumId w:val="1"/>
  </w:num>
  <w:num w:numId="4" w16cid:durableId="1826044622">
    <w:abstractNumId w:val="9"/>
  </w:num>
  <w:num w:numId="5" w16cid:durableId="1320308753">
    <w:abstractNumId w:val="12"/>
  </w:num>
  <w:num w:numId="6" w16cid:durableId="2110732317">
    <w:abstractNumId w:val="11"/>
  </w:num>
  <w:num w:numId="7" w16cid:durableId="1412773934">
    <w:abstractNumId w:val="0"/>
  </w:num>
  <w:num w:numId="8" w16cid:durableId="1472015523">
    <w:abstractNumId w:val="10"/>
  </w:num>
  <w:num w:numId="9" w16cid:durableId="331832655">
    <w:abstractNumId w:val="2"/>
  </w:num>
  <w:num w:numId="10" w16cid:durableId="1804272224">
    <w:abstractNumId w:val="7"/>
  </w:num>
  <w:num w:numId="11" w16cid:durableId="1307128659">
    <w:abstractNumId w:val="4"/>
  </w:num>
  <w:num w:numId="12" w16cid:durableId="479421350">
    <w:abstractNumId w:val="3"/>
  </w:num>
  <w:num w:numId="13" w16cid:durableId="119157712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15505"/>
    <w:rsid w:val="00031F1E"/>
    <w:rsid w:val="00045124"/>
    <w:rsid w:val="0006577C"/>
    <w:rsid w:val="00074326"/>
    <w:rsid w:val="00097D8F"/>
    <w:rsid w:val="000A7A10"/>
    <w:rsid w:val="000B2934"/>
    <w:rsid w:val="000C2762"/>
    <w:rsid w:val="000D7585"/>
    <w:rsid w:val="000F6134"/>
    <w:rsid w:val="001325B2"/>
    <w:rsid w:val="00141C73"/>
    <w:rsid w:val="00163F2D"/>
    <w:rsid w:val="00175847"/>
    <w:rsid w:val="00184DD0"/>
    <w:rsid w:val="00191A76"/>
    <w:rsid w:val="001920C3"/>
    <w:rsid w:val="001C7C3C"/>
    <w:rsid w:val="001D4856"/>
    <w:rsid w:val="001F2465"/>
    <w:rsid w:val="002118B4"/>
    <w:rsid w:val="00244ABF"/>
    <w:rsid w:val="00260786"/>
    <w:rsid w:val="00260C1F"/>
    <w:rsid w:val="002640E7"/>
    <w:rsid w:val="00281924"/>
    <w:rsid w:val="002F555D"/>
    <w:rsid w:val="00311F91"/>
    <w:rsid w:val="003130C3"/>
    <w:rsid w:val="00317FF6"/>
    <w:rsid w:val="00322313"/>
    <w:rsid w:val="003324DB"/>
    <w:rsid w:val="00337A9C"/>
    <w:rsid w:val="003415D2"/>
    <w:rsid w:val="0035489D"/>
    <w:rsid w:val="00367117"/>
    <w:rsid w:val="00374BC1"/>
    <w:rsid w:val="00391E16"/>
    <w:rsid w:val="003A1EE6"/>
    <w:rsid w:val="003B5EAD"/>
    <w:rsid w:val="003D23B1"/>
    <w:rsid w:val="00422D7A"/>
    <w:rsid w:val="004624AF"/>
    <w:rsid w:val="0047031F"/>
    <w:rsid w:val="00472847"/>
    <w:rsid w:val="004746CA"/>
    <w:rsid w:val="00490720"/>
    <w:rsid w:val="0049750B"/>
    <w:rsid w:val="00497711"/>
    <w:rsid w:val="004A2E12"/>
    <w:rsid w:val="004E22BB"/>
    <w:rsid w:val="004E687D"/>
    <w:rsid w:val="00503BAB"/>
    <w:rsid w:val="00544C1A"/>
    <w:rsid w:val="00562853"/>
    <w:rsid w:val="00576B08"/>
    <w:rsid w:val="005C39C5"/>
    <w:rsid w:val="005D7625"/>
    <w:rsid w:val="005D78C7"/>
    <w:rsid w:val="005E1765"/>
    <w:rsid w:val="005F3A05"/>
    <w:rsid w:val="005F5B88"/>
    <w:rsid w:val="005F5F05"/>
    <w:rsid w:val="00617CF3"/>
    <w:rsid w:val="00622E8C"/>
    <w:rsid w:val="00624019"/>
    <w:rsid w:val="00627FFD"/>
    <w:rsid w:val="00640DDC"/>
    <w:rsid w:val="00656C44"/>
    <w:rsid w:val="0067208F"/>
    <w:rsid w:val="00680D76"/>
    <w:rsid w:val="006978E0"/>
    <w:rsid w:val="006A3EFE"/>
    <w:rsid w:val="006F5AD3"/>
    <w:rsid w:val="00707080"/>
    <w:rsid w:val="00710F56"/>
    <w:rsid w:val="007251B8"/>
    <w:rsid w:val="00725214"/>
    <w:rsid w:val="0073114C"/>
    <w:rsid w:val="00734A32"/>
    <w:rsid w:val="00760AF0"/>
    <w:rsid w:val="007C22E4"/>
    <w:rsid w:val="007C3E59"/>
    <w:rsid w:val="007C5D70"/>
    <w:rsid w:val="007E1E57"/>
    <w:rsid w:val="007F047A"/>
    <w:rsid w:val="008002AB"/>
    <w:rsid w:val="00800CD4"/>
    <w:rsid w:val="0080221A"/>
    <w:rsid w:val="00805D68"/>
    <w:rsid w:val="0081048B"/>
    <w:rsid w:val="00817661"/>
    <w:rsid w:val="00827FEA"/>
    <w:rsid w:val="008353B9"/>
    <w:rsid w:val="008425C7"/>
    <w:rsid w:val="008B04CA"/>
    <w:rsid w:val="008D2D67"/>
    <w:rsid w:val="008E0338"/>
    <w:rsid w:val="008F55C2"/>
    <w:rsid w:val="008F6C97"/>
    <w:rsid w:val="0091449C"/>
    <w:rsid w:val="00930258"/>
    <w:rsid w:val="00933A78"/>
    <w:rsid w:val="00935E77"/>
    <w:rsid w:val="009376AE"/>
    <w:rsid w:val="009576AC"/>
    <w:rsid w:val="00957B63"/>
    <w:rsid w:val="00972E8D"/>
    <w:rsid w:val="00981401"/>
    <w:rsid w:val="0098144D"/>
    <w:rsid w:val="0099454D"/>
    <w:rsid w:val="009B3794"/>
    <w:rsid w:val="009B38FA"/>
    <w:rsid w:val="009B7E4D"/>
    <w:rsid w:val="00A1688A"/>
    <w:rsid w:val="00A21AFD"/>
    <w:rsid w:val="00A46420"/>
    <w:rsid w:val="00A92CAB"/>
    <w:rsid w:val="00A937E5"/>
    <w:rsid w:val="00AA7ADE"/>
    <w:rsid w:val="00AB2A0B"/>
    <w:rsid w:val="00AC1BBA"/>
    <w:rsid w:val="00AC6BCE"/>
    <w:rsid w:val="00AE7154"/>
    <w:rsid w:val="00AE7F24"/>
    <w:rsid w:val="00B11B4F"/>
    <w:rsid w:val="00B162EC"/>
    <w:rsid w:val="00B21566"/>
    <w:rsid w:val="00B24553"/>
    <w:rsid w:val="00B336B2"/>
    <w:rsid w:val="00B6127B"/>
    <w:rsid w:val="00B61B64"/>
    <w:rsid w:val="00B655C6"/>
    <w:rsid w:val="00B65FEF"/>
    <w:rsid w:val="00B824D3"/>
    <w:rsid w:val="00B84BC7"/>
    <w:rsid w:val="00B917E6"/>
    <w:rsid w:val="00B9560A"/>
    <w:rsid w:val="00BA1A0C"/>
    <w:rsid w:val="00BC337B"/>
    <w:rsid w:val="00BF2F34"/>
    <w:rsid w:val="00C076B8"/>
    <w:rsid w:val="00C45431"/>
    <w:rsid w:val="00C51BB1"/>
    <w:rsid w:val="00C715F4"/>
    <w:rsid w:val="00C74B86"/>
    <w:rsid w:val="00C75735"/>
    <w:rsid w:val="00C87D51"/>
    <w:rsid w:val="00C96292"/>
    <w:rsid w:val="00C968F8"/>
    <w:rsid w:val="00CA3DA6"/>
    <w:rsid w:val="00CD3198"/>
    <w:rsid w:val="00CD36E7"/>
    <w:rsid w:val="00CE5AA9"/>
    <w:rsid w:val="00D11CA3"/>
    <w:rsid w:val="00D3219B"/>
    <w:rsid w:val="00D34624"/>
    <w:rsid w:val="00D46313"/>
    <w:rsid w:val="00D5631F"/>
    <w:rsid w:val="00D56CC2"/>
    <w:rsid w:val="00D70602"/>
    <w:rsid w:val="00D74B86"/>
    <w:rsid w:val="00D92E1D"/>
    <w:rsid w:val="00DA5AD6"/>
    <w:rsid w:val="00DC7B2C"/>
    <w:rsid w:val="00DD6CD9"/>
    <w:rsid w:val="00DE3A45"/>
    <w:rsid w:val="00E00CEE"/>
    <w:rsid w:val="00E01C79"/>
    <w:rsid w:val="00E06499"/>
    <w:rsid w:val="00E203FA"/>
    <w:rsid w:val="00E34A1F"/>
    <w:rsid w:val="00E4029E"/>
    <w:rsid w:val="00E42439"/>
    <w:rsid w:val="00E51C1B"/>
    <w:rsid w:val="00E54302"/>
    <w:rsid w:val="00E767E6"/>
    <w:rsid w:val="00E830FF"/>
    <w:rsid w:val="00E846A8"/>
    <w:rsid w:val="00E87554"/>
    <w:rsid w:val="00E94134"/>
    <w:rsid w:val="00E962DB"/>
    <w:rsid w:val="00E97256"/>
    <w:rsid w:val="00EC3830"/>
    <w:rsid w:val="00EC38CD"/>
    <w:rsid w:val="00ED18EA"/>
    <w:rsid w:val="00EE0DC7"/>
    <w:rsid w:val="00EE529C"/>
    <w:rsid w:val="00EF322D"/>
    <w:rsid w:val="00F109A3"/>
    <w:rsid w:val="00F206F9"/>
    <w:rsid w:val="00F4221E"/>
    <w:rsid w:val="00F4631B"/>
    <w:rsid w:val="00F57D7A"/>
    <w:rsid w:val="00F61037"/>
    <w:rsid w:val="00F73C3E"/>
    <w:rsid w:val="00F86A8D"/>
    <w:rsid w:val="00F90CAF"/>
    <w:rsid w:val="00F96D4E"/>
    <w:rsid w:val="00F9769E"/>
    <w:rsid w:val="00FA4D63"/>
    <w:rsid w:val="00FC36D4"/>
    <w:rsid w:val="00FE6C30"/>
    <w:rsid w:val="00FF16F0"/>
    <w:rsid w:val="01EA5112"/>
    <w:rsid w:val="05DAC311"/>
    <w:rsid w:val="07AE3047"/>
    <w:rsid w:val="08728CD3"/>
    <w:rsid w:val="0A5E7C83"/>
    <w:rsid w:val="0D994D30"/>
    <w:rsid w:val="0E0ACBB9"/>
    <w:rsid w:val="10078FFC"/>
    <w:rsid w:val="1315577C"/>
    <w:rsid w:val="14900830"/>
    <w:rsid w:val="154B072B"/>
    <w:rsid w:val="165E32E8"/>
    <w:rsid w:val="16C2AB28"/>
    <w:rsid w:val="188D7F91"/>
    <w:rsid w:val="18F994A4"/>
    <w:rsid w:val="1C1144AE"/>
    <w:rsid w:val="1E115928"/>
    <w:rsid w:val="1E65074B"/>
    <w:rsid w:val="1F3C05D7"/>
    <w:rsid w:val="20C17F92"/>
    <w:rsid w:val="211B3CE8"/>
    <w:rsid w:val="226427FE"/>
    <w:rsid w:val="23FFB1F1"/>
    <w:rsid w:val="247A87EE"/>
    <w:rsid w:val="26174355"/>
    <w:rsid w:val="2722816F"/>
    <w:rsid w:val="27B36988"/>
    <w:rsid w:val="286EC219"/>
    <w:rsid w:val="294B3E1F"/>
    <w:rsid w:val="299D149C"/>
    <w:rsid w:val="2AC830A8"/>
    <w:rsid w:val="2C475A69"/>
    <w:rsid w:val="2C86DAAB"/>
    <w:rsid w:val="2E22AB0C"/>
    <w:rsid w:val="2FD41F01"/>
    <w:rsid w:val="33736BE8"/>
    <w:rsid w:val="3397774D"/>
    <w:rsid w:val="3496344D"/>
    <w:rsid w:val="353E7CDE"/>
    <w:rsid w:val="363177AA"/>
    <w:rsid w:val="37490F4C"/>
    <w:rsid w:val="38044AD5"/>
    <w:rsid w:val="385F044C"/>
    <w:rsid w:val="39247135"/>
    <w:rsid w:val="39655DB3"/>
    <w:rsid w:val="39DCF087"/>
    <w:rsid w:val="3A1794D2"/>
    <w:rsid w:val="3A9AE59D"/>
    <w:rsid w:val="3AAACFA1"/>
    <w:rsid w:val="3B5998AE"/>
    <w:rsid w:val="3D514126"/>
    <w:rsid w:val="3EE8C9CA"/>
    <w:rsid w:val="4023E997"/>
    <w:rsid w:val="414BB8C9"/>
    <w:rsid w:val="418427F8"/>
    <w:rsid w:val="424B0A2E"/>
    <w:rsid w:val="42BBC51B"/>
    <w:rsid w:val="4501ACB9"/>
    <w:rsid w:val="45580B4E"/>
    <w:rsid w:val="478E6E4B"/>
    <w:rsid w:val="491A12DC"/>
    <w:rsid w:val="4B0CB098"/>
    <w:rsid w:val="4B6B47FF"/>
    <w:rsid w:val="4E2333CF"/>
    <w:rsid w:val="4EEE6132"/>
    <w:rsid w:val="51283871"/>
    <w:rsid w:val="52C408D2"/>
    <w:rsid w:val="52F6A4F2"/>
    <w:rsid w:val="54B5F461"/>
    <w:rsid w:val="56490E98"/>
    <w:rsid w:val="5718BB59"/>
    <w:rsid w:val="57991CC5"/>
    <w:rsid w:val="5806A097"/>
    <w:rsid w:val="5B249B61"/>
    <w:rsid w:val="5CABA241"/>
    <w:rsid w:val="5CC3F76A"/>
    <w:rsid w:val="5DC48748"/>
    <w:rsid w:val="5F479E86"/>
    <w:rsid w:val="5F7B7FC2"/>
    <w:rsid w:val="60E36EE7"/>
    <w:rsid w:val="6133D105"/>
    <w:rsid w:val="61BA9E96"/>
    <w:rsid w:val="62F3597A"/>
    <w:rsid w:val="639682CA"/>
    <w:rsid w:val="641B0FA9"/>
    <w:rsid w:val="6460DBA6"/>
    <w:rsid w:val="64B086A3"/>
    <w:rsid w:val="6981A5CD"/>
    <w:rsid w:val="6D1FA0A4"/>
    <w:rsid w:val="6DA8C992"/>
    <w:rsid w:val="6E0B11DA"/>
    <w:rsid w:val="6EB86ACA"/>
    <w:rsid w:val="7024F6F1"/>
    <w:rsid w:val="71D42D47"/>
    <w:rsid w:val="72B53B30"/>
    <w:rsid w:val="7350C0D6"/>
    <w:rsid w:val="73E01283"/>
    <w:rsid w:val="7400FFFD"/>
    <w:rsid w:val="75421A04"/>
    <w:rsid w:val="75577FAF"/>
    <w:rsid w:val="75B3DB77"/>
    <w:rsid w:val="75E35865"/>
    <w:rsid w:val="79A927C0"/>
    <w:rsid w:val="7A841AE0"/>
    <w:rsid w:val="7BE00DF2"/>
    <w:rsid w:val="7D9776A6"/>
    <w:rsid w:val="7F383D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5B016583-E704-4E8C-810C-32757536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uiPriority w:val="5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Revision">
    <w:name w:val="Revision"/>
    <w:hidden/>
    <w:uiPriority w:val="99"/>
    <w:semiHidden/>
    <w:rsid w:val="00045124"/>
    <w:rPr>
      <w:szCs w:val="24"/>
    </w:rPr>
  </w:style>
  <w:style w:type="paragraph" w:styleId="NormalWeb">
    <w:name w:val="Normal (Web)"/>
    <w:basedOn w:val="Normal"/>
    <w:uiPriority w:val="99"/>
    <w:semiHidden/>
    <w:unhideWhenUsed/>
    <w:rsid w:val="00141C73"/>
    <w:pPr>
      <w:widowControl/>
      <w:autoSpaceDE/>
      <w:autoSpaceDN/>
      <w:adjustRightInd/>
      <w:spacing w:before="100" w:beforeAutospacing="1" w:after="100" w:afterAutospacing="1"/>
    </w:pPr>
    <w:rPr>
      <w:sz w:val="24"/>
    </w:rPr>
  </w:style>
  <w:style w:type="character" w:styleId="CommentReference">
    <w:name w:val="annotation reference"/>
    <w:basedOn w:val="DefaultParagraphFont"/>
    <w:semiHidden/>
    <w:unhideWhenUsed/>
    <w:rsid w:val="00317FF6"/>
    <w:rPr>
      <w:sz w:val="16"/>
      <w:szCs w:val="16"/>
    </w:rPr>
  </w:style>
  <w:style w:type="paragraph" w:styleId="CommentText">
    <w:name w:val="annotation text"/>
    <w:basedOn w:val="Normal"/>
    <w:link w:val="CommentTextChar"/>
    <w:unhideWhenUsed/>
    <w:rsid w:val="00317FF6"/>
    <w:rPr>
      <w:szCs w:val="20"/>
    </w:rPr>
  </w:style>
  <w:style w:type="character" w:customStyle="1" w:styleId="CommentTextChar">
    <w:name w:val="Comment Text Char"/>
    <w:basedOn w:val="DefaultParagraphFont"/>
    <w:link w:val="CommentText"/>
    <w:rsid w:val="00317FF6"/>
  </w:style>
  <w:style w:type="paragraph" w:styleId="CommentSubject">
    <w:name w:val="annotation subject"/>
    <w:basedOn w:val="CommentText"/>
    <w:next w:val="CommentText"/>
    <w:link w:val="CommentSubjectChar"/>
    <w:semiHidden/>
    <w:unhideWhenUsed/>
    <w:rsid w:val="00317FF6"/>
    <w:rPr>
      <w:b/>
      <w:bCs/>
    </w:rPr>
  </w:style>
  <w:style w:type="character" w:customStyle="1" w:styleId="CommentSubjectChar">
    <w:name w:val="Comment Subject Char"/>
    <w:basedOn w:val="CommentTextChar"/>
    <w:link w:val="CommentSubject"/>
    <w:semiHidden/>
    <w:rsid w:val="00317FF6"/>
    <w:rPr>
      <w:b/>
      <w:bCs/>
    </w:rPr>
  </w:style>
  <w:style w:type="paragraph" w:styleId="Header">
    <w:name w:val="header"/>
    <w:basedOn w:val="Normal"/>
    <w:link w:val="HeaderChar"/>
    <w:unhideWhenUsed/>
    <w:rsid w:val="00E51C1B"/>
    <w:pPr>
      <w:tabs>
        <w:tab w:val="center" w:pos="4680"/>
        <w:tab w:val="right" w:pos="9360"/>
      </w:tabs>
    </w:pPr>
  </w:style>
  <w:style w:type="character" w:customStyle="1" w:styleId="HeaderChar">
    <w:name w:val="Header Char"/>
    <w:basedOn w:val="DefaultParagraphFont"/>
    <w:link w:val="Header"/>
    <w:rsid w:val="00E51C1B"/>
    <w:rPr>
      <w:szCs w:val="24"/>
    </w:rPr>
  </w:style>
  <w:style w:type="paragraph" w:styleId="Footer">
    <w:name w:val="footer"/>
    <w:basedOn w:val="Normal"/>
    <w:link w:val="FooterChar"/>
    <w:unhideWhenUsed/>
    <w:rsid w:val="00E51C1B"/>
    <w:pPr>
      <w:tabs>
        <w:tab w:val="center" w:pos="4680"/>
        <w:tab w:val="right" w:pos="9360"/>
      </w:tabs>
    </w:pPr>
  </w:style>
  <w:style w:type="character" w:customStyle="1" w:styleId="FooterChar">
    <w:name w:val="Footer Char"/>
    <w:basedOn w:val="DefaultParagraphFont"/>
    <w:link w:val="Footer"/>
    <w:rsid w:val="00E51C1B"/>
    <w:rPr>
      <w:szCs w:val="24"/>
    </w:rPr>
  </w:style>
  <w:style w:type="character" w:styleId="UnresolvedMention">
    <w:name w:val="Unresolved Mention"/>
    <w:basedOn w:val="DefaultParagraphFont"/>
    <w:uiPriority w:val="99"/>
    <w:semiHidden/>
    <w:unhideWhenUsed/>
    <w:rsid w:val="00957B63"/>
    <w:rPr>
      <w:color w:val="605E5C"/>
      <w:shd w:val="clear" w:color="auto" w:fill="E1DFDD"/>
    </w:rPr>
  </w:style>
  <w:style w:type="character" w:styleId="FollowedHyperlink">
    <w:name w:val="FollowedHyperlink"/>
    <w:basedOn w:val="DefaultParagraphFont"/>
    <w:semiHidden/>
    <w:unhideWhenUsed/>
    <w:rsid w:val="00800C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231011.ht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340BADR@hrsa.gov" TargetMode="External" /><Relationship Id="rId9" Type="http://schemas.openxmlformats.org/officeDocument/2006/relationships/hyperlink" Target="http://www.bls.gov/bls/blswage.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8c2e6f3-6ea4-42c3-835e-44e49d8f3a1e">5C3YEWZCVWVS-1743964322-46</_dlc_DocId>
    <_dlc_DocIdUrl xmlns="68c2e6f3-6ea4-42c3-835e-44e49d8f3a1e">
      <Url>https://nih.sharepoint.com/sites/HRSA-OA-OPAE/_layouts/15/DocIdRedir.aspx?ID=5C3YEWZCVWVS-1743964322-46</Url>
      <Description>5C3YEWZCVWVS-1743964322-46</Description>
    </_dlc_DocIdUrl>
    <CurrentVersion_x003f_ xmlns="b07d60d0-a851-40d7-ab0c-f280ece78be0">true</CurrentVersion_x003f_>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DD9414765D524DA28632E683BD9EE0" ma:contentTypeVersion="14" ma:contentTypeDescription="Create a new document." ma:contentTypeScope="" ma:versionID="8c496cd246f3dbbd023c04ab483ec1c9">
  <xsd:schema xmlns:xsd="http://www.w3.org/2001/XMLSchema" xmlns:xs="http://www.w3.org/2001/XMLSchema" xmlns:p="http://schemas.microsoft.com/office/2006/metadata/properties" xmlns:ns2="68c2e6f3-6ea4-42c3-835e-44e49d8f3a1e" xmlns:ns3="b07d60d0-a851-40d7-ab0c-f280ece78be0" targetNamespace="http://schemas.microsoft.com/office/2006/metadata/properties" ma:root="true" ma:fieldsID="89b24cc00e7195a6f940b7e2bae9361b" ns2:_="" ns3:_="">
    <xsd:import namespace="68c2e6f3-6ea4-42c3-835e-44e49d8f3a1e"/>
    <xsd:import namespace="b07d60d0-a851-40d7-ab0c-f280ece78be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CurrentVersion_x003f_"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7d60d0-a851-40d7-ab0c-f280ece78b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urrentVersion_x003f_" ma:index="13" nillable="true" ma:displayName="Current Version?" ma:default="1" ma:format="Dropdown" ma:internalName="CurrentVersion_x003f_">
      <xsd:simpleType>
        <xsd:restriction base="dms:Boolea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2.xml><?xml version="1.0" encoding="utf-8"?>
<ds:datastoreItem xmlns:ds="http://schemas.openxmlformats.org/officeDocument/2006/customXml" ds:itemID="{AEFB678B-6567-43A5-A073-A870486D66DF}">
  <ds:schemaRefs>
    <ds:schemaRef ds:uri="http://schemas.microsoft.com/sharepoint/events"/>
  </ds:schemaRefs>
</ds:datastoreItem>
</file>

<file path=customXml/itemProps3.xml><?xml version="1.0" encoding="utf-8"?>
<ds:datastoreItem xmlns:ds="http://schemas.openxmlformats.org/officeDocument/2006/customXml" ds:itemID="{B6409447-424B-46F1-97B6-0598EFE31B15}">
  <ds:schemaRefs>
    <ds:schemaRef ds:uri="http://purl.org/dc/elements/1.1/"/>
    <ds:schemaRef ds:uri="http://purl.org/dc/dcmitype/"/>
    <ds:schemaRef ds:uri="http://schemas.microsoft.com/office/infopath/2007/PartnerControls"/>
    <ds:schemaRef ds:uri="68c2e6f3-6ea4-42c3-835e-44e49d8f3a1e"/>
    <ds:schemaRef ds:uri="http://schemas.openxmlformats.org/package/2006/metadata/core-properties"/>
    <ds:schemaRef ds:uri="b07d60d0-a851-40d7-ab0c-f280ece78be0"/>
    <ds:schemaRef ds:uri="http://schemas.microsoft.com/office/2006/documentManagement/type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A3968C1B-ABD6-487D-AAD9-6BC42A8E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b07d60d0-a851-40d7-ab0c-f280ece78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19</TotalTime>
  <Pages>6</Pages>
  <Words>1679</Words>
  <Characters>9650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HRSA</cp:lastModifiedBy>
  <cp:revision>10</cp:revision>
  <cp:lastPrinted>2010-10-14T16:41:00Z</cp:lastPrinted>
  <dcterms:created xsi:type="dcterms:W3CDTF">2024-12-23T15:43:00Z</dcterms:created>
  <dcterms:modified xsi:type="dcterms:W3CDTF">2025-01-16T13:51:00Z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0x01010047DD9414765D524DA28632E683BD9EE0</vt:lpwstr>
  </property>
  <property fmtid="{D5CDD505-2E9C-101B-9397-08002B2CF9AE}" pid="3" name="Order">
    <vt:r8>4600</vt:r8>
  </property>
  <property fmtid="{D5CDD505-2E9C-101B-9397-08002B2CF9AE}" pid="4" name="TaxKeyword">
    <vt:lpwstr/>
  </property>
  <property fmtid="{D5CDD505-2E9C-101B-9397-08002B2CF9AE}" pid="5" name="_dlc_DocIdItemGuid">
    <vt:lpwstr>a5288f88-10e6-4cfc-b686-2c79f560a9ba</vt:lpwstr>
  </property>
</Properties>
</file>