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7692" w:rsidRPr="00E77692" w:rsidP="00E77692" w14:paraId="6DB5B27F" w14:textId="761DAAEA">
      <w:pPr>
        <w:tabs>
          <w:tab w:val="center" w:pos="4680"/>
        </w:tabs>
        <w:spacing w:after="240"/>
        <w:jc w:val="center"/>
        <w:rPr>
          <w:rFonts w:asciiTheme="minorHAnsi" w:hAnsiTheme="minorHAnsi"/>
          <w:b/>
          <w:bCs/>
          <w:sz w:val="28"/>
          <w:szCs w:val="22"/>
        </w:rPr>
      </w:pPr>
      <w:r w:rsidRPr="00E77692">
        <w:rPr>
          <w:rFonts w:asciiTheme="minorHAnsi" w:hAnsiTheme="minorHAnsi"/>
          <w:b/>
          <w:bCs/>
          <w:sz w:val="28"/>
          <w:szCs w:val="22"/>
        </w:rPr>
        <w:t>Supporting Statement A</w:t>
      </w:r>
    </w:p>
    <w:p w:rsidR="001C0F29" w:rsidP="001C0F29" w14:paraId="59F372E1" w14:textId="2E1CF596">
      <w:pPr>
        <w:pStyle w:val="NoSpacing"/>
        <w:jc w:val="center"/>
        <w:rPr>
          <w:b/>
          <w:sz w:val="28"/>
        </w:rPr>
      </w:pPr>
      <w:r w:rsidRPr="00B240CF">
        <w:rPr>
          <w:b/>
          <w:sz w:val="28"/>
        </w:rPr>
        <w:t>Maternal and Child Health (MCH) Jurisdictional Survey Instrument for the Title V MCH Block Grant Program, OMB No. 0906-0042 – Revision</w:t>
      </w:r>
    </w:p>
    <w:p w:rsidR="00B240CF" w:rsidRPr="00976CE3" w:rsidP="001C0F29" w14:paraId="4E92DE5F" w14:textId="77777777">
      <w:pPr>
        <w:pStyle w:val="NoSpacing"/>
        <w:jc w:val="center"/>
        <w:rPr>
          <w:b/>
        </w:rPr>
      </w:pPr>
    </w:p>
    <w:p w:rsidR="001C0F29" w:rsidRPr="00976CE3" w:rsidP="001C0F29" w14:paraId="6B8B0E28" w14:textId="77777777">
      <w:pPr>
        <w:pStyle w:val="NoSpacing"/>
        <w:rPr>
          <w:b/>
        </w:rPr>
      </w:pPr>
      <w:r w:rsidRPr="00976CE3">
        <w:rPr>
          <w:b/>
        </w:rPr>
        <w:t>Terms of Clearance: None</w:t>
      </w:r>
    </w:p>
    <w:p w:rsidR="001C0F29" w:rsidRPr="00976CE3" w:rsidP="001C0F29" w14:paraId="50AB0E5D" w14:textId="77777777">
      <w:pPr>
        <w:pStyle w:val="NoSpacing"/>
        <w:rPr>
          <w:b/>
        </w:rPr>
      </w:pPr>
    </w:p>
    <w:p w:rsidR="001C0F29" w:rsidRPr="00976CE3" w:rsidP="001C0F29" w14:paraId="4D52ED1C" w14:textId="77777777">
      <w:pPr>
        <w:pStyle w:val="NoSpacing"/>
        <w:numPr>
          <w:ilvl w:val="0"/>
          <w:numId w:val="4"/>
        </w:numPr>
        <w:rPr>
          <w:b/>
        </w:rPr>
      </w:pPr>
      <w:r w:rsidRPr="00976CE3">
        <w:rPr>
          <w:b/>
        </w:rPr>
        <w:t>Justification</w:t>
      </w:r>
    </w:p>
    <w:p w:rsidR="001C0F29" w:rsidRPr="00976CE3" w:rsidP="001C0F29" w14:paraId="015F3786" w14:textId="77777777">
      <w:pPr>
        <w:pStyle w:val="NoSpacing"/>
        <w:ind w:left="360"/>
        <w:rPr>
          <w:b/>
        </w:rPr>
      </w:pPr>
    </w:p>
    <w:p w:rsidR="001C0F29" w:rsidRPr="005307EF" w:rsidP="001C0F29" w14:paraId="3CE1B5D2" w14:textId="77777777">
      <w:pPr>
        <w:pStyle w:val="NoSpacing"/>
        <w:numPr>
          <w:ilvl w:val="0"/>
          <w:numId w:val="5"/>
        </w:numPr>
        <w:rPr>
          <w:b/>
          <w:u w:val="single"/>
        </w:rPr>
      </w:pPr>
      <w:r w:rsidRPr="005307EF">
        <w:rPr>
          <w:b/>
          <w:u w:val="single"/>
        </w:rPr>
        <w:t>Circumstances Making the Collection of Information Necessary</w:t>
      </w:r>
    </w:p>
    <w:p w:rsidR="00965915" w:rsidP="001C0F29" w14:paraId="44B63B89" w14:textId="77777777">
      <w:pPr>
        <w:pStyle w:val="NoSpacing"/>
      </w:pPr>
    </w:p>
    <w:p w:rsidR="00145656" w:rsidRPr="005307EF" w:rsidP="001C0F29" w14:paraId="060DBA36" w14:textId="0BA2A0C4">
      <w:pPr>
        <w:pStyle w:val="NoSpacing"/>
      </w:pPr>
      <w:r>
        <w:t xml:space="preserve">HRSA is requesting OMB approval to </w:t>
      </w:r>
      <w:r w:rsidR="00A06E6C">
        <w:t xml:space="preserve">revise and </w:t>
      </w:r>
      <w:r w:rsidR="00046922">
        <w:t>continue</w:t>
      </w:r>
      <w:r w:rsidRPr="0054475D">
        <w:t xml:space="preserve"> information collection activity </w:t>
      </w:r>
      <w:r>
        <w:t>for the Maternal and Child Health (MCH) Jurisdictional Survey</w:t>
      </w:r>
      <w:r w:rsidRPr="0054475D">
        <w:t xml:space="preserve"> </w:t>
      </w:r>
      <w:r>
        <w:t xml:space="preserve">for an additional three (3) years </w:t>
      </w:r>
      <w:r w:rsidRPr="0054475D">
        <w:t xml:space="preserve">beyond the period approved </w:t>
      </w:r>
      <w:r>
        <w:t xml:space="preserve">under control number </w:t>
      </w:r>
      <w:r w:rsidRPr="0054475D">
        <w:t>0906-0042</w:t>
      </w:r>
      <w:r>
        <w:t xml:space="preserve">. </w:t>
      </w:r>
      <w:r w:rsidR="00046922">
        <w:t xml:space="preserve">Continuing </w:t>
      </w:r>
      <w:r>
        <w:t xml:space="preserve">the survey will improve the collecting, monitoring, and reporting of key MCH indicators over time. </w:t>
      </w:r>
      <w:r w:rsidRPr="005307EF" w:rsidR="00447641">
        <w:t>T</w:t>
      </w:r>
      <w:r w:rsidRPr="005307EF">
        <w:t xml:space="preserve">he </w:t>
      </w:r>
      <w:r w:rsidRPr="005307EF" w:rsidR="00A82C88">
        <w:t xml:space="preserve">mission of the </w:t>
      </w:r>
      <w:r w:rsidRPr="005307EF">
        <w:t>Maternal and Child Health (MCH) Block Grant Program, as authorized under Title V of the Social Security Act, is to improve the health of all mothers, children, and their families. Through the MCH Block Grant, the Maternal and Child Health Bureau (MCHB), Health Resources and Services Administration (HRSA) distributes funding to 59 states and jurisdictions</w:t>
      </w:r>
      <w:r w:rsidRPr="005307EF" w:rsidR="005D52B5">
        <w:t xml:space="preserve"> </w:t>
      </w:r>
      <w:r w:rsidR="003E5C15">
        <w:t xml:space="preserve">and </w:t>
      </w:r>
      <w:r w:rsidRPr="006D5441">
        <w:t>provides oversight by requiring states</w:t>
      </w:r>
      <w:r w:rsidRPr="006D5441" w:rsidR="005D52B5">
        <w:t xml:space="preserve"> and jurisdictions</w:t>
      </w:r>
      <w:r w:rsidRPr="006D5441">
        <w:t xml:space="preserve"> to report progress annually on key MCH </w:t>
      </w:r>
      <w:r w:rsidRPr="006D5441" w:rsidR="00FE566F">
        <w:t>outcome and performance</w:t>
      </w:r>
      <w:r w:rsidRPr="006D5441">
        <w:t xml:space="preserve"> measures in the MCH Block Grant Application/Annual Report</w:t>
      </w:r>
      <w:r w:rsidRPr="006D5441" w:rsidR="0059063D">
        <w:t xml:space="preserve">. In addition, </w:t>
      </w:r>
      <w:r w:rsidRPr="006D5441">
        <w:t xml:space="preserve">technical assistance </w:t>
      </w:r>
      <w:r w:rsidRPr="006D5441" w:rsidR="0059063D">
        <w:t xml:space="preserve">is offered </w:t>
      </w:r>
      <w:r w:rsidRPr="006D5441">
        <w:t>to states</w:t>
      </w:r>
      <w:r w:rsidRPr="006D5441" w:rsidR="005D52B5">
        <w:t xml:space="preserve"> and </w:t>
      </w:r>
      <w:r w:rsidR="00CF5A04">
        <w:t xml:space="preserve">eight </w:t>
      </w:r>
      <w:r w:rsidRPr="006D5441" w:rsidR="005D52B5">
        <w:t>jurisdictions</w:t>
      </w:r>
      <w:r w:rsidRPr="006D5441">
        <w:t xml:space="preserve"> </w:t>
      </w:r>
      <w:r w:rsidRPr="00CF5A04" w:rsidR="00CF5A04">
        <w:t xml:space="preserve">(i.e., American Samoa, Guam, the Commonwealth of the Northern Mariana Islands, the Republic of Palau, Puerto Rico, the Republic of the Marshall Islands, the Federated States of Micronesia, and U.S. Virgin Islands) </w:t>
      </w:r>
      <w:r w:rsidRPr="006D5441">
        <w:t>to improve performance. Each state</w:t>
      </w:r>
      <w:r w:rsidRPr="006D5441" w:rsidR="005D52B5">
        <w:t xml:space="preserve"> and jurisdiction</w:t>
      </w:r>
      <w:r w:rsidRPr="006D5441">
        <w:t xml:space="preserve"> is responsible for determining its MCH priorities, based on the findings of a comprehensive Needs Assessment every five years, targeting funds to address the identified priorities and reporting annually on its progress in the MCH Block Grant Application/Annual Report. The MCH Block Grant emphasizes accountability in ensuring that States </w:t>
      </w:r>
      <w:r w:rsidRPr="006D5441" w:rsidR="0026749A">
        <w:t xml:space="preserve">and Jurisdictions </w:t>
      </w:r>
      <w:r w:rsidRPr="006D5441">
        <w:t>meet the legislative and program</w:t>
      </w:r>
      <w:r w:rsidRPr="005307EF">
        <w:t>matic requirements while providing appropriate flexibility for each State</w:t>
      </w:r>
      <w:r w:rsidRPr="005307EF" w:rsidR="0026749A">
        <w:t xml:space="preserve"> and Jurisdiction</w:t>
      </w:r>
      <w:r w:rsidRPr="005307EF">
        <w:t xml:space="preserve"> to address the unique needs of its MCH population.</w:t>
      </w:r>
    </w:p>
    <w:p w:rsidR="00965915" w:rsidRPr="005307EF" w:rsidP="001C0F29" w14:paraId="099F7D85" w14:textId="77777777">
      <w:pPr>
        <w:pStyle w:val="NoSpacing"/>
      </w:pPr>
    </w:p>
    <w:p w:rsidR="00B54EE1" w:rsidP="001C0F29" w14:paraId="6DEE64EA" w14:textId="0DFD2397">
      <w:pPr>
        <w:pStyle w:val="NoSpacing"/>
      </w:pPr>
      <w:r w:rsidRPr="005307EF">
        <w:t>MCHB established a performance measure framework in 2015 to enable states</w:t>
      </w:r>
      <w:r w:rsidRPr="005307EF" w:rsidR="0026749A">
        <w:t xml:space="preserve"> and jurisdictions</w:t>
      </w:r>
      <w:r w:rsidRPr="005307EF">
        <w:t xml:space="preserve"> to demonstrate the impacts of </w:t>
      </w:r>
      <w:r w:rsidRPr="00D51411" w:rsidR="00D51411">
        <w:t>MCH Block Grant</w:t>
      </w:r>
      <w:r w:rsidRPr="005307EF">
        <w:t xml:space="preserve"> </w:t>
      </w:r>
      <w:r w:rsidRPr="005307EF" w:rsidR="002209B2">
        <w:t xml:space="preserve">funding </w:t>
      </w:r>
      <w:r w:rsidRPr="005307EF">
        <w:t>on selected health outcomes within a state</w:t>
      </w:r>
      <w:r w:rsidRPr="005307EF" w:rsidR="0026749A">
        <w:t xml:space="preserve"> or jurisdiction</w:t>
      </w:r>
      <w:r w:rsidRPr="005307EF">
        <w:t xml:space="preserve">. </w:t>
      </w:r>
      <w:r w:rsidRPr="005307EF" w:rsidR="008C3451">
        <w:t xml:space="preserve">Each state or jurisdiction uses this framework in supporting the development of a </w:t>
      </w:r>
      <w:r w:rsidR="00792F0F">
        <w:t>5</w:t>
      </w:r>
      <w:r w:rsidRPr="005307EF" w:rsidR="008C3451">
        <w:t>-year Action Plan that addresses its MCH priority needs</w:t>
      </w:r>
      <w:r w:rsidRPr="005307EF">
        <w:t>.</w:t>
      </w:r>
      <w:r w:rsidR="00AA0158">
        <w:t xml:space="preserve"> </w:t>
      </w:r>
      <w:r w:rsidRPr="005307EF">
        <w:t xml:space="preserve">Each measure, tied to a national data source, allows for more timely, reliable, and valid data reporting. </w:t>
      </w:r>
      <w:r w:rsidR="00872B9B">
        <w:t>T</w:t>
      </w:r>
      <w:r w:rsidRPr="005307EF">
        <w:t>o reduce burden</w:t>
      </w:r>
      <w:r w:rsidRPr="005307EF" w:rsidR="005358A2">
        <w:t>,</w:t>
      </w:r>
      <w:r w:rsidRPr="005307EF">
        <w:t xml:space="preserve"> MCHB gathers and </w:t>
      </w:r>
      <w:r w:rsidRPr="005307EF" w:rsidR="005358A2">
        <w:t xml:space="preserve">makes </w:t>
      </w:r>
      <w:r w:rsidRPr="005307EF">
        <w:t xml:space="preserve">available </w:t>
      </w:r>
      <w:r w:rsidRPr="005307EF" w:rsidR="005358A2">
        <w:t>to states</w:t>
      </w:r>
      <w:r w:rsidRPr="005307EF" w:rsidR="005D25FB">
        <w:t xml:space="preserve"> and </w:t>
      </w:r>
      <w:r w:rsidRPr="005307EF" w:rsidR="005358A2">
        <w:t xml:space="preserve">jurisdictions </w:t>
      </w:r>
      <w:r w:rsidRPr="005307EF">
        <w:t>Federally Available Data (FAD)</w:t>
      </w:r>
      <w:r w:rsidRPr="005307EF" w:rsidR="005358A2">
        <w:t xml:space="preserve"> that derives from national data sources</w:t>
      </w:r>
      <w:r w:rsidRPr="005307EF">
        <w:t>.</w:t>
      </w:r>
      <w:r w:rsidRPr="005307EF" w:rsidR="005358A2">
        <w:t xml:space="preserve"> </w:t>
      </w:r>
      <w:r w:rsidRPr="005307EF" w:rsidR="00BC1E9E">
        <w:t xml:space="preserve">Such national sources </w:t>
      </w:r>
      <w:r w:rsidR="008166B8">
        <w:t xml:space="preserve">previously </w:t>
      </w:r>
      <w:r w:rsidRPr="005307EF" w:rsidR="005D25FB">
        <w:t>include</w:t>
      </w:r>
      <w:r w:rsidR="008166B8">
        <w:t>d</w:t>
      </w:r>
      <w:r w:rsidRPr="005307EF" w:rsidR="005D25FB">
        <w:t xml:space="preserve"> only limited </w:t>
      </w:r>
      <w:r w:rsidRPr="005307EF" w:rsidR="00BC1E9E">
        <w:t xml:space="preserve">data from the </w:t>
      </w:r>
      <w:r w:rsidRPr="005307EF" w:rsidR="005358A2">
        <w:t>eight jurisdictions</w:t>
      </w:r>
      <w:r w:rsidRPr="005307EF" w:rsidR="00BC1E9E">
        <w:t xml:space="preserve">. </w:t>
      </w:r>
      <w:r w:rsidR="00BC5E82">
        <w:t xml:space="preserve">For example, the National Survey of Children’s Health is only fielded in the United States and does not collect data on maternal and child health in the jurisdictions. </w:t>
      </w:r>
      <w:r w:rsidRPr="005307EF" w:rsidR="00BC1E9E">
        <w:t xml:space="preserve">In the absence of FAD, jurisdictions </w:t>
      </w:r>
      <w:r w:rsidR="00834061">
        <w:t>were</w:t>
      </w:r>
      <w:r w:rsidRPr="005307EF" w:rsidR="00BC1E9E">
        <w:t xml:space="preserve"> required to report proxy data from an alternate data source </w:t>
      </w:r>
      <w:r w:rsidRPr="005307EF" w:rsidR="005D25FB">
        <w:t>with</w:t>
      </w:r>
      <w:r w:rsidRPr="005307EF" w:rsidR="00BC1E9E">
        <w:t xml:space="preserve">in the jurisdiction. </w:t>
      </w:r>
      <w:r w:rsidRPr="005307EF" w:rsidR="005D25FB">
        <w:t xml:space="preserve">This </w:t>
      </w:r>
      <w:r w:rsidRPr="005307EF" w:rsidR="00BC1E9E">
        <w:t>data reporting impose</w:t>
      </w:r>
      <w:r w:rsidR="00AA49AE">
        <w:t>d</w:t>
      </w:r>
      <w:r w:rsidRPr="005307EF" w:rsidR="00BC1E9E">
        <w:t xml:space="preserve"> time and cost burden on jurisdictional grantees</w:t>
      </w:r>
      <w:r w:rsidRPr="005307EF" w:rsidR="005D25FB">
        <w:t>,</w:t>
      </w:r>
      <w:r w:rsidRPr="005307EF" w:rsidR="00BC1E9E">
        <w:t xml:space="preserve"> in addition to </w:t>
      </w:r>
      <w:r w:rsidRPr="005307EF" w:rsidR="005D25FB">
        <w:t xml:space="preserve">reducing the standardization and quality of performance measure data </w:t>
      </w:r>
      <w:r w:rsidRPr="005307EF" w:rsidR="00BC1E9E">
        <w:t>across the 59 state/jurisdictional MCH Block Grantees.</w:t>
      </w:r>
      <w:r w:rsidRPr="005307EF" w:rsidR="00F75E1F">
        <w:t xml:space="preserve"> </w:t>
      </w:r>
      <w:r w:rsidRPr="005307EF" w:rsidR="00A75BEA">
        <w:t>The lack of data ma</w:t>
      </w:r>
      <w:r w:rsidR="00AA49AE">
        <w:t>d</w:t>
      </w:r>
      <w:r w:rsidRPr="005307EF" w:rsidR="00A75BEA">
        <w:t xml:space="preserve">e it difficult for the </w:t>
      </w:r>
      <w:r w:rsidRPr="005307EF" w:rsidR="00102CED">
        <w:t xml:space="preserve">jurisdictions to assess the impact of their </w:t>
      </w:r>
      <w:r w:rsidRPr="00AA49AE" w:rsidR="00AA49AE">
        <w:t>MCH Block Grant</w:t>
      </w:r>
      <w:r w:rsidRPr="005307EF" w:rsidR="00102CED">
        <w:t xml:space="preserve">, and the </w:t>
      </w:r>
      <w:r w:rsidRPr="005307EF" w:rsidR="00A75BEA">
        <w:t xml:space="preserve">Federal program office to report to Congress on the jurisdictions’ </w:t>
      </w:r>
      <w:r w:rsidRPr="00231EAD" w:rsidR="00231EAD">
        <w:t>MCH Block Grant</w:t>
      </w:r>
      <w:r w:rsidR="00231EAD">
        <w:t xml:space="preserve"> </w:t>
      </w:r>
      <w:r w:rsidRPr="005307EF" w:rsidR="00A75BEA">
        <w:t xml:space="preserve">accomplishments. </w:t>
      </w:r>
    </w:p>
    <w:p w:rsidR="00B54EE1" w:rsidP="001C0F29" w14:paraId="09C11DFD" w14:textId="77777777">
      <w:pPr>
        <w:pStyle w:val="NoSpacing"/>
      </w:pPr>
    </w:p>
    <w:p w:rsidR="00FE566F" w:rsidP="001C0F29" w14:paraId="10DF2C1C" w14:textId="764B8592">
      <w:pPr>
        <w:pStyle w:val="NoSpacing"/>
      </w:pPr>
      <w:r>
        <w:t xml:space="preserve">When establishing the performance measure framework, MCHB made a commitment to </w:t>
      </w:r>
      <w:r w:rsidR="00BF2B1F">
        <w:t>establish and support</w:t>
      </w:r>
      <w:r w:rsidR="00A33AE6">
        <w:t xml:space="preserve"> </w:t>
      </w:r>
      <w:r>
        <w:t>data</w:t>
      </w:r>
      <w:r w:rsidR="00A33AE6">
        <w:t xml:space="preserve"> collection </w:t>
      </w:r>
      <w:r>
        <w:t xml:space="preserve">on </w:t>
      </w:r>
      <w:r w:rsidR="0053633F">
        <w:t xml:space="preserve">key indicators of </w:t>
      </w:r>
      <w:r>
        <w:t>maternal and child health in the jurisdictions</w:t>
      </w:r>
      <w:r w:rsidR="006F004A">
        <w:t xml:space="preserve"> through </w:t>
      </w:r>
      <w:r w:rsidR="00DA25B3">
        <w:t xml:space="preserve">the </w:t>
      </w:r>
      <w:r w:rsidR="00DA25B3">
        <w:t>MCH Jurisdictional Survey</w:t>
      </w:r>
      <w:r w:rsidR="00A33AE6">
        <w:t>.</w:t>
      </w:r>
      <w:r w:rsidR="0053633F">
        <w:t xml:space="preserve"> The data from the survey </w:t>
      </w:r>
      <w:r w:rsidR="00D06AF3">
        <w:t>is</w:t>
      </w:r>
      <w:r w:rsidR="0053633F">
        <w:t xml:space="preserve"> prepopulated in the </w:t>
      </w:r>
      <w:r w:rsidR="004B5553">
        <w:t xml:space="preserve">Title V </w:t>
      </w:r>
      <w:r w:rsidR="0053633F">
        <w:t>Information System, which reduces the reporting burden on the jurisdictions and mimics what is done for the states.</w:t>
      </w:r>
      <w:r w:rsidR="006F5399">
        <w:t xml:space="preserve"> </w:t>
      </w:r>
      <w:r w:rsidRPr="00942647" w:rsidR="00942647">
        <w:t>Specifically, the survey capture</w:t>
      </w:r>
      <w:r w:rsidR="00D06AF3">
        <w:t>s</w:t>
      </w:r>
      <w:r w:rsidRPr="00942647" w:rsidR="00942647">
        <w:t xml:space="preserve"> data for the following measures</w:t>
      </w:r>
      <w:r>
        <w:t>:</w:t>
      </w:r>
    </w:p>
    <w:p w:rsidR="00FE566F" w:rsidP="001C0F29" w14:paraId="3B188318" w14:textId="71947773">
      <w:pPr>
        <w:pStyle w:val="NoSpacing"/>
      </w:pPr>
    </w:p>
    <w:p w:rsidR="00857A2B" w:rsidP="001C0F29" w14:paraId="67B7667E" w14:textId="45F12F6B">
      <w:pPr>
        <w:pStyle w:val="NoSpacing"/>
      </w:pPr>
      <w:r>
        <w:t>National Outcome Measures</w:t>
      </w:r>
      <w:r w:rsidR="00C73A68">
        <w:t xml:space="preserve"> (NOMs)</w:t>
      </w:r>
    </w:p>
    <w:p w:rsidR="00DA25B3" w:rsidP="006D5441" w14:paraId="68315F22" w14:textId="5E08D29A">
      <w:pPr>
        <w:pStyle w:val="NoSpacing"/>
        <w:numPr>
          <w:ilvl w:val="0"/>
          <w:numId w:val="21"/>
        </w:numPr>
        <w:ind w:left="360"/>
      </w:pPr>
      <w:r>
        <w:t xml:space="preserve">Percent of low birth weight deliveries (&lt;2,500 grams) </w:t>
      </w:r>
    </w:p>
    <w:p w:rsidR="00DA25B3" w:rsidP="006D5441" w14:paraId="491B9AF4" w14:textId="13845383">
      <w:pPr>
        <w:pStyle w:val="NoSpacing"/>
        <w:numPr>
          <w:ilvl w:val="0"/>
          <w:numId w:val="21"/>
        </w:numPr>
        <w:ind w:left="360"/>
      </w:pPr>
      <w:r>
        <w:t xml:space="preserve">Percent of early term births (37,38 weeks gestation) </w:t>
      </w:r>
    </w:p>
    <w:p w:rsidR="00DA25B3" w:rsidP="006D5441" w14:paraId="18E5B3C1" w14:textId="35689308">
      <w:pPr>
        <w:pStyle w:val="NoSpacing"/>
        <w:numPr>
          <w:ilvl w:val="0"/>
          <w:numId w:val="21"/>
        </w:numPr>
        <w:ind w:left="360"/>
      </w:pPr>
      <w:r>
        <w:t>P</w:t>
      </w:r>
      <w:r>
        <w:t xml:space="preserve">ercent of children, ages 1 through 17, who have decayed teeth or cavities in the past year </w:t>
      </w:r>
    </w:p>
    <w:p w:rsidR="00DA25B3" w:rsidP="006D5441" w14:paraId="577933B7" w14:textId="014E40DC">
      <w:pPr>
        <w:pStyle w:val="NoSpacing"/>
        <w:numPr>
          <w:ilvl w:val="0"/>
          <w:numId w:val="21"/>
        </w:numPr>
        <w:ind w:left="360"/>
      </w:pPr>
      <w:r>
        <w:t xml:space="preserve">Percent of children with special health care needs (CSHCN), ages 0 through 17, who receive care in a well-functioning system </w:t>
      </w:r>
    </w:p>
    <w:p w:rsidR="00DA25B3" w:rsidP="006D5441" w14:paraId="3A3D1C87" w14:textId="217FB969">
      <w:pPr>
        <w:pStyle w:val="NoSpacing"/>
        <w:numPr>
          <w:ilvl w:val="0"/>
          <w:numId w:val="21"/>
        </w:numPr>
        <w:ind w:left="360"/>
      </w:pPr>
      <w:r>
        <w:t>Percent of children, ages 3 through 17, with a mental/behavioral condition who receive treatment or counseling</w:t>
      </w:r>
    </w:p>
    <w:p w:rsidR="00DA25B3" w:rsidP="006D5441" w14:paraId="557C303F" w14:textId="3BF8AE23">
      <w:pPr>
        <w:pStyle w:val="NoSpacing"/>
        <w:numPr>
          <w:ilvl w:val="0"/>
          <w:numId w:val="21"/>
        </w:numPr>
        <w:ind w:left="360"/>
      </w:pPr>
      <w:r>
        <w:t xml:space="preserve">Percent of children, ages 0 through 17, in excellent or very good health </w:t>
      </w:r>
    </w:p>
    <w:p w:rsidR="00DA25B3" w:rsidP="006D5441" w14:paraId="1853CC7D" w14:textId="4E3D4902">
      <w:pPr>
        <w:pStyle w:val="NoSpacing"/>
        <w:numPr>
          <w:ilvl w:val="0"/>
          <w:numId w:val="21"/>
        </w:numPr>
        <w:ind w:left="360"/>
      </w:pPr>
      <w:r>
        <w:t xml:space="preserve">Percent of children, ages 2 through 4, and adolescents, ages 10 through 17, who are obese (BMI at or above the 95th percentile) </w:t>
      </w:r>
    </w:p>
    <w:p w:rsidR="00DA25B3" w:rsidP="006D5441" w14:paraId="4A638300" w14:textId="293E5153">
      <w:pPr>
        <w:pStyle w:val="NoSpacing"/>
        <w:numPr>
          <w:ilvl w:val="0"/>
          <w:numId w:val="21"/>
        </w:numPr>
        <w:ind w:left="360"/>
      </w:pPr>
      <w:r>
        <w:t>Percent of women who experience postpartum depressive symptoms following a recent live birth</w:t>
      </w:r>
    </w:p>
    <w:p w:rsidR="6779BC6E" w:rsidP="2509FBD0" w14:paraId="6580C3BA" w14:textId="65D4B363">
      <w:pPr>
        <w:pStyle w:val="NoSpacing"/>
        <w:numPr>
          <w:ilvl w:val="0"/>
          <w:numId w:val="21"/>
        </w:numPr>
        <w:ind w:left="360"/>
      </w:pPr>
      <w:r>
        <w:t>Rate of hospitalization for non-fatal injury per 100,000 children, ages 0 through 9; and rate of hospitalization for non-fatal injury per 100,000 children, ages 10 through 19</w:t>
      </w:r>
    </w:p>
    <w:p w:rsidR="6F16EFE8" w:rsidP="2509FBD0" w14:paraId="3E566484" w14:textId="2FEAF53E">
      <w:pPr>
        <w:pStyle w:val="NoSpacing"/>
        <w:numPr>
          <w:ilvl w:val="0"/>
          <w:numId w:val="21"/>
        </w:numPr>
        <w:ind w:left="360"/>
      </w:pPr>
      <w:r>
        <w:t>Percent of women, ages 18 through 44, in excellent or very good health</w:t>
      </w:r>
      <w:r w:rsidR="616597DA">
        <w:t>*</w:t>
      </w:r>
    </w:p>
    <w:p w:rsidR="6F16EFE8" w:rsidP="2509FBD0" w14:paraId="14DB980A" w14:textId="456DA93E">
      <w:pPr>
        <w:pStyle w:val="NoSpacing"/>
        <w:numPr>
          <w:ilvl w:val="0"/>
          <w:numId w:val="21"/>
        </w:numPr>
        <w:ind w:left="360"/>
      </w:pPr>
      <w:r>
        <w:t>Percent of children, ages 6 through 11, who have a behavioral or conduct disorder</w:t>
      </w:r>
      <w:r w:rsidR="54D662FD">
        <w:t>*</w:t>
      </w:r>
    </w:p>
    <w:p w:rsidR="6F16EFE8" w:rsidP="2509FBD0" w14:paraId="36CDB41B" w14:textId="7A2E7EF0">
      <w:pPr>
        <w:pStyle w:val="NoSpacing"/>
        <w:numPr>
          <w:ilvl w:val="0"/>
          <w:numId w:val="21"/>
        </w:numPr>
        <w:ind w:left="360"/>
      </w:pPr>
      <w:r>
        <w:t>Percent of adolescents, ages 12 through 17, who have depression or anxiety</w:t>
      </w:r>
      <w:r w:rsidR="619CC5B9">
        <w:t>*</w:t>
      </w:r>
    </w:p>
    <w:p w:rsidR="00857A2B" w:rsidP="00857A2B" w14:paraId="021390F1" w14:textId="400B6714">
      <w:pPr>
        <w:pStyle w:val="NoSpacing"/>
      </w:pPr>
    </w:p>
    <w:p w:rsidR="00857A2B" w:rsidP="00857A2B" w14:paraId="107E4934" w14:textId="1C2388BA">
      <w:pPr>
        <w:pStyle w:val="NoSpacing"/>
      </w:pPr>
      <w:r>
        <w:t>National Performance Measures</w:t>
      </w:r>
      <w:r w:rsidR="00C73A68">
        <w:t xml:space="preserve"> (NPMs)</w:t>
      </w:r>
    </w:p>
    <w:p w:rsidR="00DA25B3" w:rsidP="00DA25B3" w14:paraId="329706D5" w14:textId="580841DD">
      <w:pPr>
        <w:pStyle w:val="NoSpacing"/>
        <w:numPr>
          <w:ilvl w:val="0"/>
          <w:numId w:val="21"/>
        </w:numPr>
        <w:ind w:left="360"/>
      </w:pPr>
      <w:r>
        <w:t>Percent of infants who are ever breastfed</w:t>
      </w:r>
    </w:p>
    <w:p w:rsidR="00DA25B3" w:rsidP="00DA25B3" w14:paraId="66EDF337" w14:textId="4F17E128">
      <w:pPr>
        <w:pStyle w:val="NoSpacing"/>
        <w:numPr>
          <w:ilvl w:val="0"/>
          <w:numId w:val="21"/>
        </w:numPr>
        <w:ind w:left="360"/>
      </w:pPr>
      <w:r>
        <w:t>Percent of infants placed to sleep on their backs</w:t>
      </w:r>
    </w:p>
    <w:p w:rsidR="00DA25B3" w:rsidP="008869CF" w14:paraId="55FEBBB1" w14:textId="4DD03F0B">
      <w:pPr>
        <w:pStyle w:val="NoSpacing"/>
        <w:numPr>
          <w:ilvl w:val="0"/>
          <w:numId w:val="21"/>
        </w:numPr>
        <w:ind w:left="360"/>
      </w:pPr>
      <w:r>
        <w:t xml:space="preserve">Percent of children, ages 9 through 35 months, who received a developmental screening using a parent-completed screening tool in the past year </w:t>
      </w:r>
    </w:p>
    <w:p w:rsidR="76BC0163" w:rsidP="2509FBD0" w14:paraId="2C403664" w14:textId="292F9E48">
      <w:pPr>
        <w:pStyle w:val="NoSpacing"/>
        <w:numPr>
          <w:ilvl w:val="0"/>
          <w:numId w:val="21"/>
        </w:numPr>
        <w:ind w:left="360"/>
        <w:rPr>
          <w:rFonts w:ascii="Calibri" w:eastAsia="Calibri" w:hAnsi="Calibri" w:cs="Calibri"/>
        </w:rPr>
      </w:pPr>
      <w:r w:rsidRPr="2509FBD0">
        <w:rPr>
          <w:rFonts w:ascii="Calibri" w:eastAsia="Calibri" w:hAnsi="Calibri" w:cs="Calibri"/>
          <w:color w:val="000000" w:themeColor="text1"/>
        </w:rPr>
        <w:t>Percent of children, ages 6 through 11, who are physically active at least 60 minutes per day</w:t>
      </w:r>
    </w:p>
    <w:p w:rsidR="00DA25B3" w:rsidP="00DA25B3" w14:paraId="0AC548B8" w14:textId="4939B02C">
      <w:pPr>
        <w:pStyle w:val="NoSpacing"/>
        <w:numPr>
          <w:ilvl w:val="0"/>
          <w:numId w:val="21"/>
        </w:numPr>
        <w:ind w:left="360"/>
      </w:pPr>
      <w:r>
        <w:t>Percent of adolescents</w:t>
      </w:r>
      <w:r w:rsidR="7FDE0064">
        <w:t xml:space="preserve"> with and without special health care needs</w:t>
      </w:r>
      <w:r>
        <w:t>, ages 12 through 17, who are bullied or who bully others</w:t>
      </w:r>
    </w:p>
    <w:p w:rsidR="00DA25B3" w:rsidP="00DA25B3" w14:paraId="4D836913" w14:textId="452858AF">
      <w:pPr>
        <w:pStyle w:val="NoSpacing"/>
        <w:numPr>
          <w:ilvl w:val="0"/>
          <w:numId w:val="21"/>
        </w:numPr>
        <w:ind w:left="360"/>
      </w:pPr>
      <w:r>
        <w:t xml:space="preserve">Percent of adolescents, ages 12 through 17, with a preventive medical visit in the past year </w:t>
      </w:r>
    </w:p>
    <w:p w:rsidR="00DA25B3" w:rsidP="00DA25B3" w14:paraId="4562DA84" w14:textId="37DEFD1A">
      <w:pPr>
        <w:pStyle w:val="NoSpacing"/>
        <w:numPr>
          <w:ilvl w:val="0"/>
          <w:numId w:val="21"/>
        </w:numPr>
        <w:ind w:left="360"/>
      </w:pPr>
      <w:r>
        <w:t xml:space="preserve">Percent of children with and without special health care needs, ages 0 through 17, who have a medical home </w:t>
      </w:r>
    </w:p>
    <w:p w:rsidR="00DA25B3" w:rsidP="00DA25B3" w14:paraId="7C65C0E8" w14:textId="00A0ABE3">
      <w:pPr>
        <w:pStyle w:val="NoSpacing"/>
        <w:numPr>
          <w:ilvl w:val="0"/>
          <w:numId w:val="21"/>
        </w:numPr>
        <w:ind w:left="360"/>
      </w:pPr>
      <w:r>
        <w:t xml:space="preserve">Percent of adolescents with and without special health care needs, ages 12 through 17, who received services necessary to make transitions to adult health care </w:t>
      </w:r>
    </w:p>
    <w:p w:rsidR="00DA25B3" w:rsidP="00DA25B3" w14:paraId="66A68502" w14:textId="2EEEC3FC">
      <w:pPr>
        <w:pStyle w:val="NoSpacing"/>
        <w:numPr>
          <w:ilvl w:val="0"/>
          <w:numId w:val="21"/>
        </w:numPr>
        <w:ind w:left="360"/>
      </w:pPr>
      <w:r>
        <w:t xml:space="preserve">Percent of women who had </w:t>
      </w:r>
      <w:r w:rsidR="00653AE4">
        <w:t>a dental visit during pregnancy</w:t>
      </w:r>
      <w:r>
        <w:t xml:space="preserve">  </w:t>
      </w:r>
    </w:p>
    <w:p w:rsidR="00DA25B3" w:rsidP="00DA25B3" w14:paraId="1D4979F7" w14:textId="18E16DF2">
      <w:pPr>
        <w:pStyle w:val="NoSpacing"/>
        <w:numPr>
          <w:ilvl w:val="0"/>
          <w:numId w:val="21"/>
        </w:numPr>
        <w:ind w:left="360"/>
      </w:pPr>
      <w:r>
        <w:t>Percent of children, ages 1 through 17, who had a preventive dental visit in the past year</w:t>
      </w:r>
    </w:p>
    <w:p w:rsidR="12CC24A0" w:rsidP="2509FBD0" w14:paraId="58DA6BE6" w14:textId="69444662">
      <w:pPr>
        <w:pStyle w:val="NoSpacing"/>
        <w:numPr>
          <w:ilvl w:val="0"/>
          <w:numId w:val="21"/>
        </w:numPr>
        <w:ind w:left="360"/>
      </w:pPr>
      <w:r>
        <w:t>Percent of women who attended a postpartum checkup within 12 weeks after giving birth</w:t>
      </w:r>
      <w:r w:rsidR="20BBEB4A">
        <w:t>*</w:t>
      </w:r>
    </w:p>
    <w:p w:rsidR="12CC24A0" w:rsidP="2509FBD0" w14:paraId="75468D80" w14:textId="1B6DB4B6">
      <w:pPr>
        <w:pStyle w:val="NoSpacing"/>
        <w:numPr>
          <w:ilvl w:val="0"/>
          <w:numId w:val="21"/>
        </w:numPr>
        <w:ind w:left="360"/>
      </w:pPr>
      <w:r>
        <w:t>Percent of children, ages 0 through 11, whose households were food sufficient in the past year</w:t>
      </w:r>
      <w:r w:rsidR="215D0F7A">
        <w:t>*</w:t>
      </w:r>
    </w:p>
    <w:p w:rsidR="215D0F7A" w:rsidP="2509FBD0" w14:paraId="76516528" w14:textId="50069EA3">
      <w:pPr>
        <w:pStyle w:val="NoSpacing"/>
        <w:numPr>
          <w:ilvl w:val="0"/>
          <w:numId w:val="21"/>
        </w:numPr>
        <w:ind w:left="360"/>
      </w:pPr>
      <w:r>
        <w:t>Percent of adolescents, ages 12 through 17, who receive needed mental health treatment or counseling*</w:t>
      </w:r>
    </w:p>
    <w:p w:rsidR="215D0F7A" w:rsidP="2509FBD0" w14:paraId="7936ED4A" w14:textId="4B3B5BFB">
      <w:pPr>
        <w:pStyle w:val="NoSpacing"/>
        <w:numPr>
          <w:ilvl w:val="0"/>
          <w:numId w:val="21"/>
        </w:numPr>
        <w:ind w:left="360"/>
      </w:pPr>
      <w:r>
        <w:t>Percent of children with and without special health care needs, ages 0 through 17, who have a personal doctor or nurse*</w:t>
      </w:r>
    </w:p>
    <w:p w:rsidR="215D0F7A" w:rsidP="2509FBD0" w14:paraId="44F7F602" w14:textId="4C7CA52C">
      <w:pPr>
        <w:pStyle w:val="NoSpacing"/>
        <w:numPr>
          <w:ilvl w:val="0"/>
          <w:numId w:val="21"/>
        </w:numPr>
        <w:ind w:left="360"/>
      </w:pPr>
      <w:r>
        <w:t>Percent of children with and without special health care needs, ages 0 through 17, who have a usual source of sick care*</w:t>
      </w:r>
    </w:p>
    <w:p w:rsidR="215D0F7A" w:rsidP="2509FBD0" w14:paraId="4E648315" w14:textId="13BE48A9">
      <w:pPr>
        <w:pStyle w:val="NoSpacing"/>
        <w:numPr>
          <w:ilvl w:val="0"/>
          <w:numId w:val="21"/>
        </w:numPr>
        <w:ind w:left="360"/>
      </w:pPr>
      <w:r>
        <w:t>Percent of children with and without special health care needs, ages 0 through 17, who have family centered care*</w:t>
      </w:r>
    </w:p>
    <w:p w:rsidR="215D0F7A" w:rsidP="2509FBD0" w14:paraId="2FDC4800" w14:textId="00F65242">
      <w:pPr>
        <w:pStyle w:val="NoSpacing"/>
        <w:numPr>
          <w:ilvl w:val="0"/>
          <w:numId w:val="21"/>
        </w:numPr>
        <w:ind w:left="360"/>
      </w:pPr>
      <w:r>
        <w:t>Percent of children with and without special health care needs, ages 0 through 17, who receive needed referrals*</w:t>
      </w:r>
    </w:p>
    <w:p w:rsidR="215D0F7A" w:rsidP="2509FBD0" w14:paraId="01A7DB33" w14:textId="3C5F096E">
      <w:pPr>
        <w:pStyle w:val="NoSpacing"/>
        <w:numPr>
          <w:ilvl w:val="0"/>
          <w:numId w:val="21"/>
        </w:numPr>
        <w:ind w:left="360"/>
      </w:pPr>
      <w:r>
        <w:t>Percent of children with and without special health care needs, ages 0 through 17, who receive needed care coordination*</w:t>
      </w:r>
    </w:p>
    <w:p w:rsidR="00653AE4" w:rsidP="00942647" w14:paraId="165BAFB7" w14:textId="6EDAA4A0">
      <w:pPr>
        <w:pStyle w:val="NoSpacing"/>
      </w:pPr>
    </w:p>
    <w:p w:rsidR="60DB21D4" w:rsidP="2509FBD0" w14:paraId="0014A2E0" w14:textId="200B2C64">
      <w:pPr>
        <w:pStyle w:val="NoSpacing"/>
      </w:pPr>
      <w:r>
        <w:t>Standard Measures</w:t>
      </w:r>
    </w:p>
    <w:p w:rsidR="60DB21D4" w:rsidP="00AB3F1D" w14:paraId="6AB70CFD" w14:textId="0019A1E3">
      <w:pPr>
        <w:pStyle w:val="NoSpacing"/>
        <w:numPr>
          <w:ilvl w:val="0"/>
          <w:numId w:val="2"/>
        </w:numPr>
      </w:pPr>
      <w:r>
        <w:t>Percent of pregnant women who receive prenatal care in the first trimester</w:t>
      </w:r>
    </w:p>
    <w:p w:rsidR="60DB21D4" w:rsidP="00AB3F1D" w14:paraId="63598A29" w14:textId="00D70E45">
      <w:pPr>
        <w:pStyle w:val="NoSpacing"/>
        <w:numPr>
          <w:ilvl w:val="0"/>
          <w:numId w:val="2"/>
        </w:numPr>
      </w:pPr>
      <w:r>
        <w:t>Percent of children, ages 0 through 17, without health insurance</w:t>
      </w:r>
    </w:p>
    <w:p w:rsidR="24941536" w:rsidP="2509FBD0" w14:paraId="670EFFAC" w14:textId="01402F8C">
      <w:pPr>
        <w:pStyle w:val="NoSpacing"/>
        <w:numPr>
          <w:ilvl w:val="0"/>
          <w:numId w:val="2"/>
        </w:numPr>
      </w:pPr>
      <w:r>
        <w:t>Percent of children, ages 0 through 17, who were not able to obtain needed health care in the last year</w:t>
      </w:r>
    </w:p>
    <w:p w:rsidR="0E4F1453" w:rsidP="2509FBD0" w14:paraId="46C0D20D" w14:textId="0E232710">
      <w:pPr>
        <w:pStyle w:val="NoSpacing"/>
        <w:numPr>
          <w:ilvl w:val="0"/>
          <w:numId w:val="2"/>
        </w:numPr>
      </w:pPr>
      <w:r>
        <w:t>Percent of women, ages 18 through 44, with a preventive medical visit in the past year</w:t>
      </w:r>
    </w:p>
    <w:p w:rsidR="700CD007" w:rsidP="2509FBD0" w14:paraId="3405D13C" w14:textId="51A3E401">
      <w:pPr>
        <w:pStyle w:val="NoSpacing"/>
        <w:numPr>
          <w:ilvl w:val="0"/>
          <w:numId w:val="2"/>
        </w:numPr>
      </w:pPr>
      <w:r>
        <w:t>Percent of adolescents, ages 12 through 17, who are physically active at least 60 minutes per day</w:t>
      </w:r>
    </w:p>
    <w:p w:rsidR="56AA20B4" w:rsidP="2509FBD0" w14:paraId="664ADC13" w14:textId="38934BF9">
      <w:pPr>
        <w:pStyle w:val="NoSpacing"/>
        <w:numPr>
          <w:ilvl w:val="0"/>
          <w:numId w:val="2"/>
        </w:numPr>
      </w:pPr>
      <w:r>
        <w:t xml:space="preserve">Percent of women who smoke during pregnancy </w:t>
      </w:r>
    </w:p>
    <w:p w:rsidR="56AA20B4" w:rsidP="00AB3F1D" w14:paraId="2EA58755" w14:textId="1B3C365A">
      <w:pPr>
        <w:pStyle w:val="NoSpacing"/>
        <w:numPr>
          <w:ilvl w:val="0"/>
          <w:numId w:val="2"/>
        </w:numPr>
      </w:pPr>
      <w:r>
        <w:t>Percent of children, ages 0 through 17, who live in households where someone smokes</w:t>
      </w:r>
    </w:p>
    <w:p w:rsidR="6A95FC25" w:rsidP="00AB3F1D" w14:paraId="0189C032" w14:textId="4DFE6953">
      <w:pPr>
        <w:pStyle w:val="NoSpacing"/>
        <w:numPr>
          <w:ilvl w:val="0"/>
          <w:numId w:val="2"/>
        </w:numPr>
      </w:pPr>
      <w:r>
        <w:t>Percent of children, ages 0 through 17, who are continuously and adequately insured.</w:t>
      </w:r>
    </w:p>
    <w:p w:rsidR="2509FBD0" w:rsidP="00AB3F1D" w14:paraId="037AD812" w14:textId="0533F87A">
      <w:pPr>
        <w:pStyle w:val="NoSpacing"/>
      </w:pPr>
    </w:p>
    <w:p w:rsidR="0E36EB0B" w:rsidP="2509FBD0" w14:paraId="1C0A8AD7" w14:textId="39505CE1">
      <w:pPr>
        <w:pStyle w:val="NoSpacing"/>
      </w:pPr>
      <w:r>
        <w:t>Additional</w:t>
      </w:r>
      <w:r>
        <w:t xml:space="preserve"> Measures</w:t>
      </w:r>
      <w:r>
        <w:t xml:space="preserve"> (i.e., “Form 11” Measures)</w:t>
      </w:r>
    </w:p>
    <w:p w:rsidR="0E36EB0B" w:rsidP="00AB3F1D" w14:paraId="04F3E23D" w14:textId="6DB096D9">
      <w:pPr>
        <w:pStyle w:val="NoSpacing"/>
        <w:numPr>
          <w:ilvl w:val="0"/>
          <w:numId w:val="1"/>
        </w:numPr>
      </w:pPr>
      <w:r>
        <w:t>Percent of children with special health care needs (CSHCN), ages 0 through 17</w:t>
      </w:r>
    </w:p>
    <w:p w:rsidR="0340BB88" w:rsidP="2509FBD0" w14:paraId="0A55F59A" w14:textId="02C63DC6">
      <w:pPr>
        <w:pStyle w:val="NoSpacing"/>
        <w:numPr>
          <w:ilvl w:val="0"/>
          <w:numId w:val="1"/>
        </w:numPr>
      </w:pPr>
      <w:r>
        <w:t xml:space="preserve">Percent of children, ages 3 through 17, diagnosed with an autism spectrum disorder </w:t>
      </w:r>
    </w:p>
    <w:p w:rsidR="0340BB88" w:rsidP="00AB3F1D" w14:paraId="39D7F586" w14:textId="64BFE0D7">
      <w:pPr>
        <w:pStyle w:val="NoSpacing"/>
        <w:numPr>
          <w:ilvl w:val="0"/>
          <w:numId w:val="1"/>
        </w:numPr>
      </w:pPr>
      <w:r>
        <w:t>Percent of children, ages 3 through 17, diagnosed with Attention Deficit Disorder/Attention Deficit Hyperactivity Disorder (ADD/ADHD)</w:t>
      </w:r>
    </w:p>
    <w:p w:rsidR="00952BEC" w:rsidP="00952BEC" w14:paraId="1289D724" w14:textId="54177C5F">
      <w:pPr>
        <w:pStyle w:val="NoSpacing"/>
      </w:pPr>
    </w:p>
    <w:p w:rsidR="00952BEC" w:rsidP="00952BEC" w14:paraId="240B1E4F" w14:textId="4D402568">
      <w:pPr>
        <w:pStyle w:val="NoSpacing"/>
      </w:pPr>
      <w:r>
        <w:t xml:space="preserve">Please see </w:t>
      </w:r>
      <w:r w:rsidR="0085785F">
        <w:rPr>
          <w:b/>
          <w:bCs/>
        </w:rPr>
        <w:t>Attachment</w:t>
      </w:r>
      <w:r w:rsidRPr="00D06AF3">
        <w:rPr>
          <w:b/>
          <w:bCs/>
        </w:rPr>
        <w:t xml:space="preserve"> A</w:t>
      </w:r>
      <w:r>
        <w:t xml:space="preserve"> for a Crosswalk of survey questions to th</w:t>
      </w:r>
      <w:r w:rsidR="0E65E2B3">
        <w:t>ese measures</w:t>
      </w:r>
      <w:r>
        <w:t>.</w:t>
      </w:r>
    </w:p>
    <w:p w:rsidR="2509FBD0" w:rsidP="2509FBD0" w14:paraId="7BD1FA91" w14:textId="24C0412A">
      <w:pPr>
        <w:pStyle w:val="NoSpacing"/>
      </w:pPr>
    </w:p>
    <w:p w:rsidR="00B81490" w:rsidP="00B81490" w14:paraId="0D2E632E" w14:textId="1305B1A6">
      <w:pPr>
        <w:pStyle w:val="NoSpacing"/>
      </w:pPr>
      <w:r>
        <w:t xml:space="preserve">The measure list above </w:t>
      </w:r>
      <w:r w:rsidR="006A5E7A">
        <w:t xml:space="preserve">reflects updates made since 2018 to </w:t>
      </w:r>
      <w:r w:rsidRPr="00B81490">
        <w:t xml:space="preserve">address the current needs of the jurisdictions and align with updated reporting methods used across surveys. </w:t>
      </w:r>
      <w:r w:rsidR="00210CA6">
        <w:t>T</w:t>
      </w:r>
      <w:r w:rsidRPr="00B81490">
        <w:t>hese changes</w:t>
      </w:r>
      <w:r w:rsidR="00210CA6">
        <w:t xml:space="preserve"> are as follows</w:t>
      </w:r>
      <w:r w:rsidRPr="00B81490">
        <w:t>:</w:t>
      </w:r>
    </w:p>
    <w:p w:rsidR="305BADA2" w:rsidP="00AB3F1D" w14:paraId="1988BE68" w14:textId="3F7D2670">
      <w:pPr>
        <w:pStyle w:val="NoSpacing"/>
        <w:numPr>
          <w:ilvl w:val="0"/>
          <w:numId w:val="3"/>
        </w:numPr>
      </w:pPr>
      <w:r>
        <w:t>NOMs and NPMs are no longer numbered</w:t>
      </w:r>
      <w:r w:rsidR="005F637F">
        <w:t>.</w:t>
      </w:r>
    </w:p>
    <w:p w:rsidR="076F7D23" w:rsidP="00AB3F1D" w14:paraId="4C295F1D" w14:textId="3F387313">
      <w:pPr>
        <w:pStyle w:val="NoSpacing"/>
        <w:numPr>
          <w:ilvl w:val="0"/>
          <w:numId w:val="3"/>
        </w:numPr>
      </w:pPr>
      <w:r>
        <w:t xml:space="preserve">The measures formerly known as NOM 1, </w:t>
      </w:r>
      <w:r w:rsidR="618B9E90">
        <w:t>NOM 21</w:t>
      </w:r>
      <w:r w:rsidR="29B8B08E">
        <w:t xml:space="preserve">, NOM 25, </w:t>
      </w:r>
      <w:r w:rsidR="6A6B4A63">
        <w:t xml:space="preserve">NPM 1, </w:t>
      </w:r>
      <w:r w:rsidR="346BDDD9">
        <w:t>NPM 14</w:t>
      </w:r>
      <w:r w:rsidR="548631F5">
        <w:t xml:space="preserve">, and NPM </w:t>
      </w:r>
      <w:r w:rsidR="47EBEE1B">
        <w:t>15 are all now categorized as Standard Measures</w:t>
      </w:r>
      <w:r w:rsidR="005F637F">
        <w:t>.</w:t>
      </w:r>
    </w:p>
    <w:p w:rsidR="6A6B4A63" w:rsidP="00AB3F1D" w14:paraId="1DC42AD4" w14:textId="466872A0">
      <w:pPr>
        <w:pStyle w:val="NoSpacing"/>
        <w:numPr>
          <w:ilvl w:val="0"/>
          <w:numId w:val="3"/>
        </w:numPr>
      </w:pPr>
      <w:r>
        <w:t xml:space="preserve">The measure formerly known as NPM 8 has been divided into two measures; the measure including </w:t>
      </w:r>
      <w:r w:rsidR="005E0F82">
        <w:t>6- to 11-year-olds</w:t>
      </w:r>
      <w:r>
        <w:t xml:space="preserve"> remains </w:t>
      </w:r>
      <w:r w:rsidR="009B525A">
        <w:t>an</w:t>
      </w:r>
      <w:r>
        <w:t xml:space="preserve"> NPM</w:t>
      </w:r>
      <w:r w:rsidR="005F637F">
        <w:t xml:space="preserve">; </w:t>
      </w:r>
      <w:r>
        <w:t>the measure including 12 to 17 year ol</w:t>
      </w:r>
      <w:r w:rsidR="0B4CD6EE">
        <w:t>ds is now a Standard Measure</w:t>
      </w:r>
      <w:r w:rsidR="005F637F">
        <w:t>.</w:t>
      </w:r>
    </w:p>
    <w:p w:rsidR="14B8BFD0" w:rsidP="00AB3F1D" w14:paraId="1FA6EF35" w14:textId="5580E03C">
      <w:pPr>
        <w:pStyle w:val="NoSpacing"/>
        <w:numPr>
          <w:ilvl w:val="0"/>
          <w:numId w:val="3"/>
        </w:numPr>
      </w:pPr>
      <w:r>
        <w:t xml:space="preserve">The measures </w:t>
      </w:r>
      <w:r w:rsidR="13C47E9C">
        <w:t>formerly known as NOM 17.1, NOM 17.3, and NOM 17.4 are now categorized as Form 11 Measures</w:t>
      </w:r>
      <w:r w:rsidR="4584C1E5">
        <w:t>; t</w:t>
      </w:r>
      <w:r w:rsidR="13C47E9C">
        <w:t>he former NOM 17.2 remains a NOM</w:t>
      </w:r>
      <w:r w:rsidR="005F637F">
        <w:t>.</w:t>
      </w:r>
    </w:p>
    <w:p w:rsidR="63BCB073" w:rsidP="00AB3F1D" w14:paraId="5B67ABD6" w14:textId="4C27395C">
      <w:pPr>
        <w:pStyle w:val="NoSpacing"/>
        <w:numPr>
          <w:ilvl w:val="0"/>
          <w:numId w:val="3"/>
        </w:numPr>
      </w:pPr>
      <w:r>
        <w:t>The measure formerly known as NPM 7</w:t>
      </w:r>
      <w:r w:rsidR="7A978EE1">
        <w:t xml:space="preserve"> </w:t>
      </w:r>
      <w:r>
        <w:t>is now categorized as a NOM</w:t>
      </w:r>
      <w:r w:rsidR="005F637F">
        <w:t>.</w:t>
      </w:r>
    </w:p>
    <w:p w:rsidR="63BCB073" w:rsidP="00AB3F1D" w14:paraId="574189E8" w14:textId="17D056EA">
      <w:pPr>
        <w:pStyle w:val="NoSpacing"/>
        <w:numPr>
          <w:ilvl w:val="0"/>
          <w:numId w:val="3"/>
        </w:numPr>
      </w:pPr>
      <w:r>
        <w:t>New measures are denoted by an asterisk (*)</w:t>
      </w:r>
      <w:r w:rsidR="005F637F">
        <w:t>.</w:t>
      </w:r>
    </w:p>
    <w:p w:rsidR="004C1BE4" w:rsidRPr="005307EF" w:rsidP="001C0F29" w14:paraId="7EE0746F" w14:textId="03DFD00C">
      <w:pPr>
        <w:pStyle w:val="NoSpacing"/>
      </w:pPr>
    </w:p>
    <w:p w:rsidR="0061763E" w:rsidRPr="00691D0E" w:rsidP="0061763E" w14:paraId="6256B148" w14:textId="445FCD85">
      <w:pPr>
        <w:pStyle w:val="NoSpacing"/>
      </w:pPr>
      <w:r w:rsidRPr="00CF5A04">
        <w:rPr>
          <w:i/>
          <w:iCs/>
        </w:rPr>
        <w:t>The Current Revision</w:t>
      </w:r>
      <w:r>
        <w:t xml:space="preserve">. </w:t>
      </w:r>
      <w:r w:rsidRPr="00691D0E" w:rsidR="00691D0E">
        <w:t>The MCH Jurisdictional Survey has been conducted annually since 2019, with several modifications to address emerging issues and challenges related to survey questions and methods.</w:t>
      </w:r>
      <w:r w:rsidR="00E05847">
        <w:t xml:space="preserve"> </w:t>
      </w:r>
      <w:r w:rsidRPr="00A6708B" w:rsidR="00A6708B">
        <w:t xml:space="preserve">HRSA is requesting OMB approval to revise information collection activity for the </w:t>
      </w:r>
      <w:r w:rsidR="00E35F69">
        <w:t>s</w:t>
      </w:r>
      <w:r w:rsidRPr="00A6708B" w:rsidR="00A6708B">
        <w:t xml:space="preserve">urvey. This revision supports the continued collection of data for federal reporting and demonstration of the impact of MCH Block Grant funding. The current request proposes updates to survey questions to align with new federal data standards, including updated guidance from the Office of Management and Budget on collecting information on race and ethnicity (Office of Management and Budget, 2024). Updates also reflect discussions with MCH Block Grant leadership and program staff in jurisdictions, addressing underperforming or outdated questions while introducing new questions that are crucial for MCH Block </w:t>
      </w:r>
      <w:r w:rsidRPr="00A6708B" w:rsidR="00A6708B">
        <w:t>Grant monitoring. HRSA also seeks to increase the sample size to continue to improve the precision of the data in all jurisdictions.</w:t>
      </w:r>
    </w:p>
    <w:p w:rsidR="00A978B8" w:rsidRPr="00EE7754" w:rsidP="00EE7754" w14:paraId="04675034" w14:textId="05041E99">
      <w:pPr>
        <w:pStyle w:val="ListParagraph"/>
        <w:numPr>
          <w:ilvl w:val="0"/>
          <w:numId w:val="5"/>
        </w:numPr>
        <w:spacing w:before="240"/>
        <w:rPr>
          <w:b/>
        </w:rPr>
      </w:pPr>
      <w:r w:rsidRPr="00EE7754">
        <w:rPr>
          <w:b/>
          <w:u w:val="single"/>
        </w:rPr>
        <w:t>Purpose and Use of Information Collection</w:t>
      </w:r>
    </w:p>
    <w:p w:rsidR="00D424F5" w:rsidRPr="0033093B" w:rsidP="0033093B" w14:paraId="670CC237" w14:textId="045902B2">
      <w:pPr>
        <w:pStyle w:val="NoSpacing"/>
      </w:pPr>
      <w:r>
        <w:t>This data collection will make key MCH indicator data</w:t>
      </w:r>
      <w:r w:rsidR="00251C56">
        <w:t xml:space="preserve"> (as listed above in Section 1) </w:t>
      </w:r>
      <w:r>
        <w:t xml:space="preserve">available for the jurisdictions </w:t>
      </w:r>
      <w:r w:rsidRPr="005307EF" w:rsidR="00A75BEA">
        <w:t xml:space="preserve">to </w:t>
      </w:r>
      <w:r w:rsidR="001721D0">
        <w:t>track</w:t>
      </w:r>
      <w:r w:rsidRPr="005307EF" w:rsidR="00A75BEA">
        <w:t xml:space="preserve"> progress on </w:t>
      </w:r>
      <w:r w:rsidR="007E3CCA">
        <w:t>each jurisdiction</w:t>
      </w:r>
      <w:r w:rsidR="009B1CC4">
        <w:t>’</w:t>
      </w:r>
      <w:r w:rsidR="007E3CCA">
        <w:t>s MCH priorities</w:t>
      </w:r>
      <w:r w:rsidRPr="005307EF" w:rsidR="00A75BEA">
        <w:t xml:space="preserve"> under </w:t>
      </w:r>
      <w:r w:rsidR="00AC1783">
        <w:t xml:space="preserve">the </w:t>
      </w:r>
      <w:r w:rsidRPr="005307EF" w:rsidR="00041133">
        <w:t xml:space="preserve">MCH </w:t>
      </w:r>
      <w:r w:rsidRPr="005307EF" w:rsidR="00A75BEA">
        <w:t>Block Grant.</w:t>
      </w:r>
      <w:r w:rsidRPr="00825955" w:rsidR="00825955">
        <w:rPr>
          <w:rFonts w:cstheme="minorHAnsi"/>
        </w:rPr>
        <w:t xml:space="preserve"> </w:t>
      </w:r>
      <w:r w:rsidR="00A8119A">
        <w:t>This will</w:t>
      </w:r>
      <w:r w:rsidR="000C75F6">
        <w:t xml:space="preserve"> enabl</w:t>
      </w:r>
      <w:r w:rsidR="00A8119A">
        <w:t>e</w:t>
      </w:r>
      <w:r w:rsidR="000C75F6">
        <w:t xml:space="preserve"> MCHB</w:t>
      </w:r>
      <w:r>
        <w:t xml:space="preserve"> and the </w:t>
      </w:r>
      <w:r w:rsidR="00071210">
        <w:t>jurisdictions to</w:t>
      </w:r>
      <w:r w:rsidR="00825955">
        <w:t xml:space="preserve"> </w:t>
      </w:r>
      <w:r w:rsidRPr="006D2309" w:rsidR="006D2309">
        <w:t>assess the impact of their MCH Block Grant and the Federal program office to report to Congress on the jurisdictions’ MCH Block Grant accomplishments</w:t>
      </w:r>
      <w:r w:rsidR="00825955">
        <w:t>.</w:t>
      </w:r>
    </w:p>
    <w:p w:rsidR="00D84D9E" w:rsidRPr="005307EF" w:rsidP="00EE7754" w14:paraId="453435CB" w14:textId="44080DDE">
      <w:pPr>
        <w:pStyle w:val="ListParagraph"/>
        <w:numPr>
          <w:ilvl w:val="0"/>
          <w:numId w:val="5"/>
        </w:numPr>
        <w:spacing w:before="240"/>
      </w:pPr>
      <w:r w:rsidRPr="005307EF">
        <w:rPr>
          <w:b/>
          <w:u w:val="single"/>
        </w:rPr>
        <w:t>Use of Improved Information Technology and Burden Reduction</w:t>
      </w:r>
    </w:p>
    <w:p w:rsidR="00AC7A20" w:rsidP="00977394" w14:paraId="7CFB7BBE" w14:textId="4D136DDB">
      <w:pPr>
        <w:spacing w:before="240" w:after="240"/>
        <w:rPr>
          <w:rFonts w:asciiTheme="minorHAnsi" w:hAnsiTheme="minorHAnsi" w:cstheme="minorHAnsi"/>
          <w:sz w:val="22"/>
          <w:szCs w:val="22"/>
        </w:rPr>
      </w:pPr>
      <w:r w:rsidRPr="00E61EF6">
        <w:rPr>
          <w:rFonts w:asciiTheme="minorHAnsi" w:hAnsiTheme="minorHAnsi"/>
          <w:sz w:val="22"/>
          <w:szCs w:val="22"/>
        </w:rPr>
        <w:t xml:space="preserve">To minimize respondent burden, data will be collected using tablets, providing an efficient and secure method for survey administration. The tablets will be preloaded with a survey that can be administered offline, enabling interviewers to collect data anywhere. Additionally, the tablets will be programmed with a selection method, based on </w:t>
      </w:r>
      <w:r w:rsidR="0087692C">
        <w:rPr>
          <w:rFonts w:asciiTheme="minorHAnsi" w:hAnsiTheme="minorHAnsi"/>
          <w:sz w:val="22"/>
          <w:szCs w:val="22"/>
        </w:rPr>
        <w:t>established</w:t>
      </w:r>
      <w:r w:rsidRPr="00E61EF6">
        <w:rPr>
          <w:rFonts w:asciiTheme="minorHAnsi" w:hAnsiTheme="minorHAnsi"/>
          <w:sz w:val="22"/>
          <w:szCs w:val="22"/>
        </w:rPr>
        <w:t xml:space="preserve"> criteria, to identify which child in a multi-child household should be the focus of the survey</w:t>
      </w:r>
      <w:r w:rsidRPr="00AC7A20">
        <w:rPr>
          <w:rFonts w:asciiTheme="minorHAnsi" w:hAnsiTheme="minorHAnsi" w:cstheme="minorHAnsi"/>
          <w:sz w:val="22"/>
          <w:szCs w:val="22"/>
        </w:rPr>
        <w:t xml:space="preserve">. </w:t>
      </w:r>
    </w:p>
    <w:p w:rsidR="00D424F5" w:rsidRPr="005307EF" w:rsidP="00EE7754" w14:paraId="6F83AA65" w14:textId="5EE1BDF8">
      <w:pPr>
        <w:pStyle w:val="NoSpacing"/>
        <w:numPr>
          <w:ilvl w:val="0"/>
          <w:numId w:val="5"/>
        </w:numPr>
        <w:spacing w:after="240"/>
        <w:rPr>
          <w:rFonts w:cs="Times New Roman"/>
          <w:b/>
          <w:u w:val="single"/>
        </w:rPr>
      </w:pPr>
      <w:r w:rsidRPr="005307EF">
        <w:rPr>
          <w:rFonts w:cs="Times New Roman"/>
          <w:b/>
          <w:u w:val="single"/>
        </w:rPr>
        <w:t>Efforts to Identify Duplication and Use of Similar Information</w:t>
      </w:r>
    </w:p>
    <w:p w:rsidR="00D84D9E" w:rsidRPr="005307EF" w:rsidP="003C7AFA" w14:paraId="09936234" w14:textId="217378EE">
      <w:pPr>
        <w:pStyle w:val="ListParagraph"/>
        <w:ind w:left="0"/>
      </w:pPr>
      <w:r w:rsidRPr="009F41A1">
        <w:t>Efforts to identify published information from similar surveys conducted in these jurisdictions were unsuccessful. MCHB is not aware of any federal or other data collection efforts that systematically capture the data needed for the measures listed in Section 1. While some data collection initiatives, such as the Pregnancy Risk Assessment Monitoring System (PRAMS) conducted by the C</w:t>
      </w:r>
      <w:r w:rsidR="00117218">
        <w:t xml:space="preserve">enters for </w:t>
      </w:r>
      <w:r w:rsidRPr="009F41A1">
        <w:t>D</w:t>
      </w:r>
      <w:r w:rsidR="00117218">
        <w:t xml:space="preserve">isease </w:t>
      </w:r>
      <w:r w:rsidRPr="009F41A1">
        <w:t>C</w:t>
      </w:r>
      <w:r w:rsidR="00117218">
        <w:t>ontrol</w:t>
      </w:r>
      <w:r w:rsidRPr="009F41A1">
        <w:t xml:space="preserve"> and state health departments, gather MCH data, they are neither consistently available across all jurisdictions nor tailored to meet the specific reporting needs outlined in Section 1</w:t>
      </w:r>
      <w:r w:rsidR="3B265D36">
        <w:t>.</w:t>
      </w:r>
      <w:r w:rsidR="004A47A7">
        <w:t xml:space="preserve"> </w:t>
      </w:r>
    </w:p>
    <w:p w:rsidR="00D84D9E" w:rsidRPr="005307EF" w:rsidP="00EE7754" w14:paraId="0AB4CB7C" w14:textId="77777777">
      <w:pPr>
        <w:numPr>
          <w:ilvl w:val="0"/>
          <w:numId w:val="5"/>
        </w:numPr>
        <w:spacing w:before="240"/>
        <w:rPr>
          <w:rFonts w:asciiTheme="minorHAnsi" w:hAnsiTheme="minorHAnsi"/>
          <w:color w:val="000000"/>
          <w:sz w:val="22"/>
          <w:szCs w:val="22"/>
        </w:rPr>
      </w:pPr>
      <w:r w:rsidRPr="005307EF">
        <w:rPr>
          <w:rFonts w:asciiTheme="minorHAnsi" w:hAnsiTheme="minorHAnsi"/>
          <w:b/>
          <w:sz w:val="22"/>
          <w:szCs w:val="22"/>
          <w:u w:val="single"/>
        </w:rPr>
        <w:t>Impact on Small Businesses or Other Small Entities</w:t>
      </w:r>
    </w:p>
    <w:p w:rsidR="00B3739C" w:rsidRPr="00071210" w:rsidP="00D84D9E" w14:paraId="63B5BC55" w14:textId="05044718">
      <w:pPr>
        <w:tabs>
          <w:tab w:val="left" w:pos="3060"/>
        </w:tabs>
        <w:spacing w:before="120"/>
        <w:rPr>
          <w:rFonts w:asciiTheme="minorHAnsi" w:hAnsiTheme="minorHAnsi"/>
          <w:sz w:val="22"/>
          <w:szCs w:val="22"/>
        </w:rPr>
      </w:pPr>
      <w:r w:rsidRPr="005307EF">
        <w:rPr>
          <w:rFonts w:asciiTheme="minorHAnsi" w:hAnsiTheme="minorHAnsi"/>
          <w:sz w:val="22"/>
          <w:szCs w:val="22"/>
        </w:rPr>
        <w:t>This data collection will not impact small business or other small entities</w:t>
      </w:r>
      <w:r w:rsidR="00484C46">
        <w:rPr>
          <w:rFonts w:asciiTheme="minorHAnsi" w:hAnsiTheme="minorHAnsi"/>
          <w:sz w:val="22"/>
          <w:szCs w:val="22"/>
        </w:rPr>
        <w:t>.</w:t>
      </w:r>
      <w:r w:rsidRPr="005307EF">
        <w:rPr>
          <w:rFonts w:asciiTheme="minorHAnsi" w:hAnsiTheme="minorHAnsi"/>
          <w:sz w:val="22"/>
          <w:szCs w:val="22"/>
        </w:rPr>
        <w:t xml:space="preserve"> </w:t>
      </w:r>
    </w:p>
    <w:p w:rsidR="00D84D9E" w:rsidRPr="005307EF" w:rsidP="00EE7754" w14:paraId="037F4971" w14:textId="77777777">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Consequences of Collecting the Information Less Frequently</w:t>
      </w:r>
    </w:p>
    <w:p w:rsidR="00A9094F" w:rsidP="00977394" w14:paraId="4FECDE6B" w14:textId="77777777">
      <w:pPr>
        <w:pStyle w:val="CommentText"/>
        <w:rPr>
          <w:rFonts w:asciiTheme="minorHAnsi" w:hAnsiTheme="minorHAnsi" w:cstheme="minorHAnsi"/>
          <w:sz w:val="22"/>
          <w:szCs w:val="22"/>
        </w:rPr>
      </w:pPr>
    </w:p>
    <w:p w:rsidR="00D84D9E" w:rsidRPr="00977394" w:rsidP="00977394" w14:paraId="45311971" w14:textId="12F4DC2B">
      <w:pPr>
        <w:pStyle w:val="CommentText"/>
        <w:rPr>
          <w:rFonts w:asciiTheme="minorHAnsi" w:hAnsiTheme="minorHAnsi" w:cstheme="minorHAnsi"/>
          <w:sz w:val="22"/>
          <w:szCs w:val="22"/>
        </w:rPr>
      </w:pPr>
      <w:r>
        <w:rPr>
          <w:rFonts w:asciiTheme="minorHAnsi" w:hAnsiTheme="minorHAnsi"/>
          <w:sz w:val="22"/>
          <w:szCs w:val="22"/>
        </w:rPr>
        <w:t>MCHB’s intent is for</w:t>
      </w:r>
      <w:r w:rsidR="00A8119A">
        <w:rPr>
          <w:rFonts w:asciiTheme="minorHAnsi" w:hAnsiTheme="minorHAnsi"/>
          <w:sz w:val="22"/>
          <w:szCs w:val="22"/>
        </w:rPr>
        <w:t xml:space="preserve"> data collection </w:t>
      </w:r>
      <w:r>
        <w:rPr>
          <w:rFonts w:asciiTheme="minorHAnsi" w:hAnsiTheme="minorHAnsi"/>
          <w:sz w:val="22"/>
          <w:szCs w:val="22"/>
        </w:rPr>
        <w:t>to</w:t>
      </w:r>
      <w:r w:rsidR="00A8119A">
        <w:rPr>
          <w:rFonts w:asciiTheme="minorHAnsi" w:hAnsiTheme="minorHAnsi"/>
          <w:sz w:val="22"/>
          <w:szCs w:val="22"/>
        </w:rPr>
        <w:t xml:space="preserve"> occur</w:t>
      </w:r>
      <w:r w:rsidR="00367001">
        <w:rPr>
          <w:rFonts w:asciiTheme="minorHAnsi" w:hAnsiTheme="minorHAnsi"/>
          <w:sz w:val="22"/>
          <w:szCs w:val="22"/>
        </w:rPr>
        <w:t xml:space="preserve"> every two years in each jurisdiction. </w:t>
      </w:r>
      <w:r w:rsidR="00A8119A">
        <w:rPr>
          <w:rFonts w:asciiTheme="minorHAnsi" w:hAnsiTheme="minorHAnsi"/>
          <w:sz w:val="22"/>
          <w:szCs w:val="22"/>
        </w:rPr>
        <w:t>Collecting the information less frequently woul</w:t>
      </w:r>
      <w:r w:rsidR="00367001">
        <w:rPr>
          <w:rFonts w:asciiTheme="minorHAnsi" w:hAnsiTheme="minorHAnsi"/>
          <w:sz w:val="22"/>
          <w:szCs w:val="22"/>
        </w:rPr>
        <w:t>d prevent the jurisdictions from measuring progress against national performance and outcome measures and demonstrate impact of Title V funding.</w:t>
      </w:r>
    </w:p>
    <w:p w:rsidR="00D84D9E" w:rsidRPr="00EA6872" w:rsidP="00EE7754" w14:paraId="07A9D008" w14:textId="670F864C">
      <w:pPr>
        <w:numPr>
          <w:ilvl w:val="0"/>
          <w:numId w:val="5"/>
        </w:numPr>
        <w:spacing w:before="240" w:after="240"/>
        <w:rPr>
          <w:rFonts w:asciiTheme="minorHAnsi" w:hAnsiTheme="minorHAnsi"/>
          <w:b/>
          <w:sz w:val="22"/>
          <w:szCs w:val="22"/>
        </w:rPr>
      </w:pPr>
      <w:r w:rsidRPr="005307EF">
        <w:rPr>
          <w:rFonts w:asciiTheme="minorHAnsi" w:hAnsiTheme="minorHAnsi"/>
          <w:b/>
          <w:sz w:val="22"/>
          <w:szCs w:val="22"/>
          <w:u w:val="single"/>
        </w:rPr>
        <w:t>Special Circumstances Relating to the Guidelines of 5 CFR 1320.5</w:t>
      </w:r>
    </w:p>
    <w:p w:rsidR="00A91CFF" w:rsidRPr="00297878" w:rsidP="00A91CFF" w14:paraId="7EF7E933" w14:textId="77777777">
      <w:pPr>
        <w:widowControl/>
        <w:autoSpaceDE/>
        <w:autoSpaceDN/>
        <w:adjustRightInd/>
        <w:jc w:val="both"/>
        <w:rPr>
          <w:rFonts w:eastAsia="Calibri" w:asciiTheme="minorHAnsi" w:hAnsiTheme="minorHAnsi" w:cstheme="minorHAnsi"/>
          <w:color w:val="000000" w:themeColor="text1"/>
          <w:sz w:val="22"/>
          <w:szCs w:val="22"/>
        </w:rPr>
      </w:pPr>
      <w:r w:rsidRPr="00297878">
        <w:rPr>
          <w:rFonts w:eastAsia="Calibri" w:asciiTheme="minorHAnsi" w:hAnsiTheme="minorHAnsi" w:cstheme="minorHAnsi"/>
          <w:color w:val="000000" w:themeColor="text1"/>
          <w:sz w:val="22"/>
          <w:szCs w:val="22"/>
        </w:rPr>
        <w:t>The proposed data collection is consistent with guidelines set forth in 5 CFR 1320.5(d) (2).</w:t>
      </w:r>
    </w:p>
    <w:p w:rsidR="00D84D9E" w:rsidRPr="005307EF" w:rsidP="00EE7754" w14:paraId="133E931F" w14:textId="77777777">
      <w:pPr>
        <w:numPr>
          <w:ilvl w:val="0"/>
          <w:numId w:val="5"/>
        </w:numPr>
        <w:spacing w:before="240"/>
        <w:rPr>
          <w:rFonts w:asciiTheme="minorHAnsi" w:hAnsiTheme="minorHAnsi"/>
          <w:b/>
          <w:sz w:val="22"/>
          <w:szCs w:val="22"/>
        </w:rPr>
      </w:pPr>
      <w:r w:rsidRPr="005307EF">
        <w:rPr>
          <w:rFonts w:asciiTheme="minorHAnsi" w:hAnsiTheme="minorHAnsi"/>
          <w:b/>
          <w:iCs/>
          <w:sz w:val="22"/>
          <w:szCs w:val="22"/>
          <w:u w:val="single"/>
        </w:rPr>
        <w:t>Comments in Response to the Federal Register</w:t>
      </w:r>
      <w:r w:rsidRPr="005307EF">
        <w:rPr>
          <w:rFonts w:asciiTheme="minorHAnsi" w:hAnsiTheme="minorHAnsi"/>
          <w:b/>
          <w:sz w:val="22"/>
          <w:szCs w:val="22"/>
          <w:u w:val="single"/>
        </w:rPr>
        <w:t xml:space="preserve"> Notice/Outside Consultation</w:t>
      </w:r>
    </w:p>
    <w:p w:rsidR="008928B4" w:rsidRPr="007A7F36" w:rsidP="008928B4" w14:paraId="2C4F2DDF" w14:textId="77777777">
      <w:pPr>
        <w:spacing w:before="120" w:after="120"/>
        <w:rPr>
          <w:rFonts w:asciiTheme="minorHAnsi" w:hAnsiTheme="minorHAnsi"/>
          <w:b/>
          <w:sz w:val="22"/>
          <w:szCs w:val="22"/>
        </w:rPr>
      </w:pPr>
      <w:r w:rsidRPr="007A7F36">
        <w:rPr>
          <w:rFonts w:asciiTheme="minorHAnsi" w:hAnsiTheme="minorHAnsi"/>
          <w:b/>
          <w:sz w:val="22"/>
          <w:szCs w:val="22"/>
        </w:rPr>
        <w:t>Section 8A:</w:t>
      </w:r>
    </w:p>
    <w:p w:rsidR="008928B4" w:rsidP="008928B4" w14:paraId="749F9442" w14:textId="14BE8FD3">
      <w:pPr>
        <w:spacing w:before="120" w:after="120"/>
        <w:rPr>
          <w:rFonts w:asciiTheme="minorHAnsi" w:hAnsiTheme="minorHAnsi"/>
          <w:sz w:val="22"/>
          <w:szCs w:val="22"/>
        </w:rPr>
      </w:pPr>
      <w:r w:rsidRPr="0033093B">
        <w:rPr>
          <w:rFonts w:asciiTheme="minorHAnsi" w:hAnsiTheme="minorHAnsi"/>
          <w:sz w:val="22"/>
          <w:szCs w:val="22"/>
        </w:rPr>
        <w:t>As required under</w:t>
      </w:r>
      <w:r w:rsidRPr="0033093B">
        <w:rPr>
          <w:rFonts w:asciiTheme="minorHAnsi" w:hAnsiTheme="minorHAnsi"/>
          <w:sz w:val="22"/>
          <w:szCs w:val="22"/>
        </w:rPr>
        <w:t xml:space="preserve"> 5 CFR 1320.8(d), a 60-day Federal Register Notice was published in the </w:t>
      </w:r>
      <w:r w:rsidRPr="0033093B">
        <w:rPr>
          <w:rFonts w:asciiTheme="minorHAnsi" w:hAnsiTheme="minorHAnsi"/>
          <w:i/>
          <w:iCs/>
          <w:sz w:val="22"/>
          <w:szCs w:val="22"/>
        </w:rPr>
        <w:t xml:space="preserve">Federal Register </w:t>
      </w:r>
      <w:r w:rsidRPr="0033093B">
        <w:rPr>
          <w:rFonts w:asciiTheme="minorHAnsi" w:hAnsiTheme="minorHAnsi"/>
          <w:sz w:val="22"/>
          <w:szCs w:val="22"/>
        </w:rPr>
        <w:t>on</w:t>
      </w:r>
      <w:r w:rsidRPr="0033093B" w:rsidR="00B64A14">
        <w:rPr>
          <w:rFonts w:asciiTheme="minorHAnsi" w:hAnsiTheme="minorHAnsi"/>
          <w:sz w:val="22"/>
          <w:szCs w:val="22"/>
        </w:rPr>
        <w:t xml:space="preserve"> </w:t>
      </w:r>
      <w:r w:rsidRPr="004B5553" w:rsidR="003B5245">
        <w:rPr>
          <w:rFonts w:asciiTheme="minorHAnsi" w:hAnsiTheme="minorHAnsi"/>
          <w:sz w:val="22"/>
          <w:szCs w:val="22"/>
        </w:rPr>
        <w:t>October</w:t>
      </w:r>
      <w:r w:rsidRPr="004B5553" w:rsidR="0021258E">
        <w:rPr>
          <w:rFonts w:asciiTheme="minorHAnsi" w:hAnsiTheme="minorHAnsi"/>
          <w:sz w:val="22"/>
          <w:szCs w:val="22"/>
        </w:rPr>
        <w:t xml:space="preserve"> </w:t>
      </w:r>
      <w:r w:rsidR="004B5553">
        <w:rPr>
          <w:rFonts w:asciiTheme="minorHAnsi" w:hAnsiTheme="minorHAnsi"/>
          <w:sz w:val="22"/>
          <w:szCs w:val="22"/>
        </w:rPr>
        <w:t>31</w:t>
      </w:r>
      <w:r w:rsidRPr="004B5553" w:rsidR="00B64A14">
        <w:rPr>
          <w:rFonts w:asciiTheme="minorHAnsi" w:hAnsiTheme="minorHAnsi"/>
          <w:sz w:val="22"/>
          <w:szCs w:val="22"/>
        </w:rPr>
        <w:t>, 20</w:t>
      </w:r>
      <w:r w:rsidRPr="004B5553" w:rsidR="00B64CE9">
        <w:rPr>
          <w:rFonts w:asciiTheme="minorHAnsi" w:hAnsiTheme="minorHAnsi"/>
          <w:sz w:val="22"/>
          <w:szCs w:val="22"/>
        </w:rPr>
        <w:t>2</w:t>
      </w:r>
      <w:r w:rsidRPr="004B5553" w:rsidR="006F2D6B">
        <w:rPr>
          <w:rFonts w:asciiTheme="minorHAnsi" w:hAnsiTheme="minorHAnsi"/>
          <w:sz w:val="22"/>
          <w:szCs w:val="22"/>
        </w:rPr>
        <w:t>4</w:t>
      </w:r>
      <w:r w:rsidRPr="004B5553" w:rsidR="00B64A14">
        <w:rPr>
          <w:rFonts w:asciiTheme="minorHAnsi" w:hAnsiTheme="minorHAnsi"/>
          <w:sz w:val="22"/>
          <w:szCs w:val="22"/>
        </w:rPr>
        <w:t xml:space="preserve">, vol. </w:t>
      </w:r>
      <w:r w:rsidR="004B5553">
        <w:rPr>
          <w:rFonts w:asciiTheme="minorHAnsi" w:hAnsiTheme="minorHAnsi"/>
          <w:sz w:val="22"/>
          <w:szCs w:val="22"/>
        </w:rPr>
        <w:t>89</w:t>
      </w:r>
      <w:r w:rsidRPr="004B5553" w:rsidR="00B64A14">
        <w:rPr>
          <w:rFonts w:asciiTheme="minorHAnsi" w:hAnsiTheme="minorHAnsi"/>
          <w:sz w:val="22"/>
          <w:szCs w:val="22"/>
        </w:rPr>
        <w:t xml:space="preserve">, No. </w:t>
      </w:r>
      <w:r w:rsidR="004B5553">
        <w:rPr>
          <w:rFonts w:asciiTheme="minorHAnsi" w:hAnsiTheme="minorHAnsi"/>
          <w:sz w:val="22"/>
          <w:szCs w:val="22"/>
        </w:rPr>
        <w:t>211</w:t>
      </w:r>
      <w:r w:rsidRPr="004B5553" w:rsidR="00B64A14">
        <w:rPr>
          <w:rFonts w:asciiTheme="minorHAnsi" w:hAnsiTheme="minorHAnsi"/>
          <w:sz w:val="22"/>
          <w:szCs w:val="22"/>
        </w:rPr>
        <w:t>:</w:t>
      </w:r>
      <w:r w:rsidRPr="004B5553" w:rsidR="00516021">
        <w:rPr>
          <w:rFonts w:asciiTheme="minorHAnsi" w:hAnsiTheme="minorHAnsi"/>
          <w:sz w:val="22"/>
          <w:szCs w:val="22"/>
        </w:rPr>
        <w:t xml:space="preserve"> pp. </w:t>
      </w:r>
      <w:r w:rsidR="004B5553">
        <w:rPr>
          <w:rFonts w:asciiTheme="minorHAnsi" w:hAnsiTheme="minorHAnsi"/>
          <w:sz w:val="22"/>
          <w:szCs w:val="22"/>
        </w:rPr>
        <w:t>86822</w:t>
      </w:r>
      <w:r w:rsidRPr="004B5553" w:rsidR="00C1309D">
        <w:rPr>
          <w:rFonts w:asciiTheme="minorHAnsi" w:hAnsiTheme="minorHAnsi"/>
          <w:sz w:val="22"/>
          <w:szCs w:val="22"/>
        </w:rPr>
        <w:t xml:space="preserve"> - </w:t>
      </w:r>
      <w:r w:rsidR="004B5553">
        <w:rPr>
          <w:rFonts w:asciiTheme="minorHAnsi" w:hAnsiTheme="minorHAnsi"/>
          <w:sz w:val="22"/>
          <w:szCs w:val="22"/>
        </w:rPr>
        <w:t>86823</w:t>
      </w:r>
      <w:r w:rsidRPr="0021258E">
        <w:rPr>
          <w:rFonts w:asciiTheme="minorHAnsi" w:hAnsiTheme="minorHAnsi"/>
          <w:sz w:val="22"/>
          <w:szCs w:val="22"/>
        </w:rPr>
        <w:t>.</w:t>
      </w:r>
      <w:r w:rsidRPr="0033093B">
        <w:rPr>
          <w:rFonts w:asciiTheme="minorHAnsi" w:hAnsiTheme="minorHAnsi"/>
          <w:sz w:val="22"/>
          <w:szCs w:val="22"/>
        </w:rPr>
        <w:t xml:space="preserve"> </w:t>
      </w:r>
      <w:r w:rsidR="00B50B11">
        <w:rPr>
          <w:rFonts w:asciiTheme="minorHAnsi" w:hAnsiTheme="minorHAnsi"/>
          <w:sz w:val="22"/>
          <w:szCs w:val="22"/>
        </w:rPr>
        <w:t>No comments were received.</w:t>
      </w:r>
    </w:p>
    <w:p w:rsidR="0044087F" w:rsidRPr="007A7F36" w:rsidP="008928B4" w14:paraId="23A481A2" w14:textId="4AF3435E">
      <w:pPr>
        <w:spacing w:before="120" w:after="120"/>
        <w:rPr>
          <w:rFonts w:asciiTheme="minorHAnsi" w:hAnsiTheme="minorHAnsi"/>
          <w:sz w:val="22"/>
          <w:szCs w:val="22"/>
        </w:rPr>
      </w:pPr>
      <w:r>
        <w:rPr>
          <w:rFonts w:asciiTheme="minorHAnsi" w:hAnsiTheme="minorHAnsi"/>
          <w:sz w:val="22"/>
          <w:szCs w:val="22"/>
        </w:rPr>
        <w:t>A</w:t>
      </w:r>
      <w:r w:rsidRPr="0033093B">
        <w:rPr>
          <w:rFonts w:asciiTheme="minorHAnsi" w:hAnsiTheme="minorHAnsi"/>
          <w:sz w:val="22"/>
          <w:szCs w:val="22"/>
        </w:rPr>
        <w:t xml:space="preserve"> </w:t>
      </w:r>
      <w:r>
        <w:rPr>
          <w:rFonts w:asciiTheme="minorHAnsi" w:hAnsiTheme="minorHAnsi"/>
          <w:sz w:val="22"/>
          <w:szCs w:val="22"/>
        </w:rPr>
        <w:t>30</w:t>
      </w:r>
      <w:r w:rsidRPr="0033093B">
        <w:rPr>
          <w:rFonts w:asciiTheme="minorHAnsi" w:hAnsiTheme="minorHAnsi"/>
          <w:sz w:val="22"/>
          <w:szCs w:val="22"/>
        </w:rPr>
        <w:t xml:space="preserve">-day Federal Register Notice was published in the </w:t>
      </w:r>
      <w:r w:rsidRPr="0033093B">
        <w:rPr>
          <w:rFonts w:asciiTheme="minorHAnsi" w:hAnsiTheme="minorHAnsi"/>
          <w:i/>
          <w:iCs/>
          <w:sz w:val="22"/>
          <w:szCs w:val="22"/>
        </w:rPr>
        <w:t xml:space="preserve">Federal Register </w:t>
      </w:r>
      <w:r w:rsidRPr="0033093B">
        <w:rPr>
          <w:rFonts w:asciiTheme="minorHAnsi" w:hAnsiTheme="minorHAnsi"/>
          <w:sz w:val="22"/>
          <w:szCs w:val="22"/>
        </w:rPr>
        <w:t xml:space="preserve">on </w:t>
      </w:r>
      <w:r w:rsidR="00011F6F">
        <w:rPr>
          <w:rFonts w:asciiTheme="minorHAnsi" w:hAnsiTheme="minorHAnsi"/>
          <w:sz w:val="22"/>
          <w:szCs w:val="22"/>
        </w:rPr>
        <w:t>January 17, 202</w:t>
      </w:r>
      <w:r w:rsidR="008E177C">
        <w:rPr>
          <w:rFonts w:asciiTheme="minorHAnsi" w:hAnsiTheme="minorHAnsi"/>
          <w:sz w:val="22"/>
          <w:szCs w:val="22"/>
        </w:rPr>
        <w:t>5</w:t>
      </w:r>
      <w:r w:rsidRPr="004B5553">
        <w:rPr>
          <w:rFonts w:asciiTheme="minorHAnsi" w:hAnsiTheme="minorHAnsi"/>
          <w:sz w:val="22"/>
          <w:szCs w:val="22"/>
        </w:rPr>
        <w:t xml:space="preserve">, vol. </w:t>
      </w:r>
      <w:r>
        <w:rPr>
          <w:rFonts w:asciiTheme="minorHAnsi" w:hAnsiTheme="minorHAnsi"/>
          <w:sz w:val="22"/>
          <w:szCs w:val="22"/>
        </w:rPr>
        <w:t>90</w:t>
      </w:r>
      <w:r w:rsidRPr="004B5553">
        <w:rPr>
          <w:rFonts w:asciiTheme="minorHAnsi" w:hAnsiTheme="minorHAnsi"/>
          <w:sz w:val="22"/>
          <w:szCs w:val="22"/>
        </w:rPr>
        <w:t xml:space="preserve">, No. </w:t>
      </w:r>
      <w:r>
        <w:rPr>
          <w:rFonts w:asciiTheme="minorHAnsi" w:hAnsiTheme="minorHAnsi"/>
          <w:sz w:val="22"/>
          <w:szCs w:val="22"/>
        </w:rPr>
        <w:t>11</w:t>
      </w:r>
      <w:r w:rsidRPr="004B5553">
        <w:rPr>
          <w:rFonts w:asciiTheme="minorHAnsi" w:hAnsiTheme="minorHAnsi"/>
          <w:sz w:val="22"/>
          <w:szCs w:val="22"/>
        </w:rPr>
        <w:t xml:space="preserve">: pp. </w:t>
      </w:r>
      <w:r w:rsidRPr="0044087F">
        <w:rPr>
          <w:rFonts w:asciiTheme="minorHAnsi" w:hAnsiTheme="minorHAnsi"/>
          <w:sz w:val="22"/>
          <w:szCs w:val="22"/>
        </w:rPr>
        <w:t>5913</w:t>
      </w:r>
      <w:r>
        <w:rPr>
          <w:rFonts w:asciiTheme="minorHAnsi" w:hAnsiTheme="minorHAnsi"/>
          <w:sz w:val="22"/>
          <w:szCs w:val="22"/>
        </w:rPr>
        <w:t xml:space="preserve"> - </w:t>
      </w:r>
      <w:r w:rsidRPr="0044087F">
        <w:rPr>
          <w:rFonts w:asciiTheme="minorHAnsi" w:hAnsiTheme="minorHAnsi"/>
          <w:sz w:val="22"/>
          <w:szCs w:val="22"/>
        </w:rPr>
        <w:t>59</w:t>
      </w:r>
      <w:r>
        <w:rPr>
          <w:rFonts w:asciiTheme="minorHAnsi" w:hAnsiTheme="minorHAnsi"/>
          <w:sz w:val="22"/>
          <w:szCs w:val="22"/>
        </w:rPr>
        <w:t>14</w:t>
      </w:r>
      <w:r w:rsidRPr="0021258E">
        <w:rPr>
          <w:rFonts w:asciiTheme="minorHAnsi" w:hAnsiTheme="minorHAnsi"/>
          <w:sz w:val="22"/>
          <w:szCs w:val="22"/>
        </w:rPr>
        <w:t>.</w:t>
      </w:r>
      <w:r w:rsidRPr="0033093B">
        <w:rPr>
          <w:rFonts w:asciiTheme="minorHAnsi" w:hAnsiTheme="minorHAnsi"/>
          <w:sz w:val="22"/>
          <w:szCs w:val="22"/>
        </w:rPr>
        <w:t xml:space="preserve"> </w:t>
      </w:r>
    </w:p>
    <w:p w:rsidR="008928B4" w:rsidRPr="007A7F36" w:rsidP="008928B4" w14:paraId="2907966C" w14:textId="77777777">
      <w:pPr>
        <w:spacing w:before="120" w:after="120"/>
        <w:rPr>
          <w:rFonts w:asciiTheme="minorHAnsi" w:hAnsiTheme="minorHAnsi"/>
          <w:b/>
          <w:sz w:val="22"/>
          <w:szCs w:val="22"/>
        </w:rPr>
      </w:pPr>
      <w:r w:rsidRPr="007A7F36">
        <w:rPr>
          <w:rFonts w:asciiTheme="minorHAnsi" w:hAnsiTheme="minorHAnsi"/>
          <w:b/>
          <w:sz w:val="22"/>
          <w:szCs w:val="22"/>
        </w:rPr>
        <w:t>Section 8B:</w:t>
      </w:r>
    </w:p>
    <w:p w:rsidR="00340C82" w:rsidP="00976CE3" w14:paraId="6855F3D5" w14:textId="26C2B46C">
      <w:pPr>
        <w:tabs>
          <w:tab w:val="left" w:pos="1080"/>
          <w:tab w:val="left" w:pos="1440"/>
        </w:tabs>
        <w:spacing w:before="240"/>
        <w:rPr>
          <w:rFonts w:asciiTheme="minorHAnsi" w:hAnsiTheme="minorHAnsi"/>
          <w:sz w:val="22"/>
          <w:szCs w:val="22"/>
        </w:rPr>
      </w:pPr>
      <w:r w:rsidRPr="00416B7B">
        <w:rPr>
          <w:rFonts w:asciiTheme="minorHAnsi" w:hAnsiTheme="minorHAnsi"/>
          <w:sz w:val="22"/>
          <w:szCs w:val="22"/>
        </w:rPr>
        <w:t>In order to design the survey for these eight jurisdictions, a comprehensive assessment to identify the priority needs for each jurisdiction was conducted. M</w:t>
      </w:r>
      <w:r w:rsidRPr="00416B7B" w:rsidR="00A82CC1">
        <w:rPr>
          <w:rFonts w:asciiTheme="minorHAnsi" w:hAnsiTheme="minorHAnsi"/>
          <w:sz w:val="22"/>
          <w:szCs w:val="22"/>
        </w:rPr>
        <w:t xml:space="preserve">embers of the contractor team met with </w:t>
      </w:r>
      <w:r w:rsidRPr="00AF4F23" w:rsidR="00AF4F23">
        <w:rPr>
          <w:rFonts w:asciiTheme="minorHAnsi" w:hAnsiTheme="minorHAnsi"/>
          <w:sz w:val="22"/>
          <w:szCs w:val="22"/>
        </w:rPr>
        <w:t>MCH Block Grant</w:t>
      </w:r>
      <w:r w:rsidRPr="00416B7B" w:rsidR="00A82CC1">
        <w:rPr>
          <w:rFonts w:asciiTheme="minorHAnsi" w:hAnsiTheme="minorHAnsi"/>
          <w:sz w:val="22"/>
          <w:szCs w:val="22"/>
        </w:rPr>
        <w:t xml:space="preserve"> leadership and program staff in the jurisdictions at an in-person meeting; reviewed </w:t>
      </w:r>
      <w:r w:rsidRPr="00AF4F23" w:rsidR="00AF4F23">
        <w:rPr>
          <w:rFonts w:asciiTheme="minorHAnsi" w:hAnsiTheme="minorHAnsi"/>
          <w:sz w:val="22"/>
          <w:szCs w:val="22"/>
        </w:rPr>
        <w:t xml:space="preserve">MCH Block Grant </w:t>
      </w:r>
      <w:r w:rsidRPr="00416B7B" w:rsidR="00A82CC1">
        <w:rPr>
          <w:rFonts w:asciiTheme="minorHAnsi" w:hAnsiTheme="minorHAnsi"/>
          <w:sz w:val="22"/>
          <w:szCs w:val="22"/>
        </w:rPr>
        <w:t>program documents for each of the eight jurisdictions; reached out to experts at the Centers for Disease Control and Prevention (CDC) and other organizations with relevant data collection experience; and held individual meetings with each jurisdiction by phone</w:t>
      </w:r>
      <w:r w:rsidRPr="00416B7B">
        <w:rPr>
          <w:rFonts w:asciiTheme="minorHAnsi" w:hAnsiTheme="minorHAnsi"/>
          <w:sz w:val="22"/>
          <w:szCs w:val="22"/>
        </w:rPr>
        <w:t xml:space="preserve"> or web</w:t>
      </w:r>
      <w:r w:rsidRPr="00416B7B" w:rsidR="00A82CC1">
        <w:rPr>
          <w:rFonts w:asciiTheme="minorHAnsi" w:hAnsiTheme="minorHAnsi"/>
          <w:sz w:val="22"/>
          <w:szCs w:val="22"/>
        </w:rPr>
        <w:t>.</w:t>
      </w:r>
      <w:r w:rsidRPr="00416B7B">
        <w:rPr>
          <w:rFonts w:asciiTheme="minorHAnsi" w:hAnsiTheme="minorHAnsi"/>
          <w:sz w:val="22"/>
          <w:szCs w:val="22"/>
        </w:rPr>
        <w:t xml:space="preserve"> </w:t>
      </w:r>
      <w:r w:rsidRPr="00AF4F23" w:rsidR="00AF4F23">
        <w:rPr>
          <w:rFonts w:asciiTheme="minorHAnsi" w:hAnsiTheme="minorHAnsi"/>
          <w:sz w:val="22"/>
          <w:szCs w:val="22"/>
        </w:rPr>
        <w:t>MCH Block Grant</w:t>
      </w:r>
      <w:r w:rsidRPr="00416B7B">
        <w:rPr>
          <w:rFonts w:asciiTheme="minorHAnsi" w:hAnsiTheme="minorHAnsi"/>
          <w:sz w:val="22"/>
          <w:szCs w:val="22"/>
        </w:rPr>
        <w:t xml:space="preserve"> leadership and program staff in the jurisdictions have all had the opportunity to review and provide feedback on the survey questions. In addition, Title V leadership and program staff in the jurisdictions have provided input on the plans for data </w:t>
      </w:r>
      <w:r w:rsidR="00ED7ED0">
        <w:rPr>
          <w:rFonts w:asciiTheme="minorHAnsi" w:hAnsiTheme="minorHAnsi"/>
          <w:sz w:val="22"/>
          <w:szCs w:val="22"/>
        </w:rPr>
        <w:t>sampling/</w:t>
      </w:r>
      <w:r w:rsidRPr="00416B7B">
        <w:rPr>
          <w:rFonts w:asciiTheme="minorHAnsi" w:hAnsiTheme="minorHAnsi"/>
          <w:sz w:val="22"/>
          <w:szCs w:val="22"/>
        </w:rPr>
        <w:t xml:space="preserve">collection, </w:t>
      </w:r>
      <w:r w:rsidRPr="00416B7B" w:rsidR="00E543DB">
        <w:rPr>
          <w:rFonts w:asciiTheme="minorHAnsi" w:hAnsiTheme="minorHAnsi"/>
          <w:sz w:val="22"/>
          <w:szCs w:val="22"/>
        </w:rPr>
        <w:t xml:space="preserve">and </w:t>
      </w:r>
      <w:r w:rsidRPr="00416B7B">
        <w:rPr>
          <w:rFonts w:asciiTheme="minorHAnsi" w:hAnsiTheme="minorHAnsi"/>
          <w:sz w:val="22"/>
          <w:szCs w:val="22"/>
        </w:rPr>
        <w:t>languages in which to complete the survey.</w:t>
      </w:r>
      <w:r>
        <w:rPr>
          <w:rFonts w:asciiTheme="minorHAnsi" w:hAnsiTheme="minorHAnsi"/>
          <w:sz w:val="22"/>
          <w:szCs w:val="22"/>
        </w:rPr>
        <w:t xml:space="preserve"> </w:t>
      </w:r>
      <w:r w:rsidR="00251C56">
        <w:rPr>
          <w:rFonts w:asciiTheme="minorHAnsi" w:hAnsiTheme="minorHAnsi"/>
          <w:sz w:val="22"/>
          <w:szCs w:val="22"/>
        </w:rPr>
        <w:t>A</w:t>
      </w:r>
      <w:r w:rsidRPr="00862DE9" w:rsidR="00862DE9">
        <w:rPr>
          <w:rFonts w:asciiTheme="minorHAnsi" w:hAnsiTheme="minorHAnsi"/>
          <w:sz w:val="22"/>
          <w:szCs w:val="22"/>
        </w:rPr>
        <w:t xml:space="preserve"> pretest of the survey instrument </w:t>
      </w:r>
      <w:r w:rsidR="00251C56">
        <w:rPr>
          <w:rFonts w:asciiTheme="minorHAnsi" w:hAnsiTheme="minorHAnsi"/>
          <w:sz w:val="22"/>
          <w:szCs w:val="22"/>
        </w:rPr>
        <w:t xml:space="preserve">was conducted </w:t>
      </w:r>
      <w:r w:rsidRPr="00862DE9" w:rsidR="00862DE9">
        <w:rPr>
          <w:rFonts w:asciiTheme="minorHAnsi" w:hAnsiTheme="minorHAnsi"/>
          <w:sz w:val="22"/>
          <w:szCs w:val="22"/>
        </w:rPr>
        <w:t>across all eight jurisdictions in the summer of 2018</w:t>
      </w:r>
      <w:r w:rsidR="0049104B">
        <w:rPr>
          <w:rFonts w:asciiTheme="minorHAnsi" w:hAnsiTheme="minorHAnsi"/>
          <w:sz w:val="22"/>
          <w:szCs w:val="22"/>
        </w:rPr>
        <w:t>, under OMB Control Number 0915-0379</w:t>
      </w:r>
      <w:r w:rsidRPr="00862DE9" w:rsidR="00862DE9">
        <w:rPr>
          <w:rFonts w:asciiTheme="minorHAnsi" w:hAnsiTheme="minorHAnsi"/>
          <w:sz w:val="22"/>
          <w:szCs w:val="22"/>
        </w:rPr>
        <w:t xml:space="preserve">. </w:t>
      </w:r>
      <w:r w:rsidR="00251C56">
        <w:rPr>
          <w:rFonts w:asciiTheme="minorHAnsi" w:hAnsiTheme="minorHAnsi"/>
          <w:sz w:val="22"/>
          <w:szCs w:val="22"/>
        </w:rPr>
        <w:t>D</w:t>
      </w:r>
      <w:r w:rsidRPr="00862DE9" w:rsidR="00862DE9">
        <w:rPr>
          <w:rFonts w:asciiTheme="minorHAnsi" w:hAnsiTheme="minorHAnsi"/>
          <w:sz w:val="22"/>
          <w:szCs w:val="22"/>
        </w:rPr>
        <w:t xml:space="preserve">ebriefing interviews </w:t>
      </w:r>
      <w:r w:rsidR="00251C56">
        <w:rPr>
          <w:rFonts w:asciiTheme="minorHAnsi" w:hAnsiTheme="minorHAnsi"/>
          <w:sz w:val="22"/>
          <w:szCs w:val="22"/>
        </w:rPr>
        <w:t xml:space="preserve">were held </w:t>
      </w:r>
      <w:r w:rsidRPr="00862DE9" w:rsidR="00862DE9">
        <w:rPr>
          <w:rFonts w:asciiTheme="minorHAnsi" w:hAnsiTheme="minorHAnsi"/>
          <w:sz w:val="22"/>
          <w:szCs w:val="22"/>
        </w:rPr>
        <w:t xml:space="preserve">with all interviewers, and their feedback was incorporated into the current survey. </w:t>
      </w:r>
    </w:p>
    <w:p w:rsidR="00340C82" w:rsidP="00976CE3" w14:paraId="4DCFA2A0" w14:textId="17243465">
      <w:pPr>
        <w:tabs>
          <w:tab w:val="left" w:pos="1080"/>
          <w:tab w:val="left" w:pos="1440"/>
        </w:tabs>
        <w:spacing w:before="240"/>
        <w:rPr>
          <w:rFonts w:asciiTheme="minorHAnsi" w:hAnsiTheme="minorHAnsi"/>
          <w:sz w:val="22"/>
          <w:szCs w:val="22"/>
        </w:rPr>
      </w:pPr>
      <w:r w:rsidRPr="00862DE9">
        <w:rPr>
          <w:rFonts w:asciiTheme="minorHAnsi" w:hAnsiTheme="minorHAnsi"/>
          <w:sz w:val="22"/>
          <w:szCs w:val="22"/>
        </w:rPr>
        <w:t>Following the first round of data collection in 2019 and 2020, program staff</w:t>
      </w:r>
      <w:r w:rsidR="00251C56">
        <w:rPr>
          <w:rFonts w:asciiTheme="minorHAnsi" w:hAnsiTheme="minorHAnsi"/>
          <w:sz w:val="22"/>
          <w:szCs w:val="22"/>
        </w:rPr>
        <w:t xml:space="preserve"> </w:t>
      </w:r>
      <w:r w:rsidRPr="00862DE9">
        <w:rPr>
          <w:rFonts w:asciiTheme="minorHAnsi" w:hAnsiTheme="minorHAnsi"/>
          <w:sz w:val="22"/>
          <w:szCs w:val="22"/>
        </w:rPr>
        <w:t xml:space="preserve">in the jurisdictions </w:t>
      </w:r>
      <w:r w:rsidR="00251C56">
        <w:rPr>
          <w:rFonts w:asciiTheme="minorHAnsi" w:hAnsiTheme="minorHAnsi"/>
          <w:sz w:val="22"/>
          <w:szCs w:val="22"/>
        </w:rPr>
        <w:t xml:space="preserve">were consulted </w:t>
      </w:r>
      <w:r w:rsidRPr="00862DE9">
        <w:rPr>
          <w:rFonts w:asciiTheme="minorHAnsi" w:hAnsiTheme="minorHAnsi"/>
          <w:sz w:val="22"/>
          <w:szCs w:val="22"/>
        </w:rPr>
        <w:t>to gather feedback on the collected data and methodology, as well as suggestions for future improvements.</w:t>
      </w:r>
      <w:r w:rsidRPr="00C46573" w:rsidR="00C46573">
        <w:rPr>
          <w:rFonts w:asciiTheme="minorHAnsi" w:hAnsiTheme="minorHAnsi"/>
          <w:sz w:val="22"/>
          <w:szCs w:val="22"/>
        </w:rPr>
        <w:t xml:space="preserve"> In response to the feedback from the jurisdictions, </w:t>
      </w:r>
      <w:r w:rsidR="00251C56">
        <w:rPr>
          <w:rFonts w:asciiTheme="minorHAnsi" w:hAnsiTheme="minorHAnsi"/>
          <w:sz w:val="22"/>
          <w:szCs w:val="22"/>
        </w:rPr>
        <w:t xml:space="preserve">the </w:t>
      </w:r>
      <w:r w:rsidRPr="00C46573" w:rsidR="00C46573">
        <w:rPr>
          <w:rFonts w:asciiTheme="minorHAnsi" w:hAnsiTheme="minorHAnsi"/>
          <w:sz w:val="22"/>
          <w:szCs w:val="22"/>
        </w:rPr>
        <w:t>sample size</w:t>
      </w:r>
      <w:r w:rsidR="00251C56">
        <w:rPr>
          <w:rFonts w:asciiTheme="minorHAnsi" w:hAnsiTheme="minorHAnsi"/>
          <w:sz w:val="22"/>
          <w:szCs w:val="22"/>
        </w:rPr>
        <w:t xml:space="preserve"> was increased</w:t>
      </w:r>
      <w:r w:rsidRPr="00C46573" w:rsidR="00C46573">
        <w:rPr>
          <w:rFonts w:asciiTheme="minorHAnsi" w:hAnsiTheme="minorHAnsi"/>
          <w:sz w:val="22"/>
          <w:szCs w:val="22"/>
        </w:rPr>
        <w:t xml:space="preserve">, data collection methods </w:t>
      </w:r>
      <w:r w:rsidR="00251C56">
        <w:rPr>
          <w:rFonts w:asciiTheme="minorHAnsi" w:hAnsiTheme="minorHAnsi"/>
          <w:sz w:val="22"/>
          <w:szCs w:val="22"/>
        </w:rPr>
        <w:t xml:space="preserve">were improved </w:t>
      </w:r>
      <w:r w:rsidRPr="00C46573" w:rsidR="00C46573">
        <w:rPr>
          <w:rFonts w:asciiTheme="minorHAnsi" w:hAnsiTheme="minorHAnsi"/>
          <w:sz w:val="22"/>
          <w:szCs w:val="22"/>
        </w:rPr>
        <w:t>to obtain more accurate height and weight measurements, additional survey translations</w:t>
      </w:r>
      <w:r w:rsidR="00251C56">
        <w:rPr>
          <w:rFonts w:asciiTheme="minorHAnsi" w:hAnsiTheme="minorHAnsi"/>
          <w:sz w:val="22"/>
          <w:szCs w:val="22"/>
        </w:rPr>
        <w:t xml:space="preserve"> were provided</w:t>
      </w:r>
      <w:r w:rsidRPr="00C46573" w:rsidR="00C46573">
        <w:rPr>
          <w:rFonts w:asciiTheme="minorHAnsi" w:hAnsiTheme="minorHAnsi"/>
          <w:sz w:val="22"/>
          <w:szCs w:val="22"/>
        </w:rPr>
        <w:t>, and survey questions</w:t>
      </w:r>
      <w:r w:rsidR="00251C56">
        <w:rPr>
          <w:rFonts w:asciiTheme="minorHAnsi" w:hAnsiTheme="minorHAnsi"/>
          <w:sz w:val="22"/>
          <w:szCs w:val="22"/>
        </w:rPr>
        <w:t xml:space="preserve"> were revised</w:t>
      </w:r>
      <w:r w:rsidRPr="00C46573" w:rsidR="00C46573">
        <w:rPr>
          <w:rFonts w:asciiTheme="minorHAnsi" w:hAnsiTheme="minorHAnsi"/>
          <w:sz w:val="22"/>
          <w:szCs w:val="22"/>
        </w:rPr>
        <w:t xml:space="preserve"> to better reflect jurisdiction priorities.</w:t>
      </w:r>
      <w:r w:rsidR="00C46573">
        <w:rPr>
          <w:rFonts w:asciiTheme="minorHAnsi" w:hAnsiTheme="minorHAnsi"/>
          <w:sz w:val="22"/>
          <w:szCs w:val="22"/>
        </w:rPr>
        <w:t xml:space="preserve"> </w:t>
      </w:r>
    </w:p>
    <w:p w:rsidR="00D7761D" w:rsidP="00976CE3" w14:paraId="5EBAFC76" w14:textId="0572E66B">
      <w:pPr>
        <w:tabs>
          <w:tab w:val="left" w:pos="1080"/>
          <w:tab w:val="left" w:pos="1440"/>
        </w:tabs>
        <w:spacing w:before="240"/>
        <w:rPr>
          <w:rFonts w:asciiTheme="minorHAnsi" w:hAnsiTheme="minorHAnsi"/>
          <w:sz w:val="22"/>
          <w:szCs w:val="22"/>
        </w:rPr>
      </w:pPr>
      <w:r w:rsidRPr="00862DE9">
        <w:rPr>
          <w:rFonts w:asciiTheme="minorHAnsi" w:hAnsiTheme="minorHAnsi"/>
          <w:sz w:val="22"/>
          <w:szCs w:val="22"/>
        </w:rPr>
        <w:t xml:space="preserve">In 2024, </w:t>
      </w:r>
      <w:r w:rsidR="00A0081A">
        <w:rPr>
          <w:rFonts w:asciiTheme="minorHAnsi" w:hAnsiTheme="minorHAnsi"/>
          <w:sz w:val="22"/>
          <w:szCs w:val="22"/>
        </w:rPr>
        <w:t>MCHB</w:t>
      </w:r>
      <w:r w:rsidRPr="00862DE9">
        <w:rPr>
          <w:rFonts w:asciiTheme="minorHAnsi" w:hAnsiTheme="minorHAnsi"/>
          <w:sz w:val="22"/>
          <w:szCs w:val="22"/>
        </w:rPr>
        <w:t xml:space="preserve"> </w:t>
      </w:r>
      <w:r w:rsidR="000B53F5">
        <w:rPr>
          <w:rFonts w:asciiTheme="minorHAnsi" w:hAnsiTheme="minorHAnsi"/>
          <w:sz w:val="22"/>
          <w:szCs w:val="22"/>
        </w:rPr>
        <w:t xml:space="preserve">again </w:t>
      </w:r>
      <w:r w:rsidRPr="00862DE9">
        <w:rPr>
          <w:rFonts w:asciiTheme="minorHAnsi" w:hAnsiTheme="minorHAnsi"/>
          <w:sz w:val="22"/>
          <w:szCs w:val="22"/>
        </w:rPr>
        <w:t>engaged with MCH Block Grant leadership and program staff</w:t>
      </w:r>
      <w:r w:rsidR="000B53F5">
        <w:rPr>
          <w:rFonts w:asciiTheme="minorHAnsi" w:hAnsiTheme="minorHAnsi"/>
          <w:sz w:val="22"/>
          <w:szCs w:val="22"/>
        </w:rPr>
        <w:t xml:space="preserve">. </w:t>
      </w:r>
      <w:r w:rsidR="00D30DD3">
        <w:rPr>
          <w:rFonts w:asciiTheme="minorHAnsi" w:hAnsiTheme="minorHAnsi"/>
          <w:sz w:val="22"/>
          <w:szCs w:val="22"/>
        </w:rPr>
        <w:t>In response to that d</w:t>
      </w:r>
      <w:r w:rsidR="000B53F5">
        <w:rPr>
          <w:rFonts w:asciiTheme="minorHAnsi" w:hAnsiTheme="minorHAnsi"/>
          <w:sz w:val="22"/>
          <w:szCs w:val="22"/>
        </w:rPr>
        <w:t>iscussion</w:t>
      </w:r>
      <w:r w:rsidR="00D30DD3">
        <w:rPr>
          <w:rFonts w:asciiTheme="minorHAnsi" w:hAnsiTheme="minorHAnsi"/>
          <w:sz w:val="22"/>
          <w:szCs w:val="22"/>
        </w:rPr>
        <w:t xml:space="preserve">, </w:t>
      </w:r>
      <w:r w:rsidRPr="00862DE9">
        <w:rPr>
          <w:rFonts w:asciiTheme="minorHAnsi" w:hAnsiTheme="minorHAnsi"/>
          <w:sz w:val="22"/>
          <w:szCs w:val="22"/>
        </w:rPr>
        <w:t>underperforming or outdated questions</w:t>
      </w:r>
      <w:r w:rsidR="00251C56">
        <w:rPr>
          <w:rFonts w:asciiTheme="minorHAnsi" w:hAnsiTheme="minorHAnsi"/>
          <w:sz w:val="22"/>
          <w:szCs w:val="22"/>
        </w:rPr>
        <w:t xml:space="preserve"> were identified</w:t>
      </w:r>
      <w:r w:rsidR="000B53F5">
        <w:rPr>
          <w:rFonts w:asciiTheme="minorHAnsi" w:hAnsiTheme="minorHAnsi"/>
          <w:sz w:val="22"/>
          <w:szCs w:val="22"/>
        </w:rPr>
        <w:t>,</w:t>
      </w:r>
      <w:r w:rsidRPr="00862DE9">
        <w:rPr>
          <w:rFonts w:asciiTheme="minorHAnsi" w:hAnsiTheme="minorHAnsi"/>
          <w:sz w:val="22"/>
          <w:szCs w:val="22"/>
        </w:rPr>
        <w:t xml:space="preserve"> questions essential for MCH Block Grant monitoring</w:t>
      </w:r>
      <w:r w:rsidR="00251C56">
        <w:rPr>
          <w:rFonts w:asciiTheme="minorHAnsi" w:hAnsiTheme="minorHAnsi"/>
          <w:sz w:val="22"/>
          <w:szCs w:val="22"/>
        </w:rPr>
        <w:t xml:space="preserve"> were introduced</w:t>
      </w:r>
      <w:r w:rsidR="000B53F5">
        <w:rPr>
          <w:rFonts w:asciiTheme="minorHAnsi" w:hAnsiTheme="minorHAnsi"/>
          <w:sz w:val="22"/>
          <w:szCs w:val="22"/>
        </w:rPr>
        <w:t xml:space="preserve">, </w:t>
      </w:r>
      <w:r w:rsidR="00D30DD3">
        <w:rPr>
          <w:rFonts w:asciiTheme="minorHAnsi" w:hAnsiTheme="minorHAnsi"/>
          <w:sz w:val="22"/>
          <w:szCs w:val="22"/>
        </w:rPr>
        <w:t>and the sample size</w:t>
      </w:r>
      <w:r w:rsidR="00251C56">
        <w:rPr>
          <w:rFonts w:asciiTheme="minorHAnsi" w:hAnsiTheme="minorHAnsi"/>
          <w:sz w:val="22"/>
          <w:szCs w:val="22"/>
        </w:rPr>
        <w:t xml:space="preserve"> was further increased</w:t>
      </w:r>
      <w:r w:rsidRPr="00862DE9">
        <w:rPr>
          <w:rFonts w:asciiTheme="minorHAnsi" w:hAnsiTheme="minorHAnsi"/>
          <w:sz w:val="22"/>
          <w:szCs w:val="22"/>
        </w:rPr>
        <w:t xml:space="preserve">. </w:t>
      </w:r>
    </w:p>
    <w:p w:rsidR="00D84D9E" w:rsidRPr="005307EF" w:rsidP="00EE7754" w14:paraId="19109942" w14:textId="67FCEA79">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Explanation of any Payment/Gift to Respondents</w:t>
      </w:r>
      <w:r w:rsidR="00A91CFF">
        <w:rPr>
          <w:rFonts w:asciiTheme="minorHAnsi" w:hAnsiTheme="minorHAnsi"/>
          <w:b/>
          <w:sz w:val="22"/>
          <w:szCs w:val="22"/>
          <w:u w:val="single"/>
        </w:rPr>
        <w:t xml:space="preserve">    </w:t>
      </w:r>
    </w:p>
    <w:p w:rsidR="00D84D9E" w:rsidRPr="005307EF" w:rsidP="00D84D9E" w14:paraId="2CD43E96" w14:textId="77777777">
      <w:pPr>
        <w:rPr>
          <w:rFonts w:asciiTheme="minorHAnsi" w:hAnsiTheme="minorHAnsi"/>
          <w:sz w:val="22"/>
          <w:szCs w:val="22"/>
        </w:rPr>
      </w:pPr>
    </w:p>
    <w:p w:rsidR="009A43B1" w:rsidRPr="00FE5547" w:rsidP="00827974" w14:paraId="2A620C69" w14:textId="5474FF61">
      <w:pPr>
        <w:rPr>
          <w:rFonts w:asciiTheme="minorHAnsi" w:hAnsiTheme="minorHAnsi" w:cstheme="minorHAnsi"/>
          <w:sz w:val="22"/>
          <w:szCs w:val="22"/>
        </w:rPr>
      </w:pPr>
      <w:r w:rsidRPr="00FE5547">
        <w:rPr>
          <w:rFonts w:asciiTheme="minorHAnsi" w:hAnsiTheme="minorHAnsi" w:cstheme="minorHAnsi"/>
          <w:sz w:val="22"/>
          <w:szCs w:val="22"/>
        </w:rPr>
        <w:t>R</w:t>
      </w:r>
      <w:r w:rsidRPr="00FE5547" w:rsidR="007654DE">
        <w:rPr>
          <w:rFonts w:asciiTheme="minorHAnsi" w:hAnsiTheme="minorHAnsi" w:cstheme="minorHAnsi"/>
          <w:sz w:val="22"/>
          <w:szCs w:val="22"/>
        </w:rPr>
        <w:t xml:space="preserve">espondents will receive </w:t>
      </w:r>
      <w:r w:rsidRPr="00FE5547" w:rsidR="00CE1461">
        <w:rPr>
          <w:rFonts w:asciiTheme="minorHAnsi" w:hAnsiTheme="minorHAnsi" w:cstheme="minorHAnsi"/>
          <w:sz w:val="22"/>
          <w:szCs w:val="22"/>
        </w:rPr>
        <w:t>a</w:t>
      </w:r>
      <w:r w:rsidRPr="00FE5547">
        <w:rPr>
          <w:rFonts w:asciiTheme="minorHAnsi" w:hAnsiTheme="minorHAnsi" w:cstheme="minorHAnsi"/>
          <w:sz w:val="22"/>
          <w:szCs w:val="22"/>
        </w:rPr>
        <w:t xml:space="preserve">n incentive </w:t>
      </w:r>
      <w:r w:rsidRPr="00FE5547" w:rsidR="00497839">
        <w:rPr>
          <w:rFonts w:asciiTheme="minorHAnsi" w:hAnsiTheme="minorHAnsi" w:cstheme="minorHAnsi"/>
          <w:sz w:val="22"/>
          <w:szCs w:val="22"/>
        </w:rPr>
        <w:t>to encourage their participation</w:t>
      </w:r>
      <w:r w:rsidRPr="00FE5547">
        <w:rPr>
          <w:rFonts w:asciiTheme="minorHAnsi" w:hAnsiTheme="minorHAnsi" w:cstheme="minorHAnsi"/>
          <w:sz w:val="22"/>
          <w:szCs w:val="22"/>
        </w:rPr>
        <w:t xml:space="preserve"> in every jurisdiction except Palau</w:t>
      </w:r>
      <w:r w:rsidR="008859A0">
        <w:rPr>
          <w:rFonts w:asciiTheme="minorHAnsi" w:hAnsiTheme="minorHAnsi" w:cstheme="minorHAnsi"/>
          <w:sz w:val="22"/>
          <w:szCs w:val="22"/>
        </w:rPr>
        <w:t xml:space="preserve"> that has specifically asked that no incentives be given in its jurisdiction</w:t>
      </w:r>
      <w:r w:rsidRPr="00FE5547" w:rsidR="00F54F88">
        <w:rPr>
          <w:rFonts w:asciiTheme="minorHAnsi" w:hAnsiTheme="minorHAnsi" w:cstheme="minorHAnsi"/>
          <w:sz w:val="22"/>
          <w:szCs w:val="22"/>
        </w:rPr>
        <w:t>.</w:t>
      </w:r>
      <w:r w:rsidR="00827974">
        <w:rPr>
          <w:rFonts w:asciiTheme="minorHAnsi" w:hAnsiTheme="minorHAnsi" w:cstheme="minorHAnsi"/>
          <w:sz w:val="22"/>
          <w:szCs w:val="22"/>
        </w:rPr>
        <w:t xml:space="preserve"> </w:t>
      </w:r>
      <w:r w:rsidRPr="00FE5547" w:rsidR="009412C5">
        <w:rPr>
          <w:rFonts w:asciiTheme="minorHAnsi" w:hAnsiTheme="minorHAnsi" w:cstheme="minorHAnsi"/>
          <w:sz w:val="22"/>
          <w:szCs w:val="22"/>
        </w:rPr>
        <w:t>No incentive was offered during the Pretest</w:t>
      </w:r>
      <w:r w:rsidR="0031440C">
        <w:rPr>
          <w:rFonts w:asciiTheme="minorHAnsi" w:hAnsiTheme="minorHAnsi" w:cstheme="minorHAnsi"/>
          <w:sz w:val="22"/>
          <w:szCs w:val="22"/>
        </w:rPr>
        <w:t>. I</w:t>
      </w:r>
      <w:r w:rsidRPr="00FE5547" w:rsidR="009412C5">
        <w:rPr>
          <w:rFonts w:asciiTheme="minorHAnsi" w:hAnsiTheme="minorHAnsi" w:cstheme="minorHAnsi"/>
          <w:sz w:val="22"/>
          <w:szCs w:val="22"/>
        </w:rPr>
        <w:t xml:space="preserve">nterviewers </w:t>
      </w:r>
      <w:r w:rsidR="0031440C">
        <w:rPr>
          <w:rFonts w:asciiTheme="minorHAnsi" w:hAnsiTheme="minorHAnsi" w:cstheme="minorHAnsi"/>
          <w:sz w:val="22"/>
          <w:szCs w:val="22"/>
        </w:rPr>
        <w:t xml:space="preserve">conducting the Pretest noted that, </w:t>
      </w:r>
      <w:r w:rsidRPr="00FE5547" w:rsidR="009412C5">
        <w:rPr>
          <w:rFonts w:asciiTheme="minorHAnsi" w:hAnsiTheme="minorHAnsi" w:cstheme="minorHAnsi"/>
          <w:sz w:val="22"/>
          <w:szCs w:val="22"/>
        </w:rPr>
        <w:t>in all but one jurisdiction</w:t>
      </w:r>
      <w:r w:rsidR="0031440C">
        <w:rPr>
          <w:rFonts w:asciiTheme="minorHAnsi" w:hAnsiTheme="minorHAnsi" w:cstheme="minorHAnsi"/>
          <w:sz w:val="22"/>
          <w:szCs w:val="22"/>
        </w:rPr>
        <w:t>,</w:t>
      </w:r>
      <w:r w:rsidRPr="00FE5547" w:rsidR="009412C5">
        <w:rPr>
          <w:rFonts w:asciiTheme="minorHAnsi" w:hAnsiTheme="minorHAnsi" w:cstheme="minorHAnsi"/>
          <w:sz w:val="22"/>
          <w:szCs w:val="22"/>
        </w:rPr>
        <w:t xml:space="preserve"> </w:t>
      </w:r>
      <w:r w:rsidRPr="00FE5547" w:rsidR="00F65FC8">
        <w:rPr>
          <w:rFonts w:asciiTheme="minorHAnsi" w:hAnsiTheme="minorHAnsi" w:cstheme="minorHAnsi"/>
          <w:sz w:val="22"/>
          <w:szCs w:val="22"/>
        </w:rPr>
        <w:t xml:space="preserve">multiple </w:t>
      </w:r>
      <w:r w:rsidRPr="00FE5547" w:rsidR="009412C5">
        <w:rPr>
          <w:rFonts w:asciiTheme="minorHAnsi" w:hAnsiTheme="minorHAnsi" w:cstheme="minorHAnsi"/>
          <w:sz w:val="22"/>
          <w:szCs w:val="22"/>
        </w:rPr>
        <w:t xml:space="preserve">potential respondents refused to participate in a survey of this length when they learned there would be no incentive. </w:t>
      </w:r>
      <w:r w:rsidRPr="00FE5547">
        <w:rPr>
          <w:rFonts w:asciiTheme="minorHAnsi" w:hAnsiTheme="minorHAnsi" w:cstheme="minorHAnsi"/>
          <w:sz w:val="22"/>
          <w:szCs w:val="22"/>
        </w:rPr>
        <w:t xml:space="preserve">Due to these refusals, additional time and cost were required to reach the target number of completed interviews. </w:t>
      </w:r>
      <w:r w:rsidRPr="00FE5547" w:rsidR="009412C5">
        <w:rPr>
          <w:rFonts w:asciiTheme="minorHAnsi" w:hAnsiTheme="minorHAnsi" w:cstheme="minorHAnsi"/>
          <w:sz w:val="22"/>
          <w:szCs w:val="22"/>
        </w:rPr>
        <w:t xml:space="preserve">The sole exception is in Palau, where the Pretest confirmed that respondents in that location do not require an incentive to participate in a survey. The Pretest experience in Palau supported the concern expressed by local experts that the survey </w:t>
      </w:r>
      <w:r w:rsidRPr="00FE5547" w:rsidR="001862D8">
        <w:rPr>
          <w:rFonts w:asciiTheme="minorHAnsi" w:hAnsiTheme="minorHAnsi" w:cstheme="minorHAnsi"/>
          <w:sz w:val="22"/>
          <w:szCs w:val="22"/>
        </w:rPr>
        <w:t>does not create</w:t>
      </w:r>
      <w:r w:rsidRPr="00FE5547" w:rsidR="009412C5">
        <w:rPr>
          <w:rFonts w:asciiTheme="minorHAnsi" w:hAnsiTheme="minorHAnsi" w:cstheme="minorHAnsi"/>
          <w:sz w:val="22"/>
          <w:szCs w:val="22"/>
        </w:rPr>
        <w:t xml:space="preserve"> an expectation in the community of receiving any sort of favor for participation.</w:t>
      </w:r>
      <w:r w:rsidR="00FE4FFC">
        <w:rPr>
          <w:rFonts w:asciiTheme="minorHAnsi" w:hAnsiTheme="minorHAnsi" w:cstheme="minorHAnsi"/>
          <w:sz w:val="22"/>
          <w:szCs w:val="22"/>
        </w:rPr>
        <w:t xml:space="preserve"> </w:t>
      </w:r>
    </w:p>
    <w:p w:rsidR="009412C5" w:rsidRPr="00FE5547" w:rsidP="009412C5" w14:paraId="1B623A6F" w14:textId="12713DE3">
      <w:pPr>
        <w:pStyle w:val="PlainText"/>
        <w:spacing w:before="240"/>
        <w:rPr>
          <w:rFonts w:cstheme="minorHAnsi"/>
          <w:szCs w:val="22"/>
        </w:rPr>
      </w:pPr>
      <w:r>
        <w:rPr>
          <w:rFonts w:cstheme="minorHAnsi"/>
          <w:szCs w:val="22"/>
        </w:rPr>
        <w:t>A</w:t>
      </w:r>
      <w:r w:rsidRPr="00FE5547">
        <w:rPr>
          <w:rFonts w:cstheme="minorHAnsi"/>
          <w:szCs w:val="22"/>
        </w:rPr>
        <w:t>s Singer and Ye (2013) explain, there is no good rule of thumb in terms of how large a monetary incentive should be. Larger incentives garner higher response rates, but they do so at a non-linear rate. That is, research indicates that offering $10 pre-paid significantly increases response over a control condition of $5, but the effect of doubling the value from $1 to $2 or $2 to $4 is less profound</w:t>
      </w:r>
      <w:r w:rsidR="001253DC">
        <w:rPr>
          <w:rFonts w:cstheme="minorHAnsi"/>
          <w:szCs w:val="22"/>
        </w:rPr>
        <w:t xml:space="preserve"> </w:t>
      </w:r>
      <w:r w:rsidRPr="00FE5547">
        <w:rPr>
          <w:rFonts w:cstheme="minorHAnsi"/>
          <w:szCs w:val="22"/>
        </w:rPr>
        <w:t xml:space="preserve">(e.g., James &amp; Bolstein, 1992; Messer &amp; Dillman, 2011). The particulars of this work support using a minimum of a $10 incentive. The MCH Jurisdictional Survey is a </w:t>
      </w:r>
      <w:r w:rsidR="00056B0F">
        <w:rPr>
          <w:rFonts w:cstheme="minorHAnsi"/>
          <w:szCs w:val="22"/>
        </w:rPr>
        <w:t>comprehensive</w:t>
      </w:r>
      <w:r w:rsidRPr="00FE5547" w:rsidR="00056B0F">
        <w:rPr>
          <w:rFonts w:cstheme="minorHAnsi"/>
          <w:szCs w:val="22"/>
        </w:rPr>
        <w:t xml:space="preserve"> </w:t>
      </w:r>
      <w:r w:rsidRPr="00FE5547">
        <w:rPr>
          <w:rFonts w:cstheme="minorHAnsi"/>
          <w:szCs w:val="22"/>
        </w:rPr>
        <w:t xml:space="preserve">survey asking for sensitive information about one’s family—burden and concerns about discussing family strains or personal familial issues are indicators that a good token of appreciation </w:t>
      </w:r>
      <w:r w:rsidR="00056B0F">
        <w:rPr>
          <w:rFonts w:cstheme="minorHAnsi"/>
          <w:szCs w:val="22"/>
        </w:rPr>
        <w:t xml:space="preserve">should </w:t>
      </w:r>
      <w:r w:rsidRPr="00FE5547">
        <w:rPr>
          <w:rFonts w:cstheme="minorHAnsi"/>
          <w:szCs w:val="22"/>
        </w:rPr>
        <w:t>be provided for participation.</w:t>
      </w:r>
    </w:p>
    <w:p w:rsidR="009412C5" w:rsidP="00FE4FFC" w14:paraId="22686388" w14:textId="0F1B27B0">
      <w:pPr>
        <w:pStyle w:val="aBodyText"/>
        <w:rPr>
          <w:rFonts w:asciiTheme="minorHAnsi" w:hAnsiTheme="minorHAnsi" w:cstheme="minorHAnsi"/>
          <w:sz w:val="22"/>
          <w:szCs w:val="22"/>
        </w:rPr>
      </w:pPr>
      <w:r>
        <w:rPr>
          <w:rFonts w:asciiTheme="minorHAnsi" w:hAnsiTheme="minorHAnsi" w:cstheme="minorHAnsi"/>
          <w:sz w:val="22"/>
          <w:szCs w:val="22"/>
        </w:rPr>
        <w:t>HRSA</w:t>
      </w:r>
      <w:r w:rsidRPr="00FE5547">
        <w:rPr>
          <w:rFonts w:asciiTheme="minorHAnsi" w:hAnsiTheme="minorHAnsi" w:cstheme="minorHAnsi"/>
          <w:sz w:val="22"/>
          <w:szCs w:val="22"/>
        </w:rPr>
        <w:t xml:space="preserve"> </w:t>
      </w:r>
      <w:r w:rsidRPr="00FE5547">
        <w:rPr>
          <w:rFonts w:asciiTheme="minorHAnsi" w:hAnsiTheme="minorHAnsi" w:cstheme="minorHAnsi"/>
          <w:sz w:val="22"/>
          <w:szCs w:val="22"/>
        </w:rPr>
        <w:t>recommend</w:t>
      </w:r>
      <w:r>
        <w:rPr>
          <w:rFonts w:asciiTheme="minorHAnsi" w:hAnsiTheme="minorHAnsi" w:cstheme="minorHAnsi"/>
          <w:sz w:val="22"/>
          <w:szCs w:val="22"/>
        </w:rPr>
        <w:t>s</w:t>
      </w:r>
      <w:r w:rsidRPr="00FE5547">
        <w:rPr>
          <w:rFonts w:asciiTheme="minorHAnsi" w:hAnsiTheme="minorHAnsi" w:cstheme="minorHAnsi"/>
          <w:sz w:val="22"/>
          <w:szCs w:val="22"/>
        </w:rPr>
        <w:t xml:space="preserve"> providing a monetary token of appreciation in the amount $10. </w:t>
      </w:r>
      <w:r w:rsidRPr="00FE5547" w:rsidR="009A43B1">
        <w:rPr>
          <w:rFonts w:asciiTheme="minorHAnsi" w:hAnsiTheme="minorHAnsi" w:cstheme="minorHAnsi"/>
          <w:sz w:val="22"/>
          <w:szCs w:val="22"/>
        </w:rPr>
        <w:t xml:space="preserve">This proposed incentive, to be offered in all jurisdictions except Palau, is within the bounds of what OMB has approved </w:t>
      </w:r>
      <w:r w:rsidRPr="00FE5547" w:rsidR="009A43B1">
        <w:rPr>
          <w:rFonts w:asciiTheme="minorHAnsi" w:hAnsiTheme="minorHAnsi" w:cstheme="minorHAnsi"/>
          <w:sz w:val="22"/>
          <w:szCs w:val="22"/>
        </w:rPr>
        <w:t>previously and</w:t>
      </w:r>
      <w:r w:rsidR="00FE5547">
        <w:rPr>
          <w:rFonts w:asciiTheme="minorHAnsi" w:hAnsiTheme="minorHAnsi" w:cstheme="minorHAnsi"/>
          <w:sz w:val="22"/>
          <w:szCs w:val="22"/>
        </w:rPr>
        <w:t xml:space="preserve"> as described above,</w:t>
      </w:r>
      <w:r w:rsidRPr="00FE5547" w:rsidR="009A43B1">
        <w:rPr>
          <w:rFonts w:asciiTheme="minorHAnsi" w:hAnsiTheme="minorHAnsi" w:cstheme="minorHAnsi"/>
          <w:sz w:val="22"/>
          <w:szCs w:val="22"/>
        </w:rPr>
        <w:t xml:space="preserve"> is in keeping with the practice of other federal surveys as well as local convention.</w:t>
      </w:r>
      <w:r w:rsidR="00126617">
        <w:rPr>
          <w:rFonts w:asciiTheme="minorHAnsi" w:hAnsiTheme="minorHAnsi" w:cstheme="minorHAnsi"/>
          <w:sz w:val="22"/>
          <w:szCs w:val="22"/>
        </w:rPr>
        <w:t xml:space="preserve"> </w:t>
      </w:r>
      <w:r w:rsidR="00056B0F">
        <w:rPr>
          <w:rFonts w:asciiTheme="minorHAnsi" w:hAnsiTheme="minorHAnsi" w:cstheme="minorHAnsi"/>
          <w:sz w:val="22"/>
          <w:szCs w:val="22"/>
        </w:rPr>
        <w:t xml:space="preserve">Palau has asked that no incentives be given in </w:t>
      </w:r>
      <w:r w:rsidR="008859A0">
        <w:rPr>
          <w:rFonts w:asciiTheme="minorHAnsi" w:hAnsiTheme="minorHAnsi" w:cstheme="minorHAnsi"/>
          <w:sz w:val="22"/>
          <w:szCs w:val="22"/>
        </w:rPr>
        <w:t xml:space="preserve">its </w:t>
      </w:r>
      <w:r w:rsidR="00056B0F">
        <w:rPr>
          <w:rFonts w:asciiTheme="minorHAnsi" w:hAnsiTheme="minorHAnsi" w:cstheme="minorHAnsi"/>
          <w:sz w:val="22"/>
          <w:szCs w:val="22"/>
        </w:rPr>
        <w:t>jurisdiction.</w:t>
      </w:r>
      <w:r w:rsidR="00FE4FFC">
        <w:rPr>
          <w:rFonts w:asciiTheme="minorHAnsi" w:hAnsiTheme="minorHAnsi" w:cstheme="minorHAnsi"/>
          <w:sz w:val="22"/>
          <w:szCs w:val="22"/>
        </w:rPr>
        <w:t xml:space="preserve"> This incentive structure was well-received by participants</w:t>
      </w:r>
      <w:r w:rsidR="00AC4468">
        <w:rPr>
          <w:rFonts w:asciiTheme="minorHAnsi" w:hAnsiTheme="minorHAnsi" w:cstheme="minorHAnsi"/>
          <w:sz w:val="22"/>
          <w:szCs w:val="22"/>
        </w:rPr>
        <w:t xml:space="preserve"> in all jurisdictions</w:t>
      </w:r>
      <w:r w:rsidR="00FE4FFC">
        <w:rPr>
          <w:rFonts w:asciiTheme="minorHAnsi" w:hAnsiTheme="minorHAnsi" w:cstheme="minorHAnsi"/>
          <w:sz w:val="22"/>
          <w:szCs w:val="22"/>
        </w:rPr>
        <w:t xml:space="preserve"> when fielding the survey from 2019 to 202</w:t>
      </w:r>
      <w:r w:rsidR="005807DD">
        <w:rPr>
          <w:rFonts w:asciiTheme="minorHAnsi" w:hAnsiTheme="minorHAnsi" w:cstheme="minorHAnsi"/>
          <w:sz w:val="22"/>
          <w:szCs w:val="22"/>
        </w:rPr>
        <w:t>4</w:t>
      </w:r>
      <w:r w:rsidR="00AC4468">
        <w:rPr>
          <w:rFonts w:asciiTheme="minorHAnsi" w:hAnsiTheme="minorHAnsi" w:cstheme="minorHAnsi"/>
          <w:sz w:val="22"/>
          <w:szCs w:val="22"/>
        </w:rPr>
        <w:t>.</w:t>
      </w:r>
    </w:p>
    <w:p w:rsidR="00827974" w:rsidP="00FE4FFC" w14:paraId="6452B80D" w14:textId="6D77441A">
      <w:pPr>
        <w:pStyle w:val="aBodyText"/>
        <w:rPr>
          <w:rFonts w:asciiTheme="minorHAnsi" w:hAnsiTheme="minorHAnsi" w:cstheme="minorHAnsi"/>
          <w:sz w:val="22"/>
          <w:szCs w:val="22"/>
        </w:rPr>
      </w:pPr>
      <w:r w:rsidRPr="00827974">
        <w:rPr>
          <w:rFonts w:asciiTheme="minorHAnsi" w:hAnsiTheme="minorHAnsi" w:cstheme="minorHAnsi"/>
          <w:sz w:val="22"/>
          <w:szCs w:val="22"/>
        </w:rPr>
        <w:t xml:space="preserve">The form of incentive to be used in each jurisdiction was determined through discussion with the local </w:t>
      </w:r>
      <w:r w:rsidR="004F6ED6">
        <w:rPr>
          <w:rFonts w:asciiTheme="minorHAnsi" w:hAnsiTheme="minorHAnsi" w:cstheme="minorHAnsi"/>
          <w:sz w:val="22"/>
          <w:szCs w:val="22"/>
        </w:rPr>
        <w:t>MCH Block Grant</w:t>
      </w:r>
      <w:r w:rsidRPr="00827974">
        <w:rPr>
          <w:rFonts w:asciiTheme="minorHAnsi" w:hAnsiTheme="minorHAnsi" w:cstheme="minorHAnsi"/>
          <w:sz w:val="22"/>
          <w:szCs w:val="22"/>
        </w:rPr>
        <w:t xml:space="preserve"> staff, who provided their input about what is considered the most appropriate forms of incentive for their populations. An overview of the type of incentive to be offered by jurisdiction is listed in Table 1 below. If any non-cash incentive type is not available at the time of data collection, a similar non-cash incentive type of equal value will be chosen</w:t>
      </w:r>
      <w:r w:rsidR="00792F0F">
        <w:rPr>
          <w:rFonts w:asciiTheme="minorHAnsi" w:hAnsiTheme="minorHAnsi" w:cstheme="minorHAnsi"/>
          <w:sz w:val="22"/>
          <w:szCs w:val="22"/>
        </w:rPr>
        <w:t xml:space="preserve">. </w:t>
      </w:r>
      <w:r w:rsidRPr="00827974">
        <w:rPr>
          <w:rFonts w:asciiTheme="minorHAnsi" w:hAnsiTheme="minorHAnsi" w:cstheme="minorHAnsi"/>
          <w:sz w:val="22"/>
          <w:szCs w:val="22"/>
        </w:rPr>
        <w:t>All participants who begin the interview will be eligible to receive the incentive. Respondents will receive the token of appreciation regardless of whether they skip any questions.</w:t>
      </w:r>
    </w:p>
    <w:p w:rsidR="00FE4FFC" w:rsidP="00FE4FFC" w14:paraId="27732AE7" w14:textId="77777777">
      <w:pPr>
        <w:pStyle w:val="aBodyText"/>
        <w:rPr>
          <w:rFonts w:asciiTheme="minorHAnsi" w:hAnsiTheme="minorHAnsi" w:cstheme="minorHAnsi"/>
          <w:sz w:val="22"/>
          <w:szCs w:val="22"/>
        </w:rPr>
      </w:pPr>
    </w:p>
    <w:p w:rsidR="007654DE" w:rsidP="007654DE" w14:paraId="56E4F6A2" w14:textId="399C304A">
      <w:pPr>
        <w:rPr>
          <w:rFonts w:asciiTheme="minorHAnsi" w:hAnsiTheme="minorHAnsi"/>
          <w:b/>
          <w:szCs w:val="22"/>
        </w:rPr>
      </w:pPr>
      <w:r>
        <w:rPr>
          <w:rFonts w:asciiTheme="minorHAnsi" w:hAnsiTheme="minorHAnsi"/>
          <w:b/>
          <w:szCs w:val="22"/>
        </w:rPr>
        <w:t>T</w:t>
      </w:r>
      <w:r>
        <w:rPr>
          <w:rFonts w:asciiTheme="minorHAnsi" w:hAnsiTheme="minorHAnsi"/>
          <w:b/>
          <w:szCs w:val="22"/>
        </w:rPr>
        <w:t>able 1:   Incentives</w:t>
      </w:r>
    </w:p>
    <w:tbl>
      <w:tblPr>
        <w:tblStyle w:val="TableGrid"/>
        <w:tblCaption w:val="Table 2"/>
        <w:tblDescription w:val="Table 2: Incentives"/>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920"/>
        <w:gridCol w:w="1994"/>
        <w:gridCol w:w="1617"/>
        <w:gridCol w:w="2066"/>
      </w:tblGrid>
      <w:tr w14:paraId="5D86A76C" w14:textId="77777777" w:rsidTr="0083260A">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blHeader/>
        </w:trPr>
        <w:tc>
          <w:tcPr>
            <w:tcW w:w="1920" w:type="dxa"/>
            <w:vAlign w:val="center"/>
            <w:hideMark/>
          </w:tcPr>
          <w:p w:rsidR="007654DE" w14:paraId="28D686DC" w14:textId="77777777">
            <w:pPr>
              <w:jc w:val="center"/>
              <w:rPr>
                <w:rStyle w:val="NORCInlineHeadingL2"/>
                <w:rFonts w:asciiTheme="minorHAnsi" w:hAnsiTheme="minorHAnsi"/>
              </w:rPr>
            </w:pPr>
            <w:r>
              <w:rPr>
                <w:rFonts w:asciiTheme="minorHAnsi" w:hAnsiTheme="minorHAnsi"/>
                <w:b/>
                <w:bCs/>
                <w:szCs w:val="22"/>
              </w:rPr>
              <w:t>Jurisdiction</w:t>
            </w:r>
          </w:p>
        </w:tc>
        <w:tc>
          <w:tcPr>
            <w:tcW w:w="1994" w:type="dxa"/>
            <w:vAlign w:val="center"/>
            <w:hideMark/>
          </w:tcPr>
          <w:p w:rsidR="007654DE" w14:paraId="49006FE0" w14:textId="77777777">
            <w:pPr>
              <w:jc w:val="center"/>
            </w:pPr>
            <w:r>
              <w:rPr>
                <w:rFonts w:asciiTheme="minorHAnsi" w:hAnsiTheme="minorHAnsi"/>
                <w:b/>
                <w:bCs/>
                <w:szCs w:val="22"/>
              </w:rPr>
              <w:t>Incentive</w:t>
            </w:r>
          </w:p>
        </w:tc>
        <w:tc>
          <w:tcPr>
            <w:tcW w:w="1617" w:type="dxa"/>
            <w:hideMark/>
          </w:tcPr>
          <w:p w:rsidR="007654DE" w14:paraId="30D0C8EE" w14:textId="77777777">
            <w:pPr>
              <w:jc w:val="center"/>
              <w:rPr>
                <w:rFonts w:asciiTheme="minorHAnsi" w:hAnsiTheme="minorHAnsi"/>
                <w:b/>
                <w:bCs/>
                <w:szCs w:val="22"/>
              </w:rPr>
            </w:pPr>
            <w:r>
              <w:rPr>
                <w:rFonts w:asciiTheme="minorHAnsi" w:hAnsiTheme="minorHAnsi"/>
                <w:b/>
                <w:bCs/>
                <w:szCs w:val="22"/>
              </w:rPr>
              <w:t>Number of Respondents</w:t>
            </w:r>
          </w:p>
        </w:tc>
        <w:tc>
          <w:tcPr>
            <w:tcW w:w="2066" w:type="dxa"/>
            <w:vAlign w:val="center"/>
            <w:hideMark/>
          </w:tcPr>
          <w:p w:rsidR="007654DE" w14:paraId="54B92328" w14:textId="460AF095">
            <w:pPr>
              <w:jc w:val="center"/>
              <w:rPr>
                <w:rFonts w:asciiTheme="minorHAnsi" w:hAnsiTheme="minorHAnsi"/>
                <w:b/>
                <w:bCs/>
                <w:szCs w:val="22"/>
              </w:rPr>
            </w:pPr>
            <w:r>
              <w:rPr>
                <w:rFonts w:asciiTheme="minorHAnsi" w:hAnsiTheme="minorHAnsi"/>
                <w:b/>
                <w:bCs/>
                <w:szCs w:val="22"/>
              </w:rPr>
              <w:t xml:space="preserve">Incentive </w:t>
            </w:r>
            <w:r>
              <w:rPr>
                <w:rFonts w:asciiTheme="minorHAnsi" w:hAnsiTheme="minorHAnsi"/>
                <w:b/>
                <w:bCs/>
                <w:szCs w:val="22"/>
              </w:rPr>
              <w:t>Amount</w:t>
            </w:r>
          </w:p>
        </w:tc>
      </w:tr>
      <w:tr w14:paraId="1E0458EC" w14:textId="77777777" w:rsidTr="0083260A">
        <w:tblPrEx>
          <w:tblW w:w="0" w:type="auto"/>
          <w:tblLook w:val="04A0"/>
        </w:tblPrEx>
        <w:tc>
          <w:tcPr>
            <w:tcW w:w="1920" w:type="dxa"/>
            <w:vAlign w:val="center"/>
            <w:hideMark/>
          </w:tcPr>
          <w:p w:rsidR="00D13E9B" w:rsidP="00D13E9B" w14:paraId="11D1B7AC" w14:textId="77777777">
            <w:pPr>
              <w:rPr>
                <w:rFonts w:asciiTheme="minorHAnsi" w:hAnsiTheme="minorHAnsi"/>
                <w:b/>
                <w:i/>
                <w:szCs w:val="22"/>
              </w:rPr>
            </w:pPr>
            <w:r>
              <w:rPr>
                <w:rFonts w:asciiTheme="minorHAnsi" w:hAnsiTheme="minorHAnsi"/>
                <w:szCs w:val="22"/>
              </w:rPr>
              <w:t>Puerto Rico</w:t>
            </w:r>
          </w:p>
        </w:tc>
        <w:tc>
          <w:tcPr>
            <w:tcW w:w="1994" w:type="dxa"/>
            <w:vAlign w:val="center"/>
            <w:hideMark/>
          </w:tcPr>
          <w:p w:rsidR="00D13E9B" w:rsidP="00D13E9B" w14:paraId="3580085E" w14:textId="77777777">
            <w:pPr>
              <w:rPr>
                <w:rFonts w:asciiTheme="minorHAnsi" w:hAnsiTheme="minorHAnsi"/>
                <w:szCs w:val="22"/>
              </w:rPr>
            </w:pPr>
            <w:r>
              <w:rPr>
                <w:rFonts w:asciiTheme="minorHAnsi" w:hAnsiTheme="minorHAnsi"/>
                <w:szCs w:val="22"/>
              </w:rPr>
              <w:t xml:space="preserve">Cash incentive </w:t>
            </w:r>
          </w:p>
        </w:tc>
        <w:tc>
          <w:tcPr>
            <w:tcW w:w="1617" w:type="dxa"/>
            <w:vAlign w:val="center"/>
            <w:hideMark/>
          </w:tcPr>
          <w:p w:rsidR="00D13E9B" w:rsidP="00D13E9B" w14:paraId="0BCDD18C" w14:textId="10B2ECC3">
            <w:pPr>
              <w:jc w:val="center"/>
              <w:rPr>
                <w:rFonts w:asciiTheme="minorHAnsi" w:hAnsiTheme="minorHAnsi"/>
                <w:szCs w:val="22"/>
              </w:rPr>
            </w:pPr>
            <w:r>
              <w:rPr>
                <w:rFonts w:asciiTheme="minorHAnsi" w:hAnsiTheme="minorHAnsi"/>
                <w:szCs w:val="22"/>
              </w:rPr>
              <w:t>1,250</w:t>
            </w:r>
          </w:p>
        </w:tc>
        <w:tc>
          <w:tcPr>
            <w:tcW w:w="2066" w:type="dxa"/>
            <w:vAlign w:val="center"/>
            <w:hideMark/>
          </w:tcPr>
          <w:p w:rsidR="00D13E9B" w:rsidP="00D13E9B" w14:paraId="71ECA1B4" w14:textId="77777777">
            <w:pPr>
              <w:jc w:val="center"/>
              <w:rPr>
                <w:rFonts w:asciiTheme="minorHAnsi" w:hAnsiTheme="minorHAnsi"/>
                <w:szCs w:val="22"/>
              </w:rPr>
            </w:pPr>
            <w:r>
              <w:rPr>
                <w:rFonts w:asciiTheme="minorHAnsi" w:hAnsiTheme="minorHAnsi"/>
                <w:szCs w:val="22"/>
              </w:rPr>
              <w:t>$10</w:t>
            </w:r>
          </w:p>
        </w:tc>
      </w:tr>
      <w:tr w14:paraId="2A56B825" w14:textId="77777777" w:rsidTr="0083260A">
        <w:tblPrEx>
          <w:tblW w:w="0" w:type="auto"/>
          <w:tblLook w:val="04A0"/>
        </w:tblPrEx>
        <w:tc>
          <w:tcPr>
            <w:tcW w:w="1920" w:type="dxa"/>
            <w:vAlign w:val="center"/>
            <w:hideMark/>
          </w:tcPr>
          <w:p w:rsidR="00D13E9B" w:rsidP="00D13E9B" w14:paraId="27D42A2E" w14:textId="77777777">
            <w:pPr>
              <w:rPr>
                <w:rFonts w:asciiTheme="minorHAnsi" w:hAnsiTheme="minorHAnsi"/>
                <w:b/>
                <w:i/>
                <w:szCs w:val="22"/>
              </w:rPr>
            </w:pPr>
            <w:r>
              <w:rPr>
                <w:rFonts w:asciiTheme="minorHAnsi" w:hAnsiTheme="minorHAnsi"/>
                <w:szCs w:val="22"/>
              </w:rPr>
              <w:t xml:space="preserve">U.S. Virgin Islands </w:t>
            </w:r>
          </w:p>
        </w:tc>
        <w:tc>
          <w:tcPr>
            <w:tcW w:w="1994" w:type="dxa"/>
            <w:vAlign w:val="center"/>
            <w:hideMark/>
          </w:tcPr>
          <w:p w:rsidR="00D13E9B" w:rsidP="00D13E9B" w14:paraId="1162F564" w14:textId="77777777">
            <w:pPr>
              <w:rPr>
                <w:rFonts w:asciiTheme="minorHAnsi" w:hAnsiTheme="minorHAnsi"/>
                <w:szCs w:val="22"/>
              </w:rPr>
            </w:pPr>
            <w:r>
              <w:rPr>
                <w:rFonts w:asciiTheme="minorHAnsi" w:hAnsiTheme="minorHAnsi"/>
                <w:szCs w:val="22"/>
              </w:rPr>
              <w:t>Cash incentive</w:t>
            </w:r>
          </w:p>
        </w:tc>
        <w:tc>
          <w:tcPr>
            <w:tcW w:w="1617" w:type="dxa"/>
            <w:vAlign w:val="center"/>
            <w:hideMark/>
          </w:tcPr>
          <w:p w:rsidR="00D13E9B" w:rsidP="00D13E9B" w14:paraId="1C6CA62B" w14:textId="7C2410CF">
            <w:pPr>
              <w:jc w:val="center"/>
              <w:rPr>
                <w:rFonts w:asciiTheme="minorHAnsi" w:hAnsiTheme="minorHAnsi"/>
                <w:szCs w:val="22"/>
              </w:rPr>
            </w:pPr>
            <w:r>
              <w:rPr>
                <w:rFonts w:asciiTheme="minorHAnsi" w:hAnsiTheme="minorHAnsi"/>
                <w:szCs w:val="22"/>
              </w:rPr>
              <w:t>350</w:t>
            </w:r>
          </w:p>
        </w:tc>
        <w:tc>
          <w:tcPr>
            <w:tcW w:w="2066" w:type="dxa"/>
            <w:vAlign w:val="center"/>
            <w:hideMark/>
          </w:tcPr>
          <w:p w:rsidR="00D13E9B" w:rsidP="00D13E9B" w14:paraId="0F2F72E0" w14:textId="77777777">
            <w:pPr>
              <w:jc w:val="center"/>
              <w:rPr>
                <w:rFonts w:asciiTheme="minorHAnsi" w:hAnsiTheme="minorHAnsi"/>
                <w:szCs w:val="22"/>
              </w:rPr>
            </w:pPr>
            <w:r>
              <w:rPr>
                <w:rFonts w:asciiTheme="minorHAnsi" w:hAnsiTheme="minorHAnsi"/>
                <w:szCs w:val="22"/>
              </w:rPr>
              <w:t>$10</w:t>
            </w:r>
          </w:p>
        </w:tc>
      </w:tr>
      <w:tr w14:paraId="7BB85538" w14:textId="77777777" w:rsidTr="0083260A">
        <w:tblPrEx>
          <w:tblW w:w="0" w:type="auto"/>
          <w:tblLook w:val="04A0"/>
        </w:tblPrEx>
        <w:tc>
          <w:tcPr>
            <w:tcW w:w="1920" w:type="dxa"/>
            <w:vAlign w:val="center"/>
            <w:hideMark/>
          </w:tcPr>
          <w:p w:rsidR="00D13E9B" w:rsidP="00D13E9B" w14:paraId="5BE322D4" w14:textId="77777777">
            <w:pPr>
              <w:rPr>
                <w:rFonts w:asciiTheme="minorHAnsi" w:hAnsiTheme="minorHAnsi"/>
                <w:b/>
                <w:i/>
                <w:szCs w:val="22"/>
              </w:rPr>
            </w:pPr>
            <w:r>
              <w:rPr>
                <w:rFonts w:asciiTheme="minorHAnsi" w:hAnsiTheme="minorHAnsi"/>
                <w:szCs w:val="22"/>
              </w:rPr>
              <w:t xml:space="preserve">Guam </w:t>
            </w:r>
          </w:p>
        </w:tc>
        <w:tc>
          <w:tcPr>
            <w:tcW w:w="1994" w:type="dxa"/>
            <w:vAlign w:val="center"/>
            <w:hideMark/>
          </w:tcPr>
          <w:p w:rsidR="00D13E9B" w:rsidP="00D13E9B" w14:paraId="33BC127B" w14:textId="77777777">
            <w:pPr>
              <w:spacing w:after="160"/>
              <w:contextualSpacing/>
              <w:rPr>
                <w:rFonts w:asciiTheme="minorHAnsi" w:hAnsiTheme="minorHAnsi"/>
                <w:szCs w:val="22"/>
              </w:rPr>
            </w:pPr>
            <w:r>
              <w:rPr>
                <w:rFonts w:asciiTheme="minorHAnsi" w:hAnsiTheme="minorHAnsi"/>
                <w:szCs w:val="22"/>
              </w:rPr>
              <w:t xml:space="preserve">Cash incentive </w:t>
            </w:r>
          </w:p>
        </w:tc>
        <w:tc>
          <w:tcPr>
            <w:tcW w:w="1617" w:type="dxa"/>
            <w:vAlign w:val="center"/>
            <w:hideMark/>
          </w:tcPr>
          <w:p w:rsidR="00D13E9B" w:rsidP="00D13E9B" w14:paraId="511DCF00" w14:textId="09B99073">
            <w:pPr>
              <w:spacing w:after="160"/>
              <w:contextualSpacing/>
              <w:jc w:val="center"/>
              <w:rPr>
                <w:rFonts w:asciiTheme="minorHAnsi" w:hAnsiTheme="minorHAnsi"/>
                <w:szCs w:val="22"/>
              </w:rPr>
            </w:pPr>
            <w:r>
              <w:rPr>
                <w:rFonts w:asciiTheme="minorHAnsi" w:hAnsiTheme="minorHAnsi"/>
                <w:szCs w:val="22"/>
              </w:rPr>
              <w:t>450</w:t>
            </w:r>
          </w:p>
        </w:tc>
        <w:tc>
          <w:tcPr>
            <w:tcW w:w="2066" w:type="dxa"/>
            <w:vAlign w:val="center"/>
            <w:hideMark/>
          </w:tcPr>
          <w:p w:rsidR="00D13E9B" w:rsidP="00D13E9B" w14:paraId="7F9B166D" w14:textId="77777777">
            <w:pPr>
              <w:spacing w:after="160"/>
              <w:contextualSpacing/>
              <w:jc w:val="center"/>
              <w:rPr>
                <w:rFonts w:asciiTheme="minorHAnsi" w:hAnsiTheme="minorHAnsi"/>
                <w:szCs w:val="22"/>
              </w:rPr>
            </w:pPr>
            <w:r>
              <w:rPr>
                <w:rFonts w:asciiTheme="minorHAnsi" w:hAnsiTheme="minorHAnsi"/>
                <w:szCs w:val="22"/>
              </w:rPr>
              <w:t>$10</w:t>
            </w:r>
          </w:p>
        </w:tc>
      </w:tr>
      <w:tr w14:paraId="37070BF4" w14:textId="77777777" w:rsidTr="0083260A">
        <w:tblPrEx>
          <w:tblW w:w="0" w:type="auto"/>
          <w:tblLook w:val="04A0"/>
        </w:tblPrEx>
        <w:tc>
          <w:tcPr>
            <w:tcW w:w="1920" w:type="dxa"/>
            <w:vAlign w:val="center"/>
            <w:hideMark/>
          </w:tcPr>
          <w:p w:rsidR="00D13E9B" w:rsidP="00D13E9B" w14:paraId="69AA4ED6" w14:textId="77777777">
            <w:pPr>
              <w:rPr>
                <w:rFonts w:asciiTheme="minorHAnsi" w:hAnsiTheme="minorHAnsi"/>
                <w:b/>
                <w:i/>
                <w:szCs w:val="22"/>
              </w:rPr>
            </w:pPr>
            <w:r>
              <w:rPr>
                <w:rFonts w:asciiTheme="minorHAnsi" w:hAnsiTheme="minorHAnsi"/>
                <w:szCs w:val="22"/>
              </w:rPr>
              <w:t>American Samoa</w:t>
            </w:r>
          </w:p>
        </w:tc>
        <w:tc>
          <w:tcPr>
            <w:tcW w:w="1994" w:type="dxa"/>
            <w:vAlign w:val="center"/>
            <w:hideMark/>
          </w:tcPr>
          <w:p w:rsidR="00D13E9B" w:rsidP="00D13E9B" w14:paraId="459F4D92" w14:textId="77777777">
            <w:pPr>
              <w:rPr>
                <w:rFonts w:asciiTheme="minorHAnsi" w:hAnsiTheme="minorHAnsi"/>
                <w:szCs w:val="22"/>
              </w:rPr>
            </w:pPr>
            <w:r>
              <w:rPr>
                <w:rFonts w:asciiTheme="minorHAnsi" w:hAnsiTheme="minorHAnsi"/>
                <w:szCs w:val="22"/>
              </w:rPr>
              <w:t>Gift cards from the energy authority to pay for electricity</w:t>
            </w:r>
          </w:p>
        </w:tc>
        <w:tc>
          <w:tcPr>
            <w:tcW w:w="1617" w:type="dxa"/>
            <w:vAlign w:val="center"/>
            <w:hideMark/>
          </w:tcPr>
          <w:p w:rsidR="00D13E9B" w:rsidP="00D13E9B" w14:paraId="0B6FAE1D" w14:textId="77F1181A">
            <w:pPr>
              <w:jc w:val="center"/>
              <w:rPr>
                <w:rFonts w:asciiTheme="minorHAnsi" w:hAnsiTheme="minorHAnsi"/>
                <w:szCs w:val="22"/>
              </w:rPr>
            </w:pPr>
            <w:r>
              <w:rPr>
                <w:rFonts w:asciiTheme="minorHAnsi" w:hAnsiTheme="minorHAnsi"/>
                <w:szCs w:val="22"/>
              </w:rPr>
              <w:t>450</w:t>
            </w:r>
          </w:p>
        </w:tc>
        <w:tc>
          <w:tcPr>
            <w:tcW w:w="2066" w:type="dxa"/>
            <w:vAlign w:val="center"/>
            <w:hideMark/>
          </w:tcPr>
          <w:p w:rsidR="00D13E9B" w:rsidP="00D13E9B" w14:paraId="56773A5E" w14:textId="77777777">
            <w:pPr>
              <w:jc w:val="center"/>
              <w:rPr>
                <w:rFonts w:asciiTheme="minorHAnsi" w:hAnsiTheme="minorHAnsi"/>
                <w:szCs w:val="22"/>
              </w:rPr>
            </w:pPr>
            <w:r>
              <w:rPr>
                <w:rFonts w:asciiTheme="minorHAnsi" w:hAnsiTheme="minorHAnsi"/>
                <w:szCs w:val="22"/>
              </w:rPr>
              <w:t>$10</w:t>
            </w:r>
          </w:p>
        </w:tc>
      </w:tr>
      <w:tr w14:paraId="28683AA8" w14:textId="77777777" w:rsidTr="0083260A">
        <w:tblPrEx>
          <w:tblW w:w="0" w:type="auto"/>
          <w:tblLook w:val="04A0"/>
        </w:tblPrEx>
        <w:tc>
          <w:tcPr>
            <w:tcW w:w="1920" w:type="dxa"/>
            <w:vAlign w:val="center"/>
            <w:hideMark/>
          </w:tcPr>
          <w:p w:rsidR="00D13E9B" w:rsidP="00D13E9B" w14:paraId="24626762" w14:textId="77777777">
            <w:pPr>
              <w:rPr>
                <w:rFonts w:asciiTheme="minorHAnsi" w:hAnsiTheme="minorHAnsi"/>
                <w:b/>
                <w:i/>
                <w:szCs w:val="22"/>
              </w:rPr>
            </w:pPr>
            <w:r>
              <w:rPr>
                <w:rFonts w:asciiTheme="minorHAnsi" w:hAnsiTheme="minorHAnsi"/>
                <w:szCs w:val="22"/>
              </w:rPr>
              <w:t>Federated States of Micronesia</w:t>
            </w:r>
          </w:p>
        </w:tc>
        <w:tc>
          <w:tcPr>
            <w:tcW w:w="1994" w:type="dxa"/>
            <w:vAlign w:val="center"/>
            <w:hideMark/>
          </w:tcPr>
          <w:p w:rsidR="00D13E9B" w:rsidP="00D13E9B" w14:paraId="6E24E8F9" w14:textId="77777777">
            <w:pPr>
              <w:rPr>
                <w:rFonts w:asciiTheme="minorHAnsi" w:hAnsiTheme="minorHAnsi"/>
                <w:szCs w:val="22"/>
              </w:rPr>
            </w:pPr>
            <w:r>
              <w:rPr>
                <w:rFonts w:asciiTheme="minorHAnsi" w:hAnsiTheme="minorHAnsi"/>
                <w:szCs w:val="22"/>
              </w:rPr>
              <w:t>Phone credit/phone cards or electricity cards</w:t>
            </w:r>
          </w:p>
        </w:tc>
        <w:tc>
          <w:tcPr>
            <w:tcW w:w="1617" w:type="dxa"/>
            <w:vAlign w:val="center"/>
            <w:hideMark/>
          </w:tcPr>
          <w:p w:rsidR="00D13E9B" w:rsidP="00D13E9B" w14:paraId="190A9883" w14:textId="044526C0">
            <w:pPr>
              <w:jc w:val="center"/>
              <w:rPr>
                <w:rFonts w:asciiTheme="minorHAnsi" w:hAnsiTheme="minorHAnsi"/>
                <w:szCs w:val="22"/>
              </w:rPr>
            </w:pPr>
            <w:r>
              <w:rPr>
                <w:rFonts w:asciiTheme="minorHAnsi" w:hAnsiTheme="minorHAnsi"/>
                <w:szCs w:val="22"/>
              </w:rPr>
              <w:t>450</w:t>
            </w:r>
          </w:p>
        </w:tc>
        <w:tc>
          <w:tcPr>
            <w:tcW w:w="2066" w:type="dxa"/>
            <w:vAlign w:val="center"/>
            <w:hideMark/>
          </w:tcPr>
          <w:p w:rsidR="00D13E9B" w:rsidP="00D13E9B" w14:paraId="46899D66" w14:textId="77777777">
            <w:pPr>
              <w:jc w:val="center"/>
              <w:rPr>
                <w:rFonts w:asciiTheme="minorHAnsi" w:hAnsiTheme="minorHAnsi"/>
                <w:szCs w:val="22"/>
              </w:rPr>
            </w:pPr>
            <w:r>
              <w:rPr>
                <w:rFonts w:asciiTheme="minorHAnsi" w:hAnsiTheme="minorHAnsi"/>
                <w:szCs w:val="22"/>
              </w:rPr>
              <w:t>$10</w:t>
            </w:r>
          </w:p>
        </w:tc>
      </w:tr>
      <w:tr w14:paraId="77604093" w14:textId="77777777" w:rsidTr="0083260A">
        <w:tblPrEx>
          <w:tblW w:w="0" w:type="auto"/>
          <w:tblLook w:val="04A0"/>
        </w:tblPrEx>
        <w:tc>
          <w:tcPr>
            <w:tcW w:w="1920" w:type="dxa"/>
            <w:vAlign w:val="center"/>
            <w:hideMark/>
          </w:tcPr>
          <w:p w:rsidR="00D13E9B" w:rsidP="00D13E9B" w14:paraId="419F0863" w14:textId="77777777">
            <w:pPr>
              <w:rPr>
                <w:rStyle w:val="NORCInlineHeadingL2"/>
                <w:rFonts w:asciiTheme="minorHAnsi" w:hAnsiTheme="minorHAnsi"/>
                <w:b w:val="0"/>
                <w:i w:val="0"/>
              </w:rPr>
            </w:pPr>
            <w:r>
              <w:rPr>
                <w:rFonts w:asciiTheme="minorHAnsi" w:hAnsiTheme="minorHAnsi"/>
                <w:szCs w:val="22"/>
              </w:rPr>
              <w:t>Marshall Islands</w:t>
            </w:r>
          </w:p>
        </w:tc>
        <w:tc>
          <w:tcPr>
            <w:tcW w:w="1994" w:type="dxa"/>
            <w:vAlign w:val="center"/>
            <w:hideMark/>
          </w:tcPr>
          <w:p w:rsidR="00D13E9B" w:rsidP="00D13E9B" w14:paraId="0D119124" w14:textId="6863A538">
            <w:r>
              <w:rPr>
                <w:rFonts w:asciiTheme="minorHAnsi" w:hAnsiTheme="minorHAnsi"/>
                <w:szCs w:val="22"/>
              </w:rPr>
              <w:t>Grocery store and gas gift cards</w:t>
            </w:r>
          </w:p>
        </w:tc>
        <w:tc>
          <w:tcPr>
            <w:tcW w:w="1617" w:type="dxa"/>
            <w:vAlign w:val="center"/>
            <w:hideMark/>
          </w:tcPr>
          <w:p w:rsidR="00D13E9B" w:rsidP="00D13E9B" w14:paraId="75F9B704" w14:textId="611C5D42">
            <w:pPr>
              <w:jc w:val="center"/>
              <w:rPr>
                <w:rFonts w:asciiTheme="minorHAnsi" w:hAnsiTheme="minorHAnsi"/>
                <w:szCs w:val="22"/>
              </w:rPr>
            </w:pPr>
            <w:r>
              <w:rPr>
                <w:rFonts w:asciiTheme="minorHAnsi" w:hAnsiTheme="minorHAnsi"/>
                <w:szCs w:val="22"/>
              </w:rPr>
              <w:t>300</w:t>
            </w:r>
          </w:p>
        </w:tc>
        <w:tc>
          <w:tcPr>
            <w:tcW w:w="2066" w:type="dxa"/>
            <w:vAlign w:val="center"/>
            <w:hideMark/>
          </w:tcPr>
          <w:p w:rsidR="00D13E9B" w:rsidP="00D13E9B" w14:paraId="07EF035A" w14:textId="3D350A5C">
            <w:pPr>
              <w:jc w:val="center"/>
              <w:rPr>
                <w:rFonts w:asciiTheme="minorHAnsi" w:hAnsiTheme="minorHAnsi"/>
                <w:szCs w:val="22"/>
              </w:rPr>
            </w:pPr>
            <w:r>
              <w:rPr>
                <w:rFonts w:asciiTheme="minorHAnsi" w:hAnsiTheme="minorHAnsi"/>
                <w:szCs w:val="22"/>
              </w:rPr>
              <w:t>$10</w:t>
            </w:r>
          </w:p>
        </w:tc>
      </w:tr>
      <w:tr w14:paraId="451BC974" w14:textId="77777777" w:rsidTr="0083260A">
        <w:tblPrEx>
          <w:tblW w:w="0" w:type="auto"/>
          <w:tblLook w:val="04A0"/>
        </w:tblPrEx>
        <w:tc>
          <w:tcPr>
            <w:tcW w:w="1920" w:type="dxa"/>
            <w:vAlign w:val="center"/>
            <w:hideMark/>
          </w:tcPr>
          <w:p w:rsidR="00D13E9B" w:rsidP="00D13E9B" w14:paraId="429A4009" w14:textId="77777777">
            <w:pPr>
              <w:rPr>
                <w:rStyle w:val="NORCInlineHeadingL2"/>
                <w:rFonts w:asciiTheme="minorHAnsi" w:hAnsiTheme="minorHAnsi"/>
                <w:b w:val="0"/>
                <w:i w:val="0"/>
              </w:rPr>
            </w:pPr>
            <w:r>
              <w:rPr>
                <w:rFonts w:asciiTheme="minorHAnsi" w:hAnsiTheme="minorHAnsi"/>
                <w:szCs w:val="22"/>
              </w:rPr>
              <w:t>Northern Mariana Islands</w:t>
            </w:r>
          </w:p>
        </w:tc>
        <w:tc>
          <w:tcPr>
            <w:tcW w:w="1994" w:type="dxa"/>
            <w:vAlign w:val="center"/>
            <w:hideMark/>
          </w:tcPr>
          <w:p w:rsidR="00D13E9B" w:rsidP="00D13E9B" w14:paraId="32978431" w14:textId="77777777">
            <w:r>
              <w:rPr>
                <w:rFonts w:asciiTheme="minorHAnsi" w:hAnsiTheme="minorHAnsi"/>
                <w:szCs w:val="22"/>
              </w:rPr>
              <w:t>Grocery store and gas gift cards</w:t>
            </w:r>
          </w:p>
        </w:tc>
        <w:tc>
          <w:tcPr>
            <w:tcW w:w="1617" w:type="dxa"/>
            <w:vAlign w:val="center"/>
            <w:hideMark/>
          </w:tcPr>
          <w:p w:rsidR="00D13E9B" w:rsidP="00D13E9B" w14:paraId="79B72D5B" w14:textId="6A7E1724">
            <w:pPr>
              <w:jc w:val="center"/>
              <w:rPr>
                <w:rFonts w:asciiTheme="minorHAnsi" w:hAnsiTheme="minorHAnsi"/>
                <w:szCs w:val="22"/>
              </w:rPr>
            </w:pPr>
            <w:r>
              <w:rPr>
                <w:rFonts w:asciiTheme="minorHAnsi" w:hAnsiTheme="minorHAnsi"/>
                <w:szCs w:val="22"/>
              </w:rPr>
              <w:t>500</w:t>
            </w:r>
          </w:p>
        </w:tc>
        <w:tc>
          <w:tcPr>
            <w:tcW w:w="2066" w:type="dxa"/>
            <w:vAlign w:val="center"/>
            <w:hideMark/>
          </w:tcPr>
          <w:p w:rsidR="00D13E9B" w:rsidP="00D13E9B" w14:paraId="0353E8EF" w14:textId="77777777">
            <w:pPr>
              <w:jc w:val="center"/>
              <w:rPr>
                <w:rFonts w:asciiTheme="minorHAnsi" w:hAnsiTheme="minorHAnsi"/>
                <w:szCs w:val="22"/>
              </w:rPr>
            </w:pPr>
            <w:r>
              <w:rPr>
                <w:rFonts w:asciiTheme="minorHAnsi" w:hAnsiTheme="minorHAnsi"/>
                <w:szCs w:val="22"/>
              </w:rPr>
              <w:t>$10</w:t>
            </w:r>
          </w:p>
        </w:tc>
      </w:tr>
      <w:tr w14:paraId="60CCE418" w14:textId="77777777" w:rsidTr="0083260A">
        <w:tblPrEx>
          <w:tblW w:w="0" w:type="auto"/>
          <w:tblLook w:val="04A0"/>
        </w:tblPrEx>
        <w:tc>
          <w:tcPr>
            <w:tcW w:w="1920" w:type="dxa"/>
            <w:vAlign w:val="center"/>
            <w:hideMark/>
          </w:tcPr>
          <w:p w:rsidR="00D13E9B" w:rsidP="00D13E9B" w14:paraId="560C3C8F" w14:textId="77777777">
            <w:pPr>
              <w:rPr>
                <w:rFonts w:asciiTheme="minorHAnsi" w:hAnsiTheme="minorHAnsi"/>
                <w:szCs w:val="22"/>
              </w:rPr>
            </w:pPr>
            <w:r>
              <w:rPr>
                <w:rFonts w:asciiTheme="minorHAnsi" w:hAnsiTheme="minorHAnsi"/>
                <w:szCs w:val="22"/>
              </w:rPr>
              <w:t>Palau</w:t>
            </w:r>
          </w:p>
        </w:tc>
        <w:tc>
          <w:tcPr>
            <w:tcW w:w="1994" w:type="dxa"/>
            <w:vAlign w:val="center"/>
            <w:hideMark/>
          </w:tcPr>
          <w:p w:rsidR="00D13E9B" w:rsidP="00D13E9B" w14:paraId="2E7C2D7D" w14:textId="77777777">
            <w:pPr>
              <w:rPr>
                <w:rFonts w:asciiTheme="minorHAnsi" w:hAnsiTheme="minorHAnsi"/>
                <w:szCs w:val="22"/>
              </w:rPr>
            </w:pPr>
            <w:r>
              <w:rPr>
                <w:rFonts w:asciiTheme="minorHAnsi" w:hAnsiTheme="minorHAnsi"/>
                <w:szCs w:val="22"/>
              </w:rPr>
              <w:t>No incentive</w:t>
            </w:r>
          </w:p>
        </w:tc>
        <w:tc>
          <w:tcPr>
            <w:tcW w:w="1617" w:type="dxa"/>
            <w:hideMark/>
          </w:tcPr>
          <w:p w:rsidR="00D13E9B" w:rsidP="00D13E9B" w14:paraId="6CE9F1B2" w14:textId="057DC156">
            <w:pPr>
              <w:jc w:val="center"/>
              <w:rPr>
                <w:rFonts w:asciiTheme="minorHAnsi" w:hAnsiTheme="minorHAnsi"/>
                <w:szCs w:val="22"/>
              </w:rPr>
            </w:pPr>
            <w:r>
              <w:rPr>
                <w:rFonts w:asciiTheme="minorHAnsi" w:hAnsiTheme="minorHAnsi"/>
                <w:szCs w:val="22"/>
              </w:rPr>
              <w:t>250</w:t>
            </w:r>
          </w:p>
        </w:tc>
        <w:tc>
          <w:tcPr>
            <w:tcW w:w="2066" w:type="dxa"/>
            <w:vAlign w:val="center"/>
            <w:hideMark/>
          </w:tcPr>
          <w:p w:rsidR="00D13E9B" w:rsidP="00D13E9B" w14:paraId="65EA18F9" w14:textId="77777777">
            <w:pPr>
              <w:jc w:val="center"/>
              <w:rPr>
                <w:rFonts w:asciiTheme="minorHAnsi" w:hAnsiTheme="minorHAnsi"/>
                <w:szCs w:val="22"/>
              </w:rPr>
            </w:pPr>
            <w:r>
              <w:rPr>
                <w:rFonts w:asciiTheme="minorHAnsi" w:hAnsiTheme="minorHAnsi"/>
                <w:szCs w:val="22"/>
              </w:rPr>
              <w:t>None</w:t>
            </w:r>
          </w:p>
        </w:tc>
      </w:tr>
    </w:tbl>
    <w:p w:rsidR="005959E4" w:rsidP="005959E4" w14:paraId="7F45BB27" w14:textId="77777777">
      <w:pPr>
        <w:rPr>
          <w:rFonts w:asciiTheme="minorHAnsi" w:hAnsiTheme="minorHAnsi"/>
          <w:sz w:val="22"/>
          <w:szCs w:val="22"/>
        </w:rPr>
      </w:pPr>
    </w:p>
    <w:p w:rsidR="00D84D9E" w:rsidRPr="005307EF" w:rsidP="00EE7754" w14:paraId="27A4216C" w14:textId="54012791">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Assurance of Confidentiality Provided to Respondents</w:t>
      </w:r>
    </w:p>
    <w:p w:rsidR="00D84D9E" w:rsidRPr="005307EF" w:rsidP="00D84D9E" w14:paraId="5EA301E0" w14:textId="6038EF54">
      <w:pPr>
        <w:spacing w:before="120" w:after="120"/>
        <w:rPr>
          <w:rFonts w:asciiTheme="minorHAnsi" w:hAnsiTheme="minorHAnsi"/>
          <w:sz w:val="22"/>
          <w:szCs w:val="22"/>
        </w:rPr>
      </w:pPr>
      <w:r w:rsidRPr="005307EF">
        <w:rPr>
          <w:rFonts w:asciiTheme="minorHAnsi" w:hAnsiTheme="minorHAnsi"/>
          <w:sz w:val="22"/>
          <w:szCs w:val="22"/>
        </w:rPr>
        <w:t>Data will be kept private to the extent allowed by law. Individuals and organizations will be assured of the confidentiality of their replies under Section 934(c) of the Public Health Service Act, 42 USC 299c-3(c)</w:t>
      </w:r>
      <w:r w:rsidR="00792F0F">
        <w:rPr>
          <w:rFonts w:asciiTheme="minorHAnsi" w:hAnsiTheme="minorHAnsi"/>
          <w:sz w:val="22"/>
          <w:szCs w:val="22"/>
        </w:rPr>
        <w:t xml:space="preserve">. </w:t>
      </w:r>
      <w:r w:rsidRPr="005307EF">
        <w:rPr>
          <w:rFonts w:asciiTheme="minorHAnsi" w:hAnsiTheme="minorHAnsi"/>
          <w:sz w:val="22"/>
          <w:szCs w:val="22"/>
        </w:rPr>
        <w:t xml:space="preserve">They will be told the purposes for which the information is collected and that, in accordance with this statute, any identifiable information about them will not be used or disclosed for any other purpose. </w:t>
      </w:r>
      <w:r w:rsidRPr="0092552D" w:rsidR="0092552D">
        <w:rPr>
          <w:rFonts w:asciiTheme="minorHAnsi" w:hAnsiTheme="minorHAnsi"/>
          <w:sz w:val="22"/>
          <w:szCs w:val="22"/>
        </w:rPr>
        <w:t>Data is not retrieved through a personal identifier.</w:t>
      </w:r>
    </w:p>
    <w:p w:rsidR="00D84D9E" w:rsidRPr="005307EF" w:rsidP="00EE7754" w14:paraId="2E8BDFD1" w14:textId="47155B5F">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Justification for Sensitive Questions</w:t>
      </w:r>
    </w:p>
    <w:p w:rsidR="00802D7E" w:rsidRPr="00501CF6" w:rsidP="002512E7" w14:paraId="09B010FF" w14:textId="3ACBAFC8">
      <w:pPr>
        <w:widowControl/>
        <w:tabs>
          <w:tab w:val="num" w:pos="360"/>
        </w:tabs>
        <w:spacing w:before="120" w:after="240"/>
        <w:rPr>
          <w:rFonts w:asciiTheme="minorHAnsi" w:hAnsiTheme="minorHAnsi" w:cstheme="minorBidi"/>
          <w:sz w:val="22"/>
          <w:szCs w:val="22"/>
        </w:rPr>
      </w:pPr>
      <w:r w:rsidRPr="005307EF">
        <w:rPr>
          <w:rFonts w:asciiTheme="minorHAnsi" w:hAnsiTheme="minorHAnsi"/>
          <w:sz w:val="22"/>
          <w:szCs w:val="22"/>
        </w:rPr>
        <w:t xml:space="preserve">The </w:t>
      </w:r>
      <w:r w:rsidRPr="6EAEFB75" w:rsidR="00977394">
        <w:rPr>
          <w:rFonts w:asciiTheme="minorHAnsi" w:hAnsiTheme="minorHAnsi" w:cstheme="minorBidi"/>
          <w:sz w:val="22"/>
          <w:szCs w:val="22"/>
        </w:rPr>
        <w:t>MCH Jurisdictional Survey</w:t>
      </w:r>
      <w:r w:rsidRPr="6EAEFB75" w:rsidR="00977394">
        <w:rPr>
          <w:rFonts w:asciiTheme="minorHAnsi" w:hAnsiTheme="minorHAnsi"/>
          <w:sz w:val="24"/>
        </w:rPr>
        <w:t xml:space="preserve"> </w:t>
      </w:r>
      <w:r w:rsidR="00EA78B3">
        <w:rPr>
          <w:rFonts w:asciiTheme="minorHAnsi" w:hAnsiTheme="minorHAnsi"/>
          <w:sz w:val="22"/>
          <w:szCs w:val="22"/>
        </w:rPr>
        <w:t xml:space="preserve">is based on the </w:t>
      </w:r>
      <w:r w:rsidR="009C4C83">
        <w:rPr>
          <w:rFonts w:asciiTheme="minorHAnsi" w:hAnsiTheme="minorHAnsi"/>
          <w:sz w:val="22"/>
          <w:szCs w:val="22"/>
        </w:rPr>
        <w:t>National Survey of Children’s Health (</w:t>
      </w:r>
      <w:r w:rsidR="00EA78B3">
        <w:rPr>
          <w:rFonts w:asciiTheme="minorHAnsi" w:hAnsiTheme="minorHAnsi"/>
          <w:sz w:val="22"/>
          <w:szCs w:val="22"/>
        </w:rPr>
        <w:t>NSCH</w:t>
      </w:r>
      <w:r w:rsidR="009C4C83">
        <w:rPr>
          <w:rFonts w:asciiTheme="minorHAnsi" w:hAnsiTheme="minorHAnsi"/>
          <w:sz w:val="22"/>
          <w:szCs w:val="22"/>
        </w:rPr>
        <w:t>)</w:t>
      </w:r>
      <w:r w:rsidR="00EA78B3">
        <w:rPr>
          <w:rFonts w:asciiTheme="minorHAnsi" w:hAnsiTheme="minorHAnsi"/>
          <w:sz w:val="22"/>
          <w:szCs w:val="22"/>
        </w:rPr>
        <w:t xml:space="preserve"> and other governmental surveys approved by </w:t>
      </w:r>
      <w:r w:rsidRPr="005307EF" w:rsidR="00EA78B3">
        <w:rPr>
          <w:rFonts w:asciiTheme="minorHAnsi" w:hAnsiTheme="minorHAnsi"/>
          <w:sz w:val="22"/>
          <w:szCs w:val="22"/>
        </w:rPr>
        <w:t>Office of Management and Budget</w:t>
      </w:r>
      <w:r w:rsidRPr="005307EF" w:rsidR="00D84D9E">
        <w:rPr>
          <w:rFonts w:asciiTheme="minorHAnsi" w:hAnsiTheme="minorHAnsi"/>
          <w:sz w:val="22"/>
          <w:szCs w:val="22"/>
        </w:rPr>
        <w:t xml:space="preserve">. </w:t>
      </w:r>
      <w:r w:rsidR="005922D8">
        <w:rPr>
          <w:rFonts w:asciiTheme="minorHAnsi" w:hAnsiTheme="minorHAnsi"/>
          <w:sz w:val="22"/>
          <w:szCs w:val="22"/>
        </w:rPr>
        <w:t>I</w:t>
      </w:r>
      <w:r w:rsidRPr="005307EF" w:rsidR="00D84D9E">
        <w:rPr>
          <w:rFonts w:asciiTheme="minorHAnsi" w:hAnsiTheme="minorHAnsi"/>
          <w:sz w:val="22"/>
          <w:szCs w:val="22"/>
        </w:rPr>
        <w:t xml:space="preserve">tems </w:t>
      </w:r>
      <w:r w:rsidR="005922D8">
        <w:rPr>
          <w:rFonts w:asciiTheme="minorHAnsi" w:hAnsiTheme="minorHAnsi"/>
          <w:sz w:val="22"/>
          <w:szCs w:val="22"/>
        </w:rPr>
        <w:t xml:space="preserve">have been included </w:t>
      </w:r>
      <w:r w:rsidRPr="005307EF" w:rsidR="00D84D9E">
        <w:rPr>
          <w:rFonts w:asciiTheme="minorHAnsi" w:hAnsiTheme="minorHAnsi"/>
          <w:sz w:val="22"/>
          <w:szCs w:val="22"/>
        </w:rPr>
        <w:t xml:space="preserve">related to race and ethnicity. The U.S. Department of Health &amp; Human Services (HHS) requires that race </w:t>
      </w:r>
      <w:r w:rsidRPr="005307EF" w:rsidR="00D84D9E">
        <w:rPr>
          <w:rFonts w:asciiTheme="minorHAnsi" w:hAnsiTheme="minorHAnsi"/>
          <w:sz w:val="22"/>
          <w:szCs w:val="22"/>
          <w:u w:val="single"/>
        </w:rPr>
        <w:t>and</w:t>
      </w:r>
      <w:r w:rsidRPr="005307EF" w:rsidR="00D84D9E">
        <w:rPr>
          <w:rFonts w:asciiTheme="minorHAnsi" w:hAnsiTheme="minorHAnsi"/>
          <w:sz w:val="22"/>
          <w:szCs w:val="22"/>
        </w:rPr>
        <w:t xml:space="preserve"> ethnicity be </w:t>
      </w:r>
      <w:r w:rsidRPr="00802D7E" w:rsidR="00D84D9E">
        <w:rPr>
          <w:rFonts w:asciiTheme="minorHAnsi" w:hAnsiTheme="minorHAnsi"/>
          <w:sz w:val="22"/>
          <w:szCs w:val="22"/>
        </w:rPr>
        <w:t>collected on all HHS data collection instruments</w:t>
      </w:r>
      <w:r w:rsidR="00964978">
        <w:rPr>
          <w:rFonts w:asciiTheme="minorHAnsi" w:hAnsiTheme="minorHAnsi"/>
          <w:sz w:val="22"/>
          <w:szCs w:val="22"/>
        </w:rPr>
        <w:t xml:space="preserve"> </w:t>
      </w:r>
      <w:r w:rsidRPr="00964978" w:rsidR="00964978">
        <w:rPr>
          <w:rFonts w:asciiTheme="minorHAnsi" w:hAnsiTheme="minorHAnsi"/>
          <w:sz w:val="22"/>
          <w:szCs w:val="22"/>
        </w:rPr>
        <w:t>(</w:t>
      </w:r>
      <w:r w:rsidR="00D401F8">
        <w:rPr>
          <w:rFonts w:asciiTheme="minorHAnsi" w:hAnsiTheme="minorHAnsi"/>
          <w:sz w:val="22"/>
          <w:szCs w:val="22"/>
        </w:rPr>
        <w:t>HHS</w:t>
      </w:r>
      <w:r w:rsidRPr="00964978" w:rsidR="00964978">
        <w:rPr>
          <w:rFonts w:asciiTheme="minorHAnsi" w:hAnsiTheme="minorHAnsi"/>
          <w:sz w:val="22"/>
          <w:szCs w:val="22"/>
        </w:rPr>
        <w:t>, 20</w:t>
      </w:r>
      <w:r w:rsidR="00D401F8">
        <w:rPr>
          <w:rFonts w:asciiTheme="minorHAnsi" w:hAnsiTheme="minorHAnsi"/>
          <w:sz w:val="22"/>
          <w:szCs w:val="22"/>
        </w:rPr>
        <w:t>24</w:t>
      </w:r>
      <w:r w:rsidRPr="00964978" w:rsidR="00964978">
        <w:rPr>
          <w:rFonts w:asciiTheme="minorHAnsi" w:hAnsiTheme="minorHAnsi"/>
          <w:sz w:val="22"/>
          <w:szCs w:val="22"/>
        </w:rPr>
        <w:t>)</w:t>
      </w:r>
      <w:r w:rsidRPr="00802D7E" w:rsidR="00D84D9E">
        <w:rPr>
          <w:rFonts w:asciiTheme="minorHAnsi" w:hAnsiTheme="minorHAnsi"/>
          <w:sz w:val="22"/>
          <w:szCs w:val="22"/>
        </w:rPr>
        <w:t xml:space="preserve">. </w:t>
      </w:r>
      <w:r w:rsidRPr="00802D7E">
        <w:rPr>
          <w:rFonts w:asciiTheme="minorHAnsi" w:hAnsiTheme="minorHAnsi"/>
          <w:sz w:val="22"/>
          <w:szCs w:val="22"/>
        </w:rPr>
        <w:t xml:space="preserve">The proposed question </w:t>
      </w:r>
      <w:r w:rsidRPr="6EAEFB75" w:rsidR="4E9400DD">
        <w:rPr>
          <w:rFonts w:asciiTheme="minorHAnsi" w:hAnsiTheme="minorHAnsi"/>
          <w:sz w:val="22"/>
          <w:szCs w:val="22"/>
        </w:rPr>
        <w:t>is</w:t>
      </w:r>
      <w:r w:rsidR="007D5EEC">
        <w:rPr>
          <w:rFonts w:asciiTheme="minorHAnsi" w:hAnsiTheme="minorHAnsi"/>
          <w:sz w:val="22"/>
          <w:szCs w:val="22"/>
        </w:rPr>
        <w:t xml:space="preserve"> included below. </w:t>
      </w:r>
      <w:r w:rsidR="00D31213">
        <w:rPr>
          <w:rFonts w:asciiTheme="minorHAnsi" w:hAnsiTheme="minorHAnsi"/>
          <w:sz w:val="22"/>
          <w:szCs w:val="22"/>
        </w:rPr>
        <w:t>T</w:t>
      </w:r>
      <w:r w:rsidRPr="00D31213" w:rsidR="00D31213">
        <w:rPr>
          <w:rFonts w:asciiTheme="minorHAnsi" w:hAnsiTheme="minorHAnsi"/>
          <w:sz w:val="22"/>
          <w:szCs w:val="22"/>
        </w:rPr>
        <w:t xml:space="preserve">he current request proposes updates to survey questions </w:t>
      </w:r>
      <w:r w:rsidR="001F3989">
        <w:rPr>
          <w:rFonts w:asciiTheme="minorHAnsi" w:hAnsiTheme="minorHAnsi"/>
          <w:sz w:val="22"/>
          <w:szCs w:val="22"/>
        </w:rPr>
        <w:t xml:space="preserve">based on </w:t>
      </w:r>
      <w:r w:rsidRPr="00D31213" w:rsidR="00D31213">
        <w:rPr>
          <w:rFonts w:asciiTheme="minorHAnsi" w:hAnsiTheme="minorHAnsi"/>
          <w:sz w:val="22"/>
          <w:szCs w:val="22"/>
        </w:rPr>
        <w:t>new federal data standards, including updated guidance from the Office of Management and Budget on collecting information on race and ethnicity</w:t>
      </w:r>
      <w:r w:rsidRPr="6EAEFB75" w:rsidR="6D478A51">
        <w:rPr>
          <w:rFonts w:asciiTheme="minorHAnsi" w:hAnsiTheme="minorHAnsi"/>
          <w:sz w:val="22"/>
          <w:szCs w:val="22"/>
        </w:rPr>
        <w:t xml:space="preserve"> (Office of Management and Budget, 2024)</w:t>
      </w:r>
      <w:r w:rsidRPr="6EAEFB75" w:rsidR="77CF9B64">
        <w:rPr>
          <w:rFonts w:asciiTheme="minorHAnsi" w:hAnsiTheme="minorHAnsi"/>
          <w:sz w:val="22"/>
          <w:szCs w:val="22"/>
        </w:rPr>
        <w:t xml:space="preserve">. The proposed question </w:t>
      </w:r>
      <w:r w:rsidRPr="6EAEFB75" w:rsidR="6D478A51">
        <w:rPr>
          <w:rFonts w:asciiTheme="minorHAnsi" w:hAnsiTheme="minorHAnsi"/>
          <w:sz w:val="22"/>
          <w:szCs w:val="22"/>
        </w:rPr>
        <w:t xml:space="preserve">includes additional </w:t>
      </w:r>
      <w:r w:rsidRPr="6EAEFB75" w:rsidR="7E2C9DD5">
        <w:rPr>
          <w:rFonts w:asciiTheme="minorHAnsi" w:hAnsiTheme="minorHAnsi"/>
          <w:sz w:val="22"/>
          <w:szCs w:val="22"/>
        </w:rPr>
        <w:t xml:space="preserve">Pacific </w:t>
      </w:r>
      <w:r w:rsidRPr="7C3BB9C3" w:rsidR="7E2C9DD5">
        <w:rPr>
          <w:rFonts w:asciiTheme="minorHAnsi" w:hAnsiTheme="minorHAnsi"/>
          <w:sz w:val="22"/>
          <w:szCs w:val="22"/>
        </w:rPr>
        <w:t>Basin</w:t>
      </w:r>
      <w:r w:rsidRPr="6EAEFB75" w:rsidR="7E2C9DD5">
        <w:rPr>
          <w:rFonts w:asciiTheme="minorHAnsi" w:hAnsiTheme="minorHAnsi"/>
          <w:sz w:val="22"/>
          <w:szCs w:val="22"/>
        </w:rPr>
        <w:t xml:space="preserve"> race/ethnicity response </w:t>
      </w:r>
      <w:r w:rsidRPr="6EAEFB75" w:rsidR="6D478A51">
        <w:rPr>
          <w:rFonts w:asciiTheme="minorHAnsi" w:hAnsiTheme="minorHAnsi"/>
          <w:sz w:val="22"/>
          <w:szCs w:val="22"/>
        </w:rPr>
        <w:t>options</w:t>
      </w:r>
      <w:r w:rsidRPr="6EAEFB75" w:rsidR="03EA1C27">
        <w:rPr>
          <w:rFonts w:asciiTheme="minorHAnsi" w:hAnsiTheme="minorHAnsi"/>
          <w:sz w:val="22"/>
          <w:szCs w:val="22"/>
        </w:rPr>
        <w:t xml:space="preserve"> </w:t>
      </w:r>
      <w:r w:rsidRPr="6EAEFB75" w:rsidR="001F3989">
        <w:rPr>
          <w:rFonts w:asciiTheme="minorHAnsi" w:hAnsiTheme="minorHAnsi"/>
          <w:sz w:val="22"/>
          <w:szCs w:val="22"/>
        </w:rPr>
        <w:t xml:space="preserve">requested </w:t>
      </w:r>
      <w:r w:rsidRPr="6EAEFB75" w:rsidR="32EC95B2">
        <w:rPr>
          <w:rFonts w:asciiTheme="minorHAnsi" w:hAnsiTheme="minorHAnsi"/>
          <w:sz w:val="22"/>
          <w:szCs w:val="22"/>
        </w:rPr>
        <w:t xml:space="preserve">for inclusion by </w:t>
      </w:r>
      <w:r w:rsidRPr="6EAEFB75" w:rsidR="001F3989">
        <w:rPr>
          <w:rFonts w:asciiTheme="minorHAnsi" w:hAnsiTheme="minorHAnsi"/>
          <w:sz w:val="22"/>
          <w:szCs w:val="22"/>
        </w:rPr>
        <w:t>the jurisdictions</w:t>
      </w:r>
      <w:r w:rsidRPr="6EAEFB75" w:rsidR="2C6357B2">
        <w:rPr>
          <w:rFonts w:asciiTheme="minorHAnsi" w:hAnsiTheme="minorHAnsi"/>
          <w:sz w:val="22"/>
          <w:szCs w:val="22"/>
        </w:rPr>
        <w:t xml:space="preserve"> and informed by </w:t>
      </w:r>
      <w:r w:rsidRPr="6EAEFB75" w:rsidR="50915A8D">
        <w:rPr>
          <w:rFonts w:asciiTheme="minorHAnsi" w:hAnsiTheme="minorHAnsi"/>
          <w:sz w:val="22"/>
          <w:szCs w:val="22"/>
        </w:rPr>
        <w:t xml:space="preserve">responses to “other Pacific Islander, please specify” in </w:t>
      </w:r>
      <w:r w:rsidRPr="6EAEFB75" w:rsidR="2C6357B2">
        <w:rPr>
          <w:rFonts w:asciiTheme="minorHAnsi" w:hAnsiTheme="minorHAnsi"/>
          <w:sz w:val="22"/>
          <w:szCs w:val="22"/>
        </w:rPr>
        <w:t xml:space="preserve">previous rounds of </w:t>
      </w:r>
      <w:r w:rsidRPr="6EAEFB75" w:rsidR="2C6357B2">
        <w:rPr>
          <w:rFonts w:asciiTheme="minorHAnsi" w:hAnsiTheme="minorHAnsi"/>
          <w:sz w:val="22"/>
          <w:szCs w:val="22"/>
        </w:rPr>
        <w:t>data collection</w:t>
      </w:r>
      <w:r w:rsidRPr="6EAEFB75" w:rsidR="07A0EE9C">
        <w:rPr>
          <w:rFonts w:asciiTheme="minorHAnsi" w:hAnsiTheme="minorHAnsi"/>
          <w:sz w:val="22"/>
          <w:szCs w:val="22"/>
        </w:rPr>
        <w:t xml:space="preserve"> (</w:t>
      </w:r>
      <w:r w:rsidRPr="6EAEFB75" w:rsidR="07A0EE9C">
        <w:rPr>
          <w:rFonts w:asciiTheme="minorHAnsi" w:hAnsiTheme="minorHAnsi" w:cstheme="minorBidi"/>
          <w:sz w:val="22"/>
          <w:szCs w:val="22"/>
        </w:rPr>
        <w:t>specifically: Tongan, Saipanese, Mortlockese, Kosraen, Carolinian, Palauan, Pohnpeian, Yapese, Chuukese, and Marshallese</w:t>
      </w:r>
      <w:r w:rsidRPr="64203169" w:rsidR="07A0EE9C">
        <w:rPr>
          <w:rFonts w:asciiTheme="minorHAnsi" w:hAnsiTheme="minorHAnsi" w:cstheme="minorBidi"/>
          <w:sz w:val="22"/>
          <w:szCs w:val="22"/>
        </w:rPr>
        <w:t>).</w:t>
      </w:r>
      <w:r w:rsidRPr="64203169" w:rsidR="338FFB9E">
        <w:rPr>
          <w:rFonts w:asciiTheme="minorHAnsi" w:hAnsiTheme="minorHAnsi" w:cstheme="minorBidi"/>
          <w:sz w:val="22"/>
          <w:szCs w:val="22"/>
        </w:rPr>
        <w:t xml:space="preserve"> These detailed response options, approved in the 2022 extension (ICR 202203-0906-002),</w:t>
      </w:r>
      <w:r w:rsidRPr="6EAEFB75" w:rsidR="2A0E6C72">
        <w:rPr>
          <w:rFonts w:asciiTheme="minorHAnsi" w:hAnsiTheme="minorHAnsi"/>
          <w:sz w:val="22"/>
          <w:szCs w:val="22"/>
        </w:rPr>
        <w:t xml:space="preserve"> </w:t>
      </w:r>
      <w:r w:rsidRPr="73A3EA46" w:rsidR="2A0E6C72">
        <w:rPr>
          <w:rFonts w:asciiTheme="minorHAnsi" w:hAnsiTheme="minorHAnsi"/>
          <w:sz w:val="22"/>
          <w:szCs w:val="22"/>
        </w:rPr>
        <w:t>allow</w:t>
      </w:r>
      <w:r w:rsidRPr="6EAEFB75" w:rsidR="2A0E6C72">
        <w:rPr>
          <w:rFonts w:asciiTheme="minorHAnsi" w:hAnsiTheme="minorHAnsi"/>
          <w:sz w:val="22"/>
          <w:szCs w:val="22"/>
        </w:rPr>
        <w:t xml:space="preserve"> for</w:t>
      </w:r>
      <w:r w:rsidR="00146AC7">
        <w:rPr>
          <w:rFonts w:asciiTheme="minorHAnsi" w:hAnsiTheme="minorHAnsi"/>
          <w:sz w:val="22"/>
          <w:szCs w:val="22"/>
        </w:rPr>
        <w:t xml:space="preserve"> j</w:t>
      </w:r>
      <w:r w:rsidRPr="6EAEFB75" w:rsidR="2A0E6C72">
        <w:rPr>
          <w:rFonts w:asciiTheme="minorHAnsi" w:hAnsiTheme="minorHAnsi"/>
          <w:sz w:val="22"/>
          <w:szCs w:val="22"/>
        </w:rPr>
        <w:t xml:space="preserve">urisdictional </w:t>
      </w:r>
      <w:r w:rsidR="00146AC7">
        <w:rPr>
          <w:rFonts w:asciiTheme="minorHAnsi" w:hAnsiTheme="minorHAnsi"/>
          <w:sz w:val="22"/>
          <w:szCs w:val="22"/>
        </w:rPr>
        <w:t>MCH Block Grant leadership</w:t>
      </w:r>
      <w:r w:rsidRPr="6EAEFB75" w:rsidR="2A0E6C72">
        <w:rPr>
          <w:rFonts w:asciiTheme="minorHAnsi" w:hAnsiTheme="minorHAnsi"/>
          <w:sz w:val="22"/>
          <w:szCs w:val="22"/>
        </w:rPr>
        <w:t xml:space="preserve"> to properly analyze their data and apply results to </w:t>
      </w:r>
      <w:r w:rsidR="00146AC7">
        <w:rPr>
          <w:rFonts w:asciiTheme="minorHAnsi" w:hAnsiTheme="minorHAnsi"/>
          <w:sz w:val="22"/>
          <w:szCs w:val="22"/>
        </w:rPr>
        <w:t>MCHB Block Grant</w:t>
      </w:r>
      <w:r w:rsidRPr="6EAEFB75" w:rsidR="2A0E6C72">
        <w:rPr>
          <w:rFonts w:asciiTheme="minorHAnsi" w:hAnsiTheme="minorHAnsi"/>
          <w:sz w:val="22"/>
          <w:szCs w:val="22"/>
        </w:rPr>
        <w:t xml:space="preserve"> programming. </w:t>
      </w:r>
      <w:r w:rsidRPr="6AAB35F4" w:rsidR="53F02E88">
        <w:rPr>
          <w:rFonts w:asciiTheme="minorHAnsi" w:hAnsiTheme="minorHAnsi"/>
          <w:sz w:val="22"/>
          <w:szCs w:val="22"/>
        </w:rPr>
        <w:t>Finally, in</w:t>
      </w:r>
      <w:r w:rsidRPr="6EAEFB75" w:rsidR="0F71DD2E">
        <w:rPr>
          <w:rFonts w:asciiTheme="minorHAnsi" w:hAnsiTheme="minorHAnsi"/>
          <w:sz w:val="22"/>
          <w:szCs w:val="22"/>
        </w:rPr>
        <w:t xml:space="preserve"> order to </w:t>
      </w:r>
      <w:r w:rsidRPr="300D8435" w:rsidR="004A078D">
        <w:rPr>
          <w:rFonts w:asciiTheme="minorHAnsi" w:hAnsiTheme="minorHAnsi"/>
          <w:sz w:val="22"/>
          <w:szCs w:val="22"/>
        </w:rPr>
        <w:t>facilitate</w:t>
      </w:r>
      <w:r w:rsidRPr="300D8435" w:rsidR="58DFA5DE">
        <w:rPr>
          <w:rFonts w:asciiTheme="minorHAnsi" w:hAnsiTheme="minorHAnsi"/>
          <w:sz w:val="22"/>
          <w:szCs w:val="22"/>
        </w:rPr>
        <w:t xml:space="preserve"> </w:t>
      </w:r>
      <w:r w:rsidRPr="300D8435" w:rsidR="0F71DD2E">
        <w:rPr>
          <w:rFonts w:asciiTheme="minorHAnsi" w:hAnsiTheme="minorHAnsi"/>
          <w:sz w:val="22"/>
          <w:szCs w:val="22"/>
        </w:rPr>
        <w:t>respondents’</w:t>
      </w:r>
      <w:r w:rsidRPr="6EAEFB75" w:rsidR="0F71DD2E">
        <w:rPr>
          <w:rFonts w:asciiTheme="minorHAnsi" w:hAnsiTheme="minorHAnsi"/>
          <w:sz w:val="22"/>
          <w:szCs w:val="22"/>
        </w:rPr>
        <w:t xml:space="preserve"> easily answering this question</w:t>
      </w:r>
      <w:r w:rsidRPr="3F57FE60" w:rsidR="56AA072A">
        <w:rPr>
          <w:rFonts w:asciiTheme="minorHAnsi" w:hAnsiTheme="minorHAnsi"/>
          <w:sz w:val="22"/>
          <w:szCs w:val="22"/>
        </w:rPr>
        <w:t xml:space="preserve"> about race and ethnicity</w:t>
      </w:r>
      <w:r w:rsidRPr="6EAEFB75" w:rsidR="0F71DD2E">
        <w:rPr>
          <w:rFonts w:asciiTheme="minorHAnsi" w:hAnsiTheme="minorHAnsi"/>
          <w:sz w:val="22"/>
          <w:szCs w:val="22"/>
        </w:rPr>
        <w:t>, Guamanian and Chamorro are now displayed separately, rather than in one row, and Saipanese will not be shown in the Northern Mariana Islands</w:t>
      </w:r>
      <w:r w:rsidR="00251C56">
        <w:rPr>
          <w:rFonts w:asciiTheme="minorHAnsi" w:hAnsiTheme="minorHAnsi"/>
          <w:sz w:val="22"/>
          <w:szCs w:val="22"/>
        </w:rPr>
        <w:t>, as Saipanese is not a term used in the Northern Mariana Islands to identify ethnicity</w:t>
      </w:r>
      <w:r w:rsidRPr="6EAEFB75" w:rsidR="0F71DD2E">
        <w:rPr>
          <w:rFonts w:asciiTheme="minorHAnsi" w:hAnsiTheme="minorHAnsi"/>
          <w:sz w:val="22"/>
          <w:szCs w:val="22"/>
        </w:rPr>
        <w:t>.</w:t>
      </w:r>
    </w:p>
    <w:p w:rsidR="0034254B" w:rsidRPr="005D41B2" w:rsidP="005D41B2" w14:paraId="103F5538" w14:textId="64558E45">
      <w:pPr>
        <w:pStyle w:val="NoSpacing"/>
        <w:numPr>
          <w:ilvl w:val="0"/>
          <w:numId w:val="23"/>
        </w:numPr>
        <w:rPr>
          <w:b/>
          <w:bCs/>
          <w:szCs w:val="20"/>
        </w:rPr>
      </w:pPr>
      <w:bookmarkStart w:id="0" w:name="OLE_LINK1"/>
      <w:bookmarkStart w:id="1" w:name="OLE_LINK150"/>
      <w:r w:rsidRPr="005014F1">
        <w:rPr>
          <w:b/>
          <w:bCs/>
          <w:szCs w:val="20"/>
        </w:rPr>
        <w:t xml:space="preserve">What is this child’s race and/or ethnicity? </w:t>
      </w:r>
      <w:bookmarkEnd w:id="0"/>
      <w:r w:rsidRPr="005014F1">
        <w:rPr>
          <w:b/>
          <w:bCs/>
          <w:i/>
          <w:szCs w:val="20"/>
        </w:rPr>
        <w:t>SELECT ALL THAT APPLY.</w:t>
      </w:r>
      <w:bookmarkEnd w:id="1"/>
      <w:r w:rsidR="005D41B2">
        <w:rPr>
          <w:b/>
          <w:bCs/>
          <w:i/>
          <w:szCs w:val="20"/>
        </w:rPr>
        <w:t xml:space="preserve"> </w:t>
      </w:r>
      <w:r w:rsidRPr="005D41B2">
        <w:rPr>
          <w:rFonts w:cstheme="minorHAnsi"/>
        </w:rPr>
        <w:t xml:space="preserve">Is this child… </w:t>
      </w:r>
    </w:p>
    <w:p w:rsidR="0034254B" w:rsidRPr="00C364AF" w:rsidP="004A078D" w14:paraId="68B4F7FE" w14:textId="5403833F">
      <w:pPr>
        <w:pStyle w:val="Answer"/>
        <w:keepNext w:val="0"/>
        <w:keepLines w:val="0"/>
        <w:numPr>
          <w:ilvl w:val="0"/>
          <w:numId w:val="0"/>
        </w:numPr>
        <w:rPr>
          <w:rFonts w:asciiTheme="minorHAnsi" w:hAnsiTheme="minorHAnsi" w:cstheme="minorHAnsi"/>
        </w:rPr>
      </w:pPr>
    </w:p>
    <w:p w:rsidR="0034254B" w:rsidRPr="004A078D" w:rsidP="004A078D" w14:paraId="019AC363" w14:textId="77777777">
      <w:pPr>
        <w:tabs>
          <w:tab w:val="left" w:pos="720"/>
          <w:tab w:val="left" w:pos="1080"/>
        </w:tabs>
        <w:spacing w:after="20" w:line="240" w:lineRule="exact"/>
        <w:ind w:left="720" w:hanging="72"/>
        <w:outlineLvl w:val="2"/>
        <w:rPr>
          <w:rFonts w:asciiTheme="minorHAnsi" w:hAnsiTheme="minorHAnsi" w:cstheme="minorHAnsi"/>
          <w:b/>
          <w:bCs/>
          <w:i/>
          <w:iCs/>
          <w:sz w:val="22"/>
          <w:szCs w:val="22"/>
        </w:rPr>
      </w:pPr>
      <w:r w:rsidRPr="00C364AF">
        <w:rPr>
          <w:rFonts w:asciiTheme="minorHAnsi" w:hAnsiTheme="minorHAnsi" w:cstheme="minorHAnsi"/>
          <w:sz w:val="22"/>
          <w:szCs w:val="22"/>
        </w:rPr>
        <w:t xml:space="preserve"> </w:t>
      </w:r>
      <w:r w:rsidRPr="004A078D">
        <w:rPr>
          <w:rFonts w:asciiTheme="minorHAnsi" w:hAnsiTheme="minorHAnsi" w:cstheme="minorHAnsi"/>
          <w:b/>
          <w:bCs/>
          <w:sz w:val="22"/>
          <w:szCs w:val="22"/>
        </w:rPr>
        <w:t>Hispanic or Latino?</w:t>
      </w:r>
      <w:r w:rsidRPr="004A078D">
        <w:rPr>
          <w:rFonts w:asciiTheme="minorHAnsi" w:hAnsiTheme="minorHAnsi" w:cstheme="minorHAnsi"/>
          <w:b/>
          <w:bCs/>
          <w:i/>
          <w:iCs/>
          <w:sz w:val="22"/>
          <w:szCs w:val="22"/>
        </w:rPr>
        <w:t xml:space="preserve"> </w:t>
      </w:r>
    </w:p>
    <w:p w:rsidR="0034254B" w:rsidRPr="00C364AF" w:rsidP="004A078D" w14:paraId="294666F6" w14:textId="77777777">
      <w:pPr>
        <w:tabs>
          <w:tab w:val="left" w:pos="720"/>
          <w:tab w:val="left" w:pos="1080"/>
        </w:tabs>
        <w:spacing w:after="20" w:line="240" w:lineRule="exact"/>
        <w:ind w:left="720"/>
        <w:outlineLvl w:val="2"/>
        <w:rPr>
          <w:rFonts w:asciiTheme="minorHAnsi" w:hAnsiTheme="minorHAnsi" w:cstheme="minorHAnsi"/>
          <w:sz w:val="22"/>
          <w:szCs w:val="22"/>
        </w:rPr>
      </w:pPr>
      <w:bookmarkStart w:id="2" w:name="OLE_LINK53"/>
      <w:r w:rsidRPr="00C364AF">
        <w:rPr>
          <w:rFonts w:asciiTheme="minorHAnsi" w:hAnsiTheme="minorHAnsi" w:cstheme="minorHAnsi"/>
          <w:i/>
          <w:iCs/>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Yes</w:t>
      </w:r>
    </w:p>
    <w:p w:rsidR="0034254B" w:rsidRPr="00C364AF" w:rsidP="004A078D" w14:paraId="0CE8B57A"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No</w:t>
      </w:r>
    </w:p>
    <w:bookmarkEnd w:id="2"/>
    <w:p w:rsidR="0034254B" w:rsidRPr="00C364AF" w:rsidP="004A078D" w14:paraId="5686BA96" w14:textId="77777777">
      <w:pPr>
        <w:tabs>
          <w:tab w:val="left" w:pos="720"/>
          <w:tab w:val="left" w:pos="1080"/>
        </w:tabs>
        <w:spacing w:after="20" w:line="240" w:lineRule="exact"/>
        <w:outlineLvl w:val="2"/>
        <w:rPr>
          <w:rFonts w:asciiTheme="minorHAnsi" w:hAnsiTheme="minorHAnsi" w:cstheme="minorHAnsi"/>
          <w:i/>
          <w:iCs/>
          <w:sz w:val="22"/>
          <w:szCs w:val="22"/>
        </w:rPr>
      </w:pPr>
    </w:p>
    <w:p w:rsidR="0034254B" w:rsidRPr="00C364AF" w:rsidP="004A078D" w14:paraId="09B0E39A" w14:textId="77777777">
      <w:pPr>
        <w:tabs>
          <w:tab w:val="left" w:pos="720"/>
          <w:tab w:val="left" w:pos="1080"/>
        </w:tabs>
        <w:spacing w:after="20" w:line="240" w:lineRule="exact"/>
        <w:ind w:left="1080"/>
        <w:outlineLvl w:val="2"/>
        <w:rPr>
          <w:rFonts w:asciiTheme="minorHAnsi" w:hAnsiTheme="minorHAnsi" w:cstheme="minorHAnsi"/>
          <w:sz w:val="22"/>
          <w:szCs w:val="22"/>
        </w:rPr>
      </w:pPr>
      <w:r w:rsidRPr="00C364AF">
        <w:rPr>
          <w:rFonts w:asciiTheme="minorHAnsi" w:hAnsiTheme="minorHAnsi" w:cstheme="minorHAnsi"/>
          <w:b/>
          <w:bCs/>
          <w:i/>
          <w:iCs/>
          <w:sz w:val="22"/>
          <w:szCs w:val="22"/>
        </w:rPr>
        <w:t>[</w:t>
      </w:r>
      <w:bookmarkStart w:id="3" w:name="OLE_LINK54"/>
      <w:r w:rsidRPr="00C364AF">
        <w:rPr>
          <w:rFonts w:asciiTheme="minorHAnsi" w:hAnsiTheme="minorHAnsi" w:cstheme="minorHAnsi"/>
          <w:b/>
          <w:bCs/>
          <w:i/>
          <w:iCs/>
          <w:sz w:val="22"/>
          <w:szCs w:val="22"/>
        </w:rPr>
        <w:t>IF YES]</w:t>
      </w:r>
      <w:r w:rsidRPr="00C364AF">
        <w:rPr>
          <w:rFonts w:asciiTheme="minorHAnsi" w:hAnsiTheme="minorHAnsi" w:cstheme="minorHAnsi"/>
          <w:i/>
          <w:iCs/>
          <w:sz w:val="22"/>
          <w:szCs w:val="22"/>
        </w:rPr>
        <w:t xml:space="preserve"> </w:t>
      </w:r>
      <w:r w:rsidRPr="00C364AF">
        <w:rPr>
          <w:rFonts w:asciiTheme="minorHAnsi" w:hAnsiTheme="minorHAnsi" w:cstheme="minorHAnsi"/>
          <w:sz w:val="22"/>
          <w:szCs w:val="22"/>
        </w:rPr>
        <w:t>Please describe this child’s</w:t>
      </w:r>
      <w:bookmarkEnd w:id="3"/>
      <w:r w:rsidRPr="00C364AF">
        <w:rPr>
          <w:rFonts w:asciiTheme="minorHAnsi" w:hAnsiTheme="minorHAnsi" w:cstheme="minorHAnsi"/>
          <w:sz w:val="22"/>
          <w:szCs w:val="22"/>
        </w:rPr>
        <w:t xml:space="preserve"> Hispanic or Latino background.</w:t>
      </w:r>
      <w:r w:rsidRPr="00C364AF">
        <w:rPr>
          <w:rFonts w:asciiTheme="minorHAnsi" w:hAnsiTheme="minorHAnsi" w:cstheme="minorHAnsi"/>
          <w:i/>
          <w:iCs/>
          <w:sz w:val="22"/>
          <w:szCs w:val="22"/>
        </w:rPr>
        <w:t xml:space="preserve"> </w:t>
      </w:r>
      <w:r w:rsidRPr="00C364AF">
        <w:rPr>
          <w:rFonts w:asciiTheme="minorHAnsi" w:hAnsiTheme="minorHAnsi" w:cstheme="minorHAnsi"/>
          <w:sz w:val="22"/>
          <w:szCs w:val="22"/>
        </w:rPr>
        <w:t>Is this child…?</w:t>
      </w:r>
    </w:p>
    <w:p w:rsidR="0034254B" w:rsidRPr="00C364AF" w:rsidP="004A078D" w14:paraId="6218314F"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Mexican</w:t>
      </w:r>
    </w:p>
    <w:p w:rsidR="0034254B" w:rsidRPr="00C364AF" w:rsidP="004A078D" w14:paraId="55287D8A"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Puerto Rican</w:t>
      </w:r>
    </w:p>
    <w:p w:rsidR="0034254B" w:rsidRPr="00C364AF" w:rsidP="004A078D" w14:paraId="0D64E8CF"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Salvadoran</w:t>
      </w:r>
    </w:p>
    <w:p w:rsidR="0034254B" w:rsidRPr="00C364AF" w:rsidP="004A078D" w14:paraId="73440039"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Cuban</w:t>
      </w:r>
    </w:p>
    <w:p w:rsidR="0034254B" w:rsidRPr="00C364AF" w:rsidP="004A078D" w14:paraId="12C97F4C"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Dominican</w:t>
      </w:r>
    </w:p>
    <w:p w:rsidR="0034254B" w:rsidRPr="00C364AF" w:rsidP="004A078D" w14:paraId="5725525C" w14:textId="77777777">
      <w:pPr>
        <w:tabs>
          <w:tab w:val="left" w:pos="720"/>
          <w:tab w:val="left" w:pos="1080"/>
        </w:tabs>
        <w:spacing w:after="20" w:line="240" w:lineRule="exact"/>
        <w:ind w:left="720"/>
        <w:outlineLvl w:val="2"/>
        <w:rPr>
          <w:rFonts w:asciiTheme="minorHAnsi" w:hAnsiTheme="minorHAnsi" w:cstheme="minorHAnsi"/>
          <w:sz w:val="22"/>
          <w:szCs w:val="22"/>
        </w:rPr>
      </w:pPr>
      <w:bookmarkStart w:id="4" w:name="OLE_LINK52"/>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w:t>
      </w:r>
      <w:bookmarkEnd w:id="4"/>
      <w:r w:rsidRPr="00C364AF">
        <w:rPr>
          <w:rFonts w:asciiTheme="minorHAnsi" w:hAnsiTheme="minorHAnsi" w:cstheme="minorHAnsi"/>
          <w:sz w:val="22"/>
          <w:szCs w:val="22"/>
        </w:rPr>
        <w:t>Guatemalan</w:t>
      </w:r>
    </w:p>
    <w:p w:rsidR="0034254B" w:rsidRPr="00C364AF" w:rsidP="004A078D" w14:paraId="4DD585C3" w14:textId="77777777">
      <w:pPr>
        <w:tabs>
          <w:tab w:val="left" w:pos="720"/>
          <w:tab w:val="left" w:pos="1080"/>
        </w:tabs>
        <w:spacing w:after="20" w:line="240" w:lineRule="exact"/>
        <w:ind w:left="1440" w:hanging="72"/>
        <w:outlineLvl w:val="2"/>
        <w:rPr>
          <w:rFonts w:asciiTheme="minorHAnsi" w:hAnsiTheme="minorHAnsi" w:cstheme="minorHAnsi"/>
          <w:i/>
          <w:iCs/>
          <w:sz w:val="22"/>
          <w:szCs w:val="22"/>
        </w:rPr>
      </w:pPr>
      <w:r w:rsidRPr="00C364AF">
        <w:rPr>
          <w:rFonts w:asciiTheme="minorHAnsi" w:hAnsiTheme="minorHAnsi" w:cstheme="minorHAnsi"/>
          <w:sz w:val="22"/>
          <w:szCs w:val="22"/>
        </w:rPr>
        <w:t xml:space="preserve"> </w:t>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Other Hispanic or Latino. </w:t>
      </w:r>
      <w:r w:rsidRPr="00C364AF">
        <w:rPr>
          <w:rFonts w:asciiTheme="minorHAnsi" w:hAnsiTheme="minorHAnsi" w:cstheme="minorHAnsi"/>
          <w:i/>
          <w:iCs/>
          <w:sz w:val="22"/>
          <w:szCs w:val="22"/>
        </w:rPr>
        <w:t xml:space="preserve">Please describe this child’s other Hispanic or Latino background. For example, Colombian, Honduran, Spaniard, etc. </w:t>
      </w:r>
    </w:p>
    <w:p w:rsidR="0034254B" w:rsidRPr="00C364AF" w:rsidP="004A078D" w14:paraId="13796ABA" w14:textId="77777777">
      <w:pPr>
        <w:pStyle w:val="Answer"/>
        <w:keepNext w:val="0"/>
        <w:keepLines w:val="0"/>
        <w:numPr>
          <w:ilvl w:val="0"/>
          <w:numId w:val="0"/>
        </w:numPr>
        <w:rPr>
          <w:rFonts w:asciiTheme="minorHAnsi" w:hAnsiTheme="minorHAnsi" w:cstheme="minorHAnsi"/>
        </w:rPr>
      </w:pPr>
    </w:p>
    <w:p w:rsidR="0034254B" w:rsidRPr="004A078D" w:rsidP="004A078D" w14:paraId="34000FBA" w14:textId="77777777">
      <w:pPr>
        <w:tabs>
          <w:tab w:val="left" w:pos="720"/>
          <w:tab w:val="left" w:pos="1080"/>
        </w:tabs>
        <w:spacing w:after="20" w:line="240" w:lineRule="exact"/>
        <w:ind w:left="720" w:hanging="72"/>
        <w:outlineLvl w:val="2"/>
        <w:rPr>
          <w:rFonts w:asciiTheme="minorHAnsi" w:hAnsiTheme="minorHAnsi" w:cstheme="minorHAnsi"/>
          <w:b/>
          <w:bCs/>
          <w:sz w:val="22"/>
          <w:szCs w:val="22"/>
        </w:rPr>
      </w:pPr>
      <w:r w:rsidRPr="004A078D">
        <w:rPr>
          <w:rFonts w:asciiTheme="minorHAnsi" w:hAnsiTheme="minorHAnsi" w:cstheme="minorHAnsi"/>
          <w:b/>
          <w:bCs/>
          <w:sz w:val="22"/>
          <w:szCs w:val="22"/>
        </w:rPr>
        <w:t xml:space="preserve">Native Hawaiian or Pacific Islander? </w:t>
      </w:r>
    </w:p>
    <w:p w:rsidR="0034254B" w:rsidRPr="00C364AF" w:rsidP="004A078D" w14:paraId="01682838"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Yes</w:t>
      </w:r>
    </w:p>
    <w:p w:rsidR="0034254B" w:rsidRPr="00C364AF" w:rsidP="004A078D" w14:paraId="13DB9110"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No</w:t>
      </w:r>
    </w:p>
    <w:p w:rsidR="0034254B" w:rsidRPr="00C364AF" w:rsidP="004A078D" w14:paraId="6958C670" w14:textId="77777777">
      <w:pPr>
        <w:tabs>
          <w:tab w:val="left" w:pos="720"/>
          <w:tab w:val="left" w:pos="1080"/>
        </w:tabs>
        <w:spacing w:after="20" w:line="240" w:lineRule="exact"/>
        <w:ind w:left="720" w:hanging="72"/>
        <w:outlineLvl w:val="2"/>
        <w:rPr>
          <w:rFonts w:asciiTheme="minorHAnsi" w:hAnsiTheme="minorHAnsi" w:cstheme="minorHAnsi"/>
          <w:sz w:val="22"/>
          <w:szCs w:val="22"/>
        </w:rPr>
      </w:pPr>
    </w:p>
    <w:p w:rsidR="0034254B" w:rsidRPr="00C364AF" w:rsidP="004A078D" w14:paraId="0DC1A1CD" w14:textId="77777777">
      <w:pPr>
        <w:tabs>
          <w:tab w:val="left" w:pos="720"/>
          <w:tab w:val="left" w:pos="1080"/>
        </w:tabs>
        <w:spacing w:after="20" w:line="240" w:lineRule="exact"/>
        <w:ind w:left="1080"/>
        <w:outlineLvl w:val="2"/>
        <w:rPr>
          <w:rFonts w:asciiTheme="minorHAnsi" w:hAnsiTheme="minorHAnsi" w:cstheme="minorHAnsi"/>
          <w:i/>
          <w:iCs/>
          <w:sz w:val="22"/>
          <w:szCs w:val="22"/>
        </w:rPr>
      </w:pPr>
      <w:r w:rsidRPr="00C364AF">
        <w:rPr>
          <w:rFonts w:asciiTheme="minorHAnsi" w:hAnsiTheme="minorHAnsi" w:cstheme="minorHAnsi"/>
          <w:b/>
          <w:bCs/>
          <w:i/>
          <w:iCs/>
          <w:sz w:val="22"/>
          <w:szCs w:val="22"/>
        </w:rPr>
        <w:t>[IF YES]</w:t>
      </w:r>
      <w:r w:rsidRPr="00C364AF">
        <w:rPr>
          <w:rFonts w:asciiTheme="minorHAnsi" w:hAnsiTheme="minorHAnsi" w:cstheme="minorHAnsi"/>
          <w:i/>
          <w:iCs/>
          <w:sz w:val="22"/>
          <w:szCs w:val="22"/>
        </w:rPr>
        <w:t xml:space="preserve"> </w:t>
      </w:r>
      <w:r w:rsidRPr="00C364AF">
        <w:rPr>
          <w:rFonts w:asciiTheme="minorHAnsi" w:hAnsiTheme="minorHAnsi" w:cstheme="minorHAnsi"/>
          <w:sz w:val="22"/>
          <w:szCs w:val="22"/>
        </w:rPr>
        <w:t>Please describe this child’s Native Hawaiian or Pacific Islander background. Is this child…?</w:t>
      </w:r>
    </w:p>
    <w:p w:rsidR="0034254B" w:rsidRPr="00C364AF" w:rsidP="004A078D" w14:paraId="5868EEDE" w14:textId="77777777">
      <w:pPr>
        <w:tabs>
          <w:tab w:val="left" w:pos="720"/>
          <w:tab w:val="left" w:pos="1080"/>
        </w:tabs>
        <w:spacing w:after="20" w:line="240" w:lineRule="exact"/>
        <w:ind w:left="720"/>
        <w:outlineLvl w:val="2"/>
        <w:rPr>
          <w:rFonts w:asciiTheme="minorHAnsi" w:hAnsiTheme="minorHAnsi" w:cstheme="minorHAnsi"/>
          <w:sz w:val="22"/>
          <w:szCs w:val="22"/>
        </w:rPr>
      </w:pPr>
      <w:bookmarkStart w:id="5" w:name="OLE_LINK41"/>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Native Hawaiian </w:t>
      </w:r>
    </w:p>
    <w:p w:rsidR="0034254B" w:rsidRPr="00C364AF" w:rsidP="004A078D" w14:paraId="4CA099BB"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Tongan</w:t>
      </w:r>
    </w:p>
    <w:p w:rsidR="0034254B" w:rsidRPr="00C364AF" w:rsidP="004A078D" w14:paraId="48368807"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Samoan</w:t>
      </w:r>
    </w:p>
    <w:p w:rsidR="0034254B" w:rsidRPr="00C364AF" w:rsidP="004A078D" w14:paraId="6F0D605D"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Fijian</w:t>
      </w:r>
    </w:p>
    <w:p w:rsidR="0034254B" w:rsidRPr="00C364AF" w:rsidP="004A078D" w14:paraId="082C2620" w14:textId="1DB1EB7C">
      <w:pPr>
        <w:tabs>
          <w:tab w:val="left" w:pos="720"/>
          <w:tab w:val="left" w:pos="1080"/>
        </w:tabs>
        <w:spacing w:after="20" w:line="240" w:lineRule="exact"/>
        <w:ind w:left="720"/>
        <w:outlineLvl w:val="2"/>
        <w:rPr>
          <w:rFonts w:asciiTheme="minorHAnsi" w:hAnsiTheme="minorHAnsi" w:cstheme="minorBid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766854CF">
        <w:rPr>
          <w:rFonts w:asciiTheme="minorHAnsi" w:hAnsiTheme="minorHAnsi" w:cstheme="minorBidi"/>
          <w:sz w:val="22"/>
          <w:szCs w:val="22"/>
        </w:rPr>
        <w:t xml:space="preserve"> Guamanian</w:t>
      </w:r>
    </w:p>
    <w:p w:rsidR="0034254B" w:rsidRPr="00C364AF" w:rsidP="004A078D" w14:paraId="6F36B83C" w14:textId="4D6AD814">
      <w:pPr>
        <w:tabs>
          <w:tab w:val="left" w:pos="720"/>
          <w:tab w:val="left" w:pos="1080"/>
        </w:tabs>
        <w:spacing w:after="20" w:line="240" w:lineRule="exact"/>
        <w:ind w:left="1440"/>
        <w:outlineLvl w:val="2"/>
        <w:rPr>
          <w:rFonts w:asciiTheme="minorHAnsi" w:hAnsiTheme="minorHAnsi" w:cstheme="minorBidi"/>
          <w:sz w:val="22"/>
          <w:szCs w:val="22"/>
        </w:rPr>
      </w:pPr>
      <w:r w:rsidRPr="2BC97E40">
        <w:rPr>
          <w:rFonts w:ascii="Segoe UI Symbol" w:hAnsi="Segoe UI Symbol" w:cs="Segoe UI Symbol"/>
          <w:sz w:val="22"/>
          <w:szCs w:val="22"/>
        </w:rPr>
        <w:t>☐</w:t>
      </w:r>
      <w:r w:rsidRPr="71EC2422">
        <w:rPr>
          <w:rFonts w:asciiTheme="minorHAnsi" w:hAnsiTheme="minorHAnsi" w:cstheme="minorBidi"/>
          <w:sz w:val="22"/>
          <w:szCs w:val="22"/>
        </w:rPr>
        <w:t xml:space="preserve"> </w:t>
      </w:r>
      <w:r w:rsidRPr="766854CF">
        <w:rPr>
          <w:rFonts w:asciiTheme="minorHAnsi" w:hAnsiTheme="minorHAnsi" w:cstheme="minorBidi"/>
          <w:sz w:val="22"/>
          <w:szCs w:val="22"/>
        </w:rPr>
        <w:t>Chamorro</w:t>
      </w:r>
    </w:p>
    <w:p w:rsidR="0034254B" w:rsidRPr="00C364AF" w:rsidP="004A078D" w14:paraId="2146B7BB"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Marshallese</w:t>
      </w:r>
      <w:bookmarkEnd w:id="5"/>
    </w:p>
    <w:p w:rsidR="0034254B" w:rsidRPr="00C364AF" w:rsidP="004A078D" w14:paraId="310343FF" w14:textId="29DCF1D5">
      <w:pPr>
        <w:tabs>
          <w:tab w:val="left" w:pos="720"/>
          <w:tab w:val="left" w:pos="1080"/>
        </w:tabs>
        <w:spacing w:after="20" w:line="240" w:lineRule="exact"/>
        <w:ind w:left="720"/>
        <w:outlineLvl w:val="2"/>
        <w:rPr>
          <w:rFonts w:asciiTheme="minorHAnsi" w:hAnsiTheme="minorHAnsi" w:cstheme="minorBid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43FB60C">
        <w:rPr>
          <w:rFonts w:asciiTheme="minorHAnsi" w:hAnsiTheme="minorHAnsi" w:cstheme="minorBidi"/>
          <w:sz w:val="22"/>
          <w:szCs w:val="22"/>
        </w:rPr>
        <w:t xml:space="preserve"> </w:t>
      </w:r>
      <w:r w:rsidRPr="043FB60C" w:rsidR="0FE2C1E7">
        <w:rPr>
          <w:rFonts w:ascii="Aptos" w:eastAsia="Aptos" w:hAnsi="Aptos" w:cs="Aptos"/>
          <w:sz w:val="22"/>
          <w:szCs w:val="22"/>
        </w:rPr>
        <w:t xml:space="preserve">[DO NOT DISPLAY IN MP] </w:t>
      </w:r>
      <w:r w:rsidRPr="043FB60C">
        <w:rPr>
          <w:rFonts w:asciiTheme="minorHAnsi" w:hAnsiTheme="minorHAnsi" w:cstheme="minorBidi"/>
          <w:sz w:val="22"/>
          <w:szCs w:val="22"/>
        </w:rPr>
        <w:t>Saipanese</w:t>
      </w:r>
    </w:p>
    <w:p w:rsidR="0034254B" w:rsidRPr="00C364AF" w:rsidP="004A078D" w14:paraId="655456EA"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Mortlockese</w:t>
      </w:r>
    </w:p>
    <w:p w:rsidR="0034254B" w:rsidRPr="00C364AF" w:rsidP="004A078D" w14:paraId="6F974192"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Kosraen</w:t>
      </w:r>
    </w:p>
    <w:p w:rsidR="0034254B" w:rsidRPr="00C364AF" w:rsidP="004A078D" w14:paraId="18BB73D4"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Carolinian</w:t>
      </w:r>
    </w:p>
    <w:p w:rsidR="0034254B" w:rsidRPr="00C364AF" w:rsidP="004A078D" w14:paraId="6A57542B" w14:textId="77777777">
      <w:pPr>
        <w:tabs>
          <w:tab w:val="left" w:pos="720"/>
          <w:tab w:val="left" w:pos="1080"/>
        </w:tabs>
        <w:spacing w:after="20" w:line="240" w:lineRule="exact"/>
        <w:ind w:left="720"/>
        <w:outlineLvl w:val="2"/>
        <w:rPr>
          <w:rFonts w:asciiTheme="minorHAnsi" w:hAnsiTheme="minorHAnsi" w:cstheme="minorHAnsi"/>
          <w:sz w:val="22"/>
          <w:szCs w:val="22"/>
        </w:rPr>
      </w:pPr>
      <w:bookmarkStart w:id="6" w:name="OLE_LINK43"/>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Palauan</w:t>
      </w:r>
    </w:p>
    <w:p w:rsidR="0034254B" w:rsidRPr="00C364AF" w:rsidP="004A078D" w14:paraId="3344F2C1"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Pohnpeian</w:t>
      </w:r>
    </w:p>
    <w:bookmarkEnd w:id="6"/>
    <w:p w:rsidR="0034254B" w:rsidRPr="00C364AF" w:rsidP="004A078D" w14:paraId="772196A0" w14:textId="77777777">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Yapese</w:t>
      </w:r>
    </w:p>
    <w:p w:rsidR="0034254B" w:rsidRPr="00C364AF" w:rsidP="004A078D" w14:paraId="5E9C6106" w14:textId="77777777">
      <w:pPr>
        <w:tabs>
          <w:tab w:val="left" w:pos="720"/>
          <w:tab w:val="left" w:pos="1080"/>
        </w:tabs>
        <w:spacing w:after="20" w:line="240" w:lineRule="exact"/>
        <w:ind w:left="720"/>
        <w:outlineLvl w:val="2"/>
        <w:rPr>
          <w:rFonts w:asciiTheme="minorHAnsi" w:hAnsiTheme="minorHAnsi" w:cstheme="minorHAnsi"/>
          <w:sz w:val="22"/>
          <w:szCs w:val="22"/>
        </w:rPr>
      </w:pPr>
      <w:bookmarkStart w:id="7" w:name="OLE_LINK59"/>
      <w:r w:rsidRPr="00C364AF">
        <w:rPr>
          <w:rFonts w:asciiTheme="minorHAnsi" w:hAnsiTheme="minorHAnsi" w:cstheme="minorHAnsi"/>
          <w:sz w:val="22"/>
          <w:szCs w:val="22"/>
        </w:rPr>
        <w:tab/>
      </w:r>
      <w:r w:rsidRPr="00C364AF">
        <w:rPr>
          <w:rFonts w:asciiTheme="minorHAnsi" w:hAnsiTheme="minorHAnsi" w:cstheme="minorHAnsi"/>
          <w:sz w:val="22"/>
          <w:szCs w:val="22"/>
        </w:rPr>
        <w:tab/>
      </w:r>
      <w:r w:rsidRPr="00C364AF">
        <w:rPr>
          <w:rFonts w:ascii="Segoe UI Symbol" w:hAnsi="Segoe UI Symbol" w:cs="Segoe UI Symbol"/>
          <w:sz w:val="22"/>
          <w:szCs w:val="22"/>
        </w:rPr>
        <w:t>☐</w:t>
      </w:r>
      <w:bookmarkEnd w:id="7"/>
      <w:r w:rsidRPr="00C364AF">
        <w:rPr>
          <w:rFonts w:asciiTheme="minorHAnsi" w:hAnsiTheme="minorHAnsi" w:cstheme="minorHAnsi"/>
          <w:sz w:val="22"/>
          <w:szCs w:val="22"/>
        </w:rPr>
        <w:t xml:space="preserve"> Chuukese</w:t>
      </w:r>
    </w:p>
    <w:p w:rsidR="0034254B" w:rsidRPr="00C364AF" w:rsidP="004A078D" w14:paraId="30430869" w14:textId="77777777">
      <w:pPr>
        <w:tabs>
          <w:tab w:val="left" w:pos="720"/>
          <w:tab w:val="left" w:pos="1080"/>
        </w:tabs>
        <w:spacing w:after="20" w:line="240" w:lineRule="exact"/>
        <w:ind w:left="1440"/>
        <w:outlineLvl w:val="2"/>
        <w:rPr>
          <w:rFonts w:asciiTheme="minorHAnsi" w:hAnsiTheme="minorHAnsi" w:cstheme="minorHAnsi"/>
          <w:i/>
          <w:iCs/>
          <w:sz w:val="22"/>
          <w:szCs w:val="22"/>
        </w:rPr>
      </w:pPr>
      <w:r w:rsidRPr="00C364AF">
        <w:rPr>
          <w:rFonts w:ascii="Segoe UI Symbol" w:hAnsi="Segoe UI Symbol" w:cs="Segoe UI Symbol"/>
          <w:sz w:val="22"/>
          <w:szCs w:val="22"/>
        </w:rPr>
        <w:t>☐</w:t>
      </w:r>
      <w:r w:rsidRPr="00C364AF">
        <w:rPr>
          <w:rFonts w:asciiTheme="minorHAnsi" w:hAnsiTheme="minorHAnsi" w:cstheme="minorHAnsi"/>
          <w:sz w:val="22"/>
          <w:szCs w:val="22"/>
        </w:rPr>
        <w:t xml:space="preserve"> Other Native Hawaiian or Pacific Islander background. </w:t>
      </w:r>
      <w:r w:rsidRPr="00C364AF">
        <w:rPr>
          <w:rFonts w:asciiTheme="minorHAnsi" w:hAnsiTheme="minorHAnsi" w:cstheme="minorHAnsi"/>
          <w:i/>
          <w:iCs/>
          <w:sz w:val="22"/>
          <w:szCs w:val="22"/>
        </w:rPr>
        <w:t xml:space="preserve">Please describe this child’s other Native Hawaiian or Pacific Islander background. For example, Tahitian, etc. </w:t>
      </w:r>
    </w:p>
    <w:p w:rsidR="0034254B" w:rsidRPr="00C364AF" w:rsidP="004A078D" w14:paraId="16A666D5" w14:textId="77777777">
      <w:pPr>
        <w:tabs>
          <w:tab w:val="left" w:pos="720"/>
          <w:tab w:val="left" w:pos="1080"/>
        </w:tabs>
        <w:spacing w:after="20" w:line="240" w:lineRule="exact"/>
        <w:ind w:left="720"/>
        <w:outlineLvl w:val="2"/>
        <w:rPr>
          <w:rFonts w:asciiTheme="minorHAnsi" w:hAnsiTheme="minorHAnsi" w:cstheme="minorHAnsi"/>
          <w:i/>
          <w:iCs/>
          <w:sz w:val="22"/>
          <w:szCs w:val="22"/>
        </w:rPr>
      </w:pPr>
    </w:p>
    <w:p w:rsidR="0034254B" w:rsidRPr="00C364AF" w:rsidP="004A078D" w14:paraId="08C3C62F" w14:textId="0D9CE448">
      <w:pPr>
        <w:tabs>
          <w:tab w:val="left" w:pos="720"/>
          <w:tab w:val="left" w:pos="1080"/>
        </w:tabs>
        <w:spacing w:after="20" w:line="240" w:lineRule="exact"/>
        <w:ind w:left="720"/>
        <w:outlineLvl w:val="2"/>
        <w:rPr>
          <w:rFonts w:asciiTheme="minorHAnsi" w:hAnsiTheme="minorHAnsi" w:cstheme="minorHAnsi"/>
          <w:sz w:val="22"/>
          <w:szCs w:val="22"/>
        </w:rPr>
      </w:pPr>
      <w:r w:rsidRPr="00C364AF">
        <w:rPr>
          <w:rFonts w:asciiTheme="minorHAnsi" w:hAnsiTheme="minorHAnsi" w:cstheme="minorHAnsi"/>
          <w:sz w:val="22"/>
          <w:szCs w:val="22"/>
        </w:rPr>
        <w:t xml:space="preserve">           </w:t>
      </w:r>
      <w:r w:rsidRPr="00C364AF">
        <w:rPr>
          <w:rFonts w:asciiTheme="minorHAnsi" w:hAnsiTheme="minorHAnsi" w:cstheme="minorHAnsi"/>
          <w:noProof/>
          <w:sz w:val="22"/>
          <w:szCs w:val="22"/>
        </w:rPr>
        <mc:AlternateContent>
          <mc:Choice Requires="wps">
            <w:drawing>
              <wp:inline distT="0" distB="0" distL="0" distR="0">
                <wp:extent cx="4878070" cy="202565"/>
                <wp:effectExtent l="9525" t="9525" r="8255" b="6985"/>
                <wp:docPr id="1990486410"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25" style="width:384.1pt;height:15.95pt;mso-left-percent:-10001;mso-position-horizontal-relative:char;mso-position-vertical-relative:line;mso-top-percent:-10001;mso-wrap-style:square;visibility:visible;v-text-anchor:top">
                <w10:wrap type="none"/>
                <w10:anchorlock/>
              </v:rect>
            </w:pict>
          </mc:Fallback>
        </mc:AlternateContent>
      </w:r>
    </w:p>
    <w:p w:rsidR="0034254B" w:rsidRPr="00C364AF" w:rsidP="004A078D" w14:paraId="5996B384" w14:textId="77777777">
      <w:pPr>
        <w:pStyle w:val="Answer"/>
        <w:keepNext w:val="0"/>
        <w:keepLines w:val="0"/>
        <w:numPr>
          <w:ilvl w:val="0"/>
          <w:numId w:val="0"/>
        </w:numPr>
        <w:rPr>
          <w:rFonts w:asciiTheme="minorHAnsi" w:hAnsiTheme="minorHAnsi" w:cstheme="minorHAnsi"/>
        </w:rPr>
      </w:pPr>
    </w:p>
    <w:p w:rsidR="0034254B" w:rsidRPr="004A078D" w:rsidP="004A078D" w14:paraId="0571C2DF" w14:textId="77777777">
      <w:pPr>
        <w:pStyle w:val="Answer"/>
        <w:keepNext w:val="0"/>
        <w:keepLines w:val="0"/>
        <w:numPr>
          <w:ilvl w:val="0"/>
          <w:numId w:val="0"/>
        </w:numPr>
        <w:rPr>
          <w:rFonts w:asciiTheme="minorHAnsi" w:hAnsiTheme="minorHAnsi" w:cstheme="minorHAnsi"/>
          <w:b/>
          <w:bCs/>
        </w:rPr>
      </w:pPr>
      <w:r w:rsidRPr="00C364AF">
        <w:rPr>
          <w:rFonts w:asciiTheme="minorHAnsi" w:hAnsiTheme="minorHAnsi" w:cstheme="minorHAnsi"/>
        </w:rPr>
        <w:tab/>
      </w:r>
      <w:r w:rsidRPr="004A078D">
        <w:rPr>
          <w:rFonts w:asciiTheme="minorHAnsi" w:hAnsiTheme="minorHAnsi" w:cstheme="minorHAnsi"/>
          <w:b/>
          <w:bCs/>
        </w:rPr>
        <w:t xml:space="preserve">American Indian or Alaska Native?  </w:t>
      </w:r>
    </w:p>
    <w:p w:rsidR="0034254B" w:rsidRPr="00C364AF" w:rsidP="004A078D" w14:paraId="784D9869" w14:textId="77777777">
      <w:pPr>
        <w:pStyle w:val="Answer"/>
        <w:keepNext w:val="0"/>
        <w:keepLines w:val="0"/>
        <w:numPr>
          <w:ilvl w:val="0"/>
          <w:numId w:val="0"/>
        </w:numPr>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bookmarkStart w:id="8" w:name="OLE_LINK12"/>
      <w:r w:rsidRPr="00C364AF">
        <w:rPr>
          <w:rFonts w:ascii="Segoe UI Symbol" w:hAnsi="Segoe UI Symbol" w:cs="Segoe UI Symbol"/>
        </w:rPr>
        <w:t>☐</w:t>
      </w:r>
      <w:r w:rsidRPr="00C364AF">
        <w:rPr>
          <w:rFonts w:asciiTheme="minorHAnsi" w:hAnsiTheme="minorHAnsi" w:cstheme="minorHAnsi"/>
        </w:rPr>
        <w:t xml:space="preserve"> Yes</w:t>
      </w:r>
    </w:p>
    <w:p w:rsidR="0034254B" w:rsidRPr="00C364AF" w:rsidP="004A078D" w14:paraId="53DCE536" w14:textId="77777777">
      <w:pPr>
        <w:pStyle w:val="Answer"/>
        <w:keepNext w:val="0"/>
        <w:keepLines w:val="0"/>
        <w:numPr>
          <w:ilvl w:val="0"/>
          <w:numId w:val="0"/>
        </w:numPr>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No</w:t>
      </w:r>
    </w:p>
    <w:bookmarkEnd w:id="8"/>
    <w:p w:rsidR="0034254B" w:rsidRPr="00C364AF" w:rsidP="004A078D" w14:paraId="5C522634" w14:textId="77777777">
      <w:pPr>
        <w:pStyle w:val="Answer"/>
        <w:keepNext w:val="0"/>
        <w:keepLines w:val="0"/>
        <w:numPr>
          <w:ilvl w:val="0"/>
          <w:numId w:val="0"/>
        </w:numPr>
        <w:rPr>
          <w:rFonts w:asciiTheme="minorHAnsi" w:hAnsiTheme="minorHAnsi" w:cstheme="minorHAnsi"/>
        </w:rPr>
      </w:pPr>
    </w:p>
    <w:p w:rsidR="0034254B" w:rsidRPr="00C364AF" w:rsidP="004A078D" w14:paraId="56906DB5" w14:textId="77777777">
      <w:pPr>
        <w:pStyle w:val="Answer"/>
        <w:keepNext w:val="0"/>
        <w:keepLines w:val="0"/>
        <w:numPr>
          <w:ilvl w:val="0"/>
          <w:numId w:val="0"/>
        </w:numPr>
        <w:ind w:left="1440"/>
        <w:rPr>
          <w:rFonts w:asciiTheme="minorHAnsi" w:hAnsiTheme="minorHAnsi" w:cstheme="minorHAnsi"/>
          <w:i/>
          <w:iCs/>
        </w:rPr>
      </w:pPr>
      <w:r w:rsidRPr="00C364AF">
        <w:rPr>
          <w:rFonts w:asciiTheme="minorHAnsi" w:hAnsiTheme="minorHAnsi" w:cstheme="minorHAnsi"/>
          <w:b/>
          <w:bCs/>
          <w:i/>
          <w:iCs/>
        </w:rPr>
        <w:t>[IF YES]</w:t>
      </w:r>
      <w:r w:rsidRPr="00C364AF">
        <w:rPr>
          <w:rFonts w:asciiTheme="minorHAnsi" w:hAnsiTheme="minorHAnsi" w:cstheme="minorHAnsi"/>
          <w:i/>
          <w:iCs/>
        </w:rPr>
        <w:t xml:space="preserve"> </w:t>
      </w:r>
      <w:r w:rsidRPr="00C364AF">
        <w:rPr>
          <w:rFonts w:asciiTheme="minorHAnsi" w:hAnsiTheme="minorHAnsi" w:cstheme="minorHAnsi"/>
        </w:rPr>
        <w:t xml:space="preserve">Please describe this child’s American Indian or Alaska Native background. </w:t>
      </w:r>
      <w:r w:rsidRPr="00C364AF">
        <w:rPr>
          <w:rFonts w:asciiTheme="minorHAnsi" w:hAnsiTheme="minorHAnsi" w:cstheme="minorHAnsi"/>
          <w:i/>
          <w:iCs/>
        </w:rPr>
        <w:t>For example, Navajo Nation, Blackfeet Tribe of the Blackfeet Indian Reservation of</w:t>
      </w:r>
    </w:p>
    <w:p w:rsidR="0034254B" w:rsidRPr="00C364AF" w:rsidP="004A078D" w14:paraId="7DCDAA44" w14:textId="77777777">
      <w:pPr>
        <w:pStyle w:val="Answer"/>
        <w:keepNext w:val="0"/>
        <w:keepLines w:val="0"/>
        <w:numPr>
          <w:ilvl w:val="0"/>
          <w:numId w:val="0"/>
        </w:numPr>
        <w:ind w:left="720"/>
        <w:rPr>
          <w:rFonts w:asciiTheme="minorHAnsi" w:hAnsiTheme="minorHAnsi" w:cstheme="minorHAnsi"/>
          <w:i/>
          <w:iCs/>
        </w:rPr>
      </w:pPr>
      <w:r w:rsidRPr="00C364AF">
        <w:rPr>
          <w:rFonts w:asciiTheme="minorHAnsi" w:hAnsiTheme="minorHAnsi" w:cstheme="minorHAnsi"/>
          <w:i/>
          <w:iCs/>
        </w:rPr>
        <w:tab/>
        <w:t xml:space="preserve"> </w:t>
      </w:r>
      <w:r w:rsidRPr="00C364AF">
        <w:rPr>
          <w:rFonts w:asciiTheme="minorHAnsi" w:hAnsiTheme="minorHAnsi" w:cstheme="minorHAnsi"/>
          <w:i/>
          <w:iCs/>
        </w:rPr>
        <w:tab/>
        <w:t xml:space="preserve">Montana, Native Village of Barrow lnupiat Traditional Government, Nome Eskimo </w:t>
      </w:r>
    </w:p>
    <w:p w:rsidR="0034254B" w:rsidRPr="00C364AF" w:rsidP="004A078D" w14:paraId="5609FA06" w14:textId="77777777">
      <w:pPr>
        <w:pStyle w:val="Answer"/>
        <w:keepNext w:val="0"/>
        <w:keepLines w:val="0"/>
        <w:numPr>
          <w:ilvl w:val="0"/>
          <w:numId w:val="0"/>
        </w:numPr>
        <w:ind w:left="720"/>
        <w:rPr>
          <w:rFonts w:asciiTheme="minorHAnsi" w:hAnsiTheme="minorHAnsi" w:cstheme="minorHAnsi"/>
          <w:i/>
          <w:iCs/>
        </w:rPr>
      </w:pPr>
      <w:r w:rsidRPr="00C364AF">
        <w:rPr>
          <w:rFonts w:asciiTheme="minorHAnsi" w:hAnsiTheme="minorHAnsi" w:cstheme="minorHAnsi"/>
          <w:i/>
          <w:iCs/>
        </w:rPr>
        <w:tab/>
      </w:r>
      <w:r w:rsidRPr="00C364AF">
        <w:rPr>
          <w:rFonts w:asciiTheme="minorHAnsi" w:hAnsiTheme="minorHAnsi" w:cstheme="minorHAnsi"/>
          <w:i/>
          <w:iCs/>
        </w:rPr>
        <w:tab/>
        <w:t xml:space="preserve">Community, Aztec, Maya, etc. </w:t>
      </w:r>
    </w:p>
    <w:p w:rsidR="0034254B" w:rsidRPr="00C364AF" w:rsidP="004A078D" w14:paraId="57C993D1"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 xml:space="preserve">  </w:t>
      </w:r>
    </w:p>
    <w:p w:rsidR="0034254B" w:rsidRPr="00C364AF" w:rsidP="004A078D" w14:paraId="6B389862" w14:textId="4D712546">
      <w:pPr>
        <w:pStyle w:val="Answer"/>
        <w:keepNext w:val="0"/>
        <w:keepLines w:val="0"/>
        <w:numPr>
          <w:ilvl w:val="0"/>
          <w:numId w:val="0"/>
        </w:numPr>
        <w:ind w:left="720"/>
        <w:rPr>
          <w:rFonts w:asciiTheme="minorHAnsi" w:hAnsiTheme="minorHAnsi" w:cstheme="minorHAnsi"/>
          <w:i/>
          <w:iCs/>
        </w:rPr>
      </w:pPr>
      <w:bookmarkStart w:id="9" w:name="OLE_LINK32"/>
      <w:r w:rsidRPr="00C364AF">
        <w:rPr>
          <w:rFonts w:asciiTheme="minorHAnsi" w:hAnsiTheme="minorHAnsi" w:cstheme="minorHAnsi"/>
        </w:rPr>
        <w:t xml:space="preserve">           </w:t>
      </w:r>
      <w:r w:rsidRPr="00C364AF">
        <w:rPr>
          <w:rFonts w:asciiTheme="minorHAnsi" w:hAnsiTheme="minorHAnsi" w:cstheme="minorHAnsi"/>
          <w:noProof/>
        </w:rPr>
        <mc:AlternateContent>
          <mc:Choice Requires="wps">
            <w:drawing>
              <wp:inline distT="0" distB="0" distL="0" distR="0">
                <wp:extent cx="4878070" cy="202565"/>
                <wp:effectExtent l="9525" t="9525" r="8255" b="6985"/>
                <wp:docPr id="206230816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26" style="width:384.1pt;height:15.95pt;mso-left-percent:-10001;mso-position-horizontal-relative:char;mso-position-vertical-relative:line;mso-top-percent:-10001;mso-wrap-style:square;visibility:visible;v-text-anchor:top">
                <w10:wrap type="none"/>
                <w10:anchorlock/>
              </v:rect>
            </w:pict>
          </mc:Fallback>
        </mc:AlternateContent>
      </w:r>
      <w:bookmarkEnd w:id="9"/>
      <w:r w:rsidRPr="00C364AF">
        <w:rPr>
          <w:rFonts w:asciiTheme="minorHAnsi" w:hAnsiTheme="minorHAnsi" w:cstheme="minorHAnsi"/>
          <w:i/>
          <w:iCs/>
        </w:rPr>
        <w:tab/>
      </w:r>
      <w:r w:rsidRPr="00C364AF">
        <w:rPr>
          <w:rFonts w:asciiTheme="minorHAnsi" w:hAnsiTheme="minorHAnsi" w:cstheme="minorHAnsi"/>
          <w:i/>
          <w:iCs/>
        </w:rPr>
        <w:tab/>
      </w:r>
    </w:p>
    <w:p w:rsidR="0034254B" w:rsidRPr="00C364AF" w:rsidP="004A078D" w14:paraId="753AD12C" w14:textId="77777777">
      <w:pPr>
        <w:pStyle w:val="Answer"/>
        <w:keepNext w:val="0"/>
        <w:keepLines w:val="0"/>
        <w:numPr>
          <w:ilvl w:val="0"/>
          <w:numId w:val="0"/>
        </w:numPr>
        <w:ind w:left="720"/>
        <w:rPr>
          <w:rFonts w:asciiTheme="minorHAnsi" w:hAnsiTheme="minorHAnsi" w:cstheme="minorHAnsi"/>
          <w:i/>
          <w:iCs/>
        </w:rPr>
      </w:pPr>
    </w:p>
    <w:p w:rsidR="0034254B" w:rsidRPr="004A078D" w:rsidP="004A078D" w14:paraId="6C7782A3" w14:textId="77777777">
      <w:pPr>
        <w:pStyle w:val="Answer"/>
        <w:keepNext w:val="0"/>
        <w:keepLines w:val="0"/>
        <w:numPr>
          <w:ilvl w:val="0"/>
          <w:numId w:val="0"/>
        </w:numPr>
        <w:rPr>
          <w:rFonts w:asciiTheme="minorHAnsi" w:hAnsiTheme="minorHAnsi" w:cstheme="minorHAnsi"/>
          <w:b/>
          <w:bCs/>
        </w:rPr>
      </w:pPr>
      <w:bookmarkStart w:id="10" w:name="OLE_LINK33"/>
      <w:r w:rsidRPr="00C364AF">
        <w:rPr>
          <w:rFonts w:asciiTheme="minorHAnsi" w:hAnsiTheme="minorHAnsi" w:cstheme="minorHAnsi"/>
        </w:rPr>
        <w:tab/>
      </w:r>
      <w:r w:rsidRPr="004A078D">
        <w:rPr>
          <w:rFonts w:asciiTheme="minorHAnsi" w:hAnsiTheme="minorHAnsi" w:cstheme="minorHAnsi"/>
          <w:b/>
          <w:bCs/>
        </w:rPr>
        <w:t>Asian?</w:t>
      </w:r>
    </w:p>
    <w:p w:rsidR="0034254B" w:rsidRPr="00C364AF" w:rsidP="004A078D" w14:paraId="3FDB9895"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bookmarkStart w:id="11" w:name="OLE_LINK30"/>
      <w:r w:rsidRPr="00C364AF">
        <w:rPr>
          <w:rFonts w:ascii="Segoe UI Symbol" w:hAnsi="Segoe UI Symbol" w:cs="Segoe UI Symbol"/>
        </w:rPr>
        <w:t>☐</w:t>
      </w:r>
      <w:r w:rsidRPr="00C364AF">
        <w:rPr>
          <w:rFonts w:asciiTheme="minorHAnsi" w:hAnsiTheme="minorHAnsi" w:cstheme="minorHAnsi"/>
        </w:rPr>
        <w:t xml:space="preserve"> Yes</w:t>
      </w:r>
    </w:p>
    <w:p w:rsidR="0034254B" w:rsidRPr="00C364AF" w:rsidP="004A078D" w14:paraId="66795F39"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No</w:t>
      </w:r>
    </w:p>
    <w:bookmarkEnd w:id="11"/>
    <w:p w:rsidR="0034254B" w:rsidRPr="00C364AF" w:rsidP="004A078D" w14:paraId="5946F867" w14:textId="77777777">
      <w:pPr>
        <w:pStyle w:val="Answer"/>
        <w:keepNext w:val="0"/>
        <w:keepLines w:val="0"/>
        <w:numPr>
          <w:ilvl w:val="0"/>
          <w:numId w:val="0"/>
        </w:numPr>
        <w:ind w:left="720"/>
        <w:rPr>
          <w:rFonts w:asciiTheme="minorHAnsi" w:hAnsiTheme="minorHAnsi" w:cstheme="minorHAnsi"/>
        </w:rPr>
      </w:pPr>
    </w:p>
    <w:p w:rsidR="0034254B" w:rsidRPr="00C364AF" w:rsidP="004A078D" w14:paraId="12B47A70" w14:textId="77777777">
      <w:pPr>
        <w:pStyle w:val="Answer"/>
        <w:keepNext w:val="0"/>
        <w:keepLines w:val="0"/>
        <w:numPr>
          <w:ilvl w:val="0"/>
          <w:numId w:val="0"/>
        </w:numPr>
        <w:ind w:left="1080"/>
        <w:rPr>
          <w:rFonts w:asciiTheme="minorHAnsi" w:hAnsiTheme="minorHAnsi" w:cstheme="minorHAnsi"/>
          <w:i/>
          <w:iCs/>
        </w:rPr>
      </w:pPr>
      <w:r w:rsidRPr="00C364AF">
        <w:rPr>
          <w:rFonts w:asciiTheme="minorHAnsi" w:hAnsiTheme="minorHAnsi" w:cstheme="minorHAnsi"/>
          <w:b/>
          <w:bCs/>
          <w:i/>
          <w:iCs/>
        </w:rPr>
        <w:t>[IF YES]</w:t>
      </w:r>
      <w:r w:rsidRPr="00C364AF">
        <w:rPr>
          <w:rFonts w:asciiTheme="minorHAnsi" w:hAnsiTheme="minorHAnsi" w:cstheme="minorHAnsi"/>
          <w:i/>
          <w:iCs/>
        </w:rPr>
        <w:t xml:space="preserve"> </w:t>
      </w:r>
      <w:r w:rsidRPr="00C364AF">
        <w:rPr>
          <w:rFonts w:asciiTheme="minorHAnsi" w:hAnsiTheme="minorHAnsi" w:cstheme="minorHAnsi"/>
        </w:rPr>
        <w:t>Please describe this child’s Asian background</w:t>
      </w:r>
      <w:r w:rsidRPr="00C364AF">
        <w:rPr>
          <w:rFonts w:asciiTheme="minorHAnsi" w:hAnsiTheme="minorHAnsi" w:cstheme="minorHAnsi"/>
          <w:i/>
          <w:iCs/>
        </w:rPr>
        <w:t>. Is this child…?</w:t>
      </w:r>
    </w:p>
    <w:p w:rsidR="0034254B" w:rsidRPr="00C364AF" w:rsidP="004A078D" w14:paraId="30C9C732" w14:textId="77777777">
      <w:pPr>
        <w:pStyle w:val="Answer"/>
        <w:keepNext w:val="0"/>
        <w:keepLines w:val="0"/>
        <w:numPr>
          <w:ilvl w:val="0"/>
          <w:numId w:val="0"/>
        </w:numPr>
        <w:ind w:left="720"/>
        <w:rPr>
          <w:rFonts w:asciiTheme="minorHAnsi" w:hAnsiTheme="minorHAnsi" w:cstheme="minorHAnsi"/>
        </w:rPr>
      </w:pPr>
      <w:bookmarkStart w:id="12" w:name="OLE_LINK10"/>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Chinese</w:t>
      </w:r>
    </w:p>
    <w:p w:rsidR="0034254B" w:rsidRPr="00C364AF" w:rsidP="004A078D" w14:paraId="47EB9EF5"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Asian Indian</w:t>
      </w:r>
    </w:p>
    <w:bookmarkEnd w:id="12"/>
    <w:p w:rsidR="0034254B" w:rsidRPr="00C364AF" w:rsidP="004A078D" w14:paraId="353DF605" w14:textId="77777777">
      <w:pPr>
        <w:pStyle w:val="Answer"/>
        <w:keepNext w:val="0"/>
        <w:keepLines w:val="0"/>
        <w:numPr>
          <w:ilvl w:val="0"/>
          <w:numId w:val="0"/>
        </w:numPr>
        <w:ind w:left="720" w:hanging="72"/>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Filipino</w:t>
      </w:r>
    </w:p>
    <w:p w:rsidR="0034254B" w:rsidRPr="00C364AF" w:rsidP="004A078D" w14:paraId="2513EF91" w14:textId="77777777">
      <w:pPr>
        <w:pStyle w:val="Answer"/>
        <w:keepNext w:val="0"/>
        <w:keepLines w:val="0"/>
        <w:numPr>
          <w:ilvl w:val="0"/>
          <w:numId w:val="0"/>
        </w:numPr>
        <w:ind w:left="720" w:hanging="72"/>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Vietnamese</w:t>
      </w:r>
    </w:p>
    <w:p w:rsidR="0034254B" w:rsidRPr="00C364AF" w:rsidP="004A078D" w14:paraId="08DA47AD" w14:textId="77777777">
      <w:pPr>
        <w:pStyle w:val="Answer"/>
        <w:keepNext w:val="0"/>
        <w:keepLines w:val="0"/>
        <w:numPr>
          <w:ilvl w:val="0"/>
          <w:numId w:val="0"/>
        </w:numPr>
        <w:ind w:left="720" w:hanging="72"/>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Korean</w:t>
      </w:r>
    </w:p>
    <w:p w:rsidR="0034254B" w:rsidRPr="00C364AF" w:rsidP="004A078D" w14:paraId="38FC5B97" w14:textId="77777777">
      <w:pPr>
        <w:pStyle w:val="Answer"/>
        <w:keepNext w:val="0"/>
        <w:keepLines w:val="0"/>
        <w:numPr>
          <w:ilvl w:val="0"/>
          <w:numId w:val="0"/>
        </w:numPr>
        <w:ind w:left="720"/>
        <w:rPr>
          <w:rFonts w:asciiTheme="minorHAnsi" w:hAnsiTheme="minorHAnsi" w:cstheme="minorHAnsi"/>
        </w:rPr>
      </w:pPr>
      <w:bookmarkStart w:id="13" w:name="OLE_LINK34"/>
      <w:bookmarkEnd w:id="10"/>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bookmarkEnd w:id="13"/>
      <w:r w:rsidRPr="00C364AF">
        <w:rPr>
          <w:rFonts w:asciiTheme="minorHAnsi" w:hAnsiTheme="minorHAnsi" w:cstheme="minorHAnsi"/>
        </w:rPr>
        <w:t xml:space="preserve"> Japanese</w:t>
      </w:r>
    </w:p>
    <w:p w:rsidR="0034254B" w:rsidRPr="00C364AF" w:rsidP="004A078D" w14:paraId="44527BFC" w14:textId="77777777">
      <w:pPr>
        <w:pStyle w:val="Answer"/>
        <w:keepNext w:val="0"/>
        <w:keepLines w:val="0"/>
        <w:numPr>
          <w:ilvl w:val="0"/>
          <w:numId w:val="0"/>
        </w:numPr>
        <w:ind w:left="1440" w:hanging="72"/>
        <w:rPr>
          <w:rFonts w:asciiTheme="minorHAnsi" w:hAnsiTheme="minorHAnsi" w:cstheme="minorHAnsi"/>
        </w:rPr>
      </w:pP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Other Asian. </w:t>
      </w:r>
      <w:r w:rsidRPr="00C364AF">
        <w:rPr>
          <w:rFonts w:asciiTheme="minorHAnsi" w:hAnsiTheme="minorHAnsi" w:cstheme="minorHAnsi"/>
          <w:i/>
          <w:iCs/>
        </w:rPr>
        <w:t>Please describe this child’s other Asian background. For example, Pakistani, Hmong, Aghan, etc.</w:t>
      </w:r>
    </w:p>
    <w:p w:rsidR="0034254B" w:rsidRPr="00C364AF" w:rsidP="004A078D" w14:paraId="2B6B3B01" w14:textId="77777777">
      <w:pPr>
        <w:pStyle w:val="Answer"/>
        <w:keepNext w:val="0"/>
        <w:keepLines w:val="0"/>
        <w:numPr>
          <w:ilvl w:val="0"/>
          <w:numId w:val="0"/>
        </w:numPr>
        <w:ind w:left="720"/>
        <w:rPr>
          <w:rFonts w:asciiTheme="minorHAnsi" w:hAnsiTheme="minorHAnsi" w:cstheme="minorHAnsi"/>
          <w:i/>
          <w:iCs/>
        </w:rPr>
      </w:pPr>
    </w:p>
    <w:p w:rsidR="0034254B" w:rsidRPr="00C364AF" w:rsidP="004A078D" w14:paraId="4BC361A4" w14:textId="220F13FF">
      <w:pPr>
        <w:pStyle w:val="Answer"/>
        <w:keepNext w:val="0"/>
        <w:keepLines w:val="0"/>
        <w:numPr>
          <w:ilvl w:val="0"/>
          <w:numId w:val="0"/>
        </w:numPr>
        <w:ind w:left="720"/>
        <w:rPr>
          <w:rFonts w:asciiTheme="minorHAnsi" w:hAnsiTheme="minorHAnsi" w:cstheme="minorHAnsi"/>
        </w:rPr>
      </w:pPr>
      <w:bookmarkStart w:id="14" w:name="OLE_LINK35"/>
      <w:r w:rsidRPr="00C364AF">
        <w:rPr>
          <w:rFonts w:asciiTheme="minorHAnsi" w:hAnsiTheme="minorHAnsi" w:cstheme="minorHAnsi"/>
        </w:rPr>
        <w:tab/>
      </w:r>
      <w:r w:rsidRPr="00C364AF">
        <w:rPr>
          <w:rFonts w:asciiTheme="minorHAnsi" w:hAnsiTheme="minorHAnsi" w:cstheme="minorHAnsi"/>
        </w:rPr>
        <w:tab/>
      </w:r>
      <w:r w:rsidRPr="00C364AF">
        <w:rPr>
          <w:rFonts w:asciiTheme="minorHAnsi" w:hAnsiTheme="minorHAnsi" w:cstheme="minorHAnsi"/>
          <w:noProof/>
        </w:rPr>
        <mc:AlternateContent>
          <mc:Choice Requires="wps">
            <w:drawing>
              <wp:inline distT="0" distB="0" distL="0" distR="0">
                <wp:extent cx="4878070" cy="202565"/>
                <wp:effectExtent l="9525" t="9525" r="8255" b="6985"/>
                <wp:docPr id="1153107782"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27" style="width:384.1pt;height:15.95pt;mso-left-percent:-10001;mso-position-horizontal-relative:char;mso-position-vertical-relative:line;mso-top-percent:-10001;mso-wrap-style:square;visibility:visible;v-text-anchor:top">
                <w10:wrap type="none"/>
                <w10:anchorlock/>
              </v:rect>
            </w:pict>
          </mc:Fallback>
        </mc:AlternateContent>
      </w:r>
      <w:bookmarkEnd w:id="14"/>
    </w:p>
    <w:p w:rsidR="0034254B" w:rsidRPr="00C364AF" w:rsidP="004A078D" w14:paraId="2185A6F9" w14:textId="77777777">
      <w:pPr>
        <w:pStyle w:val="Answer"/>
        <w:keepNext w:val="0"/>
        <w:keepLines w:val="0"/>
        <w:numPr>
          <w:ilvl w:val="0"/>
          <w:numId w:val="0"/>
        </w:numPr>
        <w:ind w:left="720"/>
        <w:rPr>
          <w:rFonts w:asciiTheme="minorHAnsi" w:hAnsiTheme="minorHAnsi" w:cstheme="minorHAnsi"/>
          <w:i/>
          <w:iCs/>
        </w:rPr>
      </w:pPr>
    </w:p>
    <w:p w:rsidR="0034254B" w:rsidRPr="004A078D" w:rsidP="004A078D" w14:paraId="1F63627F" w14:textId="77777777">
      <w:pPr>
        <w:pStyle w:val="Answer"/>
        <w:keepNext w:val="0"/>
        <w:keepLines w:val="0"/>
        <w:numPr>
          <w:ilvl w:val="0"/>
          <w:numId w:val="0"/>
        </w:numPr>
        <w:ind w:left="720"/>
        <w:rPr>
          <w:rFonts w:asciiTheme="minorHAnsi" w:hAnsiTheme="minorHAnsi" w:cstheme="minorHAnsi"/>
          <w:b/>
          <w:bCs/>
          <w:i/>
          <w:iCs/>
        </w:rPr>
      </w:pPr>
      <w:bookmarkStart w:id="15" w:name="OLE_LINK36"/>
      <w:r w:rsidRPr="004A078D">
        <w:rPr>
          <w:rFonts w:asciiTheme="minorHAnsi" w:hAnsiTheme="minorHAnsi" w:cstheme="minorHAnsi"/>
          <w:b/>
          <w:bCs/>
        </w:rPr>
        <w:t>Black or African American?</w:t>
      </w:r>
      <w:r w:rsidRPr="004A078D">
        <w:rPr>
          <w:rFonts w:asciiTheme="minorHAnsi" w:hAnsiTheme="minorHAnsi" w:cstheme="minorHAnsi"/>
          <w:b/>
          <w:bCs/>
          <w:i/>
          <w:iCs/>
        </w:rPr>
        <w:t xml:space="preserve"> </w:t>
      </w:r>
    </w:p>
    <w:p w:rsidR="0034254B" w:rsidRPr="00C364AF" w:rsidP="004A078D" w14:paraId="42C652EA"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bookmarkStart w:id="16" w:name="OLE_LINK48"/>
      <w:r w:rsidRPr="00C364AF">
        <w:rPr>
          <w:rFonts w:ascii="Segoe UI Symbol" w:hAnsi="Segoe UI Symbol" w:cs="Segoe UI Symbol"/>
        </w:rPr>
        <w:t>☐</w:t>
      </w:r>
      <w:r w:rsidRPr="00C364AF">
        <w:rPr>
          <w:rFonts w:asciiTheme="minorHAnsi" w:hAnsiTheme="minorHAnsi" w:cstheme="minorHAnsi"/>
        </w:rPr>
        <w:t xml:space="preserve"> Yes</w:t>
      </w:r>
    </w:p>
    <w:p w:rsidR="0034254B" w:rsidRPr="00C364AF" w:rsidP="004A078D" w14:paraId="4D67BE5D"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No</w:t>
      </w:r>
    </w:p>
    <w:bookmarkEnd w:id="16"/>
    <w:p w:rsidR="0034254B" w:rsidRPr="00C364AF" w:rsidP="004A078D" w14:paraId="1FFECA15"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p>
    <w:p w:rsidR="0034254B" w:rsidRPr="00C364AF" w:rsidP="004A078D" w14:paraId="0C9B485F" w14:textId="77777777">
      <w:pPr>
        <w:pStyle w:val="Answer"/>
        <w:keepNext w:val="0"/>
        <w:keepLines w:val="0"/>
        <w:numPr>
          <w:ilvl w:val="0"/>
          <w:numId w:val="0"/>
        </w:numPr>
        <w:ind w:left="1080"/>
        <w:rPr>
          <w:rFonts w:asciiTheme="minorHAnsi" w:hAnsiTheme="minorHAnsi" w:cstheme="minorHAnsi"/>
          <w:i/>
          <w:iCs/>
        </w:rPr>
      </w:pPr>
      <w:bookmarkStart w:id="17" w:name="OLE_LINK49"/>
      <w:r w:rsidRPr="00C364AF">
        <w:rPr>
          <w:rFonts w:asciiTheme="minorHAnsi" w:hAnsiTheme="minorHAnsi" w:cstheme="minorHAnsi"/>
          <w:b/>
          <w:bCs/>
          <w:i/>
          <w:iCs/>
        </w:rPr>
        <w:t>[IF YES]</w:t>
      </w:r>
      <w:r w:rsidRPr="00C364AF">
        <w:rPr>
          <w:rFonts w:asciiTheme="minorHAnsi" w:hAnsiTheme="minorHAnsi" w:cstheme="minorHAnsi"/>
          <w:i/>
          <w:iCs/>
        </w:rPr>
        <w:t xml:space="preserve"> </w:t>
      </w:r>
      <w:r w:rsidRPr="00C364AF">
        <w:rPr>
          <w:rFonts w:asciiTheme="minorHAnsi" w:hAnsiTheme="minorHAnsi" w:cstheme="minorHAnsi"/>
        </w:rPr>
        <w:t xml:space="preserve">Please describe this child’s </w:t>
      </w:r>
      <w:bookmarkEnd w:id="17"/>
      <w:r w:rsidRPr="00C364AF">
        <w:rPr>
          <w:rFonts w:asciiTheme="minorHAnsi" w:hAnsiTheme="minorHAnsi" w:cstheme="minorHAnsi"/>
        </w:rPr>
        <w:t>Black or African American background. Is this child</w:t>
      </w:r>
      <w:r w:rsidRPr="00C364AF">
        <w:rPr>
          <w:rFonts w:asciiTheme="minorHAnsi" w:hAnsiTheme="minorHAnsi" w:cstheme="minorHAnsi"/>
          <w:i/>
          <w:iCs/>
        </w:rPr>
        <w:t>…?</w:t>
      </w:r>
    </w:p>
    <w:p w:rsidR="0034254B" w:rsidRPr="00C364AF" w:rsidP="004A078D" w14:paraId="3C341597"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African American</w:t>
      </w:r>
    </w:p>
    <w:p w:rsidR="0034254B" w:rsidRPr="00C364AF" w:rsidP="004A078D" w14:paraId="352D1AB9"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Jamaican</w:t>
      </w:r>
    </w:p>
    <w:p w:rsidR="0034254B" w:rsidRPr="00C364AF" w:rsidP="004A078D" w14:paraId="1E66EF05"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Haitian</w:t>
      </w:r>
    </w:p>
    <w:p w:rsidR="0034254B" w:rsidRPr="00C364AF" w:rsidP="004A078D" w14:paraId="6DEC550D"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Nigerian</w:t>
      </w:r>
    </w:p>
    <w:p w:rsidR="0034254B" w:rsidRPr="00C364AF" w:rsidP="004A078D" w14:paraId="1E87C371"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Ethiopian</w:t>
      </w:r>
    </w:p>
    <w:p w:rsidR="0034254B" w:rsidRPr="00C364AF" w:rsidP="004A078D" w14:paraId="5961994B"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bookmarkStart w:id="18" w:name="OLE_LINK42"/>
      <w:r w:rsidRPr="00C364AF">
        <w:rPr>
          <w:rFonts w:ascii="Segoe UI Symbol" w:hAnsi="Segoe UI Symbol" w:cs="Segoe UI Symbol"/>
        </w:rPr>
        <w:t>☐</w:t>
      </w:r>
      <w:bookmarkEnd w:id="18"/>
      <w:r w:rsidRPr="00C364AF">
        <w:rPr>
          <w:rFonts w:asciiTheme="minorHAnsi" w:hAnsiTheme="minorHAnsi" w:cstheme="minorHAnsi"/>
        </w:rPr>
        <w:t xml:space="preserve"> Somali</w:t>
      </w:r>
    </w:p>
    <w:p w:rsidR="0034254B" w:rsidRPr="00C364AF" w:rsidP="004A078D" w14:paraId="1042CAE2" w14:textId="77777777">
      <w:pPr>
        <w:pStyle w:val="Answer"/>
        <w:keepNext w:val="0"/>
        <w:keepLines w:val="0"/>
        <w:numPr>
          <w:ilvl w:val="0"/>
          <w:numId w:val="0"/>
        </w:numPr>
        <w:ind w:left="1440"/>
        <w:rPr>
          <w:rFonts w:asciiTheme="minorHAnsi" w:hAnsiTheme="minorHAnsi" w:cstheme="minorHAnsi"/>
          <w:i/>
          <w:iCs/>
        </w:rPr>
      </w:pPr>
      <w:r w:rsidRPr="00C364AF">
        <w:rPr>
          <w:rFonts w:ascii="Segoe UI Symbol" w:hAnsi="Segoe UI Symbol" w:cs="Segoe UI Symbol"/>
        </w:rPr>
        <w:t>☐</w:t>
      </w:r>
      <w:r w:rsidRPr="00C364AF">
        <w:rPr>
          <w:rFonts w:asciiTheme="minorHAnsi" w:hAnsiTheme="minorHAnsi" w:cstheme="minorHAnsi"/>
        </w:rPr>
        <w:t xml:space="preserve"> Other Black or African American. </w:t>
      </w:r>
      <w:r w:rsidRPr="00C364AF">
        <w:rPr>
          <w:rFonts w:asciiTheme="minorHAnsi" w:hAnsiTheme="minorHAnsi" w:cstheme="minorHAnsi"/>
          <w:i/>
          <w:iCs/>
        </w:rPr>
        <w:t xml:space="preserve">Please describe this child’s other Black or African American background. For example, Trinidadian and Tobagonian, Ghanaian, Congolese, etc. </w:t>
      </w:r>
    </w:p>
    <w:p w:rsidR="0034254B" w:rsidRPr="00C364AF" w:rsidP="004A078D" w14:paraId="6D6E0482" w14:textId="77777777">
      <w:pPr>
        <w:pStyle w:val="Answer"/>
        <w:keepNext w:val="0"/>
        <w:keepLines w:val="0"/>
        <w:numPr>
          <w:ilvl w:val="0"/>
          <w:numId w:val="0"/>
        </w:numPr>
        <w:ind w:left="720"/>
        <w:rPr>
          <w:rFonts w:asciiTheme="minorHAnsi" w:hAnsiTheme="minorHAnsi" w:cstheme="minorHAnsi"/>
          <w:i/>
          <w:iCs/>
        </w:rPr>
      </w:pPr>
    </w:p>
    <w:p w:rsidR="0034254B" w:rsidRPr="00C364AF" w:rsidP="005D41B2" w14:paraId="30AFE936" w14:textId="6A0235B0">
      <w:pPr>
        <w:pStyle w:val="Answer"/>
        <w:keepNext w:val="0"/>
        <w:keepLines w:val="0"/>
        <w:numPr>
          <w:ilvl w:val="0"/>
          <w:numId w:val="0"/>
        </w:numPr>
        <w:tabs>
          <w:tab w:val="left" w:pos="1350"/>
        </w:tabs>
        <w:ind w:left="900" w:firstLine="450"/>
        <w:rPr>
          <w:rFonts w:asciiTheme="minorHAnsi" w:hAnsiTheme="minorHAnsi" w:cstheme="minorHAnsi"/>
          <w:i/>
          <w:iCs/>
        </w:rPr>
      </w:pPr>
      <w:r w:rsidRPr="00C364AF">
        <w:rPr>
          <w:rFonts w:asciiTheme="minorHAnsi" w:hAnsiTheme="minorHAnsi" w:cstheme="minorHAnsi"/>
        </w:rPr>
        <w:tab/>
      </w:r>
      <w:r w:rsidRPr="00C364AF">
        <w:rPr>
          <w:rFonts w:asciiTheme="minorHAnsi" w:hAnsiTheme="minorHAnsi" w:cstheme="minorHAnsi"/>
          <w:noProof/>
        </w:rPr>
        <mc:AlternateContent>
          <mc:Choice Requires="wps">
            <w:drawing>
              <wp:inline distT="0" distB="0" distL="0" distR="0">
                <wp:extent cx="4878070" cy="202565"/>
                <wp:effectExtent l="9525" t="9525" r="8255" b="6985"/>
                <wp:docPr id="1957827867"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28" style="width:384.1pt;height:15.95pt;mso-left-percent:-10001;mso-position-horizontal-relative:char;mso-position-vertical-relative:line;mso-top-percent:-10001;mso-wrap-style:square;visibility:visible;v-text-anchor:top">
                <w10:wrap type="none"/>
                <w10:anchorlock/>
              </v:rect>
            </w:pict>
          </mc:Fallback>
        </mc:AlternateContent>
      </w:r>
      <w:bookmarkStart w:id="19" w:name="OLE_LINK37"/>
      <w:bookmarkEnd w:id="15"/>
    </w:p>
    <w:p w:rsidR="0034254B" w:rsidRPr="00C364AF" w:rsidP="004A078D" w14:paraId="67928B5D" w14:textId="77777777">
      <w:pPr>
        <w:pStyle w:val="Answer"/>
        <w:keepNext w:val="0"/>
        <w:keepLines w:val="0"/>
        <w:numPr>
          <w:ilvl w:val="0"/>
          <w:numId w:val="0"/>
        </w:numPr>
        <w:ind w:left="720"/>
        <w:rPr>
          <w:rFonts w:asciiTheme="minorHAnsi" w:hAnsiTheme="minorHAnsi" w:cstheme="minorHAnsi"/>
          <w:i/>
          <w:iCs/>
        </w:rPr>
      </w:pPr>
    </w:p>
    <w:p w:rsidR="0034254B" w:rsidRPr="005D41B2" w:rsidP="004A078D" w14:paraId="7BF96B50" w14:textId="77777777">
      <w:pPr>
        <w:pStyle w:val="Answer"/>
        <w:keepNext w:val="0"/>
        <w:keepLines w:val="0"/>
        <w:numPr>
          <w:ilvl w:val="0"/>
          <w:numId w:val="0"/>
        </w:numPr>
        <w:rPr>
          <w:rFonts w:asciiTheme="minorHAnsi" w:hAnsiTheme="minorHAnsi" w:cstheme="minorHAnsi"/>
          <w:b/>
          <w:bCs/>
        </w:rPr>
      </w:pPr>
      <w:bookmarkStart w:id="20" w:name="OLE_LINK38"/>
      <w:bookmarkEnd w:id="19"/>
      <w:r w:rsidRPr="00C364AF">
        <w:rPr>
          <w:rFonts w:asciiTheme="minorHAnsi" w:hAnsiTheme="minorHAnsi" w:cstheme="minorHAnsi"/>
        </w:rPr>
        <w:tab/>
      </w:r>
      <w:r w:rsidRPr="005D41B2">
        <w:rPr>
          <w:rFonts w:asciiTheme="minorHAnsi" w:hAnsiTheme="minorHAnsi" w:cstheme="minorHAnsi"/>
          <w:b/>
          <w:bCs/>
        </w:rPr>
        <w:t>Middle Eastern or North African?</w:t>
      </w:r>
    </w:p>
    <w:p w:rsidR="0034254B" w:rsidRPr="00C364AF" w:rsidP="004A078D" w14:paraId="2A96D7EC" w14:textId="77777777">
      <w:pPr>
        <w:pStyle w:val="Answer"/>
        <w:keepNext w:val="0"/>
        <w:keepLines w:val="0"/>
        <w:numPr>
          <w:ilvl w:val="0"/>
          <w:numId w:val="0"/>
        </w:numPr>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bookmarkStart w:id="21" w:name="OLE_LINK57"/>
      <w:r w:rsidRPr="00C364AF">
        <w:rPr>
          <w:rFonts w:ascii="Segoe UI Symbol" w:hAnsi="Segoe UI Symbol" w:cs="Segoe UI Symbol"/>
        </w:rPr>
        <w:t>☐</w:t>
      </w:r>
      <w:r w:rsidRPr="00C364AF">
        <w:rPr>
          <w:rFonts w:asciiTheme="minorHAnsi" w:hAnsiTheme="minorHAnsi" w:cstheme="minorHAnsi"/>
        </w:rPr>
        <w:t xml:space="preserve"> Yes</w:t>
      </w:r>
    </w:p>
    <w:p w:rsidR="0034254B" w:rsidRPr="00C364AF" w:rsidP="004A078D" w14:paraId="77E635F3" w14:textId="77777777">
      <w:pPr>
        <w:pStyle w:val="Answer"/>
        <w:keepNext w:val="0"/>
        <w:keepLines w:val="0"/>
        <w:numPr>
          <w:ilvl w:val="0"/>
          <w:numId w:val="0"/>
        </w:numPr>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No</w:t>
      </w:r>
    </w:p>
    <w:bookmarkEnd w:id="21"/>
    <w:p w:rsidR="0034254B" w:rsidRPr="00C364AF" w:rsidP="004A078D" w14:paraId="55B0947A" w14:textId="77777777">
      <w:pPr>
        <w:pStyle w:val="Answer"/>
        <w:keepNext w:val="0"/>
        <w:keepLines w:val="0"/>
        <w:numPr>
          <w:ilvl w:val="0"/>
          <w:numId w:val="0"/>
        </w:numPr>
        <w:rPr>
          <w:rFonts w:asciiTheme="minorHAnsi" w:hAnsiTheme="minorHAnsi" w:cstheme="minorHAnsi"/>
        </w:rPr>
      </w:pPr>
    </w:p>
    <w:p w:rsidR="0034254B" w:rsidRPr="00C364AF" w:rsidP="004A078D" w14:paraId="723CE70E" w14:textId="77777777">
      <w:pPr>
        <w:pStyle w:val="Answer"/>
        <w:keepNext w:val="0"/>
        <w:keepLines w:val="0"/>
        <w:numPr>
          <w:ilvl w:val="0"/>
          <w:numId w:val="0"/>
        </w:numPr>
        <w:ind w:left="1080"/>
        <w:rPr>
          <w:rFonts w:asciiTheme="minorHAnsi" w:hAnsiTheme="minorHAnsi" w:cstheme="minorHAnsi"/>
        </w:rPr>
      </w:pPr>
      <w:r w:rsidRPr="00C364AF">
        <w:rPr>
          <w:rFonts w:asciiTheme="minorHAnsi" w:hAnsiTheme="minorHAnsi" w:cstheme="minorHAnsi"/>
          <w:b/>
          <w:bCs/>
          <w:i/>
          <w:iCs/>
        </w:rPr>
        <w:t>[IF YES]</w:t>
      </w:r>
      <w:r w:rsidRPr="00C364AF">
        <w:rPr>
          <w:rFonts w:asciiTheme="minorHAnsi" w:hAnsiTheme="minorHAnsi" w:cstheme="minorHAnsi"/>
          <w:i/>
          <w:iCs/>
        </w:rPr>
        <w:t xml:space="preserve"> </w:t>
      </w:r>
      <w:r w:rsidRPr="00C364AF">
        <w:rPr>
          <w:rFonts w:asciiTheme="minorHAnsi" w:hAnsiTheme="minorHAnsi" w:cstheme="minorHAnsi"/>
        </w:rPr>
        <w:t>Please describe this child’s Middle Eastern or North African background. Is this child…?</w:t>
      </w:r>
    </w:p>
    <w:p w:rsidR="0034254B" w:rsidRPr="00C364AF" w:rsidP="004A078D" w14:paraId="25790304"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Lebanese</w:t>
      </w:r>
    </w:p>
    <w:p w:rsidR="0034254B" w:rsidRPr="00C364AF" w:rsidP="004A078D" w14:paraId="2E757EE8"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Iranian</w:t>
      </w:r>
    </w:p>
    <w:p w:rsidR="0034254B" w:rsidRPr="00C364AF" w:rsidP="004A078D" w14:paraId="6C924493"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Egyptian</w:t>
      </w:r>
    </w:p>
    <w:p w:rsidR="0034254B" w:rsidRPr="00C364AF" w:rsidP="004A078D" w14:paraId="425DA161"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Syrian</w:t>
      </w:r>
    </w:p>
    <w:p w:rsidR="0034254B" w:rsidRPr="00C364AF" w:rsidP="004A078D" w14:paraId="1D04E852"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Iraqi</w:t>
      </w:r>
    </w:p>
    <w:p w:rsidR="0034254B" w:rsidRPr="00C364AF" w:rsidP="004A078D" w14:paraId="605162B6"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bookmarkStart w:id="22" w:name="OLE_LINK56"/>
      <w:r w:rsidRPr="00C364AF">
        <w:rPr>
          <w:rFonts w:ascii="Segoe UI Symbol" w:hAnsi="Segoe UI Symbol" w:cs="Segoe UI Symbol"/>
        </w:rPr>
        <w:t>☐</w:t>
      </w:r>
      <w:bookmarkEnd w:id="22"/>
      <w:r w:rsidRPr="00C364AF">
        <w:rPr>
          <w:rFonts w:asciiTheme="minorHAnsi" w:hAnsiTheme="minorHAnsi" w:cstheme="minorHAnsi"/>
        </w:rPr>
        <w:t xml:space="preserve"> Israeli</w:t>
      </w:r>
    </w:p>
    <w:p w:rsidR="0034254B" w:rsidRPr="00C364AF" w:rsidP="004A078D" w14:paraId="2D44C08D" w14:textId="4E48CB29">
      <w:pPr>
        <w:pStyle w:val="Answer"/>
        <w:keepNext w:val="0"/>
        <w:keepLines w:val="0"/>
        <w:numPr>
          <w:ilvl w:val="0"/>
          <w:numId w:val="0"/>
        </w:numPr>
        <w:ind w:left="1440"/>
        <w:rPr>
          <w:rFonts w:asciiTheme="minorHAnsi" w:hAnsiTheme="minorHAnsi" w:cstheme="minorHAnsi"/>
          <w:i/>
          <w:iCs/>
        </w:rPr>
      </w:pPr>
      <w:r w:rsidRPr="00C364AF">
        <w:rPr>
          <w:rFonts w:ascii="Segoe UI Symbol" w:hAnsi="Segoe UI Symbol" w:cs="Segoe UI Symbol"/>
        </w:rPr>
        <w:t>☐</w:t>
      </w:r>
      <w:r w:rsidRPr="00C364AF">
        <w:rPr>
          <w:rFonts w:asciiTheme="minorHAnsi" w:hAnsiTheme="minorHAnsi" w:cstheme="minorHAnsi"/>
        </w:rPr>
        <w:t xml:space="preserve"> Other Middle Eastern or North African. </w:t>
      </w:r>
      <w:r w:rsidRPr="00C364AF">
        <w:rPr>
          <w:rFonts w:asciiTheme="minorHAnsi" w:hAnsiTheme="minorHAnsi" w:cstheme="minorHAnsi"/>
          <w:i/>
          <w:iCs/>
        </w:rPr>
        <w:t>Please describe this child’s Middle Eastern or North African background. For example, Moroccan, Yemeni, Kurdish, etc</w:t>
      </w:r>
      <w:r w:rsidR="00792F0F">
        <w:rPr>
          <w:rFonts w:asciiTheme="minorHAnsi" w:hAnsiTheme="minorHAnsi" w:cstheme="minorHAnsi"/>
          <w:i/>
          <w:iCs/>
        </w:rPr>
        <w:t xml:space="preserve">. </w:t>
      </w:r>
    </w:p>
    <w:p w:rsidR="0034254B" w:rsidRPr="00C364AF" w:rsidP="004A078D" w14:paraId="419BB24C" w14:textId="77777777">
      <w:pPr>
        <w:pStyle w:val="Answer"/>
        <w:keepNext w:val="0"/>
        <w:keepLines w:val="0"/>
        <w:numPr>
          <w:ilvl w:val="0"/>
          <w:numId w:val="0"/>
        </w:numPr>
        <w:ind w:left="720"/>
        <w:rPr>
          <w:rFonts w:asciiTheme="minorHAnsi" w:hAnsiTheme="minorHAnsi" w:cstheme="minorHAnsi"/>
          <w:i/>
          <w:iCs/>
        </w:rPr>
      </w:pPr>
    </w:p>
    <w:p w:rsidR="0034254B" w:rsidRPr="00C364AF" w:rsidP="005D41B2" w14:paraId="0D13D59E" w14:textId="4D5777A9">
      <w:pPr>
        <w:pStyle w:val="Answer"/>
        <w:keepNext w:val="0"/>
        <w:keepLines w:val="0"/>
        <w:numPr>
          <w:ilvl w:val="0"/>
          <w:numId w:val="0"/>
        </w:numPr>
        <w:ind w:left="720" w:firstLine="270"/>
        <w:rPr>
          <w:rFonts w:asciiTheme="minorHAnsi" w:hAnsiTheme="minorHAnsi" w:cstheme="minorHAnsi"/>
        </w:rPr>
      </w:pPr>
      <w:r w:rsidRPr="00C364AF">
        <w:rPr>
          <w:rFonts w:asciiTheme="minorHAnsi" w:hAnsiTheme="minorHAnsi" w:cstheme="minorHAnsi"/>
        </w:rPr>
        <w:t xml:space="preserve">         </w:t>
      </w:r>
      <w:r w:rsidRPr="00C364AF">
        <w:rPr>
          <w:rFonts w:asciiTheme="minorHAnsi" w:hAnsiTheme="minorHAnsi" w:cstheme="minorHAnsi"/>
          <w:noProof/>
        </w:rPr>
        <mc:AlternateContent>
          <mc:Choice Requires="wps">
            <w:drawing>
              <wp:inline distT="0" distB="0" distL="0" distR="0">
                <wp:extent cx="4878070" cy="202565"/>
                <wp:effectExtent l="9525" t="9525" r="8255" b="6985"/>
                <wp:docPr id="160178802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29" style="width:384.1pt;height:15.95pt;mso-left-percent:-10001;mso-position-horizontal-relative:char;mso-position-vertical-relative:line;mso-top-percent:-10001;mso-wrap-style:square;visibility:visible;v-text-anchor:top">
                <w10:wrap type="none"/>
                <w10:anchorlock/>
              </v:rect>
            </w:pict>
          </mc:Fallback>
        </mc:AlternateContent>
      </w:r>
    </w:p>
    <w:bookmarkEnd w:id="20"/>
    <w:p w:rsidR="0034254B" w:rsidRPr="00C364AF" w:rsidP="004A078D" w14:paraId="4CF6D73A" w14:textId="77777777">
      <w:pPr>
        <w:pStyle w:val="Answer"/>
        <w:keepNext w:val="0"/>
        <w:keepLines w:val="0"/>
        <w:numPr>
          <w:ilvl w:val="0"/>
          <w:numId w:val="0"/>
        </w:numPr>
        <w:rPr>
          <w:rFonts w:asciiTheme="minorHAnsi" w:hAnsiTheme="minorHAnsi" w:cstheme="minorHAnsi"/>
          <w:i/>
          <w:iCs/>
        </w:rPr>
      </w:pPr>
    </w:p>
    <w:p w:rsidR="0034254B" w:rsidRPr="005D41B2" w:rsidP="004A078D" w14:paraId="34ABBB31" w14:textId="77777777">
      <w:pPr>
        <w:pStyle w:val="Answer"/>
        <w:keepNext w:val="0"/>
        <w:keepLines w:val="0"/>
        <w:numPr>
          <w:ilvl w:val="0"/>
          <w:numId w:val="0"/>
        </w:numPr>
        <w:rPr>
          <w:rFonts w:asciiTheme="minorHAnsi" w:hAnsiTheme="minorHAnsi" w:cstheme="minorHAnsi"/>
          <w:b/>
          <w:bCs/>
        </w:rPr>
      </w:pPr>
      <w:r w:rsidRPr="00C364AF">
        <w:rPr>
          <w:rFonts w:asciiTheme="minorHAnsi" w:hAnsiTheme="minorHAnsi" w:cstheme="minorHAnsi"/>
        </w:rPr>
        <w:tab/>
      </w:r>
      <w:r w:rsidRPr="005D41B2">
        <w:rPr>
          <w:rFonts w:asciiTheme="minorHAnsi" w:hAnsiTheme="minorHAnsi" w:cstheme="minorHAnsi"/>
          <w:b/>
          <w:bCs/>
        </w:rPr>
        <w:t>White?</w:t>
      </w:r>
    </w:p>
    <w:p w:rsidR="0034254B" w:rsidRPr="00C364AF" w:rsidP="004A078D" w14:paraId="3B390897" w14:textId="77777777">
      <w:pPr>
        <w:pStyle w:val="Answer"/>
        <w:keepNext w:val="0"/>
        <w:keepLines w:val="0"/>
        <w:numPr>
          <w:ilvl w:val="0"/>
          <w:numId w:val="0"/>
        </w:numPr>
        <w:ind w:left="720" w:hanging="72"/>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Yes</w:t>
      </w:r>
    </w:p>
    <w:p w:rsidR="0034254B" w:rsidRPr="00C364AF" w:rsidP="004A078D" w14:paraId="160B4EC4"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No</w:t>
      </w:r>
    </w:p>
    <w:p w:rsidR="0034254B" w:rsidRPr="00C364AF" w:rsidP="004A078D" w14:paraId="4AD97ABC" w14:textId="77777777">
      <w:pPr>
        <w:pStyle w:val="Answer"/>
        <w:keepNext w:val="0"/>
        <w:keepLines w:val="0"/>
        <w:numPr>
          <w:ilvl w:val="0"/>
          <w:numId w:val="0"/>
        </w:numPr>
        <w:ind w:left="720" w:hanging="72"/>
        <w:rPr>
          <w:rFonts w:asciiTheme="minorHAnsi" w:hAnsiTheme="minorHAnsi" w:cstheme="minorHAnsi"/>
        </w:rPr>
      </w:pPr>
    </w:p>
    <w:p w:rsidR="0034254B" w:rsidRPr="00C364AF" w:rsidP="004A078D" w14:paraId="14466DB8" w14:textId="77777777">
      <w:pPr>
        <w:pStyle w:val="Answer"/>
        <w:keepNext w:val="0"/>
        <w:keepLines w:val="0"/>
        <w:numPr>
          <w:ilvl w:val="0"/>
          <w:numId w:val="0"/>
        </w:numPr>
        <w:ind w:left="1080" w:hanging="72"/>
        <w:rPr>
          <w:rFonts w:asciiTheme="minorHAnsi" w:hAnsiTheme="minorHAnsi" w:cstheme="minorHAnsi"/>
          <w:i/>
          <w:iCs/>
        </w:rPr>
      </w:pPr>
      <w:r w:rsidRPr="00C364AF">
        <w:rPr>
          <w:rFonts w:asciiTheme="minorHAnsi" w:hAnsiTheme="minorHAnsi" w:cstheme="minorHAnsi"/>
        </w:rPr>
        <w:tab/>
      </w:r>
      <w:r w:rsidRPr="00C364AF">
        <w:rPr>
          <w:rFonts w:asciiTheme="minorHAnsi" w:hAnsiTheme="minorHAnsi" w:cstheme="minorHAnsi"/>
          <w:b/>
          <w:bCs/>
          <w:i/>
          <w:iCs/>
        </w:rPr>
        <w:t>[IF YES]</w:t>
      </w:r>
      <w:r w:rsidRPr="00C364AF">
        <w:rPr>
          <w:rFonts w:asciiTheme="minorHAnsi" w:hAnsiTheme="minorHAnsi" w:cstheme="minorHAnsi"/>
          <w:i/>
          <w:iCs/>
        </w:rPr>
        <w:t xml:space="preserve"> </w:t>
      </w:r>
      <w:r w:rsidRPr="00C364AF">
        <w:rPr>
          <w:rFonts w:asciiTheme="minorHAnsi" w:hAnsiTheme="minorHAnsi" w:cstheme="minorHAnsi"/>
        </w:rPr>
        <w:t>Please describe this child’s White background. Is this child…?</w:t>
      </w:r>
    </w:p>
    <w:p w:rsidR="0034254B" w:rsidRPr="00C364AF" w:rsidP="004A078D" w14:paraId="6CEBE323"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English </w:t>
      </w:r>
    </w:p>
    <w:p w:rsidR="0034254B" w:rsidRPr="00C364AF" w:rsidP="004A078D" w14:paraId="3075B7DE"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German</w:t>
      </w:r>
    </w:p>
    <w:p w:rsidR="0034254B" w:rsidRPr="00C364AF" w:rsidP="004A078D" w14:paraId="2F1B86C2"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Irish</w:t>
      </w:r>
    </w:p>
    <w:p w:rsidR="0034254B" w:rsidRPr="00C364AF" w:rsidP="004A078D" w14:paraId="4E0D826A"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Italian</w:t>
      </w:r>
    </w:p>
    <w:p w:rsidR="0034254B" w:rsidRPr="00C364AF" w:rsidP="004A078D" w14:paraId="7750F059" w14:textId="77777777">
      <w:pPr>
        <w:pStyle w:val="Answer"/>
        <w:keepNext w:val="0"/>
        <w:keepLines w:val="0"/>
        <w:numPr>
          <w:ilvl w:val="0"/>
          <w:numId w:val="0"/>
        </w:numPr>
        <w:ind w:left="720"/>
        <w:rPr>
          <w:rFonts w:asciiTheme="minorHAnsi" w:hAnsiTheme="minorHAnsi" w:cstheme="minorHAnsi"/>
        </w:rPr>
      </w:pPr>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r w:rsidRPr="00C364AF">
        <w:rPr>
          <w:rFonts w:asciiTheme="minorHAnsi" w:hAnsiTheme="minorHAnsi" w:cstheme="minorHAnsi"/>
        </w:rPr>
        <w:t xml:space="preserve"> Polish</w:t>
      </w:r>
    </w:p>
    <w:p w:rsidR="0034254B" w:rsidRPr="00C364AF" w:rsidP="004A078D" w14:paraId="77219059" w14:textId="77777777">
      <w:pPr>
        <w:pStyle w:val="Answer"/>
        <w:keepNext w:val="0"/>
        <w:keepLines w:val="0"/>
        <w:numPr>
          <w:ilvl w:val="0"/>
          <w:numId w:val="0"/>
        </w:numPr>
        <w:ind w:left="720"/>
        <w:rPr>
          <w:rFonts w:asciiTheme="minorHAnsi" w:hAnsiTheme="minorHAnsi" w:cstheme="minorHAnsi"/>
        </w:rPr>
      </w:pPr>
      <w:bookmarkStart w:id="23" w:name="OLE_LINK61"/>
      <w:r w:rsidRPr="00C364AF">
        <w:rPr>
          <w:rFonts w:asciiTheme="minorHAnsi" w:hAnsiTheme="minorHAnsi" w:cstheme="minorHAnsi"/>
        </w:rPr>
        <w:tab/>
      </w:r>
      <w:r w:rsidRPr="00C364AF">
        <w:rPr>
          <w:rFonts w:asciiTheme="minorHAnsi" w:hAnsiTheme="minorHAnsi" w:cstheme="minorHAnsi"/>
        </w:rPr>
        <w:tab/>
      </w:r>
      <w:r w:rsidRPr="00C364AF">
        <w:rPr>
          <w:rFonts w:ascii="Segoe UI Symbol" w:hAnsi="Segoe UI Symbol" w:cs="Segoe UI Symbol"/>
        </w:rPr>
        <w:t>☐</w:t>
      </w:r>
      <w:bookmarkEnd w:id="23"/>
      <w:r w:rsidRPr="00C364AF">
        <w:rPr>
          <w:rFonts w:asciiTheme="minorHAnsi" w:hAnsiTheme="minorHAnsi" w:cstheme="minorHAnsi"/>
        </w:rPr>
        <w:t xml:space="preserve"> Scottish</w:t>
      </w:r>
    </w:p>
    <w:p w:rsidR="0034254B" w:rsidRPr="00C364AF" w:rsidP="005D41B2" w14:paraId="1ABF42F0" w14:textId="7C750172">
      <w:pPr>
        <w:pStyle w:val="Answer"/>
        <w:keepNext w:val="0"/>
        <w:keepLines w:val="0"/>
        <w:numPr>
          <w:ilvl w:val="0"/>
          <w:numId w:val="0"/>
        </w:numPr>
        <w:spacing w:after="120"/>
        <w:ind w:left="1440"/>
        <w:rPr>
          <w:rFonts w:asciiTheme="minorHAnsi" w:hAnsiTheme="minorHAnsi" w:cstheme="minorHAnsi"/>
          <w:i/>
          <w:iCs/>
        </w:rPr>
      </w:pPr>
      <w:r w:rsidRPr="00C364AF">
        <w:rPr>
          <w:rFonts w:ascii="Segoe UI Symbol" w:hAnsi="Segoe UI Symbol" w:cs="Segoe UI Symbol"/>
        </w:rPr>
        <w:t>☐</w:t>
      </w:r>
      <w:r w:rsidRPr="00C364AF">
        <w:rPr>
          <w:rFonts w:asciiTheme="minorHAnsi" w:hAnsiTheme="minorHAnsi" w:cstheme="minorHAnsi"/>
        </w:rPr>
        <w:t xml:space="preserve"> Other White. </w:t>
      </w:r>
      <w:r w:rsidRPr="00C364AF">
        <w:rPr>
          <w:rFonts w:asciiTheme="minorHAnsi" w:hAnsiTheme="minorHAnsi" w:cstheme="minorHAnsi"/>
          <w:i/>
          <w:iCs/>
        </w:rPr>
        <w:t>Please describe this child’s other White background. For example, French, Swedish, Norwegian, etc</w:t>
      </w:r>
      <w:r w:rsidR="00792F0F">
        <w:rPr>
          <w:rFonts w:asciiTheme="minorHAnsi" w:hAnsiTheme="minorHAnsi" w:cstheme="minorHAnsi"/>
          <w:i/>
          <w:iCs/>
        </w:rPr>
        <w:t xml:space="preserve">. </w:t>
      </w:r>
    </w:p>
    <w:p w:rsidR="005014F1" w:rsidRPr="005014F1" w:rsidP="005D41B2" w14:paraId="2327A9B1" w14:textId="40A07D8E">
      <w:pPr>
        <w:pStyle w:val="NoSpacing"/>
        <w:widowControl w:val="0"/>
        <w:ind w:left="1440" w:hanging="90"/>
        <w:rPr>
          <w:rFonts w:cstheme="minorHAnsi"/>
          <w:b/>
          <w:bCs/>
        </w:rPr>
      </w:pPr>
      <w:r w:rsidRPr="00C364AF">
        <w:rPr>
          <w:rFonts w:cstheme="minorHAnsi"/>
        </w:rPr>
        <w:t xml:space="preserve">  </w:t>
      </w:r>
      <w:r w:rsidRPr="00C364AF">
        <w:rPr>
          <w:rFonts w:cstheme="minorHAnsi"/>
          <w:noProof/>
        </w:rPr>
        <mc:AlternateContent>
          <mc:Choice Requires="wps">
            <w:drawing>
              <wp:inline distT="0" distB="0" distL="0" distR="0">
                <wp:extent cx="4878070" cy="202565"/>
                <wp:effectExtent l="9525" t="9525" r="8255" b="6985"/>
                <wp:docPr id="137249046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802D7E" w:rsidP="004A078D" w14:paraId="5C8EE95D" w14:textId="77777777">
      <w:pPr>
        <w:pStyle w:val="NoSpacing"/>
        <w:widowControl w:val="0"/>
        <w:ind w:left="720"/>
        <w:rPr>
          <w:color w:val="000000"/>
          <w:sz w:val="20"/>
          <w:szCs w:val="20"/>
        </w:rPr>
      </w:pPr>
    </w:p>
    <w:p w:rsidR="00D84D9E" w:rsidRPr="005307EF" w:rsidP="00D84D9E" w14:paraId="47162EEA" w14:textId="7B82A636">
      <w:pPr>
        <w:widowControl/>
        <w:tabs>
          <w:tab w:val="num" w:pos="360"/>
        </w:tabs>
        <w:spacing w:before="120"/>
        <w:rPr>
          <w:rFonts w:asciiTheme="minorHAnsi" w:hAnsiTheme="minorHAnsi"/>
          <w:sz w:val="22"/>
          <w:szCs w:val="22"/>
        </w:rPr>
      </w:pPr>
      <w:r>
        <w:rPr>
          <w:rFonts w:asciiTheme="minorHAnsi" w:hAnsiTheme="minorHAnsi"/>
          <w:sz w:val="22"/>
          <w:szCs w:val="22"/>
        </w:rPr>
        <w:t xml:space="preserve">In addition, based on requests from </w:t>
      </w:r>
      <w:r w:rsidR="00030264">
        <w:rPr>
          <w:rFonts w:asciiTheme="minorHAnsi" w:hAnsiTheme="minorHAnsi"/>
          <w:sz w:val="22"/>
          <w:szCs w:val="22"/>
        </w:rPr>
        <w:t>MCHB Block Grant</w:t>
      </w:r>
      <w:r w:rsidRPr="005421FD">
        <w:rPr>
          <w:rFonts w:asciiTheme="minorHAnsi" w:hAnsiTheme="minorHAnsi"/>
          <w:sz w:val="22"/>
          <w:szCs w:val="22"/>
        </w:rPr>
        <w:t xml:space="preserve"> leadership and program staff in the jurisdictions</w:t>
      </w:r>
      <w:r>
        <w:rPr>
          <w:rFonts w:asciiTheme="minorHAnsi" w:hAnsiTheme="minorHAnsi"/>
          <w:sz w:val="22"/>
          <w:szCs w:val="22"/>
        </w:rPr>
        <w:t xml:space="preserve">, questions on substance use and mental health care have been included. These are viewed as </w:t>
      </w:r>
      <w:r w:rsidR="00321F3A">
        <w:rPr>
          <w:rFonts w:asciiTheme="minorHAnsi" w:hAnsiTheme="minorHAnsi"/>
          <w:sz w:val="22"/>
          <w:szCs w:val="22"/>
        </w:rPr>
        <w:t>question</w:t>
      </w:r>
      <w:r>
        <w:rPr>
          <w:rFonts w:asciiTheme="minorHAnsi" w:hAnsiTheme="minorHAnsi"/>
          <w:sz w:val="22"/>
          <w:szCs w:val="22"/>
        </w:rPr>
        <w:t xml:space="preserve"> </w:t>
      </w:r>
      <w:r w:rsidRPr="00321F3A">
        <w:rPr>
          <w:rFonts w:asciiTheme="minorHAnsi" w:hAnsiTheme="minorHAnsi"/>
          <w:sz w:val="22"/>
          <w:szCs w:val="22"/>
        </w:rPr>
        <w:t xml:space="preserve">domains that </w:t>
      </w:r>
      <w:r w:rsidRPr="00321F3A" w:rsidR="00321F3A">
        <w:rPr>
          <w:rFonts w:asciiTheme="minorHAnsi" w:hAnsiTheme="minorHAnsi"/>
          <w:sz w:val="22"/>
          <w:szCs w:val="22"/>
        </w:rPr>
        <w:t xml:space="preserve">will </w:t>
      </w:r>
      <w:r w:rsidRPr="00321F3A">
        <w:rPr>
          <w:rFonts w:asciiTheme="minorHAnsi" w:hAnsiTheme="minorHAnsi"/>
          <w:sz w:val="22"/>
          <w:szCs w:val="22"/>
        </w:rPr>
        <w:t xml:space="preserve">provide a more complete understanding of </w:t>
      </w:r>
      <w:r w:rsidRPr="00321F3A" w:rsidR="00321F3A">
        <w:rPr>
          <w:rFonts w:asciiTheme="minorHAnsi" w:hAnsiTheme="minorHAnsi"/>
          <w:sz w:val="22"/>
          <w:szCs w:val="22"/>
        </w:rPr>
        <w:t xml:space="preserve">maternal health </w:t>
      </w:r>
      <w:r w:rsidRPr="00321F3A">
        <w:rPr>
          <w:rFonts w:asciiTheme="minorHAnsi" w:hAnsiTheme="minorHAnsi"/>
          <w:sz w:val="22"/>
          <w:szCs w:val="22"/>
        </w:rPr>
        <w:t xml:space="preserve">in each jurisdiction. During the consent process, respondents will be told that </w:t>
      </w:r>
      <w:r w:rsidRPr="00321F3A" w:rsidR="00321F3A">
        <w:rPr>
          <w:rFonts w:asciiTheme="minorHAnsi" w:hAnsiTheme="minorHAnsi"/>
          <w:sz w:val="22"/>
          <w:szCs w:val="22"/>
        </w:rPr>
        <w:t>their decision to be in this research is voluntary, they can stop at any time, they do not have to answer any questions they do not want to answer, and refusal to take part in or withdraw from this study will involve no penalty or loss of benefits they would receive otherwise.</w:t>
      </w:r>
    </w:p>
    <w:p w:rsidR="00D84D9E" w:rsidRPr="00A93AE1" w:rsidP="008C08EB" w14:paraId="3912A69E" w14:textId="33DD6912">
      <w:pPr>
        <w:numPr>
          <w:ilvl w:val="0"/>
          <w:numId w:val="5"/>
        </w:numPr>
        <w:spacing w:before="240"/>
        <w:rPr>
          <w:rFonts w:asciiTheme="minorHAnsi" w:hAnsiTheme="minorHAnsi"/>
          <w:sz w:val="22"/>
          <w:szCs w:val="22"/>
        </w:rPr>
      </w:pPr>
      <w:r w:rsidRPr="005307EF">
        <w:rPr>
          <w:rFonts w:asciiTheme="minorHAnsi" w:hAnsiTheme="minorHAnsi"/>
          <w:b/>
          <w:sz w:val="22"/>
          <w:szCs w:val="22"/>
          <w:u w:val="single"/>
        </w:rPr>
        <w:t xml:space="preserve">Estimates of Annualized Hour and Cost Burden  </w:t>
      </w:r>
    </w:p>
    <w:p w:rsidR="00E30821" w:rsidRPr="005307EF" w:rsidP="00A93AE1" w14:paraId="177E2F1D" w14:textId="441D88F3">
      <w:pPr>
        <w:spacing w:before="240"/>
        <w:rPr>
          <w:rFonts w:asciiTheme="minorHAnsi" w:hAnsiTheme="minorHAnsi"/>
          <w:sz w:val="22"/>
          <w:szCs w:val="22"/>
        </w:rPr>
      </w:pPr>
      <w:r>
        <w:rPr>
          <w:rFonts w:asciiTheme="minorHAnsi" w:hAnsiTheme="minorHAnsi"/>
          <w:b/>
          <w:sz w:val="22"/>
          <w:szCs w:val="22"/>
          <w:u w:val="single"/>
        </w:rPr>
        <w:t>12A</w:t>
      </w:r>
    </w:p>
    <w:p w:rsidR="00D84D9E" w:rsidRPr="005307EF" w:rsidP="00D84D9E" w14:paraId="1B8ECC8C" w14:textId="77777777">
      <w:pPr>
        <w:widowControl/>
        <w:autoSpaceDE/>
        <w:autoSpaceDN/>
        <w:adjustRightInd/>
        <w:rPr>
          <w:rFonts w:asciiTheme="minorHAnsi" w:hAnsiTheme="minorHAnsi"/>
          <w:i/>
          <w:color w:val="002060"/>
          <w:sz w:val="22"/>
          <w:szCs w:val="22"/>
        </w:rPr>
      </w:pPr>
    </w:p>
    <w:p w:rsidR="00D84D9E" w:rsidRPr="00CE50AE" w:rsidP="0033093B" w14:paraId="0951594A" w14:textId="4478FDD4">
      <w:pPr>
        <w:rPr>
          <w:rFonts w:asciiTheme="minorHAnsi" w:hAnsiTheme="minorHAnsi"/>
          <w:sz w:val="22"/>
          <w:szCs w:val="22"/>
        </w:rPr>
      </w:pPr>
      <w:r w:rsidRPr="00CE50AE">
        <w:rPr>
          <w:rFonts w:asciiTheme="minorHAnsi" w:hAnsiTheme="minorHAnsi"/>
          <w:sz w:val="22"/>
          <w:szCs w:val="22"/>
        </w:rPr>
        <w:t xml:space="preserve">Estimates of annualized hour burden and annualized cost to respondents are laid out in Tables </w:t>
      </w:r>
      <w:r w:rsidRPr="00CE50AE" w:rsidR="001E1054">
        <w:rPr>
          <w:rFonts w:asciiTheme="minorHAnsi" w:hAnsiTheme="minorHAnsi"/>
          <w:sz w:val="22"/>
          <w:szCs w:val="22"/>
        </w:rPr>
        <w:t>2</w:t>
      </w:r>
      <w:r w:rsidRPr="00CE50AE">
        <w:rPr>
          <w:rFonts w:asciiTheme="minorHAnsi" w:hAnsiTheme="minorHAnsi"/>
          <w:sz w:val="22"/>
          <w:szCs w:val="22"/>
        </w:rPr>
        <w:t xml:space="preserve"> and </w:t>
      </w:r>
      <w:r w:rsidRPr="00CE50AE" w:rsidR="001E1054">
        <w:rPr>
          <w:rFonts w:asciiTheme="minorHAnsi" w:hAnsiTheme="minorHAnsi"/>
          <w:sz w:val="22"/>
          <w:szCs w:val="22"/>
        </w:rPr>
        <w:t>3</w:t>
      </w:r>
      <w:r w:rsidRPr="00CE50AE">
        <w:rPr>
          <w:rFonts w:asciiTheme="minorHAnsi" w:hAnsiTheme="minorHAnsi"/>
          <w:sz w:val="22"/>
          <w:szCs w:val="22"/>
        </w:rPr>
        <w:t xml:space="preserve">, respectively. The total number of estimated respondents is </w:t>
      </w:r>
      <w:r w:rsidRPr="00E44184" w:rsidR="00E44184">
        <w:rPr>
          <w:rFonts w:asciiTheme="minorHAnsi" w:hAnsiTheme="minorHAnsi"/>
          <w:sz w:val="22"/>
          <w:szCs w:val="22"/>
        </w:rPr>
        <w:t>10</w:t>
      </w:r>
      <w:r w:rsidRPr="00E44184" w:rsidR="00F55CFE">
        <w:rPr>
          <w:rFonts w:asciiTheme="minorHAnsi" w:hAnsiTheme="minorHAnsi"/>
          <w:sz w:val="22"/>
          <w:szCs w:val="22"/>
        </w:rPr>
        <w:t>,</w:t>
      </w:r>
      <w:r w:rsidRPr="00E44184" w:rsidR="00E44184">
        <w:rPr>
          <w:rFonts w:asciiTheme="minorHAnsi" w:hAnsiTheme="minorHAnsi"/>
          <w:sz w:val="22"/>
          <w:szCs w:val="22"/>
        </w:rPr>
        <w:t>500</w:t>
      </w:r>
      <w:r w:rsidR="00792F0F">
        <w:rPr>
          <w:rFonts w:asciiTheme="minorHAnsi" w:hAnsiTheme="minorHAnsi"/>
          <w:sz w:val="22"/>
          <w:szCs w:val="22"/>
        </w:rPr>
        <w:t xml:space="preserve">. </w:t>
      </w:r>
      <w:r w:rsidRPr="00CE50AE">
        <w:rPr>
          <w:rFonts w:asciiTheme="minorHAnsi" w:hAnsiTheme="minorHAnsi"/>
          <w:sz w:val="22"/>
          <w:szCs w:val="22"/>
        </w:rPr>
        <w:t>The total number of burden hours</w:t>
      </w:r>
      <w:r w:rsidR="00834638">
        <w:rPr>
          <w:rFonts w:asciiTheme="minorHAnsi" w:hAnsiTheme="minorHAnsi"/>
          <w:sz w:val="22"/>
          <w:szCs w:val="22"/>
        </w:rPr>
        <w:t xml:space="preserve"> is </w:t>
      </w:r>
      <w:r w:rsidRPr="63EF58B5" w:rsidR="00E44184">
        <w:rPr>
          <w:rFonts w:ascii="Calibri" w:hAnsi="Calibri" w:cs="Calibri"/>
          <w:color w:val="000000" w:themeColor="text1"/>
          <w:sz w:val="22"/>
          <w:szCs w:val="22"/>
        </w:rPr>
        <w:t>3</w:t>
      </w:r>
      <w:r w:rsidRPr="63EF58B5" w:rsidR="00A31772">
        <w:rPr>
          <w:rFonts w:ascii="Calibri" w:hAnsi="Calibri" w:cs="Calibri"/>
          <w:color w:val="000000" w:themeColor="text1"/>
          <w:sz w:val="22"/>
          <w:szCs w:val="22"/>
        </w:rPr>
        <w:t>,</w:t>
      </w:r>
      <w:r w:rsidRPr="63EF58B5" w:rsidR="00E44184">
        <w:rPr>
          <w:rFonts w:ascii="Calibri" w:hAnsi="Calibri" w:cs="Calibri"/>
          <w:color w:val="000000" w:themeColor="text1"/>
          <w:sz w:val="22"/>
          <w:szCs w:val="22"/>
        </w:rPr>
        <w:t>155</w:t>
      </w:r>
      <w:r w:rsidRPr="00A31772">
        <w:rPr>
          <w:rFonts w:asciiTheme="minorHAnsi" w:hAnsiTheme="minorHAnsi"/>
          <w:sz w:val="22"/>
          <w:szCs w:val="22"/>
        </w:rPr>
        <w:t>. The</w:t>
      </w:r>
      <w:r w:rsidRPr="00793679">
        <w:rPr>
          <w:rFonts w:asciiTheme="minorHAnsi" w:hAnsiTheme="minorHAnsi"/>
          <w:sz w:val="22"/>
          <w:szCs w:val="22"/>
        </w:rPr>
        <w:t xml:space="preserve"> estimated total respondent cost </w:t>
      </w:r>
      <w:r w:rsidRPr="0027106F">
        <w:rPr>
          <w:rFonts w:asciiTheme="minorHAnsi" w:hAnsiTheme="minorHAnsi"/>
          <w:sz w:val="22"/>
          <w:szCs w:val="22"/>
        </w:rPr>
        <w:t>is</w:t>
      </w:r>
      <w:r w:rsidRPr="0027106F" w:rsidR="00704CCC">
        <w:rPr>
          <w:rFonts w:asciiTheme="minorHAnsi" w:hAnsiTheme="minorHAnsi"/>
          <w:sz w:val="22"/>
          <w:szCs w:val="22"/>
        </w:rPr>
        <w:t xml:space="preserve"> </w:t>
      </w:r>
      <w:r w:rsidRPr="63EF58B5" w:rsidR="0018740A">
        <w:rPr>
          <w:rFonts w:asciiTheme="minorHAnsi" w:hAnsiTheme="minorHAnsi" w:cstheme="minorBidi"/>
          <w:color w:val="404040" w:themeColor="text1" w:themeTint="BF"/>
          <w:sz w:val="22"/>
          <w:szCs w:val="22"/>
        </w:rPr>
        <w:t>$</w:t>
      </w:r>
      <w:r w:rsidRPr="63EF58B5" w:rsidR="0027106F">
        <w:rPr>
          <w:rFonts w:asciiTheme="minorHAnsi" w:hAnsiTheme="minorHAnsi" w:cstheme="minorBidi"/>
          <w:color w:val="404040" w:themeColor="text1" w:themeTint="BF"/>
          <w:sz w:val="22"/>
          <w:szCs w:val="22"/>
        </w:rPr>
        <w:t>39,313.55</w:t>
      </w:r>
      <w:r w:rsidRPr="0027106F">
        <w:rPr>
          <w:rFonts w:asciiTheme="minorHAnsi" w:hAnsiTheme="minorHAnsi"/>
          <w:sz w:val="22"/>
          <w:szCs w:val="22"/>
        </w:rPr>
        <w:t>.</w:t>
      </w:r>
    </w:p>
    <w:p w:rsidR="0033093B" w:rsidRPr="0033093B" w:rsidP="0033093B" w14:paraId="475FAD9F" w14:textId="77777777">
      <w:pPr>
        <w:rPr>
          <w:rFonts w:asciiTheme="minorHAnsi" w:hAnsiTheme="minorHAnsi"/>
          <w:sz w:val="22"/>
          <w:szCs w:val="22"/>
          <w:highlight w:val="yellow"/>
        </w:rPr>
      </w:pPr>
    </w:p>
    <w:p w:rsidR="00D84D9E" w:rsidRPr="005307EF" w:rsidP="00D84D9E" w14:paraId="10DB2355" w14:textId="1E8ABAC8">
      <w:pPr>
        <w:rPr>
          <w:rFonts w:asciiTheme="minorHAnsi" w:hAnsiTheme="minorHAnsi"/>
          <w:sz w:val="22"/>
          <w:szCs w:val="22"/>
        </w:rPr>
      </w:pPr>
      <w:r w:rsidRPr="005307EF">
        <w:rPr>
          <w:rFonts w:asciiTheme="minorHAnsi" w:hAnsiTheme="minorHAnsi"/>
          <w:sz w:val="22"/>
          <w:szCs w:val="22"/>
        </w:rPr>
        <w:t>The</w:t>
      </w:r>
      <w:r w:rsidRPr="005307EF">
        <w:rPr>
          <w:rFonts w:asciiTheme="minorHAnsi" w:hAnsiTheme="minorHAnsi"/>
          <w:sz w:val="22"/>
          <w:szCs w:val="22"/>
        </w:rPr>
        <w:t xml:space="preserve"> </w:t>
      </w:r>
      <w:r w:rsidRPr="005307EF" w:rsidR="00A2078F">
        <w:rPr>
          <w:rFonts w:asciiTheme="minorHAnsi" w:hAnsiTheme="minorHAnsi"/>
          <w:sz w:val="22"/>
          <w:szCs w:val="22"/>
        </w:rPr>
        <w:t>survey</w:t>
      </w:r>
      <w:r w:rsidRPr="005307EF">
        <w:rPr>
          <w:rFonts w:asciiTheme="minorHAnsi" w:hAnsiTheme="minorHAnsi"/>
          <w:sz w:val="22"/>
          <w:szCs w:val="22"/>
        </w:rPr>
        <w:t xml:space="preserve"> requires one response</w:t>
      </w:r>
      <w:r w:rsidR="009412C5">
        <w:rPr>
          <w:rFonts w:asciiTheme="minorHAnsi" w:hAnsiTheme="minorHAnsi"/>
          <w:sz w:val="22"/>
          <w:szCs w:val="22"/>
        </w:rPr>
        <w:t xml:space="preserve"> (i.e., one single interview)</w:t>
      </w:r>
      <w:r w:rsidRPr="005307EF">
        <w:rPr>
          <w:rFonts w:asciiTheme="minorHAnsi" w:hAnsiTheme="minorHAnsi"/>
          <w:sz w:val="22"/>
          <w:szCs w:val="22"/>
        </w:rPr>
        <w:t xml:space="preserve"> per respondent.</w:t>
      </w:r>
    </w:p>
    <w:p w:rsidR="00D84D9E" w:rsidRPr="005307EF" w:rsidP="00D84D9E" w14:paraId="41E7373D" w14:textId="77777777">
      <w:pPr>
        <w:rPr>
          <w:rFonts w:asciiTheme="minorHAnsi" w:hAnsiTheme="minorHAnsi"/>
          <w:sz w:val="22"/>
          <w:szCs w:val="22"/>
        </w:rPr>
      </w:pPr>
    </w:p>
    <w:p w:rsidR="00D84D9E" w:rsidRPr="005307EF" w:rsidP="00D84D9E" w14:paraId="5E3F0450" w14:textId="71F7F5BB">
      <w:pPr>
        <w:rPr>
          <w:rFonts w:asciiTheme="minorHAnsi" w:hAnsiTheme="minorHAnsi"/>
          <w:sz w:val="22"/>
          <w:szCs w:val="22"/>
        </w:rPr>
      </w:pPr>
      <w:r w:rsidRPr="00CE50AE">
        <w:rPr>
          <w:rFonts w:asciiTheme="minorHAnsi" w:hAnsiTheme="minorHAnsi"/>
          <w:sz w:val="22"/>
          <w:szCs w:val="22"/>
        </w:rPr>
        <w:t xml:space="preserve">The average burden per response was </w:t>
      </w:r>
      <w:r w:rsidRPr="00C55B9B">
        <w:rPr>
          <w:rFonts w:asciiTheme="minorHAnsi" w:hAnsiTheme="minorHAnsi" w:cstheme="minorHAnsi"/>
          <w:sz w:val="22"/>
          <w:szCs w:val="22"/>
        </w:rPr>
        <w:t xml:space="preserve">determined </w:t>
      </w:r>
      <w:r w:rsidRPr="00C55B9B" w:rsidR="00C55B9B">
        <w:rPr>
          <w:rFonts w:asciiTheme="minorHAnsi" w:hAnsiTheme="minorHAnsi" w:cstheme="minorHAnsi"/>
          <w:sz w:val="22"/>
          <w:szCs w:val="22"/>
        </w:rPr>
        <w:t>based on an analysis of the average time it took for each survey to be completed across all jurisdictions</w:t>
      </w:r>
      <w:r w:rsidR="00C55B9B">
        <w:rPr>
          <w:rFonts w:asciiTheme="minorHAnsi" w:hAnsiTheme="minorHAnsi" w:cstheme="minorHAnsi"/>
          <w:sz w:val="22"/>
          <w:szCs w:val="22"/>
        </w:rPr>
        <w:t xml:space="preserve"> </w:t>
      </w:r>
      <w:r w:rsidR="004371D7">
        <w:rPr>
          <w:rFonts w:asciiTheme="minorHAnsi" w:hAnsiTheme="minorHAnsi" w:cstheme="minorHAnsi"/>
          <w:sz w:val="22"/>
          <w:szCs w:val="22"/>
        </w:rPr>
        <w:t>between 2018 and 2024</w:t>
      </w:r>
      <w:r w:rsidR="00792F0F">
        <w:rPr>
          <w:rFonts w:asciiTheme="minorHAnsi" w:hAnsiTheme="minorHAnsi"/>
          <w:sz w:val="22"/>
          <w:szCs w:val="22"/>
        </w:rPr>
        <w:t xml:space="preserve">. </w:t>
      </w:r>
    </w:p>
    <w:p w:rsidR="00D84D9E" w:rsidRPr="005307EF" w:rsidP="00D84D9E" w14:paraId="32955325" w14:textId="77777777">
      <w:pPr>
        <w:rPr>
          <w:rFonts w:asciiTheme="minorHAnsi" w:hAnsiTheme="minorHAnsi"/>
          <w:sz w:val="22"/>
          <w:szCs w:val="22"/>
        </w:rPr>
      </w:pPr>
    </w:p>
    <w:p w:rsidR="001C2428" w:rsidRPr="00021071" w:rsidP="00021071" w14:paraId="1B56C302" w14:textId="11AB07C4">
      <w:pPr>
        <w:spacing w:before="120"/>
        <w:rPr>
          <w:b/>
        </w:rPr>
      </w:pPr>
      <w:r>
        <w:rPr>
          <w:rFonts w:asciiTheme="minorHAnsi" w:hAnsiTheme="minorHAnsi"/>
          <w:sz w:val="22"/>
          <w:szCs w:val="22"/>
        </w:rPr>
        <w:br w:type="column"/>
      </w:r>
      <w:r w:rsidRPr="00021071" w:rsidR="00021071">
        <w:rPr>
          <w:b/>
        </w:rPr>
        <w:t xml:space="preserve">Table 2:   Estimated Annualized Burden Hours </w:t>
      </w:r>
    </w:p>
    <w:tbl>
      <w:tblPr>
        <w:tblW w:w="105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350"/>
        <w:gridCol w:w="1530"/>
        <w:gridCol w:w="1440"/>
        <w:gridCol w:w="1260"/>
        <w:gridCol w:w="1350"/>
        <w:gridCol w:w="1170"/>
        <w:gridCol w:w="1065"/>
      </w:tblGrid>
      <w:tr w14:paraId="6FC05348" w14:textId="77777777" w:rsidTr="00A93AE1">
        <w:tblPrEx>
          <w:tblW w:w="105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4"/>
          <w:tblHeader/>
        </w:trPr>
        <w:tc>
          <w:tcPr>
            <w:tcW w:w="1350" w:type="dxa"/>
            <w:tcMar>
              <w:top w:w="15" w:type="dxa"/>
              <w:left w:w="108" w:type="dxa"/>
              <w:bottom w:w="15" w:type="dxa"/>
              <w:right w:w="108" w:type="dxa"/>
            </w:tcMar>
          </w:tcPr>
          <w:p w:rsidR="00700D85" w:rsidRPr="00700D85" w:rsidP="00700D85" w14:paraId="369F374B" w14:textId="77777777">
            <w:r w:rsidRPr="00700D85">
              <w:t>Type of Respondent</w:t>
            </w:r>
          </w:p>
          <w:p w:rsidR="00700D85" w:rsidRPr="00700D85" w:rsidP="00700D85" w14:paraId="15190041" w14:textId="77777777"/>
        </w:tc>
        <w:tc>
          <w:tcPr>
            <w:tcW w:w="1350" w:type="dxa"/>
            <w:tcMar>
              <w:top w:w="15" w:type="dxa"/>
              <w:left w:w="108" w:type="dxa"/>
              <w:bottom w:w="15" w:type="dxa"/>
              <w:right w:w="108" w:type="dxa"/>
            </w:tcMar>
            <w:hideMark/>
          </w:tcPr>
          <w:p w:rsidR="00700D85" w:rsidRPr="00700D85" w:rsidP="00700D85" w14:paraId="7B2B8671" w14:textId="77777777">
            <w:r w:rsidRPr="00700D85">
              <w:t>Form Name</w:t>
            </w:r>
          </w:p>
        </w:tc>
        <w:tc>
          <w:tcPr>
            <w:tcW w:w="1530" w:type="dxa"/>
            <w:tcMar>
              <w:top w:w="15" w:type="dxa"/>
              <w:left w:w="108" w:type="dxa"/>
              <w:bottom w:w="15" w:type="dxa"/>
              <w:right w:w="108" w:type="dxa"/>
            </w:tcMar>
            <w:hideMark/>
          </w:tcPr>
          <w:p w:rsidR="00700D85" w:rsidRPr="00700D85" w:rsidP="00700D85" w14:paraId="4FD18C2B" w14:textId="77777777">
            <w:r w:rsidRPr="00700D85">
              <w:t>Number of Respondents</w:t>
            </w:r>
          </w:p>
        </w:tc>
        <w:tc>
          <w:tcPr>
            <w:tcW w:w="1440" w:type="dxa"/>
            <w:tcMar>
              <w:top w:w="15" w:type="dxa"/>
              <w:left w:w="108" w:type="dxa"/>
              <w:bottom w:w="15" w:type="dxa"/>
              <w:right w:w="108" w:type="dxa"/>
            </w:tcMar>
            <w:hideMark/>
          </w:tcPr>
          <w:p w:rsidR="00700D85" w:rsidRPr="00700D85" w:rsidP="00700D85" w14:paraId="34FB35D9" w14:textId="77777777">
            <w:r w:rsidRPr="00700D85">
              <w:t>Number of Responses per Respondent</w:t>
            </w:r>
          </w:p>
        </w:tc>
        <w:tc>
          <w:tcPr>
            <w:tcW w:w="1260" w:type="dxa"/>
            <w:tcMar>
              <w:top w:w="15" w:type="dxa"/>
              <w:left w:w="108" w:type="dxa"/>
              <w:bottom w:w="15" w:type="dxa"/>
              <w:right w:w="108" w:type="dxa"/>
            </w:tcMar>
            <w:hideMark/>
          </w:tcPr>
          <w:p w:rsidR="00700D85" w:rsidRPr="00700D85" w:rsidP="00700D85" w14:paraId="244D92B6" w14:textId="77777777">
            <w:r w:rsidRPr="00700D85">
              <w:t>Total Responses</w:t>
            </w:r>
          </w:p>
        </w:tc>
        <w:tc>
          <w:tcPr>
            <w:tcW w:w="1350" w:type="dxa"/>
            <w:tcMar>
              <w:top w:w="15" w:type="dxa"/>
              <w:left w:w="108" w:type="dxa"/>
              <w:bottom w:w="15" w:type="dxa"/>
              <w:right w:w="108" w:type="dxa"/>
            </w:tcMar>
            <w:hideMark/>
          </w:tcPr>
          <w:p w:rsidR="00700D85" w:rsidRPr="00700D85" w:rsidP="00700D85" w14:paraId="4F021187" w14:textId="77777777">
            <w:r w:rsidRPr="00700D85">
              <w:t>Average Burden per Response (in hours)</w:t>
            </w:r>
          </w:p>
        </w:tc>
        <w:tc>
          <w:tcPr>
            <w:tcW w:w="1170" w:type="dxa"/>
            <w:tcMar>
              <w:top w:w="15" w:type="dxa"/>
              <w:left w:w="108" w:type="dxa"/>
              <w:bottom w:w="15" w:type="dxa"/>
              <w:right w:w="108" w:type="dxa"/>
            </w:tcMar>
            <w:hideMark/>
          </w:tcPr>
          <w:p w:rsidR="00700D85" w:rsidRPr="00700D85" w:rsidP="00700D85" w14:paraId="1D6757D7" w14:textId="77777777">
            <w:r w:rsidRPr="00700D85">
              <w:t>Burden Hours per Form</w:t>
            </w:r>
          </w:p>
        </w:tc>
        <w:tc>
          <w:tcPr>
            <w:tcW w:w="1065" w:type="dxa"/>
            <w:tcMar>
              <w:top w:w="15" w:type="dxa"/>
              <w:left w:w="108" w:type="dxa"/>
              <w:bottom w:w="15" w:type="dxa"/>
              <w:right w:w="108" w:type="dxa"/>
            </w:tcMar>
            <w:hideMark/>
          </w:tcPr>
          <w:p w:rsidR="00700D85" w:rsidRPr="00700D85" w:rsidP="00700D85" w14:paraId="20A186E2" w14:textId="77777777">
            <w:r w:rsidRPr="00700D85">
              <w:t>Total Burden Hours</w:t>
            </w:r>
          </w:p>
        </w:tc>
      </w:tr>
      <w:tr w14:paraId="6B98D544" w14:textId="77777777" w:rsidTr="00A93AE1">
        <w:tblPrEx>
          <w:tblW w:w="10515" w:type="dxa"/>
          <w:tblInd w:w="-635" w:type="dxa"/>
          <w:tblLayout w:type="fixed"/>
          <w:tblLook w:val="04A0"/>
        </w:tblPrEx>
        <w:trPr>
          <w:trHeight w:val="353"/>
        </w:trPr>
        <w:tc>
          <w:tcPr>
            <w:tcW w:w="1350" w:type="dxa"/>
            <w:vMerge w:val="restart"/>
            <w:tcMar>
              <w:top w:w="15" w:type="dxa"/>
              <w:left w:w="108" w:type="dxa"/>
              <w:bottom w:w="15" w:type="dxa"/>
              <w:right w:w="108" w:type="dxa"/>
            </w:tcMar>
            <w:hideMark/>
          </w:tcPr>
          <w:p w:rsidR="00700D85" w:rsidRPr="00700D85" w:rsidP="00700D85" w14:paraId="4047E06D" w14:textId="77777777">
            <w:r w:rsidRPr="00700D85">
              <w:t xml:space="preserve">Adults- Puerto Rico </w:t>
            </w:r>
          </w:p>
        </w:tc>
        <w:tc>
          <w:tcPr>
            <w:tcW w:w="1350" w:type="dxa"/>
            <w:tcMar>
              <w:top w:w="15" w:type="dxa"/>
              <w:left w:w="108" w:type="dxa"/>
              <w:bottom w:w="15" w:type="dxa"/>
              <w:right w:w="108" w:type="dxa"/>
            </w:tcMar>
            <w:hideMark/>
          </w:tcPr>
          <w:p w:rsidR="00700D85" w:rsidRPr="00700D85" w:rsidP="00700D85" w14:paraId="20798566" w14:textId="77777777">
            <w:r w:rsidRPr="00700D85">
              <w:t>Screener</w:t>
            </w:r>
          </w:p>
        </w:tc>
        <w:tc>
          <w:tcPr>
            <w:tcW w:w="1530" w:type="dxa"/>
            <w:tcMar>
              <w:top w:w="15" w:type="dxa"/>
              <w:left w:w="108" w:type="dxa"/>
              <w:bottom w:w="15" w:type="dxa"/>
              <w:right w:w="108" w:type="dxa"/>
            </w:tcMar>
            <w:hideMark/>
          </w:tcPr>
          <w:p w:rsidR="00700D85" w:rsidRPr="00700D85" w:rsidP="00700D85" w14:paraId="70FF5EB0" w14:textId="77777777">
            <w:r w:rsidRPr="00700D85">
              <w:t>5,205</w:t>
            </w:r>
          </w:p>
        </w:tc>
        <w:tc>
          <w:tcPr>
            <w:tcW w:w="1440" w:type="dxa"/>
            <w:tcMar>
              <w:top w:w="15" w:type="dxa"/>
              <w:left w:w="108" w:type="dxa"/>
              <w:bottom w:w="15" w:type="dxa"/>
              <w:right w:w="108" w:type="dxa"/>
            </w:tcMar>
            <w:hideMark/>
          </w:tcPr>
          <w:p w:rsidR="00700D85" w:rsidRPr="00700D85" w:rsidP="00700D85" w14:paraId="0FE06E77" w14:textId="77777777">
            <w:r w:rsidRPr="00700D85">
              <w:t>1</w:t>
            </w:r>
          </w:p>
        </w:tc>
        <w:tc>
          <w:tcPr>
            <w:tcW w:w="1260" w:type="dxa"/>
            <w:tcMar>
              <w:top w:w="15" w:type="dxa"/>
              <w:left w:w="108" w:type="dxa"/>
              <w:bottom w:w="15" w:type="dxa"/>
              <w:right w:w="108" w:type="dxa"/>
            </w:tcMar>
            <w:hideMark/>
          </w:tcPr>
          <w:p w:rsidR="00700D85" w:rsidRPr="00700D85" w:rsidP="00700D85" w14:paraId="2FFA8DB1" w14:textId="77777777">
            <w:r w:rsidRPr="00700D85">
              <w:t>5,205</w:t>
            </w:r>
          </w:p>
        </w:tc>
        <w:tc>
          <w:tcPr>
            <w:tcW w:w="1350" w:type="dxa"/>
            <w:tcMar>
              <w:top w:w="15" w:type="dxa"/>
              <w:left w:w="108" w:type="dxa"/>
              <w:bottom w:w="15" w:type="dxa"/>
              <w:right w:w="108" w:type="dxa"/>
            </w:tcMar>
            <w:hideMark/>
          </w:tcPr>
          <w:p w:rsidR="00700D85" w:rsidRPr="00700D85" w:rsidP="00700D85" w14:paraId="3A1A9D90" w14:textId="77777777">
            <w:r w:rsidRPr="00700D85">
              <w:t>0.03</w:t>
            </w:r>
          </w:p>
        </w:tc>
        <w:tc>
          <w:tcPr>
            <w:tcW w:w="1170" w:type="dxa"/>
            <w:tcMar>
              <w:top w:w="15" w:type="dxa"/>
              <w:left w:w="108" w:type="dxa"/>
              <w:bottom w:w="15" w:type="dxa"/>
              <w:right w:w="108" w:type="dxa"/>
            </w:tcMar>
            <w:hideMark/>
          </w:tcPr>
          <w:p w:rsidR="00700D85" w:rsidRPr="00700D85" w:rsidP="00700D85" w14:paraId="2A1B641F" w14:textId="77777777">
            <w:r w:rsidRPr="00700D85">
              <w:t>156.15</w:t>
            </w:r>
          </w:p>
        </w:tc>
        <w:tc>
          <w:tcPr>
            <w:tcW w:w="1065" w:type="dxa"/>
            <w:vMerge w:val="restart"/>
            <w:tcMar>
              <w:top w:w="15" w:type="dxa"/>
              <w:left w:w="108" w:type="dxa"/>
              <w:bottom w:w="15" w:type="dxa"/>
              <w:right w:w="108" w:type="dxa"/>
            </w:tcMar>
            <w:hideMark/>
          </w:tcPr>
          <w:p w:rsidR="00700D85" w:rsidRPr="00700D85" w:rsidP="00700D85" w14:paraId="77DCC5AF" w14:textId="77777777">
            <w:r w:rsidRPr="00700D85">
              <w:t>1,093.65</w:t>
            </w:r>
          </w:p>
        </w:tc>
      </w:tr>
      <w:tr w14:paraId="0328D426" w14:textId="77777777" w:rsidTr="00A93AE1">
        <w:tblPrEx>
          <w:tblW w:w="10515" w:type="dxa"/>
          <w:tblInd w:w="-635" w:type="dxa"/>
          <w:tblLayout w:type="fixed"/>
          <w:tblLook w:val="04A0"/>
        </w:tblPrEx>
        <w:trPr>
          <w:trHeight w:val="43"/>
        </w:trPr>
        <w:tc>
          <w:tcPr>
            <w:tcW w:w="1350" w:type="dxa"/>
            <w:vMerge/>
            <w:vAlign w:val="center"/>
            <w:hideMark/>
          </w:tcPr>
          <w:p w:rsidR="00700D85" w:rsidRPr="00700D85" w:rsidP="00700D85" w14:paraId="613A73EF" w14:textId="77777777"/>
        </w:tc>
        <w:tc>
          <w:tcPr>
            <w:tcW w:w="1350" w:type="dxa"/>
            <w:tcMar>
              <w:top w:w="15" w:type="dxa"/>
              <w:left w:w="108" w:type="dxa"/>
              <w:bottom w:w="15" w:type="dxa"/>
              <w:right w:w="108" w:type="dxa"/>
            </w:tcMar>
            <w:hideMark/>
          </w:tcPr>
          <w:p w:rsidR="00700D85" w:rsidRPr="00700D85" w:rsidP="00700D85" w14:paraId="1A7E76C3" w14:textId="77777777">
            <w:r w:rsidRPr="00700D85">
              <w:t>Core</w:t>
            </w:r>
          </w:p>
        </w:tc>
        <w:tc>
          <w:tcPr>
            <w:tcW w:w="1530" w:type="dxa"/>
            <w:tcMar>
              <w:top w:w="15" w:type="dxa"/>
              <w:left w:w="108" w:type="dxa"/>
              <w:bottom w:w="15" w:type="dxa"/>
              <w:right w:w="108" w:type="dxa"/>
            </w:tcMar>
            <w:hideMark/>
          </w:tcPr>
          <w:p w:rsidR="00700D85" w:rsidRPr="00700D85" w:rsidP="00700D85" w14:paraId="009ECFA4" w14:textId="77777777">
            <w:r w:rsidRPr="00700D85">
              <w:t>1,250</w:t>
            </w:r>
          </w:p>
        </w:tc>
        <w:tc>
          <w:tcPr>
            <w:tcW w:w="1440" w:type="dxa"/>
            <w:tcMar>
              <w:top w:w="15" w:type="dxa"/>
              <w:left w:w="108" w:type="dxa"/>
              <w:bottom w:w="15" w:type="dxa"/>
              <w:right w:w="108" w:type="dxa"/>
            </w:tcMar>
            <w:hideMark/>
          </w:tcPr>
          <w:p w:rsidR="00700D85" w:rsidRPr="00700D85" w:rsidP="00700D85" w14:paraId="67906DEA" w14:textId="77777777">
            <w:r w:rsidRPr="00700D85">
              <w:t>1</w:t>
            </w:r>
          </w:p>
        </w:tc>
        <w:tc>
          <w:tcPr>
            <w:tcW w:w="1260" w:type="dxa"/>
            <w:tcMar>
              <w:top w:w="15" w:type="dxa"/>
              <w:left w:w="108" w:type="dxa"/>
              <w:bottom w:w="15" w:type="dxa"/>
              <w:right w:w="108" w:type="dxa"/>
            </w:tcMar>
            <w:hideMark/>
          </w:tcPr>
          <w:p w:rsidR="00700D85" w:rsidRPr="00700D85" w:rsidP="00700D85" w14:paraId="2AD591B6" w14:textId="77777777">
            <w:r w:rsidRPr="00700D85">
              <w:t>1,250</w:t>
            </w:r>
          </w:p>
        </w:tc>
        <w:tc>
          <w:tcPr>
            <w:tcW w:w="1350" w:type="dxa"/>
            <w:tcMar>
              <w:top w:w="15" w:type="dxa"/>
              <w:left w:w="108" w:type="dxa"/>
              <w:bottom w:w="15" w:type="dxa"/>
              <w:right w:w="108" w:type="dxa"/>
            </w:tcMar>
            <w:hideMark/>
          </w:tcPr>
          <w:p w:rsidR="00700D85" w:rsidRPr="00700D85" w:rsidP="00700D85" w14:paraId="5E43C10B" w14:textId="77777777">
            <w:r w:rsidRPr="00700D85">
              <w:t>0.75</w:t>
            </w:r>
          </w:p>
        </w:tc>
        <w:tc>
          <w:tcPr>
            <w:tcW w:w="1170" w:type="dxa"/>
            <w:tcMar>
              <w:top w:w="15" w:type="dxa"/>
              <w:left w:w="108" w:type="dxa"/>
              <w:bottom w:w="15" w:type="dxa"/>
              <w:right w:w="108" w:type="dxa"/>
            </w:tcMar>
            <w:hideMark/>
          </w:tcPr>
          <w:p w:rsidR="00700D85" w:rsidRPr="00700D85" w:rsidP="00700D85" w14:paraId="6851993D" w14:textId="77777777">
            <w:r w:rsidRPr="00700D85">
              <w:t>937.50</w:t>
            </w:r>
          </w:p>
        </w:tc>
        <w:tc>
          <w:tcPr>
            <w:tcW w:w="1065" w:type="dxa"/>
            <w:vMerge/>
            <w:vAlign w:val="center"/>
            <w:hideMark/>
          </w:tcPr>
          <w:p w:rsidR="00700D85" w:rsidRPr="00700D85" w:rsidP="00700D85" w14:paraId="1D7095A0" w14:textId="77777777"/>
        </w:tc>
      </w:tr>
      <w:tr w14:paraId="3FECDD44" w14:textId="77777777" w:rsidTr="00A93AE1">
        <w:tblPrEx>
          <w:tblW w:w="10515" w:type="dxa"/>
          <w:tblInd w:w="-635" w:type="dxa"/>
          <w:tblLayout w:type="fixed"/>
          <w:tblLook w:val="04A0"/>
        </w:tblPrEx>
        <w:trPr>
          <w:trHeight w:val="380"/>
        </w:trPr>
        <w:tc>
          <w:tcPr>
            <w:tcW w:w="1350" w:type="dxa"/>
            <w:vMerge w:val="restart"/>
            <w:tcMar>
              <w:top w:w="15" w:type="dxa"/>
              <w:left w:w="108" w:type="dxa"/>
              <w:bottom w:w="15" w:type="dxa"/>
              <w:right w:w="108" w:type="dxa"/>
            </w:tcMar>
            <w:hideMark/>
          </w:tcPr>
          <w:p w:rsidR="00700D85" w:rsidRPr="00700D85" w:rsidP="00700D85" w14:paraId="505F720C" w14:textId="77777777">
            <w:r w:rsidRPr="00700D85">
              <w:t xml:space="preserve">Adults- U.S. Virgin Islands </w:t>
            </w:r>
          </w:p>
        </w:tc>
        <w:tc>
          <w:tcPr>
            <w:tcW w:w="1350" w:type="dxa"/>
            <w:tcMar>
              <w:top w:w="15" w:type="dxa"/>
              <w:left w:w="108" w:type="dxa"/>
              <w:bottom w:w="15" w:type="dxa"/>
              <w:right w:w="108" w:type="dxa"/>
            </w:tcMar>
            <w:hideMark/>
          </w:tcPr>
          <w:p w:rsidR="00700D85" w:rsidRPr="00700D85" w:rsidP="00700D85" w14:paraId="78A711B2" w14:textId="77777777">
            <w:r w:rsidRPr="00700D85">
              <w:t>Screener</w:t>
            </w:r>
          </w:p>
        </w:tc>
        <w:tc>
          <w:tcPr>
            <w:tcW w:w="1530" w:type="dxa"/>
            <w:tcMar>
              <w:top w:w="15" w:type="dxa"/>
              <w:left w:w="108" w:type="dxa"/>
              <w:bottom w:w="15" w:type="dxa"/>
              <w:right w:w="108" w:type="dxa"/>
            </w:tcMar>
            <w:hideMark/>
          </w:tcPr>
          <w:p w:rsidR="00700D85" w:rsidRPr="00700D85" w:rsidP="00700D85" w14:paraId="3C5EDA9E" w14:textId="77777777">
            <w:r w:rsidRPr="00700D85">
              <w:t>1,457</w:t>
            </w:r>
          </w:p>
        </w:tc>
        <w:tc>
          <w:tcPr>
            <w:tcW w:w="1440" w:type="dxa"/>
            <w:tcMar>
              <w:top w:w="15" w:type="dxa"/>
              <w:left w:w="108" w:type="dxa"/>
              <w:bottom w:w="15" w:type="dxa"/>
              <w:right w:w="108" w:type="dxa"/>
            </w:tcMar>
            <w:hideMark/>
          </w:tcPr>
          <w:p w:rsidR="00700D85" w:rsidRPr="00700D85" w:rsidP="00700D85" w14:paraId="1DF5AA1B" w14:textId="77777777">
            <w:r w:rsidRPr="00700D85">
              <w:t>1</w:t>
            </w:r>
          </w:p>
        </w:tc>
        <w:tc>
          <w:tcPr>
            <w:tcW w:w="1260" w:type="dxa"/>
            <w:tcMar>
              <w:top w:w="15" w:type="dxa"/>
              <w:left w:w="108" w:type="dxa"/>
              <w:bottom w:w="15" w:type="dxa"/>
              <w:right w:w="108" w:type="dxa"/>
            </w:tcMar>
            <w:hideMark/>
          </w:tcPr>
          <w:p w:rsidR="00700D85" w:rsidRPr="00700D85" w:rsidP="00700D85" w14:paraId="748B84F4" w14:textId="77777777">
            <w:r w:rsidRPr="00700D85">
              <w:t>1,457</w:t>
            </w:r>
          </w:p>
        </w:tc>
        <w:tc>
          <w:tcPr>
            <w:tcW w:w="1350" w:type="dxa"/>
            <w:tcMar>
              <w:top w:w="15" w:type="dxa"/>
              <w:left w:w="108" w:type="dxa"/>
              <w:bottom w:w="15" w:type="dxa"/>
              <w:right w:w="108" w:type="dxa"/>
            </w:tcMar>
            <w:hideMark/>
          </w:tcPr>
          <w:p w:rsidR="00700D85" w:rsidRPr="00700D85" w:rsidP="00700D85" w14:paraId="277878DB" w14:textId="77777777">
            <w:r w:rsidRPr="00700D85">
              <w:t>0.03</w:t>
            </w:r>
          </w:p>
        </w:tc>
        <w:tc>
          <w:tcPr>
            <w:tcW w:w="1170" w:type="dxa"/>
            <w:tcMar>
              <w:top w:w="15" w:type="dxa"/>
              <w:left w:w="108" w:type="dxa"/>
              <w:bottom w:w="15" w:type="dxa"/>
              <w:right w:w="108" w:type="dxa"/>
            </w:tcMar>
            <w:hideMark/>
          </w:tcPr>
          <w:p w:rsidR="00700D85" w:rsidRPr="00700D85" w:rsidP="00700D85" w14:paraId="53C138E8" w14:textId="77777777">
            <w:r w:rsidRPr="00700D85">
              <w:t>43.71</w:t>
            </w:r>
          </w:p>
        </w:tc>
        <w:tc>
          <w:tcPr>
            <w:tcW w:w="1065" w:type="dxa"/>
            <w:vMerge w:val="restart"/>
            <w:tcMar>
              <w:top w:w="15" w:type="dxa"/>
              <w:left w:w="108" w:type="dxa"/>
              <w:bottom w:w="15" w:type="dxa"/>
              <w:right w:w="108" w:type="dxa"/>
            </w:tcMar>
            <w:hideMark/>
          </w:tcPr>
          <w:p w:rsidR="00700D85" w:rsidRPr="00700D85" w:rsidP="00700D85" w14:paraId="36B103D5" w14:textId="77777777">
            <w:r w:rsidRPr="00700D85">
              <w:t>288.71</w:t>
            </w:r>
          </w:p>
        </w:tc>
      </w:tr>
      <w:tr w14:paraId="1E4AB992" w14:textId="77777777" w:rsidTr="00A93AE1">
        <w:tblPrEx>
          <w:tblW w:w="10515" w:type="dxa"/>
          <w:tblInd w:w="-635" w:type="dxa"/>
          <w:tblLayout w:type="fixed"/>
          <w:tblLook w:val="04A0"/>
        </w:tblPrEx>
        <w:trPr>
          <w:trHeight w:val="43"/>
        </w:trPr>
        <w:tc>
          <w:tcPr>
            <w:tcW w:w="1350" w:type="dxa"/>
            <w:vMerge/>
            <w:vAlign w:val="center"/>
            <w:hideMark/>
          </w:tcPr>
          <w:p w:rsidR="00700D85" w:rsidRPr="00700D85" w:rsidP="00700D85" w14:paraId="7CF16034" w14:textId="77777777"/>
        </w:tc>
        <w:tc>
          <w:tcPr>
            <w:tcW w:w="1350" w:type="dxa"/>
            <w:tcMar>
              <w:top w:w="15" w:type="dxa"/>
              <w:left w:w="108" w:type="dxa"/>
              <w:bottom w:w="15" w:type="dxa"/>
              <w:right w:w="108" w:type="dxa"/>
            </w:tcMar>
            <w:hideMark/>
          </w:tcPr>
          <w:p w:rsidR="00700D85" w:rsidRPr="00700D85" w:rsidP="00700D85" w14:paraId="53049750" w14:textId="77777777">
            <w:r w:rsidRPr="00700D85">
              <w:t>Core</w:t>
            </w:r>
          </w:p>
        </w:tc>
        <w:tc>
          <w:tcPr>
            <w:tcW w:w="1530" w:type="dxa"/>
            <w:tcMar>
              <w:top w:w="15" w:type="dxa"/>
              <w:left w:w="108" w:type="dxa"/>
              <w:bottom w:w="15" w:type="dxa"/>
              <w:right w:w="108" w:type="dxa"/>
            </w:tcMar>
            <w:hideMark/>
          </w:tcPr>
          <w:p w:rsidR="00700D85" w:rsidRPr="00700D85" w:rsidP="00700D85" w14:paraId="722DAB9B" w14:textId="77777777">
            <w:r w:rsidRPr="00700D85">
              <w:t>350</w:t>
            </w:r>
          </w:p>
        </w:tc>
        <w:tc>
          <w:tcPr>
            <w:tcW w:w="1440" w:type="dxa"/>
            <w:tcMar>
              <w:top w:w="15" w:type="dxa"/>
              <w:left w:w="108" w:type="dxa"/>
              <w:bottom w:w="15" w:type="dxa"/>
              <w:right w:w="108" w:type="dxa"/>
            </w:tcMar>
            <w:hideMark/>
          </w:tcPr>
          <w:p w:rsidR="00700D85" w:rsidRPr="00700D85" w:rsidP="00700D85" w14:paraId="5D1D4774" w14:textId="77777777">
            <w:r w:rsidRPr="00700D85">
              <w:t>1</w:t>
            </w:r>
          </w:p>
        </w:tc>
        <w:tc>
          <w:tcPr>
            <w:tcW w:w="1260" w:type="dxa"/>
            <w:tcMar>
              <w:top w:w="15" w:type="dxa"/>
              <w:left w:w="108" w:type="dxa"/>
              <w:bottom w:w="15" w:type="dxa"/>
              <w:right w:w="108" w:type="dxa"/>
            </w:tcMar>
            <w:hideMark/>
          </w:tcPr>
          <w:p w:rsidR="00700D85" w:rsidRPr="00700D85" w:rsidP="00700D85" w14:paraId="474B0794" w14:textId="77777777">
            <w:r w:rsidRPr="00700D85">
              <w:t>350</w:t>
            </w:r>
          </w:p>
        </w:tc>
        <w:tc>
          <w:tcPr>
            <w:tcW w:w="1350" w:type="dxa"/>
            <w:tcMar>
              <w:top w:w="15" w:type="dxa"/>
              <w:left w:w="108" w:type="dxa"/>
              <w:bottom w:w="15" w:type="dxa"/>
              <w:right w:w="108" w:type="dxa"/>
            </w:tcMar>
            <w:hideMark/>
          </w:tcPr>
          <w:p w:rsidR="00700D85" w:rsidRPr="00700D85" w:rsidP="00700D85" w14:paraId="246E9BD3" w14:textId="77777777">
            <w:r w:rsidRPr="00700D85">
              <w:t>0.70</w:t>
            </w:r>
          </w:p>
        </w:tc>
        <w:tc>
          <w:tcPr>
            <w:tcW w:w="1170" w:type="dxa"/>
            <w:tcMar>
              <w:top w:w="15" w:type="dxa"/>
              <w:left w:w="108" w:type="dxa"/>
              <w:bottom w:w="15" w:type="dxa"/>
              <w:right w:w="108" w:type="dxa"/>
            </w:tcMar>
            <w:hideMark/>
          </w:tcPr>
          <w:p w:rsidR="00700D85" w:rsidRPr="00700D85" w:rsidP="00700D85" w14:paraId="425CA613" w14:textId="77777777">
            <w:r w:rsidRPr="00700D85">
              <w:t>245</w:t>
            </w:r>
          </w:p>
        </w:tc>
        <w:tc>
          <w:tcPr>
            <w:tcW w:w="1065" w:type="dxa"/>
            <w:vMerge/>
            <w:vAlign w:val="center"/>
            <w:hideMark/>
          </w:tcPr>
          <w:p w:rsidR="00700D85" w:rsidRPr="00700D85" w:rsidP="00700D85" w14:paraId="775BF81F" w14:textId="77777777"/>
        </w:tc>
      </w:tr>
      <w:tr w14:paraId="652FDCDB" w14:textId="77777777" w:rsidTr="00A93AE1">
        <w:tblPrEx>
          <w:tblW w:w="10515" w:type="dxa"/>
          <w:tblInd w:w="-635" w:type="dxa"/>
          <w:tblLayout w:type="fixed"/>
          <w:tblLook w:val="04A0"/>
        </w:tblPrEx>
        <w:trPr>
          <w:trHeight w:val="416"/>
        </w:trPr>
        <w:tc>
          <w:tcPr>
            <w:tcW w:w="1350" w:type="dxa"/>
            <w:vMerge w:val="restart"/>
            <w:tcMar>
              <w:top w:w="15" w:type="dxa"/>
              <w:left w:w="108" w:type="dxa"/>
              <w:bottom w:w="15" w:type="dxa"/>
              <w:right w:w="108" w:type="dxa"/>
            </w:tcMar>
            <w:hideMark/>
          </w:tcPr>
          <w:p w:rsidR="00700D85" w:rsidRPr="00700D85" w:rsidP="00700D85" w14:paraId="33BDD6B4" w14:textId="77777777">
            <w:r w:rsidRPr="00700D85">
              <w:t xml:space="preserve">Adults- Guam </w:t>
            </w:r>
          </w:p>
        </w:tc>
        <w:tc>
          <w:tcPr>
            <w:tcW w:w="1350" w:type="dxa"/>
            <w:tcMar>
              <w:top w:w="15" w:type="dxa"/>
              <w:left w:w="108" w:type="dxa"/>
              <w:bottom w:w="15" w:type="dxa"/>
              <w:right w:w="108" w:type="dxa"/>
            </w:tcMar>
            <w:hideMark/>
          </w:tcPr>
          <w:p w:rsidR="00700D85" w:rsidRPr="00700D85" w:rsidP="00700D85" w14:paraId="14E287DE" w14:textId="77777777">
            <w:r w:rsidRPr="00700D85">
              <w:t>Screener</w:t>
            </w:r>
          </w:p>
        </w:tc>
        <w:tc>
          <w:tcPr>
            <w:tcW w:w="1530" w:type="dxa"/>
            <w:tcMar>
              <w:top w:w="15" w:type="dxa"/>
              <w:left w:w="108" w:type="dxa"/>
              <w:bottom w:w="15" w:type="dxa"/>
              <w:right w:w="108" w:type="dxa"/>
            </w:tcMar>
            <w:hideMark/>
          </w:tcPr>
          <w:p w:rsidR="00700D85" w:rsidRPr="00700D85" w:rsidP="00700D85" w14:paraId="51830645" w14:textId="77777777">
            <w:r w:rsidRPr="00700D85">
              <w:t>1,334</w:t>
            </w:r>
          </w:p>
        </w:tc>
        <w:tc>
          <w:tcPr>
            <w:tcW w:w="1440" w:type="dxa"/>
            <w:tcMar>
              <w:top w:w="15" w:type="dxa"/>
              <w:left w:w="108" w:type="dxa"/>
              <w:bottom w:w="15" w:type="dxa"/>
              <w:right w:w="108" w:type="dxa"/>
            </w:tcMar>
            <w:hideMark/>
          </w:tcPr>
          <w:p w:rsidR="00700D85" w:rsidRPr="00700D85" w:rsidP="00700D85" w14:paraId="2A946EDE" w14:textId="77777777">
            <w:r w:rsidRPr="00700D85">
              <w:t>1</w:t>
            </w:r>
          </w:p>
        </w:tc>
        <w:tc>
          <w:tcPr>
            <w:tcW w:w="1260" w:type="dxa"/>
            <w:tcMar>
              <w:top w:w="15" w:type="dxa"/>
              <w:left w:w="108" w:type="dxa"/>
              <w:bottom w:w="15" w:type="dxa"/>
              <w:right w:w="108" w:type="dxa"/>
            </w:tcMar>
            <w:hideMark/>
          </w:tcPr>
          <w:p w:rsidR="00700D85" w:rsidRPr="00700D85" w:rsidP="00700D85" w14:paraId="1B6E0069" w14:textId="77777777">
            <w:r w:rsidRPr="00700D85">
              <w:t>1,334</w:t>
            </w:r>
          </w:p>
        </w:tc>
        <w:tc>
          <w:tcPr>
            <w:tcW w:w="1350" w:type="dxa"/>
            <w:tcMar>
              <w:top w:w="15" w:type="dxa"/>
              <w:left w:w="108" w:type="dxa"/>
              <w:bottom w:w="15" w:type="dxa"/>
              <w:right w:w="108" w:type="dxa"/>
            </w:tcMar>
            <w:hideMark/>
          </w:tcPr>
          <w:p w:rsidR="00700D85" w:rsidRPr="00700D85" w:rsidP="00700D85" w14:paraId="661273BD" w14:textId="77777777">
            <w:r w:rsidRPr="00700D85">
              <w:t>0.03</w:t>
            </w:r>
          </w:p>
        </w:tc>
        <w:tc>
          <w:tcPr>
            <w:tcW w:w="1170" w:type="dxa"/>
            <w:tcMar>
              <w:top w:w="15" w:type="dxa"/>
              <w:left w:w="108" w:type="dxa"/>
              <w:bottom w:w="15" w:type="dxa"/>
              <w:right w:w="108" w:type="dxa"/>
            </w:tcMar>
            <w:hideMark/>
          </w:tcPr>
          <w:p w:rsidR="00700D85" w:rsidRPr="00700D85" w:rsidP="00700D85" w14:paraId="6CEF1151" w14:textId="77777777">
            <w:r w:rsidRPr="00700D85">
              <w:t>40.02</w:t>
            </w:r>
          </w:p>
        </w:tc>
        <w:tc>
          <w:tcPr>
            <w:tcW w:w="1065" w:type="dxa"/>
            <w:vMerge w:val="restart"/>
            <w:tcMar>
              <w:top w:w="15" w:type="dxa"/>
              <w:left w:w="108" w:type="dxa"/>
              <w:bottom w:w="15" w:type="dxa"/>
              <w:right w:w="108" w:type="dxa"/>
            </w:tcMar>
            <w:hideMark/>
          </w:tcPr>
          <w:p w:rsidR="00700D85" w:rsidRPr="00700D85" w:rsidP="00700D85" w14:paraId="2A7853B4" w14:textId="77777777">
            <w:r w:rsidRPr="00700D85">
              <w:t>337.02</w:t>
            </w:r>
          </w:p>
        </w:tc>
      </w:tr>
      <w:tr w14:paraId="356B3147" w14:textId="77777777" w:rsidTr="00A93AE1">
        <w:tblPrEx>
          <w:tblW w:w="10515" w:type="dxa"/>
          <w:tblInd w:w="-635" w:type="dxa"/>
          <w:tblLayout w:type="fixed"/>
          <w:tblLook w:val="04A0"/>
        </w:tblPrEx>
        <w:trPr>
          <w:trHeight w:val="461"/>
        </w:trPr>
        <w:tc>
          <w:tcPr>
            <w:tcW w:w="1350" w:type="dxa"/>
            <w:vMerge/>
            <w:vAlign w:val="center"/>
            <w:hideMark/>
          </w:tcPr>
          <w:p w:rsidR="00700D85" w:rsidRPr="00700D85" w:rsidP="00700D85" w14:paraId="7838ADCC" w14:textId="77777777"/>
        </w:tc>
        <w:tc>
          <w:tcPr>
            <w:tcW w:w="1350" w:type="dxa"/>
            <w:tcMar>
              <w:top w:w="15" w:type="dxa"/>
              <w:left w:w="108" w:type="dxa"/>
              <w:bottom w:w="15" w:type="dxa"/>
              <w:right w:w="108" w:type="dxa"/>
            </w:tcMar>
            <w:hideMark/>
          </w:tcPr>
          <w:p w:rsidR="00700D85" w:rsidRPr="00700D85" w:rsidP="00700D85" w14:paraId="31706F0F" w14:textId="77777777">
            <w:r w:rsidRPr="00700D85">
              <w:t>Core</w:t>
            </w:r>
          </w:p>
        </w:tc>
        <w:tc>
          <w:tcPr>
            <w:tcW w:w="1530" w:type="dxa"/>
            <w:tcMar>
              <w:top w:w="15" w:type="dxa"/>
              <w:left w:w="108" w:type="dxa"/>
              <w:bottom w:w="15" w:type="dxa"/>
              <w:right w:w="108" w:type="dxa"/>
            </w:tcMar>
            <w:hideMark/>
          </w:tcPr>
          <w:p w:rsidR="00700D85" w:rsidRPr="00700D85" w:rsidP="00700D85" w14:paraId="41616758" w14:textId="77777777">
            <w:r w:rsidRPr="00700D85">
              <w:t>450</w:t>
            </w:r>
          </w:p>
        </w:tc>
        <w:tc>
          <w:tcPr>
            <w:tcW w:w="1440" w:type="dxa"/>
            <w:tcMar>
              <w:top w:w="15" w:type="dxa"/>
              <w:left w:w="108" w:type="dxa"/>
              <w:bottom w:w="15" w:type="dxa"/>
              <w:right w:w="108" w:type="dxa"/>
            </w:tcMar>
            <w:hideMark/>
          </w:tcPr>
          <w:p w:rsidR="00700D85" w:rsidRPr="00700D85" w:rsidP="00700D85" w14:paraId="50C66D17" w14:textId="77777777">
            <w:r w:rsidRPr="00700D85">
              <w:t>1</w:t>
            </w:r>
          </w:p>
        </w:tc>
        <w:tc>
          <w:tcPr>
            <w:tcW w:w="1260" w:type="dxa"/>
            <w:tcMar>
              <w:top w:w="15" w:type="dxa"/>
              <w:left w:w="108" w:type="dxa"/>
              <w:bottom w:w="15" w:type="dxa"/>
              <w:right w:w="108" w:type="dxa"/>
            </w:tcMar>
            <w:hideMark/>
          </w:tcPr>
          <w:p w:rsidR="00700D85" w:rsidRPr="00700D85" w:rsidP="00700D85" w14:paraId="6753E831" w14:textId="77777777">
            <w:r w:rsidRPr="00700D85">
              <w:t>450</w:t>
            </w:r>
          </w:p>
        </w:tc>
        <w:tc>
          <w:tcPr>
            <w:tcW w:w="1350" w:type="dxa"/>
            <w:tcMar>
              <w:top w:w="15" w:type="dxa"/>
              <w:left w:w="108" w:type="dxa"/>
              <w:bottom w:w="15" w:type="dxa"/>
              <w:right w:w="108" w:type="dxa"/>
            </w:tcMar>
            <w:hideMark/>
          </w:tcPr>
          <w:p w:rsidR="00700D85" w:rsidRPr="00700D85" w:rsidP="00700D85" w14:paraId="18FF7BAA" w14:textId="77777777">
            <w:r w:rsidRPr="00700D85">
              <w:t>0.66</w:t>
            </w:r>
          </w:p>
        </w:tc>
        <w:tc>
          <w:tcPr>
            <w:tcW w:w="1170" w:type="dxa"/>
            <w:tcMar>
              <w:top w:w="15" w:type="dxa"/>
              <w:left w:w="108" w:type="dxa"/>
              <w:bottom w:w="15" w:type="dxa"/>
              <w:right w:w="108" w:type="dxa"/>
            </w:tcMar>
            <w:hideMark/>
          </w:tcPr>
          <w:p w:rsidR="00700D85" w:rsidRPr="00700D85" w:rsidP="00700D85" w14:paraId="1C37F6C3" w14:textId="77777777">
            <w:r w:rsidRPr="00700D85">
              <w:t>297</w:t>
            </w:r>
          </w:p>
        </w:tc>
        <w:tc>
          <w:tcPr>
            <w:tcW w:w="1065" w:type="dxa"/>
            <w:vMerge/>
            <w:vAlign w:val="center"/>
            <w:hideMark/>
          </w:tcPr>
          <w:p w:rsidR="00700D85" w:rsidRPr="00700D85" w:rsidP="00700D85" w14:paraId="2A024DB0" w14:textId="77777777"/>
        </w:tc>
      </w:tr>
      <w:tr w14:paraId="2A520E7E" w14:textId="77777777" w:rsidTr="00A93AE1">
        <w:tblPrEx>
          <w:tblW w:w="10515" w:type="dxa"/>
          <w:tblInd w:w="-635" w:type="dxa"/>
          <w:tblLayout w:type="fixed"/>
          <w:tblLook w:val="04A0"/>
        </w:tblPrEx>
        <w:trPr>
          <w:trHeight w:val="504"/>
        </w:trPr>
        <w:tc>
          <w:tcPr>
            <w:tcW w:w="1350" w:type="dxa"/>
            <w:vMerge w:val="restart"/>
            <w:tcMar>
              <w:top w:w="15" w:type="dxa"/>
              <w:left w:w="108" w:type="dxa"/>
              <w:bottom w:w="15" w:type="dxa"/>
              <w:right w:w="108" w:type="dxa"/>
            </w:tcMar>
            <w:hideMark/>
          </w:tcPr>
          <w:p w:rsidR="00700D85" w:rsidRPr="00700D85" w:rsidP="00700D85" w14:paraId="6C4E508D" w14:textId="77777777">
            <w:r w:rsidRPr="00700D85">
              <w:t>Adults- American Samoa</w:t>
            </w:r>
          </w:p>
        </w:tc>
        <w:tc>
          <w:tcPr>
            <w:tcW w:w="1350" w:type="dxa"/>
            <w:tcMar>
              <w:top w:w="15" w:type="dxa"/>
              <w:left w:w="108" w:type="dxa"/>
              <w:bottom w:w="15" w:type="dxa"/>
              <w:right w:w="108" w:type="dxa"/>
            </w:tcMar>
            <w:hideMark/>
          </w:tcPr>
          <w:p w:rsidR="00700D85" w:rsidRPr="00700D85" w:rsidP="00700D85" w14:paraId="1375104F" w14:textId="77777777">
            <w:r w:rsidRPr="00700D85">
              <w:t>Screener</w:t>
            </w:r>
          </w:p>
        </w:tc>
        <w:tc>
          <w:tcPr>
            <w:tcW w:w="1530" w:type="dxa"/>
            <w:tcMar>
              <w:top w:w="15" w:type="dxa"/>
              <w:left w:w="108" w:type="dxa"/>
              <w:bottom w:w="15" w:type="dxa"/>
              <w:right w:w="108" w:type="dxa"/>
            </w:tcMar>
            <w:hideMark/>
          </w:tcPr>
          <w:p w:rsidR="00700D85" w:rsidRPr="00700D85" w:rsidP="00700D85" w14:paraId="0CFF6D83" w14:textId="77777777">
            <w:r w:rsidRPr="00700D85">
              <w:t>564</w:t>
            </w:r>
          </w:p>
        </w:tc>
        <w:tc>
          <w:tcPr>
            <w:tcW w:w="1440" w:type="dxa"/>
            <w:tcMar>
              <w:top w:w="15" w:type="dxa"/>
              <w:left w:w="108" w:type="dxa"/>
              <w:bottom w:w="15" w:type="dxa"/>
              <w:right w:w="108" w:type="dxa"/>
            </w:tcMar>
            <w:hideMark/>
          </w:tcPr>
          <w:p w:rsidR="00700D85" w:rsidRPr="00700D85" w:rsidP="00700D85" w14:paraId="3E18E0A7" w14:textId="77777777">
            <w:r w:rsidRPr="00700D85">
              <w:t>1</w:t>
            </w:r>
          </w:p>
        </w:tc>
        <w:tc>
          <w:tcPr>
            <w:tcW w:w="1260" w:type="dxa"/>
            <w:tcMar>
              <w:top w:w="15" w:type="dxa"/>
              <w:left w:w="108" w:type="dxa"/>
              <w:bottom w:w="15" w:type="dxa"/>
              <w:right w:w="108" w:type="dxa"/>
            </w:tcMar>
            <w:hideMark/>
          </w:tcPr>
          <w:p w:rsidR="00700D85" w:rsidRPr="00700D85" w:rsidP="00700D85" w14:paraId="5B6F4AFF" w14:textId="77777777">
            <w:r w:rsidRPr="00700D85">
              <w:t>564</w:t>
            </w:r>
          </w:p>
        </w:tc>
        <w:tc>
          <w:tcPr>
            <w:tcW w:w="1350" w:type="dxa"/>
            <w:tcMar>
              <w:top w:w="15" w:type="dxa"/>
              <w:left w:w="108" w:type="dxa"/>
              <w:bottom w:w="15" w:type="dxa"/>
              <w:right w:w="108" w:type="dxa"/>
            </w:tcMar>
            <w:hideMark/>
          </w:tcPr>
          <w:p w:rsidR="00700D85" w:rsidRPr="00700D85" w:rsidP="00700D85" w14:paraId="579CFACB" w14:textId="77777777">
            <w:r w:rsidRPr="00700D85">
              <w:t>0.03</w:t>
            </w:r>
          </w:p>
        </w:tc>
        <w:tc>
          <w:tcPr>
            <w:tcW w:w="1170" w:type="dxa"/>
            <w:tcMar>
              <w:top w:w="15" w:type="dxa"/>
              <w:left w:w="108" w:type="dxa"/>
              <w:bottom w:w="15" w:type="dxa"/>
              <w:right w:w="108" w:type="dxa"/>
            </w:tcMar>
            <w:hideMark/>
          </w:tcPr>
          <w:p w:rsidR="00700D85" w:rsidRPr="00700D85" w:rsidP="00700D85" w14:paraId="3C4E15A3" w14:textId="77777777">
            <w:r w:rsidRPr="00700D85">
              <w:t>16.92</w:t>
            </w:r>
          </w:p>
        </w:tc>
        <w:tc>
          <w:tcPr>
            <w:tcW w:w="1065" w:type="dxa"/>
            <w:vMerge w:val="restart"/>
            <w:tcMar>
              <w:top w:w="15" w:type="dxa"/>
              <w:left w:w="108" w:type="dxa"/>
              <w:bottom w:w="15" w:type="dxa"/>
              <w:right w:w="108" w:type="dxa"/>
            </w:tcMar>
            <w:hideMark/>
          </w:tcPr>
          <w:p w:rsidR="00700D85" w:rsidRPr="00700D85" w:rsidP="00700D85" w14:paraId="1AA0EA87" w14:textId="77777777">
            <w:r w:rsidRPr="00700D85">
              <w:t>345.42</w:t>
            </w:r>
          </w:p>
        </w:tc>
      </w:tr>
      <w:tr w14:paraId="5CD63BDB" w14:textId="77777777" w:rsidTr="00A93AE1">
        <w:tblPrEx>
          <w:tblW w:w="10515" w:type="dxa"/>
          <w:tblInd w:w="-635" w:type="dxa"/>
          <w:tblLayout w:type="fixed"/>
          <w:tblLook w:val="04A0"/>
        </w:tblPrEx>
        <w:trPr>
          <w:trHeight w:val="497"/>
        </w:trPr>
        <w:tc>
          <w:tcPr>
            <w:tcW w:w="1350" w:type="dxa"/>
            <w:vMerge/>
            <w:vAlign w:val="center"/>
            <w:hideMark/>
          </w:tcPr>
          <w:p w:rsidR="00700D85" w:rsidRPr="00700D85" w:rsidP="00700D85" w14:paraId="2902BC42" w14:textId="77777777"/>
        </w:tc>
        <w:tc>
          <w:tcPr>
            <w:tcW w:w="1350" w:type="dxa"/>
            <w:tcMar>
              <w:top w:w="15" w:type="dxa"/>
              <w:left w:w="108" w:type="dxa"/>
              <w:bottom w:w="15" w:type="dxa"/>
              <w:right w:w="108" w:type="dxa"/>
            </w:tcMar>
            <w:hideMark/>
          </w:tcPr>
          <w:p w:rsidR="00700D85" w:rsidRPr="00700D85" w:rsidP="00700D85" w14:paraId="68FD0A90" w14:textId="77777777">
            <w:r w:rsidRPr="00700D85">
              <w:t>Core</w:t>
            </w:r>
          </w:p>
        </w:tc>
        <w:tc>
          <w:tcPr>
            <w:tcW w:w="1530" w:type="dxa"/>
            <w:tcMar>
              <w:top w:w="15" w:type="dxa"/>
              <w:left w:w="108" w:type="dxa"/>
              <w:bottom w:w="15" w:type="dxa"/>
              <w:right w:w="108" w:type="dxa"/>
            </w:tcMar>
            <w:hideMark/>
          </w:tcPr>
          <w:p w:rsidR="00700D85" w:rsidRPr="00700D85" w:rsidP="00700D85" w14:paraId="4E8B274E" w14:textId="77777777">
            <w:r w:rsidRPr="00700D85">
              <w:t>450</w:t>
            </w:r>
          </w:p>
        </w:tc>
        <w:tc>
          <w:tcPr>
            <w:tcW w:w="1440" w:type="dxa"/>
            <w:tcMar>
              <w:top w:w="15" w:type="dxa"/>
              <w:left w:w="108" w:type="dxa"/>
              <w:bottom w:w="15" w:type="dxa"/>
              <w:right w:w="108" w:type="dxa"/>
            </w:tcMar>
            <w:hideMark/>
          </w:tcPr>
          <w:p w:rsidR="00700D85" w:rsidRPr="00700D85" w:rsidP="00700D85" w14:paraId="4B6FB1E1" w14:textId="77777777">
            <w:r w:rsidRPr="00700D85">
              <w:t>1</w:t>
            </w:r>
          </w:p>
        </w:tc>
        <w:tc>
          <w:tcPr>
            <w:tcW w:w="1260" w:type="dxa"/>
            <w:tcMar>
              <w:top w:w="15" w:type="dxa"/>
              <w:left w:w="108" w:type="dxa"/>
              <w:bottom w:w="15" w:type="dxa"/>
              <w:right w:w="108" w:type="dxa"/>
            </w:tcMar>
            <w:hideMark/>
          </w:tcPr>
          <w:p w:rsidR="00700D85" w:rsidRPr="00700D85" w:rsidP="00700D85" w14:paraId="1707D6B6" w14:textId="77777777">
            <w:r w:rsidRPr="00700D85">
              <w:t>450</w:t>
            </w:r>
          </w:p>
        </w:tc>
        <w:tc>
          <w:tcPr>
            <w:tcW w:w="1350" w:type="dxa"/>
            <w:tcMar>
              <w:top w:w="15" w:type="dxa"/>
              <w:left w:w="108" w:type="dxa"/>
              <w:bottom w:w="15" w:type="dxa"/>
              <w:right w:w="108" w:type="dxa"/>
            </w:tcMar>
            <w:hideMark/>
          </w:tcPr>
          <w:p w:rsidR="00700D85" w:rsidRPr="00700D85" w:rsidP="00700D85" w14:paraId="22C4D305" w14:textId="77777777">
            <w:r w:rsidRPr="00700D85">
              <w:t>0.73</w:t>
            </w:r>
          </w:p>
        </w:tc>
        <w:tc>
          <w:tcPr>
            <w:tcW w:w="1170" w:type="dxa"/>
            <w:tcMar>
              <w:top w:w="15" w:type="dxa"/>
              <w:left w:w="108" w:type="dxa"/>
              <w:bottom w:w="15" w:type="dxa"/>
              <w:right w:w="108" w:type="dxa"/>
            </w:tcMar>
            <w:hideMark/>
          </w:tcPr>
          <w:p w:rsidR="00700D85" w:rsidRPr="00700D85" w:rsidP="00700D85" w14:paraId="73E0248E" w14:textId="77777777">
            <w:r w:rsidRPr="00700D85">
              <w:t>328.50</w:t>
            </w:r>
          </w:p>
        </w:tc>
        <w:tc>
          <w:tcPr>
            <w:tcW w:w="1065" w:type="dxa"/>
            <w:vMerge/>
            <w:vAlign w:val="center"/>
            <w:hideMark/>
          </w:tcPr>
          <w:p w:rsidR="00700D85" w:rsidRPr="00700D85" w:rsidP="00700D85" w14:paraId="78E74F32" w14:textId="77777777"/>
        </w:tc>
      </w:tr>
      <w:tr w14:paraId="781EF7ED" w14:textId="77777777" w:rsidTr="00A93AE1">
        <w:tblPrEx>
          <w:tblW w:w="10515" w:type="dxa"/>
          <w:tblInd w:w="-635" w:type="dxa"/>
          <w:tblLayout w:type="fixed"/>
          <w:tblLook w:val="04A0"/>
        </w:tblPrEx>
        <w:trPr>
          <w:trHeight w:val="504"/>
        </w:trPr>
        <w:tc>
          <w:tcPr>
            <w:tcW w:w="1350" w:type="dxa"/>
            <w:vMerge w:val="restart"/>
            <w:tcMar>
              <w:top w:w="15" w:type="dxa"/>
              <w:left w:w="108" w:type="dxa"/>
              <w:bottom w:w="15" w:type="dxa"/>
              <w:right w:w="108" w:type="dxa"/>
            </w:tcMar>
            <w:hideMark/>
          </w:tcPr>
          <w:p w:rsidR="00700D85" w:rsidRPr="00700D85" w:rsidP="00700D85" w14:paraId="21C322CB" w14:textId="77777777">
            <w:r w:rsidRPr="00700D85">
              <w:t>Adults- Federated States of Micronesia</w:t>
            </w:r>
          </w:p>
        </w:tc>
        <w:tc>
          <w:tcPr>
            <w:tcW w:w="1350" w:type="dxa"/>
            <w:tcMar>
              <w:top w:w="15" w:type="dxa"/>
              <w:left w:w="108" w:type="dxa"/>
              <w:bottom w:w="15" w:type="dxa"/>
              <w:right w:w="108" w:type="dxa"/>
            </w:tcMar>
            <w:hideMark/>
          </w:tcPr>
          <w:p w:rsidR="00700D85" w:rsidRPr="00700D85" w:rsidP="00700D85" w14:paraId="561A7E3E" w14:textId="77777777">
            <w:r w:rsidRPr="00700D85">
              <w:t>Screener</w:t>
            </w:r>
          </w:p>
        </w:tc>
        <w:tc>
          <w:tcPr>
            <w:tcW w:w="1530" w:type="dxa"/>
            <w:tcMar>
              <w:top w:w="15" w:type="dxa"/>
              <w:left w:w="108" w:type="dxa"/>
              <w:bottom w:w="15" w:type="dxa"/>
              <w:right w:w="108" w:type="dxa"/>
            </w:tcMar>
            <w:hideMark/>
          </w:tcPr>
          <w:p w:rsidR="00700D85" w:rsidRPr="00700D85" w:rsidP="00700D85" w14:paraId="5169E8B7" w14:textId="77777777">
            <w:r w:rsidRPr="00700D85">
              <w:t>625</w:t>
            </w:r>
          </w:p>
        </w:tc>
        <w:tc>
          <w:tcPr>
            <w:tcW w:w="1440" w:type="dxa"/>
            <w:tcMar>
              <w:top w:w="15" w:type="dxa"/>
              <w:left w:w="108" w:type="dxa"/>
              <w:bottom w:w="15" w:type="dxa"/>
              <w:right w:w="108" w:type="dxa"/>
            </w:tcMar>
            <w:hideMark/>
          </w:tcPr>
          <w:p w:rsidR="00700D85" w:rsidRPr="00700D85" w:rsidP="00700D85" w14:paraId="6711864D" w14:textId="77777777">
            <w:r w:rsidRPr="00700D85">
              <w:t>1</w:t>
            </w:r>
          </w:p>
        </w:tc>
        <w:tc>
          <w:tcPr>
            <w:tcW w:w="1260" w:type="dxa"/>
            <w:tcMar>
              <w:top w:w="15" w:type="dxa"/>
              <w:left w:w="108" w:type="dxa"/>
              <w:bottom w:w="15" w:type="dxa"/>
              <w:right w:w="108" w:type="dxa"/>
            </w:tcMar>
            <w:hideMark/>
          </w:tcPr>
          <w:p w:rsidR="00700D85" w:rsidRPr="00700D85" w:rsidP="00700D85" w14:paraId="265A1F4D" w14:textId="77777777">
            <w:r w:rsidRPr="00700D85">
              <w:t>625</w:t>
            </w:r>
          </w:p>
        </w:tc>
        <w:tc>
          <w:tcPr>
            <w:tcW w:w="1350" w:type="dxa"/>
            <w:tcMar>
              <w:top w:w="15" w:type="dxa"/>
              <w:left w:w="108" w:type="dxa"/>
              <w:bottom w:w="15" w:type="dxa"/>
              <w:right w:w="108" w:type="dxa"/>
            </w:tcMar>
            <w:hideMark/>
          </w:tcPr>
          <w:p w:rsidR="00700D85" w:rsidRPr="00700D85" w:rsidP="00700D85" w14:paraId="6A6F92F4" w14:textId="77777777">
            <w:r w:rsidRPr="00700D85">
              <w:t>0.03</w:t>
            </w:r>
          </w:p>
        </w:tc>
        <w:tc>
          <w:tcPr>
            <w:tcW w:w="1170" w:type="dxa"/>
            <w:tcMar>
              <w:top w:w="15" w:type="dxa"/>
              <w:left w:w="108" w:type="dxa"/>
              <w:bottom w:w="15" w:type="dxa"/>
              <w:right w:w="108" w:type="dxa"/>
            </w:tcMar>
            <w:hideMark/>
          </w:tcPr>
          <w:p w:rsidR="00700D85" w:rsidRPr="00700D85" w:rsidP="00700D85" w14:paraId="55658D81" w14:textId="77777777">
            <w:r w:rsidRPr="00700D85">
              <w:t>18.75</w:t>
            </w:r>
          </w:p>
        </w:tc>
        <w:tc>
          <w:tcPr>
            <w:tcW w:w="1065" w:type="dxa"/>
            <w:vMerge w:val="restart"/>
            <w:tcMar>
              <w:top w:w="15" w:type="dxa"/>
              <w:left w:w="108" w:type="dxa"/>
              <w:bottom w:w="15" w:type="dxa"/>
              <w:right w:w="108" w:type="dxa"/>
            </w:tcMar>
            <w:hideMark/>
          </w:tcPr>
          <w:p w:rsidR="00700D85" w:rsidRPr="00700D85" w:rsidP="00700D85" w14:paraId="33F27929" w14:textId="77777777">
            <w:r w:rsidRPr="00700D85">
              <w:t>324.75</w:t>
            </w:r>
          </w:p>
        </w:tc>
      </w:tr>
      <w:tr w14:paraId="4640CBAF" w14:textId="77777777" w:rsidTr="00A93AE1">
        <w:tblPrEx>
          <w:tblW w:w="10515" w:type="dxa"/>
          <w:tblInd w:w="-635" w:type="dxa"/>
          <w:tblLayout w:type="fixed"/>
          <w:tblLook w:val="04A0"/>
        </w:tblPrEx>
        <w:trPr>
          <w:trHeight w:val="504"/>
        </w:trPr>
        <w:tc>
          <w:tcPr>
            <w:tcW w:w="1350" w:type="dxa"/>
            <w:vMerge/>
            <w:vAlign w:val="center"/>
            <w:hideMark/>
          </w:tcPr>
          <w:p w:rsidR="00700D85" w:rsidRPr="00700D85" w:rsidP="00700D85" w14:paraId="571A3DBA" w14:textId="77777777"/>
        </w:tc>
        <w:tc>
          <w:tcPr>
            <w:tcW w:w="1350" w:type="dxa"/>
            <w:tcMar>
              <w:top w:w="15" w:type="dxa"/>
              <w:left w:w="108" w:type="dxa"/>
              <w:bottom w:w="15" w:type="dxa"/>
              <w:right w:w="108" w:type="dxa"/>
            </w:tcMar>
            <w:hideMark/>
          </w:tcPr>
          <w:p w:rsidR="00700D85" w:rsidRPr="00700D85" w:rsidP="00700D85" w14:paraId="24BEE183" w14:textId="77777777">
            <w:r w:rsidRPr="00700D85">
              <w:t>Core</w:t>
            </w:r>
          </w:p>
        </w:tc>
        <w:tc>
          <w:tcPr>
            <w:tcW w:w="1530" w:type="dxa"/>
            <w:tcMar>
              <w:top w:w="15" w:type="dxa"/>
              <w:left w:w="108" w:type="dxa"/>
              <w:bottom w:w="15" w:type="dxa"/>
              <w:right w:w="108" w:type="dxa"/>
            </w:tcMar>
            <w:hideMark/>
          </w:tcPr>
          <w:p w:rsidR="00700D85" w:rsidRPr="00700D85" w:rsidP="00700D85" w14:paraId="49DE295E" w14:textId="77777777">
            <w:r w:rsidRPr="00700D85">
              <w:t>450</w:t>
            </w:r>
          </w:p>
        </w:tc>
        <w:tc>
          <w:tcPr>
            <w:tcW w:w="1440" w:type="dxa"/>
            <w:tcMar>
              <w:top w:w="15" w:type="dxa"/>
              <w:left w:w="108" w:type="dxa"/>
              <w:bottom w:w="15" w:type="dxa"/>
              <w:right w:w="108" w:type="dxa"/>
            </w:tcMar>
            <w:hideMark/>
          </w:tcPr>
          <w:p w:rsidR="00700D85" w:rsidRPr="00700D85" w:rsidP="00700D85" w14:paraId="6AE5DFA0" w14:textId="77777777">
            <w:r w:rsidRPr="00700D85">
              <w:t>1</w:t>
            </w:r>
          </w:p>
        </w:tc>
        <w:tc>
          <w:tcPr>
            <w:tcW w:w="1260" w:type="dxa"/>
            <w:tcMar>
              <w:top w:w="15" w:type="dxa"/>
              <w:left w:w="108" w:type="dxa"/>
              <w:bottom w:w="15" w:type="dxa"/>
              <w:right w:w="108" w:type="dxa"/>
            </w:tcMar>
            <w:hideMark/>
          </w:tcPr>
          <w:p w:rsidR="00700D85" w:rsidRPr="00700D85" w:rsidP="00700D85" w14:paraId="0FC0ED39" w14:textId="77777777">
            <w:r w:rsidRPr="00700D85">
              <w:t>450</w:t>
            </w:r>
          </w:p>
        </w:tc>
        <w:tc>
          <w:tcPr>
            <w:tcW w:w="1350" w:type="dxa"/>
            <w:tcMar>
              <w:top w:w="15" w:type="dxa"/>
              <w:left w:w="108" w:type="dxa"/>
              <w:bottom w:w="15" w:type="dxa"/>
              <w:right w:w="108" w:type="dxa"/>
            </w:tcMar>
            <w:hideMark/>
          </w:tcPr>
          <w:p w:rsidR="00700D85" w:rsidRPr="00700D85" w:rsidP="00700D85" w14:paraId="77594CFD" w14:textId="77777777">
            <w:r w:rsidRPr="00700D85">
              <w:t>0.68</w:t>
            </w:r>
          </w:p>
        </w:tc>
        <w:tc>
          <w:tcPr>
            <w:tcW w:w="1170" w:type="dxa"/>
            <w:tcMar>
              <w:top w:w="15" w:type="dxa"/>
              <w:left w:w="108" w:type="dxa"/>
              <w:bottom w:w="15" w:type="dxa"/>
              <w:right w:w="108" w:type="dxa"/>
            </w:tcMar>
            <w:hideMark/>
          </w:tcPr>
          <w:p w:rsidR="00700D85" w:rsidRPr="00700D85" w:rsidP="00700D85" w14:paraId="37EB8956" w14:textId="77777777">
            <w:r w:rsidRPr="00700D85">
              <w:t>306.00</w:t>
            </w:r>
          </w:p>
        </w:tc>
        <w:tc>
          <w:tcPr>
            <w:tcW w:w="1065" w:type="dxa"/>
            <w:vMerge/>
            <w:vAlign w:val="center"/>
            <w:hideMark/>
          </w:tcPr>
          <w:p w:rsidR="00700D85" w:rsidRPr="00700D85" w:rsidP="00700D85" w14:paraId="620072CB" w14:textId="77777777"/>
        </w:tc>
      </w:tr>
      <w:tr w14:paraId="0CDFA733" w14:textId="77777777" w:rsidTr="00A93AE1">
        <w:tblPrEx>
          <w:tblW w:w="10515" w:type="dxa"/>
          <w:tblInd w:w="-635" w:type="dxa"/>
          <w:tblLayout w:type="fixed"/>
          <w:tblLook w:val="04A0"/>
        </w:tblPrEx>
        <w:trPr>
          <w:trHeight w:val="504"/>
        </w:trPr>
        <w:tc>
          <w:tcPr>
            <w:tcW w:w="1350" w:type="dxa"/>
            <w:vMerge w:val="restart"/>
            <w:tcMar>
              <w:top w:w="15" w:type="dxa"/>
              <w:left w:w="108" w:type="dxa"/>
              <w:bottom w:w="15" w:type="dxa"/>
              <w:right w:w="108" w:type="dxa"/>
            </w:tcMar>
            <w:hideMark/>
          </w:tcPr>
          <w:p w:rsidR="00700D85" w:rsidRPr="00700D85" w:rsidP="00700D85" w14:paraId="3ED2CEAB" w14:textId="77777777">
            <w:r w:rsidRPr="00700D85">
              <w:t>Adults- Republic of the Marshall Islands</w:t>
            </w:r>
          </w:p>
        </w:tc>
        <w:tc>
          <w:tcPr>
            <w:tcW w:w="1350" w:type="dxa"/>
            <w:tcMar>
              <w:top w:w="15" w:type="dxa"/>
              <w:left w:w="108" w:type="dxa"/>
              <w:bottom w:w="15" w:type="dxa"/>
              <w:right w:w="108" w:type="dxa"/>
            </w:tcMar>
            <w:hideMark/>
          </w:tcPr>
          <w:p w:rsidR="00700D85" w:rsidRPr="00700D85" w:rsidP="00700D85" w14:paraId="384F44A6" w14:textId="77777777">
            <w:r w:rsidRPr="00700D85">
              <w:t>Screener</w:t>
            </w:r>
          </w:p>
        </w:tc>
        <w:tc>
          <w:tcPr>
            <w:tcW w:w="1530" w:type="dxa"/>
            <w:tcMar>
              <w:top w:w="15" w:type="dxa"/>
              <w:left w:w="108" w:type="dxa"/>
              <w:bottom w:w="15" w:type="dxa"/>
              <w:right w:w="108" w:type="dxa"/>
            </w:tcMar>
            <w:hideMark/>
          </w:tcPr>
          <w:p w:rsidR="00700D85" w:rsidRPr="00700D85" w:rsidP="00700D85" w14:paraId="54095591" w14:textId="77777777">
            <w:r w:rsidRPr="00700D85">
              <w:t>360</w:t>
            </w:r>
          </w:p>
        </w:tc>
        <w:tc>
          <w:tcPr>
            <w:tcW w:w="1440" w:type="dxa"/>
            <w:tcMar>
              <w:top w:w="15" w:type="dxa"/>
              <w:left w:w="108" w:type="dxa"/>
              <w:bottom w:w="15" w:type="dxa"/>
              <w:right w:w="108" w:type="dxa"/>
            </w:tcMar>
            <w:hideMark/>
          </w:tcPr>
          <w:p w:rsidR="00700D85" w:rsidRPr="00700D85" w:rsidP="00700D85" w14:paraId="05247D89" w14:textId="77777777">
            <w:r w:rsidRPr="00700D85">
              <w:t>1</w:t>
            </w:r>
          </w:p>
        </w:tc>
        <w:tc>
          <w:tcPr>
            <w:tcW w:w="1260" w:type="dxa"/>
            <w:tcMar>
              <w:top w:w="15" w:type="dxa"/>
              <w:left w:w="108" w:type="dxa"/>
              <w:bottom w:w="15" w:type="dxa"/>
              <w:right w:w="108" w:type="dxa"/>
            </w:tcMar>
            <w:hideMark/>
          </w:tcPr>
          <w:p w:rsidR="00700D85" w:rsidRPr="00700D85" w:rsidP="00700D85" w14:paraId="63F0ACC9" w14:textId="77777777">
            <w:r w:rsidRPr="00700D85">
              <w:t>360</w:t>
            </w:r>
          </w:p>
        </w:tc>
        <w:tc>
          <w:tcPr>
            <w:tcW w:w="1350" w:type="dxa"/>
            <w:tcMar>
              <w:top w:w="15" w:type="dxa"/>
              <w:left w:w="108" w:type="dxa"/>
              <w:bottom w:w="15" w:type="dxa"/>
              <w:right w:w="108" w:type="dxa"/>
            </w:tcMar>
            <w:hideMark/>
          </w:tcPr>
          <w:p w:rsidR="00700D85" w:rsidRPr="00700D85" w:rsidP="00700D85" w14:paraId="232187D1" w14:textId="77777777">
            <w:r w:rsidRPr="00700D85">
              <w:t>0.03</w:t>
            </w:r>
          </w:p>
        </w:tc>
        <w:tc>
          <w:tcPr>
            <w:tcW w:w="1170" w:type="dxa"/>
            <w:tcMar>
              <w:top w:w="15" w:type="dxa"/>
              <w:left w:w="108" w:type="dxa"/>
              <w:bottom w:w="15" w:type="dxa"/>
              <w:right w:w="108" w:type="dxa"/>
            </w:tcMar>
            <w:hideMark/>
          </w:tcPr>
          <w:p w:rsidR="00700D85" w:rsidRPr="00700D85" w:rsidP="00700D85" w14:paraId="58642CE0" w14:textId="77777777">
            <w:r w:rsidRPr="00700D85">
              <w:t>10.80</w:t>
            </w:r>
          </w:p>
        </w:tc>
        <w:tc>
          <w:tcPr>
            <w:tcW w:w="1065" w:type="dxa"/>
            <w:vMerge w:val="restart"/>
            <w:tcMar>
              <w:top w:w="15" w:type="dxa"/>
              <w:left w:w="108" w:type="dxa"/>
              <w:bottom w:w="15" w:type="dxa"/>
              <w:right w:w="108" w:type="dxa"/>
            </w:tcMar>
            <w:hideMark/>
          </w:tcPr>
          <w:p w:rsidR="00700D85" w:rsidRPr="00700D85" w:rsidP="00700D85" w14:paraId="161A5FF3" w14:textId="77777777">
            <w:r w:rsidRPr="00700D85">
              <w:t>205.80</w:t>
            </w:r>
          </w:p>
        </w:tc>
      </w:tr>
      <w:tr w14:paraId="44FA8AB1" w14:textId="77777777" w:rsidTr="00A93AE1">
        <w:tblPrEx>
          <w:tblW w:w="10515" w:type="dxa"/>
          <w:tblInd w:w="-635" w:type="dxa"/>
          <w:tblLayout w:type="fixed"/>
          <w:tblLook w:val="04A0"/>
        </w:tblPrEx>
        <w:trPr>
          <w:trHeight w:val="504"/>
        </w:trPr>
        <w:tc>
          <w:tcPr>
            <w:tcW w:w="1350" w:type="dxa"/>
            <w:vMerge/>
            <w:vAlign w:val="center"/>
            <w:hideMark/>
          </w:tcPr>
          <w:p w:rsidR="00700D85" w:rsidRPr="00700D85" w:rsidP="00700D85" w14:paraId="7B1E12A9" w14:textId="77777777"/>
        </w:tc>
        <w:tc>
          <w:tcPr>
            <w:tcW w:w="1350" w:type="dxa"/>
            <w:tcMar>
              <w:top w:w="15" w:type="dxa"/>
              <w:left w:w="108" w:type="dxa"/>
              <w:bottom w:w="15" w:type="dxa"/>
              <w:right w:w="108" w:type="dxa"/>
            </w:tcMar>
            <w:hideMark/>
          </w:tcPr>
          <w:p w:rsidR="00700D85" w:rsidRPr="00700D85" w:rsidP="00700D85" w14:paraId="4BBED401" w14:textId="77777777">
            <w:r w:rsidRPr="00700D85">
              <w:t>Core</w:t>
            </w:r>
          </w:p>
        </w:tc>
        <w:tc>
          <w:tcPr>
            <w:tcW w:w="1530" w:type="dxa"/>
            <w:tcMar>
              <w:top w:w="15" w:type="dxa"/>
              <w:left w:w="108" w:type="dxa"/>
              <w:bottom w:w="15" w:type="dxa"/>
              <w:right w:w="108" w:type="dxa"/>
            </w:tcMar>
            <w:hideMark/>
          </w:tcPr>
          <w:p w:rsidR="00700D85" w:rsidRPr="00700D85" w:rsidP="00700D85" w14:paraId="72D818E1" w14:textId="77777777">
            <w:r w:rsidRPr="00700D85">
              <w:t>300</w:t>
            </w:r>
          </w:p>
        </w:tc>
        <w:tc>
          <w:tcPr>
            <w:tcW w:w="1440" w:type="dxa"/>
            <w:tcMar>
              <w:top w:w="15" w:type="dxa"/>
              <w:left w:w="108" w:type="dxa"/>
              <w:bottom w:w="15" w:type="dxa"/>
              <w:right w:w="108" w:type="dxa"/>
            </w:tcMar>
            <w:hideMark/>
          </w:tcPr>
          <w:p w:rsidR="00700D85" w:rsidRPr="00700D85" w:rsidP="00700D85" w14:paraId="673F6CDE" w14:textId="77777777">
            <w:r w:rsidRPr="00700D85">
              <w:t>1</w:t>
            </w:r>
          </w:p>
        </w:tc>
        <w:tc>
          <w:tcPr>
            <w:tcW w:w="1260" w:type="dxa"/>
            <w:tcMar>
              <w:top w:w="15" w:type="dxa"/>
              <w:left w:w="108" w:type="dxa"/>
              <w:bottom w:w="15" w:type="dxa"/>
              <w:right w:w="108" w:type="dxa"/>
            </w:tcMar>
            <w:hideMark/>
          </w:tcPr>
          <w:p w:rsidR="00700D85" w:rsidRPr="00700D85" w:rsidP="00700D85" w14:paraId="074067AE" w14:textId="77777777">
            <w:r w:rsidRPr="00700D85">
              <w:t>300</w:t>
            </w:r>
          </w:p>
        </w:tc>
        <w:tc>
          <w:tcPr>
            <w:tcW w:w="1350" w:type="dxa"/>
            <w:tcMar>
              <w:top w:w="15" w:type="dxa"/>
              <w:left w:w="108" w:type="dxa"/>
              <w:bottom w:w="15" w:type="dxa"/>
              <w:right w:w="108" w:type="dxa"/>
            </w:tcMar>
            <w:hideMark/>
          </w:tcPr>
          <w:p w:rsidR="00700D85" w:rsidRPr="00700D85" w:rsidP="00700D85" w14:paraId="4CD62852" w14:textId="77777777">
            <w:r w:rsidRPr="00700D85">
              <w:t>0.65</w:t>
            </w:r>
          </w:p>
        </w:tc>
        <w:tc>
          <w:tcPr>
            <w:tcW w:w="1170" w:type="dxa"/>
            <w:tcMar>
              <w:top w:w="15" w:type="dxa"/>
              <w:left w:w="108" w:type="dxa"/>
              <w:bottom w:w="15" w:type="dxa"/>
              <w:right w:w="108" w:type="dxa"/>
            </w:tcMar>
            <w:hideMark/>
          </w:tcPr>
          <w:p w:rsidR="00700D85" w:rsidRPr="00700D85" w:rsidP="00700D85" w14:paraId="4ED5AEC6" w14:textId="77777777">
            <w:r w:rsidRPr="00700D85">
              <w:t>195.00</w:t>
            </w:r>
          </w:p>
        </w:tc>
        <w:tc>
          <w:tcPr>
            <w:tcW w:w="1065" w:type="dxa"/>
            <w:vMerge/>
            <w:vAlign w:val="center"/>
            <w:hideMark/>
          </w:tcPr>
          <w:p w:rsidR="00700D85" w:rsidRPr="00700D85" w:rsidP="00700D85" w14:paraId="769ECBBA" w14:textId="77777777"/>
        </w:tc>
      </w:tr>
      <w:tr w14:paraId="360841BF" w14:textId="77777777" w:rsidTr="00A93AE1">
        <w:tblPrEx>
          <w:tblW w:w="10515" w:type="dxa"/>
          <w:tblInd w:w="-635" w:type="dxa"/>
          <w:tblLayout w:type="fixed"/>
          <w:tblLook w:val="04A0"/>
        </w:tblPrEx>
        <w:trPr>
          <w:trHeight w:val="794"/>
        </w:trPr>
        <w:tc>
          <w:tcPr>
            <w:tcW w:w="1350" w:type="dxa"/>
            <w:vMerge w:val="restart"/>
            <w:tcMar>
              <w:top w:w="15" w:type="dxa"/>
              <w:left w:w="108" w:type="dxa"/>
              <w:bottom w:w="15" w:type="dxa"/>
              <w:right w:w="108" w:type="dxa"/>
            </w:tcMar>
            <w:hideMark/>
          </w:tcPr>
          <w:p w:rsidR="00700D85" w:rsidRPr="00700D85" w:rsidP="00700D85" w14:paraId="5AA78656" w14:textId="77777777">
            <w:r w:rsidRPr="00700D85">
              <w:t>Adults- Commonwealth of the Northern Mariana Islands</w:t>
            </w:r>
          </w:p>
        </w:tc>
        <w:tc>
          <w:tcPr>
            <w:tcW w:w="1350" w:type="dxa"/>
            <w:tcMar>
              <w:top w:w="15" w:type="dxa"/>
              <w:left w:w="108" w:type="dxa"/>
              <w:bottom w:w="15" w:type="dxa"/>
              <w:right w:w="108" w:type="dxa"/>
            </w:tcMar>
            <w:hideMark/>
          </w:tcPr>
          <w:p w:rsidR="00700D85" w:rsidRPr="00700D85" w:rsidP="00700D85" w14:paraId="67D96981" w14:textId="77777777">
            <w:r w:rsidRPr="00700D85">
              <w:t>Screener</w:t>
            </w:r>
          </w:p>
        </w:tc>
        <w:tc>
          <w:tcPr>
            <w:tcW w:w="1530" w:type="dxa"/>
            <w:tcMar>
              <w:top w:w="15" w:type="dxa"/>
              <w:left w:w="108" w:type="dxa"/>
              <w:bottom w:w="15" w:type="dxa"/>
              <w:right w:w="108" w:type="dxa"/>
            </w:tcMar>
            <w:hideMark/>
          </w:tcPr>
          <w:p w:rsidR="00700D85" w:rsidRPr="00700D85" w:rsidP="00700D85" w14:paraId="1AB17905" w14:textId="77777777">
            <w:r w:rsidRPr="00700D85">
              <w:t>670</w:t>
            </w:r>
          </w:p>
        </w:tc>
        <w:tc>
          <w:tcPr>
            <w:tcW w:w="1440" w:type="dxa"/>
            <w:tcMar>
              <w:top w:w="15" w:type="dxa"/>
              <w:left w:w="108" w:type="dxa"/>
              <w:bottom w:w="15" w:type="dxa"/>
              <w:right w:w="108" w:type="dxa"/>
            </w:tcMar>
            <w:hideMark/>
          </w:tcPr>
          <w:p w:rsidR="00700D85" w:rsidRPr="00700D85" w:rsidP="00700D85" w14:paraId="257C71A9" w14:textId="77777777">
            <w:r w:rsidRPr="00700D85">
              <w:t>1</w:t>
            </w:r>
          </w:p>
        </w:tc>
        <w:tc>
          <w:tcPr>
            <w:tcW w:w="1260" w:type="dxa"/>
            <w:tcMar>
              <w:top w:w="15" w:type="dxa"/>
              <w:left w:w="108" w:type="dxa"/>
              <w:bottom w:w="15" w:type="dxa"/>
              <w:right w:w="108" w:type="dxa"/>
            </w:tcMar>
            <w:hideMark/>
          </w:tcPr>
          <w:p w:rsidR="00700D85" w:rsidRPr="00700D85" w:rsidP="00700D85" w14:paraId="322126C1" w14:textId="77777777">
            <w:r w:rsidRPr="00700D85">
              <w:t>670</w:t>
            </w:r>
          </w:p>
        </w:tc>
        <w:tc>
          <w:tcPr>
            <w:tcW w:w="1350" w:type="dxa"/>
            <w:tcMar>
              <w:top w:w="15" w:type="dxa"/>
              <w:left w:w="108" w:type="dxa"/>
              <w:bottom w:w="15" w:type="dxa"/>
              <w:right w:w="108" w:type="dxa"/>
            </w:tcMar>
            <w:hideMark/>
          </w:tcPr>
          <w:p w:rsidR="00700D85" w:rsidRPr="00700D85" w:rsidP="00700D85" w14:paraId="3CD88318" w14:textId="77777777">
            <w:r w:rsidRPr="00700D85">
              <w:t>0.03</w:t>
            </w:r>
          </w:p>
        </w:tc>
        <w:tc>
          <w:tcPr>
            <w:tcW w:w="1170" w:type="dxa"/>
            <w:tcMar>
              <w:top w:w="15" w:type="dxa"/>
              <w:left w:w="108" w:type="dxa"/>
              <w:bottom w:w="15" w:type="dxa"/>
              <w:right w:w="108" w:type="dxa"/>
            </w:tcMar>
            <w:hideMark/>
          </w:tcPr>
          <w:p w:rsidR="00700D85" w:rsidRPr="00700D85" w:rsidP="00700D85" w14:paraId="592A0669" w14:textId="77777777">
            <w:r w:rsidRPr="00700D85">
              <w:t>20.10</w:t>
            </w:r>
          </w:p>
        </w:tc>
        <w:tc>
          <w:tcPr>
            <w:tcW w:w="1065" w:type="dxa"/>
            <w:vMerge w:val="restart"/>
            <w:tcMar>
              <w:top w:w="15" w:type="dxa"/>
              <w:left w:w="108" w:type="dxa"/>
              <w:bottom w:w="15" w:type="dxa"/>
              <w:right w:w="108" w:type="dxa"/>
            </w:tcMar>
            <w:hideMark/>
          </w:tcPr>
          <w:p w:rsidR="00700D85" w:rsidRPr="00700D85" w:rsidP="00700D85" w14:paraId="3C44CA0E" w14:textId="77777777">
            <w:r w:rsidRPr="00700D85">
              <w:t>395.10</w:t>
            </w:r>
          </w:p>
        </w:tc>
      </w:tr>
      <w:tr w14:paraId="1B609EA2" w14:textId="77777777" w:rsidTr="00A93AE1">
        <w:tblPrEx>
          <w:tblW w:w="10515" w:type="dxa"/>
          <w:tblInd w:w="-635" w:type="dxa"/>
          <w:tblLayout w:type="fixed"/>
          <w:tblLook w:val="04A0"/>
        </w:tblPrEx>
        <w:trPr>
          <w:trHeight w:val="504"/>
        </w:trPr>
        <w:tc>
          <w:tcPr>
            <w:tcW w:w="1350" w:type="dxa"/>
            <w:vMerge/>
            <w:vAlign w:val="center"/>
            <w:hideMark/>
          </w:tcPr>
          <w:p w:rsidR="00700D85" w:rsidRPr="00700D85" w:rsidP="00700D85" w14:paraId="75CEFAE0" w14:textId="77777777"/>
        </w:tc>
        <w:tc>
          <w:tcPr>
            <w:tcW w:w="1350" w:type="dxa"/>
            <w:tcMar>
              <w:top w:w="15" w:type="dxa"/>
              <w:left w:w="108" w:type="dxa"/>
              <w:bottom w:w="15" w:type="dxa"/>
              <w:right w:w="108" w:type="dxa"/>
            </w:tcMar>
            <w:hideMark/>
          </w:tcPr>
          <w:p w:rsidR="00700D85" w:rsidRPr="00700D85" w:rsidP="00700D85" w14:paraId="207B4FF3" w14:textId="77777777">
            <w:r w:rsidRPr="00700D85">
              <w:t>Core</w:t>
            </w:r>
          </w:p>
        </w:tc>
        <w:tc>
          <w:tcPr>
            <w:tcW w:w="1530" w:type="dxa"/>
            <w:tcMar>
              <w:top w:w="15" w:type="dxa"/>
              <w:left w:w="108" w:type="dxa"/>
              <w:bottom w:w="15" w:type="dxa"/>
              <w:right w:w="108" w:type="dxa"/>
            </w:tcMar>
            <w:hideMark/>
          </w:tcPr>
          <w:p w:rsidR="00700D85" w:rsidRPr="00700D85" w:rsidP="00700D85" w14:paraId="35B6D866" w14:textId="77777777">
            <w:r w:rsidRPr="00700D85">
              <w:t>500</w:t>
            </w:r>
          </w:p>
        </w:tc>
        <w:tc>
          <w:tcPr>
            <w:tcW w:w="1440" w:type="dxa"/>
            <w:tcMar>
              <w:top w:w="15" w:type="dxa"/>
              <w:left w:w="108" w:type="dxa"/>
              <w:bottom w:w="15" w:type="dxa"/>
              <w:right w:w="108" w:type="dxa"/>
            </w:tcMar>
            <w:hideMark/>
          </w:tcPr>
          <w:p w:rsidR="00700D85" w:rsidRPr="00700D85" w:rsidP="00700D85" w14:paraId="42988098" w14:textId="77777777">
            <w:r w:rsidRPr="00700D85">
              <w:t>1</w:t>
            </w:r>
          </w:p>
        </w:tc>
        <w:tc>
          <w:tcPr>
            <w:tcW w:w="1260" w:type="dxa"/>
            <w:tcMar>
              <w:top w:w="15" w:type="dxa"/>
              <w:left w:w="108" w:type="dxa"/>
              <w:bottom w:w="15" w:type="dxa"/>
              <w:right w:w="108" w:type="dxa"/>
            </w:tcMar>
            <w:hideMark/>
          </w:tcPr>
          <w:p w:rsidR="00700D85" w:rsidRPr="00700D85" w:rsidP="00700D85" w14:paraId="6F8A2241" w14:textId="77777777">
            <w:r w:rsidRPr="00700D85">
              <w:t>500</w:t>
            </w:r>
          </w:p>
        </w:tc>
        <w:tc>
          <w:tcPr>
            <w:tcW w:w="1350" w:type="dxa"/>
            <w:tcMar>
              <w:top w:w="15" w:type="dxa"/>
              <w:left w:w="108" w:type="dxa"/>
              <w:bottom w:w="15" w:type="dxa"/>
              <w:right w:w="108" w:type="dxa"/>
            </w:tcMar>
            <w:hideMark/>
          </w:tcPr>
          <w:p w:rsidR="00700D85" w:rsidRPr="00700D85" w:rsidP="00700D85" w14:paraId="21510C0E" w14:textId="77777777">
            <w:r w:rsidRPr="00700D85">
              <w:t>0.75</w:t>
            </w:r>
          </w:p>
        </w:tc>
        <w:tc>
          <w:tcPr>
            <w:tcW w:w="1170" w:type="dxa"/>
            <w:tcMar>
              <w:top w:w="15" w:type="dxa"/>
              <w:left w:w="108" w:type="dxa"/>
              <w:bottom w:w="15" w:type="dxa"/>
              <w:right w:w="108" w:type="dxa"/>
            </w:tcMar>
            <w:hideMark/>
          </w:tcPr>
          <w:p w:rsidR="00700D85" w:rsidRPr="00700D85" w:rsidP="00700D85" w14:paraId="3D48330D" w14:textId="77777777">
            <w:r w:rsidRPr="00700D85">
              <w:t>375</w:t>
            </w:r>
          </w:p>
        </w:tc>
        <w:tc>
          <w:tcPr>
            <w:tcW w:w="1065" w:type="dxa"/>
            <w:vMerge/>
            <w:vAlign w:val="center"/>
            <w:hideMark/>
          </w:tcPr>
          <w:p w:rsidR="00700D85" w:rsidRPr="00700D85" w:rsidP="00700D85" w14:paraId="15DB5BE2" w14:textId="77777777"/>
        </w:tc>
      </w:tr>
      <w:tr w14:paraId="10ADD895" w14:textId="77777777" w:rsidTr="00A93AE1">
        <w:tblPrEx>
          <w:tblW w:w="10515" w:type="dxa"/>
          <w:tblInd w:w="-635" w:type="dxa"/>
          <w:tblLayout w:type="fixed"/>
          <w:tblLook w:val="04A0"/>
        </w:tblPrEx>
        <w:trPr>
          <w:trHeight w:val="452"/>
        </w:trPr>
        <w:tc>
          <w:tcPr>
            <w:tcW w:w="1350" w:type="dxa"/>
            <w:vMerge w:val="restart"/>
            <w:tcMar>
              <w:top w:w="15" w:type="dxa"/>
              <w:left w:w="108" w:type="dxa"/>
              <w:bottom w:w="15" w:type="dxa"/>
              <w:right w:w="108" w:type="dxa"/>
            </w:tcMar>
            <w:hideMark/>
          </w:tcPr>
          <w:p w:rsidR="00700D85" w:rsidRPr="00700D85" w:rsidP="00700D85" w14:paraId="64B262CC" w14:textId="77777777">
            <w:r w:rsidRPr="00700D85">
              <w:t>Adults- Republic of Palau</w:t>
            </w:r>
          </w:p>
        </w:tc>
        <w:tc>
          <w:tcPr>
            <w:tcW w:w="1350" w:type="dxa"/>
            <w:tcMar>
              <w:top w:w="15" w:type="dxa"/>
              <w:left w:w="108" w:type="dxa"/>
              <w:bottom w:w="15" w:type="dxa"/>
              <w:right w:w="108" w:type="dxa"/>
            </w:tcMar>
            <w:hideMark/>
          </w:tcPr>
          <w:p w:rsidR="00700D85" w:rsidRPr="00700D85" w:rsidP="00700D85" w14:paraId="2A8523EC" w14:textId="77777777">
            <w:r w:rsidRPr="00700D85">
              <w:t>Screener</w:t>
            </w:r>
          </w:p>
        </w:tc>
        <w:tc>
          <w:tcPr>
            <w:tcW w:w="1530" w:type="dxa"/>
            <w:tcMar>
              <w:top w:w="15" w:type="dxa"/>
              <w:left w:w="108" w:type="dxa"/>
              <w:bottom w:w="15" w:type="dxa"/>
              <w:right w:w="108" w:type="dxa"/>
            </w:tcMar>
            <w:hideMark/>
          </w:tcPr>
          <w:p w:rsidR="00700D85" w:rsidRPr="00700D85" w:rsidP="00700D85" w14:paraId="50BFD938" w14:textId="77777777">
            <w:r w:rsidRPr="00700D85">
              <w:t>285</w:t>
            </w:r>
          </w:p>
        </w:tc>
        <w:tc>
          <w:tcPr>
            <w:tcW w:w="1440" w:type="dxa"/>
            <w:tcMar>
              <w:top w:w="15" w:type="dxa"/>
              <w:left w:w="108" w:type="dxa"/>
              <w:bottom w:w="15" w:type="dxa"/>
              <w:right w:w="108" w:type="dxa"/>
            </w:tcMar>
            <w:hideMark/>
          </w:tcPr>
          <w:p w:rsidR="00700D85" w:rsidRPr="00700D85" w:rsidP="00700D85" w14:paraId="6AFD13EE" w14:textId="77777777">
            <w:r w:rsidRPr="00700D85">
              <w:t>1</w:t>
            </w:r>
          </w:p>
        </w:tc>
        <w:tc>
          <w:tcPr>
            <w:tcW w:w="1260" w:type="dxa"/>
            <w:tcMar>
              <w:top w:w="15" w:type="dxa"/>
              <w:left w:w="108" w:type="dxa"/>
              <w:bottom w:w="15" w:type="dxa"/>
              <w:right w:w="108" w:type="dxa"/>
            </w:tcMar>
            <w:hideMark/>
          </w:tcPr>
          <w:p w:rsidR="00700D85" w:rsidRPr="00700D85" w:rsidP="00700D85" w14:paraId="09F28275" w14:textId="77777777">
            <w:r w:rsidRPr="00700D85">
              <w:t>285</w:t>
            </w:r>
          </w:p>
        </w:tc>
        <w:tc>
          <w:tcPr>
            <w:tcW w:w="1350" w:type="dxa"/>
            <w:tcMar>
              <w:top w:w="15" w:type="dxa"/>
              <w:left w:w="108" w:type="dxa"/>
              <w:bottom w:w="15" w:type="dxa"/>
              <w:right w:w="108" w:type="dxa"/>
            </w:tcMar>
            <w:hideMark/>
          </w:tcPr>
          <w:p w:rsidR="00700D85" w:rsidRPr="00700D85" w:rsidP="00700D85" w14:paraId="378372AF" w14:textId="77777777">
            <w:r w:rsidRPr="00700D85">
              <w:t>0.03</w:t>
            </w:r>
          </w:p>
        </w:tc>
        <w:tc>
          <w:tcPr>
            <w:tcW w:w="1170" w:type="dxa"/>
            <w:tcMar>
              <w:top w:w="15" w:type="dxa"/>
              <w:left w:w="108" w:type="dxa"/>
              <w:bottom w:w="15" w:type="dxa"/>
              <w:right w:w="108" w:type="dxa"/>
            </w:tcMar>
            <w:hideMark/>
          </w:tcPr>
          <w:p w:rsidR="00700D85" w:rsidRPr="00700D85" w:rsidP="00700D85" w14:paraId="48D3758C" w14:textId="77777777">
            <w:r w:rsidRPr="00700D85">
              <w:t>8.55</w:t>
            </w:r>
          </w:p>
        </w:tc>
        <w:tc>
          <w:tcPr>
            <w:tcW w:w="1065" w:type="dxa"/>
            <w:vMerge w:val="restart"/>
            <w:tcMar>
              <w:top w:w="15" w:type="dxa"/>
              <w:left w:w="108" w:type="dxa"/>
              <w:bottom w:w="15" w:type="dxa"/>
              <w:right w:w="108" w:type="dxa"/>
            </w:tcMar>
            <w:hideMark/>
          </w:tcPr>
          <w:p w:rsidR="00700D85" w:rsidRPr="00700D85" w:rsidP="00700D85" w14:paraId="73514AC2" w14:textId="77777777">
            <w:r w:rsidRPr="00700D85">
              <w:t>183.55</w:t>
            </w:r>
          </w:p>
        </w:tc>
      </w:tr>
      <w:tr w14:paraId="4F8117AB" w14:textId="77777777" w:rsidTr="00A93AE1">
        <w:tblPrEx>
          <w:tblW w:w="10515" w:type="dxa"/>
          <w:tblInd w:w="-635" w:type="dxa"/>
          <w:tblLayout w:type="fixed"/>
          <w:tblLook w:val="04A0"/>
        </w:tblPrEx>
        <w:trPr>
          <w:trHeight w:val="200"/>
        </w:trPr>
        <w:tc>
          <w:tcPr>
            <w:tcW w:w="1350" w:type="dxa"/>
            <w:vMerge/>
            <w:vAlign w:val="center"/>
            <w:hideMark/>
          </w:tcPr>
          <w:p w:rsidR="00700D85" w:rsidRPr="00700D85" w:rsidP="00700D85" w14:paraId="785A9960" w14:textId="77777777"/>
        </w:tc>
        <w:tc>
          <w:tcPr>
            <w:tcW w:w="1350" w:type="dxa"/>
            <w:tcMar>
              <w:top w:w="15" w:type="dxa"/>
              <w:left w:w="108" w:type="dxa"/>
              <w:bottom w:w="15" w:type="dxa"/>
              <w:right w:w="108" w:type="dxa"/>
            </w:tcMar>
            <w:hideMark/>
          </w:tcPr>
          <w:p w:rsidR="00700D85" w:rsidRPr="00700D85" w:rsidP="00700D85" w14:paraId="46BB027E" w14:textId="77777777">
            <w:r w:rsidRPr="00700D85">
              <w:t>Core</w:t>
            </w:r>
          </w:p>
        </w:tc>
        <w:tc>
          <w:tcPr>
            <w:tcW w:w="1530" w:type="dxa"/>
            <w:tcMar>
              <w:top w:w="15" w:type="dxa"/>
              <w:left w:w="108" w:type="dxa"/>
              <w:bottom w:w="15" w:type="dxa"/>
              <w:right w:w="108" w:type="dxa"/>
            </w:tcMar>
            <w:hideMark/>
          </w:tcPr>
          <w:p w:rsidR="00700D85" w:rsidRPr="00700D85" w:rsidP="00700D85" w14:paraId="0F5B771D" w14:textId="77777777">
            <w:r w:rsidRPr="00700D85">
              <w:t>250</w:t>
            </w:r>
          </w:p>
        </w:tc>
        <w:tc>
          <w:tcPr>
            <w:tcW w:w="1440" w:type="dxa"/>
            <w:tcMar>
              <w:top w:w="15" w:type="dxa"/>
              <w:left w:w="108" w:type="dxa"/>
              <w:bottom w:w="15" w:type="dxa"/>
              <w:right w:w="108" w:type="dxa"/>
            </w:tcMar>
            <w:hideMark/>
          </w:tcPr>
          <w:p w:rsidR="00700D85" w:rsidRPr="00700D85" w:rsidP="00700D85" w14:paraId="42F5571F" w14:textId="77777777">
            <w:r w:rsidRPr="00700D85">
              <w:t>1</w:t>
            </w:r>
          </w:p>
        </w:tc>
        <w:tc>
          <w:tcPr>
            <w:tcW w:w="1260" w:type="dxa"/>
            <w:tcMar>
              <w:top w:w="15" w:type="dxa"/>
              <w:left w:w="108" w:type="dxa"/>
              <w:bottom w:w="15" w:type="dxa"/>
              <w:right w:w="108" w:type="dxa"/>
            </w:tcMar>
            <w:hideMark/>
          </w:tcPr>
          <w:p w:rsidR="00700D85" w:rsidRPr="00700D85" w:rsidP="00700D85" w14:paraId="591C13F5" w14:textId="77777777">
            <w:r w:rsidRPr="00700D85">
              <w:t>250</w:t>
            </w:r>
          </w:p>
        </w:tc>
        <w:tc>
          <w:tcPr>
            <w:tcW w:w="1350" w:type="dxa"/>
            <w:tcMar>
              <w:top w:w="15" w:type="dxa"/>
              <w:left w:w="108" w:type="dxa"/>
              <w:bottom w:w="15" w:type="dxa"/>
              <w:right w:w="108" w:type="dxa"/>
            </w:tcMar>
            <w:hideMark/>
          </w:tcPr>
          <w:p w:rsidR="00700D85" w:rsidRPr="00700D85" w:rsidP="00700D85" w14:paraId="253673B9" w14:textId="77777777">
            <w:r w:rsidRPr="00700D85">
              <w:t>0.70</w:t>
            </w:r>
          </w:p>
        </w:tc>
        <w:tc>
          <w:tcPr>
            <w:tcW w:w="1170" w:type="dxa"/>
            <w:tcMar>
              <w:top w:w="15" w:type="dxa"/>
              <w:left w:w="108" w:type="dxa"/>
              <w:bottom w:w="15" w:type="dxa"/>
              <w:right w:w="108" w:type="dxa"/>
            </w:tcMar>
            <w:hideMark/>
          </w:tcPr>
          <w:p w:rsidR="00700D85" w:rsidRPr="00700D85" w:rsidP="00700D85" w14:paraId="35025241" w14:textId="77777777">
            <w:r w:rsidRPr="00700D85">
              <w:t>175</w:t>
            </w:r>
          </w:p>
        </w:tc>
        <w:tc>
          <w:tcPr>
            <w:tcW w:w="1065" w:type="dxa"/>
            <w:vMerge/>
            <w:vAlign w:val="center"/>
            <w:hideMark/>
          </w:tcPr>
          <w:p w:rsidR="00700D85" w:rsidRPr="00700D85" w:rsidP="00700D85" w14:paraId="351A5D7B" w14:textId="77777777"/>
        </w:tc>
      </w:tr>
      <w:tr w14:paraId="4B9A3E3C" w14:textId="77777777" w:rsidTr="00A93AE1">
        <w:tblPrEx>
          <w:tblW w:w="10515" w:type="dxa"/>
          <w:tblInd w:w="-635" w:type="dxa"/>
          <w:tblLayout w:type="fixed"/>
          <w:tblLook w:val="04A0"/>
        </w:tblPrEx>
        <w:trPr>
          <w:trHeight w:val="398"/>
        </w:trPr>
        <w:tc>
          <w:tcPr>
            <w:tcW w:w="1350" w:type="dxa"/>
            <w:vMerge w:val="restart"/>
            <w:tcMar>
              <w:top w:w="15" w:type="dxa"/>
              <w:left w:w="108" w:type="dxa"/>
              <w:bottom w:w="15" w:type="dxa"/>
              <w:right w:w="108" w:type="dxa"/>
            </w:tcMar>
            <w:hideMark/>
          </w:tcPr>
          <w:p w:rsidR="00DF3204" w:rsidRPr="00700D85" w:rsidP="00700D85" w14:paraId="2675C8C0" w14:textId="77777777">
            <w:r w:rsidRPr="00700D85">
              <w:t>Total</w:t>
            </w:r>
          </w:p>
        </w:tc>
        <w:tc>
          <w:tcPr>
            <w:tcW w:w="1350" w:type="dxa"/>
            <w:tcMar>
              <w:top w:w="15" w:type="dxa"/>
              <w:left w:w="108" w:type="dxa"/>
              <w:bottom w:w="15" w:type="dxa"/>
              <w:right w:w="108" w:type="dxa"/>
            </w:tcMar>
            <w:hideMark/>
          </w:tcPr>
          <w:p w:rsidR="00DF3204" w:rsidRPr="00700D85" w:rsidP="00700D85" w14:paraId="0FA3281F" w14:textId="77777777">
            <w:r w:rsidRPr="00700D85">
              <w:t>Screener</w:t>
            </w:r>
          </w:p>
        </w:tc>
        <w:tc>
          <w:tcPr>
            <w:tcW w:w="1530" w:type="dxa"/>
            <w:tcMar>
              <w:top w:w="15" w:type="dxa"/>
              <w:left w:w="108" w:type="dxa"/>
              <w:bottom w:w="15" w:type="dxa"/>
              <w:right w:w="108" w:type="dxa"/>
            </w:tcMar>
            <w:hideMark/>
          </w:tcPr>
          <w:p w:rsidR="00DF3204" w:rsidRPr="00700D85" w:rsidP="00700D85" w14:paraId="0146F3D9" w14:textId="77777777">
            <w:r w:rsidRPr="00700D85">
              <w:t>10,500</w:t>
            </w:r>
          </w:p>
        </w:tc>
        <w:tc>
          <w:tcPr>
            <w:tcW w:w="1440" w:type="dxa"/>
            <w:tcMar>
              <w:top w:w="15" w:type="dxa"/>
              <w:left w:w="108" w:type="dxa"/>
              <w:bottom w:w="15" w:type="dxa"/>
              <w:right w:w="108" w:type="dxa"/>
            </w:tcMar>
            <w:hideMark/>
          </w:tcPr>
          <w:p w:rsidR="00DF3204" w:rsidRPr="00700D85" w:rsidP="00700D85" w14:paraId="1A05835B" w14:textId="77777777">
            <w:r w:rsidRPr="00700D85">
              <w:t>1</w:t>
            </w:r>
          </w:p>
        </w:tc>
        <w:tc>
          <w:tcPr>
            <w:tcW w:w="1260" w:type="dxa"/>
            <w:vMerge w:val="restart"/>
            <w:tcMar>
              <w:top w:w="15" w:type="dxa"/>
              <w:left w:w="108" w:type="dxa"/>
              <w:bottom w:w="15" w:type="dxa"/>
              <w:right w:w="108" w:type="dxa"/>
            </w:tcMar>
            <w:hideMark/>
          </w:tcPr>
          <w:p w:rsidR="00DF3204" w:rsidRPr="00700D85" w:rsidP="00700D85" w14:paraId="608D0463" w14:textId="11EB7502">
            <w:r w:rsidRPr="00DF3204">
              <w:t>14,500</w:t>
            </w:r>
          </w:p>
        </w:tc>
        <w:tc>
          <w:tcPr>
            <w:tcW w:w="1350" w:type="dxa"/>
            <w:tcMar>
              <w:top w:w="15" w:type="dxa"/>
              <w:left w:w="108" w:type="dxa"/>
              <w:bottom w:w="15" w:type="dxa"/>
              <w:right w:w="108" w:type="dxa"/>
            </w:tcMar>
            <w:hideMark/>
          </w:tcPr>
          <w:p w:rsidR="00DF3204" w:rsidRPr="00700D85" w:rsidP="00700D85" w14:paraId="1CEE3680" w14:textId="77777777">
            <w:r w:rsidRPr="00700D85">
              <w:t>0.03</w:t>
            </w:r>
          </w:p>
        </w:tc>
        <w:tc>
          <w:tcPr>
            <w:tcW w:w="1170" w:type="dxa"/>
            <w:tcMar>
              <w:top w:w="15" w:type="dxa"/>
              <w:left w:w="108" w:type="dxa"/>
              <w:bottom w:w="15" w:type="dxa"/>
              <w:right w:w="108" w:type="dxa"/>
            </w:tcMar>
            <w:hideMark/>
          </w:tcPr>
          <w:p w:rsidR="00DF3204" w:rsidRPr="00700D85" w:rsidP="00700D85" w14:paraId="79AD9746" w14:textId="77777777">
            <w:r w:rsidRPr="00700D85">
              <w:t>315.00</w:t>
            </w:r>
          </w:p>
        </w:tc>
        <w:tc>
          <w:tcPr>
            <w:tcW w:w="1065" w:type="dxa"/>
            <w:vMerge w:val="restart"/>
            <w:tcMar>
              <w:top w:w="15" w:type="dxa"/>
              <w:left w:w="108" w:type="dxa"/>
              <w:bottom w:w="15" w:type="dxa"/>
              <w:right w:w="108" w:type="dxa"/>
            </w:tcMar>
            <w:hideMark/>
          </w:tcPr>
          <w:p w:rsidR="00DF3204" w:rsidRPr="00700D85" w:rsidP="00700D85" w14:paraId="13916346" w14:textId="761C668A">
            <w:r w:rsidRPr="00700D85">
              <w:t>3,155</w:t>
            </w:r>
            <w:r>
              <w:t>*</w:t>
            </w:r>
          </w:p>
        </w:tc>
      </w:tr>
      <w:tr w14:paraId="25FE56C9" w14:textId="77777777" w:rsidTr="00A93AE1">
        <w:tblPrEx>
          <w:tblW w:w="10515" w:type="dxa"/>
          <w:tblInd w:w="-635" w:type="dxa"/>
          <w:tblLayout w:type="fixed"/>
          <w:tblLook w:val="04A0"/>
        </w:tblPrEx>
        <w:trPr>
          <w:trHeight w:val="43"/>
        </w:trPr>
        <w:tc>
          <w:tcPr>
            <w:tcW w:w="1350" w:type="dxa"/>
            <w:vMerge/>
            <w:tcBorders>
              <w:bottom w:val="single" w:sz="4" w:space="0" w:color="auto"/>
            </w:tcBorders>
            <w:vAlign w:val="center"/>
            <w:hideMark/>
          </w:tcPr>
          <w:p w:rsidR="00DF3204" w:rsidRPr="00700D85" w:rsidP="00700D85" w14:paraId="77525A69" w14:textId="77777777"/>
        </w:tc>
        <w:tc>
          <w:tcPr>
            <w:tcW w:w="1350" w:type="dxa"/>
            <w:tcBorders>
              <w:bottom w:val="single" w:sz="4" w:space="0" w:color="auto"/>
            </w:tcBorders>
            <w:tcMar>
              <w:top w:w="15" w:type="dxa"/>
              <w:left w:w="108" w:type="dxa"/>
              <w:bottom w:w="15" w:type="dxa"/>
              <w:right w:w="108" w:type="dxa"/>
            </w:tcMar>
            <w:hideMark/>
          </w:tcPr>
          <w:p w:rsidR="00DF3204" w:rsidRPr="00700D85" w:rsidP="00700D85" w14:paraId="2D636D73" w14:textId="77777777">
            <w:r w:rsidRPr="00700D85">
              <w:t>Core</w:t>
            </w:r>
          </w:p>
        </w:tc>
        <w:tc>
          <w:tcPr>
            <w:tcW w:w="1530" w:type="dxa"/>
            <w:tcBorders>
              <w:bottom w:val="single" w:sz="4" w:space="0" w:color="auto"/>
            </w:tcBorders>
            <w:tcMar>
              <w:top w:w="15" w:type="dxa"/>
              <w:left w:w="108" w:type="dxa"/>
              <w:bottom w:w="15" w:type="dxa"/>
              <w:right w:w="108" w:type="dxa"/>
            </w:tcMar>
            <w:hideMark/>
          </w:tcPr>
          <w:p w:rsidR="00DF3204" w:rsidRPr="00700D85" w:rsidP="00700D85" w14:paraId="5A6A9FA1" w14:textId="77777777">
            <w:r w:rsidRPr="00700D85">
              <w:t>4,000</w:t>
            </w:r>
          </w:p>
        </w:tc>
        <w:tc>
          <w:tcPr>
            <w:tcW w:w="1440" w:type="dxa"/>
            <w:tcBorders>
              <w:bottom w:val="single" w:sz="4" w:space="0" w:color="auto"/>
            </w:tcBorders>
            <w:tcMar>
              <w:top w:w="15" w:type="dxa"/>
              <w:left w:w="108" w:type="dxa"/>
              <w:bottom w:w="15" w:type="dxa"/>
              <w:right w:w="108" w:type="dxa"/>
            </w:tcMar>
            <w:hideMark/>
          </w:tcPr>
          <w:p w:rsidR="00DF3204" w:rsidRPr="00700D85" w:rsidP="00700D85" w14:paraId="477ACEEF" w14:textId="77777777">
            <w:r w:rsidRPr="00700D85">
              <w:t>1</w:t>
            </w:r>
          </w:p>
        </w:tc>
        <w:tc>
          <w:tcPr>
            <w:tcW w:w="1260" w:type="dxa"/>
            <w:vMerge/>
            <w:tcBorders>
              <w:bottom w:val="single" w:sz="4" w:space="0" w:color="auto"/>
            </w:tcBorders>
            <w:tcMar>
              <w:top w:w="15" w:type="dxa"/>
              <w:left w:w="108" w:type="dxa"/>
              <w:bottom w:w="15" w:type="dxa"/>
              <w:right w:w="108" w:type="dxa"/>
            </w:tcMar>
            <w:hideMark/>
          </w:tcPr>
          <w:p w:rsidR="00DF3204" w:rsidRPr="00700D85" w:rsidP="00700D85" w14:paraId="4D6192CC" w14:textId="0D60D662"/>
        </w:tc>
        <w:tc>
          <w:tcPr>
            <w:tcW w:w="1350" w:type="dxa"/>
            <w:tcBorders>
              <w:bottom w:val="single" w:sz="4" w:space="0" w:color="auto"/>
            </w:tcBorders>
            <w:tcMar>
              <w:top w:w="15" w:type="dxa"/>
              <w:left w:w="108" w:type="dxa"/>
              <w:bottom w:w="15" w:type="dxa"/>
              <w:right w:w="108" w:type="dxa"/>
            </w:tcMar>
            <w:hideMark/>
          </w:tcPr>
          <w:p w:rsidR="00DF3204" w:rsidRPr="00700D85" w:rsidP="00700D85" w14:paraId="33496C22" w14:textId="77777777">
            <w:r w:rsidRPr="00700D85">
              <w:t>0.71</w:t>
            </w:r>
          </w:p>
        </w:tc>
        <w:tc>
          <w:tcPr>
            <w:tcW w:w="1170" w:type="dxa"/>
            <w:tcBorders>
              <w:bottom w:val="single" w:sz="4" w:space="0" w:color="auto"/>
            </w:tcBorders>
            <w:tcMar>
              <w:top w:w="15" w:type="dxa"/>
              <w:left w:w="108" w:type="dxa"/>
              <w:bottom w:w="15" w:type="dxa"/>
              <w:right w:w="108" w:type="dxa"/>
            </w:tcMar>
            <w:hideMark/>
          </w:tcPr>
          <w:p w:rsidR="00DF3204" w:rsidRPr="00700D85" w:rsidP="00700D85" w14:paraId="22C62DE5" w14:textId="77777777">
            <w:r w:rsidRPr="00700D85">
              <w:t>2,840.00</w:t>
            </w:r>
          </w:p>
        </w:tc>
        <w:tc>
          <w:tcPr>
            <w:tcW w:w="1065" w:type="dxa"/>
            <w:vMerge/>
            <w:tcBorders>
              <w:bottom w:val="single" w:sz="4" w:space="0" w:color="auto"/>
            </w:tcBorders>
            <w:vAlign w:val="center"/>
            <w:hideMark/>
          </w:tcPr>
          <w:p w:rsidR="00DF3204" w:rsidRPr="00700D85" w:rsidP="00700D85" w14:paraId="27DB5FFE" w14:textId="77777777"/>
        </w:tc>
      </w:tr>
      <w:tr w14:paraId="6C19801A" w14:textId="77777777" w:rsidTr="00A93AE1">
        <w:tblPrEx>
          <w:tblW w:w="10515" w:type="dxa"/>
          <w:tblInd w:w="-635" w:type="dxa"/>
          <w:tblLayout w:type="fixed"/>
          <w:tblLook w:val="04A0"/>
        </w:tblPrEx>
        <w:trPr>
          <w:trHeight w:val="43"/>
        </w:trPr>
        <w:tc>
          <w:tcPr>
            <w:tcW w:w="10515" w:type="dxa"/>
            <w:gridSpan w:val="8"/>
            <w:tcBorders>
              <w:top w:val="single" w:sz="4" w:space="0" w:color="auto"/>
              <w:left w:val="nil"/>
              <w:bottom w:val="nil"/>
              <w:right w:val="nil"/>
            </w:tcBorders>
            <w:vAlign w:val="center"/>
          </w:tcPr>
          <w:p w:rsidR="00E30821" w:rsidRPr="00700D85" w:rsidP="00BB1111" w14:paraId="7AC4D482" w14:textId="6955A2B2">
            <w:r>
              <w:rPr>
                <w:vertAlign w:val="superscript"/>
              </w:rPr>
              <w:t>*</w:t>
            </w:r>
            <w:r>
              <w:t xml:space="preserve">Note: </w:t>
            </w:r>
            <w:r w:rsidRPr="00DF48FD">
              <w:t>For the purposes of this table, we have rounded to the nearest hundredth decimal place, which may result in slight discrepancies in the total burden hours</w:t>
            </w:r>
            <w:r w:rsidR="00BB1111">
              <w:t>.</w:t>
            </w:r>
          </w:p>
        </w:tc>
      </w:tr>
    </w:tbl>
    <w:p w:rsidR="00BB1111" w:rsidP="00D84D9E" w14:paraId="0E61817B" w14:textId="77777777">
      <w:pPr>
        <w:widowControl/>
        <w:spacing w:before="120"/>
      </w:pPr>
    </w:p>
    <w:p w:rsidR="00E30821" w:rsidP="00E30821" w14:paraId="748D8595" w14:textId="77777777">
      <w:pPr>
        <w:rPr>
          <w:rFonts w:asciiTheme="minorHAnsi" w:hAnsiTheme="minorHAnsi"/>
          <w:b/>
          <w:bCs/>
          <w:sz w:val="22"/>
          <w:szCs w:val="22"/>
        </w:rPr>
      </w:pPr>
      <w:r>
        <w:rPr>
          <w:rFonts w:asciiTheme="minorHAnsi" w:hAnsiTheme="minorHAnsi"/>
          <w:b/>
          <w:bCs/>
          <w:sz w:val="22"/>
          <w:szCs w:val="22"/>
        </w:rPr>
        <w:t>12B</w:t>
      </w:r>
    </w:p>
    <w:p w:rsidR="00E30821" w:rsidP="00E30821" w14:paraId="744A93DF" w14:textId="77777777">
      <w:pPr>
        <w:rPr>
          <w:rFonts w:asciiTheme="minorHAnsi" w:hAnsiTheme="minorHAnsi"/>
          <w:b/>
          <w:bCs/>
          <w:sz w:val="22"/>
          <w:szCs w:val="22"/>
        </w:rPr>
      </w:pPr>
    </w:p>
    <w:p w:rsidR="00E30821" w:rsidP="00E30821" w14:paraId="6C17BDD5" w14:textId="77777777">
      <w:pPr>
        <w:rPr>
          <w:rFonts w:asciiTheme="minorHAnsi" w:hAnsiTheme="minorHAnsi"/>
          <w:sz w:val="22"/>
          <w:szCs w:val="22"/>
        </w:rPr>
      </w:pPr>
      <w:r w:rsidRPr="00CE50AE">
        <w:rPr>
          <w:rFonts w:asciiTheme="minorHAnsi" w:hAnsiTheme="minorHAnsi"/>
          <w:sz w:val="22"/>
          <w:szCs w:val="22"/>
        </w:rPr>
        <w:t>Estimates of the total annual respondent cost for the collection of information were determined using the following sources:</w:t>
      </w:r>
    </w:p>
    <w:p w:rsidR="00E30821" w:rsidRPr="00CE50AE" w:rsidP="00E30821" w14:paraId="65DA7CE7" w14:textId="77777777">
      <w:pPr>
        <w:rPr>
          <w:rFonts w:asciiTheme="minorHAnsi" w:hAnsiTheme="minorHAnsi"/>
          <w:sz w:val="22"/>
          <w:szCs w:val="22"/>
        </w:rPr>
      </w:pPr>
    </w:p>
    <w:p w:rsidR="00E30821" w:rsidRPr="00CE50AE" w:rsidP="00E30821" w14:paraId="09F692BF" w14:textId="77777777">
      <w:pPr>
        <w:pStyle w:val="ListParagraph"/>
        <w:numPr>
          <w:ilvl w:val="0"/>
          <w:numId w:val="17"/>
        </w:numPr>
      </w:pPr>
      <w:r w:rsidRPr="00CE50AE">
        <w:t>For Guam, Puerto Rico and the U.S. Virgin Islands, the average hourly wage for all occupations was used based on the May 20</w:t>
      </w:r>
      <w:r>
        <w:t>23</w:t>
      </w:r>
      <w:r w:rsidRPr="00CE50AE">
        <w:t xml:space="preserve"> Bureau of Labor statistics- </w:t>
      </w:r>
      <w:hyperlink r:id="rId9" w:history="1">
        <w:r w:rsidRPr="00CE50AE">
          <w:rPr>
            <w:rStyle w:val="Hyperlink"/>
          </w:rPr>
          <w:t>https://www.bls.gov/oes/current/oessrcst.htm</w:t>
        </w:r>
      </w:hyperlink>
    </w:p>
    <w:p w:rsidR="00E30821" w:rsidRPr="00CE50AE" w:rsidP="00E30821" w14:paraId="53686148" w14:textId="6FB0DF9A">
      <w:pPr>
        <w:pStyle w:val="ListParagraph"/>
        <w:numPr>
          <w:ilvl w:val="0"/>
          <w:numId w:val="17"/>
        </w:numPr>
      </w:pPr>
      <w:r w:rsidRPr="00CE50AE">
        <w:t xml:space="preserve">For American Samoa, Federated States of Micronesia, Palau, Marshall Islands, and the Northern Mariana Islands, the hourly minimum wage was used based on the websites below. An </w:t>
      </w:r>
      <w:r w:rsidR="00BB1111">
        <w:t>median</w:t>
      </w:r>
      <w:r w:rsidRPr="00CE50AE">
        <w:t xml:space="preserve"> hourly wage rate for all occupations is not available in these jurisdictions, and the minimum wage is expected to be the standard wage for respondents.</w:t>
      </w:r>
    </w:p>
    <w:p w:rsidR="00E30821" w:rsidP="00E30821" w14:paraId="6668F453" w14:textId="77777777">
      <w:pPr>
        <w:pStyle w:val="ListParagraph"/>
        <w:numPr>
          <w:ilvl w:val="1"/>
          <w:numId w:val="17"/>
        </w:numPr>
      </w:pPr>
      <w:r w:rsidRPr="000937B2">
        <w:rPr>
          <w:lang w:val="es-GT"/>
        </w:rPr>
        <w:t xml:space="preserve">American Samoa: </w:t>
      </w:r>
      <w:hyperlink r:id="rId10" w:history="1">
        <w:r w:rsidRPr="00381DEA">
          <w:rPr>
            <w:rStyle w:val="Hyperlink"/>
          </w:rPr>
          <w:t>https://www.dol.gov/sites/dolgov/files/WHD/legacy/files/ASminwagePoster.pdf</w:t>
        </w:r>
      </w:hyperlink>
    </w:p>
    <w:p w:rsidR="00E30821" w:rsidP="00E30821" w14:paraId="637206F1" w14:textId="77777777">
      <w:pPr>
        <w:pStyle w:val="ListParagraph"/>
        <w:numPr>
          <w:ilvl w:val="1"/>
          <w:numId w:val="17"/>
        </w:numPr>
      </w:pPr>
      <w:r w:rsidRPr="00CE50AE">
        <w:t xml:space="preserve">Federated States of Micronesia: </w:t>
      </w:r>
      <w:hyperlink r:id="rId11" w:history="1">
        <w:r w:rsidRPr="00381DEA">
          <w:rPr>
            <w:rStyle w:val="Hyperlink"/>
          </w:rPr>
          <w:t>https://www.state.gov/reports/2022-investment-climate-statements/micronesia/</w:t>
        </w:r>
      </w:hyperlink>
      <w:r>
        <w:t xml:space="preserve"> </w:t>
      </w:r>
    </w:p>
    <w:p w:rsidR="00E30821" w:rsidRPr="00CE50AE" w:rsidP="00E30821" w14:paraId="28812FE2" w14:textId="77777777">
      <w:pPr>
        <w:pStyle w:val="ListParagraph"/>
        <w:numPr>
          <w:ilvl w:val="1"/>
          <w:numId w:val="17"/>
        </w:numPr>
      </w:pPr>
      <w:r w:rsidRPr="00CE50AE">
        <w:t xml:space="preserve">Northern Mariana Islands: </w:t>
      </w:r>
      <w:hyperlink r:id="rId12" w:anchor="cnmi" w:history="1">
        <w:r w:rsidRPr="006D3FEF">
          <w:rPr>
            <w:rStyle w:val="Hyperlink"/>
          </w:rPr>
          <w:t>State Minimum Wage Laws | U.S. Department of Labor (dol.gov)</w:t>
        </w:r>
      </w:hyperlink>
    </w:p>
    <w:p w:rsidR="00BB1111" w:rsidRPr="00A93AE1" w:rsidP="00E30821" w14:paraId="410C218F" w14:textId="77777777">
      <w:pPr>
        <w:pStyle w:val="ListParagraph"/>
        <w:numPr>
          <w:ilvl w:val="1"/>
          <w:numId w:val="17"/>
        </w:numPr>
        <w:rPr>
          <w:lang w:val="es-GT"/>
        </w:rPr>
      </w:pPr>
      <w:r w:rsidRPr="00A3397B">
        <w:rPr>
          <w:lang w:val="es-GT"/>
        </w:rPr>
        <w:t xml:space="preserve">Palau: </w:t>
      </w:r>
      <w:hyperlink r:id="rId13" w:history="1">
        <w:r w:rsidRPr="00AB3F1D">
          <w:rPr>
            <w:rStyle w:val="Hyperlink"/>
            <w:lang w:val="es-PR"/>
          </w:rPr>
          <w:t>https://www.mbjguam.com/palau%E2%80%99s-minimum-wage-increase-5-hour-2025</w:t>
        </w:r>
      </w:hyperlink>
      <w:r w:rsidRPr="00AB3F1D">
        <w:rPr>
          <w:lang w:val="es-PR"/>
        </w:rPr>
        <w:t xml:space="preserve"> </w:t>
      </w:r>
    </w:p>
    <w:p w:rsidR="00E30821" w:rsidRPr="00007483" w:rsidP="00A93AE1" w14:paraId="7227168F" w14:textId="2CC5F31B">
      <w:pPr>
        <w:pStyle w:val="ListParagraph"/>
        <w:numPr>
          <w:ilvl w:val="1"/>
          <w:numId w:val="17"/>
        </w:numPr>
        <w:rPr>
          <w:rStyle w:val="Hyperlink"/>
          <w:color w:val="auto"/>
          <w:u w:val="none"/>
        </w:rPr>
      </w:pPr>
      <w:r w:rsidRPr="00CE50AE">
        <w:t xml:space="preserve">Marshall Islands: </w:t>
      </w:r>
      <w:hyperlink r:id="rId14" w:history="1">
        <w:r w:rsidRPr="00381DEA">
          <w:rPr>
            <w:rStyle w:val="Hyperlink"/>
          </w:rPr>
          <w:t>https://www.mbjguam.com/incoming-marshalls-government-announces-wages-and-taxes-changes-2024</w:t>
        </w:r>
      </w:hyperlink>
    </w:p>
    <w:p w:rsidR="00007483" w:rsidRPr="00A16B7D" w:rsidP="00007483" w14:paraId="5416F6EF" w14:textId="45B728F6">
      <w:pPr>
        <w:pStyle w:val="ListParagraph"/>
        <w:numPr>
          <w:ilvl w:val="0"/>
          <w:numId w:val="26"/>
        </w:numPr>
      </w:pPr>
      <w:r>
        <w:t xml:space="preserve">Hourly </w:t>
      </w:r>
      <w:r w:rsidR="00DA3C83">
        <w:t>w</w:t>
      </w:r>
      <w:r>
        <w:t xml:space="preserve">age rates </w:t>
      </w:r>
      <w:r w:rsidR="00D05A3A">
        <w:t>were</w:t>
      </w:r>
      <w:r>
        <w:t xml:space="preserve"> </w:t>
      </w:r>
      <w:r w:rsidR="00532C62">
        <w:t>adjusted by a factor of 2</w:t>
      </w:r>
      <w:r>
        <w:t xml:space="preserve"> to </w:t>
      </w:r>
      <w:r w:rsidRPr="00532C62" w:rsidR="00532C62">
        <w:t>estimat</w:t>
      </w:r>
      <w:r w:rsidR="00532C62">
        <w:t>e</w:t>
      </w:r>
      <w:r w:rsidRPr="00532C62" w:rsidR="00532C62">
        <w:t xml:space="preserve"> the total cost of labor by accounting for employee benefits and overhead costs in addition to the base hourly wage</w:t>
      </w:r>
      <w:r>
        <w:t xml:space="preserve">. </w:t>
      </w:r>
    </w:p>
    <w:p w:rsidR="00A5240E" w:rsidP="00D84D9E" w14:paraId="5469D82A" w14:textId="45D0D08B">
      <w:pPr>
        <w:widowControl/>
        <w:spacing w:before="120"/>
        <w:rPr>
          <w:rFonts w:asciiTheme="minorHAnsi" w:hAnsiTheme="minorHAnsi"/>
          <w:b/>
          <w:szCs w:val="22"/>
        </w:rPr>
      </w:pPr>
      <w:r w:rsidRPr="00CE50AE">
        <w:rPr>
          <w:rFonts w:asciiTheme="minorHAnsi" w:hAnsiTheme="minorHAnsi"/>
          <w:b/>
          <w:szCs w:val="22"/>
        </w:rPr>
        <w:t>Table 3:</w:t>
      </w:r>
      <w:r w:rsidRPr="00CE50AE" w:rsidR="00E81B93">
        <w:rPr>
          <w:rFonts w:asciiTheme="minorHAnsi" w:hAnsiTheme="minorHAnsi"/>
          <w:b/>
          <w:szCs w:val="22"/>
        </w:rPr>
        <w:t xml:space="preserve">   </w:t>
      </w:r>
      <w:r w:rsidRPr="00CE50AE" w:rsidR="00D84D9E">
        <w:rPr>
          <w:rFonts w:asciiTheme="minorHAnsi" w:hAnsiTheme="minorHAnsi"/>
          <w:b/>
          <w:szCs w:val="22"/>
        </w:rPr>
        <w:t>Estimated Annualized Burden Costs</w:t>
      </w:r>
    </w:p>
    <w:tbl>
      <w:tblPr>
        <w:tblW w:w="743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1528"/>
        <w:gridCol w:w="1556"/>
        <w:gridCol w:w="1600"/>
        <w:gridCol w:w="2748"/>
      </w:tblGrid>
      <w:tr w14:paraId="60807250" w14:textId="77777777" w:rsidTr="00A93AE1">
        <w:tblPrEx>
          <w:tblW w:w="743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Ex>
        <w:trPr>
          <w:trHeight w:val="63"/>
        </w:trPr>
        <w:tc>
          <w:tcPr>
            <w:tcW w:w="1528" w:type="dxa"/>
          </w:tcPr>
          <w:p w:rsidR="00A5240E" w:rsidP="00E63780" w14:paraId="16DB0938" w14:textId="77777777">
            <w:pPr>
              <w:widowControl/>
              <w:rPr>
                <w:rFonts w:asciiTheme="minorHAnsi" w:hAnsiTheme="minorHAnsi"/>
                <w:b/>
                <w:bCs/>
                <w:szCs w:val="20"/>
              </w:rPr>
            </w:pPr>
            <w:r>
              <w:rPr>
                <w:rFonts w:asciiTheme="minorHAnsi" w:hAnsiTheme="minorHAnsi"/>
                <w:b/>
                <w:bCs/>
                <w:szCs w:val="20"/>
              </w:rPr>
              <w:t>Type of</w:t>
            </w:r>
          </w:p>
          <w:p w:rsidR="00A5240E" w:rsidP="00E63780" w14:paraId="6BFD55A0" w14:textId="77777777">
            <w:pPr>
              <w:widowControl/>
              <w:rPr>
                <w:rFonts w:asciiTheme="minorHAnsi" w:hAnsiTheme="minorHAnsi"/>
                <w:szCs w:val="20"/>
              </w:rPr>
            </w:pPr>
            <w:r>
              <w:rPr>
                <w:rFonts w:asciiTheme="minorHAnsi" w:hAnsiTheme="minorHAnsi"/>
                <w:b/>
                <w:bCs/>
                <w:szCs w:val="20"/>
              </w:rPr>
              <w:t>Respondent</w:t>
            </w:r>
          </w:p>
          <w:p w:rsidR="00A5240E" w:rsidP="00E63780" w14:paraId="70CAC260" w14:textId="77777777">
            <w:pPr>
              <w:widowControl/>
              <w:rPr>
                <w:rFonts w:asciiTheme="minorHAnsi" w:hAnsiTheme="minorHAnsi"/>
                <w:b/>
                <w:bCs/>
                <w:szCs w:val="20"/>
              </w:rPr>
            </w:pPr>
          </w:p>
        </w:tc>
        <w:tc>
          <w:tcPr>
            <w:tcW w:w="1556" w:type="dxa"/>
            <w:hideMark/>
          </w:tcPr>
          <w:p w:rsidR="00A5240E" w:rsidP="00E63780" w14:paraId="2D8FC267" w14:textId="77777777">
            <w:pPr>
              <w:widowControl/>
              <w:rPr>
                <w:rFonts w:asciiTheme="minorHAnsi" w:hAnsiTheme="minorHAnsi"/>
                <w:b/>
                <w:bCs/>
                <w:szCs w:val="20"/>
              </w:rPr>
            </w:pPr>
            <w:r>
              <w:rPr>
                <w:rFonts w:asciiTheme="minorHAnsi" w:hAnsiTheme="minorHAnsi"/>
                <w:b/>
                <w:bCs/>
                <w:szCs w:val="20"/>
              </w:rPr>
              <w:t>Total Burden</w:t>
            </w:r>
          </w:p>
          <w:p w:rsidR="00A5240E" w:rsidP="00E63780" w14:paraId="7F21C80D" w14:textId="77777777">
            <w:pPr>
              <w:widowControl/>
              <w:rPr>
                <w:rFonts w:asciiTheme="minorHAnsi" w:hAnsiTheme="minorHAnsi"/>
                <w:szCs w:val="20"/>
              </w:rPr>
            </w:pPr>
            <w:r>
              <w:rPr>
                <w:rFonts w:asciiTheme="minorHAnsi" w:hAnsiTheme="minorHAnsi"/>
                <w:b/>
                <w:bCs/>
                <w:szCs w:val="20"/>
              </w:rPr>
              <w:t>Hours</w:t>
            </w:r>
          </w:p>
        </w:tc>
        <w:tc>
          <w:tcPr>
            <w:tcW w:w="1600" w:type="dxa"/>
          </w:tcPr>
          <w:p w:rsidR="00A5240E" w:rsidP="00E63780" w14:paraId="4E04845F" w14:textId="77777777">
            <w:pPr>
              <w:widowControl/>
              <w:rPr>
                <w:rFonts w:asciiTheme="minorHAnsi" w:hAnsiTheme="minorHAnsi"/>
                <w:b/>
                <w:bCs/>
                <w:szCs w:val="20"/>
              </w:rPr>
            </w:pPr>
            <w:bookmarkStart w:id="24" w:name="_Hlk93311187"/>
            <w:r>
              <w:rPr>
                <w:rFonts w:asciiTheme="minorHAnsi" w:hAnsiTheme="minorHAnsi"/>
                <w:b/>
                <w:bCs/>
                <w:szCs w:val="20"/>
              </w:rPr>
              <w:t>Hourly</w:t>
            </w:r>
          </w:p>
          <w:p w:rsidR="00A5240E" w:rsidP="00E63780" w14:paraId="1E570ED9" w14:textId="77777777">
            <w:pPr>
              <w:widowControl/>
              <w:rPr>
                <w:rFonts w:asciiTheme="minorHAnsi" w:hAnsiTheme="minorHAnsi"/>
                <w:szCs w:val="20"/>
              </w:rPr>
            </w:pPr>
            <w:r>
              <w:rPr>
                <w:rFonts w:asciiTheme="minorHAnsi" w:hAnsiTheme="minorHAnsi"/>
                <w:b/>
                <w:bCs/>
                <w:szCs w:val="20"/>
              </w:rPr>
              <w:t>Wage Rate</w:t>
            </w:r>
          </w:p>
          <w:bookmarkEnd w:id="24"/>
          <w:p w:rsidR="00A5240E" w:rsidP="00E63780" w14:paraId="0CE1689C" w14:textId="77777777">
            <w:pPr>
              <w:widowControl/>
              <w:rPr>
                <w:rFonts w:asciiTheme="minorHAnsi" w:hAnsiTheme="minorHAnsi"/>
                <w:b/>
                <w:bCs/>
                <w:szCs w:val="20"/>
              </w:rPr>
            </w:pPr>
          </w:p>
        </w:tc>
        <w:tc>
          <w:tcPr>
            <w:tcW w:w="2748" w:type="dxa"/>
          </w:tcPr>
          <w:p w:rsidR="00A5240E" w:rsidP="00E63780" w14:paraId="3E76F0FA" w14:textId="77777777">
            <w:pPr>
              <w:widowControl/>
              <w:rPr>
                <w:rFonts w:asciiTheme="minorHAnsi" w:hAnsiTheme="minorHAnsi"/>
                <w:szCs w:val="20"/>
              </w:rPr>
            </w:pPr>
            <w:r>
              <w:rPr>
                <w:rFonts w:asciiTheme="minorHAnsi" w:hAnsiTheme="minorHAnsi"/>
                <w:b/>
                <w:bCs/>
                <w:szCs w:val="20"/>
              </w:rPr>
              <w:t>Total Respondent Costs</w:t>
            </w:r>
          </w:p>
          <w:p w:rsidR="00A5240E" w:rsidP="00E63780" w14:paraId="74078B85" w14:textId="77777777">
            <w:pPr>
              <w:widowControl/>
              <w:rPr>
                <w:rFonts w:asciiTheme="minorHAnsi" w:hAnsiTheme="minorHAnsi"/>
                <w:b/>
                <w:bCs/>
                <w:szCs w:val="20"/>
              </w:rPr>
            </w:pPr>
          </w:p>
        </w:tc>
      </w:tr>
      <w:tr w14:paraId="5A469683" w14:textId="77777777" w:rsidTr="00D86893">
        <w:tblPrEx>
          <w:tblW w:w="7432" w:type="dxa"/>
          <w:tblLook w:val="01E0"/>
        </w:tblPrEx>
        <w:trPr>
          <w:trHeight w:val="440"/>
        </w:trPr>
        <w:tc>
          <w:tcPr>
            <w:tcW w:w="1528" w:type="dxa"/>
            <w:vAlign w:val="center"/>
            <w:hideMark/>
          </w:tcPr>
          <w:p w:rsidR="009E7058" w:rsidP="009E7058" w14:paraId="3AAE50C9"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Module Puerto Rico</w:t>
            </w:r>
          </w:p>
        </w:tc>
        <w:tc>
          <w:tcPr>
            <w:tcW w:w="1556" w:type="dxa"/>
          </w:tcPr>
          <w:p w:rsidR="009E7058" w:rsidRPr="0098763E" w:rsidP="009E7058" w14:paraId="4C5E142C" w14:textId="781C3AD9">
            <w:pPr>
              <w:spacing w:line="256" w:lineRule="auto"/>
              <w:rPr>
                <w:rFonts w:asciiTheme="minorHAnsi" w:hAnsiTheme="minorHAnsi" w:cstheme="minorHAnsi"/>
                <w:szCs w:val="20"/>
              </w:rPr>
            </w:pPr>
            <w:r w:rsidRPr="0098763E">
              <w:rPr>
                <w:rFonts w:asciiTheme="minorHAnsi" w:hAnsiTheme="minorHAnsi" w:cstheme="minorHAnsi"/>
                <w:szCs w:val="20"/>
              </w:rPr>
              <w:t>1,093.65</w:t>
            </w:r>
          </w:p>
        </w:tc>
        <w:tc>
          <w:tcPr>
            <w:tcW w:w="1600" w:type="dxa"/>
            <w:vAlign w:val="center"/>
            <w:hideMark/>
          </w:tcPr>
          <w:p w:rsidR="009E7058" w:rsidRPr="0098763E" w:rsidP="009E7058" w14:paraId="5038BE11" w14:textId="339D5559">
            <w:pPr>
              <w:widowControl/>
              <w:spacing w:line="256" w:lineRule="auto"/>
              <w:rPr>
                <w:rFonts w:asciiTheme="minorHAnsi" w:hAnsiTheme="minorHAnsi" w:cstheme="minorHAnsi"/>
                <w:szCs w:val="20"/>
              </w:rPr>
            </w:pPr>
            <w:r>
              <w:rPr>
                <w:rFonts w:ascii="Calibri" w:hAnsi="Calibri" w:cs="Calibri"/>
                <w:color w:val="000000"/>
                <w:szCs w:val="20"/>
              </w:rPr>
              <w:t xml:space="preserve">$32.80 </w:t>
            </w:r>
          </w:p>
        </w:tc>
        <w:tc>
          <w:tcPr>
            <w:tcW w:w="2748" w:type="dxa"/>
            <w:vAlign w:val="center"/>
          </w:tcPr>
          <w:p w:rsidR="009E7058" w:rsidRPr="0098763E" w:rsidP="009E7058" w14:paraId="2BE0631A" w14:textId="35DFFED1">
            <w:pPr>
              <w:widowControl/>
              <w:autoSpaceDE/>
              <w:autoSpaceDN/>
              <w:adjustRightInd/>
              <w:rPr>
                <w:rFonts w:asciiTheme="minorHAnsi" w:hAnsiTheme="minorHAnsi" w:cstheme="minorHAnsi"/>
                <w:szCs w:val="20"/>
              </w:rPr>
            </w:pPr>
            <w:r>
              <w:rPr>
                <w:rFonts w:ascii="Calibri" w:hAnsi="Calibri" w:cs="Calibri"/>
                <w:color w:val="000000"/>
                <w:szCs w:val="20"/>
              </w:rPr>
              <w:t xml:space="preserve">$35,871.72 </w:t>
            </w:r>
          </w:p>
        </w:tc>
      </w:tr>
      <w:tr w14:paraId="63EF8241" w14:textId="77777777" w:rsidTr="00D86893">
        <w:tblPrEx>
          <w:tblW w:w="7432" w:type="dxa"/>
          <w:tblLook w:val="01E0"/>
        </w:tblPrEx>
        <w:trPr>
          <w:trHeight w:val="440"/>
        </w:trPr>
        <w:tc>
          <w:tcPr>
            <w:tcW w:w="1528" w:type="dxa"/>
            <w:vAlign w:val="center"/>
            <w:hideMark/>
          </w:tcPr>
          <w:p w:rsidR="009E7058" w:rsidP="009E7058" w14:paraId="61091706" w14:textId="77777777">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U.S. Virgin Islands </w:t>
            </w:r>
          </w:p>
        </w:tc>
        <w:tc>
          <w:tcPr>
            <w:tcW w:w="1556" w:type="dxa"/>
          </w:tcPr>
          <w:p w:rsidR="009E7058" w:rsidRPr="0098763E" w:rsidP="009E7058" w14:paraId="34C52F8D" w14:textId="5883E219">
            <w:pPr>
              <w:spacing w:line="256" w:lineRule="auto"/>
              <w:rPr>
                <w:rFonts w:asciiTheme="minorHAnsi" w:hAnsiTheme="minorHAnsi" w:cstheme="minorHAnsi"/>
                <w:szCs w:val="20"/>
              </w:rPr>
            </w:pPr>
            <w:r w:rsidRPr="0098763E">
              <w:rPr>
                <w:rFonts w:asciiTheme="minorHAnsi" w:hAnsiTheme="minorHAnsi" w:cstheme="minorHAnsi"/>
                <w:szCs w:val="20"/>
              </w:rPr>
              <w:t>288.71</w:t>
            </w:r>
          </w:p>
        </w:tc>
        <w:tc>
          <w:tcPr>
            <w:tcW w:w="1600" w:type="dxa"/>
            <w:vAlign w:val="center"/>
            <w:hideMark/>
          </w:tcPr>
          <w:p w:rsidR="009E7058" w:rsidRPr="0098763E" w:rsidP="009E7058" w14:paraId="0BBDFD0E" w14:textId="6D3F5657">
            <w:pPr>
              <w:widowControl/>
              <w:spacing w:line="256" w:lineRule="auto"/>
              <w:rPr>
                <w:rFonts w:asciiTheme="minorHAnsi" w:hAnsiTheme="minorHAnsi" w:cstheme="minorHAnsi"/>
                <w:szCs w:val="20"/>
              </w:rPr>
            </w:pPr>
            <w:r>
              <w:rPr>
                <w:rFonts w:ascii="Calibri" w:hAnsi="Calibri" w:cs="Calibri"/>
                <w:color w:val="000000"/>
                <w:szCs w:val="20"/>
              </w:rPr>
              <w:t xml:space="preserve">$48.68 </w:t>
            </w:r>
          </w:p>
        </w:tc>
        <w:tc>
          <w:tcPr>
            <w:tcW w:w="2748" w:type="dxa"/>
            <w:vAlign w:val="center"/>
          </w:tcPr>
          <w:p w:rsidR="009E7058" w:rsidRPr="0098763E" w:rsidP="009E7058" w14:paraId="12A1CAD8" w14:textId="31E02D36">
            <w:pPr>
              <w:widowControl/>
              <w:autoSpaceDE/>
              <w:autoSpaceDN/>
              <w:adjustRightInd/>
              <w:rPr>
                <w:rFonts w:asciiTheme="minorHAnsi" w:hAnsiTheme="minorHAnsi" w:cstheme="minorHAnsi"/>
                <w:szCs w:val="20"/>
              </w:rPr>
            </w:pPr>
            <w:r>
              <w:rPr>
                <w:rFonts w:ascii="Calibri" w:hAnsi="Calibri" w:cs="Calibri"/>
                <w:color w:val="000000"/>
                <w:szCs w:val="20"/>
              </w:rPr>
              <w:t xml:space="preserve">$14,054.40 </w:t>
            </w:r>
          </w:p>
        </w:tc>
      </w:tr>
      <w:tr w14:paraId="7FF7EF2C" w14:textId="77777777" w:rsidTr="00D86893">
        <w:tblPrEx>
          <w:tblW w:w="7432" w:type="dxa"/>
          <w:tblLook w:val="01E0"/>
        </w:tblPrEx>
        <w:trPr>
          <w:trHeight w:val="440"/>
        </w:trPr>
        <w:tc>
          <w:tcPr>
            <w:tcW w:w="1528" w:type="dxa"/>
            <w:vAlign w:val="center"/>
            <w:hideMark/>
          </w:tcPr>
          <w:p w:rsidR="009E7058" w:rsidP="009E7058" w14:paraId="7664E3E2" w14:textId="77777777">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Guam </w:t>
            </w:r>
          </w:p>
        </w:tc>
        <w:tc>
          <w:tcPr>
            <w:tcW w:w="1556" w:type="dxa"/>
          </w:tcPr>
          <w:p w:rsidR="009E7058" w:rsidRPr="0098763E" w:rsidP="009E7058" w14:paraId="17874100" w14:textId="71A930AF">
            <w:pPr>
              <w:spacing w:line="256" w:lineRule="auto"/>
              <w:rPr>
                <w:rFonts w:asciiTheme="minorHAnsi" w:hAnsiTheme="minorHAnsi" w:cstheme="minorHAnsi"/>
                <w:szCs w:val="20"/>
              </w:rPr>
            </w:pPr>
            <w:r w:rsidRPr="0098763E">
              <w:rPr>
                <w:rFonts w:asciiTheme="minorHAnsi" w:hAnsiTheme="minorHAnsi" w:cstheme="minorHAnsi"/>
                <w:szCs w:val="20"/>
              </w:rPr>
              <w:t>337.02</w:t>
            </w:r>
          </w:p>
        </w:tc>
        <w:tc>
          <w:tcPr>
            <w:tcW w:w="1600" w:type="dxa"/>
            <w:vAlign w:val="center"/>
            <w:hideMark/>
          </w:tcPr>
          <w:p w:rsidR="009E7058" w:rsidRPr="0098763E" w:rsidP="009E7058" w14:paraId="3AD5660E" w14:textId="00332FC9">
            <w:pPr>
              <w:widowControl/>
              <w:spacing w:line="256" w:lineRule="auto"/>
              <w:rPr>
                <w:rFonts w:asciiTheme="minorHAnsi" w:hAnsiTheme="minorHAnsi" w:cstheme="minorHAnsi"/>
                <w:szCs w:val="20"/>
              </w:rPr>
            </w:pPr>
            <w:r>
              <w:rPr>
                <w:rFonts w:ascii="Calibri" w:hAnsi="Calibri" w:cs="Calibri"/>
                <w:color w:val="000000"/>
                <w:szCs w:val="20"/>
              </w:rPr>
              <w:t xml:space="preserve">$40.58 </w:t>
            </w:r>
          </w:p>
        </w:tc>
        <w:tc>
          <w:tcPr>
            <w:tcW w:w="2748" w:type="dxa"/>
            <w:vAlign w:val="center"/>
          </w:tcPr>
          <w:p w:rsidR="009E7058" w:rsidRPr="0098763E" w:rsidP="009E7058" w14:paraId="27B904C0" w14:textId="46BCEA37">
            <w:pPr>
              <w:widowControl/>
              <w:autoSpaceDE/>
              <w:autoSpaceDN/>
              <w:adjustRightInd/>
              <w:rPr>
                <w:rFonts w:asciiTheme="minorHAnsi" w:hAnsiTheme="minorHAnsi" w:cstheme="minorHAnsi"/>
                <w:szCs w:val="20"/>
              </w:rPr>
            </w:pPr>
            <w:r>
              <w:rPr>
                <w:rFonts w:ascii="Calibri" w:hAnsi="Calibri" w:cs="Calibri"/>
                <w:color w:val="000000"/>
                <w:szCs w:val="20"/>
              </w:rPr>
              <w:t xml:space="preserve">$13,676.27 </w:t>
            </w:r>
          </w:p>
        </w:tc>
      </w:tr>
      <w:tr w14:paraId="39E7F745" w14:textId="77777777" w:rsidTr="00D86893">
        <w:tblPrEx>
          <w:tblW w:w="7432" w:type="dxa"/>
          <w:tblLook w:val="01E0"/>
        </w:tblPrEx>
        <w:trPr>
          <w:trHeight w:val="440"/>
        </w:trPr>
        <w:tc>
          <w:tcPr>
            <w:tcW w:w="1528" w:type="dxa"/>
            <w:vAlign w:val="center"/>
            <w:hideMark/>
          </w:tcPr>
          <w:p w:rsidR="009E7058" w:rsidP="009E7058" w14:paraId="659F5861"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American Samoa</w:t>
            </w:r>
          </w:p>
        </w:tc>
        <w:tc>
          <w:tcPr>
            <w:tcW w:w="1556" w:type="dxa"/>
          </w:tcPr>
          <w:p w:rsidR="009E7058" w:rsidRPr="0098763E" w:rsidP="009E7058" w14:paraId="2D0E6292" w14:textId="22A53124">
            <w:pPr>
              <w:spacing w:line="256" w:lineRule="auto"/>
              <w:rPr>
                <w:rFonts w:asciiTheme="minorHAnsi" w:hAnsiTheme="minorHAnsi" w:cstheme="minorHAnsi"/>
                <w:szCs w:val="20"/>
              </w:rPr>
            </w:pPr>
            <w:r w:rsidRPr="0098763E">
              <w:rPr>
                <w:rFonts w:asciiTheme="minorHAnsi" w:hAnsiTheme="minorHAnsi" w:cstheme="minorHAnsi"/>
                <w:szCs w:val="20"/>
              </w:rPr>
              <w:t>345.42</w:t>
            </w:r>
          </w:p>
        </w:tc>
        <w:tc>
          <w:tcPr>
            <w:tcW w:w="1600" w:type="dxa"/>
            <w:vAlign w:val="center"/>
            <w:hideMark/>
          </w:tcPr>
          <w:p w:rsidR="009E7058" w:rsidRPr="0098763E" w:rsidP="009E7058" w14:paraId="1BE85302" w14:textId="587222A9">
            <w:pPr>
              <w:widowControl/>
              <w:spacing w:line="256" w:lineRule="auto"/>
              <w:rPr>
                <w:rFonts w:asciiTheme="minorHAnsi" w:hAnsiTheme="minorHAnsi" w:cstheme="minorHAnsi"/>
                <w:szCs w:val="20"/>
              </w:rPr>
            </w:pPr>
            <w:r>
              <w:rPr>
                <w:rFonts w:ascii="Calibri" w:hAnsi="Calibri" w:cs="Calibri"/>
                <w:color w:val="000000"/>
                <w:szCs w:val="20"/>
              </w:rPr>
              <w:t xml:space="preserve">$13.04 </w:t>
            </w:r>
          </w:p>
        </w:tc>
        <w:tc>
          <w:tcPr>
            <w:tcW w:w="2748" w:type="dxa"/>
            <w:vAlign w:val="center"/>
          </w:tcPr>
          <w:p w:rsidR="009E7058" w:rsidRPr="0098763E" w:rsidP="009E7058" w14:paraId="3AC530A5" w14:textId="2DA89E17">
            <w:pPr>
              <w:widowControl/>
              <w:autoSpaceDE/>
              <w:autoSpaceDN/>
              <w:adjustRightInd/>
              <w:rPr>
                <w:rFonts w:asciiTheme="minorHAnsi" w:hAnsiTheme="minorHAnsi" w:cstheme="minorHAnsi"/>
                <w:szCs w:val="20"/>
              </w:rPr>
            </w:pPr>
            <w:r>
              <w:rPr>
                <w:rFonts w:ascii="Calibri" w:hAnsi="Calibri" w:cs="Calibri"/>
                <w:color w:val="000000"/>
                <w:szCs w:val="20"/>
              </w:rPr>
              <w:t xml:space="preserve">$4,504.28 </w:t>
            </w:r>
          </w:p>
        </w:tc>
      </w:tr>
      <w:tr w14:paraId="7B28AFC8" w14:textId="77777777" w:rsidTr="00A93AE1">
        <w:tblPrEx>
          <w:tblW w:w="7432" w:type="dxa"/>
          <w:tblLook w:val="01E0"/>
        </w:tblPrEx>
        <w:trPr>
          <w:trHeight w:val="440"/>
        </w:trPr>
        <w:tc>
          <w:tcPr>
            <w:tcW w:w="1528" w:type="dxa"/>
            <w:vAlign w:val="center"/>
            <w:hideMark/>
          </w:tcPr>
          <w:p w:rsidR="00872F4A" w:rsidP="00872F4A" w14:paraId="1305D6EE"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Federated States of Micronesia</w:t>
            </w:r>
          </w:p>
        </w:tc>
        <w:tc>
          <w:tcPr>
            <w:tcW w:w="1556" w:type="dxa"/>
          </w:tcPr>
          <w:p w:rsidR="00EC2B93" w:rsidRPr="0098763E" w:rsidP="00D26C20" w14:paraId="2B23AC1A" w14:textId="77777777">
            <w:pPr>
              <w:widowControl/>
              <w:autoSpaceDE/>
              <w:autoSpaceDN/>
              <w:adjustRightInd/>
              <w:rPr>
                <w:rFonts w:asciiTheme="minorHAnsi" w:hAnsiTheme="minorHAnsi" w:cstheme="minorHAnsi"/>
                <w:szCs w:val="20"/>
              </w:rPr>
            </w:pPr>
            <w:r w:rsidRPr="0098763E">
              <w:rPr>
                <w:rFonts w:asciiTheme="minorHAnsi" w:hAnsiTheme="minorHAnsi" w:cstheme="minorHAnsi"/>
                <w:szCs w:val="20"/>
              </w:rPr>
              <w:t>324.75</w:t>
            </w:r>
          </w:p>
          <w:p w:rsidR="00872F4A" w:rsidRPr="0098763E" w:rsidP="00D26C20" w14:paraId="6213192A" w14:textId="654D00B2">
            <w:pPr>
              <w:spacing w:line="256" w:lineRule="auto"/>
              <w:rPr>
                <w:rFonts w:asciiTheme="minorHAnsi" w:hAnsiTheme="minorHAnsi" w:cstheme="minorHAnsi"/>
                <w:szCs w:val="20"/>
              </w:rPr>
            </w:pPr>
          </w:p>
        </w:tc>
        <w:tc>
          <w:tcPr>
            <w:tcW w:w="1600" w:type="dxa"/>
            <w:hideMark/>
          </w:tcPr>
          <w:p w:rsidR="00872F4A" w:rsidRPr="0098763E" w:rsidP="00BC029D" w14:paraId="11B93CA6" w14:textId="38C59306">
            <w:pPr>
              <w:rPr>
                <w:rFonts w:asciiTheme="minorHAnsi" w:hAnsiTheme="minorHAnsi" w:cstheme="minorHAnsi"/>
                <w:szCs w:val="20"/>
              </w:rPr>
            </w:pPr>
            <w:r w:rsidRPr="0096768C">
              <w:rPr>
                <w:rFonts w:asciiTheme="minorHAnsi" w:hAnsiTheme="minorHAnsi" w:cstheme="minorHAnsi"/>
                <w:szCs w:val="20"/>
              </w:rPr>
              <w:t xml:space="preserve">$5.30 </w:t>
            </w:r>
          </w:p>
        </w:tc>
        <w:tc>
          <w:tcPr>
            <w:tcW w:w="2748" w:type="dxa"/>
          </w:tcPr>
          <w:p w:rsidR="00872F4A" w:rsidRPr="0098763E" w:rsidP="00D26C20" w14:paraId="0A585E5C" w14:textId="0EA62FA4">
            <w:pPr>
              <w:widowControl/>
              <w:autoSpaceDE/>
              <w:autoSpaceDN/>
              <w:adjustRightInd/>
              <w:rPr>
                <w:rFonts w:asciiTheme="minorHAnsi" w:hAnsiTheme="minorHAnsi" w:cstheme="minorHAnsi"/>
                <w:szCs w:val="20"/>
              </w:rPr>
            </w:pPr>
            <w:r w:rsidRPr="00BC029D">
              <w:rPr>
                <w:rFonts w:asciiTheme="minorHAnsi" w:hAnsiTheme="minorHAnsi" w:cstheme="minorHAnsi"/>
                <w:szCs w:val="20"/>
              </w:rPr>
              <w:t>$1,721.18</w:t>
            </w:r>
            <w:r w:rsidR="006B49F6">
              <w:rPr>
                <w:rFonts w:asciiTheme="minorHAnsi" w:hAnsiTheme="minorHAnsi" w:cstheme="minorHAnsi"/>
                <w:szCs w:val="20"/>
              </w:rPr>
              <w:t xml:space="preserve"> </w:t>
            </w:r>
          </w:p>
        </w:tc>
      </w:tr>
      <w:tr w14:paraId="033D4040" w14:textId="77777777" w:rsidTr="00A93AE1">
        <w:tblPrEx>
          <w:tblW w:w="7432" w:type="dxa"/>
          <w:tblLook w:val="01E0"/>
        </w:tblPrEx>
        <w:trPr>
          <w:trHeight w:val="440"/>
        </w:trPr>
        <w:tc>
          <w:tcPr>
            <w:tcW w:w="1528" w:type="dxa"/>
            <w:vAlign w:val="center"/>
            <w:hideMark/>
          </w:tcPr>
          <w:p w:rsidR="00872F4A" w:rsidP="00872F4A" w14:paraId="62EC8CFB"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Marshall Islands</w:t>
            </w:r>
          </w:p>
        </w:tc>
        <w:tc>
          <w:tcPr>
            <w:tcW w:w="1556" w:type="dxa"/>
          </w:tcPr>
          <w:p w:rsidR="00EC2B93" w:rsidRPr="0098763E" w:rsidP="00D26C20" w14:paraId="07E16542" w14:textId="77777777">
            <w:pPr>
              <w:widowControl/>
              <w:autoSpaceDE/>
              <w:autoSpaceDN/>
              <w:adjustRightInd/>
              <w:rPr>
                <w:rFonts w:asciiTheme="minorHAnsi" w:hAnsiTheme="minorHAnsi" w:cstheme="minorHAnsi"/>
                <w:szCs w:val="20"/>
              </w:rPr>
            </w:pPr>
            <w:r w:rsidRPr="0098763E">
              <w:rPr>
                <w:rFonts w:asciiTheme="minorHAnsi" w:hAnsiTheme="minorHAnsi" w:cstheme="minorHAnsi"/>
                <w:szCs w:val="20"/>
              </w:rPr>
              <w:t>205.8</w:t>
            </w:r>
          </w:p>
          <w:p w:rsidR="00872F4A" w:rsidRPr="0098763E" w:rsidP="00D26C20" w14:paraId="27E966CE" w14:textId="4CAFF214">
            <w:pPr>
              <w:spacing w:line="256" w:lineRule="auto"/>
              <w:rPr>
                <w:rFonts w:asciiTheme="minorHAnsi" w:hAnsiTheme="minorHAnsi" w:cstheme="minorHAnsi"/>
                <w:szCs w:val="20"/>
              </w:rPr>
            </w:pPr>
          </w:p>
        </w:tc>
        <w:tc>
          <w:tcPr>
            <w:tcW w:w="1600" w:type="dxa"/>
            <w:hideMark/>
          </w:tcPr>
          <w:p w:rsidR="00872F4A" w:rsidRPr="0098763E" w:rsidP="00212410" w14:paraId="4019BCB6" w14:textId="187E4D9E">
            <w:pPr>
              <w:rPr>
                <w:rFonts w:asciiTheme="minorHAnsi" w:hAnsiTheme="minorHAnsi" w:cstheme="minorHAnsi"/>
                <w:szCs w:val="20"/>
              </w:rPr>
            </w:pPr>
            <w:r w:rsidRPr="008F4672">
              <w:rPr>
                <w:rFonts w:asciiTheme="minorHAnsi" w:hAnsiTheme="minorHAnsi" w:cstheme="minorHAnsi"/>
                <w:szCs w:val="20"/>
              </w:rPr>
              <w:t xml:space="preserve">$6.00 </w:t>
            </w:r>
          </w:p>
        </w:tc>
        <w:tc>
          <w:tcPr>
            <w:tcW w:w="2748" w:type="dxa"/>
          </w:tcPr>
          <w:p w:rsidR="00872F4A" w:rsidRPr="0098763E" w:rsidP="00212410" w14:paraId="36695DB9" w14:textId="4074723A">
            <w:pPr>
              <w:rPr>
                <w:rFonts w:asciiTheme="minorHAnsi" w:hAnsiTheme="minorHAnsi" w:cstheme="minorHAnsi"/>
                <w:szCs w:val="20"/>
              </w:rPr>
            </w:pPr>
            <w:r w:rsidRPr="00212410">
              <w:rPr>
                <w:rFonts w:asciiTheme="minorHAnsi" w:hAnsiTheme="minorHAnsi" w:cstheme="minorHAnsi"/>
                <w:szCs w:val="20"/>
              </w:rPr>
              <w:t xml:space="preserve">$1,234.80 </w:t>
            </w:r>
          </w:p>
        </w:tc>
      </w:tr>
      <w:tr w14:paraId="5B290255" w14:textId="77777777" w:rsidTr="00A93AE1">
        <w:tblPrEx>
          <w:tblW w:w="7432" w:type="dxa"/>
          <w:tblLook w:val="01E0"/>
        </w:tblPrEx>
        <w:trPr>
          <w:trHeight w:val="440"/>
        </w:trPr>
        <w:tc>
          <w:tcPr>
            <w:tcW w:w="1528" w:type="dxa"/>
            <w:vAlign w:val="center"/>
            <w:hideMark/>
          </w:tcPr>
          <w:p w:rsidR="00872F4A" w:rsidP="00872F4A" w14:paraId="5FD69A02" w14:textId="77777777">
            <w:pPr>
              <w:widowControl/>
              <w:tabs>
                <w:tab w:val="num" w:pos="1080"/>
              </w:tabs>
              <w:spacing w:line="256" w:lineRule="auto"/>
              <w:rPr>
                <w:rFonts w:asciiTheme="minorHAnsi" w:hAnsiTheme="minorHAnsi"/>
                <w:b/>
                <w:szCs w:val="20"/>
              </w:rPr>
            </w:pPr>
            <w:r>
              <w:rPr>
                <w:rFonts w:asciiTheme="minorHAnsi" w:hAnsiTheme="minorHAnsi"/>
                <w:b/>
                <w:szCs w:val="20"/>
              </w:rPr>
              <w:t>Jurisdiction-Specific Northern Mariana Islands</w:t>
            </w:r>
          </w:p>
        </w:tc>
        <w:tc>
          <w:tcPr>
            <w:tcW w:w="1556" w:type="dxa"/>
          </w:tcPr>
          <w:p w:rsidR="00EC2B93" w:rsidRPr="0098763E" w:rsidP="00D26C20" w14:paraId="02FC4250" w14:textId="77777777">
            <w:pPr>
              <w:widowControl/>
              <w:autoSpaceDE/>
              <w:autoSpaceDN/>
              <w:adjustRightInd/>
              <w:rPr>
                <w:rFonts w:asciiTheme="minorHAnsi" w:hAnsiTheme="minorHAnsi" w:cstheme="minorHAnsi"/>
                <w:szCs w:val="20"/>
              </w:rPr>
            </w:pPr>
            <w:r w:rsidRPr="0098763E">
              <w:rPr>
                <w:rFonts w:asciiTheme="minorHAnsi" w:hAnsiTheme="minorHAnsi" w:cstheme="minorHAnsi"/>
                <w:szCs w:val="20"/>
              </w:rPr>
              <w:t>395.1</w:t>
            </w:r>
          </w:p>
          <w:p w:rsidR="00872F4A" w:rsidRPr="0098763E" w:rsidP="00D26C20" w14:paraId="46DF38DD" w14:textId="3486D492">
            <w:pPr>
              <w:spacing w:line="256" w:lineRule="auto"/>
              <w:rPr>
                <w:rFonts w:asciiTheme="minorHAnsi" w:hAnsiTheme="minorHAnsi" w:cstheme="minorHAnsi"/>
                <w:szCs w:val="20"/>
              </w:rPr>
            </w:pPr>
          </w:p>
        </w:tc>
        <w:tc>
          <w:tcPr>
            <w:tcW w:w="1600" w:type="dxa"/>
            <w:hideMark/>
          </w:tcPr>
          <w:p w:rsidR="00872F4A" w:rsidRPr="0098763E" w:rsidP="00D26C20" w14:paraId="7C95439C" w14:textId="4E4EEE04">
            <w:pPr>
              <w:widowControl/>
              <w:spacing w:line="256" w:lineRule="auto"/>
              <w:rPr>
                <w:rFonts w:asciiTheme="minorHAnsi" w:hAnsiTheme="minorHAnsi" w:cstheme="minorHAnsi"/>
                <w:szCs w:val="20"/>
              </w:rPr>
            </w:pPr>
            <w:r w:rsidRPr="00C601FC">
              <w:rPr>
                <w:rFonts w:asciiTheme="minorHAnsi" w:hAnsiTheme="minorHAnsi" w:cstheme="minorHAnsi"/>
                <w:szCs w:val="20"/>
              </w:rPr>
              <w:t>$14.50</w:t>
            </w:r>
            <w:r w:rsidR="006B49F6">
              <w:rPr>
                <w:rFonts w:asciiTheme="minorHAnsi" w:hAnsiTheme="minorHAnsi" w:cstheme="minorHAnsi"/>
                <w:szCs w:val="20"/>
              </w:rPr>
              <w:t xml:space="preserve"> </w:t>
            </w:r>
          </w:p>
        </w:tc>
        <w:tc>
          <w:tcPr>
            <w:tcW w:w="2748" w:type="dxa"/>
          </w:tcPr>
          <w:p w:rsidR="00872F4A" w:rsidRPr="0098763E" w:rsidP="00D26C20" w14:paraId="054FA2E6" w14:textId="450DEC37">
            <w:pPr>
              <w:widowControl/>
              <w:autoSpaceDE/>
              <w:autoSpaceDN/>
              <w:adjustRightInd/>
              <w:rPr>
                <w:rFonts w:asciiTheme="minorHAnsi" w:hAnsiTheme="minorHAnsi" w:cstheme="minorHAnsi"/>
                <w:szCs w:val="20"/>
              </w:rPr>
            </w:pPr>
            <w:r w:rsidRPr="006C1013">
              <w:rPr>
                <w:rFonts w:asciiTheme="minorHAnsi" w:hAnsiTheme="minorHAnsi" w:cstheme="minorHAnsi"/>
                <w:szCs w:val="20"/>
              </w:rPr>
              <w:t>$5,728.95</w:t>
            </w:r>
            <w:r w:rsidR="006B49F6">
              <w:rPr>
                <w:rFonts w:asciiTheme="minorHAnsi" w:hAnsiTheme="minorHAnsi" w:cstheme="minorHAnsi"/>
                <w:szCs w:val="20"/>
              </w:rPr>
              <w:t xml:space="preserve"> </w:t>
            </w:r>
          </w:p>
        </w:tc>
      </w:tr>
      <w:tr w14:paraId="271614C8" w14:textId="77777777" w:rsidTr="00A93AE1">
        <w:tblPrEx>
          <w:tblW w:w="7432" w:type="dxa"/>
          <w:tblLook w:val="01E0"/>
        </w:tblPrEx>
        <w:trPr>
          <w:trHeight w:val="440"/>
        </w:trPr>
        <w:tc>
          <w:tcPr>
            <w:tcW w:w="1528" w:type="dxa"/>
            <w:vAlign w:val="center"/>
            <w:hideMark/>
          </w:tcPr>
          <w:p w:rsidR="00872F4A" w:rsidP="00872F4A" w14:paraId="4F4B5A3C" w14:textId="77777777">
            <w:pPr>
              <w:widowControl/>
              <w:tabs>
                <w:tab w:val="num" w:pos="1080"/>
              </w:tabs>
              <w:spacing w:line="256" w:lineRule="auto"/>
              <w:rPr>
                <w:rFonts w:asciiTheme="minorHAnsi" w:hAnsiTheme="minorHAnsi"/>
                <w:b/>
                <w:szCs w:val="20"/>
              </w:rPr>
            </w:pPr>
            <w:r>
              <w:rPr>
                <w:rFonts w:asciiTheme="minorHAnsi" w:hAnsiTheme="minorHAnsi"/>
                <w:b/>
                <w:szCs w:val="20"/>
              </w:rPr>
              <w:t>Jurisdiction-Specific Palau</w:t>
            </w:r>
          </w:p>
        </w:tc>
        <w:tc>
          <w:tcPr>
            <w:tcW w:w="1556" w:type="dxa"/>
          </w:tcPr>
          <w:p w:rsidR="00260854" w:rsidRPr="0098763E" w:rsidP="00D26C20" w14:paraId="77A5BD8F" w14:textId="77777777">
            <w:pPr>
              <w:widowControl/>
              <w:autoSpaceDE/>
              <w:autoSpaceDN/>
              <w:adjustRightInd/>
              <w:rPr>
                <w:rFonts w:asciiTheme="minorHAnsi" w:hAnsiTheme="minorHAnsi" w:cstheme="minorHAnsi"/>
                <w:szCs w:val="20"/>
              </w:rPr>
            </w:pPr>
            <w:r w:rsidRPr="0098763E">
              <w:rPr>
                <w:rFonts w:asciiTheme="minorHAnsi" w:hAnsiTheme="minorHAnsi" w:cstheme="minorHAnsi"/>
                <w:szCs w:val="20"/>
              </w:rPr>
              <w:t>183.55</w:t>
            </w:r>
          </w:p>
          <w:p w:rsidR="00872F4A" w:rsidRPr="0098763E" w:rsidP="00D26C20" w14:paraId="18D18418" w14:textId="760569C6">
            <w:pPr>
              <w:spacing w:line="256" w:lineRule="auto"/>
              <w:rPr>
                <w:rFonts w:asciiTheme="minorHAnsi" w:hAnsiTheme="minorHAnsi" w:cstheme="minorHAnsi"/>
                <w:szCs w:val="20"/>
              </w:rPr>
            </w:pPr>
          </w:p>
        </w:tc>
        <w:tc>
          <w:tcPr>
            <w:tcW w:w="1600" w:type="dxa"/>
            <w:hideMark/>
          </w:tcPr>
          <w:p w:rsidR="00872F4A" w:rsidRPr="0098763E" w:rsidP="00D86893" w14:paraId="38C54D75" w14:textId="25AC3980">
            <w:pPr>
              <w:rPr>
                <w:rFonts w:asciiTheme="minorHAnsi" w:hAnsiTheme="minorHAnsi" w:cstheme="minorHAnsi"/>
                <w:szCs w:val="20"/>
              </w:rPr>
            </w:pPr>
            <w:r w:rsidRPr="006A36E3">
              <w:rPr>
                <w:rFonts w:asciiTheme="minorHAnsi" w:hAnsiTheme="minorHAnsi" w:cstheme="minorHAnsi"/>
                <w:szCs w:val="20"/>
              </w:rPr>
              <w:t xml:space="preserve">$10.00 </w:t>
            </w:r>
          </w:p>
        </w:tc>
        <w:tc>
          <w:tcPr>
            <w:tcW w:w="2748" w:type="dxa"/>
          </w:tcPr>
          <w:p w:rsidR="00872F4A" w:rsidRPr="0098763E" w:rsidP="00D86893" w14:paraId="043958F3" w14:textId="5B2699F9">
            <w:pPr>
              <w:rPr>
                <w:rFonts w:asciiTheme="minorHAnsi" w:hAnsiTheme="minorHAnsi" w:cstheme="minorHAnsi"/>
                <w:szCs w:val="20"/>
              </w:rPr>
            </w:pPr>
            <w:r w:rsidRPr="00272A5F">
              <w:rPr>
                <w:rFonts w:asciiTheme="minorHAnsi" w:hAnsiTheme="minorHAnsi" w:cstheme="minorHAnsi"/>
                <w:szCs w:val="20"/>
              </w:rPr>
              <w:t xml:space="preserve">$1,835.50 </w:t>
            </w:r>
          </w:p>
        </w:tc>
      </w:tr>
      <w:tr w14:paraId="61C46EE5" w14:textId="77777777" w:rsidTr="00A93AE1">
        <w:tblPrEx>
          <w:tblW w:w="7432" w:type="dxa"/>
          <w:tblLook w:val="01E0"/>
        </w:tblPrEx>
        <w:trPr>
          <w:trHeight w:val="440"/>
        </w:trPr>
        <w:tc>
          <w:tcPr>
            <w:tcW w:w="1528" w:type="dxa"/>
            <w:vAlign w:val="center"/>
            <w:hideMark/>
          </w:tcPr>
          <w:p w:rsidR="00D34B32" w:rsidP="00D34B32" w14:paraId="15280078" w14:textId="77777777">
            <w:pPr>
              <w:widowControl/>
              <w:tabs>
                <w:tab w:val="num" w:pos="1080"/>
              </w:tabs>
              <w:spacing w:line="256" w:lineRule="auto"/>
              <w:rPr>
                <w:rFonts w:asciiTheme="minorHAnsi" w:hAnsiTheme="minorHAnsi"/>
                <w:b/>
                <w:bCs/>
                <w:szCs w:val="20"/>
              </w:rPr>
            </w:pPr>
            <w:r>
              <w:rPr>
                <w:rFonts w:asciiTheme="minorHAnsi" w:hAnsiTheme="minorHAnsi"/>
                <w:b/>
                <w:bCs/>
                <w:szCs w:val="20"/>
              </w:rPr>
              <w:t>Total</w:t>
            </w:r>
          </w:p>
        </w:tc>
        <w:tc>
          <w:tcPr>
            <w:tcW w:w="1556" w:type="dxa"/>
          </w:tcPr>
          <w:p w:rsidR="00D34B32" w:rsidRPr="0098763E" w:rsidP="00D26C20" w14:paraId="3AA6BDD5" w14:textId="018CC421">
            <w:pPr>
              <w:widowControl/>
              <w:autoSpaceDE/>
              <w:autoSpaceDN/>
              <w:adjustRightInd/>
              <w:rPr>
                <w:rFonts w:asciiTheme="minorHAnsi" w:hAnsiTheme="minorHAnsi" w:cstheme="minorBidi"/>
              </w:rPr>
            </w:pPr>
            <w:r w:rsidRPr="3CBA248C">
              <w:rPr>
                <w:rFonts w:asciiTheme="minorHAnsi" w:hAnsiTheme="minorHAnsi" w:cstheme="minorBidi"/>
              </w:rPr>
              <w:t>3155</w:t>
            </w:r>
          </w:p>
        </w:tc>
        <w:tc>
          <w:tcPr>
            <w:tcW w:w="1600" w:type="dxa"/>
          </w:tcPr>
          <w:p w:rsidR="00D34B32" w:rsidRPr="0098763E" w:rsidP="00D26C20" w14:paraId="29CD5DBC" w14:textId="77777777">
            <w:pPr>
              <w:widowControl/>
              <w:spacing w:line="256" w:lineRule="auto"/>
              <w:rPr>
                <w:rFonts w:asciiTheme="minorHAnsi" w:hAnsiTheme="minorHAnsi" w:cstheme="minorHAnsi"/>
                <w:b/>
                <w:szCs w:val="20"/>
              </w:rPr>
            </w:pPr>
          </w:p>
        </w:tc>
        <w:tc>
          <w:tcPr>
            <w:tcW w:w="2748" w:type="dxa"/>
          </w:tcPr>
          <w:p w:rsidR="00D34B32" w:rsidRPr="0098763E" w:rsidP="00D26C20" w14:paraId="4691C878" w14:textId="261E34CB">
            <w:pPr>
              <w:widowControl/>
              <w:autoSpaceDE/>
              <w:autoSpaceDN/>
              <w:adjustRightInd/>
              <w:rPr>
                <w:rFonts w:asciiTheme="minorHAnsi" w:hAnsiTheme="minorHAnsi" w:cstheme="minorBidi"/>
              </w:rPr>
            </w:pPr>
            <w:r w:rsidRPr="00D86893">
              <w:rPr>
                <w:rFonts w:asciiTheme="minorHAnsi" w:hAnsiTheme="minorHAnsi" w:cstheme="minorBidi"/>
              </w:rPr>
              <w:t>$78,627.10</w:t>
            </w:r>
            <w:r w:rsidR="006B49F6">
              <w:rPr>
                <w:rFonts w:asciiTheme="minorHAnsi" w:hAnsiTheme="minorHAnsi" w:cstheme="minorBidi"/>
              </w:rPr>
              <w:t xml:space="preserve"> </w:t>
            </w:r>
          </w:p>
        </w:tc>
      </w:tr>
    </w:tbl>
    <w:p w:rsidR="00A5240E" w:rsidRPr="00CE50AE" w:rsidP="00D84D9E" w14:paraId="207D4774" w14:textId="77777777">
      <w:pPr>
        <w:widowControl/>
        <w:spacing w:before="120"/>
        <w:rPr>
          <w:rFonts w:asciiTheme="minorHAnsi" w:hAnsiTheme="minorHAnsi"/>
          <w:b/>
          <w:szCs w:val="22"/>
        </w:rPr>
      </w:pPr>
    </w:p>
    <w:p w:rsidR="00D84D9E" w:rsidRPr="005307EF" w:rsidP="00EE7754" w14:paraId="4E230452" w14:textId="77777777">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 xml:space="preserve">Estimates of other Total Annual Cost Burden to Respondents </w:t>
      </w:r>
    </w:p>
    <w:p w:rsidR="00D84D9E" w:rsidRPr="005307EF" w:rsidP="00E91F07" w14:paraId="30699335"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There are no direct costs to respondents other than their time to participate in the study. </w:t>
      </w:r>
    </w:p>
    <w:p w:rsidR="0044019C" w:rsidRPr="0033093B" w:rsidP="00EE7754" w14:paraId="2A80A44D" w14:textId="77777777">
      <w:pPr>
        <w:numPr>
          <w:ilvl w:val="0"/>
          <w:numId w:val="5"/>
        </w:numPr>
        <w:spacing w:before="240"/>
        <w:rPr>
          <w:rFonts w:asciiTheme="minorHAnsi" w:hAnsiTheme="minorHAnsi"/>
          <w:b/>
          <w:sz w:val="22"/>
          <w:szCs w:val="22"/>
        </w:rPr>
      </w:pPr>
      <w:r w:rsidRPr="0033093B">
        <w:rPr>
          <w:rFonts w:asciiTheme="minorHAnsi" w:hAnsiTheme="minorHAnsi"/>
          <w:b/>
          <w:sz w:val="22"/>
          <w:szCs w:val="22"/>
          <w:u w:val="single"/>
        </w:rPr>
        <w:t>Annualized Cost to the Federal Government</w:t>
      </w:r>
    </w:p>
    <w:p w:rsidR="0044019C" w:rsidRPr="003F26AB" w:rsidP="0044019C" w14:paraId="242BF08C" w14:textId="187AC2F3">
      <w:pPr>
        <w:spacing w:before="120" w:after="120"/>
        <w:rPr>
          <w:rFonts w:asciiTheme="minorHAnsi" w:hAnsiTheme="minorHAnsi"/>
          <w:sz w:val="22"/>
          <w:szCs w:val="22"/>
        </w:rPr>
      </w:pPr>
      <w:r w:rsidRPr="003F26AB">
        <w:rPr>
          <w:rFonts w:asciiTheme="minorHAnsi" w:hAnsiTheme="minorHAnsi"/>
          <w:sz w:val="22"/>
          <w:szCs w:val="22"/>
        </w:rPr>
        <w:t>This da</w:t>
      </w:r>
      <w:r w:rsidRPr="00DA6099">
        <w:rPr>
          <w:rFonts w:asciiTheme="minorHAnsi" w:hAnsiTheme="minorHAnsi"/>
          <w:sz w:val="22"/>
          <w:szCs w:val="22"/>
        </w:rPr>
        <w:t xml:space="preserve">ta collection will be carried out under a contract awarded to NORC in the </w:t>
      </w:r>
      <w:r w:rsidR="009148F5">
        <w:rPr>
          <w:rFonts w:asciiTheme="minorHAnsi" w:hAnsiTheme="minorHAnsi"/>
          <w:sz w:val="22"/>
          <w:szCs w:val="22"/>
        </w:rPr>
        <w:t xml:space="preserve">total </w:t>
      </w:r>
      <w:r w:rsidRPr="00DA6099">
        <w:rPr>
          <w:rFonts w:asciiTheme="minorHAnsi" w:hAnsiTheme="minorHAnsi"/>
          <w:sz w:val="22"/>
          <w:szCs w:val="22"/>
        </w:rPr>
        <w:t xml:space="preserve">amount of </w:t>
      </w:r>
      <w:r w:rsidR="009148F5">
        <w:rPr>
          <w:rFonts w:asciiTheme="minorHAnsi" w:hAnsiTheme="minorHAnsi"/>
          <w:sz w:val="22"/>
          <w:szCs w:val="22"/>
        </w:rPr>
        <w:t xml:space="preserve">$5,342,452, representing an annual cost of </w:t>
      </w:r>
      <w:r w:rsidRPr="000A560D">
        <w:rPr>
          <w:rFonts w:asciiTheme="minorHAnsi" w:hAnsiTheme="minorHAnsi"/>
          <w:sz w:val="22"/>
          <w:szCs w:val="22"/>
        </w:rPr>
        <w:t>$</w:t>
      </w:r>
      <w:r w:rsidRPr="000A560D" w:rsidR="00C70B53">
        <w:rPr>
          <w:rFonts w:asciiTheme="minorHAnsi" w:eastAsiaTheme="minorHAnsi" w:hAnsiTheme="minorHAnsi"/>
          <w:sz w:val="22"/>
          <w:szCs w:val="22"/>
        </w:rPr>
        <w:t>1,</w:t>
      </w:r>
      <w:r w:rsidRPr="000A560D" w:rsidR="001C3848">
        <w:rPr>
          <w:rFonts w:asciiTheme="minorHAnsi" w:hAnsiTheme="minorHAnsi"/>
          <w:sz w:val="22"/>
          <w:szCs w:val="22"/>
        </w:rPr>
        <w:t>068</w:t>
      </w:r>
      <w:r w:rsidR="004464A7">
        <w:rPr>
          <w:rFonts w:asciiTheme="minorHAnsi" w:hAnsiTheme="minorHAnsi"/>
          <w:sz w:val="22"/>
          <w:szCs w:val="22"/>
        </w:rPr>
        <w:t>,</w:t>
      </w:r>
      <w:r w:rsidR="001C3848">
        <w:rPr>
          <w:rFonts w:asciiTheme="minorHAnsi" w:hAnsiTheme="minorHAnsi"/>
          <w:sz w:val="22"/>
          <w:szCs w:val="22"/>
        </w:rPr>
        <w:t>490.40</w:t>
      </w:r>
      <w:r w:rsidRPr="00DA6099">
        <w:rPr>
          <w:rFonts w:asciiTheme="minorHAnsi" w:hAnsiTheme="minorHAnsi"/>
          <w:sz w:val="22"/>
          <w:szCs w:val="22"/>
        </w:rPr>
        <w:t>.</w:t>
      </w:r>
      <w:r w:rsidR="003D6555">
        <w:rPr>
          <w:rFonts w:asciiTheme="minorHAnsi" w:hAnsiTheme="minorHAnsi"/>
          <w:sz w:val="22"/>
          <w:szCs w:val="22"/>
        </w:rPr>
        <w:t xml:space="preserve"> </w:t>
      </w:r>
      <w:r w:rsidRPr="00DA6099">
        <w:rPr>
          <w:rFonts w:asciiTheme="minorHAnsi" w:hAnsiTheme="minorHAnsi"/>
          <w:sz w:val="22"/>
          <w:szCs w:val="22"/>
        </w:rPr>
        <w:t xml:space="preserve">This contract </w:t>
      </w:r>
      <w:r w:rsidR="009148F5">
        <w:rPr>
          <w:rFonts w:asciiTheme="minorHAnsi" w:hAnsiTheme="minorHAnsi"/>
          <w:sz w:val="22"/>
          <w:szCs w:val="22"/>
        </w:rPr>
        <w:t xml:space="preserve">includes a 12-month base period plus four 12-month option periods. </w:t>
      </w:r>
    </w:p>
    <w:p w:rsidR="0044019C" w:rsidRPr="0033093B" w:rsidP="0044019C" w14:paraId="44B7E4C7" w14:textId="521B6A8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rPr>
          <w:rFonts w:asciiTheme="minorHAnsi" w:hAnsiTheme="minorHAnsi"/>
          <w:sz w:val="22"/>
          <w:szCs w:val="22"/>
        </w:rPr>
      </w:pPr>
      <w:r w:rsidRPr="0033093B">
        <w:rPr>
          <w:rFonts w:asciiTheme="minorHAnsi" w:hAnsiTheme="minorHAnsi"/>
          <w:sz w:val="22"/>
          <w:szCs w:val="22"/>
        </w:rPr>
        <w:t>Additionally, the cost to the government consists mainly of the salaries of the HRSA staff who (1) determine the content of the data collection instruments, (2) oversee the scope of work conducted under the aforementioned contract, and (3) assist in the analysis of the results and recommend changes in questionnaire wording:</w:t>
      </w:r>
    </w:p>
    <w:p w:rsidR="00C26764" w:rsidRPr="00063A40" w:rsidP="0044019C" w14:paraId="07DAE1B6" w14:textId="1F076EB1">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t xml:space="preserve">Table </w:t>
      </w:r>
      <w:r w:rsidRPr="0033093B">
        <w:rPr>
          <w:b/>
        </w:rPr>
        <w:t>4</w:t>
      </w:r>
      <w:r w:rsidRPr="0033093B">
        <w:rPr>
          <w:rFonts w:asciiTheme="minorHAnsi" w:hAnsiTheme="minorHAnsi"/>
          <w:b/>
          <w:szCs w:val="22"/>
        </w:rPr>
        <w:t>:   Estimated Government Staff Costs</w:t>
      </w:r>
      <w:r w:rsidRPr="0033093B">
        <w:rPr>
          <w:rFonts w:asciiTheme="minorHAnsi" w:hAnsiTheme="minorHAnsi"/>
          <w:szCs w:val="22"/>
        </w:rPr>
        <w:t>.</w:t>
      </w:r>
    </w:p>
    <w:tbl>
      <w:tblPr>
        <w:tblW w:w="9005" w:type="dxa"/>
        <w:tblInd w:w="-10" w:type="dxa"/>
        <w:tblLayout w:type="fixed"/>
        <w:tblCellMar>
          <w:left w:w="0" w:type="dxa"/>
          <w:right w:w="0" w:type="dxa"/>
        </w:tblCellMar>
        <w:tblLook w:val="04A0"/>
      </w:tblPr>
      <w:tblGrid>
        <w:gridCol w:w="185"/>
        <w:gridCol w:w="2605"/>
        <w:gridCol w:w="2435"/>
        <w:gridCol w:w="1710"/>
        <w:gridCol w:w="2070"/>
      </w:tblGrid>
      <w:tr w14:paraId="2A142BEE"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67BE" w:rsidRPr="00286C3C" w:rsidP="00822D6C" w14:paraId="25292EFF" w14:textId="77777777">
            <w:pPr>
              <w:ind w:right="300"/>
              <w:rPr>
                <w:rFonts w:asciiTheme="minorHAnsi" w:hAnsiTheme="minorHAnsi" w:cstheme="minorHAnsi"/>
                <w:b/>
                <w:bCs/>
                <w:szCs w:val="22"/>
              </w:rPr>
            </w:pPr>
            <w:r w:rsidRPr="00286C3C">
              <w:rPr>
                <w:rFonts w:asciiTheme="minorHAnsi" w:hAnsiTheme="minorHAnsi" w:cstheme="minorHAnsi"/>
                <w:b/>
                <w:bCs/>
              </w:rPr>
              <w:t>Type of Federal Program Staff</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67BE" w:rsidRPr="00286C3C" w:rsidP="00822D6C" w14:paraId="37FCB4B8" w14:textId="1F2A49A9">
            <w:pPr>
              <w:rPr>
                <w:rFonts w:asciiTheme="minorHAnsi" w:hAnsiTheme="minorHAnsi" w:cstheme="minorHAnsi"/>
                <w:b/>
                <w:bCs/>
              </w:rPr>
            </w:pPr>
            <w:r w:rsidRPr="00286C3C">
              <w:rPr>
                <w:rFonts w:asciiTheme="minorHAnsi" w:hAnsiTheme="minorHAnsi" w:cstheme="minorHAnsi"/>
                <w:b/>
                <w:bCs/>
              </w:rPr>
              <w:t>Av</w:t>
            </w:r>
            <w:r>
              <w:rPr>
                <w:rFonts w:asciiTheme="minorHAnsi" w:hAnsiTheme="minorHAnsi" w:cstheme="minorHAnsi"/>
                <w:b/>
                <w:bCs/>
              </w:rPr>
              <w:t>erage Total Annual Burden Hours</w:t>
            </w:r>
          </w:p>
        </w:tc>
        <w:tc>
          <w:tcPr>
            <w:tcW w:w="1710" w:type="dxa"/>
            <w:tcBorders>
              <w:top w:val="single" w:sz="4" w:space="0" w:color="auto"/>
              <w:left w:val="single" w:sz="4" w:space="0" w:color="auto"/>
              <w:bottom w:val="single" w:sz="4" w:space="0" w:color="auto"/>
              <w:right w:val="single" w:sz="4" w:space="0" w:color="auto"/>
            </w:tcBorders>
          </w:tcPr>
          <w:p w:rsidR="00F067BE" w:rsidRPr="00286C3C" w:rsidP="00822D6C" w14:paraId="61DCC0F7" w14:textId="2120E0D0">
            <w:pPr>
              <w:rPr>
                <w:rFonts w:asciiTheme="minorHAnsi" w:hAnsiTheme="minorHAnsi" w:cstheme="minorHAnsi"/>
                <w:b/>
                <w:bCs/>
              </w:rPr>
            </w:pPr>
            <w:r>
              <w:rPr>
                <w:rFonts w:asciiTheme="minorHAnsi" w:hAnsiTheme="minorHAnsi" w:cstheme="minorHAnsi"/>
                <w:b/>
                <w:bCs/>
              </w:rPr>
              <w:t>Hourly Wage Rate*</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67BE" w:rsidRPr="00286C3C" w:rsidP="00822D6C" w14:paraId="49AA6C93" w14:textId="3F5CB01B">
            <w:pPr>
              <w:rPr>
                <w:rFonts w:asciiTheme="minorHAnsi" w:hAnsiTheme="minorHAnsi" w:cstheme="minorHAnsi"/>
                <w:b/>
                <w:bCs/>
              </w:rPr>
            </w:pPr>
            <w:r w:rsidRPr="00286C3C">
              <w:rPr>
                <w:rFonts w:asciiTheme="minorHAnsi" w:hAnsiTheme="minorHAnsi" w:cstheme="minorHAnsi"/>
                <w:b/>
                <w:bCs/>
              </w:rPr>
              <w:t>Total Respondent Costs</w:t>
            </w:r>
          </w:p>
        </w:tc>
      </w:tr>
      <w:tr w14:paraId="2C1FCB22"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86C3C" w:rsidP="009C1A57" w14:paraId="59237F2C" w14:textId="409500A0">
            <w:pPr>
              <w:ind w:right="300"/>
              <w:rPr>
                <w:rFonts w:asciiTheme="minorHAnsi" w:hAnsiTheme="minorHAnsi" w:cstheme="minorHAnsi"/>
                <w:b/>
                <w:bCs/>
              </w:rPr>
            </w:pPr>
            <w:r w:rsidRPr="0021258E">
              <w:rPr>
                <w:rFonts w:asciiTheme="minorHAnsi" w:hAnsiTheme="minorHAnsi"/>
              </w:rPr>
              <w:t>Supervisory Public Health Analyst (GS-015)</w:t>
            </w:r>
            <w:r>
              <w:rPr>
                <w:rFonts w:asciiTheme="minorHAnsi" w:hAnsiTheme="minorHAnsi"/>
              </w:rPr>
              <w:t xml:space="preserve"> </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86C3C" w:rsidP="00F067BE" w14:paraId="41D29A85" w14:textId="3BE2E11A">
            <w:pPr>
              <w:jc w:val="center"/>
              <w:rPr>
                <w:rFonts w:asciiTheme="minorHAnsi" w:hAnsiTheme="minorHAnsi" w:cstheme="minorHAnsi"/>
                <w:b/>
                <w:bCs/>
              </w:rPr>
            </w:pPr>
            <w:r>
              <w:rPr>
                <w:rFonts w:asciiTheme="minorHAnsi" w:hAnsiTheme="minorHAnsi"/>
              </w:rPr>
              <w:t>25</w:t>
            </w:r>
            <w:r w:rsidRPr="0021258E">
              <w:rPr>
                <w:rFonts w:asciiTheme="minorHAnsi" w:hAnsiTheme="minorHAnsi"/>
              </w:rPr>
              <w:t xml:space="preserve"> (0.0</w:t>
            </w:r>
            <w:r>
              <w:rPr>
                <w:rFonts w:asciiTheme="minorHAnsi" w:hAnsiTheme="minorHAnsi"/>
              </w:rPr>
              <w:t>12</w:t>
            </w:r>
            <w:r w:rsidRPr="0021258E">
              <w:rPr>
                <w:rFonts w:asciiTheme="minorHAnsi" w:hAnsiTheme="minorHAnsi"/>
              </w:rPr>
              <w:t xml:space="preserve"> FTE)</w:t>
            </w:r>
          </w:p>
        </w:tc>
        <w:tc>
          <w:tcPr>
            <w:tcW w:w="1710" w:type="dxa"/>
            <w:tcBorders>
              <w:top w:val="single" w:sz="4" w:space="0" w:color="auto"/>
              <w:left w:val="single" w:sz="4" w:space="0" w:color="auto"/>
              <w:bottom w:val="single" w:sz="4" w:space="0" w:color="auto"/>
              <w:right w:val="single" w:sz="4" w:space="0" w:color="auto"/>
            </w:tcBorders>
          </w:tcPr>
          <w:p w:rsidR="00F067BE" w:rsidP="00F067BE" w14:paraId="76E3B062" w14:textId="1DED6CD1">
            <w:pPr>
              <w:jc w:val="center"/>
              <w:rPr>
                <w:rFonts w:asciiTheme="minorHAnsi" w:hAnsiTheme="minorHAnsi" w:cstheme="minorHAnsi"/>
              </w:rPr>
            </w:pPr>
            <w:r>
              <w:rPr>
                <w:rFonts w:asciiTheme="minorHAnsi" w:hAnsiTheme="minorHAnsi" w:cstheme="minorHAnsi"/>
              </w:rPr>
              <w:t>$1</w:t>
            </w:r>
            <w:r w:rsidR="00A16B7D">
              <w:rPr>
                <w:rFonts w:asciiTheme="minorHAnsi" w:hAnsiTheme="minorHAnsi" w:cstheme="minorHAnsi"/>
              </w:rPr>
              <w:t>32.51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86C3C" w:rsidP="00F067BE" w14:paraId="615F9D3B" w14:textId="38743F87">
            <w:pPr>
              <w:jc w:val="right"/>
              <w:rPr>
                <w:rFonts w:asciiTheme="minorHAnsi" w:hAnsiTheme="minorHAnsi" w:cstheme="minorHAnsi"/>
                <w:b/>
                <w:bCs/>
              </w:rPr>
            </w:pPr>
            <w:r>
              <w:rPr>
                <w:rFonts w:asciiTheme="minorHAnsi" w:hAnsiTheme="minorHAnsi" w:cstheme="minorHAnsi"/>
              </w:rPr>
              <w:t>$3,</w:t>
            </w:r>
            <w:r w:rsidR="00A16B7D">
              <w:rPr>
                <w:rFonts w:asciiTheme="minorHAnsi" w:hAnsiTheme="minorHAnsi" w:cstheme="minorHAnsi"/>
              </w:rPr>
              <w:t>312.75</w:t>
            </w:r>
          </w:p>
        </w:tc>
      </w:tr>
      <w:tr w14:paraId="23E3C911"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1258E" w:rsidP="009C1A57" w14:paraId="62E60BD8" w14:textId="5564DABC">
            <w:pPr>
              <w:rPr>
                <w:rFonts w:asciiTheme="minorHAnsi" w:hAnsiTheme="minorHAnsi" w:cstheme="minorHAnsi"/>
              </w:rPr>
            </w:pPr>
            <w:r w:rsidRPr="0021258E">
              <w:rPr>
                <w:rFonts w:asciiTheme="minorHAnsi" w:hAnsiTheme="minorHAnsi"/>
              </w:rPr>
              <w:t>Supervisory Public Health Analyst (GS-015)</w:t>
            </w:r>
            <w:r>
              <w:rPr>
                <w:rFonts w:asciiTheme="minorHAnsi" w:hAnsiTheme="minorHAnsi"/>
              </w:rPr>
              <w:t xml:space="preserve"> </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1258E" w:rsidP="00F067BE" w14:paraId="2E615B20" w14:textId="5BFCC0E5">
            <w:pPr>
              <w:jc w:val="center"/>
              <w:rPr>
                <w:rFonts w:asciiTheme="minorHAnsi" w:hAnsiTheme="minorHAnsi" w:cstheme="minorHAnsi"/>
              </w:rPr>
            </w:pPr>
            <w:r>
              <w:rPr>
                <w:rFonts w:asciiTheme="minorHAnsi" w:hAnsiTheme="minorHAnsi"/>
              </w:rPr>
              <w:t>40</w:t>
            </w:r>
            <w:r w:rsidRPr="0021258E">
              <w:rPr>
                <w:rFonts w:asciiTheme="minorHAnsi" w:hAnsiTheme="minorHAnsi"/>
              </w:rPr>
              <w:t xml:space="preserve"> (0.</w:t>
            </w:r>
            <w:r>
              <w:rPr>
                <w:rFonts w:asciiTheme="minorHAnsi" w:hAnsiTheme="minorHAnsi"/>
              </w:rPr>
              <w:t>019</w:t>
            </w:r>
            <w:r w:rsidRPr="0021258E">
              <w:rPr>
                <w:rFonts w:asciiTheme="minorHAnsi" w:hAnsiTheme="minorHAnsi"/>
              </w:rPr>
              <w:t xml:space="preserve"> FTE)</w:t>
            </w:r>
          </w:p>
        </w:tc>
        <w:tc>
          <w:tcPr>
            <w:tcW w:w="1710" w:type="dxa"/>
            <w:tcBorders>
              <w:top w:val="single" w:sz="4" w:space="0" w:color="auto"/>
              <w:left w:val="single" w:sz="4" w:space="0" w:color="auto"/>
              <w:bottom w:val="single" w:sz="4" w:space="0" w:color="auto"/>
              <w:right w:val="single" w:sz="4" w:space="0" w:color="auto"/>
            </w:tcBorders>
          </w:tcPr>
          <w:p w:rsidR="00F067BE" w:rsidP="00F067BE" w14:paraId="51EF3353" w14:textId="5EB60152">
            <w:pPr>
              <w:jc w:val="center"/>
              <w:rPr>
                <w:rFonts w:asciiTheme="minorHAnsi" w:hAnsiTheme="minorHAnsi" w:cstheme="minorHAnsi"/>
              </w:rPr>
            </w:pPr>
            <w:r>
              <w:rPr>
                <w:rFonts w:asciiTheme="minorHAnsi" w:hAnsiTheme="minorHAnsi" w:cstheme="minorHAnsi"/>
              </w:rPr>
              <w:t>$</w:t>
            </w:r>
            <w:r w:rsidR="00E477E8">
              <w:rPr>
                <w:rFonts w:asciiTheme="minorHAnsi" w:hAnsiTheme="minorHAnsi" w:cstheme="minorHAnsi"/>
              </w:rPr>
              <w:t>140.30</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1258E" w:rsidP="00F067BE" w14:paraId="3C6904A4" w14:textId="075D9A7B">
            <w:pPr>
              <w:jc w:val="right"/>
              <w:rPr>
                <w:rFonts w:asciiTheme="minorHAnsi" w:hAnsiTheme="minorHAnsi" w:cstheme="minorHAnsi"/>
              </w:rPr>
            </w:pPr>
            <w:r>
              <w:rPr>
                <w:rFonts w:asciiTheme="minorHAnsi" w:hAnsiTheme="minorHAnsi" w:cstheme="minorHAnsi"/>
              </w:rPr>
              <w:t>$</w:t>
            </w:r>
            <w:r w:rsidR="006205C4">
              <w:rPr>
                <w:rFonts w:asciiTheme="minorHAnsi" w:hAnsiTheme="minorHAnsi" w:cstheme="minorHAnsi"/>
              </w:rPr>
              <w:t>5,612</w:t>
            </w:r>
            <w:r w:rsidR="008F0F94">
              <w:rPr>
                <w:rFonts w:asciiTheme="minorHAnsi" w:hAnsiTheme="minorHAnsi" w:cstheme="minorHAnsi"/>
              </w:rPr>
              <w:t>.00</w:t>
            </w:r>
          </w:p>
        </w:tc>
      </w:tr>
      <w:tr w14:paraId="45FE710C"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1258E" w:rsidP="009C1A57" w14:paraId="5BF44D69" w14:textId="6868941D">
            <w:pPr>
              <w:rPr>
                <w:rFonts w:asciiTheme="minorHAnsi" w:hAnsiTheme="minorHAnsi"/>
              </w:rPr>
            </w:pPr>
            <w:r>
              <w:rPr>
                <w:rFonts w:asciiTheme="minorHAnsi" w:hAnsiTheme="minorHAnsi"/>
              </w:rPr>
              <w:t xml:space="preserve">Supervisory Program and Management Analyst (GS-015) </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1258E" w:rsidP="00F067BE" w14:paraId="464A8CF6" w14:textId="0FEC08EF">
            <w:pPr>
              <w:jc w:val="center"/>
              <w:rPr>
                <w:rFonts w:asciiTheme="minorHAnsi" w:hAnsiTheme="minorHAnsi"/>
              </w:rPr>
            </w:pPr>
            <w:r>
              <w:rPr>
                <w:rFonts w:asciiTheme="minorHAnsi" w:hAnsiTheme="minorHAnsi"/>
              </w:rPr>
              <w:t>120 (0.057 FTE)</w:t>
            </w:r>
          </w:p>
        </w:tc>
        <w:tc>
          <w:tcPr>
            <w:tcW w:w="1710" w:type="dxa"/>
            <w:tcBorders>
              <w:top w:val="single" w:sz="4" w:space="0" w:color="auto"/>
              <w:left w:val="single" w:sz="4" w:space="0" w:color="auto"/>
              <w:bottom w:val="single" w:sz="4" w:space="0" w:color="auto"/>
              <w:right w:val="single" w:sz="4" w:space="0" w:color="auto"/>
            </w:tcBorders>
          </w:tcPr>
          <w:p w:rsidR="00F067BE" w:rsidP="00F067BE" w14:paraId="2E6C54EC" w14:textId="2CFC258B">
            <w:pPr>
              <w:jc w:val="center"/>
              <w:rPr>
                <w:rFonts w:asciiTheme="minorHAnsi" w:hAnsiTheme="minorHAnsi"/>
              </w:rPr>
            </w:pPr>
            <w:r>
              <w:rPr>
                <w:rFonts w:asciiTheme="minorHAnsi" w:hAnsiTheme="minorHAnsi"/>
              </w:rPr>
              <w:t>$</w:t>
            </w:r>
            <w:r w:rsidR="00E477E8">
              <w:rPr>
                <w:rFonts w:asciiTheme="minorHAnsi" w:hAnsiTheme="minorHAnsi"/>
              </w:rPr>
              <w:t>140.30</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RPr="0021258E" w:rsidP="00F067BE" w14:paraId="0A85B1B0" w14:textId="60391C90">
            <w:pPr>
              <w:jc w:val="right"/>
              <w:rPr>
                <w:rFonts w:asciiTheme="minorHAnsi" w:hAnsiTheme="minorHAnsi"/>
              </w:rPr>
            </w:pPr>
            <w:r>
              <w:rPr>
                <w:rFonts w:asciiTheme="minorHAnsi" w:hAnsiTheme="minorHAnsi"/>
              </w:rPr>
              <w:t>$16,</w:t>
            </w:r>
            <w:r w:rsidR="006205C4">
              <w:rPr>
                <w:rFonts w:asciiTheme="minorHAnsi" w:hAnsiTheme="minorHAnsi"/>
              </w:rPr>
              <w:t>836</w:t>
            </w:r>
            <w:r>
              <w:rPr>
                <w:rFonts w:asciiTheme="minorHAnsi" w:hAnsiTheme="minorHAnsi"/>
              </w:rPr>
              <w:t>.00</w:t>
            </w:r>
          </w:p>
        </w:tc>
      </w:tr>
      <w:tr w14:paraId="13113152"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6A15CB" w14:paraId="14382DC7" w14:textId="30898F02">
            <w:pPr>
              <w:rPr>
                <w:rFonts w:asciiTheme="minorHAnsi" w:hAnsiTheme="minorHAnsi"/>
              </w:rPr>
            </w:pPr>
            <w:r>
              <w:rPr>
                <w:rFonts w:asciiTheme="minorHAnsi" w:hAnsiTheme="minorHAnsi"/>
              </w:rPr>
              <w:t>Lead Public Health</w:t>
            </w:r>
            <w:r w:rsidRPr="0021258E">
              <w:rPr>
                <w:rFonts w:asciiTheme="minorHAnsi" w:hAnsiTheme="minorHAnsi"/>
              </w:rPr>
              <w:t xml:space="preserve"> Analyst </w:t>
            </w:r>
            <w:r>
              <w:rPr>
                <w:rFonts w:asciiTheme="minorHAnsi" w:hAnsiTheme="minorHAnsi"/>
              </w:rPr>
              <w:t>(GS-014</w:t>
            </w:r>
            <w:r w:rsidRPr="0021258E">
              <w:rPr>
                <w:rFonts w:asciiTheme="minorHAnsi" w:hAnsiTheme="minorHAnsi"/>
              </w:rPr>
              <w:t>)</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4A40E61D" w14:textId="5913D724">
            <w:pPr>
              <w:jc w:val="center"/>
              <w:rPr>
                <w:rFonts w:asciiTheme="minorHAnsi" w:hAnsiTheme="minorHAnsi"/>
              </w:rPr>
            </w:pPr>
            <w:r>
              <w:rPr>
                <w:rFonts w:asciiTheme="minorHAnsi" w:hAnsiTheme="minorHAnsi"/>
              </w:rPr>
              <w:t>520 (0.25</w:t>
            </w:r>
            <w:r w:rsidRPr="0021258E">
              <w:rPr>
                <w:rFonts w:asciiTheme="minorHAnsi" w:hAnsiTheme="minorHAnsi"/>
              </w:rPr>
              <w:t xml:space="preserve"> FTE)</w:t>
            </w:r>
          </w:p>
        </w:tc>
        <w:tc>
          <w:tcPr>
            <w:tcW w:w="1710" w:type="dxa"/>
            <w:tcBorders>
              <w:top w:val="single" w:sz="4" w:space="0" w:color="auto"/>
              <w:left w:val="single" w:sz="4" w:space="0" w:color="auto"/>
              <w:bottom w:val="single" w:sz="4" w:space="0" w:color="auto"/>
              <w:right w:val="single" w:sz="4" w:space="0" w:color="auto"/>
            </w:tcBorders>
          </w:tcPr>
          <w:p w:rsidR="00F067BE" w:rsidP="00F067BE" w14:paraId="39C68BE6" w14:textId="0A099CB4">
            <w:pPr>
              <w:jc w:val="center"/>
              <w:rPr>
                <w:rFonts w:asciiTheme="minorHAnsi" w:hAnsiTheme="minorHAnsi" w:cstheme="minorHAnsi"/>
              </w:rPr>
            </w:pPr>
            <w:r>
              <w:rPr>
                <w:rFonts w:asciiTheme="minorHAnsi" w:hAnsiTheme="minorHAnsi" w:cstheme="minorHAnsi"/>
              </w:rPr>
              <w:t>$</w:t>
            </w:r>
            <w:r w:rsidR="00E477E8">
              <w:rPr>
                <w:rFonts w:asciiTheme="minorHAnsi" w:hAnsiTheme="minorHAnsi" w:cstheme="minorHAnsi"/>
              </w:rPr>
              <w:t>109.25</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4C2A6FD6" w14:textId="2DCD5772">
            <w:pPr>
              <w:jc w:val="right"/>
              <w:rPr>
                <w:rFonts w:asciiTheme="minorHAnsi" w:hAnsiTheme="minorHAnsi"/>
              </w:rPr>
            </w:pPr>
            <w:r>
              <w:rPr>
                <w:rFonts w:asciiTheme="minorHAnsi" w:hAnsiTheme="minorHAnsi" w:cstheme="minorHAnsi"/>
              </w:rPr>
              <w:t>$</w:t>
            </w:r>
            <w:r w:rsidR="008F0F94">
              <w:rPr>
                <w:rFonts w:asciiTheme="minorHAnsi" w:hAnsiTheme="minorHAnsi" w:cstheme="minorHAnsi"/>
              </w:rPr>
              <w:t>56,810.00</w:t>
            </w:r>
          </w:p>
        </w:tc>
      </w:tr>
      <w:tr w14:paraId="0DCEE2B9"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6A15CB" w14:paraId="7A01A45A" w14:textId="12F20189">
            <w:pPr>
              <w:rPr>
                <w:rFonts w:asciiTheme="minorHAnsi" w:hAnsiTheme="minorHAnsi"/>
              </w:rPr>
            </w:pPr>
            <w:r>
              <w:rPr>
                <w:rFonts w:asciiTheme="minorHAnsi" w:hAnsiTheme="minorHAnsi"/>
              </w:rPr>
              <w:t>Health Scientist (GS-014)</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2C0B1A0A" w14:textId="0C3C5756">
            <w:pPr>
              <w:jc w:val="center"/>
              <w:rPr>
                <w:rFonts w:asciiTheme="minorHAnsi" w:hAnsiTheme="minorHAnsi"/>
              </w:rPr>
            </w:pPr>
            <w:r>
              <w:rPr>
                <w:rFonts w:asciiTheme="minorHAnsi" w:hAnsiTheme="minorHAnsi"/>
              </w:rPr>
              <w:t>120 (0.057 FTE)</w:t>
            </w:r>
          </w:p>
        </w:tc>
        <w:tc>
          <w:tcPr>
            <w:tcW w:w="1710" w:type="dxa"/>
            <w:tcBorders>
              <w:top w:val="single" w:sz="4" w:space="0" w:color="auto"/>
              <w:left w:val="single" w:sz="4" w:space="0" w:color="auto"/>
              <w:bottom w:val="single" w:sz="4" w:space="0" w:color="auto"/>
              <w:right w:val="single" w:sz="4" w:space="0" w:color="auto"/>
            </w:tcBorders>
          </w:tcPr>
          <w:p w:rsidR="00F067BE" w:rsidP="00F067BE" w14:paraId="265BF54F" w14:textId="39A070C7">
            <w:pPr>
              <w:jc w:val="center"/>
              <w:rPr>
                <w:rFonts w:asciiTheme="minorHAnsi" w:hAnsiTheme="minorHAnsi"/>
              </w:rPr>
            </w:pPr>
            <w:r>
              <w:rPr>
                <w:rFonts w:asciiTheme="minorHAnsi" w:hAnsiTheme="minorHAnsi"/>
              </w:rPr>
              <w:t>$1</w:t>
            </w:r>
            <w:r w:rsidR="00E477E8">
              <w:rPr>
                <w:rFonts w:asciiTheme="minorHAnsi" w:hAnsiTheme="minorHAnsi"/>
              </w:rPr>
              <w:t>19.48</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3D29F5FE" w14:textId="5B135D41">
            <w:pPr>
              <w:jc w:val="right"/>
              <w:rPr>
                <w:rFonts w:asciiTheme="minorHAnsi" w:hAnsiTheme="minorHAnsi"/>
              </w:rPr>
            </w:pPr>
            <w:r>
              <w:rPr>
                <w:rFonts w:asciiTheme="minorHAnsi" w:hAnsiTheme="minorHAnsi"/>
              </w:rPr>
              <w:t>$14,</w:t>
            </w:r>
            <w:r w:rsidR="008F0F94">
              <w:rPr>
                <w:rFonts w:asciiTheme="minorHAnsi" w:hAnsiTheme="minorHAnsi"/>
              </w:rPr>
              <w:t>337.60</w:t>
            </w:r>
          </w:p>
        </w:tc>
      </w:tr>
      <w:tr w14:paraId="520B2028"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6A15CB" w14:paraId="09D4E28F" w14:textId="73868F0D">
            <w:pPr>
              <w:rPr>
                <w:rFonts w:asciiTheme="minorHAnsi" w:hAnsiTheme="minorHAnsi"/>
              </w:rPr>
            </w:pPr>
            <w:r>
              <w:rPr>
                <w:rFonts w:asciiTheme="minorHAnsi" w:hAnsiTheme="minorHAnsi"/>
              </w:rPr>
              <w:t>Health Statistician (GS-014)</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470436C8" w14:textId="30832BB2">
            <w:pPr>
              <w:jc w:val="center"/>
              <w:rPr>
                <w:rFonts w:asciiTheme="minorHAnsi" w:hAnsiTheme="minorHAnsi"/>
              </w:rPr>
            </w:pPr>
            <w:r>
              <w:rPr>
                <w:rFonts w:asciiTheme="minorHAnsi" w:hAnsiTheme="minorHAnsi"/>
              </w:rPr>
              <w:t>120 (0.057 FTE)</w:t>
            </w:r>
          </w:p>
        </w:tc>
        <w:tc>
          <w:tcPr>
            <w:tcW w:w="1710" w:type="dxa"/>
            <w:tcBorders>
              <w:top w:val="single" w:sz="4" w:space="0" w:color="auto"/>
              <w:left w:val="single" w:sz="4" w:space="0" w:color="auto"/>
              <w:bottom w:val="single" w:sz="4" w:space="0" w:color="auto"/>
              <w:right w:val="single" w:sz="4" w:space="0" w:color="auto"/>
            </w:tcBorders>
          </w:tcPr>
          <w:p w:rsidR="00F067BE" w:rsidP="00F067BE" w14:paraId="64E72B02" w14:textId="10ED7416">
            <w:pPr>
              <w:jc w:val="center"/>
              <w:rPr>
                <w:rFonts w:asciiTheme="minorHAnsi" w:hAnsiTheme="minorHAnsi"/>
              </w:rPr>
            </w:pPr>
            <w:r>
              <w:rPr>
                <w:rFonts w:asciiTheme="minorHAnsi" w:hAnsiTheme="minorHAnsi"/>
              </w:rPr>
              <w:t>$13</w:t>
            </w:r>
            <w:r w:rsidR="006205C4">
              <w:rPr>
                <w:rFonts w:asciiTheme="minorHAnsi" w:hAnsiTheme="minorHAnsi"/>
              </w:rPr>
              <w:t>3.14</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7A4C093B" w14:textId="008B31EF">
            <w:pPr>
              <w:jc w:val="right"/>
              <w:rPr>
                <w:rFonts w:asciiTheme="minorHAnsi" w:hAnsiTheme="minorHAnsi"/>
              </w:rPr>
            </w:pPr>
            <w:r>
              <w:rPr>
                <w:rFonts w:asciiTheme="minorHAnsi" w:hAnsiTheme="minorHAnsi"/>
              </w:rPr>
              <w:t>$15,</w:t>
            </w:r>
            <w:r w:rsidR="008F0F94">
              <w:rPr>
                <w:rFonts w:asciiTheme="minorHAnsi" w:hAnsiTheme="minorHAnsi"/>
              </w:rPr>
              <w:t>976.80</w:t>
            </w:r>
          </w:p>
        </w:tc>
      </w:tr>
      <w:tr w14:paraId="25316C65"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6A15CB" w14:paraId="6EC81E9F" w14:textId="1117BC40">
            <w:pPr>
              <w:rPr>
                <w:rFonts w:asciiTheme="minorHAnsi" w:hAnsiTheme="minorHAnsi"/>
              </w:rPr>
            </w:pPr>
            <w:r>
              <w:rPr>
                <w:rFonts w:asciiTheme="minorHAnsi" w:hAnsiTheme="minorHAnsi"/>
              </w:rPr>
              <w:t>Health Scientist</w:t>
            </w:r>
            <w:r w:rsidRPr="0021258E">
              <w:rPr>
                <w:rFonts w:asciiTheme="minorHAnsi" w:hAnsiTheme="minorHAnsi"/>
              </w:rPr>
              <w:t xml:space="preserve"> (GS-0</w:t>
            </w:r>
            <w:r>
              <w:rPr>
                <w:rFonts w:asciiTheme="minorHAnsi" w:hAnsiTheme="minorHAnsi"/>
              </w:rPr>
              <w:t>14</w:t>
            </w:r>
            <w:r w:rsidRPr="0021258E">
              <w:rPr>
                <w:rFonts w:asciiTheme="minorHAnsi" w:hAnsiTheme="minorHAnsi"/>
              </w:rPr>
              <w:t>)</w:t>
            </w:r>
            <w:r>
              <w:rPr>
                <w:rFonts w:asciiTheme="minorHAnsi" w:hAnsiTheme="minorHAnsi"/>
              </w:rPr>
              <w:t xml:space="preserve"> </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0E4BA969" w14:textId="569DA27D">
            <w:pPr>
              <w:jc w:val="center"/>
              <w:rPr>
                <w:rFonts w:asciiTheme="minorHAnsi" w:hAnsiTheme="minorHAnsi"/>
              </w:rPr>
            </w:pPr>
            <w:r>
              <w:rPr>
                <w:rFonts w:asciiTheme="minorHAnsi" w:hAnsiTheme="minorHAnsi"/>
              </w:rPr>
              <w:t>60</w:t>
            </w:r>
            <w:r w:rsidRPr="0021258E">
              <w:rPr>
                <w:rFonts w:asciiTheme="minorHAnsi" w:hAnsiTheme="minorHAnsi"/>
              </w:rPr>
              <w:t xml:space="preserve"> (0.0</w:t>
            </w:r>
            <w:r>
              <w:rPr>
                <w:rFonts w:asciiTheme="minorHAnsi" w:hAnsiTheme="minorHAnsi"/>
              </w:rPr>
              <w:t>28</w:t>
            </w:r>
            <w:r w:rsidRPr="0021258E">
              <w:rPr>
                <w:rFonts w:asciiTheme="minorHAnsi" w:hAnsiTheme="minorHAnsi"/>
              </w:rPr>
              <w:t xml:space="preserve"> FTE)</w:t>
            </w:r>
          </w:p>
        </w:tc>
        <w:tc>
          <w:tcPr>
            <w:tcW w:w="1710" w:type="dxa"/>
            <w:tcBorders>
              <w:top w:val="single" w:sz="4" w:space="0" w:color="auto"/>
              <w:left w:val="single" w:sz="4" w:space="0" w:color="auto"/>
              <w:bottom w:val="single" w:sz="4" w:space="0" w:color="auto"/>
              <w:right w:val="single" w:sz="4" w:space="0" w:color="auto"/>
            </w:tcBorders>
          </w:tcPr>
          <w:p w:rsidR="00F067BE" w:rsidP="00F067BE" w14:paraId="5F95D1C3" w14:textId="77074B4D">
            <w:pPr>
              <w:jc w:val="center"/>
              <w:rPr>
                <w:rFonts w:asciiTheme="minorHAnsi" w:hAnsiTheme="minorHAnsi" w:cstheme="minorHAnsi"/>
              </w:rPr>
            </w:pPr>
            <w:r>
              <w:rPr>
                <w:rFonts w:asciiTheme="minorHAnsi" w:hAnsiTheme="minorHAnsi" w:cstheme="minorHAnsi"/>
              </w:rPr>
              <w:t>$13</w:t>
            </w:r>
            <w:r w:rsidR="006205C4">
              <w:rPr>
                <w:rFonts w:asciiTheme="minorHAnsi" w:hAnsiTheme="minorHAnsi" w:cstheme="minorHAnsi"/>
              </w:rPr>
              <w:t>3.14</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7BE" w:rsidP="00F067BE" w14:paraId="571A40B6" w14:textId="6DE0D2FD">
            <w:pPr>
              <w:jc w:val="right"/>
              <w:rPr>
                <w:rFonts w:asciiTheme="minorHAnsi" w:hAnsiTheme="minorHAnsi"/>
              </w:rPr>
            </w:pPr>
            <w:r>
              <w:rPr>
                <w:rFonts w:asciiTheme="minorHAnsi" w:hAnsiTheme="minorHAnsi" w:cstheme="minorHAnsi"/>
              </w:rPr>
              <w:t>$</w:t>
            </w:r>
            <w:r w:rsidR="008F0F94">
              <w:rPr>
                <w:rFonts w:asciiTheme="minorHAnsi" w:hAnsiTheme="minorHAnsi" w:cstheme="minorHAnsi"/>
              </w:rPr>
              <w:t>7,988.40</w:t>
            </w:r>
          </w:p>
        </w:tc>
      </w:tr>
      <w:tr w14:paraId="7F248C64" w14:textId="77777777" w:rsidTr="003126A0">
        <w:tblPrEx>
          <w:tblW w:w="9005" w:type="dxa"/>
          <w:tblInd w:w="-10" w:type="dxa"/>
          <w:tblLayout w:type="fixed"/>
          <w:tblCellMar>
            <w:left w:w="0" w:type="dxa"/>
            <w:right w:w="0" w:type="dxa"/>
          </w:tblCellMar>
          <w:tblLook w:val="04A0"/>
        </w:tblPrEx>
        <w:tc>
          <w:tcPr>
            <w:tcW w:w="27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67BE" w:rsidRPr="00286C3C" w:rsidP="006A15CB" w14:paraId="22A2D354" w14:textId="77777777">
            <w:pPr>
              <w:rPr>
                <w:rFonts w:asciiTheme="minorHAnsi" w:hAnsiTheme="minorHAnsi" w:cstheme="minorHAnsi"/>
                <w:b/>
                <w:bCs/>
              </w:rPr>
            </w:pPr>
            <w:r w:rsidRPr="00286C3C">
              <w:rPr>
                <w:rFonts w:asciiTheme="minorHAnsi" w:hAnsiTheme="minorHAnsi" w:cstheme="minorHAnsi"/>
                <w:b/>
                <w:bCs/>
              </w:rPr>
              <w:t xml:space="preserve">Total </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F067BE" w:rsidRPr="00286C3C" w:rsidP="006A15CB" w14:paraId="5B920D03" w14:textId="6D36C2C4">
            <w:pPr>
              <w:rPr>
                <w:rFonts w:asciiTheme="minorHAnsi" w:hAnsiTheme="minorHAnsi" w:cstheme="minorHAnsi"/>
              </w:rPr>
            </w:pPr>
          </w:p>
        </w:tc>
        <w:tc>
          <w:tcPr>
            <w:tcW w:w="1710" w:type="dxa"/>
            <w:tcBorders>
              <w:top w:val="single" w:sz="4" w:space="0" w:color="auto"/>
              <w:left w:val="single" w:sz="4" w:space="0" w:color="auto"/>
              <w:bottom w:val="single" w:sz="4" w:space="0" w:color="auto"/>
              <w:right w:val="single" w:sz="4" w:space="0" w:color="auto"/>
            </w:tcBorders>
          </w:tcPr>
          <w:p w:rsidR="00F067BE" w:rsidP="00F067BE" w14:paraId="538FF3C3" w14:textId="77777777">
            <w:pPr>
              <w:jc w:val="right"/>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F067BE" w:rsidRPr="00286C3C" w:rsidP="004D21E1" w14:paraId="58B6FD69" w14:textId="650B2F9D">
            <w:pPr>
              <w:jc w:val="right"/>
              <w:rPr>
                <w:rFonts w:asciiTheme="minorHAnsi" w:hAnsiTheme="minorHAnsi" w:cstheme="minorHAnsi"/>
              </w:rPr>
            </w:pPr>
            <w:r>
              <w:rPr>
                <w:rFonts w:asciiTheme="minorHAnsi" w:hAnsiTheme="minorHAnsi" w:cstheme="minorHAnsi"/>
              </w:rPr>
              <w:t>$1</w:t>
            </w:r>
            <w:r w:rsidR="008F0F94">
              <w:rPr>
                <w:rFonts w:asciiTheme="minorHAnsi" w:hAnsiTheme="minorHAnsi" w:cstheme="minorHAnsi"/>
              </w:rPr>
              <w:t>20,873.55</w:t>
            </w:r>
          </w:p>
        </w:tc>
      </w:tr>
      <w:tr w14:paraId="3A55191D" w14:textId="77777777" w:rsidTr="003126A0">
        <w:tblPrEx>
          <w:tblW w:w="9005" w:type="dxa"/>
          <w:tblInd w:w="-10" w:type="dxa"/>
          <w:tblLayout w:type="fixed"/>
          <w:tblCellMar>
            <w:left w:w="0" w:type="dxa"/>
            <w:right w:w="0" w:type="dxa"/>
          </w:tblCellMar>
          <w:tblLook w:val="04A0"/>
        </w:tblPrEx>
        <w:tc>
          <w:tcPr>
            <w:tcW w:w="185" w:type="dxa"/>
            <w:tcBorders>
              <w:top w:val="single" w:sz="4" w:space="0" w:color="auto"/>
            </w:tcBorders>
          </w:tcPr>
          <w:p w:rsidR="001C3848" w:rsidRPr="00063A40" w:rsidP="006A15CB" w14:paraId="6B8A6BB6" w14:textId="77777777">
            <w:pPr>
              <w:pStyle w:val="ListParagraph"/>
              <w:tabs>
                <w:tab w:val="left" w:pos="4320"/>
                <w:tab w:val="left" w:pos="6120"/>
                <w:tab w:val="right" w:pos="8280"/>
              </w:tabs>
              <w:spacing w:before="120" w:after="120"/>
              <w:ind w:left="0"/>
              <w:rPr>
                <w:sz w:val="20"/>
              </w:rPr>
            </w:pPr>
          </w:p>
        </w:tc>
        <w:tc>
          <w:tcPr>
            <w:tcW w:w="8820" w:type="dxa"/>
            <w:gridSpan w:val="4"/>
            <w:tcBorders>
              <w:top w:val="single" w:sz="4" w:space="0" w:color="auto"/>
            </w:tcBorders>
            <w:tcMar>
              <w:top w:w="0" w:type="dxa"/>
              <w:left w:w="108" w:type="dxa"/>
              <w:bottom w:w="0" w:type="dxa"/>
              <w:right w:w="108" w:type="dxa"/>
            </w:tcMar>
            <w:vAlign w:val="bottom"/>
          </w:tcPr>
          <w:p w:rsidR="001C3848" w:rsidRPr="00063A40" w:rsidP="006A15CB" w14:paraId="353E83DA" w14:textId="792E960A">
            <w:pPr>
              <w:pStyle w:val="ListParagraph"/>
              <w:tabs>
                <w:tab w:val="left" w:pos="4320"/>
                <w:tab w:val="left" w:pos="6120"/>
                <w:tab w:val="right" w:pos="8280"/>
              </w:tabs>
              <w:spacing w:before="120" w:after="120"/>
              <w:ind w:left="0"/>
              <w:rPr>
                <w:sz w:val="20"/>
              </w:rPr>
            </w:pPr>
            <w:r w:rsidRPr="00063A40">
              <w:rPr>
                <w:sz w:val="20"/>
              </w:rPr>
              <w:t>*Wage rates are for staff in the Washington, DC area</w:t>
            </w:r>
            <w:r w:rsidR="00BD7C0B">
              <w:rPr>
                <w:sz w:val="20"/>
              </w:rPr>
              <w:t xml:space="preserve"> and</w:t>
            </w:r>
            <w:r>
              <w:rPr>
                <w:sz w:val="20"/>
              </w:rPr>
              <w:t xml:space="preserve"> have been multiplied by 1.5 to account for overhead costs</w:t>
            </w:r>
            <w:r w:rsidR="00792F0F">
              <w:rPr>
                <w:sz w:val="20"/>
              </w:rPr>
              <w:t xml:space="preserve">. </w:t>
            </w:r>
          </w:p>
        </w:tc>
      </w:tr>
    </w:tbl>
    <w:p w:rsidR="0044019C" w:rsidRPr="00BB1111" w:rsidP="00A93AE1" w14:paraId="1D2B8AB1" w14:textId="25E2A0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pPr>
      <w:r w:rsidRPr="00A93AE1">
        <w:rPr>
          <w:rFonts w:asciiTheme="minorHAnsi" w:hAnsiTheme="minorHAnsi"/>
          <w:sz w:val="22"/>
          <w:szCs w:val="22"/>
        </w:rPr>
        <w:t>The a</w:t>
      </w:r>
      <w:r w:rsidRPr="00A93AE1">
        <w:rPr>
          <w:rFonts w:asciiTheme="minorHAnsi" w:hAnsiTheme="minorHAnsi"/>
          <w:sz w:val="22"/>
          <w:szCs w:val="22"/>
        </w:rPr>
        <w:t xml:space="preserve">nnual </w:t>
      </w:r>
      <w:r w:rsidRPr="00A93AE1">
        <w:rPr>
          <w:rFonts w:asciiTheme="minorHAnsi" w:hAnsiTheme="minorHAnsi"/>
          <w:sz w:val="22"/>
          <w:szCs w:val="22"/>
        </w:rPr>
        <w:t>t</w:t>
      </w:r>
      <w:r w:rsidRPr="00A86CAE">
        <w:rPr>
          <w:rFonts w:asciiTheme="minorHAnsi" w:hAnsiTheme="minorHAnsi"/>
          <w:sz w:val="22"/>
          <w:szCs w:val="22"/>
        </w:rPr>
        <w:t xml:space="preserve">otal </w:t>
      </w:r>
      <w:r w:rsidRPr="00A93AE1">
        <w:rPr>
          <w:rFonts w:asciiTheme="minorHAnsi" w:hAnsiTheme="minorHAnsi"/>
          <w:sz w:val="22"/>
          <w:szCs w:val="22"/>
        </w:rPr>
        <w:t xml:space="preserve">covering </w:t>
      </w:r>
      <w:r w:rsidRPr="00A86CAE">
        <w:rPr>
          <w:rFonts w:asciiTheme="minorHAnsi" w:hAnsiTheme="minorHAnsi"/>
          <w:sz w:val="22"/>
          <w:szCs w:val="22"/>
        </w:rPr>
        <w:t xml:space="preserve">contracts and </w:t>
      </w:r>
      <w:r w:rsidRPr="00A93AE1">
        <w:rPr>
          <w:rFonts w:asciiTheme="minorHAnsi" w:hAnsiTheme="minorHAnsi"/>
          <w:sz w:val="22"/>
          <w:szCs w:val="22"/>
        </w:rPr>
        <w:t xml:space="preserve">HRSA </w:t>
      </w:r>
      <w:r w:rsidRPr="00A93AE1">
        <w:rPr>
          <w:rFonts w:asciiTheme="minorHAnsi" w:hAnsiTheme="minorHAnsi"/>
          <w:sz w:val="22"/>
          <w:szCs w:val="22"/>
        </w:rPr>
        <w:t>staff</w:t>
      </w:r>
      <w:r w:rsidRPr="00A93AE1">
        <w:rPr>
          <w:rFonts w:asciiTheme="minorHAnsi" w:hAnsiTheme="minorHAnsi"/>
          <w:sz w:val="22"/>
          <w:szCs w:val="22"/>
        </w:rPr>
        <w:t xml:space="preserve"> is</w:t>
      </w:r>
      <w:r w:rsidRPr="00A86CAE">
        <w:rPr>
          <w:rFonts w:asciiTheme="minorHAnsi" w:hAnsiTheme="minorHAnsi"/>
          <w:sz w:val="22"/>
          <w:szCs w:val="22"/>
        </w:rPr>
        <w:t xml:space="preserve"> $</w:t>
      </w:r>
      <w:r w:rsidR="00151DF0">
        <w:rPr>
          <w:rFonts w:asciiTheme="minorHAnsi" w:hAnsiTheme="minorHAnsi"/>
          <w:sz w:val="22"/>
          <w:szCs w:val="22"/>
        </w:rPr>
        <w:t>1,189</w:t>
      </w:r>
      <w:r w:rsidR="00DC401A">
        <w:rPr>
          <w:rFonts w:asciiTheme="minorHAnsi" w:hAnsiTheme="minorHAnsi"/>
          <w:sz w:val="22"/>
          <w:szCs w:val="22"/>
        </w:rPr>
        <w:t>,</w:t>
      </w:r>
      <w:r w:rsidR="00151DF0">
        <w:rPr>
          <w:rFonts w:asciiTheme="minorHAnsi" w:hAnsiTheme="minorHAnsi"/>
          <w:sz w:val="22"/>
          <w:szCs w:val="22"/>
        </w:rPr>
        <w:t>363.95</w:t>
      </w:r>
      <w:r w:rsidR="00DC401A">
        <w:rPr>
          <w:rFonts w:asciiTheme="minorHAnsi" w:hAnsiTheme="minorHAnsi"/>
          <w:sz w:val="22"/>
          <w:szCs w:val="22"/>
        </w:rPr>
        <w:t xml:space="preserve"> (rounds up to $1,189,364).</w:t>
      </w:r>
    </w:p>
    <w:p w:rsidR="00D84D9E" w:rsidRPr="005307EF" w:rsidP="00EE7754" w14:paraId="354A5219" w14:textId="77777777">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Explanation for Program Changes or Adjustments</w:t>
      </w:r>
    </w:p>
    <w:p w:rsidR="00E47AA9" w:rsidP="00A948F2" w14:paraId="29FC599F" w14:textId="0EAA69B5">
      <w:pPr>
        <w:pStyle w:val="BodyTextIndent"/>
        <w:spacing w:before="120"/>
        <w:ind w:left="0"/>
        <w:rPr>
          <w:rFonts w:asciiTheme="minorHAnsi" w:hAnsiTheme="minorHAnsi"/>
          <w:sz w:val="22"/>
          <w:szCs w:val="22"/>
        </w:rPr>
      </w:pPr>
      <w:r w:rsidRPr="00D87212">
        <w:rPr>
          <w:rFonts w:asciiTheme="minorHAnsi" w:hAnsiTheme="minorHAnsi"/>
          <w:sz w:val="22"/>
          <w:szCs w:val="22"/>
        </w:rPr>
        <w:t>The MCH Jurisdictional Survey has been conducted annually since 2019, with several modifications to address emerging issues and challenges related to survey questions and methods. The 2022 extension (ICR 202203-0906-002) enhanced the detail in collecting demographic data through race and ethnicity survey questions in response to jurisdictional feedback. Since the 2022 extension, two non-substantive change requests (ICRs: 202211-0906-001, and 202404-0906-002) allowed for adjustments, such as refining hurricane-related questions to make them more general and increasing sample sizes</w:t>
      </w:r>
      <w:r w:rsidR="00A948F2">
        <w:rPr>
          <w:rFonts w:asciiTheme="minorHAnsi" w:hAnsiTheme="minorHAnsi"/>
          <w:sz w:val="22"/>
          <w:szCs w:val="22"/>
        </w:rPr>
        <w:t xml:space="preserve">. </w:t>
      </w:r>
    </w:p>
    <w:p w:rsidR="00B9348E" w:rsidP="0053777C" w14:paraId="619DD7D4" w14:textId="0F07CF0A">
      <w:pPr>
        <w:pStyle w:val="BodyTextIndent"/>
        <w:spacing w:before="120"/>
        <w:ind w:left="0"/>
        <w:rPr>
          <w:rFonts w:asciiTheme="minorHAnsi" w:hAnsiTheme="minorHAnsi"/>
          <w:sz w:val="22"/>
          <w:szCs w:val="22"/>
        </w:rPr>
      </w:pPr>
      <w:r w:rsidRPr="00B9348E">
        <w:rPr>
          <w:rFonts w:asciiTheme="minorHAnsi" w:hAnsiTheme="minorHAnsi"/>
          <w:b/>
          <w:bCs/>
          <w:sz w:val="22"/>
          <w:szCs w:val="22"/>
        </w:rPr>
        <w:t>Burden Table</w:t>
      </w:r>
      <w:r>
        <w:rPr>
          <w:rFonts w:asciiTheme="minorHAnsi" w:hAnsiTheme="minorHAnsi"/>
          <w:sz w:val="22"/>
          <w:szCs w:val="22"/>
        </w:rPr>
        <w:t>.</w:t>
      </w:r>
      <w:r w:rsidRPr="006D00BA" w:rsidR="006D00BA">
        <w:rPr>
          <w:rFonts w:asciiTheme="minorHAnsi" w:hAnsiTheme="minorHAnsi"/>
          <w:sz w:val="22"/>
          <w:szCs w:val="22"/>
        </w:rPr>
        <w:t xml:space="preserve"> </w:t>
      </w:r>
      <w:r w:rsidR="002D5360">
        <w:rPr>
          <w:rFonts w:asciiTheme="minorHAnsi" w:hAnsiTheme="minorHAnsi"/>
          <w:sz w:val="22"/>
          <w:szCs w:val="22"/>
        </w:rPr>
        <w:t>T</w:t>
      </w:r>
      <w:r w:rsidRPr="00B9348E">
        <w:rPr>
          <w:rFonts w:asciiTheme="minorHAnsi" w:hAnsiTheme="minorHAnsi"/>
          <w:sz w:val="22"/>
          <w:szCs w:val="22"/>
        </w:rPr>
        <w:t xml:space="preserve">o continue to improve the precision of the data in all jurisdictions, HRSA also seeks to increase the sample size. Given the varying populations of children in each jurisdiction, the increased </w:t>
      </w:r>
      <w:r w:rsidRPr="00B9348E">
        <w:rPr>
          <w:rFonts w:asciiTheme="minorHAnsi" w:hAnsiTheme="minorHAnsi"/>
          <w:sz w:val="22"/>
          <w:szCs w:val="22"/>
        </w:rPr>
        <w:t>sample size varies for each jurisdiction. While the target number of interviews for each jurisdiction may be limited by funding, the maximum number of completed interviews possible for each jurisdiction is as follows: American Samoa, 450</w:t>
      </w:r>
      <w:r w:rsidR="004B56BE">
        <w:rPr>
          <w:rFonts w:asciiTheme="minorHAnsi" w:hAnsiTheme="minorHAnsi"/>
          <w:sz w:val="22"/>
          <w:szCs w:val="22"/>
        </w:rPr>
        <w:t xml:space="preserve"> (increase from 250)</w:t>
      </w:r>
      <w:r w:rsidRPr="00B9348E">
        <w:rPr>
          <w:rFonts w:asciiTheme="minorHAnsi" w:hAnsiTheme="minorHAnsi"/>
          <w:sz w:val="22"/>
          <w:szCs w:val="22"/>
        </w:rPr>
        <w:t>; Guam, 450; Commonwealth of the Northern Mariana Islands, 500</w:t>
      </w:r>
      <w:r w:rsidR="004B56BE">
        <w:rPr>
          <w:rFonts w:asciiTheme="minorHAnsi" w:hAnsiTheme="minorHAnsi"/>
          <w:sz w:val="22"/>
          <w:szCs w:val="22"/>
        </w:rPr>
        <w:t xml:space="preserve"> </w:t>
      </w:r>
      <w:r w:rsidRPr="004B56BE" w:rsidR="004B56BE">
        <w:rPr>
          <w:rFonts w:asciiTheme="minorHAnsi" w:hAnsiTheme="minorHAnsi"/>
          <w:sz w:val="22"/>
          <w:szCs w:val="22"/>
        </w:rPr>
        <w:t xml:space="preserve">(increase from </w:t>
      </w:r>
      <w:r w:rsidR="004B56BE">
        <w:rPr>
          <w:rFonts w:asciiTheme="minorHAnsi" w:hAnsiTheme="minorHAnsi"/>
          <w:sz w:val="22"/>
          <w:szCs w:val="22"/>
        </w:rPr>
        <w:t>250</w:t>
      </w:r>
      <w:r w:rsidRPr="004B56BE" w:rsidR="004B56BE">
        <w:rPr>
          <w:rFonts w:asciiTheme="minorHAnsi" w:hAnsiTheme="minorHAnsi"/>
          <w:sz w:val="22"/>
          <w:szCs w:val="22"/>
        </w:rPr>
        <w:t>)</w:t>
      </w:r>
      <w:r w:rsidRPr="00B9348E">
        <w:rPr>
          <w:rFonts w:asciiTheme="minorHAnsi" w:hAnsiTheme="minorHAnsi"/>
          <w:sz w:val="22"/>
          <w:szCs w:val="22"/>
        </w:rPr>
        <w:t>; Republic of Palau, 250; Puerto Rico, 1,250; Republic of the Marshall Islands, 300; Federated States of Micronesia, 450</w:t>
      </w:r>
      <w:r w:rsidR="004B56BE">
        <w:rPr>
          <w:rFonts w:asciiTheme="minorHAnsi" w:hAnsiTheme="minorHAnsi"/>
          <w:sz w:val="22"/>
          <w:szCs w:val="22"/>
        </w:rPr>
        <w:t xml:space="preserve"> </w:t>
      </w:r>
      <w:r w:rsidRPr="004B56BE" w:rsidR="004B56BE">
        <w:rPr>
          <w:rFonts w:asciiTheme="minorHAnsi" w:hAnsiTheme="minorHAnsi"/>
          <w:sz w:val="22"/>
          <w:szCs w:val="22"/>
        </w:rPr>
        <w:t xml:space="preserve">(increase from </w:t>
      </w:r>
      <w:r w:rsidR="004B56BE">
        <w:rPr>
          <w:rFonts w:asciiTheme="minorHAnsi" w:hAnsiTheme="minorHAnsi"/>
          <w:sz w:val="22"/>
          <w:szCs w:val="22"/>
        </w:rPr>
        <w:t>250</w:t>
      </w:r>
      <w:r w:rsidRPr="004B56BE" w:rsidR="004B56BE">
        <w:rPr>
          <w:rFonts w:asciiTheme="minorHAnsi" w:hAnsiTheme="minorHAnsi"/>
          <w:sz w:val="22"/>
          <w:szCs w:val="22"/>
        </w:rPr>
        <w:t>)</w:t>
      </w:r>
      <w:r w:rsidRPr="00B9348E">
        <w:rPr>
          <w:rFonts w:asciiTheme="minorHAnsi" w:hAnsiTheme="minorHAnsi"/>
          <w:sz w:val="22"/>
          <w:szCs w:val="22"/>
        </w:rPr>
        <w:t>; and U.S. Virgin Islands, 350.</w:t>
      </w:r>
    </w:p>
    <w:p w:rsidR="0053777C" w:rsidP="0053777C" w14:paraId="0C97D3A8" w14:textId="2BECDAC1">
      <w:pPr>
        <w:pStyle w:val="BodyTextIndent"/>
        <w:spacing w:before="120"/>
        <w:ind w:left="0"/>
        <w:rPr>
          <w:rFonts w:asciiTheme="minorHAnsi" w:hAnsiTheme="minorHAnsi"/>
          <w:sz w:val="22"/>
          <w:szCs w:val="22"/>
        </w:rPr>
      </w:pPr>
      <w:r w:rsidRPr="0053777C">
        <w:rPr>
          <w:rFonts w:asciiTheme="minorHAnsi" w:hAnsiTheme="minorHAnsi"/>
          <w:sz w:val="22"/>
          <w:szCs w:val="22"/>
        </w:rPr>
        <w:t>The Estimated Annualized Burden Hours table in Section 12 shows a total annual burden of 3,155 hours, a decrease from the previously estimated 3,480.52 hours in ICR 202404-0906-002. Although the total number of interviews has increased, the burden hours have declined due to two factors: (1) survey timings have been adjusted to reflect actual survey times from the three completed rounds of data collection, rather than prior estimates, and (2) eligibility assumptions and response rates have been updated based on actual results from the same three rounds of data collection experience.</w:t>
      </w:r>
    </w:p>
    <w:p w:rsidR="001170E3" w:rsidP="001170E3" w14:paraId="6D96B1CB" w14:textId="40EFC94A">
      <w:pPr>
        <w:pStyle w:val="BodyTextIndent"/>
        <w:spacing w:before="120"/>
        <w:ind w:left="0"/>
        <w:rPr>
          <w:rFonts w:asciiTheme="minorHAnsi" w:hAnsiTheme="minorHAnsi"/>
          <w:sz w:val="22"/>
          <w:szCs w:val="22"/>
        </w:rPr>
      </w:pPr>
      <w:r w:rsidRPr="00B9348E">
        <w:rPr>
          <w:rFonts w:asciiTheme="minorHAnsi" w:hAnsiTheme="minorHAnsi"/>
          <w:b/>
          <w:bCs/>
          <w:sz w:val="22"/>
          <w:szCs w:val="22"/>
        </w:rPr>
        <w:t>Questionnaire</w:t>
      </w:r>
      <w:r>
        <w:rPr>
          <w:rFonts w:asciiTheme="minorHAnsi" w:hAnsiTheme="minorHAnsi"/>
          <w:sz w:val="22"/>
          <w:szCs w:val="22"/>
        </w:rPr>
        <w:t xml:space="preserve">. </w:t>
      </w:r>
      <w:r w:rsidRPr="001170E3">
        <w:rPr>
          <w:rFonts w:asciiTheme="minorHAnsi" w:hAnsiTheme="minorHAnsi"/>
          <w:sz w:val="22"/>
          <w:szCs w:val="22"/>
        </w:rPr>
        <w:t xml:space="preserve">In 2024, </w:t>
      </w:r>
      <w:r w:rsidR="0053777C">
        <w:rPr>
          <w:rFonts w:asciiTheme="minorHAnsi" w:hAnsiTheme="minorHAnsi"/>
          <w:sz w:val="22"/>
          <w:szCs w:val="22"/>
        </w:rPr>
        <w:t>MCHB</w:t>
      </w:r>
      <w:r w:rsidRPr="001170E3">
        <w:rPr>
          <w:rFonts w:asciiTheme="minorHAnsi" w:hAnsiTheme="minorHAnsi"/>
          <w:sz w:val="22"/>
          <w:szCs w:val="22"/>
        </w:rPr>
        <w:t xml:space="preserve"> engaged with MCH Block Grant leadership and program staff to address underperforming or outdated questions and to introduce new questions essential for MCH Block Grant monitoring. In response to the feedback from the jurisdictions, we have revised survey questions to better reflect jurisdiction priorities. Please see </w:t>
      </w:r>
      <w:r w:rsidR="0085785F">
        <w:rPr>
          <w:rFonts w:asciiTheme="minorHAnsi" w:hAnsiTheme="minorHAnsi"/>
          <w:b/>
          <w:bCs/>
          <w:sz w:val="22"/>
          <w:szCs w:val="22"/>
        </w:rPr>
        <w:t>Attachment</w:t>
      </w:r>
      <w:r w:rsidRPr="0053777C">
        <w:rPr>
          <w:rFonts w:asciiTheme="minorHAnsi" w:hAnsiTheme="minorHAnsi"/>
          <w:b/>
          <w:bCs/>
          <w:sz w:val="22"/>
          <w:szCs w:val="22"/>
        </w:rPr>
        <w:t xml:space="preserve"> B</w:t>
      </w:r>
      <w:r w:rsidRPr="001170E3">
        <w:rPr>
          <w:rFonts w:asciiTheme="minorHAnsi" w:hAnsiTheme="minorHAnsi"/>
          <w:sz w:val="22"/>
          <w:szCs w:val="22"/>
        </w:rPr>
        <w:t xml:space="preserve"> for an accounting of revised, added, and deleted survey questions. </w:t>
      </w:r>
    </w:p>
    <w:p w:rsidR="00D84D9E" w:rsidRPr="005307EF" w:rsidP="00EE7754" w14:paraId="474A9055" w14:textId="77777777">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Plans for Tabulation, Publication, and Project Time Schedule</w:t>
      </w:r>
    </w:p>
    <w:p w:rsidR="005959E4" w:rsidRPr="00286C3C" w:rsidP="00286C3C" w14:paraId="408EBE33" w14:textId="5D997736">
      <w:pPr>
        <w:spacing w:before="288" w:beforeLines="120" w:after="288" w:afterLines="120"/>
        <w:rPr>
          <w:rFonts w:asciiTheme="minorHAnsi" w:hAnsiTheme="minorHAnsi"/>
          <w:sz w:val="22"/>
          <w:szCs w:val="22"/>
        </w:rPr>
      </w:pPr>
      <w:bookmarkStart w:id="25" w:name="Task_7:_Analyze_Collected_Data"/>
      <w:bookmarkStart w:id="26" w:name="_bookmark0"/>
      <w:bookmarkEnd w:id="25"/>
      <w:bookmarkEnd w:id="26"/>
      <w:r w:rsidRPr="00286C3C">
        <w:rPr>
          <w:rFonts w:asciiTheme="minorHAnsi" w:hAnsiTheme="minorHAnsi"/>
          <w:sz w:val="22"/>
          <w:szCs w:val="22"/>
        </w:rPr>
        <w:t xml:space="preserve">Following the cleaning, imputation, and weighting of the data, NORC will analyze the data for each jurisdiction. NORC will provide survey estimates for all </w:t>
      </w:r>
      <w:r w:rsidR="00040B73">
        <w:rPr>
          <w:rFonts w:asciiTheme="minorHAnsi" w:hAnsiTheme="minorHAnsi"/>
          <w:sz w:val="22"/>
          <w:szCs w:val="22"/>
        </w:rPr>
        <w:t>measures</w:t>
      </w:r>
      <w:r w:rsidRPr="00286C3C">
        <w:rPr>
          <w:rFonts w:asciiTheme="minorHAnsi" w:hAnsiTheme="minorHAnsi"/>
          <w:sz w:val="22"/>
          <w:szCs w:val="22"/>
        </w:rPr>
        <w:t xml:space="preserve">, including univariate and bivariate frequencies as specified by MCHB and the jurisdictions. All estimates will use the final survey weight and include measures of precision such as standard errors or 95% confidence intervals. The measures of precision will account for design and weighting effects due to the complex sample design and weighting adjustments. All estimates, including the stratification for the bivariate analyses, will be produced in consultation with MCHB. </w:t>
      </w:r>
    </w:p>
    <w:p w:rsidR="00726E2A" w:rsidP="00726E2A" w14:paraId="6A3CCAA8" w14:textId="6B629B09">
      <w:pPr>
        <w:spacing w:before="240"/>
        <w:rPr>
          <w:i/>
          <w:sz w:val="24"/>
        </w:rPr>
      </w:pPr>
      <w:r w:rsidRPr="00286C3C">
        <w:rPr>
          <w:rFonts w:asciiTheme="minorHAnsi" w:hAnsiTheme="minorHAnsi"/>
          <w:sz w:val="22"/>
          <w:szCs w:val="22"/>
        </w:rPr>
        <w:t xml:space="preserve">NORC will </w:t>
      </w:r>
      <w:r w:rsidR="003C518E">
        <w:rPr>
          <w:rFonts w:asciiTheme="minorHAnsi" w:hAnsiTheme="minorHAnsi"/>
          <w:sz w:val="22"/>
          <w:szCs w:val="22"/>
        </w:rPr>
        <w:t xml:space="preserve">prepare a dataset for </w:t>
      </w:r>
      <w:r w:rsidR="00040B73">
        <w:rPr>
          <w:rFonts w:asciiTheme="minorHAnsi" w:hAnsiTheme="minorHAnsi"/>
          <w:sz w:val="22"/>
          <w:szCs w:val="22"/>
        </w:rPr>
        <w:t>jurisdiction use</w:t>
      </w:r>
      <w:r w:rsidR="003C518E">
        <w:rPr>
          <w:rFonts w:asciiTheme="minorHAnsi" w:hAnsiTheme="minorHAnsi"/>
          <w:sz w:val="22"/>
          <w:szCs w:val="22"/>
        </w:rPr>
        <w:t xml:space="preserve">. </w:t>
      </w:r>
      <w:r w:rsidRPr="00286C3C">
        <w:rPr>
          <w:rFonts w:asciiTheme="minorHAnsi" w:hAnsiTheme="minorHAnsi"/>
          <w:sz w:val="22"/>
          <w:szCs w:val="22"/>
        </w:rPr>
        <w:t>Confidentiality can be breached if the file allows respondents to be identified, either directly or indirectly. NORC will remove all personally identifiable information (PII) from the file and create unweighted and weighted cross-tabulations of variables containing observable characteristics to identify small</w:t>
      </w:r>
      <w:bookmarkStart w:id="27" w:name="Task_8:_Records_Management"/>
      <w:bookmarkStart w:id="28" w:name="_bookmark1"/>
      <w:bookmarkEnd w:id="27"/>
      <w:bookmarkEnd w:id="28"/>
      <w:r w:rsidR="003C518E">
        <w:rPr>
          <w:rFonts w:asciiTheme="minorHAnsi" w:hAnsiTheme="minorHAnsi"/>
          <w:sz w:val="22"/>
          <w:szCs w:val="22"/>
        </w:rPr>
        <w:t xml:space="preserve"> </w:t>
      </w:r>
      <w:r w:rsidRPr="00286C3C">
        <w:rPr>
          <w:rFonts w:asciiTheme="minorHAnsi" w:hAnsiTheme="minorHAnsi"/>
          <w:sz w:val="22"/>
          <w:szCs w:val="22"/>
        </w:rPr>
        <w:t>cells that present disclosure risk. With the assistance of MCHB, we will remove, e</w:t>
      </w:r>
      <w:r w:rsidR="003C518E">
        <w:rPr>
          <w:rFonts w:asciiTheme="minorHAnsi" w:hAnsiTheme="minorHAnsi"/>
          <w:sz w:val="22"/>
          <w:szCs w:val="22"/>
        </w:rPr>
        <w:t>dit, or re-code such variables prior to release.</w:t>
      </w:r>
    </w:p>
    <w:p w:rsidR="003C518E" w:rsidP="00063A40" w14:paraId="1258CED0" w14:textId="09221AE1">
      <w:pPr>
        <w:ind w:left="180" w:hanging="180"/>
        <w:rPr>
          <w:sz w:val="24"/>
        </w:rPr>
      </w:pPr>
    </w:p>
    <w:p w:rsidR="00063A40" w:rsidRPr="00063A40" w:rsidP="00063A40" w14:paraId="7C6DD604" w14:textId="4BA2F930">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t xml:space="preserve">Table </w:t>
      </w:r>
      <w:r w:rsidRPr="00DB4F9C">
        <w:rPr>
          <w:rFonts w:asciiTheme="minorHAnsi" w:hAnsiTheme="minorHAnsi" w:cstheme="minorHAnsi"/>
          <w:b/>
        </w:rPr>
        <w:t>5</w:t>
      </w:r>
      <w:r w:rsidRPr="00DB4F9C">
        <w:rPr>
          <w:rFonts w:asciiTheme="minorHAnsi" w:hAnsiTheme="minorHAnsi" w:cstheme="minorHAnsi"/>
          <w:b/>
          <w:szCs w:val="22"/>
        </w:rPr>
        <w:t>:</w:t>
      </w:r>
      <w:r w:rsidRPr="0033093B">
        <w:rPr>
          <w:rFonts w:asciiTheme="minorHAnsi" w:hAnsiTheme="minorHAnsi"/>
          <w:b/>
          <w:szCs w:val="22"/>
        </w:rPr>
        <w:t xml:space="preserve">   </w:t>
      </w:r>
      <w:r>
        <w:rPr>
          <w:rFonts w:asciiTheme="minorHAnsi" w:hAnsiTheme="minorHAnsi"/>
          <w:b/>
          <w:szCs w:val="22"/>
        </w:rPr>
        <w:t>Project Schedule</w:t>
      </w:r>
    </w:p>
    <w:tbl>
      <w:tblPr>
        <w:tblW w:w="7015" w:type="dxa"/>
        <w:tblLook w:val="04A0"/>
      </w:tblPr>
      <w:tblGrid>
        <w:gridCol w:w="3027"/>
        <w:gridCol w:w="3988"/>
      </w:tblGrid>
      <w:tr w14:paraId="48377BA8" w14:textId="7FF40AF0" w:rsidTr="006601A1">
        <w:tblPrEx>
          <w:tblW w:w="7015" w:type="dxa"/>
          <w:tblLook w:val="04A0"/>
        </w:tblPrEx>
        <w:trPr>
          <w:trHeight w:val="300"/>
        </w:trPr>
        <w:tc>
          <w:tcPr>
            <w:tcW w:w="3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1B6A" w:rsidRPr="00793679" w:rsidP="00416B7B" w14:paraId="36F807CC" w14:textId="5CDDCBF7">
            <w:pPr>
              <w:widowControl/>
              <w:autoSpaceDE/>
              <w:autoSpaceDN/>
              <w:adjustRightInd/>
              <w:rPr>
                <w:rFonts w:ascii="Calibri" w:hAnsi="Calibri" w:cs="Calibri"/>
                <w:color w:val="000000"/>
                <w:szCs w:val="22"/>
              </w:rPr>
            </w:pPr>
            <w:r w:rsidRPr="00793679">
              <w:rPr>
                <w:rFonts w:ascii="Calibri" w:hAnsi="Calibri" w:cs="Calibri"/>
                <w:color w:val="000000"/>
                <w:szCs w:val="22"/>
              </w:rPr>
              <w:t>Finalize Questionnaire and Study Materials</w:t>
            </w:r>
          </w:p>
        </w:tc>
        <w:tc>
          <w:tcPr>
            <w:tcW w:w="3988" w:type="dxa"/>
            <w:tcBorders>
              <w:top w:val="single" w:sz="4" w:space="0" w:color="auto"/>
              <w:left w:val="nil"/>
              <w:bottom w:val="single" w:sz="4" w:space="0" w:color="auto"/>
              <w:right w:val="single" w:sz="4" w:space="0" w:color="auto"/>
            </w:tcBorders>
            <w:shd w:val="clear" w:color="000000" w:fill="FFFFFF"/>
            <w:vAlign w:val="center"/>
            <w:hideMark/>
          </w:tcPr>
          <w:p w:rsidR="00691B6A" w:rsidRPr="00793679" w:rsidP="00416B7B" w14:paraId="6729C355" w14:textId="33B2832E">
            <w:pPr>
              <w:widowControl/>
              <w:autoSpaceDE/>
              <w:autoSpaceDN/>
              <w:adjustRightInd/>
              <w:rPr>
                <w:rFonts w:ascii="Calibri" w:hAnsi="Calibri" w:cs="Calibri"/>
                <w:color w:val="000000"/>
                <w:szCs w:val="22"/>
              </w:rPr>
            </w:pPr>
            <w:r>
              <w:rPr>
                <w:rFonts w:ascii="Calibri" w:hAnsi="Calibri" w:cs="Calibri"/>
                <w:color w:val="000000"/>
                <w:szCs w:val="22"/>
              </w:rPr>
              <w:t>August</w:t>
            </w:r>
            <w:r w:rsidR="00096CE7">
              <w:rPr>
                <w:rFonts w:ascii="Calibri" w:hAnsi="Calibri" w:cs="Calibri"/>
                <w:color w:val="000000"/>
                <w:szCs w:val="22"/>
              </w:rPr>
              <w:t xml:space="preserve"> </w:t>
            </w:r>
            <w:r w:rsidRPr="00096CE7" w:rsidR="00096CE7">
              <w:rPr>
                <w:rFonts w:ascii="Calibri" w:hAnsi="Calibri" w:cs="Calibri"/>
                <w:color w:val="000000"/>
                <w:szCs w:val="22"/>
              </w:rPr>
              <w:t xml:space="preserve">– </w:t>
            </w:r>
            <w:r w:rsidR="00B95A69">
              <w:rPr>
                <w:rFonts w:ascii="Calibri" w:hAnsi="Calibri" w:cs="Calibri"/>
                <w:color w:val="000000"/>
                <w:szCs w:val="22"/>
              </w:rPr>
              <w:t>October</w:t>
            </w:r>
            <w:r w:rsidRPr="00793679">
              <w:rPr>
                <w:rFonts w:ascii="Calibri" w:hAnsi="Calibri" w:cs="Calibri"/>
                <w:color w:val="000000"/>
                <w:szCs w:val="22"/>
              </w:rPr>
              <w:t xml:space="preserve"> 20</w:t>
            </w:r>
            <w:r w:rsidR="00B26E77">
              <w:rPr>
                <w:rFonts w:ascii="Calibri" w:hAnsi="Calibri" w:cs="Calibri"/>
                <w:color w:val="000000"/>
                <w:szCs w:val="22"/>
              </w:rPr>
              <w:t>2</w:t>
            </w:r>
            <w:r>
              <w:rPr>
                <w:rFonts w:ascii="Calibri" w:hAnsi="Calibri" w:cs="Calibri"/>
                <w:color w:val="000000"/>
                <w:szCs w:val="22"/>
              </w:rPr>
              <w:t>5</w:t>
            </w:r>
          </w:p>
        </w:tc>
      </w:tr>
      <w:tr w14:paraId="0696648E" w14:textId="6C8B22D6" w:rsidTr="006601A1">
        <w:tblPrEx>
          <w:tblW w:w="7015" w:type="dxa"/>
          <w:tblLook w:val="04A0"/>
        </w:tblPrEx>
        <w:trPr>
          <w:trHeight w:val="6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rsidR="00691B6A" w:rsidRPr="00793679" w:rsidP="00416B7B" w14:paraId="138FA577" w14:textId="0427DB26">
            <w:pPr>
              <w:widowControl/>
              <w:autoSpaceDE/>
              <w:autoSpaceDN/>
              <w:adjustRightInd/>
              <w:rPr>
                <w:rFonts w:ascii="Calibri" w:hAnsi="Calibri" w:cs="Calibri"/>
                <w:color w:val="000000"/>
                <w:szCs w:val="22"/>
              </w:rPr>
            </w:pPr>
            <w:r w:rsidRPr="00793679">
              <w:rPr>
                <w:rFonts w:ascii="Calibri" w:hAnsi="Calibri" w:cs="Calibri"/>
                <w:color w:val="000000"/>
                <w:szCs w:val="22"/>
              </w:rPr>
              <w:t>Finalize Sampling and Survey Implementation Plans</w:t>
            </w:r>
          </w:p>
        </w:tc>
        <w:tc>
          <w:tcPr>
            <w:tcW w:w="3988" w:type="dxa"/>
            <w:tcBorders>
              <w:top w:val="nil"/>
              <w:left w:val="nil"/>
              <w:bottom w:val="single" w:sz="4" w:space="0" w:color="auto"/>
              <w:right w:val="single" w:sz="4" w:space="0" w:color="auto"/>
            </w:tcBorders>
            <w:shd w:val="clear" w:color="000000" w:fill="FFFFFF"/>
            <w:vAlign w:val="center"/>
            <w:hideMark/>
          </w:tcPr>
          <w:p w:rsidR="00691B6A" w:rsidRPr="00793679" w:rsidP="00416B7B" w14:paraId="011465EA" w14:textId="4DD272D7">
            <w:pPr>
              <w:widowControl/>
              <w:autoSpaceDE/>
              <w:autoSpaceDN/>
              <w:adjustRightInd/>
              <w:rPr>
                <w:rFonts w:ascii="Calibri" w:hAnsi="Calibri" w:cs="Calibri"/>
                <w:color w:val="000000"/>
                <w:szCs w:val="22"/>
              </w:rPr>
            </w:pPr>
            <w:r>
              <w:rPr>
                <w:rFonts w:ascii="Calibri" w:hAnsi="Calibri" w:cs="Calibri"/>
                <w:color w:val="000000"/>
                <w:szCs w:val="22"/>
              </w:rPr>
              <w:t>September</w:t>
            </w:r>
            <w:r w:rsidR="00096CE7">
              <w:rPr>
                <w:rFonts w:ascii="Calibri" w:hAnsi="Calibri" w:cs="Calibri"/>
                <w:color w:val="000000"/>
                <w:szCs w:val="22"/>
              </w:rPr>
              <w:t xml:space="preserve"> </w:t>
            </w:r>
            <w:r w:rsidRPr="00096CE7" w:rsidR="00096CE7">
              <w:rPr>
                <w:rFonts w:ascii="Calibri" w:hAnsi="Calibri" w:cs="Calibri"/>
                <w:color w:val="000000"/>
                <w:szCs w:val="22"/>
              </w:rPr>
              <w:t xml:space="preserve">– </w:t>
            </w:r>
            <w:r w:rsidR="00B95A69">
              <w:rPr>
                <w:rFonts w:ascii="Calibri" w:hAnsi="Calibri" w:cs="Calibri"/>
                <w:color w:val="000000"/>
                <w:szCs w:val="22"/>
              </w:rPr>
              <w:t>October</w:t>
            </w:r>
            <w:r w:rsidRPr="00793679">
              <w:rPr>
                <w:rFonts w:ascii="Calibri" w:hAnsi="Calibri" w:cs="Calibri"/>
                <w:color w:val="000000"/>
                <w:szCs w:val="22"/>
              </w:rPr>
              <w:t xml:space="preserve"> </w:t>
            </w:r>
            <w:r>
              <w:rPr>
                <w:rFonts w:ascii="Calibri" w:hAnsi="Calibri" w:cs="Calibri"/>
                <w:color w:val="000000"/>
                <w:szCs w:val="22"/>
              </w:rPr>
              <w:t>2</w:t>
            </w:r>
            <w:r w:rsidRPr="00793679">
              <w:rPr>
                <w:rFonts w:ascii="Calibri" w:hAnsi="Calibri" w:cs="Calibri"/>
                <w:color w:val="000000"/>
                <w:szCs w:val="22"/>
              </w:rPr>
              <w:t>0</w:t>
            </w:r>
            <w:r w:rsidR="00B26E77">
              <w:rPr>
                <w:rFonts w:ascii="Calibri" w:hAnsi="Calibri" w:cs="Calibri"/>
                <w:color w:val="000000"/>
                <w:szCs w:val="22"/>
              </w:rPr>
              <w:t>2</w:t>
            </w:r>
            <w:r>
              <w:rPr>
                <w:rFonts w:ascii="Calibri" w:hAnsi="Calibri" w:cs="Calibri"/>
                <w:color w:val="000000"/>
                <w:szCs w:val="22"/>
              </w:rPr>
              <w:t>5</w:t>
            </w:r>
          </w:p>
        </w:tc>
      </w:tr>
      <w:tr w14:paraId="2BC449B5" w14:textId="13DF36D6" w:rsidTr="006601A1">
        <w:tblPrEx>
          <w:tblW w:w="7015" w:type="dxa"/>
          <w:tblLook w:val="04A0"/>
        </w:tblPrEx>
        <w:trPr>
          <w:trHeight w:val="6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rsidR="00691B6A" w:rsidRPr="00793679" w:rsidP="00416B7B" w14:paraId="55720B26" w14:textId="13B35CFC">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Train Interviewers </w:t>
            </w:r>
          </w:p>
        </w:tc>
        <w:tc>
          <w:tcPr>
            <w:tcW w:w="3988" w:type="dxa"/>
            <w:tcBorders>
              <w:top w:val="nil"/>
              <w:left w:val="nil"/>
              <w:bottom w:val="single" w:sz="4" w:space="0" w:color="auto"/>
              <w:right w:val="single" w:sz="4" w:space="0" w:color="auto"/>
            </w:tcBorders>
            <w:shd w:val="clear" w:color="000000" w:fill="FFFFFF"/>
            <w:vAlign w:val="center"/>
            <w:hideMark/>
          </w:tcPr>
          <w:p w:rsidR="00691B6A" w:rsidRPr="00793679" w:rsidP="00416B7B" w14:paraId="2F8F6938" w14:textId="0D4C45E2">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sidR="00B26E77">
              <w:rPr>
                <w:rFonts w:ascii="Calibri" w:hAnsi="Calibri" w:cs="Calibri"/>
                <w:color w:val="000000"/>
                <w:szCs w:val="22"/>
              </w:rPr>
              <w:t xml:space="preserve"> </w:t>
            </w:r>
            <w:r w:rsidR="00B26E77">
              <w:rPr>
                <w:rFonts w:ascii="Calibri" w:hAnsi="Calibri" w:cs="Calibri"/>
                <w:color w:val="000000"/>
                <w:szCs w:val="22"/>
              </w:rPr>
              <w:t>202</w:t>
            </w:r>
            <w:r w:rsidR="00083A8C">
              <w:rPr>
                <w:rFonts w:ascii="Calibri" w:hAnsi="Calibri" w:cs="Calibri"/>
                <w:color w:val="000000"/>
                <w:szCs w:val="22"/>
              </w:rPr>
              <w:t>5</w:t>
            </w:r>
            <w:r w:rsidR="00B26E77">
              <w:rPr>
                <w:rFonts w:ascii="Calibri" w:hAnsi="Calibri" w:cs="Calibri"/>
                <w:color w:val="000000"/>
                <w:szCs w:val="22"/>
              </w:rPr>
              <w:t xml:space="preserve"> </w:t>
            </w:r>
            <w:r w:rsidR="00B50B11">
              <w:rPr>
                <w:rFonts w:ascii="Calibri" w:hAnsi="Calibri" w:cs="Calibri"/>
                <w:color w:val="000000"/>
                <w:szCs w:val="22"/>
              </w:rPr>
              <w:t xml:space="preserve">– </w:t>
            </w:r>
            <w:r w:rsidR="00083A8C">
              <w:rPr>
                <w:rFonts w:ascii="Calibri" w:hAnsi="Calibri" w:cs="Calibri"/>
                <w:color w:val="000000"/>
                <w:szCs w:val="22"/>
              </w:rPr>
              <w:t>February</w:t>
            </w:r>
            <w:r w:rsidR="00B50B11">
              <w:rPr>
                <w:rFonts w:ascii="Calibri" w:hAnsi="Calibri" w:cs="Calibri"/>
                <w:color w:val="000000"/>
                <w:szCs w:val="22"/>
              </w:rPr>
              <w:t xml:space="preserve"> 20</w:t>
            </w:r>
            <w:r w:rsidR="00B26E77">
              <w:rPr>
                <w:rFonts w:ascii="Calibri" w:hAnsi="Calibri" w:cs="Calibri"/>
                <w:color w:val="000000"/>
                <w:szCs w:val="22"/>
              </w:rPr>
              <w:t>2</w:t>
            </w:r>
            <w:r w:rsidR="00083A8C">
              <w:rPr>
                <w:rFonts w:ascii="Calibri" w:hAnsi="Calibri" w:cs="Calibri"/>
                <w:color w:val="000000"/>
                <w:szCs w:val="22"/>
              </w:rPr>
              <w:t>6</w:t>
            </w:r>
          </w:p>
        </w:tc>
      </w:tr>
      <w:tr w14:paraId="76F67FC2" w14:textId="77777777" w:rsidTr="006601A1">
        <w:tblPrEx>
          <w:tblW w:w="7015" w:type="dxa"/>
          <w:tblLook w:val="04A0"/>
        </w:tblPrEx>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tcPr>
          <w:p w:rsidR="00691B6A" w:rsidRPr="00793679" w:rsidP="009412C5" w14:paraId="012E503C" w14:textId="08769D27">
            <w:pPr>
              <w:widowControl/>
              <w:autoSpaceDE/>
              <w:autoSpaceDN/>
              <w:adjustRightInd/>
              <w:rPr>
                <w:rFonts w:ascii="Calibri" w:hAnsi="Calibri" w:cs="Calibri"/>
                <w:color w:val="000000"/>
                <w:szCs w:val="22"/>
              </w:rPr>
            </w:pPr>
            <w:r>
              <w:rPr>
                <w:rFonts w:ascii="Calibri" w:hAnsi="Calibri" w:cs="Calibri"/>
                <w:color w:val="000000"/>
                <w:szCs w:val="22"/>
              </w:rPr>
              <w:t>Data c</w:t>
            </w:r>
            <w:r w:rsidRPr="00793679">
              <w:rPr>
                <w:rFonts w:ascii="Calibri" w:hAnsi="Calibri" w:cs="Calibri"/>
                <w:color w:val="000000"/>
                <w:szCs w:val="22"/>
              </w:rPr>
              <w:t>ollection in four jurisdictions</w:t>
            </w:r>
          </w:p>
        </w:tc>
        <w:tc>
          <w:tcPr>
            <w:tcW w:w="3988" w:type="dxa"/>
            <w:tcBorders>
              <w:top w:val="nil"/>
              <w:left w:val="nil"/>
              <w:bottom w:val="single" w:sz="4" w:space="0" w:color="auto"/>
              <w:right w:val="single" w:sz="4" w:space="0" w:color="auto"/>
            </w:tcBorders>
            <w:shd w:val="clear" w:color="000000" w:fill="FFFFFF"/>
            <w:vAlign w:val="center"/>
          </w:tcPr>
          <w:p w:rsidR="00691B6A" w:rsidRPr="00793679" w:rsidP="00AE2DE8" w14:paraId="68C8B5E2" w14:textId="67AFD6C4">
            <w:pPr>
              <w:widowControl/>
              <w:autoSpaceDE/>
              <w:autoSpaceDN/>
              <w:adjustRightInd/>
              <w:rPr>
                <w:rFonts w:ascii="Calibri" w:hAnsi="Calibri" w:cs="Calibri"/>
                <w:color w:val="000000"/>
                <w:szCs w:val="22"/>
              </w:rPr>
            </w:pPr>
            <w:r w:rsidRPr="00083A8C">
              <w:rPr>
                <w:rFonts w:ascii="Calibri" w:hAnsi="Calibri" w:cs="Calibri"/>
                <w:color w:val="000000"/>
                <w:szCs w:val="22"/>
              </w:rPr>
              <w:t>October 2025 – February 2026</w:t>
            </w:r>
          </w:p>
        </w:tc>
      </w:tr>
      <w:tr w14:paraId="120668C4" w14:textId="77777777" w:rsidTr="006601A1">
        <w:tblPrEx>
          <w:tblW w:w="7015" w:type="dxa"/>
          <w:tblLook w:val="04A0"/>
        </w:tblPrEx>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tcPr>
          <w:p w:rsidR="00691B6A" w:rsidRPr="00793679" w:rsidP="00416B7B" w14:paraId="48A8C374" w14:textId="64A4159E">
            <w:pPr>
              <w:widowControl/>
              <w:autoSpaceDE/>
              <w:autoSpaceDN/>
              <w:adjustRightInd/>
              <w:rPr>
                <w:rFonts w:ascii="Calibri" w:hAnsi="Calibri" w:cs="Calibri"/>
                <w:color w:val="000000"/>
                <w:szCs w:val="22"/>
              </w:rPr>
            </w:pPr>
            <w:r w:rsidRPr="00793679">
              <w:rPr>
                <w:rFonts w:ascii="Calibri" w:hAnsi="Calibri" w:cs="Calibri"/>
                <w:color w:val="000000"/>
                <w:szCs w:val="22"/>
              </w:rPr>
              <w:t>Data cleaning and weighting</w:t>
            </w:r>
          </w:p>
        </w:tc>
        <w:tc>
          <w:tcPr>
            <w:tcW w:w="3988" w:type="dxa"/>
            <w:tcBorders>
              <w:top w:val="nil"/>
              <w:left w:val="nil"/>
              <w:bottom w:val="single" w:sz="4" w:space="0" w:color="auto"/>
              <w:right w:val="single" w:sz="4" w:space="0" w:color="auto"/>
            </w:tcBorders>
            <w:shd w:val="clear" w:color="000000" w:fill="FFFFFF"/>
            <w:vAlign w:val="center"/>
          </w:tcPr>
          <w:p w:rsidR="00691B6A" w:rsidRPr="00793679" w:rsidP="00AE2DE8" w14:paraId="0D5F09C4" w14:textId="409370D6">
            <w:pPr>
              <w:widowControl/>
              <w:autoSpaceDE/>
              <w:autoSpaceDN/>
              <w:adjustRightInd/>
              <w:rPr>
                <w:rFonts w:ascii="Calibri" w:hAnsi="Calibri" w:cs="Calibri"/>
                <w:color w:val="000000"/>
                <w:szCs w:val="22"/>
              </w:rPr>
            </w:pPr>
            <w:r>
              <w:rPr>
                <w:rFonts w:ascii="Calibri" w:hAnsi="Calibri" w:cs="Calibri"/>
                <w:color w:val="000000"/>
                <w:szCs w:val="22"/>
              </w:rPr>
              <w:t>November</w:t>
            </w:r>
            <w:r w:rsidR="00B26E77">
              <w:rPr>
                <w:rFonts w:ascii="Calibri" w:hAnsi="Calibri" w:cs="Calibri"/>
                <w:color w:val="000000"/>
                <w:szCs w:val="22"/>
              </w:rPr>
              <w:t xml:space="preserve"> 202</w:t>
            </w:r>
            <w:r w:rsidR="00083A8C">
              <w:rPr>
                <w:rFonts w:ascii="Calibri" w:hAnsi="Calibri" w:cs="Calibri"/>
                <w:color w:val="000000"/>
                <w:szCs w:val="22"/>
              </w:rPr>
              <w:t>5</w:t>
            </w:r>
            <w:r w:rsidRPr="00793679" w:rsidR="00B83689">
              <w:rPr>
                <w:rFonts w:ascii="Calibri" w:hAnsi="Calibri" w:cs="Calibri"/>
                <w:color w:val="000000"/>
                <w:szCs w:val="22"/>
              </w:rPr>
              <w:t xml:space="preserve"> – </w:t>
            </w:r>
            <w:r w:rsidR="00096CE7">
              <w:rPr>
                <w:rFonts w:ascii="Calibri" w:hAnsi="Calibri" w:cs="Calibri"/>
                <w:color w:val="000000"/>
                <w:szCs w:val="22"/>
              </w:rPr>
              <w:t>March</w:t>
            </w:r>
            <w:r w:rsidRPr="00793679" w:rsidR="00B83689">
              <w:rPr>
                <w:rFonts w:ascii="Calibri" w:hAnsi="Calibri" w:cs="Calibri"/>
                <w:color w:val="000000"/>
                <w:szCs w:val="22"/>
              </w:rPr>
              <w:t xml:space="preserve"> 20</w:t>
            </w:r>
            <w:r w:rsidR="00B26E77">
              <w:rPr>
                <w:rFonts w:ascii="Calibri" w:hAnsi="Calibri" w:cs="Calibri"/>
                <w:color w:val="000000"/>
                <w:szCs w:val="22"/>
              </w:rPr>
              <w:t>2</w:t>
            </w:r>
            <w:r w:rsidR="00096CE7">
              <w:rPr>
                <w:rFonts w:ascii="Calibri" w:hAnsi="Calibri" w:cs="Calibri"/>
                <w:color w:val="000000"/>
                <w:szCs w:val="22"/>
              </w:rPr>
              <w:t>6</w:t>
            </w:r>
          </w:p>
        </w:tc>
      </w:tr>
      <w:tr w14:paraId="10BF0B0F" w14:textId="77777777" w:rsidTr="006601A1">
        <w:tblPrEx>
          <w:tblW w:w="7015" w:type="dxa"/>
          <w:tblLook w:val="04A0"/>
        </w:tblPrEx>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tcPr>
          <w:p w:rsidR="00691B6A" w:rsidRPr="00793679" w:rsidP="00416B7B" w14:paraId="36C5A5FE" w14:textId="3CEAB1FC">
            <w:pPr>
              <w:widowControl/>
              <w:autoSpaceDE/>
              <w:autoSpaceDN/>
              <w:adjustRightInd/>
              <w:rPr>
                <w:rFonts w:ascii="Calibri" w:hAnsi="Calibri" w:cs="Calibri"/>
                <w:color w:val="000000"/>
                <w:szCs w:val="22"/>
              </w:rPr>
            </w:pPr>
            <w:r w:rsidRPr="00793679">
              <w:rPr>
                <w:rFonts w:ascii="Calibri" w:hAnsi="Calibri" w:cs="Calibri"/>
                <w:color w:val="000000"/>
                <w:szCs w:val="22"/>
              </w:rPr>
              <w:t>Univariate and Bivariate Frequencies of Data</w:t>
            </w:r>
          </w:p>
        </w:tc>
        <w:tc>
          <w:tcPr>
            <w:tcW w:w="3988" w:type="dxa"/>
            <w:tcBorders>
              <w:top w:val="nil"/>
              <w:left w:val="nil"/>
              <w:bottom w:val="single" w:sz="4" w:space="0" w:color="auto"/>
              <w:right w:val="single" w:sz="4" w:space="0" w:color="auto"/>
            </w:tcBorders>
            <w:shd w:val="clear" w:color="000000" w:fill="FFFFFF"/>
            <w:vAlign w:val="center"/>
          </w:tcPr>
          <w:p w:rsidR="00691B6A" w:rsidRPr="00793679" w:rsidP="00416B7B" w14:paraId="577DD0C5" w14:textId="3EA0AEB9">
            <w:pPr>
              <w:widowControl/>
              <w:autoSpaceDE/>
              <w:autoSpaceDN/>
              <w:adjustRightInd/>
              <w:rPr>
                <w:rFonts w:ascii="Calibri" w:hAnsi="Calibri" w:cs="Calibri"/>
                <w:color w:val="000000"/>
                <w:szCs w:val="22"/>
              </w:rPr>
            </w:pPr>
            <w:r w:rsidRPr="007907FE">
              <w:rPr>
                <w:rFonts w:ascii="Calibri" w:hAnsi="Calibri" w:cs="Calibri"/>
                <w:color w:val="000000"/>
                <w:szCs w:val="22"/>
              </w:rPr>
              <w:t xml:space="preserve">November 2025 – </w:t>
            </w:r>
            <w:r>
              <w:rPr>
                <w:rFonts w:ascii="Calibri" w:hAnsi="Calibri" w:cs="Calibri"/>
                <w:color w:val="000000"/>
                <w:szCs w:val="22"/>
              </w:rPr>
              <w:t>April</w:t>
            </w:r>
            <w:r w:rsidRPr="007907FE">
              <w:rPr>
                <w:rFonts w:ascii="Calibri" w:hAnsi="Calibri" w:cs="Calibri"/>
                <w:color w:val="000000"/>
                <w:szCs w:val="22"/>
              </w:rPr>
              <w:t xml:space="preserve"> 2026</w:t>
            </w:r>
          </w:p>
        </w:tc>
      </w:tr>
      <w:tr w14:paraId="7753279B" w14:textId="1DC6FA50" w:rsidTr="006601A1">
        <w:tblPrEx>
          <w:tblW w:w="7015" w:type="dxa"/>
          <w:tblLook w:val="04A0"/>
        </w:tblPrEx>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rsidR="00691B6A" w:rsidRPr="00793679" w:rsidP="00416B7B" w14:paraId="244C7FB8" w14:textId="1EB16D8B">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Draft </w:t>
            </w:r>
            <w:r w:rsidR="007907FE">
              <w:rPr>
                <w:rFonts w:ascii="Calibri" w:hAnsi="Calibri" w:cs="Calibri"/>
                <w:color w:val="000000"/>
                <w:szCs w:val="22"/>
              </w:rPr>
              <w:t>Jurisdiction</w:t>
            </w:r>
            <w:r w:rsidRPr="00793679">
              <w:rPr>
                <w:rFonts w:ascii="Calibri" w:hAnsi="Calibri" w:cs="Calibri"/>
                <w:color w:val="000000"/>
                <w:szCs w:val="22"/>
              </w:rPr>
              <w:t xml:space="preserve"> Data File </w:t>
            </w:r>
          </w:p>
        </w:tc>
        <w:tc>
          <w:tcPr>
            <w:tcW w:w="3988" w:type="dxa"/>
            <w:tcBorders>
              <w:top w:val="nil"/>
              <w:left w:val="nil"/>
              <w:bottom w:val="single" w:sz="4" w:space="0" w:color="auto"/>
              <w:right w:val="single" w:sz="4" w:space="0" w:color="auto"/>
            </w:tcBorders>
            <w:shd w:val="clear" w:color="000000" w:fill="FFFFFF"/>
            <w:vAlign w:val="center"/>
            <w:hideMark/>
          </w:tcPr>
          <w:p w:rsidR="00691B6A" w:rsidRPr="00793679" w:rsidP="00416B7B" w14:paraId="30E25E94" w14:textId="7DDB20F0">
            <w:pPr>
              <w:widowControl/>
              <w:autoSpaceDE/>
              <w:autoSpaceDN/>
              <w:adjustRightInd/>
              <w:rPr>
                <w:rFonts w:ascii="Calibri" w:hAnsi="Calibri" w:cs="Calibri"/>
                <w:color w:val="000000"/>
                <w:szCs w:val="22"/>
              </w:rPr>
            </w:pPr>
            <w:r w:rsidRPr="007907FE">
              <w:rPr>
                <w:rFonts w:ascii="Calibri" w:hAnsi="Calibri" w:cs="Calibri"/>
                <w:color w:val="000000"/>
                <w:szCs w:val="22"/>
              </w:rPr>
              <w:t>April 2026</w:t>
            </w:r>
          </w:p>
        </w:tc>
      </w:tr>
      <w:tr w14:paraId="55BF6D80" w14:textId="5BE5E009" w:rsidTr="006601A1">
        <w:tblPrEx>
          <w:tblW w:w="7015" w:type="dxa"/>
          <w:tblLook w:val="04A0"/>
        </w:tblPrEx>
        <w:trPr>
          <w:trHeight w:val="300"/>
        </w:trPr>
        <w:tc>
          <w:tcPr>
            <w:tcW w:w="3027" w:type="dxa"/>
            <w:tcBorders>
              <w:top w:val="nil"/>
              <w:left w:val="single" w:sz="4" w:space="0" w:color="auto"/>
              <w:bottom w:val="single" w:sz="4" w:space="0" w:color="auto"/>
              <w:right w:val="single" w:sz="4" w:space="0" w:color="auto"/>
            </w:tcBorders>
            <w:shd w:val="clear" w:color="000000" w:fill="FFFFFF"/>
            <w:vAlign w:val="center"/>
            <w:hideMark/>
          </w:tcPr>
          <w:p w:rsidR="00691B6A" w:rsidRPr="00793679" w:rsidP="00416B7B" w14:paraId="4C236F53" w14:textId="4AFCB305">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Final </w:t>
            </w:r>
            <w:r w:rsidRPr="007907FE" w:rsidR="007907FE">
              <w:rPr>
                <w:rFonts w:ascii="Calibri" w:hAnsi="Calibri" w:cs="Calibri"/>
                <w:color w:val="000000"/>
                <w:szCs w:val="22"/>
              </w:rPr>
              <w:t xml:space="preserve">Jurisdiction </w:t>
            </w:r>
            <w:r w:rsidRPr="00793679">
              <w:rPr>
                <w:rFonts w:ascii="Calibri" w:hAnsi="Calibri" w:cs="Calibri"/>
                <w:color w:val="000000"/>
                <w:szCs w:val="22"/>
              </w:rPr>
              <w:t xml:space="preserve">Data File </w:t>
            </w:r>
          </w:p>
        </w:tc>
        <w:tc>
          <w:tcPr>
            <w:tcW w:w="3988" w:type="dxa"/>
            <w:tcBorders>
              <w:top w:val="nil"/>
              <w:left w:val="nil"/>
              <w:bottom w:val="single" w:sz="4" w:space="0" w:color="auto"/>
              <w:right w:val="single" w:sz="4" w:space="0" w:color="auto"/>
            </w:tcBorders>
            <w:shd w:val="clear" w:color="000000" w:fill="FFFFFF"/>
            <w:vAlign w:val="center"/>
            <w:hideMark/>
          </w:tcPr>
          <w:p w:rsidR="00691B6A" w:rsidRPr="00793679" w:rsidP="00416B7B" w14:paraId="795BE725" w14:textId="611BAE2B">
            <w:pPr>
              <w:widowControl/>
              <w:autoSpaceDE/>
              <w:autoSpaceDN/>
              <w:adjustRightInd/>
              <w:rPr>
                <w:rFonts w:ascii="Calibri" w:hAnsi="Calibri" w:cs="Calibri"/>
                <w:color w:val="000000"/>
                <w:szCs w:val="22"/>
              </w:rPr>
            </w:pPr>
            <w:r w:rsidRPr="007907FE">
              <w:rPr>
                <w:rFonts w:ascii="Calibri" w:hAnsi="Calibri" w:cs="Calibri"/>
                <w:color w:val="000000"/>
                <w:szCs w:val="22"/>
              </w:rPr>
              <w:t>April 2026</w:t>
            </w:r>
          </w:p>
        </w:tc>
      </w:tr>
    </w:tbl>
    <w:tbl>
      <w:tblPr>
        <w:tblStyle w:val="Table3Deffects3"/>
        <w:tblW w:w="5000" w:type="pct"/>
        <w:tblLook w:val="0600"/>
      </w:tblPr>
      <w:tblGrid>
        <w:gridCol w:w="3986"/>
        <w:gridCol w:w="1635"/>
        <w:gridCol w:w="3739"/>
      </w:tblGrid>
      <w:tr w14:paraId="2FCC6A75" w14:textId="548170B2" w:rsidTr="00416B7B">
        <w:tblPrEx>
          <w:tblW w:w="5000" w:type="pct"/>
          <w:tblLook w:val="0600"/>
        </w:tblPrEx>
        <w:tc>
          <w:tcPr>
            <w:tcW w:w="2129" w:type="pct"/>
          </w:tcPr>
          <w:p w:rsidR="00726E2A" w:rsidRPr="001672CD" w:rsidP="00A5240E" w14:paraId="28F05892" w14:textId="1CD0ACD0">
            <w:pPr>
              <w:ind w:left="180" w:hanging="180"/>
              <w:rPr>
                <w:sz w:val="24"/>
              </w:rPr>
            </w:pPr>
          </w:p>
        </w:tc>
        <w:tc>
          <w:tcPr>
            <w:tcW w:w="873" w:type="pct"/>
          </w:tcPr>
          <w:p w:rsidR="00726E2A" w:rsidRPr="00EF3B07" w:rsidP="00A5240E" w14:paraId="2782A445" w14:textId="0C825E7D">
            <w:pPr>
              <w:rPr>
                <w:bCs/>
                <w:color w:val="000000"/>
                <w:sz w:val="24"/>
              </w:rPr>
            </w:pPr>
          </w:p>
        </w:tc>
        <w:tc>
          <w:tcPr>
            <w:tcW w:w="1997" w:type="pct"/>
          </w:tcPr>
          <w:p w:rsidR="00726E2A" w:rsidRPr="00EF3B07" w:rsidP="00A5240E" w14:paraId="34BF73DB" w14:textId="006F9A5C">
            <w:pPr>
              <w:rPr>
                <w:sz w:val="24"/>
              </w:rPr>
            </w:pPr>
          </w:p>
        </w:tc>
      </w:tr>
    </w:tbl>
    <w:p w:rsidR="00D84D9E" w:rsidRPr="005307EF" w:rsidP="00EE7754" w14:paraId="3EB5B182" w14:textId="77777777">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Reason(s) Display of OMB Expiration Date is Inappropriate</w:t>
      </w:r>
    </w:p>
    <w:p w:rsidR="00D84D9E" w:rsidRPr="005307EF" w:rsidP="00EA78B3" w14:paraId="5B67AEA7"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Not applicable. Not requesting exemption.</w:t>
      </w:r>
    </w:p>
    <w:p w:rsidR="00D84D9E" w:rsidRPr="005307EF" w:rsidP="00EE7754" w14:paraId="33A4221F" w14:textId="77777777">
      <w:pPr>
        <w:numPr>
          <w:ilvl w:val="0"/>
          <w:numId w:val="5"/>
        </w:numPr>
        <w:spacing w:before="240"/>
        <w:rPr>
          <w:rFonts w:asciiTheme="minorHAnsi" w:hAnsiTheme="minorHAnsi"/>
          <w:b/>
          <w:sz w:val="22"/>
          <w:szCs w:val="22"/>
        </w:rPr>
      </w:pPr>
      <w:r w:rsidRPr="005307EF">
        <w:rPr>
          <w:rFonts w:asciiTheme="minorHAnsi" w:hAnsiTheme="minorHAnsi"/>
          <w:b/>
          <w:sz w:val="22"/>
          <w:szCs w:val="22"/>
          <w:u w:val="single"/>
        </w:rPr>
        <w:t>Exceptions to Certification for Paperwork Reduction Act Submissions</w:t>
      </w:r>
    </w:p>
    <w:p w:rsidR="00D84D9E" w:rsidRPr="005307EF" w:rsidP="00EA78B3" w14:paraId="3ABDD6DB" w14:textId="0F6FA716">
      <w:pPr>
        <w:pStyle w:val="BodyTextIndent"/>
        <w:spacing w:before="120"/>
        <w:ind w:left="0"/>
        <w:rPr>
          <w:rFonts w:asciiTheme="minorHAnsi" w:hAnsiTheme="minorHAnsi"/>
          <w:sz w:val="22"/>
          <w:szCs w:val="22"/>
        </w:rPr>
      </w:pPr>
      <w:r w:rsidRPr="005307EF">
        <w:rPr>
          <w:rFonts w:asciiTheme="minorHAnsi" w:hAnsiTheme="minorHAnsi"/>
          <w:sz w:val="22"/>
          <w:szCs w:val="22"/>
        </w:rPr>
        <w:t>Not applicable</w:t>
      </w:r>
      <w:r w:rsidR="00792F0F">
        <w:rPr>
          <w:rFonts w:asciiTheme="minorHAnsi" w:hAnsiTheme="minorHAnsi"/>
          <w:sz w:val="22"/>
          <w:szCs w:val="22"/>
        </w:rPr>
        <w:t xml:space="preserve">. </w:t>
      </w:r>
      <w:r w:rsidRPr="005307EF">
        <w:rPr>
          <w:rFonts w:asciiTheme="minorHAnsi" w:hAnsiTheme="minorHAnsi"/>
          <w:sz w:val="22"/>
          <w:szCs w:val="22"/>
        </w:rPr>
        <w:t xml:space="preserve">No exception requested. </w:t>
      </w:r>
    </w:p>
    <w:p w:rsidR="00D84D9E" w:rsidP="003C7AFA" w14:paraId="762B0CE6" w14:textId="77777777">
      <w:pPr>
        <w:pStyle w:val="ListParagraph"/>
        <w:ind w:left="0"/>
      </w:pPr>
    </w:p>
    <w:p w:rsidR="001B60B2" w:rsidRPr="001B60B2" w:rsidP="003C7AFA" w14:paraId="5B65D6AD" w14:textId="0720F6DB">
      <w:pPr>
        <w:pStyle w:val="ListParagraph"/>
        <w:ind w:left="0"/>
        <w:rPr>
          <w:b/>
        </w:rPr>
      </w:pPr>
      <w:r w:rsidRPr="001B60B2">
        <w:rPr>
          <w:b/>
        </w:rPr>
        <w:t>References</w:t>
      </w:r>
    </w:p>
    <w:p w:rsidR="001B60B2" w:rsidP="001B60B2" w14:paraId="5A5C83E9" w14:textId="77777777">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James, J. M., &amp; Bolstein, R. (1992). Large monetary incentives and their effect on mail survey response rates.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56</w:t>
      </w:r>
      <w:r w:rsidRPr="001B60B2">
        <w:rPr>
          <w:rFonts w:asciiTheme="minorHAnsi" w:hAnsiTheme="minorHAnsi" w:cstheme="minorHAnsi"/>
          <w:szCs w:val="20"/>
          <w:shd w:val="clear" w:color="auto" w:fill="FFFFFF"/>
        </w:rPr>
        <w:t>(4), 442-453.</w:t>
      </w:r>
    </w:p>
    <w:p w:rsidR="001B60B2" w:rsidP="001B60B2" w14:paraId="03350A3C" w14:textId="77777777">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Messer, B. L., &amp; Dillman, D. A. (2011). Surveying the general public over the internet using address-based sampling and mail contact procedures.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75</w:t>
      </w:r>
      <w:r w:rsidRPr="001B60B2">
        <w:rPr>
          <w:rFonts w:asciiTheme="minorHAnsi" w:hAnsiTheme="minorHAnsi" w:cstheme="minorHAnsi"/>
          <w:szCs w:val="20"/>
          <w:shd w:val="clear" w:color="auto" w:fill="FFFFFF"/>
        </w:rPr>
        <w:t>(3), 429-457.</w:t>
      </w:r>
    </w:p>
    <w:p w:rsidR="00747DEF" w:rsidRPr="00747DEF" w:rsidP="00747DEF" w14:paraId="594DB581" w14:textId="77777777">
      <w:pPr>
        <w:spacing w:before="240"/>
        <w:rPr>
          <w:rFonts w:asciiTheme="minorHAnsi" w:hAnsiTheme="minorHAnsi" w:cstheme="minorHAnsi"/>
          <w:szCs w:val="20"/>
          <w:shd w:val="clear" w:color="auto" w:fill="FFFFFF"/>
        </w:rPr>
      </w:pPr>
      <w:r w:rsidRPr="00747DEF">
        <w:rPr>
          <w:rFonts w:asciiTheme="minorHAnsi" w:hAnsiTheme="minorHAnsi" w:cstheme="minorHAnsi"/>
          <w:szCs w:val="20"/>
          <w:shd w:val="clear" w:color="auto" w:fill="FFFFFF"/>
        </w:rPr>
        <w:t>Office of Management and Budget, “Revisions to OMB’s Statistical Policy Directive No. 15: Standards for Maintaining, Collecting, and Presenting Federal Data on Race and Ethnicity,” Federal Register 89, no. 61 (March 29, 2024): 22182-22190, https://www.federalregister.gov/documents/2024/03/29/2024-06469/revisions-to-ombs-statistical-policy-directive-no-15-standards-for-maintaining-collecting-and/. </w:t>
      </w:r>
    </w:p>
    <w:p w:rsidR="00BF3328" w:rsidP="001B60B2" w14:paraId="2DDE9CA1" w14:textId="739A52B9">
      <w:pPr>
        <w:spacing w:before="240"/>
        <w:rPr>
          <w:rFonts w:asciiTheme="minorHAnsi" w:hAnsiTheme="minorHAnsi" w:cstheme="minorHAnsi"/>
          <w:szCs w:val="20"/>
          <w:shd w:val="clear" w:color="auto" w:fill="FFFFFF"/>
        </w:rPr>
      </w:pPr>
      <w:r w:rsidRPr="00BF3328">
        <w:rPr>
          <w:rFonts w:asciiTheme="minorHAnsi" w:hAnsiTheme="minorHAnsi" w:cstheme="minorHAnsi"/>
          <w:szCs w:val="20"/>
          <w:shd w:val="clear" w:color="auto" w:fill="FFFFFF"/>
        </w:rPr>
        <w:t>U.S. Department of Health and Human Services (20</w:t>
      </w:r>
      <w:r>
        <w:rPr>
          <w:rFonts w:asciiTheme="minorHAnsi" w:hAnsiTheme="minorHAnsi" w:cstheme="minorHAnsi"/>
          <w:szCs w:val="20"/>
          <w:shd w:val="clear" w:color="auto" w:fill="FFFFFF"/>
        </w:rPr>
        <w:t>24</w:t>
      </w:r>
      <w:r w:rsidRPr="00BF3328">
        <w:rPr>
          <w:rFonts w:asciiTheme="minorHAnsi" w:hAnsiTheme="minorHAnsi" w:cstheme="minorHAnsi"/>
          <w:szCs w:val="20"/>
          <w:shd w:val="clear" w:color="auto" w:fill="FFFFFF"/>
        </w:rPr>
        <w:t xml:space="preserve">). HHS implementation guidance on data collection standards for race, ethnicity, sex, primary language, and disability status. Retrieved from https://aspe.hhs.gov/reports/hhs-implementation-guidance-data-collection-standards-race-ethnicity-sex-primary-language-disability-0 </w:t>
      </w:r>
    </w:p>
    <w:p w:rsidR="001B60B2" w:rsidP="001B60B2" w14:paraId="13B21215" w14:textId="12D91A9C">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Singer, E., &amp; Ye, C. (2013). The use and effects of incentives in surveys. </w:t>
      </w:r>
      <w:r w:rsidRPr="001B60B2">
        <w:rPr>
          <w:rFonts w:asciiTheme="minorHAnsi" w:hAnsiTheme="minorHAnsi" w:cstheme="minorHAnsi"/>
          <w:i/>
          <w:iCs/>
          <w:szCs w:val="20"/>
          <w:shd w:val="clear" w:color="auto" w:fill="FFFFFF"/>
        </w:rPr>
        <w:t>The ANNALS of the American Academy of Political and Social Science</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645</w:t>
      </w:r>
      <w:r w:rsidRPr="001B60B2">
        <w:rPr>
          <w:rFonts w:asciiTheme="minorHAnsi" w:hAnsiTheme="minorHAnsi" w:cstheme="minorHAnsi"/>
          <w:szCs w:val="20"/>
          <w:shd w:val="clear" w:color="auto" w:fill="FFFFFF"/>
        </w:rPr>
        <w:t>(1), 112-141.</w:t>
      </w:r>
    </w:p>
    <w:sectPr w:rsidSect="007D5EEC">
      <w:footerReference w:type="default" r:id="rId1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0E9" w:rsidRPr="008310A0" w:rsidP="00822D6C" w14:paraId="24937A98" w14:textId="34F1A2DD">
    <w:pPr>
      <w:pStyle w:val="Footer"/>
      <w:framePr w:wrap="around" w:vAnchor="text" w:hAnchor="margin" w:xAlign="center" w:y="1"/>
      <w:rPr>
        <w:rStyle w:val="PageNumber"/>
        <w:rFonts w:asciiTheme="minorHAnsi" w:hAnsiTheme="minorHAnsi"/>
        <w:sz w:val="22"/>
      </w:rPr>
    </w:pPr>
    <w:r w:rsidRPr="008310A0">
      <w:rPr>
        <w:rStyle w:val="PageNumber"/>
        <w:rFonts w:asciiTheme="minorHAnsi" w:hAnsiTheme="minorHAnsi"/>
        <w:sz w:val="22"/>
      </w:rPr>
      <w:fldChar w:fldCharType="begin"/>
    </w:r>
    <w:r w:rsidRPr="008310A0">
      <w:rPr>
        <w:rStyle w:val="PageNumber"/>
        <w:rFonts w:asciiTheme="minorHAnsi" w:hAnsiTheme="minorHAnsi"/>
        <w:sz w:val="22"/>
      </w:rPr>
      <w:instrText xml:space="preserve">PAGE  </w:instrText>
    </w:r>
    <w:r w:rsidRPr="008310A0">
      <w:rPr>
        <w:rStyle w:val="PageNumber"/>
        <w:rFonts w:asciiTheme="minorHAnsi" w:hAnsiTheme="minorHAnsi"/>
        <w:sz w:val="22"/>
      </w:rPr>
      <w:fldChar w:fldCharType="separate"/>
    </w:r>
    <w:r w:rsidR="00563146">
      <w:rPr>
        <w:rStyle w:val="PageNumber"/>
        <w:rFonts w:asciiTheme="minorHAnsi" w:hAnsiTheme="minorHAnsi"/>
        <w:noProof/>
        <w:sz w:val="22"/>
      </w:rPr>
      <w:t>5</w:t>
    </w:r>
    <w:r w:rsidRPr="008310A0">
      <w:rPr>
        <w:rStyle w:val="PageNumber"/>
        <w:rFonts w:asciiTheme="minorHAnsi" w:hAnsiTheme="minorHAnsi"/>
        <w:sz w:val="22"/>
      </w:rPr>
      <w:fldChar w:fldCharType="end"/>
    </w:r>
  </w:p>
  <w:p w:rsidR="007300E9" w:rsidRPr="00AA23E4" w:rsidP="00822D6C" w14:paraId="48D2D28A" w14:textId="77777777">
    <w:pPr>
      <w:pStyle w:val="Footer"/>
      <w:framePr w:wrap="around" w:vAnchor="text" w:hAnchor="margin" w:xAlign="right" w:y="1"/>
      <w:rPr>
        <w:rStyle w:val="PageNumber"/>
        <w:sz w:val="18"/>
        <w:szCs w:val="18"/>
      </w:rPr>
    </w:pPr>
  </w:p>
  <w:p w:rsidR="007300E9" w:rsidP="00822D6C" w14:paraId="5AE3D03F"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22E74"/>
    <w:multiLevelType w:val="hybridMultilevel"/>
    <w:tmpl w:val="304EA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D37720"/>
    <w:multiLevelType w:val="hybridMultilevel"/>
    <w:tmpl w:val="A740B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170D7A97"/>
    <w:multiLevelType w:val="hybridMultilevel"/>
    <w:tmpl w:val="A956E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4131FC"/>
    <w:multiLevelType w:val="hybridMultilevel"/>
    <w:tmpl w:val="807A2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B279AA"/>
    <w:multiLevelType w:val="multilevel"/>
    <w:tmpl w:val="7A1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875FF1"/>
    <w:multiLevelType w:val="multilevel"/>
    <w:tmpl w:val="6F58F600"/>
    <w:lvl w:ilvl="0">
      <w:start w:val="1"/>
      <w:numFmt w:val="decimal"/>
      <w:lvlText w:val="PR%1."/>
      <w:lvlJc w:val="left"/>
      <w:pPr>
        <w:ind w:left="720" w:hanging="720"/>
      </w:pPr>
    </w:lvl>
    <w:lvl w:ilvl="1">
      <w:start w:val="1"/>
      <w:numFmt w:val="decimal"/>
      <w:pStyle w:val="Answer"/>
      <w:lvlText w:val="%2"/>
      <w:lvlJc w:val="right"/>
      <w:pPr>
        <w:ind w:left="720" w:hanging="72"/>
      </w:pPr>
      <w:rPr>
        <w:position w:val="3"/>
        <w:sz w:val="1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0056EA"/>
    <w:multiLevelType w:val="hybridMultilevel"/>
    <w:tmpl w:val="29F86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CF26E8"/>
    <w:multiLevelType w:val="hybridMultilevel"/>
    <w:tmpl w:val="729410CE"/>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19531E"/>
    <w:multiLevelType w:val="hybridMultilevel"/>
    <w:tmpl w:val="81840FB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A063678"/>
    <w:multiLevelType w:val="multilevel"/>
    <w:tmpl w:val="5BB6CA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08141A"/>
    <w:multiLevelType w:val="hybridMultilevel"/>
    <w:tmpl w:val="9A287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D34AF2"/>
    <w:multiLevelType w:val="hybridMultilevel"/>
    <w:tmpl w:val="DE0044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72101A1"/>
    <w:multiLevelType w:val="hybridMultilevel"/>
    <w:tmpl w:val="92683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3C2A1B"/>
    <w:multiLevelType w:val="hybridMultilevel"/>
    <w:tmpl w:val="065E8D3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
    <w:nsid w:val="573E2045"/>
    <w:multiLevelType w:val="hybridMultilevel"/>
    <w:tmpl w:val="516AC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C1269C"/>
    <w:multiLevelType w:val="hybridMultilevel"/>
    <w:tmpl w:val="2C54F4EE"/>
    <w:lvl w:ilvl="0">
      <w:start w:val="1"/>
      <w:numFmt w:val="decimal"/>
      <w:lvlText w:val="%1."/>
      <w:lvlJc w:val="left"/>
      <w:pPr>
        <w:ind w:left="360" w:hanging="360"/>
      </w:pPr>
      <w:rPr>
        <w:b/>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4752DD1"/>
    <w:multiLevelType w:val="hybridMultilevel"/>
    <w:tmpl w:val="E2349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9B4370"/>
    <w:multiLevelType w:val="hybridMultilevel"/>
    <w:tmpl w:val="B0FE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0C2E51"/>
    <w:multiLevelType w:val="hybridMultilevel"/>
    <w:tmpl w:val="3DA66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88D41"/>
    <w:multiLevelType w:val="hybridMultilevel"/>
    <w:tmpl w:val="630ADC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6BF278AE"/>
    <w:multiLevelType w:val="hybridMultilevel"/>
    <w:tmpl w:val="19EE0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041112"/>
    <w:multiLevelType w:val="hybridMultilevel"/>
    <w:tmpl w:val="E87EBE4A"/>
    <w:lvl w:ilvl="0">
      <w:start w:val="1"/>
      <w:numFmt w:val="upperLetter"/>
      <w:lvlText w:val="%1."/>
      <w:lvlJc w:val="left"/>
      <w:pPr>
        <w:ind w:left="360" w:hanging="36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28C2DC9"/>
    <w:multiLevelType w:val="hybridMultilevel"/>
    <w:tmpl w:val="0464A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2278EA"/>
    <w:multiLevelType w:val="hybridMultilevel"/>
    <w:tmpl w:val="0E0C410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76036899">
    <w:abstractNumId w:val="1"/>
  </w:num>
  <w:num w:numId="2" w16cid:durableId="75324701">
    <w:abstractNumId w:val="20"/>
  </w:num>
  <w:num w:numId="3" w16cid:durableId="721908025">
    <w:abstractNumId w:val="0"/>
  </w:num>
  <w:num w:numId="4" w16cid:durableId="1352336335">
    <w:abstractNumId w:val="22"/>
  </w:num>
  <w:num w:numId="5" w16cid:durableId="1363938326">
    <w:abstractNumId w:val="8"/>
  </w:num>
  <w:num w:numId="6" w16cid:durableId="1694649150">
    <w:abstractNumId w:val="13"/>
  </w:num>
  <w:num w:numId="7" w16cid:durableId="1187790137">
    <w:abstractNumId w:val="17"/>
  </w:num>
  <w:num w:numId="8" w16cid:durableId="897086633">
    <w:abstractNumId w:val="18"/>
  </w:num>
  <w:num w:numId="9" w16cid:durableId="117651881">
    <w:abstractNumId w:val="24"/>
  </w:num>
  <w:num w:numId="10" w16cid:durableId="1143539849">
    <w:abstractNumId w:val="11"/>
  </w:num>
  <w:num w:numId="11" w16cid:durableId="883761670">
    <w:abstractNumId w:val="16"/>
  </w:num>
  <w:num w:numId="12" w16cid:durableId="1318916378">
    <w:abstractNumId w:val="4"/>
  </w:num>
  <w:num w:numId="13" w16cid:durableId="950942463">
    <w:abstractNumId w:val="7"/>
  </w:num>
  <w:num w:numId="14" w16cid:durableId="215286930">
    <w:abstractNumId w:val="12"/>
  </w:num>
  <w:num w:numId="15" w16cid:durableId="182062586">
    <w:abstractNumId w:val="9"/>
  </w:num>
  <w:num w:numId="16" w16cid:durableId="1413355954">
    <w:abstractNumId w:val="15"/>
  </w:num>
  <w:num w:numId="17" w16cid:durableId="920524597">
    <w:abstractNumId w:val="3"/>
  </w:num>
  <w:num w:numId="18" w16cid:durableId="1833445926">
    <w:abstractNumId w:val="13"/>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9" w16cid:durableId="463818978">
    <w:abstractNumId w:val="21"/>
  </w:num>
  <w:num w:numId="20" w16cid:durableId="1504468543">
    <w:abstractNumId w:val="19"/>
  </w:num>
  <w:num w:numId="21" w16cid:durableId="129635581">
    <w:abstractNumId w:val="10"/>
  </w:num>
  <w:num w:numId="22" w16cid:durableId="518350281">
    <w:abstractNumId w:val="2"/>
  </w:num>
  <w:num w:numId="23" w16cid:durableId="2070764259">
    <w:abstractNumId w:val="23"/>
  </w:num>
  <w:num w:numId="24" w16cid:durableId="1540586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38747">
    <w:abstractNumId w:val="14"/>
  </w:num>
  <w:num w:numId="26" w16cid:durableId="344941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29"/>
    <w:rsid w:val="0000135E"/>
    <w:rsid w:val="00006163"/>
    <w:rsid w:val="00007483"/>
    <w:rsid w:val="00011F6F"/>
    <w:rsid w:val="0001202D"/>
    <w:rsid w:val="00013588"/>
    <w:rsid w:val="000135C8"/>
    <w:rsid w:val="0001713F"/>
    <w:rsid w:val="00020C5A"/>
    <w:rsid w:val="00021071"/>
    <w:rsid w:val="000241B9"/>
    <w:rsid w:val="00030264"/>
    <w:rsid w:val="00030A3B"/>
    <w:rsid w:val="00031C1B"/>
    <w:rsid w:val="00031D72"/>
    <w:rsid w:val="00032879"/>
    <w:rsid w:val="0003526C"/>
    <w:rsid w:val="00035932"/>
    <w:rsid w:val="00040B73"/>
    <w:rsid w:val="00041133"/>
    <w:rsid w:val="00046520"/>
    <w:rsid w:val="00046922"/>
    <w:rsid w:val="00046F84"/>
    <w:rsid w:val="00055176"/>
    <w:rsid w:val="00056B0F"/>
    <w:rsid w:val="0006048E"/>
    <w:rsid w:val="00060BB7"/>
    <w:rsid w:val="00060BBD"/>
    <w:rsid w:val="00063A40"/>
    <w:rsid w:val="0006575E"/>
    <w:rsid w:val="00070CE0"/>
    <w:rsid w:val="00071210"/>
    <w:rsid w:val="000714B4"/>
    <w:rsid w:val="000815EB"/>
    <w:rsid w:val="00083A8C"/>
    <w:rsid w:val="00083F4D"/>
    <w:rsid w:val="0008682F"/>
    <w:rsid w:val="000878DD"/>
    <w:rsid w:val="00091EA8"/>
    <w:rsid w:val="00092BB8"/>
    <w:rsid w:val="000937B2"/>
    <w:rsid w:val="00093D0C"/>
    <w:rsid w:val="00096CE7"/>
    <w:rsid w:val="00097CA0"/>
    <w:rsid w:val="000A40FC"/>
    <w:rsid w:val="000A4C56"/>
    <w:rsid w:val="000A560D"/>
    <w:rsid w:val="000A5DF0"/>
    <w:rsid w:val="000A7B6E"/>
    <w:rsid w:val="000B06DA"/>
    <w:rsid w:val="000B1474"/>
    <w:rsid w:val="000B2BD5"/>
    <w:rsid w:val="000B430A"/>
    <w:rsid w:val="000B53F5"/>
    <w:rsid w:val="000B78DC"/>
    <w:rsid w:val="000C75F6"/>
    <w:rsid w:val="000D4C15"/>
    <w:rsid w:val="000D632F"/>
    <w:rsid w:val="000D63B0"/>
    <w:rsid w:val="000D7BFD"/>
    <w:rsid w:val="000E0D06"/>
    <w:rsid w:val="000E1B01"/>
    <w:rsid w:val="000E7E3B"/>
    <w:rsid w:val="000F0932"/>
    <w:rsid w:val="000F0C44"/>
    <w:rsid w:val="000F36D9"/>
    <w:rsid w:val="000F4CB6"/>
    <w:rsid w:val="000F51F2"/>
    <w:rsid w:val="000F5D85"/>
    <w:rsid w:val="000F7020"/>
    <w:rsid w:val="000F78CA"/>
    <w:rsid w:val="00100885"/>
    <w:rsid w:val="001017B4"/>
    <w:rsid w:val="001029A6"/>
    <w:rsid w:val="00102CED"/>
    <w:rsid w:val="00103A79"/>
    <w:rsid w:val="00103F33"/>
    <w:rsid w:val="00105DBE"/>
    <w:rsid w:val="00106E50"/>
    <w:rsid w:val="001151E9"/>
    <w:rsid w:val="001170E3"/>
    <w:rsid w:val="00117218"/>
    <w:rsid w:val="00117C43"/>
    <w:rsid w:val="001207BC"/>
    <w:rsid w:val="001231F2"/>
    <w:rsid w:val="00125368"/>
    <w:rsid w:val="001253DC"/>
    <w:rsid w:val="00125920"/>
    <w:rsid w:val="00126617"/>
    <w:rsid w:val="00132EE8"/>
    <w:rsid w:val="001346B1"/>
    <w:rsid w:val="00136F42"/>
    <w:rsid w:val="00144AB7"/>
    <w:rsid w:val="00144DF8"/>
    <w:rsid w:val="00145656"/>
    <w:rsid w:val="00146AC7"/>
    <w:rsid w:val="001470B7"/>
    <w:rsid w:val="001479A7"/>
    <w:rsid w:val="00151DF0"/>
    <w:rsid w:val="0015388D"/>
    <w:rsid w:val="001631C3"/>
    <w:rsid w:val="00166CB3"/>
    <w:rsid w:val="001672CD"/>
    <w:rsid w:val="00171065"/>
    <w:rsid w:val="001721D0"/>
    <w:rsid w:val="001722A4"/>
    <w:rsid w:val="00181360"/>
    <w:rsid w:val="00182151"/>
    <w:rsid w:val="00183419"/>
    <w:rsid w:val="0018542A"/>
    <w:rsid w:val="001862D8"/>
    <w:rsid w:val="00186C52"/>
    <w:rsid w:val="0018740A"/>
    <w:rsid w:val="001875E5"/>
    <w:rsid w:val="00192C6D"/>
    <w:rsid w:val="00193B86"/>
    <w:rsid w:val="00193BF4"/>
    <w:rsid w:val="00195E6B"/>
    <w:rsid w:val="001A4CE5"/>
    <w:rsid w:val="001B22DF"/>
    <w:rsid w:val="001B3BCD"/>
    <w:rsid w:val="001B42B6"/>
    <w:rsid w:val="001B4F35"/>
    <w:rsid w:val="001B60B2"/>
    <w:rsid w:val="001C0F1D"/>
    <w:rsid w:val="001C0F29"/>
    <w:rsid w:val="001C1531"/>
    <w:rsid w:val="001C2428"/>
    <w:rsid w:val="001C2F97"/>
    <w:rsid w:val="001C3848"/>
    <w:rsid w:val="001C542C"/>
    <w:rsid w:val="001C59DF"/>
    <w:rsid w:val="001C6C3C"/>
    <w:rsid w:val="001D2512"/>
    <w:rsid w:val="001E1054"/>
    <w:rsid w:val="001E1FD2"/>
    <w:rsid w:val="001E2E97"/>
    <w:rsid w:val="001E4D91"/>
    <w:rsid w:val="001E610A"/>
    <w:rsid w:val="001E79EE"/>
    <w:rsid w:val="001F0776"/>
    <w:rsid w:val="001F0B25"/>
    <w:rsid w:val="001F0FB1"/>
    <w:rsid w:val="001F1067"/>
    <w:rsid w:val="001F1B67"/>
    <w:rsid w:val="001F3022"/>
    <w:rsid w:val="001F3989"/>
    <w:rsid w:val="00200B11"/>
    <w:rsid w:val="002062C1"/>
    <w:rsid w:val="00210CA6"/>
    <w:rsid w:val="0021227E"/>
    <w:rsid w:val="00212410"/>
    <w:rsid w:val="0021258E"/>
    <w:rsid w:val="00212E19"/>
    <w:rsid w:val="002142F2"/>
    <w:rsid w:val="00216550"/>
    <w:rsid w:val="002209B2"/>
    <w:rsid w:val="00220A4D"/>
    <w:rsid w:val="00222430"/>
    <w:rsid w:val="00222878"/>
    <w:rsid w:val="00222C18"/>
    <w:rsid w:val="0023064B"/>
    <w:rsid w:val="00231EAD"/>
    <w:rsid w:val="002329AD"/>
    <w:rsid w:val="00234EE3"/>
    <w:rsid w:val="002352D3"/>
    <w:rsid w:val="00241249"/>
    <w:rsid w:val="002431E3"/>
    <w:rsid w:val="002440DA"/>
    <w:rsid w:val="002512E7"/>
    <w:rsid w:val="00251C56"/>
    <w:rsid w:val="00260854"/>
    <w:rsid w:val="00260E97"/>
    <w:rsid w:val="0026749A"/>
    <w:rsid w:val="0027106F"/>
    <w:rsid w:val="002728F6"/>
    <w:rsid w:val="00272A5F"/>
    <w:rsid w:val="00272D47"/>
    <w:rsid w:val="00284FA5"/>
    <w:rsid w:val="00286C3C"/>
    <w:rsid w:val="00286C86"/>
    <w:rsid w:val="00287633"/>
    <w:rsid w:val="00290FEE"/>
    <w:rsid w:val="0029197F"/>
    <w:rsid w:val="0029435E"/>
    <w:rsid w:val="00296CB2"/>
    <w:rsid w:val="00297878"/>
    <w:rsid w:val="002A08D2"/>
    <w:rsid w:val="002A12BB"/>
    <w:rsid w:val="002A3E6E"/>
    <w:rsid w:val="002A4473"/>
    <w:rsid w:val="002B1AFB"/>
    <w:rsid w:val="002B5A91"/>
    <w:rsid w:val="002C402B"/>
    <w:rsid w:val="002D0525"/>
    <w:rsid w:val="002D153B"/>
    <w:rsid w:val="002D381C"/>
    <w:rsid w:val="002D4B13"/>
    <w:rsid w:val="002D525C"/>
    <w:rsid w:val="002D52A1"/>
    <w:rsid w:val="002D5360"/>
    <w:rsid w:val="002E001C"/>
    <w:rsid w:val="002E56F1"/>
    <w:rsid w:val="002E7B06"/>
    <w:rsid w:val="002F32BD"/>
    <w:rsid w:val="002F40A2"/>
    <w:rsid w:val="00303F5B"/>
    <w:rsid w:val="00311A31"/>
    <w:rsid w:val="003126A0"/>
    <w:rsid w:val="0031440C"/>
    <w:rsid w:val="003152DA"/>
    <w:rsid w:val="00317640"/>
    <w:rsid w:val="0032112A"/>
    <w:rsid w:val="00321549"/>
    <w:rsid w:val="00321F3A"/>
    <w:rsid w:val="00322642"/>
    <w:rsid w:val="00324D10"/>
    <w:rsid w:val="0033093B"/>
    <w:rsid w:val="00330B2B"/>
    <w:rsid w:val="003358A4"/>
    <w:rsid w:val="00336D44"/>
    <w:rsid w:val="003401FC"/>
    <w:rsid w:val="00340495"/>
    <w:rsid w:val="00340C82"/>
    <w:rsid w:val="00341F62"/>
    <w:rsid w:val="0034254B"/>
    <w:rsid w:val="00342CC3"/>
    <w:rsid w:val="003470FA"/>
    <w:rsid w:val="003473E3"/>
    <w:rsid w:val="00351B95"/>
    <w:rsid w:val="00354BDD"/>
    <w:rsid w:val="00354F00"/>
    <w:rsid w:val="003622D3"/>
    <w:rsid w:val="00362E13"/>
    <w:rsid w:val="0036349B"/>
    <w:rsid w:val="003636AE"/>
    <w:rsid w:val="00364BD8"/>
    <w:rsid w:val="00364CBE"/>
    <w:rsid w:val="00367001"/>
    <w:rsid w:val="00372E9F"/>
    <w:rsid w:val="003764B0"/>
    <w:rsid w:val="00380AEF"/>
    <w:rsid w:val="00381DEA"/>
    <w:rsid w:val="0038462C"/>
    <w:rsid w:val="00385EFC"/>
    <w:rsid w:val="0038737C"/>
    <w:rsid w:val="003874FC"/>
    <w:rsid w:val="003A439A"/>
    <w:rsid w:val="003A5F63"/>
    <w:rsid w:val="003B3189"/>
    <w:rsid w:val="003B5245"/>
    <w:rsid w:val="003C0F73"/>
    <w:rsid w:val="003C21C9"/>
    <w:rsid w:val="003C436A"/>
    <w:rsid w:val="003C518E"/>
    <w:rsid w:val="003C52CC"/>
    <w:rsid w:val="003C6DFA"/>
    <w:rsid w:val="003C70EF"/>
    <w:rsid w:val="003C7AFA"/>
    <w:rsid w:val="003D318F"/>
    <w:rsid w:val="003D3D92"/>
    <w:rsid w:val="003D6555"/>
    <w:rsid w:val="003D6FD3"/>
    <w:rsid w:val="003D72C2"/>
    <w:rsid w:val="003D7561"/>
    <w:rsid w:val="003D7BDB"/>
    <w:rsid w:val="003E386C"/>
    <w:rsid w:val="003E566D"/>
    <w:rsid w:val="003E5828"/>
    <w:rsid w:val="003E5C15"/>
    <w:rsid w:val="003F020F"/>
    <w:rsid w:val="003F0D31"/>
    <w:rsid w:val="003F1465"/>
    <w:rsid w:val="003F26AB"/>
    <w:rsid w:val="003F4567"/>
    <w:rsid w:val="003F70CF"/>
    <w:rsid w:val="0040026B"/>
    <w:rsid w:val="00403952"/>
    <w:rsid w:val="004043C3"/>
    <w:rsid w:val="00404BFF"/>
    <w:rsid w:val="004055A8"/>
    <w:rsid w:val="00411490"/>
    <w:rsid w:val="0041241B"/>
    <w:rsid w:val="00413775"/>
    <w:rsid w:val="0041499B"/>
    <w:rsid w:val="00416B7B"/>
    <w:rsid w:val="00416C26"/>
    <w:rsid w:val="004173BA"/>
    <w:rsid w:val="0042036D"/>
    <w:rsid w:val="00420FF7"/>
    <w:rsid w:val="00421851"/>
    <w:rsid w:val="00421AC8"/>
    <w:rsid w:val="0042644A"/>
    <w:rsid w:val="0043073D"/>
    <w:rsid w:val="00430ABC"/>
    <w:rsid w:val="004371D7"/>
    <w:rsid w:val="0044019C"/>
    <w:rsid w:val="0044087F"/>
    <w:rsid w:val="00440B8B"/>
    <w:rsid w:val="0044213E"/>
    <w:rsid w:val="004453CE"/>
    <w:rsid w:val="004464A7"/>
    <w:rsid w:val="004464D5"/>
    <w:rsid w:val="00447641"/>
    <w:rsid w:val="00454B88"/>
    <w:rsid w:val="0045791C"/>
    <w:rsid w:val="00461C87"/>
    <w:rsid w:val="00462A53"/>
    <w:rsid w:val="00464AB4"/>
    <w:rsid w:val="00467D42"/>
    <w:rsid w:val="00470FA7"/>
    <w:rsid w:val="0047289D"/>
    <w:rsid w:val="00473F2D"/>
    <w:rsid w:val="004745A4"/>
    <w:rsid w:val="00475AD4"/>
    <w:rsid w:val="0047698A"/>
    <w:rsid w:val="00476A98"/>
    <w:rsid w:val="00477DAE"/>
    <w:rsid w:val="00480759"/>
    <w:rsid w:val="00481DD1"/>
    <w:rsid w:val="0048278A"/>
    <w:rsid w:val="00482DA0"/>
    <w:rsid w:val="00484C46"/>
    <w:rsid w:val="00484F45"/>
    <w:rsid w:val="00486521"/>
    <w:rsid w:val="0049104B"/>
    <w:rsid w:val="004912E1"/>
    <w:rsid w:val="00492FC3"/>
    <w:rsid w:val="00497839"/>
    <w:rsid w:val="004A078D"/>
    <w:rsid w:val="004A189B"/>
    <w:rsid w:val="004A3932"/>
    <w:rsid w:val="004A47A7"/>
    <w:rsid w:val="004A7474"/>
    <w:rsid w:val="004B0268"/>
    <w:rsid w:val="004B0A6A"/>
    <w:rsid w:val="004B33B8"/>
    <w:rsid w:val="004B5553"/>
    <w:rsid w:val="004B56BE"/>
    <w:rsid w:val="004B764F"/>
    <w:rsid w:val="004C002B"/>
    <w:rsid w:val="004C1BE4"/>
    <w:rsid w:val="004C3006"/>
    <w:rsid w:val="004C3DA2"/>
    <w:rsid w:val="004D21E1"/>
    <w:rsid w:val="004D41DC"/>
    <w:rsid w:val="004D46BF"/>
    <w:rsid w:val="004D7BF7"/>
    <w:rsid w:val="004E599E"/>
    <w:rsid w:val="004E6334"/>
    <w:rsid w:val="004E700F"/>
    <w:rsid w:val="004F1A1E"/>
    <w:rsid w:val="004F26DF"/>
    <w:rsid w:val="004F6ED6"/>
    <w:rsid w:val="00500318"/>
    <w:rsid w:val="005014F1"/>
    <w:rsid w:val="00501CF6"/>
    <w:rsid w:val="00510157"/>
    <w:rsid w:val="00511D4B"/>
    <w:rsid w:val="005151EE"/>
    <w:rsid w:val="00516021"/>
    <w:rsid w:val="005178B3"/>
    <w:rsid w:val="00520A74"/>
    <w:rsid w:val="00526BC6"/>
    <w:rsid w:val="00530136"/>
    <w:rsid w:val="005307EF"/>
    <w:rsid w:val="00530E13"/>
    <w:rsid w:val="00532B0A"/>
    <w:rsid w:val="00532C62"/>
    <w:rsid w:val="005358A2"/>
    <w:rsid w:val="00535D39"/>
    <w:rsid w:val="0053633F"/>
    <w:rsid w:val="0053777C"/>
    <w:rsid w:val="00541C53"/>
    <w:rsid w:val="005421FD"/>
    <w:rsid w:val="0054475D"/>
    <w:rsid w:val="00544BD1"/>
    <w:rsid w:val="0054696E"/>
    <w:rsid w:val="00546AAC"/>
    <w:rsid w:val="0055614B"/>
    <w:rsid w:val="0055623C"/>
    <w:rsid w:val="00563146"/>
    <w:rsid w:val="00565A34"/>
    <w:rsid w:val="005746EE"/>
    <w:rsid w:val="0057529F"/>
    <w:rsid w:val="005779A4"/>
    <w:rsid w:val="005807DD"/>
    <w:rsid w:val="00581762"/>
    <w:rsid w:val="00582315"/>
    <w:rsid w:val="00586E33"/>
    <w:rsid w:val="00587217"/>
    <w:rsid w:val="00587A22"/>
    <w:rsid w:val="0059063D"/>
    <w:rsid w:val="005922D8"/>
    <w:rsid w:val="00592538"/>
    <w:rsid w:val="005928D9"/>
    <w:rsid w:val="00592CB9"/>
    <w:rsid w:val="00593B64"/>
    <w:rsid w:val="005952AA"/>
    <w:rsid w:val="005959E4"/>
    <w:rsid w:val="00596770"/>
    <w:rsid w:val="00596855"/>
    <w:rsid w:val="005B048E"/>
    <w:rsid w:val="005B104B"/>
    <w:rsid w:val="005B39F0"/>
    <w:rsid w:val="005B5CCD"/>
    <w:rsid w:val="005C3E19"/>
    <w:rsid w:val="005C5F6F"/>
    <w:rsid w:val="005D151A"/>
    <w:rsid w:val="005D25FB"/>
    <w:rsid w:val="005D41B2"/>
    <w:rsid w:val="005D5052"/>
    <w:rsid w:val="005D52B5"/>
    <w:rsid w:val="005D69A4"/>
    <w:rsid w:val="005E0F82"/>
    <w:rsid w:val="005E749A"/>
    <w:rsid w:val="005F3B6A"/>
    <w:rsid w:val="005F5BD9"/>
    <w:rsid w:val="005F637F"/>
    <w:rsid w:val="00601B96"/>
    <w:rsid w:val="006024A4"/>
    <w:rsid w:val="00603E16"/>
    <w:rsid w:val="006047BE"/>
    <w:rsid w:val="00613AB1"/>
    <w:rsid w:val="006150B5"/>
    <w:rsid w:val="0061763E"/>
    <w:rsid w:val="006205C4"/>
    <w:rsid w:val="006229AD"/>
    <w:rsid w:val="00624959"/>
    <w:rsid w:val="00625FA3"/>
    <w:rsid w:val="00627AF4"/>
    <w:rsid w:val="006348F8"/>
    <w:rsid w:val="00641C92"/>
    <w:rsid w:val="0065331A"/>
    <w:rsid w:val="00653AE4"/>
    <w:rsid w:val="006601A1"/>
    <w:rsid w:val="00661D83"/>
    <w:rsid w:val="00662C0A"/>
    <w:rsid w:val="00666774"/>
    <w:rsid w:val="006673AB"/>
    <w:rsid w:val="006677EC"/>
    <w:rsid w:val="00667E5E"/>
    <w:rsid w:val="006710AF"/>
    <w:rsid w:val="0067590D"/>
    <w:rsid w:val="0068194E"/>
    <w:rsid w:val="00682105"/>
    <w:rsid w:val="00683932"/>
    <w:rsid w:val="00685F2A"/>
    <w:rsid w:val="006873DE"/>
    <w:rsid w:val="00687DB9"/>
    <w:rsid w:val="0069000C"/>
    <w:rsid w:val="0069084D"/>
    <w:rsid w:val="00690A76"/>
    <w:rsid w:val="00691B6A"/>
    <w:rsid w:val="00691D0E"/>
    <w:rsid w:val="006925A4"/>
    <w:rsid w:val="00696110"/>
    <w:rsid w:val="006A0D0E"/>
    <w:rsid w:val="006A15CB"/>
    <w:rsid w:val="006A1AE1"/>
    <w:rsid w:val="006A36E3"/>
    <w:rsid w:val="006A4983"/>
    <w:rsid w:val="006A5E7A"/>
    <w:rsid w:val="006A77E1"/>
    <w:rsid w:val="006B1E23"/>
    <w:rsid w:val="006B2938"/>
    <w:rsid w:val="006B32C1"/>
    <w:rsid w:val="006B49F6"/>
    <w:rsid w:val="006B4ADA"/>
    <w:rsid w:val="006C1013"/>
    <w:rsid w:val="006C601E"/>
    <w:rsid w:val="006C628D"/>
    <w:rsid w:val="006D00BA"/>
    <w:rsid w:val="006D2309"/>
    <w:rsid w:val="006D3653"/>
    <w:rsid w:val="006D3FEF"/>
    <w:rsid w:val="006D5441"/>
    <w:rsid w:val="006D6203"/>
    <w:rsid w:val="006D656A"/>
    <w:rsid w:val="006D6575"/>
    <w:rsid w:val="006D7428"/>
    <w:rsid w:val="006E107C"/>
    <w:rsid w:val="006E5624"/>
    <w:rsid w:val="006E6D51"/>
    <w:rsid w:val="006F004A"/>
    <w:rsid w:val="006F039D"/>
    <w:rsid w:val="006F0E1A"/>
    <w:rsid w:val="006F1352"/>
    <w:rsid w:val="006F2D6B"/>
    <w:rsid w:val="006F3003"/>
    <w:rsid w:val="006F4A52"/>
    <w:rsid w:val="006F5399"/>
    <w:rsid w:val="006F5D54"/>
    <w:rsid w:val="006F5DC9"/>
    <w:rsid w:val="00700D85"/>
    <w:rsid w:val="00701AAC"/>
    <w:rsid w:val="00704CCC"/>
    <w:rsid w:val="00710FCE"/>
    <w:rsid w:val="00712BB2"/>
    <w:rsid w:val="00712DDA"/>
    <w:rsid w:val="00716307"/>
    <w:rsid w:val="00716694"/>
    <w:rsid w:val="007242B5"/>
    <w:rsid w:val="00724947"/>
    <w:rsid w:val="00724D28"/>
    <w:rsid w:val="00726E2A"/>
    <w:rsid w:val="00727520"/>
    <w:rsid w:val="007300E9"/>
    <w:rsid w:val="0073230A"/>
    <w:rsid w:val="0073631A"/>
    <w:rsid w:val="007463A8"/>
    <w:rsid w:val="00747DEF"/>
    <w:rsid w:val="00757903"/>
    <w:rsid w:val="007654DE"/>
    <w:rsid w:val="00766150"/>
    <w:rsid w:val="00766CBD"/>
    <w:rsid w:val="0076788C"/>
    <w:rsid w:val="00774D66"/>
    <w:rsid w:val="007811DE"/>
    <w:rsid w:val="007830F5"/>
    <w:rsid w:val="007907F8"/>
    <w:rsid w:val="007907FE"/>
    <w:rsid w:val="00792F0F"/>
    <w:rsid w:val="00793679"/>
    <w:rsid w:val="00794861"/>
    <w:rsid w:val="007948C1"/>
    <w:rsid w:val="007A31A8"/>
    <w:rsid w:val="007A7C6D"/>
    <w:rsid w:val="007A7F36"/>
    <w:rsid w:val="007B2467"/>
    <w:rsid w:val="007B34F0"/>
    <w:rsid w:val="007B475C"/>
    <w:rsid w:val="007C1059"/>
    <w:rsid w:val="007C33B4"/>
    <w:rsid w:val="007D2195"/>
    <w:rsid w:val="007D2F73"/>
    <w:rsid w:val="007D4536"/>
    <w:rsid w:val="007D53A8"/>
    <w:rsid w:val="007D5EEC"/>
    <w:rsid w:val="007E2104"/>
    <w:rsid w:val="007E3CCA"/>
    <w:rsid w:val="007E601D"/>
    <w:rsid w:val="007E6DA6"/>
    <w:rsid w:val="007F2B63"/>
    <w:rsid w:val="007F4FE9"/>
    <w:rsid w:val="0080097E"/>
    <w:rsid w:val="00802D7E"/>
    <w:rsid w:val="0080449D"/>
    <w:rsid w:val="00804874"/>
    <w:rsid w:val="00804B45"/>
    <w:rsid w:val="00806039"/>
    <w:rsid w:val="008067BC"/>
    <w:rsid w:val="008071D9"/>
    <w:rsid w:val="00813689"/>
    <w:rsid w:val="008166B8"/>
    <w:rsid w:val="00820759"/>
    <w:rsid w:val="0082217A"/>
    <w:rsid w:val="00822D6C"/>
    <w:rsid w:val="00823558"/>
    <w:rsid w:val="00825955"/>
    <w:rsid w:val="00825E90"/>
    <w:rsid w:val="008263B7"/>
    <w:rsid w:val="00827974"/>
    <w:rsid w:val="008310A0"/>
    <w:rsid w:val="00831324"/>
    <w:rsid w:val="0083260A"/>
    <w:rsid w:val="008331E1"/>
    <w:rsid w:val="00834061"/>
    <w:rsid w:val="00834638"/>
    <w:rsid w:val="00840F9E"/>
    <w:rsid w:val="0084150D"/>
    <w:rsid w:val="008450C0"/>
    <w:rsid w:val="00846882"/>
    <w:rsid w:val="00846FCC"/>
    <w:rsid w:val="008523B9"/>
    <w:rsid w:val="00852DE1"/>
    <w:rsid w:val="00855108"/>
    <w:rsid w:val="008556E4"/>
    <w:rsid w:val="0085785F"/>
    <w:rsid w:val="00857970"/>
    <w:rsid w:val="00857A2B"/>
    <w:rsid w:val="00862DE9"/>
    <w:rsid w:val="00866FAB"/>
    <w:rsid w:val="008679CA"/>
    <w:rsid w:val="00872B9B"/>
    <w:rsid w:val="00872F4A"/>
    <w:rsid w:val="00873704"/>
    <w:rsid w:val="0087692C"/>
    <w:rsid w:val="00876B28"/>
    <w:rsid w:val="008816C8"/>
    <w:rsid w:val="00884672"/>
    <w:rsid w:val="008859A0"/>
    <w:rsid w:val="008869CF"/>
    <w:rsid w:val="008916CA"/>
    <w:rsid w:val="00891DDE"/>
    <w:rsid w:val="008924E9"/>
    <w:rsid w:val="008928B4"/>
    <w:rsid w:val="00892A58"/>
    <w:rsid w:val="008A2F38"/>
    <w:rsid w:val="008A4CDE"/>
    <w:rsid w:val="008A56ED"/>
    <w:rsid w:val="008A750C"/>
    <w:rsid w:val="008B1B0D"/>
    <w:rsid w:val="008B634F"/>
    <w:rsid w:val="008C08EB"/>
    <w:rsid w:val="008C215F"/>
    <w:rsid w:val="008C31DC"/>
    <w:rsid w:val="008C3451"/>
    <w:rsid w:val="008D1A4A"/>
    <w:rsid w:val="008D228D"/>
    <w:rsid w:val="008E177C"/>
    <w:rsid w:val="008E20FA"/>
    <w:rsid w:val="008E3A4A"/>
    <w:rsid w:val="008F02EE"/>
    <w:rsid w:val="008F0F40"/>
    <w:rsid w:val="008F0F94"/>
    <w:rsid w:val="008F245E"/>
    <w:rsid w:val="008F4672"/>
    <w:rsid w:val="008F6E53"/>
    <w:rsid w:val="00900F01"/>
    <w:rsid w:val="00901595"/>
    <w:rsid w:val="00903F9B"/>
    <w:rsid w:val="00912566"/>
    <w:rsid w:val="00913137"/>
    <w:rsid w:val="00913347"/>
    <w:rsid w:val="009148F5"/>
    <w:rsid w:val="009166C6"/>
    <w:rsid w:val="009170FF"/>
    <w:rsid w:val="00917EE1"/>
    <w:rsid w:val="009230D6"/>
    <w:rsid w:val="00924737"/>
    <w:rsid w:val="00924ADC"/>
    <w:rsid w:val="00924C9F"/>
    <w:rsid w:val="0092552D"/>
    <w:rsid w:val="00931ECF"/>
    <w:rsid w:val="00932064"/>
    <w:rsid w:val="009412C5"/>
    <w:rsid w:val="00942647"/>
    <w:rsid w:val="00943A5E"/>
    <w:rsid w:val="00943E21"/>
    <w:rsid w:val="009451FC"/>
    <w:rsid w:val="00945288"/>
    <w:rsid w:val="00950FE6"/>
    <w:rsid w:val="00952735"/>
    <w:rsid w:val="00952BEC"/>
    <w:rsid w:val="00962001"/>
    <w:rsid w:val="00964978"/>
    <w:rsid w:val="00965915"/>
    <w:rsid w:val="0096759D"/>
    <w:rsid w:val="0096768C"/>
    <w:rsid w:val="009700EC"/>
    <w:rsid w:val="0097445F"/>
    <w:rsid w:val="00976B05"/>
    <w:rsid w:val="00976B88"/>
    <w:rsid w:val="00976CE3"/>
    <w:rsid w:val="00976E5C"/>
    <w:rsid w:val="00977394"/>
    <w:rsid w:val="0098763E"/>
    <w:rsid w:val="00992692"/>
    <w:rsid w:val="009957D2"/>
    <w:rsid w:val="009A1DD7"/>
    <w:rsid w:val="009A43B1"/>
    <w:rsid w:val="009A5289"/>
    <w:rsid w:val="009A608C"/>
    <w:rsid w:val="009B1CC4"/>
    <w:rsid w:val="009B2969"/>
    <w:rsid w:val="009B3963"/>
    <w:rsid w:val="009B525A"/>
    <w:rsid w:val="009B5E57"/>
    <w:rsid w:val="009B600A"/>
    <w:rsid w:val="009B7052"/>
    <w:rsid w:val="009C1A57"/>
    <w:rsid w:val="009C4C83"/>
    <w:rsid w:val="009C714B"/>
    <w:rsid w:val="009C7990"/>
    <w:rsid w:val="009E279C"/>
    <w:rsid w:val="009E7058"/>
    <w:rsid w:val="009F3EAB"/>
    <w:rsid w:val="009F41A1"/>
    <w:rsid w:val="00A0081A"/>
    <w:rsid w:val="00A06E6C"/>
    <w:rsid w:val="00A07E2E"/>
    <w:rsid w:val="00A104FA"/>
    <w:rsid w:val="00A14D58"/>
    <w:rsid w:val="00A15473"/>
    <w:rsid w:val="00A16666"/>
    <w:rsid w:val="00A16B7D"/>
    <w:rsid w:val="00A173B3"/>
    <w:rsid w:val="00A17E56"/>
    <w:rsid w:val="00A17FF3"/>
    <w:rsid w:val="00A2078F"/>
    <w:rsid w:val="00A2117E"/>
    <w:rsid w:val="00A26321"/>
    <w:rsid w:val="00A31772"/>
    <w:rsid w:val="00A31B1C"/>
    <w:rsid w:val="00A3386A"/>
    <w:rsid w:val="00A3397B"/>
    <w:rsid w:val="00A33AE6"/>
    <w:rsid w:val="00A33E59"/>
    <w:rsid w:val="00A37DC3"/>
    <w:rsid w:val="00A40CBA"/>
    <w:rsid w:val="00A43361"/>
    <w:rsid w:val="00A4569D"/>
    <w:rsid w:val="00A50059"/>
    <w:rsid w:val="00A51C77"/>
    <w:rsid w:val="00A5240E"/>
    <w:rsid w:val="00A54891"/>
    <w:rsid w:val="00A566BC"/>
    <w:rsid w:val="00A622F5"/>
    <w:rsid w:val="00A6708B"/>
    <w:rsid w:val="00A67333"/>
    <w:rsid w:val="00A67B2D"/>
    <w:rsid w:val="00A67EC7"/>
    <w:rsid w:val="00A72AD5"/>
    <w:rsid w:val="00A72DDF"/>
    <w:rsid w:val="00A731F7"/>
    <w:rsid w:val="00A73A19"/>
    <w:rsid w:val="00A7505B"/>
    <w:rsid w:val="00A75BEA"/>
    <w:rsid w:val="00A76E79"/>
    <w:rsid w:val="00A76F0D"/>
    <w:rsid w:val="00A7792D"/>
    <w:rsid w:val="00A8119A"/>
    <w:rsid w:val="00A819AD"/>
    <w:rsid w:val="00A82C88"/>
    <w:rsid w:val="00A82CC1"/>
    <w:rsid w:val="00A833EF"/>
    <w:rsid w:val="00A86CAE"/>
    <w:rsid w:val="00A90439"/>
    <w:rsid w:val="00A9094F"/>
    <w:rsid w:val="00A91CFF"/>
    <w:rsid w:val="00A93396"/>
    <w:rsid w:val="00A93AE1"/>
    <w:rsid w:val="00A94625"/>
    <w:rsid w:val="00A9468F"/>
    <w:rsid w:val="00A948F2"/>
    <w:rsid w:val="00A95A11"/>
    <w:rsid w:val="00A95FFC"/>
    <w:rsid w:val="00A978B8"/>
    <w:rsid w:val="00AA0158"/>
    <w:rsid w:val="00AA09D0"/>
    <w:rsid w:val="00AA1E92"/>
    <w:rsid w:val="00AA2231"/>
    <w:rsid w:val="00AA23E4"/>
    <w:rsid w:val="00AA49AE"/>
    <w:rsid w:val="00AA6D4E"/>
    <w:rsid w:val="00AB0B87"/>
    <w:rsid w:val="00AB1A6B"/>
    <w:rsid w:val="00AB3F1D"/>
    <w:rsid w:val="00AB4876"/>
    <w:rsid w:val="00AC11A9"/>
    <w:rsid w:val="00AC1783"/>
    <w:rsid w:val="00AC3A8B"/>
    <w:rsid w:val="00AC3B19"/>
    <w:rsid w:val="00AC4468"/>
    <w:rsid w:val="00AC4AE6"/>
    <w:rsid w:val="00AC56C2"/>
    <w:rsid w:val="00AC6C85"/>
    <w:rsid w:val="00AC7A20"/>
    <w:rsid w:val="00AD029C"/>
    <w:rsid w:val="00AD20FD"/>
    <w:rsid w:val="00AD27EE"/>
    <w:rsid w:val="00AD5955"/>
    <w:rsid w:val="00AD6239"/>
    <w:rsid w:val="00AE2DE8"/>
    <w:rsid w:val="00AE2F1A"/>
    <w:rsid w:val="00AE3E7C"/>
    <w:rsid w:val="00AE53E7"/>
    <w:rsid w:val="00AE6560"/>
    <w:rsid w:val="00AF07F8"/>
    <w:rsid w:val="00AF0EE2"/>
    <w:rsid w:val="00AF473D"/>
    <w:rsid w:val="00AF4F23"/>
    <w:rsid w:val="00AF5B92"/>
    <w:rsid w:val="00AF5C3D"/>
    <w:rsid w:val="00AF7903"/>
    <w:rsid w:val="00B108A9"/>
    <w:rsid w:val="00B1111F"/>
    <w:rsid w:val="00B15DDF"/>
    <w:rsid w:val="00B15E3F"/>
    <w:rsid w:val="00B2003A"/>
    <w:rsid w:val="00B240CF"/>
    <w:rsid w:val="00B2518F"/>
    <w:rsid w:val="00B26E77"/>
    <w:rsid w:val="00B35ACF"/>
    <w:rsid w:val="00B3739C"/>
    <w:rsid w:val="00B37E1C"/>
    <w:rsid w:val="00B420E5"/>
    <w:rsid w:val="00B478A1"/>
    <w:rsid w:val="00B50B11"/>
    <w:rsid w:val="00B52151"/>
    <w:rsid w:val="00B52901"/>
    <w:rsid w:val="00B54737"/>
    <w:rsid w:val="00B54EE1"/>
    <w:rsid w:val="00B56D3B"/>
    <w:rsid w:val="00B57F42"/>
    <w:rsid w:val="00B6077E"/>
    <w:rsid w:val="00B608F0"/>
    <w:rsid w:val="00B610AE"/>
    <w:rsid w:val="00B617BA"/>
    <w:rsid w:val="00B64A14"/>
    <w:rsid w:val="00B64CE9"/>
    <w:rsid w:val="00B801E8"/>
    <w:rsid w:val="00B81490"/>
    <w:rsid w:val="00B83689"/>
    <w:rsid w:val="00B920C7"/>
    <w:rsid w:val="00B9348E"/>
    <w:rsid w:val="00B955F3"/>
    <w:rsid w:val="00B95A69"/>
    <w:rsid w:val="00B9705F"/>
    <w:rsid w:val="00B97576"/>
    <w:rsid w:val="00BA4A76"/>
    <w:rsid w:val="00BA577F"/>
    <w:rsid w:val="00BB1111"/>
    <w:rsid w:val="00BB77A5"/>
    <w:rsid w:val="00BC029D"/>
    <w:rsid w:val="00BC1E9E"/>
    <w:rsid w:val="00BC3346"/>
    <w:rsid w:val="00BC3D94"/>
    <w:rsid w:val="00BC51A5"/>
    <w:rsid w:val="00BC5E82"/>
    <w:rsid w:val="00BD07FD"/>
    <w:rsid w:val="00BD1FC1"/>
    <w:rsid w:val="00BD377C"/>
    <w:rsid w:val="00BD46D9"/>
    <w:rsid w:val="00BD7C0B"/>
    <w:rsid w:val="00BD7CAF"/>
    <w:rsid w:val="00BE0B3C"/>
    <w:rsid w:val="00BE3DFF"/>
    <w:rsid w:val="00BF1B56"/>
    <w:rsid w:val="00BF2B1F"/>
    <w:rsid w:val="00BF3328"/>
    <w:rsid w:val="00BF35C1"/>
    <w:rsid w:val="00BF5905"/>
    <w:rsid w:val="00BF6924"/>
    <w:rsid w:val="00BF7033"/>
    <w:rsid w:val="00BF7EDF"/>
    <w:rsid w:val="00C017C6"/>
    <w:rsid w:val="00C019D5"/>
    <w:rsid w:val="00C0253F"/>
    <w:rsid w:val="00C04CBD"/>
    <w:rsid w:val="00C10206"/>
    <w:rsid w:val="00C109F8"/>
    <w:rsid w:val="00C10B83"/>
    <w:rsid w:val="00C11127"/>
    <w:rsid w:val="00C11AC5"/>
    <w:rsid w:val="00C12D18"/>
    <w:rsid w:val="00C1309D"/>
    <w:rsid w:val="00C173B4"/>
    <w:rsid w:val="00C200B0"/>
    <w:rsid w:val="00C210F6"/>
    <w:rsid w:val="00C21C39"/>
    <w:rsid w:val="00C2237F"/>
    <w:rsid w:val="00C26764"/>
    <w:rsid w:val="00C3168A"/>
    <w:rsid w:val="00C350E3"/>
    <w:rsid w:val="00C357B9"/>
    <w:rsid w:val="00C36184"/>
    <w:rsid w:val="00C364AF"/>
    <w:rsid w:val="00C365BB"/>
    <w:rsid w:val="00C365DA"/>
    <w:rsid w:val="00C376E5"/>
    <w:rsid w:val="00C44495"/>
    <w:rsid w:val="00C46573"/>
    <w:rsid w:val="00C503D2"/>
    <w:rsid w:val="00C51D9F"/>
    <w:rsid w:val="00C53815"/>
    <w:rsid w:val="00C5490A"/>
    <w:rsid w:val="00C54CFC"/>
    <w:rsid w:val="00C5516B"/>
    <w:rsid w:val="00C55B9B"/>
    <w:rsid w:val="00C601FC"/>
    <w:rsid w:val="00C65383"/>
    <w:rsid w:val="00C70B53"/>
    <w:rsid w:val="00C72C3D"/>
    <w:rsid w:val="00C73A68"/>
    <w:rsid w:val="00C73D7B"/>
    <w:rsid w:val="00C75A45"/>
    <w:rsid w:val="00C80A0F"/>
    <w:rsid w:val="00C82567"/>
    <w:rsid w:val="00C839FC"/>
    <w:rsid w:val="00C9208D"/>
    <w:rsid w:val="00C96E26"/>
    <w:rsid w:val="00C9B9A9"/>
    <w:rsid w:val="00CA600C"/>
    <w:rsid w:val="00CA62CA"/>
    <w:rsid w:val="00CA6C4D"/>
    <w:rsid w:val="00CB17AA"/>
    <w:rsid w:val="00CB2E83"/>
    <w:rsid w:val="00CB36A7"/>
    <w:rsid w:val="00CC2742"/>
    <w:rsid w:val="00CC2B22"/>
    <w:rsid w:val="00CC5EC6"/>
    <w:rsid w:val="00CC6EA4"/>
    <w:rsid w:val="00CC741F"/>
    <w:rsid w:val="00CC7C86"/>
    <w:rsid w:val="00CD02A3"/>
    <w:rsid w:val="00CD359E"/>
    <w:rsid w:val="00CD3793"/>
    <w:rsid w:val="00CD6000"/>
    <w:rsid w:val="00CE071F"/>
    <w:rsid w:val="00CE1461"/>
    <w:rsid w:val="00CE4DDD"/>
    <w:rsid w:val="00CE50AE"/>
    <w:rsid w:val="00CF5A04"/>
    <w:rsid w:val="00CF6939"/>
    <w:rsid w:val="00CF6F49"/>
    <w:rsid w:val="00CF77FA"/>
    <w:rsid w:val="00D01242"/>
    <w:rsid w:val="00D023A4"/>
    <w:rsid w:val="00D024F3"/>
    <w:rsid w:val="00D04C25"/>
    <w:rsid w:val="00D05A3A"/>
    <w:rsid w:val="00D068A5"/>
    <w:rsid w:val="00D06AF3"/>
    <w:rsid w:val="00D06F7C"/>
    <w:rsid w:val="00D10A25"/>
    <w:rsid w:val="00D10DD8"/>
    <w:rsid w:val="00D11425"/>
    <w:rsid w:val="00D12524"/>
    <w:rsid w:val="00D13E9B"/>
    <w:rsid w:val="00D141A3"/>
    <w:rsid w:val="00D16E7E"/>
    <w:rsid w:val="00D200AB"/>
    <w:rsid w:val="00D21244"/>
    <w:rsid w:val="00D21D48"/>
    <w:rsid w:val="00D21FF1"/>
    <w:rsid w:val="00D24163"/>
    <w:rsid w:val="00D255BF"/>
    <w:rsid w:val="00D26C20"/>
    <w:rsid w:val="00D30DD3"/>
    <w:rsid w:val="00D31213"/>
    <w:rsid w:val="00D324B4"/>
    <w:rsid w:val="00D349A5"/>
    <w:rsid w:val="00D34B32"/>
    <w:rsid w:val="00D363BE"/>
    <w:rsid w:val="00D37E3E"/>
    <w:rsid w:val="00D401F8"/>
    <w:rsid w:val="00D40C67"/>
    <w:rsid w:val="00D42204"/>
    <w:rsid w:val="00D424F5"/>
    <w:rsid w:val="00D51411"/>
    <w:rsid w:val="00D51DAE"/>
    <w:rsid w:val="00D52444"/>
    <w:rsid w:val="00D555F4"/>
    <w:rsid w:val="00D57E22"/>
    <w:rsid w:val="00D57E99"/>
    <w:rsid w:val="00D629A8"/>
    <w:rsid w:val="00D7224F"/>
    <w:rsid w:val="00D76262"/>
    <w:rsid w:val="00D7761D"/>
    <w:rsid w:val="00D811B8"/>
    <w:rsid w:val="00D81918"/>
    <w:rsid w:val="00D84D9E"/>
    <w:rsid w:val="00D84E5F"/>
    <w:rsid w:val="00D85E70"/>
    <w:rsid w:val="00D86893"/>
    <w:rsid w:val="00D87212"/>
    <w:rsid w:val="00D90E18"/>
    <w:rsid w:val="00D93CBC"/>
    <w:rsid w:val="00D94AFE"/>
    <w:rsid w:val="00DA25B3"/>
    <w:rsid w:val="00DA3C83"/>
    <w:rsid w:val="00DA4686"/>
    <w:rsid w:val="00DA6099"/>
    <w:rsid w:val="00DA77E4"/>
    <w:rsid w:val="00DB472A"/>
    <w:rsid w:val="00DB4F9C"/>
    <w:rsid w:val="00DB5819"/>
    <w:rsid w:val="00DB5F8B"/>
    <w:rsid w:val="00DB6D0C"/>
    <w:rsid w:val="00DB70DF"/>
    <w:rsid w:val="00DC401A"/>
    <w:rsid w:val="00DC4FEE"/>
    <w:rsid w:val="00DC5434"/>
    <w:rsid w:val="00DD3BCF"/>
    <w:rsid w:val="00DD5C2F"/>
    <w:rsid w:val="00DD7992"/>
    <w:rsid w:val="00DE14F3"/>
    <w:rsid w:val="00DF3204"/>
    <w:rsid w:val="00DF3D94"/>
    <w:rsid w:val="00DF48FD"/>
    <w:rsid w:val="00E01E9A"/>
    <w:rsid w:val="00E0269B"/>
    <w:rsid w:val="00E04ABE"/>
    <w:rsid w:val="00E05847"/>
    <w:rsid w:val="00E06267"/>
    <w:rsid w:val="00E1061F"/>
    <w:rsid w:val="00E1349D"/>
    <w:rsid w:val="00E1450B"/>
    <w:rsid w:val="00E15112"/>
    <w:rsid w:val="00E17B5D"/>
    <w:rsid w:val="00E228B6"/>
    <w:rsid w:val="00E22F0D"/>
    <w:rsid w:val="00E25C08"/>
    <w:rsid w:val="00E30471"/>
    <w:rsid w:val="00E30821"/>
    <w:rsid w:val="00E328A3"/>
    <w:rsid w:val="00E33AC4"/>
    <w:rsid w:val="00E35F69"/>
    <w:rsid w:val="00E360F7"/>
    <w:rsid w:val="00E41941"/>
    <w:rsid w:val="00E41E67"/>
    <w:rsid w:val="00E42415"/>
    <w:rsid w:val="00E428AF"/>
    <w:rsid w:val="00E42ACB"/>
    <w:rsid w:val="00E43C02"/>
    <w:rsid w:val="00E44184"/>
    <w:rsid w:val="00E4582B"/>
    <w:rsid w:val="00E477E8"/>
    <w:rsid w:val="00E47AA9"/>
    <w:rsid w:val="00E47CBD"/>
    <w:rsid w:val="00E51CF3"/>
    <w:rsid w:val="00E52ADA"/>
    <w:rsid w:val="00E53035"/>
    <w:rsid w:val="00E543DB"/>
    <w:rsid w:val="00E5668B"/>
    <w:rsid w:val="00E61EF6"/>
    <w:rsid w:val="00E635AC"/>
    <w:rsid w:val="00E63780"/>
    <w:rsid w:val="00E66B1B"/>
    <w:rsid w:val="00E706E3"/>
    <w:rsid w:val="00E71AA1"/>
    <w:rsid w:val="00E71BB9"/>
    <w:rsid w:val="00E71FE3"/>
    <w:rsid w:val="00E7429A"/>
    <w:rsid w:val="00E75F9F"/>
    <w:rsid w:val="00E77692"/>
    <w:rsid w:val="00E776EB"/>
    <w:rsid w:val="00E81B93"/>
    <w:rsid w:val="00E83493"/>
    <w:rsid w:val="00E83905"/>
    <w:rsid w:val="00E858B1"/>
    <w:rsid w:val="00E86502"/>
    <w:rsid w:val="00E87D5E"/>
    <w:rsid w:val="00E9021B"/>
    <w:rsid w:val="00E91AF0"/>
    <w:rsid w:val="00E91F07"/>
    <w:rsid w:val="00EA040C"/>
    <w:rsid w:val="00EA1BF9"/>
    <w:rsid w:val="00EA4E0C"/>
    <w:rsid w:val="00EA6872"/>
    <w:rsid w:val="00EA7316"/>
    <w:rsid w:val="00EA78B3"/>
    <w:rsid w:val="00EB2FBC"/>
    <w:rsid w:val="00EB43F2"/>
    <w:rsid w:val="00EB6844"/>
    <w:rsid w:val="00EC2B93"/>
    <w:rsid w:val="00EC560E"/>
    <w:rsid w:val="00EC7B65"/>
    <w:rsid w:val="00ED0CEB"/>
    <w:rsid w:val="00ED2091"/>
    <w:rsid w:val="00ED3296"/>
    <w:rsid w:val="00ED7ED0"/>
    <w:rsid w:val="00EE0828"/>
    <w:rsid w:val="00EE25E9"/>
    <w:rsid w:val="00EE4172"/>
    <w:rsid w:val="00EE7754"/>
    <w:rsid w:val="00EF1389"/>
    <w:rsid w:val="00EF321A"/>
    <w:rsid w:val="00EF3B07"/>
    <w:rsid w:val="00F067BE"/>
    <w:rsid w:val="00F06F47"/>
    <w:rsid w:val="00F16105"/>
    <w:rsid w:val="00F161FF"/>
    <w:rsid w:val="00F16CC8"/>
    <w:rsid w:val="00F176C4"/>
    <w:rsid w:val="00F224E8"/>
    <w:rsid w:val="00F3746C"/>
    <w:rsid w:val="00F40587"/>
    <w:rsid w:val="00F44CEC"/>
    <w:rsid w:val="00F45FD7"/>
    <w:rsid w:val="00F4632B"/>
    <w:rsid w:val="00F50D20"/>
    <w:rsid w:val="00F52B2D"/>
    <w:rsid w:val="00F54163"/>
    <w:rsid w:val="00F54F88"/>
    <w:rsid w:val="00F5583B"/>
    <w:rsid w:val="00F55CEB"/>
    <w:rsid w:val="00F55CFE"/>
    <w:rsid w:val="00F636F2"/>
    <w:rsid w:val="00F64E5E"/>
    <w:rsid w:val="00F65FC8"/>
    <w:rsid w:val="00F75E1F"/>
    <w:rsid w:val="00F76083"/>
    <w:rsid w:val="00F763F7"/>
    <w:rsid w:val="00F7660A"/>
    <w:rsid w:val="00F76A6C"/>
    <w:rsid w:val="00F80E81"/>
    <w:rsid w:val="00F834F7"/>
    <w:rsid w:val="00F85B44"/>
    <w:rsid w:val="00F86F03"/>
    <w:rsid w:val="00F912E8"/>
    <w:rsid w:val="00F95E4A"/>
    <w:rsid w:val="00FA010B"/>
    <w:rsid w:val="00FA185B"/>
    <w:rsid w:val="00FA5152"/>
    <w:rsid w:val="00FA74F8"/>
    <w:rsid w:val="00FA768D"/>
    <w:rsid w:val="00FB1CEC"/>
    <w:rsid w:val="00FB2A70"/>
    <w:rsid w:val="00FB68F4"/>
    <w:rsid w:val="00FB7B10"/>
    <w:rsid w:val="00FC68AD"/>
    <w:rsid w:val="00FD37FE"/>
    <w:rsid w:val="00FD3857"/>
    <w:rsid w:val="00FD4FC8"/>
    <w:rsid w:val="00FD5287"/>
    <w:rsid w:val="00FD6C66"/>
    <w:rsid w:val="00FE1884"/>
    <w:rsid w:val="00FE4FFC"/>
    <w:rsid w:val="00FE54CD"/>
    <w:rsid w:val="00FE5547"/>
    <w:rsid w:val="00FE566F"/>
    <w:rsid w:val="00FF0291"/>
    <w:rsid w:val="00FF11B6"/>
    <w:rsid w:val="02EFD6E7"/>
    <w:rsid w:val="0340BB88"/>
    <w:rsid w:val="0385692B"/>
    <w:rsid w:val="03EA1C27"/>
    <w:rsid w:val="043FB60C"/>
    <w:rsid w:val="058D8803"/>
    <w:rsid w:val="076F7D23"/>
    <w:rsid w:val="07A0EE9C"/>
    <w:rsid w:val="085624D5"/>
    <w:rsid w:val="098F7D92"/>
    <w:rsid w:val="0B4CD6EE"/>
    <w:rsid w:val="0B6C4B0B"/>
    <w:rsid w:val="0B7CD7E2"/>
    <w:rsid w:val="0BFF5686"/>
    <w:rsid w:val="0D8FAEE1"/>
    <w:rsid w:val="0DFED945"/>
    <w:rsid w:val="0E04E3E7"/>
    <w:rsid w:val="0E36EB0B"/>
    <w:rsid w:val="0E42566E"/>
    <w:rsid w:val="0E4F1453"/>
    <w:rsid w:val="0E65E2B3"/>
    <w:rsid w:val="0EDDEF10"/>
    <w:rsid w:val="0F71DD2E"/>
    <w:rsid w:val="0FE2C1E7"/>
    <w:rsid w:val="1015E51D"/>
    <w:rsid w:val="1058D33F"/>
    <w:rsid w:val="12CC24A0"/>
    <w:rsid w:val="1334A252"/>
    <w:rsid w:val="13C47E9C"/>
    <w:rsid w:val="143359D6"/>
    <w:rsid w:val="14B8BFD0"/>
    <w:rsid w:val="15818477"/>
    <w:rsid w:val="1624ED44"/>
    <w:rsid w:val="17CBB659"/>
    <w:rsid w:val="18A2A659"/>
    <w:rsid w:val="1A8A31E5"/>
    <w:rsid w:val="1B051548"/>
    <w:rsid w:val="1FE98062"/>
    <w:rsid w:val="2028076D"/>
    <w:rsid w:val="204F97ED"/>
    <w:rsid w:val="2068479B"/>
    <w:rsid w:val="20BBEB4A"/>
    <w:rsid w:val="20D1A6C3"/>
    <w:rsid w:val="215D0F7A"/>
    <w:rsid w:val="219CF1AF"/>
    <w:rsid w:val="21DA14C3"/>
    <w:rsid w:val="24941536"/>
    <w:rsid w:val="2509FBD0"/>
    <w:rsid w:val="25B45B91"/>
    <w:rsid w:val="27CE3D6F"/>
    <w:rsid w:val="27EF935F"/>
    <w:rsid w:val="28F3BCC8"/>
    <w:rsid w:val="291A6C9A"/>
    <w:rsid w:val="29B8B08E"/>
    <w:rsid w:val="2A0E6C72"/>
    <w:rsid w:val="2BC97E40"/>
    <w:rsid w:val="2C6357B2"/>
    <w:rsid w:val="2CA81305"/>
    <w:rsid w:val="2CF5D294"/>
    <w:rsid w:val="2D510D80"/>
    <w:rsid w:val="2E1535D2"/>
    <w:rsid w:val="300D8435"/>
    <w:rsid w:val="305BADA2"/>
    <w:rsid w:val="305F6359"/>
    <w:rsid w:val="321A0B22"/>
    <w:rsid w:val="32AEF251"/>
    <w:rsid w:val="32BC9434"/>
    <w:rsid w:val="32EC95B2"/>
    <w:rsid w:val="3336EB5A"/>
    <w:rsid w:val="336BC867"/>
    <w:rsid w:val="338FFB9E"/>
    <w:rsid w:val="33BB0C91"/>
    <w:rsid w:val="341BAB38"/>
    <w:rsid w:val="346BDDD9"/>
    <w:rsid w:val="34F3936C"/>
    <w:rsid w:val="35CF3B7A"/>
    <w:rsid w:val="37711969"/>
    <w:rsid w:val="38833FAE"/>
    <w:rsid w:val="3B084631"/>
    <w:rsid w:val="3B265D36"/>
    <w:rsid w:val="3C6052D8"/>
    <w:rsid w:val="3CBA248C"/>
    <w:rsid w:val="3E4BB15B"/>
    <w:rsid w:val="3E7ADC3B"/>
    <w:rsid w:val="3F57FE60"/>
    <w:rsid w:val="40A244DF"/>
    <w:rsid w:val="4116C40B"/>
    <w:rsid w:val="41F2BE7C"/>
    <w:rsid w:val="4584C1E5"/>
    <w:rsid w:val="45953B5D"/>
    <w:rsid w:val="46FD8446"/>
    <w:rsid w:val="47EBEE1B"/>
    <w:rsid w:val="4888AB07"/>
    <w:rsid w:val="497B7D00"/>
    <w:rsid w:val="4B3C78F5"/>
    <w:rsid w:val="4C15932E"/>
    <w:rsid w:val="4C5F3E8E"/>
    <w:rsid w:val="4D686FDA"/>
    <w:rsid w:val="4D775804"/>
    <w:rsid w:val="4DD78391"/>
    <w:rsid w:val="4E9400DD"/>
    <w:rsid w:val="50915A8D"/>
    <w:rsid w:val="512087D8"/>
    <w:rsid w:val="53E3FFDE"/>
    <w:rsid w:val="53F02E88"/>
    <w:rsid w:val="5447F1F2"/>
    <w:rsid w:val="548631F5"/>
    <w:rsid w:val="54D662FD"/>
    <w:rsid w:val="54F28C37"/>
    <w:rsid w:val="55496624"/>
    <w:rsid w:val="558E480E"/>
    <w:rsid w:val="56AA072A"/>
    <w:rsid w:val="56AA20B4"/>
    <w:rsid w:val="56E4F0B2"/>
    <w:rsid w:val="5805A3C2"/>
    <w:rsid w:val="58D609C6"/>
    <w:rsid w:val="58DFA5DE"/>
    <w:rsid w:val="599C8DE6"/>
    <w:rsid w:val="59D7C6BE"/>
    <w:rsid w:val="5B9DE134"/>
    <w:rsid w:val="5BE27B06"/>
    <w:rsid w:val="5CA98B3A"/>
    <w:rsid w:val="5CE0FDA1"/>
    <w:rsid w:val="5D964384"/>
    <w:rsid w:val="60DB21D4"/>
    <w:rsid w:val="616597DA"/>
    <w:rsid w:val="618B9E90"/>
    <w:rsid w:val="61973ECE"/>
    <w:rsid w:val="619CC5B9"/>
    <w:rsid w:val="636054A8"/>
    <w:rsid w:val="63BCB073"/>
    <w:rsid w:val="63DC0F1C"/>
    <w:rsid w:val="63EF58B5"/>
    <w:rsid w:val="63F4456C"/>
    <w:rsid w:val="64203169"/>
    <w:rsid w:val="64764B62"/>
    <w:rsid w:val="65C7F1C1"/>
    <w:rsid w:val="6779BC6E"/>
    <w:rsid w:val="6786433D"/>
    <w:rsid w:val="68F209FB"/>
    <w:rsid w:val="69550C03"/>
    <w:rsid w:val="6A684820"/>
    <w:rsid w:val="6A6B4A63"/>
    <w:rsid w:val="6A95FC25"/>
    <w:rsid w:val="6AA28410"/>
    <w:rsid w:val="6AAB35F4"/>
    <w:rsid w:val="6CC8B3F9"/>
    <w:rsid w:val="6D478A51"/>
    <w:rsid w:val="6EAC33ED"/>
    <w:rsid w:val="6EAEFB75"/>
    <w:rsid w:val="6ED58BCD"/>
    <w:rsid w:val="6F16EFE8"/>
    <w:rsid w:val="6F47053E"/>
    <w:rsid w:val="6F664362"/>
    <w:rsid w:val="6FF54F48"/>
    <w:rsid w:val="700CD007"/>
    <w:rsid w:val="71EC2422"/>
    <w:rsid w:val="73A3EA46"/>
    <w:rsid w:val="74879FDB"/>
    <w:rsid w:val="74F8A5FB"/>
    <w:rsid w:val="75F20D4A"/>
    <w:rsid w:val="766854CF"/>
    <w:rsid w:val="768C7F03"/>
    <w:rsid w:val="76BC0163"/>
    <w:rsid w:val="7710D5DE"/>
    <w:rsid w:val="7721D52C"/>
    <w:rsid w:val="77CF9B64"/>
    <w:rsid w:val="78B4C2B4"/>
    <w:rsid w:val="7A5576AC"/>
    <w:rsid w:val="7A5FA6C0"/>
    <w:rsid w:val="7A978EE1"/>
    <w:rsid w:val="7C3BB9C3"/>
    <w:rsid w:val="7D0837D0"/>
    <w:rsid w:val="7E2C9DD5"/>
    <w:rsid w:val="7F48D571"/>
    <w:rsid w:val="7FDE00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E6DF08"/>
  <w15:docId w15:val="{CB6EEA56-31F7-4318-A466-EACDA718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8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5959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3E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semiHidden/>
    <w:unhideWhenUsed/>
    <w:qFormat/>
    <w:rsid w:val="00976C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29"/>
    <w:pPr>
      <w:spacing w:after="0" w:line="240" w:lineRule="auto"/>
    </w:pPr>
  </w:style>
  <w:style w:type="paragraph" w:styleId="ListParagraph">
    <w:name w:val="List Paragraph"/>
    <w:basedOn w:val="Normal"/>
    <w:uiPriority w:val="34"/>
    <w:qFormat/>
    <w:rsid w:val="00A75B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D424F5"/>
    <w:rPr>
      <w:sz w:val="16"/>
      <w:szCs w:val="16"/>
    </w:rPr>
  </w:style>
  <w:style w:type="paragraph" w:styleId="CommentText">
    <w:name w:val="annotation text"/>
    <w:basedOn w:val="Normal"/>
    <w:link w:val="CommentTextChar"/>
    <w:uiPriority w:val="99"/>
    <w:unhideWhenUsed/>
    <w:rsid w:val="00D424F5"/>
    <w:rPr>
      <w:szCs w:val="20"/>
    </w:rPr>
  </w:style>
  <w:style w:type="character" w:customStyle="1" w:styleId="CommentTextChar">
    <w:name w:val="Comment Text Char"/>
    <w:basedOn w:val="DefaultParagraphFont"/>
    <w:link w:val="CommentText"/>
    <w:uiPriority w:val="99"/>
    <w:rsid w:val="00D42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F5"/>
    <w:rPr>
      <w:b/>
      <w:bCs/>
    </w:rPr>
  </w:style>
  <w:style w:type="character" w:customStyle="1" w:styleId="CommentSubjectChar">
    <w:name w:val="Comment Subject Char"/>
    <w:basedOn w:val="CommentTextChar"/>
    <w:link w:val="CommentSubject"/>
    <w:uiPriority w:val="99"/>
    <w:semiHidden/>
    <w:rsid w:val="00D424F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D4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5"/>
    <w:rPr>
      <w:rFonts w:ascii="Segoe UI" w:eastAsia="Times New Roman" w:hAnsi="Segoe UI" w:cs="Segoe UI"/>
      <w:sz w:val="18"/>
      <w:szCs w:val="18"/>
    </w:rPr>
  </w:style>
  <w:style w:type="paragraph" w:styleId="BodyTextIndent">
    <w:name w:val="Body Text Indent"/>
    <w:basedOn w:val="Normal"/>
    <w:link w:val="BodyTextIndentChar"/>
    <w:rsid w:val="00D84D9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84D9E"/>
    <w:rPr>
      <w:rFonts w:ascii="Baskerville Old Face" w:eastAsia="Times New Roman" w:hAnsi="Baskerville Old Face" w:cs="Times New Roman"/>
      <w:sz w:val="24"/>
      <w:szCs w:val="24"/>
    </w:rPr>
  </w:style>
  <w:style w:type="paragraph" w:customStyle="1" w:styleId="a">
    <w:name w:val="_"/>
    <w:basedOn w:val="Normal"/>
    <w:rsid w:val="00D84D9E"/>
    <w:pPr>
      <w:ind w:left="720" w:hanging="720"/>
    </w:pPr>
    <w:rPr>
      <w:sz w:val="24"/>
    </w:rPr>
  </w:style>
  <w:style w:type="character" w:styleId="PageNumber">
    <w:name w:val="page number"/>
    <w:basedOn w:val="DefaultParagraphFont"/>
    <w:rsid w:val="00D84D9E"/>
  </w:style>
  <w:style w:type="paragraph" w:styleId="Footer">
    <w:name w:val="footer"/>
    <w:basedOn w:val="Normal"/>
    <w:link w:val="FooterChar"/>
    <w:rsid w:val="00D84D9E"/>
    <w:pPr>
      <w:tabs>
        <w:tab w:val="center" w:pos="4320"/>
        <w:tab w:val="right" w:pos="8640"/>
      </w:tabs>
    </w:pPr>
    <w:rPr>
      <w:szCs w:val="20"/>
    </w:rPr>
  </w:style>
  <w:style w:type="character" w:customStyle="1" w:styleId="FooterChar">
    <w:name w:val="Footer Char"/>
    <w:basedOn w:val="DefaultParagraphFont"/>
    <w:link w:val="Footer"/>
    <w:rsid w:val="00D84D9E"/>
    <w:rPr>
      <w:rFonts w:ascii="Times New Roman" w:eastAsia="Times New Roman" w:hAnsi="Times New Roman" w:cs="Times New Roman"/>
      <w:sz w:val="20"/>
      <w:szCs w:val="20"/>
    </w:rPr>
  </w:style>
  <w:style w:type="table" w:styleId="Table3Deffects3">
    <w:name w:val="Table 3D effects 3"/>
    <w:basedOn w:val="TableNormal"/>
    <w:rsid w:val="00D84D9E"/>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99"/>
    <w:unhideWhenUsed/>
    <w:rsid w:val="002431E3"/>
    <w:pPr>
      <w:spacing w:after="120"/>
    </w:pPr>
  </w:style>
  <w:style w:type="character" w:customStyle="1" w:styleId="BodyTextChar">
    <w:name w:val="Body Text Char"/>
    <w:basedOn w:val="DefaultParagraphFont"/>
    <w:link w:val="BodyText"/>
    <w:uiPriority w:val="99"/>
    <w:rsid w:val="002431E3"/>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431E3"/>
    <w:pPr>
      <w:widowControl/>
      <w:autoSpaceDE/>
      <w:autoSpaceDN/>
      <w:adjustRightInd/>
    </w:pPr>
    <w:rPr>
      <w:rFonts w:eastAsia="Calibri"/>
      <w:szCs w:val="20"/>
    </w:rPr>
  </w:style>
  <w:style w:type="character" w:customStyle="1" w:styleId="FootnoteTextChar">
    <w:name w:val="Footnote Text Char"/>
    <w:basedOn w:val="DefaultParagraphFont"/>
    <w:link w:val="FootnoteText"/>
    <w:uiPriority w:val="99"/>
    <w:rsid w:val="002431E3"/>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2431E3"/>
    <w:rPr>
      <w:vertAlign w:val="superscript"/>
    </w:rPr>
  </w:style>
  <w:style w:type="character" w:customStyle="1" w:styleId="Heading5Char">
    <w:name w:val="Heading 5 Char"/>
    <w:basedOn w:val="DefaultParagraphFont"/>
    <w:link w:val="Heading5"/>
    <w:semiHidden/>
    <w:rsid w:val="00976CE3"/>
    <w:rPr>
      <w:rFonts w:asciiTheme="majorHAnsi" w:eastAsiaTheme="majorEastAsia" w:hAnsiTheme="majorHAnsi" w:cstheme="majorBidi"/>
      <w:color w:val="2E74B5" w:themeColor="accent1" w:themeShade="BF"/>
      <w:sz w:val="20"/>
      <w:szCs w:val="24"/>
    </w:rPr>
  </w:style>
  <w:style w:type="table" w:styleId="TableGrid">
    <w:name w:val="Table Grid"/>
    <w:basedOn w:val="TableNormal"/>
    <w:uiPriority w:val="39"/>
    <w:rsid w:val="00976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HeadingL2">
    <w:name w:val="NORC Inline Heading L2"/>
    <w:basedOn w:val="DefaultParagraphFont"/>
    <w:uiPriority w:val="1"/>
    <w:qFormat/>
    <w:rsid w:val="00976CE3"/>
    <w:rPr>
      <w:rFonts w:ascii="Times New Roman" w:hAnsi="Times New Roman"/>
      <w:b/>
      <w:i/>
      <w:color w:val="000000" w:themeColor="text1"/>
      <w:sz w:val="22"/>
    </w:rPr>
  </w:style>
  <w:style w:type="paragraph" w:styleId="Header">
    <w:name w:val="header"/>
    <w:basedOn w:val="Normal"/>
    <w:link w:val="HeaderChar"/>
    <w:uiPriority w:val="99"/>
    <w:unhideWhenUsed/>
    <w:rsid w:val="008310A0"/>
    <w:pPr>
      <w:tabs>
        <w:tab w:val="center" w:pos="4680"/>
        <w:tab w:val="right" w:pos="9360"/>
      </w:tabs>
    </w:pPr>
  </w:style>
  <w:style w:type="character" w:customStyle="1" w:styleId="HeaderChar">
    <w:name w:val="Header Char"/>
    <w:basedOn w:val="DefaultParagraphFont"/>
    <w:link w:val="Header"/>
    <w:uiPriority w:val="99"/>
    <w:rsid w:val="008310A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A0D0E"/>
    <w:rPr>
      <w:color w:val="0563C1" w:themeColor="hyperlink"/>
      <w:u w:val="single"/>
    </w:rPr>
  </w:style>
  <w:style w:type="character" w:customStyle="1" w:styleId="Heading1Char">
    <w:name w:val="Heading 1 Char"/>
    <w:basedOn w:val="DefaultParagraphFont"/>
    <w:link w:val="Heading1"/>
    <w:uiPriority w:val="9"/>
    <w:rsid w:val="005959E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959E4"/>
    <w:pPr>
      <w:widowControl/>
      <w:spacing w:before="19"/>
    </w:pPr>
    <w:rPr>
      <w:rFonts w:eastAsiaTheme="minorHAnsi"/>
      <w:sz w:val="24"/>
    </w:rPr>
  </w:style>
  <w:style w:type="paragraph" w:styleId="Revision">
    <w:name w:val="Revision"/>
    <w:hidden/>
    <w:uiPriority w:val="99"/>
    <w:semiHidden/>
    <w:rsid w:val="00CE1461"/>
    <w:pPr>
      <w:spacing w:after="0" w:line="240" w:lineRule="auto"/>
    </w:pPr>
    <w:rPr>
      <w:rFonts w:ascii="Times New Roman" w:eastAsia="Times New Roman" w:hAnsi="Times New Roman" w:cs="Times New Roman"/>
      <w:sz w:val="20"/>
      <w:szCs w:val="24"/>
    </w:rPr>
  </w:style>
  <w:style w:type="paragraph" w:customStyle="1" w:styleId="aBodyText">
    <w:name w:val="a. Body Text"/>
    <w:basedOn w:val="Normal"/>
    <w:qFormat/>
    <w:rsid w:val="0047289D"/>
    <w:pPr>
      <w:widowControl/>
      <w:spacing w:before="120"/>
    </w:pPr>
    <w:rPr>
      <w:sz w:val="24"/>
    </w:rPr>
  </w:style>
  <w:style w:type="character" w:styleId="FollowedHyperlink">
    <w:name w:val="FollowedHyperlink"/>
    <w:basedOn w:val="DefaultParagraphFont"/>
    <w:uiPriority w:val="99"/>
    <w:semiHidden/>
    <w:unhideWhenUsed/>
    <w:rsid w:val="00E5668B"/>
    <w:rPr>
      <w:color w:val="954F72" w:themeColor="followedHyperlink"/>
      <w:u w:val="single"/>
    </w:rPr>
  </w:style>
  <w:style w:type="character" w:customStyle="1" w:styleId="PlainTextChar">
    <w:name w:val="Plain Text Char"/>
    <w:basedOn w:val="DefaultParagraphFont"/>
    <w:link w:val="PlainText"/>
    <w:uiPriority w:val="99"/>
    <w:semiHidden/>
    <w:rsid w:val="009412C5"/>
    <w:rPr>
      <w:rFonts w:cs="Consolas"/>
      <w:szCs w:val="21"/>
    </w:rPr>
  </w:style>
  <w:style w:type="paragraph" w:styleId="PlainText">
    <w:name w:val="Plain Text"/>
    <w:basedOn w:val="Normal"/>
    <w:link w:val="PlainTextChar"/>
    <w:uiPriority w:val="99"/>
    <w:semiHidden/>
    <w:unhideWhenUsed/>
    <w:rsid w:val="009412C5"/>
    <w:pPr>
      <w:widowControl/>
      <w:autoSpaceDE/>
      <w:autoSpaceDN/>
      <w:adjustRightInd/>
    </w:pPr>
    <w:rPr>
      <w:rFonts w:asciiTheme="minorHAnsi" w:eastAsiaTheme="minorHAnsi" w:hAnsiTheme="minorHAnsi" w:cs="Consolas"/>
      <w:sz w:val="22"/>
      <w:szCs w:val="21"/>
    </w:rPr>
  </w:style>
  <w:style w:type="character" w:customStyle="1" w:styleId="PlainTextChar1">
    <w:name w:val="Plain Text Char1"/>
    <w:basedOn w:val="DefaultParagraphFont"/>
    <w:uiPriority w:val="99"/>
    <w:semiHidden/>
    <w:rsid w:val="009412C5"/>
    <w:rPr>
      <w:rFonts w:ascii="Consolas" w:eastAsia="Times New Roman" w:hAnsi="Consolas" w:cs="Times New Roman"/>
      <w:sz w:val="21"/>
      <w:szCs w:val="21"/>
    </w:rPr>
  </w:style>
  <w:style w:type="character" w:customStyle="1" w:styleId="Heading2Char">
    <w:name w:val="Heading 2 Char"/>
    <w:basedOn w:val="DefaultParagraphFont"/>
    <w:link w:val="Heading2"/>
    <w:uiPriority w:val="9"/>
    <w:semiHidden/>
    <w:rsid w:val="002A3E6E"/>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A16666"/>
    <w:rPr>
      <w:color w:val="605E5C"/>
      <w:shd w:val="clear" w:color="auto" w:fill="E1DFDD"/>
    </w:rPr>
  </w:style>
  <w:style w:type="character" w:styleId="Mention">
    <w:name w:val="Mention"/>
    <w:basedOn w:val="DefaultParagraphFont"/>
    <w:uiPriority w:val="99"/>
    <w:unhideWhenUsed/>
    <w:rsid w:val="00804874"/>
    <w:rPr>
      <w:color w:val="2B579A"/>
      <w:shd w:val="clear" w:color="auto" w:fill="E1DFDD"/>
    </w:rPr>
  </w:style>
  <w:style w:type="paragraph" w:customStyle="1" w:styleId="Answer">
    <w:name w:val=".Answer"/>
    <w:basedOn w:val="Normal"/>
    <w:qFormat/>
    <w:rsid w:val="0034254B"/>
    <w:pPr>
      <w:keepNext/>
      <w:keepLines/>
      <w:numPr>
        <w:ilvl w:val="1"/>
        <w:numId w:val="24"/>
      </w:numPr>
      <w:tabs>
        <w:tab w:val="left" w:pos="720"/>
        <w:tab w:val="left" w:pos="1080"/>
      </w:tabs>
      <w:autoSpaceDE/>
      <w:autoSpaceDN/>
      <w:adjustRightInd/>
      <w:spacing w:after="20" w:line="240" w:lineRule="exact"/>
      <w:outlineLvl w:val="2"/>
    </w:pPr>
    <w:rPr>
      <w:rFonts w:ascii="Arial" w:eastAsia="Calibri" w:hAnsi="Arial" w:cs="Arial"/>
      <w:sz w:val="22"/>
      <w:szCs w:val="22"/>
    </w:rPr>
  </w:style>
  <w:style w:type="character" w:styleId="UnresolvedMention">
    <w:name w:val="Unresolved Mention"/>
    <w:basedOn w:val="DefaultParagraphFont"/>
    <w:uiPriority w:val="99"/>
    <w:semiHidden/>
    <w:unhideWhenUsed/>
    <w:rsid w:val="00C65383"/>
    <w:rPr>
      <w:color w:val="605E5C"/>
      <w:shd w:val="clear" w:color="auto" w:fill="E1DFDD"/>
    </w:rPr>
  </w:style>
  <w:style w:type="paragraph" w:styleId="EndnoteText">
    <w:name w:val="endnote text"/>
    <w:basedOn w:val="Normal"/>
    <w:link w:val="EndnoteTextChar"/>
    <w:semiHidden/>
    <w:unhideWhenUsed/>
    <w:rsid w:val="00931ECF"/>
    <w:rPr>
      <w:rFonts w:ascii="Courier" w:hAnsi="Courier"/>
      <w:szCs w:val="20"/>
    </w:rPr>
  </w:style>
  <w:style w:type="character" w:customStyle="1" w:styleId="EndnoteTextChar">
    <w:name w:val="Endnote Text Char"/>
    <w:basedOn w:val="DefaultParagraphFont"/>
    <w:link w:val="EndnoteText"/>
    <w:semiHidden/>
    <w:rsid w:val="00931ECF"/>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sites/dolgov/files/WHD/legacy/files/ASminwagePoster.pdf" TargetMode="External" /><Relationship Id="rId11" Type="http://schemas.openxmlformats.org/officeDocument/2006/relationships/hyperlink" Target="https://www.state.gov/reports/2022-investment-climate-statements/micronesia/" TargetMode="External" /><Relationship Id="rId12" Type="http://schemas.openxmlformats.org/officeDocument/2006/relationships/hyperlink" Target="https://www.dol.gov/agencies/whd/minimum-wage/state" TargetMode="External" /><Relationship Id="rId13" Type="http://schemas.openxmlformats.org/officeDocument/2006/relationships/hyperlink" Target="https://www.mbjguam.com/palau%E2%80%99s-minimum-wage-increase-5-hour-2025" TargetMode="External" /><Relationship Id="rId14" Type="http://schemas.openxmlformats.org/officeDocument/2006/relationships/hyperlink" Target="https://www.mbjguam.com/incoming-marshalls-government-announces-wages-and-taxes-changes-2024"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srcs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5.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351C11D6-C3E1-4D31-852B-852652610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9B2B0-87DC-4518-BFCB-DE92A18AD1BA}">
  <ds:schemaRefs>
    <ds:schemaRef ds:uri="http://schemas.openxmlformats.org/officeDocument/2006/bibliography"/>
  </ds:schemaRefs>
</ds:datastoreItem>
</file>

<file path=customXml/itemProps3.xml><?xml version="1.0" encoding="utf-8"?>
<ds:datastoreItem xmlns:ds="http://schemas.openxmlformats.org/officeDocument/2006/customXml" ds:itemID="{9BECF786-06D3-4BA7-AE8C-41121A2EF747}">
  <ds:schemaRefs>
    <ds:schemaRef ds:uri="http://schemas.microsoft.com/sharepoint/v3/contenttype/forms"/>
  </ds:schemaRefs>
</ds:datastoreItem>
</file>

<file path=customXml/itemProps4.xml><?xml version="1.0" encoding="utf-8"?>
<ds:datastoreItem xmlns:ds="http://schemas.openxmlformats.org/officeDocument/2006/customXml" ds:itemID="{D9464F83-C97D-444D-B3E4-EE6367F99FAB}">
  <ds:schemaRefs>
    <ds:schemaRef ds:uri="http://schemas.microsoft.com/office/2006/metadata/properties"/>
    <ds:schemaRef ds:uri="http://schemas.microsoft.com/office/infopath/2007/PartnerControls"/>
    <ds:schemaRef ds:uri="f5c38f17-ab04-4ef6-9e31-297e5bcda986"/>
    <ds:schemaRef ds:uri="http://schemas.microsoft.com/sharepoint/v3"/>
    <ds:schemaRef ds:uri="56c42d36-efcc-49f3-a066-99376d7ae9dd"/>
  </ds:schemaRefs>
</ds:datastoreItem>
</file>

<file path=customXml/itemProps5.xml><?xml version="1.0" encoding="utf-8"?>
<ds:datastoreItem xmlns:ds="http://schemas.openxmlformats.org/officeDocument/2006/customXml" ds:itemID="{8FDB456E-8B73-478A-A7DC-5B1DD8C1BE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5228</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Chambers, Lauren (HRSA)</dc:creator>
  <cp:lastModifiedBy>HRSA</cp:lastModifiedBy>
  <cp:revision>9</cp:revision>
  <dcterms:created xsi:type="dcterms:W3CDTF">2025-01-15T18:40:00Z</dcterms:created>
  <dcterms:modified xsi:type="dcterms:W3CDTF">2025-01-21T19:44:00Z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