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1A0785" w14:paraId="35D49284" w14:textId="2819B12A">
      <w:pPr>
        <w:jc w:val="center"/>
        <w:rPr>
          <w:rFonts w:eastAsia="Calibri"/>
        </w:rPr>
      </w:pPr>
      <w:r w:rsidRPr="00357C8A">
        <w:rPr>
          <w:rFonts w:eastAsia="Calibri"/>
        </w:rPr>
        <w:t>UNITED STATES FOOD AND DRUG ADMINISTRATION</w:t>
      </w:r>
    </w:p>
    <w:p w:rsidR="0071302E" w:rsidP="001A0785" w14:paraId="2E71FD49" w14:textId="77777777">
      <w:pPr>
        <w:jc w:val="center"/>
        <w:rPr>
          <w:rFonts w:eastAsia="Calibri"/>
          <w:color w:val="000000" w:themeColor="text1"/>
        </w:rPr>
      </w:pPr>
    </w:p>
    <w:p w:rsidR="00357C8A" w:rsidRPr="00646219" w:rsidP="0071302E" w14:paraId="13E42EDF" w14:textId="0BA1C1A4">
      <w:pPr>
        <w:jc w:val="center"/>
        <w:rPr>
          <w:rFonts w:eastAsia="Calibri"/>
          <w:color w:val="000000" w:themeColor="text1"/>
        </w:rPr>
      </w:pPr>
      <w:r w:rsidRPr="00646219">
        <w:rPr>
          <w:rFonts w:eastAsia="Calibri"/>
          <w:color w:val="000000" w:themeColor="text1"/>
        </w:rPr>
        <w:t>Generally Recognized as Safe</w:t>
      </w:r>
      <w:r w:rsidR="0071302E">
        <w:rPr>
          <w:rFonts w:eastAsia="Calibri"/>
          <w:color w:val="000000" w:themeColor="text1"/>
        </w:rPr>
        <w:t xml:space="preserve"> (GRAS)</w:t>
      </w:r>
      <w:r w:rsidR="001B63CE">
        <w:rPr>
          <w:rFonts w:eastAsia="Calibri"/>
          <w:color w:val="000000" w:themeColor="text1"/>
        </w:rPr>
        <w:t xml:space="preserve"> Notices</w:t>
      </w:r>
    </w:p>
    <w:p w:rsidR="003A5528" w:rsidP="001A0785" w14:paraId="5BDF98DF" w14:textId="77777777">
      <w:pPr>
        <w:jc w:val="center"/>
        <w:rPr>
          <w:rFonts w:eastAsia="Calibri"/>
        </w:rPr>
      </w:pPr>
    </w:p>
    <w:p w:rsidR="00357C8A" w:rsidP="001A0785" w14:paraId="33E6CAE6" w14:textId="54C6FC83">
      <w:pPr>
        <w:jc w:val="center"/>
        <w:rPr>
          <w:rFonts w:eastAsia="Calibri"/>
        </w:rPr>
      </w:pPr>
      <w:r w:rsidRPr="00357C8A">
        <w:rPr>
          <w:rFonts w:eastAsia="Calibri"/>
        </w:rPr>
        <w:t>OMB Control No. 0910-</w:t>
      </w:r>
      <w:r w:rsidR="00A846F4">
        <w:rPr>
          <w:rFonts w:eastAsia="Calibri"/>
        </w:rPr>
        <w:t>0342</w:t>
      </w:r>
      <w:r w:rsidR="00F91430">
        <w:rPr>
          <w:rFonts w:eastAsia="Calibri"/>
        </w:rPr>
        <w:t xml:space="preserve"> - Revision</w:t>
      </w:r>
    </w:p>
    <w:p w:rsidR="00357C8A" w:rsidP="001A0785" w14:paraId="3802A1A3" w14:textId="77777777">
      <w:pPr>
        <w:jc w:val="center"/>
        <w:rPr>
          <w:rFonts w:eastAsia="Calibri"/>
        </w:rPr>
      </w:pPr>
    </w:p>
    <w:p w:rsidR="00357C8A" w:rsidP="001A0785" w14:paraId="57FFBA03" w14:textId="77777777">
      <w:pPr>
        <w:jc w:val="center"/>
        <w:rPr>
          <w:rFonts w:eastAsia="Calibri"/>
        </w:rPr>
      </w:pPr>
      <w:r w:rsidRPr="00357C8A">
        <w:rPr>
          <w:rFonts w:eastAsia="Calibri"/>
        </w:rPr>
        <w:t>SUPPORTING STATEMENT</w:t>
      </w:r>
    </w:p>
    <w:p w:rsidR="009B4DF2" w:rsidP="001A0785" w14:paraId="088FF017" w14:textId="77777777">
      <w:pPr>
        <w:jc w:val="center"/>
        <w:rPr>
          <w:rFonts w:eastAsia="Calibri"/>
        </w:rPr>
      </w:pPr>
    </w:p>
    <w:p w:rsidR="00357C8A" w:rsidP="001A0785" w14:paraId="409444AF" w14:textId="77777777">
      <w:pPr>
        <w:rPr>
          <w:rFonts w:eastAsia="Calibri"/>
        </w:rPr>
      </w:pPr>
      <w:r w:rsidRPr="00357C8A">
        <w:rPr>
          <w:rFonts w:eastAsia="Calibri"/>
          <w:b/>
        </w:rPr>
        <w:t>Part A:  Justification</w:t>
      </w:r>
      <w:r w:rsidRPr="00357C8A">
        <w:rPr>
          <w:rFonts w:eastAsia="Calibri"/>
        </w:rPr>
        <w:t>:</w:t>
      </w:r>
    </w:p>
    <w:p w:rsidR="000D79CC" w:rsidRPr="00357C8A" w:rsidP="001A0785" w14:paraId="131BB881" w14:textId="77777777">
      <w:pPr>
        <w:rPr>
          <w:rFonts w:eastAsia="Calibri"/>
        </w:rPr>
      </w:pPr>
    </w:p>
    <w:p w:rsidR="00357C8A" w:rsidRPr="00357C8A" w:rsidP="001A0785" w14:paraId="2981F8EB"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E112A" w:rsidP="001A0785" w14:paraId="12DBECDE" w14:textId="1D5A67F6">
      <w:pPr>
        <w:rPr>
          <w:rFonts w:eastAsia="Calibri"/>
        </w:rPr>
      </w:pPr>
      <w:r w:rsidRPr="00A849A6">
        <w:rPr>
          <w:rFonts w:eastAsia="Calibri"/>
        </w:rPr>
        <w:t xml:space="preserve">This information collection </w:t>
      </w:r>
      <w:r w:rsidR="008B4C70">
        <w:rPr>
          <w:rFonts w:eastAsia="Calibri"/>
        </w:rPr>
        <w:t xml:space="preserve">helps </w:t>
      </w:r>
      <w:r w:rsidRPr="00A849A6">
        <w:rPr>
          <w:rFonts w:eastAsia="Calibri"/>
        </w:rPr>
        <w:t>support</w:t>
      </w:r>
      <w:r w:rsidR="008B4C70">
        <w:rPr>
          <w:rFonts w:eastAsia="Calibri"/>
        </w:rPr>
        <w:t xml:space="preserve"> implementation of</w:t>
      </w:r>
      <w:r w:rsidRPr="00A849A6">
        <w:rPr>
          <w:rFonts w:eastAsia="Calibri"/>
        </w:rPr>
        <w:t xml:space="preserve"> </w:t>
      </w:r>
      <w:r w:rsidR="00C52E4F">
        <w:rPr>
          <w:rFonts w:eastAsia="Calibri"/>
        </w:rPr>
        <w:t xml:space="preserve">statutory requirements that govern food additives.  </w:t>
      </w:r>
      <w:r w:rsidRPr="00A849A6">
        <w:rPr>
          <w:rFonts w:eastAsia="Calibri"/>
        </w:rPr>
        <w:t>The Federal Food, Drug, and</w:t>
      </w:r>
      <w:r>
        <w:rPr>
          <w:rFonts w:eastAsia="Calibri"/>
        </w:rPr>
        <w:t xml:space="preserve"> </w:t>
      </w:r>
      <w:r w:rsidRPr="00A849A6">
        <w:rPr>
          <w:rFonts w:eastAsia="Calibri"/>
        </w:rPr>
        <w:t>Cosmetic Act (FD&amp;C Act) requires that all food additives (as defined by section 201(s)</w:t>
      </w:r>
      <w:r>
        <w:rPr>
          <w:rFonts w:eastAsia="Calibri"/>
        </w:rPr>
        <w:t xml:space="preserve"> </w:t>
      </w:r>
      <w:r w:rsidRPr="00A849A6">
        <w:rPr>
          <w:rFonts w:eastAsia="Calibri"/>
        </w:rPr>
        <w:t>(21 U.S.C. 321(s)) be approved by the Food and Drug Administration (FDA) before</w:t>
      </w:r>
      <w:r>
        <w:rPr>
          <w:rFonts w:eastAsia="Calibri"/>
        </w:rPr>
        <w:t xml:space="preserve"> </w:t>
      </w:r>
      <w:r w:rsidRPr="00A849A6">
        <w:rPr>
          <w:rFonts w:eastAsia="Calibri"/>
        </w:rPr>
        <w:t>they are marketed.</w:t>
      </w:r>
      <w:r>
        <w:rPr>
          <w:rFonts w:eastAsia="Calibri"/>
        </w:rPr>
        <w:t xml:space="preserve"> </w:t>
      </w:r>
      <w:r w:rsidRPr="00A849A6">
        <w:rPr>
          <w:rFonts w:eastAsia="Calibri"/>
        </w:rPr>
        <w:t xml:space="preserve"> Section 409 of the FD&amp;C Act (21 U.S.C. 348) establishes a</w:t>
      </w:r>
      <w:r>
        <w:rPr>
          <w:rFonts w:eastAsia="Calibri"/>
        </w:rPr>
        <w:t xml:space="preserve"> </w:t>
      </w:r>
      <w:r w:rsidRPr="00A849A6">
        <w:rPr>
          <w:rFonts w:eastAsia="Calibri"/>
        </w:rPr>
        <w:t>premarket approval requirement for “</w:t>
      </w:r>
      <w:r w:rsidRPr="00597C8D">
        <w:rPr>
          <w:rFonts w:eastAsia="Calibri"/>
          <w:i/>
          <w:iCs/>
        </w:rPr>
        <w:t>food additives</w:t>
      </w:r>
      <w:r w:rsidRPr="00A849A6">
        <w:rPr>
          <w:rFonts w:eastAsia="Calibri"/>
        </w:rPr>
        <w:t xml:space="preserve">.” </w:t>
      </w:r>
      <w:r>
        <w:rPr>
          <w:rFonts w:eastAsia="Calibri"/>
        </w:rPr>
        <w:t xml:space="preserve"> </w:t>
      </w:r>
      <w:r w:rsidRPr="00A849A6">
        <w:rPr>
          <w:rFonts w:eastAsia="Calibri"/>
        </w:rPr>
        <w:t>Section 201(s) of the FD&amp;C Act provides an exclusion to the definition of “</w:t>
      </w:r>
      <w:r w:rsidRPr="00597C8D">
        <w:rPr>
          <w:rFonts w:eastAsia="Calibri"/>
          <w:i/>
          <w:iCs/>
        </w:rPr>
        <w:t>food additive</w:t>
      </w:r>
      <w:r w:rsidRPr="00A849A6">
        <w:rPr>
          <w:rFonts w:eastAsia="Calibri"/>
        </w:rPr>
        <w:t>,” and thus from the</w:t>
      </w:r>
      <w:r>
        <w:rPr>
          <w:rFonts w:eastAsia="Calibri"/>
        </w:rPr>
        <w:t xml:space="preserve"> </w:t>
      </w:r>
      <w:r w:rsidRPr="00A849A6">
        <w:rPr>
          <w:rFonts w:eastAsia="Calibri"/>
        </w:rPr>
        <w:t xml:space="preserve">premarket approval requirement, for uses of substances that are generally </w:t>
      </w:r>
      <w:r>
        <w:rPr>
          <w:rFonts w:eastAsia="Calibri"/>
        </w:rPr>
        <w:t>recognized</w:t>
      </w:r>
      <w:r w:rsidRPr="00A849A6">
        <w:rPr>
          <w:rFonts w:eastAsia="Calibri"/>
        </w:rPr>
        <w:t xml:space="preserve"> as safe</w:t>
      </w:r>
      <w:r>
        <w:rPr>
          <w:rFonts w:eastAsia="Calibri"/>
        </w:rPr>
        <w:t xml:space="preserve"> </w:t>
      </w:r>
      <w:r w:rsidRPr="00A849A6">
        <w:rPr>
          <w:rFonts w:eastAsia="Calibri"/>
        </w:rPr>
        <w:t>(GRAS) by qualified experts.</w:t>
      </w:r>
      <w:r>
        <w:rPr>
          <w:rFonts w:eastAsia="Calibri"/>
        </w:rPr>
        <w:t xml:space="preserve">  </w:t>
      </w:r>
      <w:r w:rsidRPr="00A849A6">
        <w:rPr>
          <w:rFonts w:eastAsia="Calibri"/>
        </w:rPr>
        <w:t xml:space="preserve">The GRAS provision of section 201(s) of the FD&amp;C Act </w:t>
      </w:r>
      <w:r w:rsidR="00DD75C3">
        <w:rPr>
          <w:rFonts w:eastAsia="Calibri"/>
        </w:rPr>
        <w:t xml:space="preserve">are set forth </w:t>
      </w:r>
      <w:r w:rsidRPr="00A849A6">
        <w:rPr>
          <w:rFonts w:eastAsia="Calibri"/>
        </w:rPr>
        <w:t>in 21 CFR part</w:t>
      </w:r>
      <w:r>
        <w:rPr>
          <w:rFonts w:eastAsia="Calibri"/>
        </w:rPr>
        <w:t xml:space="preserve"> </w:t>
      </w:r>
      <w:r w:rsidRPr="00A849A6">
        <w:rPr>
          <w:rFonts w:eastAsia="Calibri"/>
        </w:rPr>
        <w:t xml:space="preserve">170 for human food and 21 CFR part 570 for animal food. </w:t>
      </w:r>
      <w:r>
        <w:rPr>
          <w:rFonts w:eastAsia="Calibri"/>
        </w:rPr>
        <w:t xml:space="preserve"> </w:t>
      </w:r>
      <w:r w:rsidRPr="00A849A6">
        <w:rPr>
          <w:rFonts w:eastAsia="Calibri"/>
        </w:rPr>
        <w:t>Part 170, subpart E and part 570, subpart E provide a</w:t>
      </w:r>
      <w:r>
        <w:rPr>
          <w:rFonts w:eastAsia="Calibri"/>
        </w:rPr>
        <w:t xml:space="preserve"> </w:t>
      </w:r>
      <w:r w:rsidRPr="00A849A6">
        <w:rPr>
          <w:rFonts w:eastAsia="Calibri"/>
        </w:rPr>
        <w:t xml:space="preserve">standard format for the submission of a notice. </w:t>
      </w:r>
      <w:r>
        <w:rPr>
          <w:rFonts w:eastAsia="Calibri"/>
        </w:rPr>
        <w:t xml:space="preserve"> </w:t>
      </w:r>
      <w:r w:rsidRPr="00A95FE2" w:rsidR="00A95FE2">
        <w:rPr>
          <w:rFonts w:eastAsia="Calibri"/>
        </w:rPr>
        <w:t>This collection utilizes a</w:t>
      </w:r>
      <w:r w:rsidR="00524469">
        <w:rPr>
          <w:rFonts w:eastAsia="Calibri"/>
        </w:rPr>
        <w:t xml:space="preserve"> voluntary</w:t>
      </w:r>
      <w:r w:rsidRPr="00A95FE2" w:rsidR="00A95FE2">
        <w:rPr>
          <w:rFonts w:eastAsia="Calibri"/>
        </w:rPr>
        <w:t xml:space="preserve"> administrative procedure for a proponent to notify FDA about a conclusion that a substance is GRAS under the conditions of its intended use in human food or animal food.  </w:t>
      </w:r>
      <w:r w:rsidRPr="00A849A6">
        <w:rPr>
          <w:rFonts w:eastAsia="Calibri"/>
        </w:rPr>
        <w:t>The information submitted to us</w:t>
      </w:r>
      <w:r>
        <w:rPr>
          <w:rFonts w:eastAsia="Calibri"/>
        </w:rPr>
        <w:t xml:space="preserve"> </w:t>
      </w:r>
      <w:r w:rsidRPr="00A849A6">
        <w:rPr>
          <w:rFonts w:eastAsia="Calibri"/>
        </w:rPr>
        <w:t xml:space="preserve">in a GRAS </w:t>
      </w:r>
      <w:r>
        <w:rPr>
          <w:rFonts w:eastAsia="Calibri"/>
        </w:rPr>
        <w:t>n</w:t>
      </w:r>
      <w:r w:rsidRPr="00A849A6">
        <w:rPr>
          <w:rFonts w:eastAsia="Calibri"/>
        </w:rPr>
        <w:t xml:space="preserve">otice </w:t>
      </w:r>
      <w:r w:rsidRPr="00663D18" w:rsidR="00663D18">
        <w:rPr>
          <w:rFonts w:eastAsia="Calibri"/>
        </w:rPr>
        <w:t xml:space="preserve">by a proponent </w:t>
      </w:r>
      <w:r w:rsidRPr="00A849A6">
        <w:rPr>
          <w:rFonts w:eastAsia="Calibri"/>
        </w:rPr>
        <w:t>is necessary to allow us to administer efficiently the FD&amp;C Act’s</w:t>
      </w:r>
      <w:r>
        <w:rPr>
          <w:rFonts w:eastAsia="Calibri"/>
        </w:rPr>
        <w:t xml:space="preserve"> </w:t>
      </w:r>
      <w:r w:rsidRPr="00A849A6">
        <w:rPr>
          <w:rFonts w:eastAsia="Calibri"/>
        </w:rPr>
        <w:t>various provisions that apply to the use of substances added to food, specifically with</w:t>
      </w:r>
      <w:r>
        <w:rPr>
          <w:rFonts w:eastAsia="Calibri"/>
        </w:rPr>
        <w:t xml:space="preserve"> </w:t>
      </w:r>
      <w:r w:rsidRPr="00A849A6">
        <w:rPr>
          <w:rFonts w:eastAsia="Calibri"/>
        </w:rPr>
        <w:t>regard to whether a substance is GRAS under the conditions of its intended use or is a</w:t>
      </w:r>
      <w:r>
        <w:rPr>
          <w:rFonts w:eastAsia="Calibri"/>
        </w:rPr>
        <w:t xml:space="preserve"> </w:t>
      </w:r>
      <w:r w:rsidRPr="00A849A6">
        <w:rPr>
          <w:rFonts w:eastAsia="Calibri"/>
        </w:rPr>
        <w:t xml:space="preserve">food additive subject to premarket review. </w:t>
      </w:r>
      <w:r>
        <w:rPr>
          <w:rFonts w:eastAsia="Calibri"/>
        </w:rPr>
        <w:t xml:space="preserve"> </w:t>
      </w:r>
    </w:p>
    <w:p w:rsidR="001E112A" w:rsidP="001A0785" w14:paraId="202B90DC" w14:textId="77777777">
      <w:pPr>
        <w:rPr>
          <w:rFonts w:eastAsia="Calibri"/>
        </w:rPr>
      </w:pPr>
    </w:p>
    <w:p w:rsidR="00780464" w:rsidP="001A0785" w14:paraId="413AC5EE" w14:textId="692088C3">
      <w:pPr>
        <w:rPr>
          <w:rFonts w:eastAsia="Calibri"/>
        </w:rPr>
      </w:pPr>
      <w:r w:rsidRPr="00A849A6">
        <w:rPr>
          <w:rFonts w:eastAsia="Calibri"/>
        </w:rPr>
        <w:t>Food additives that are not determined to be</w:t>
      </w:r>
      <w:r>
        <w:rPr>
          <w:rFonts w:eastAsia="Calibri"/>
        </w:rPr>
        <w:t xml:space="preserve"> </w:t>
      </w:r>
      <w:r w:rsidRPr="00A849A6">
        <w:rPr>
          <w:rFonts w:eastAsia="Calibri"/>
        </w:rPr>
        <w:t>GRAS must obtain premarket approval.</w:t>
      </w:r>
      <w:r>
        <w:rPr>
          <w:rFonts w:eastAsia="Calibri"/>
        </w:rPr>
        <w:t xml:space="preserve"> </w:t>
      </w:r>
      <w:r w:rsidRPr="00A849A6">
        <w:rPr>
          <w:rFonts w:eastAsia="Calibri"/>
        </w:rPr>
        <w:t xml:space="preserve"> The clarified criteria for GRAS status helps</w:t>
      </w:r>
      <w:r>
        <w:rPr>
          <w:rFonts w:eastAsia="Calibri"/>
        </w:rPr>
        <w:t xml:space="preserve"> </w:t>
      </w:r>
      <w:r w:rsidRPr="00A849A6">
        <w:rPr>
          <w:rFonts w:eastAsia="Calibri"/>
        </w:rPr>
        <w:t>stakeholders draw more informed conclusions about whether the intended conditions of</w:t>
      </w:r>
      <w:r>
        <w:rPr>
          <w:rFonts w:eastAsia="Calibri"/>
        </w:rPr>
        <w:t xml:space="preserve"> </w:t>
      </w:r>
      <w:r w:rsidRPr="00A849A6">
        <w:rPr>
          <w:rFonts w:eastAsia="Calibri"/>
        </w:rPr>
        <w:t>use of a substance in food for humans or animals complies with the FD&amp;C Act, and the</w:t>
      </w:r>
      <w:r>
        <w:rPr>
          <w:rFonts w:eastAsia="Calibri"/>
        </w:rPr>
        <w:t xml:space="preserve"> </w:t>
      </w:r>
      <w:r w:rsidRPr="00A849A6">
        <w:rPr>
          <w:rFonts w:eastAsia="Calibri"/>
        </w:rPr>
        <w:t>notification procedure enables stakeholders to be aware of whether we have questioned</w:t>
      </w:r>
      <w:r>
        <w:rPr>
          <w:rFonts w:eastAsia="Calibri"/>
        </w:rPr>
        <w:t xml:space="preserve"> </w:t>
      </w:r>
      <w:r w:rsidRPr="00A849A6">
        <w:rPr>
          <w:rFonts w:eastAsia="Calibri"/>
        </w:rPr>
        <w:t>the basis of a conclusion of GRAS status.</w:t>
      </w:r>
      <w:r w:rsidR="00663D18">
        <w:rPr>
          <w:rFonts w:eastAsia="Calibri"/>
        </w:rPr>
        <w:t xml:space="preserve"> </w:t>
      </w:r>
    </w:p>
    <w:p w:rsidR="00780464" w:rsidRPr="00A849A6" w:rsidP="001A0785" w14:paraId="06C81CF2" w14:textId="77777777">
      <w:pPr>
        <w:rPr>
          <w:rFonts w:eastAsia="Calibri"/>
        </w:rPr>
      </w:pPr>
    </w:p>
    <w:p w:rsidR="00780464" w:rsidP="001A0785" w14:paraId="460B2F74" w14:textId="77777777">
      <w:pPr>
        <w:rPr>
          <w:rFonts w:eastAsia="Calibri"/>
        </w:rPr>
      </w:pPr>
      <w:r w:rsidRPr="00A849A6">
        <w:rPr>
          <w:rFonts w:eastAsia="Calibri"/>
        </w:rPr>
        <w:t>As set forth in the regulations, a GRAS notice must include the following:</w:t>
      </w:r>
    </w:p>
    <w:p w:rsidR="00780464" w:rsidP="001A0785" w14:paraId="3628502E" w14:textId="77777777">
      <w:pPr>
        <w:rPr>
          <w:rFonts w:eastAsia="Calibri"/>
        </w:rPr>
      </w:pPr>
    </w:p>
    <w:p w:rsidR="00780464" w:rsidP="001A0785" w14:paraId="4398C2C9" w14:textId="77777777">
      <w:pPr>
        <w:numPr>
          <w:ilvl w:val="0"/>
          <w:numId w:val="9"/>
        </w:numPr>
        <w:rPr>
          <w:rFonts w:eastAsia="Calibri"/>
        </w:rPr>
      </w:pPr>
      <w:r>
        <w:rPr>
          <w:rFonts w:eastAsia="Calibri"/>
        </w:rPr>
        <w:t>s</w:t>
      </w:r>
      <w:r w:rsidRPr="008D6922">
        <w:rPr>
          <w:rFonts w:eastAsia="Calibri"/>
        </w:rPr>
        <w:t>igned statements and a certification;</w:t>
      </w:r>
    </w:p>
    <w:p w:rsidR="00780464" w:rsidP="001A0785" w14:paraId="56757D33" w14:textId="77777777">
      <w:pPr>
        <w:numPr>
          <w:ilvl w:val="0"/>
          <w:numId w:val="9"/>
        </w:numPr>
        <w:rPr>
          <w:rFonts w:eastAsia="Calibri"/>
        </w:rPr>
      </w:pPr>
      <w:r w:rsidRPr="00FF6725">
        <w:rPr>
          <w:rFonts w:eastAsia="Calibri"/>
        </w:rPr>
        <w:t>the identity, method of manufacture, specifications, and physical or technical effect of the notified substance;</w:t>
      </w:r>
    </w:p>
    <w:p w:rsidR="00780464" w:rsidP="001A0785" w14:paraId="7450E1BE" w14:textId="77777777">
      <w:pPr>
        <w:numPr>
          <w:ilvl w:val="0"/>
          <w:numId w:val="9"/>
        </w:numPr>
        <w:rPr>
          <w:rFonts w:eastAsia="Calibri"/>
        </w:rPr>
      </w:pPr>
      <w:r w:rsidRPr="00FF6725">
        <w:rPr>
          <w:rFonts w:eastAsia="Calibri"/>
        </w:rPr>
        <w:t>dietary exposure to the notified substance;</w:t>
      </w:r>
    </w:p>
    <w:p w:rsidR="00780464" w:rsidP="001A0785" w14:paraId="5DF13C85" w14:textId="77777777">
      <w:pPr>
        <w:numPr>
          <w:ilvl w:val="0"/>
          <w:numId w:val="9"/>
        </w:numPr>
        <w:rPr>
          <w:rFonts w:eastAsia="Calibri"/>
        </w:rPr>
      </w:pPr>
      <w:r w:rsidRPr="00FF6725">
        <w:rPr>
          <w:rFonts w:eastAsia="Calibri"/>
        </w:rPr>
        <w:t>self-limiting levels of use in circumstances where the amount of the notified substance that can be added to human food or animal food is limited because the food containing levels of the notified substance above a particular level would become unpalatable or technologically impractical;</w:t>
      </w:r>
    </w:p>
    <w:p w:rsidR="00780464" w:rsidP="001A0785" w14:paraId="0AAB95F5" w14:textId="77777777">
      <w:pPr>
        <w:numPr>
          <w:ilvl w:val="0"/>
          <w:numId w:val="9"/>
        </w:numPr>
        <w:rPr>
          <w:rFonts w:eastAsia="Calibri"/>
        </w:rPr>
      </w:pPr>
      <w:r w:rsidRPr="00FF6725">
        <w:rPr>
          <w:rFonts w:eastAsia="Calibri"/>
        </w:rPr>
        <w:t>the history of consumption of the substance for food use by a significant number of consumers (or animals in the case of animal food) prior to January 1, 1958, if a conclusion of GRAS status is based on common use of the substance in food prior to 1958;</w:t>
      </w:r>
    </w:p>
    <w:p w:rsidR="00780464" w:rsidP="001A0785" w14:paraId="73A49119" w14:textId="77777777">
      <w:pPr>
        <w:numPr>
          <w:ilvl w:val="0"/>
          <w:numId w:val="9"/>
        </w:numPr>
        <w:rPr>
          <w:rFonts w:eastAsia="Calibri"/>
        </w:rPr>
      </w:pPr>
      <w:r w:rsidRPr="00FF6725">
        <w:rPr>
          <w:rFonts w:eastAsia="Calibri"/>
        </w:rPr>
        <w:t>a narrative that provides the basis for the notifier’s conclusion of GRAS status, including why the scientific data, information, methods, and principles described in the notice provide a basis for the conclusion that the notified substance is generally recognized, among qualified experts, to be safe under the conditions of its intended use; and</w:t>
      </w:r>
    </w:p>
    <w:p w:rsidR="00780464" w:rsidRPr="00FF6725" w:rsidP="001A0785" w14:paraId="0B5F55A9" w14:textId="77777777">
      <w:pPr>
        <w:numPr>
          <w:ilvl w:val="0"/>
          <w:numId w:val="9"/>
        </w:numPr>
        <w:rPr>
          <w:rFonts w:eastAsia="Calibri"/>
        </w:rPr>
      </w:pPr>
      <w:r w:rsidRPr="00FF6725">
        <w:rPr>
          <w:rFonts w:eastAsia="Calibri"/>
        </w:rPr>
        <w:t>a list of the generally available data, information, and methods the notifier cites in the GRAS notice.</w:t>
      </w:r>
    </w:p>
    <w:p w:rsidR="00A846F4" w:rsidP="001A0785" w14:paraId="06D2A256" w14:textId="5EE7DCB5">
      <w:pPr>
        <w:rPr>
          <w:rFonts w:eastAsia="Calibri"/>
        </w:rPr>
      </w:pPr>
    </w:p>
    <w:p w:rsidR="007B7D8B" w:rsidP="001A0785" w14:paraId="3E809BDB" w14:textId="320CC9FB">
      <w:r w:rsidRPr="009740DD">
        <w:t>To support a GRAS conclusion, a proponent may convene a panel of qualified experts to provide evidence that generally available safety data and information about the intended use of the substance in food are generally accepted among experts, which is one of the criteria for eligibility for GRAS status (81 FR 54960 at 54975; August 17, 2016).  FDA issued a guidance entitled, “</w:t>
      </w:r>
      <w:r w:rsidRPr="0030612C">
        <w:rPr>
          <w:i/>
          <w:iCs/>
        </w:rPr>
        <w:t>Best Practices for Convening a Generally Recognized as Safe Panel</w:t>
      </w:r>
      <w:r w:rsidRPr="009740DD">
        <w:t>,” (December 2022) (</w:t>
      </w:r>
      <w:hyperlink r:id="rId5" w:history="1">
        <w:r w:rsidRPr="009740DD">
          <w:rPr>
            <w:color w:val="0000FF"/>
            <w:u w:val="single"/>
          </w:rPr>
          <w:t>https://www.fda.gov/media/109006/download</w:t>
        </w:r>
      </w:hyperlink>
      <w:r w:rsidRPr="009740DD">
        <w:t>) to assist persons who choose to convene a panel of experts in support of a conclusion that the use of a substance in food is GRAS.  The guidance recommends specific content elements pertaining to recordkeeping and third-party disclosure.  The guidance explains a recordkeeping recommendation for proponents to develop a written GRAS panel policy record describing how it will convene a panel.  The proponent creates the written policy to fit its needs.  The guidance discusses a third-party disclosure recommendation for prospective panel members to provide vetting information to proponents, to ascertain expertise and reduce risk of bias.  The guidance recommend</w:t>
      </w:r>
      <w:r w:rsidR="0030612C">
        <w:t xml:space="preserve">s </w:t>
      </w:r>
      <w:r w:rsidRPr="009740DD">
        <w:t>proponents document the application of the GRAS panel policy to each GRAS panel member as part of the vetting process</w:t>
      </w:r>
      <w:r w:rsidR="00826FB9">
        <w:t>, although r</w:t>
      </w:r>
      <w:r w:rsidRPr="009740DD">
        <w:t>espondents do not submit to FDA the recordkeeping or third-party disclosure information.  The collections of information in the guidance are currently approved under OMB control number 0910-0911.  Upon approval of the requested revision, we plan to discontinue OMB control number 0910-0911.</w:t>
      </w:r>
    </w:p>
    <w:p w:rsidR="009740DD" w:rsidRPr="007B7D8B" w:rsidP="001A0785" w14:paraId="5D2FA8EA" w14:textId="77777777">
      <w:pPr>
        <w:rPr>
          <w:rFonts w:eastAsia="Calibri"/>
        </w:rPr>
      </w:pPr>
    </w:p>
    <w:p w:rsidR="008E51B5" w:rsidP="001A0785" w14:paraId="0F95F5AD" w14:textId="582413B9">
      <w:pPr>
        <w:rPr>
          <w:rFonts w:eastAsia="Calibri"/>
        </w:rPr>
      </w:pPr>
      <w:r w:rsidRPr="007B7D8B">
        <w:rPr>
          <w:rFonts w:eastAsia="Calibri"/>
        </w:rPr>
        <w:t xml:space="preserve">To assist respondents with </w:t>
      </w:r>
      <w:r w:rsidRPr="00933684" w:rsidR="00933684">
        <w:rPr>
          <w:rFonts w:eastAsia="Calibri"/>
        </w:rPr>
        <w:t xml:space="preserve">submissions to the </w:t>
      </w:r>
      <w:r w:rsidRPr="00501C65" w:rsidR="00501C65">
        <w:rPr>
          <w:rFonts w:eastAsia="Calibri"/>
        </w:rPr>
        <w:t>Human Foods Program</w:t>
      </w:r>
      <w:r w:rsidR="00173BD6">
        <w:rPr>
          <w:rFonts w:eastAsia="Calibri"/>
        </w:rPr>
        <w:t xml:space="preserve"> (HFP)</w:t>
      </w:r>
      <w:r w:rsidR="00501C65">
        <w:rPr>
          <w:rFonts w:eastAsia="Calibri"/>
        </w:rPr>
        <w:t>,</w:t>
      </w:r>
      <w:r w:rsidRPr="007B7D8B">
        <w:rPr>
          <w:rFonts w:eastAsia="Calibri"/>
        </w:rPr>
        <w:t xml:space="preserve"> we </w:t>
      </w:r>
      <w:r w:rsidR="00501C65">
        <w:rPr>
          <w:rFonts w:eastAsia="Calibri"/>
        </w:rPr>
        <w:t>offer</w:t>
      </w:r>
      <w:r w:rsidRPr="007B7D8B" w:rsidR="00501C65">
        <w:rPr>
          <w:rFonts w:eastAsia="Calibri"/>
        </w:rPr>
        <w:t xml:space="preserve"> </w:t>
      </w:r>
      <w:r w:rsidRPr="007B7D8B">
        <w:rPr>
          <w:rFonts w:eastAsia="Calibri"/>
        </w:rPr>
        <w:t>Form FDA 3667 entitled, “</w:t>
      </w:r>
      <w:r w:rsidRPr="007B7D8B">
        <w:rPr>
          <w:rFonts w:eastAsia="Calibri"/>
          <w:i/>
          <w:iCs/>
        </w:rPr>
        <w:t>Generally Recognized as Safe (GRAS) Notice</w:t>
      </w:r>
      <w:r w:rsidRPr="007B7D8B">
        <w:rPr>
          <w:rFonts w:eastAsia="Calibri"/>
        </w:rPr>
        <w:t>”</w:t>
      </w:r>
      <w:r w:rsidRPr="009F6CA5" w:rsidR="009F6CA5">
        <w:t xml:space="preserve"> (</w:t>
      </w:r>
      <w:hyperlink r:id="rId6" w:history="1">
        <w:r w:rsidRPr="009F6CA5" w:rsidR="009F6CA5">
          <w:rPr>
            <w:color w:val="0000FF"/>
            <w:u w:val="single"/>
          </w:rPr>
          <w:t>https://www.fda.gov/media/85886/download</w:t>
        </w:r>
      </w:hyperlink>
      <w:r w:rsidRPr="009F6CA5" w:rsidR="009F6CA5">
        <w:t>)</w:t>
      </w:r>
      <w:r w:rsidRPr="007B7D8B">
        <w:rPr>
          <w:rFonts w:eastAsia="Calibri"/>
        </w:rPr>
        <w:t xml:space="preserve">.  </w:t>
      </w:r>
      <w:r w:rsidRPr="008E51B5">
        <w:rPr>
          <w:rFonts w:eastAsia="Calibri"/>
        </w:rPr>
        <w:t>The form, and elements prepared as attachments to the form, may be submitted in electronic format via the Centralized Online Submission Module</w:t>
      </w:r>
      <w:r w:rsidR="000F5E29">
        <w:rPr>
          <w:rFonts w:eastAsia="Calibri"/>
        </w:rPr>
        <w:t xml:space="preserve"> (COSM)</w:t>
      </w:r>
      <w:r w:rsidRPr="008E51B5">
        <w:rPr>
          <w:rFonts w:eastAsia="Calibri"/>
        </w:rPr>
        <w:t xml:space="preserve"> (</w:t>
      </w:r>
      <w:hyperlink r:id="rId7" w:history="1">
        <w:r w:rsidRPr="008E51B5">
          <w:rPr>
            <w:rStyle w:val="Hyperlink"/>
            <w:rFonts w:eastAsia="Calibri"/>
          </w:rPr>
          <w:t>https://www.fda.gov/food/registration-food-facilities-and-other-submissions/centralized-online-submission-module-cosm</w:t>
        </w:r>
      </w:hyperlink>
      <w:r w:rsidRPr="008E51B5">
        <w:rPr>
          <w:rFonts w:eastAsia="Calibri"/>
        </w:rPr>
        <w:t>), or may be submitted in paper format, or as electronic files on physical media with paper signature page.  While we do not expect Form FDA 3667 to reduce reporting time for respondents, use of the form helps to expedite our review of the information being submitted.  For submissions to the Center for Veterinary Medicine</w:t>
      </w:r>
      <w:r w:rsidR="00173BD6">
        <w:rPr>
          <w:rFonts w:eastAsia="Calibri"/>
        </w:rPr>
        <w:t xml:space="preserve"> (CVM)</w:t>
      </w:r>
      <w:r w:rsidRPr="008E51B5">
        <w:rPr>
          <w:rFonts w:eastAsia="Calibri"/>
        </w:rPr>
        <w:t xml:space="preserve">, respondents may continue to send GRAS notices in paper format, or as electronic files on physical media with paper signature page to </w:t>
      </w:r>
      <w:r w:rsidR="00395A21">
        <w:rPr>
          <w:rFonts w:eastAsia="Calibri"/>
        </w:rPr>
        <w:t>FDA</w:t>
      </w:r>
      <w:r w:rsidRPr="008E51B5">
        <w:rPr>
          <w:rFonts w:eastAsia="Calibri"/>
        </w:rPr>
        <w:t xml:space="preserve">, as instructed in the </w:t>
      </w:r>
      <w:r w:rsidRPr="008E51B5">
        <w:rPr>
          <w:rFonts w:eastAsia="Calibri"/>
          <w:i/>
          <w:iCs/>
        </w:rPr>
        <w:t>Federal Register</w:t>
      </w:r>
      <w:r w:rsidRPr="008E51B5">
        <w:rPr>
          <w:rFonts w:eastAsia="Calibri"/>
        </w:rPr>
        <w:t xml:space="preserve"> of June 4, 2010 (75 FR 31800).</w:t>
      </w:r>
    </w:p>
    <w:p w:rsidR="008E51B5" w:rsidRPr="008E51B5" w:rsidP="001A0785" w14:paraId="5C4CABC6" w14:textId="77777777">
      <w:pPr>
        <w:rPr>
          <w:rFonts w:eastAsia="Calibri"/>
        </w:rPr>
      </w:pPr>
    </w:p>
    <w:p w:rsidR="007B7D8B" w:rsidRPr="007B7D8B" w:rsidP="001A0785" w14:paraId="66E7F167" w14:textId="432D70B3">
      <w:pPr>
        <w:rPr>
          <w:rFonts w:eastAsia="Calibri"/>
        </w:rPr>
      </w:pPr>
      <w:r w:rsidRPr="007B7D8B">
        <w:rPr>
          <w:rFonts w:eastAsia="Calibri"/>
        </w:rPr>
        <w:t>We therefore request OMB approval for the information collection provisions found in parts 170 and 570 of our regulations</w:t>
      </w:r>
      <w:r w:rsidR="00504B82">
        <w:rPr>
          <w:rFonts w:eastAsia="Calibri"/>
        </w:rPr>
        <w:t xml:space="preserve">; </w:t>
      </w:r>
      <w:r w:rsidRPr="007B7D8B">
        <w:rPr>
          <w:rFonts w:eastAsia="Calibri"/>
        </w:rPr>
        <w:t>Form FDA 3667</w:t>
      </w:r>
      <w:r w:rsidR="00504B82">
        <w:rPr>
          <w:rFonts w:eastAsia="Calibri"/>
        </w:rPr>
        <w:t>;</w:t>
      </w:r>
      <w:r w:rsidR="00864239">
        <w:rPr>
          <w:rFonts w:eastAsia="Calibri"/>
        </w:rPr>
        <w:t xml:space="preserve"> and the </w:t>
      </w:r>
      <w:r w:rsidR="00ED6328">
        <w:rPr>
          <w:rFonts w:eastAsia="Calibri"/>
        </w:rPr>
        <w:t>associated guidance</w:t>
      </w:r>
      <w:r w:rsidRPr="007B7D8B">
        <w:rPr>
          <w:rFonts w:eastAsia="Calibri"/>
        </w:rPr>
        <w:t>, as discussed in this supporting statement.</w:t>
      </w:r>
    </w:p>
    <w:p w:rsidR="00357C8A" w:rsidRPr="00E4332F" w:rsidP="001A0785" w14:paraId="6EC6ACC0" w14:textId="7D04647E">
      <w:pPr>
        <w:rPr>
          <w:rFonts w:eastAsia="Calibri"/>
          <w:color w:val="000000" w:themeColor="text1"/>
        </w:rPr>
      </w:pPr>
    </w:p>
    <w:p w:rsidR="00F37E78" w14:paraId="733E9FC5" w14:textId="77777777">
      <w:pPr>
        <w:rPr>
          <w:rFonts w:eastAsia="Calibri"/>
          <w:u w:val="single"/>
        </w:rPr>
      </w:pPr>
      <w:r>
        <w:rPr>
          <w:rFonts w:eastAsia="Calibri"/>
          <w:u w:val="single"/>
        </w:rPr>
        <w:br w:type="page"/>
      </w:r>
    </w:p>
    <w:p w:rsidR="00357C8A" w:rsidRPr="00357C8A" w:rsidP="001A0785" w14:paraId="56DE239B" w14:textId="07A22A54">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E938BE" w:rsidP="001A0785" w14:paraId="128F441F" w14:textId="3C005EF9">
      <w:pPr>
        <w:autoSpaceDE w:val="0"/>
        <w:autoSpaceDN w:val="0"/>
        <w:adjustRightInd w:val="0"/>
        <w:rPr>
          <w:rFonts w:ascii="TimesNewRomanPSMT" w:hAnsi="TimesNewRomanPSMT" w:cs="TimesNewRomanPSMT"/>
        </w:rPr>
      </w:pPr>
      <w:r w:rsidRPr="00823B74">
        <w:rPr>
          <w:rFonts w:ascii="TimesNewRomanPSMT" w:hAnsi="TimesNewRomanPSMT" w:cs="TimesNewRomanPSMT"/>
        </w:rPr>
        <w:t xml:space="preserve">We use the information collected through the GRAS notification procedures to complete our evaluation within specific timelines. </w:t>
      </w:r>
      <w:r>
        <w:rPr>
          <w:rFonts w:ascii="TimesNewRomanPSMT" w:hAnsi="TimesNewRomanPSMT" w:cs="TimesNewRomanPSMT"/>
        </w:rPr>
        <w:t xml:space="preserve"> </w:t>
      </w:r>
      <w:r>
        <w:rPr>
          <w:rFonts w:ascii="TimesNewRomanPSMT" w:hAnsi="TimesNewRomanPSMT" w:cs="TimesNewRomanPSMT"/>
        </w:rPr>
        <w:t>The information submitted to FDA in a GRAS notice is necessary to allow us to administer efficiently the FD&amp;C Act’s various provisions that apply to the use of substances added to food, specifically regarding whether a substance is GRAS under the conditions of its intended use or is a food additive subject to premarket review.</w:t>
      </w:r>
    </w:p>
    <w:p w:rsidR="007A25FD" w:rsidP="001A0785" w14:paraId="279BBB47" w14:textId="77777777">
      <w:pPr>
        <w:autoSpaceDE w:val="0"/>
        <w:autoSpaceDN w:val="0"/>
        <w:adjustRightInd w:val="0"/>
        <w:rPr>
          <w:rFonts w:ascii="TimesNewRomanPSMT" w:hAnsi="TimesNewRomanPSMT" w:cs="TimesNewRomanPSMT"/>
        </w:rPr>
      </w:pPr>
    </w:p>
    <w:p w:rsidR="007A25FD" w:rsidP="001A0785" w14:paraId="05E2C695" w14:textId="060961E9">
      <w:pPr>
        <w:autoSpaceDE w:val="0"/>
        <w:autoSpaceDN w:val="0"/>
        <w:adjustRightInd w:val="0"/>
        <w:rPr>
          <w:rFonts w:ascii="TimesNewRomanPSMT" w:hAnsi="TimesNewRomanPSMT" w:cs="TimesNewRomanPSMT"/>
        </w:rPr>
      </w:pPr>
      <w:r w:rsidRPr="007A25FD">
        <w:rPr>
          <w:rFonts w:ascii="TimesNewRomanPSMT" w:hAnsi="TimesNewRomanPSMT" w:cs="TimesNewRomanPSMT"/>
        </w:rPr>
        <w:t xml:space="preserve">The </w:t>
      </w:r>
      <w:r w:rsidR="00556EBD">
        <w:rPr>
          <w:rFonts w:ascii="TimesNewRomanPSMT" w:hAnsi="TimesNewRomanPSMT" w:cs="TimesNewRomanPSMT"/>
        </w:rPr>
        <w:t xml:space="preserve">associated </w:t>
      </w:r>
      <w:r w:rsidRPr="007A25FD">
        <w:rPr>
          <w:rFonts w:ascii="TimesNewRomanPSMT" w:hAnsi="TimesNewRomanPSMT" w:cs="TimesNewRomanPSMT"/>
        </w:rPr>
        <w:t>guidance assist</w:t>
      </w:r>
      <w:r w:rsidR="00556EBD">
        <w:rPr>
          <w:rFonts w:ascii="TimesNewRomanPSMT" w:hAnsi="TimesNewRomanPSMT" w:cs="TimesNewRomanPSMT"/>
        </w:rPr>
        <w:t>s</w:t>
      </w:r>
      <w:r w:rsidRPr="007A25FD">
        <w:rPr>
          <w:rFonts w:ascii="TimesNewRomanPSMT" w:hAnsi="TimesNewRomanPSMT" w:cs="TimesNewRomanPSMT"/>
        </w:rPr>
        <w:t xml:space="preserve"> respondents convening a GRAS panel.  The information collection recommendations (establishment of a written GRAS panel policy, solicitation of information from prospective GRAS panel members about potential conflicts of interest and other sources of bias, and documentation of the application of the GRAS panel policy to each GRAS panel member) help</w:t>
      </w:r>
      <w:r w:rsidR="00556EBD">
        <w:rPr>
          <w:rFonts w:ascii="TimesNewRomanPSMT" w:hAnsi="TimesNewRomanPSMT" w:cs="TimesNewRomanPSMT"/>
        </w:rPr>
        <w:t>s</w:t>
      </w:r>
      <w:r w:rsidRPr="007A25FD">
        <w:rPr>
          <w:rFonts w:ascii="TimesNewRomanPSMT" w:hAnsi="TimesNewRomanPSMT" w:cs="TimesNewRomanPSMT"/>
        </w:rPr>
        <w:t xml:space="preserve"> respondent</w:t>
      </w:r>
      <w:r w:rsidR="00556EBD">
        <w:rPr>
          <w:rFonts w:ascii="TimesNewRomanPSMT" w:hAnsi="TimesNewRomanPSMT" w:cs="TimesNewRomanPSMT"/>
        </w:rPr>
        <w:t>s</w:t>
      </w:r>
      <w:r w:rsidRPr="007A25FD">
        <w:rPr>
          <w:rFonts w:ascii="TimesNewRomanPSMT" w:hAnsi="TimesNewRomanPSMT" w:cs="TimesNewRomanPSMT"/>
        </w:rPr>
        <w:t xml:space="preserve"> to identify GRAS panel members who have appropriate and balanced expertise and reduce the risk that bias (or the appearance of bias) will affect the credibility of the GRAS panel’s output.</w:t>
      </w:r>
    </w:p>
    <w:p w:rsidR="00E938BE" w:rsidP="001A0785" w14:paraId="1D350BC4" w14:textId="77777777">
      <w:pPr>
        <w:autoSpaceDE w:val="0"/>
        <w:autoSpaceDN w:val="0"/>
        <w:adjustRightInd w:val="0"/>
        <w:rPr>
          <w:i/>
          <w:iCs/>
        </w:rPr>
      </w:pPr>
    </w:p>
    <w:p w:rsidR="00357C8A" w:rsidRPr="00F4597B" w:rsidP="001A0785" w14:paraId="24B3B37A" w14:textId="414963C3">
      <w:pPr>
        <w:autoSpaceDE w:val="0"/>
        <w:autoSpaceDN w:val="0"/>
        <w:adjustRightInd w:val="0"/>
        <w:rPr>
          <w:rFonts w:ascii="TimesNewRomanPSMT" w:hAnsi="TimesNewRomanPSMT" w:cs="TimesNewRomanPSMT"/>
          <w:color w:val="000000" w:themeColor="text1"/>
        </w:rPr>
      </w:pPr>
      <w:r>
        <w:rPr>
          <w:i/>
          <w:iCs/>
        </w:rPr>
        <w:t>Description of Respondents</w:t>
      </w:r>
      <w:r>
        <w:rPr>
          <w:rFonts w:ascii="TimesNewRomanPSMT" w:hAnsi="TimesNewRomanPSMT" w:cs="TimesNewRomanPSMT"/>
        </w:rPr>
        <w:t xml:space="preserve">: </w:t>
      </w:r>
      <w:r w:rsidR="00ED6328">
        <w:rPr>
          <w:rFonts w:ascii="TimesNewRomanPSMT" w:hAnsi="TimesNewRomanPSMT" w:cs="TimesNewRomanPSMT"/>
        </w:rPr>
        <w:t xml:space="preserve"> </w:t>
      </w:r>
      <w:r>
        <w:rPr>
          <w:rFonts w:ascii="TimesNewRomanPSMT" w:hAnsi="TimesNewRomanPSMT" w:cs="TimesNewRomanPSMT"/>
        </w:rPr>
        <w:t>Respondents to the collection of information are manufacturers of substances used in human food and animal food.</w:t>
      </w:r>
      <w:r w:rsidRPr="0001446B">
        <w:t xml:space="preserve"> </w:t>
      </w:r>
      <w:r>
        <w:t xml:space="preserve"> </w:t>
      </w:r>
      <w:r w:rsidRPr="005B3A71" w:rsidR="005B3A71">
        <w:t xml:space="preserve">Respondents also include persons (“proponents”) who are responsible for a conclusion that a substance may be used in food on the basis of the GRAS provision of the FD&amp;C Act when such persons convene a GRAS panel to evaluate whether the available scientific data, information, and methods establish that the substance is safe under the conditions of its intended use in human food or animal food. </w:t>
      </w:r>
      <w:r w:rsidR="005B3A71">
        <w:t xml:space="preserve"> </w:t>
      </w:r>
      <w:r w:rsidRPr="0001446B">
        <w:rPr>
          <w:rFonts w:ascii="TimesNewRomanPSMT" w:hAnsi="TimesNewRomanPSMT" w:cs="TimesNewRomanPSMT"/>
        </w:rPr>
        <w:t>Respondents are from the private sector (for-profit businesses).</w:t>
      </w:r>
      <w:r w:rsidR="00F87A36">
        <w:rPr>
          <w:rFonts w:ascii="TimesNewRomanPSMT" w:hAnsi="TimesNewRomanPSMT" w:cs="TimesNewRomanPSMT"/>
        </w:rPr>
        <w:t xml:space="preserve">  </w:t>
      </w:r>
      <w:r w:rsidRPr="00F87A36" w:rsidR="00F87A36">
        <w:rPr>
          <w:rFonts w:ascii="TimesNewRomanPSMT" w:hAnsi="TimesNewRomanPSMT" w:cs="TimesNewRomanPSMT"/>
        </w:rPr>
        <w:t>Respondents would also include members and prospective members of GRAS panels.  The term “GRAS panel” is defined as a panel of individuals convened for the purpose of evaluating whether the available scientific data, information, and methods establish that a substance is safe under the conditions of its intended use in food.</w:t>
      </w:r>
    </w:p>
    <w:p w:rsidR="00F4597B" w:rsidRPr="00F4597B" w:rsidP="001A0785" w14:paraId="565C80D7" w14:textId="77777777">
      <w:pPr>
        <w:autoSpaceDE w:val="0"/>
        <w:autoSpaceDN w:val="0"/>
        <w:adjustRightInd w:val="0"/>
        <w:rPr>
          <w:rFonts w:eastAsia="Calibri"/>
          <w:color w:val="000000" w:themeColor="text1"/>
        </w:rPr>
      </w:pPr>
    </w:p>
    <w:p w:rsidR="00357C8A" w:rsidRPr="00357C8A" w:rsidP="001A0785" w14:paraId="1CF91707"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6F360D" w:rsidP="001A0785" w14:paraId="43DBFCA9" w14:textId="6979D10B">
      <w:pPr>
        <w:autoSpaceDE w:val="0"/>
        <w:autoSpaceDN w:val="0"/>
        <w:adjustRightInd w:val="0"/>
        <w:rPr>
          <w:rFonts w:ascii="TimesNewRomanPSMT" w:hAnsi="TimesNewRomanPSMT" w:cs="TimesNewRomanPSMT"/>
        </w:rPr>
      </w:pPr>
      <w:r w:rsidRPr="00356967">
        <w:t xml:space="preserve">The form, and elements prepared as attachments to the form, may be submitted in electronic format via </w:t>
      </w:r>
      <w:r w:rsidR="000F5E29">
        <w:t>COSM</w:t>
      </w:r>
      <w:r w:rsidRPr="00356967">
        <w:t xml:space="preserve"> (</w:t>
      </w:r>
      <w:hyperlink r:id="rId7" w:history="1">
        <w:r w:rsidRPr="0028570C" w:rsidR="0028570C">
          <w:rPr>
            <w:color w:val="0000FF"/>
            <w:u w:val="single"/>
          </w:rPr>
          <w:t>https://www.fda.gov/food/registration-food-facilities-and-other-submissions/centralized-online-submission-module-cosm</w:t>
        </w:r>
      </w:hyperlink>
      <w:r>
        <w:t>)</w:t>
      </w:r>
      <w:r w:rsidRPr="00356967">
        <w:t xml:space="preserve">, or may be submitted in paper format, or as electronic files on physical media with paper signature page. </w:t>
      </w:r>
      <w:r w:rsidR="007F5ECB">
        <w:t xml:space="preserve"> </w:t>
      </w:r>
      <w:r w:rsidRPr="00356967">
        <w:t xml:space="preserve">While we do not expect Form FDA 3667 to reduce reporting time for respondents, use of the form helps to expedite our review of the information being submitted. </w:t>
      </w:r>
      <w:r w:rsidRPr="00356967">
        <w:t xml:space="preserve"> </w:t>
      </w:r>
    </w:p>
    <w:p w:rsidR="006F360D" w:rsidP="001A0785" w14:paraId="6978CA04" w14:textId="77777777">
      <w:pPr>
        <w:autoSpaceDE w:val="0"/>
        <w:autoSpaceDN w:val="0"/>
        <w:adjustRightInd w:val="0"/>
        <w:rPr>
          <w:rFonts w:ascii="TimesNewRomanPSMT" w:hAnsi="TimesNewRomanPSMT" w:cs="TimesNewRomanPSMT"/>
        </w:rPr>
      </w:pPr>
    </w:p>
    <w:p w:rsidR="00357C8A" w:rsidP="001A0785" w14:paraId="4CE00986" w14:textId="6BED3CCF">
      <w:pPr>
        <w:autoSpaceDE w:val="0"/>
        <w:autoSpaceDN w:val="0"/>
        <w:adjustRightInd w:val="0"/>
        <w:rPr>
          <w:rFonts w:ascii="TimesNewRomanPSMT" w:hAnsi="TimesNewRomanPSMT" w:cs="TimesNewRomanPSMT"/>
        </w:rPr>
      </w:pPr>
      <w:r>
        <w:rPr>
          <w:rFonts w:ascii="TimesNewRomanPSMT" w:hAnsi="TimesNewRomanPSMT" w:cs="TimesNewRomanPSMT"/>
        </w:rPr>
        <w:t>We acknowledge that technology may not be available to every notifier and, thus, do not require the submission of an electronic copy.  Instead, a notifier may submit a GRAS notice either in an electronic format that is accessible for our evaluation or on paper (</w:t>
      </w:r>
      <w:bookmarkStart w:id="0" w:name="_Hlk103860852"/>
      <w:r>
        <w:rPr>
          <w:rFonts w:ascii="TimesNewRomanPSMT" w:hAnsi="TimesNewRomanPSMT" w:cs="TimesNewRomanPSMT"/>
        </w:rPr>
        <w:t xml:space="preserve">for </w:t>
      </w:r>
      <w:r w:rsidR="00A82387">
        <w:rPr>
          <w:rFonts w:ascii="TimesNewRomanPSMT" w:hAnsi="TimesNewRomanPSMT" w:cs="TimesNewRomanPSMT"/>
        </w:rPr>
        <w:t>HFP</w:t>
      </w:r>
      <w:r>
        <w:rPr>
          <w:rFonts w:ascii="TimesNewRomanPSMT" w:hAnsi="TimesNewRomanPSMT" w:cs="TimesNewRomanPSMT"/>
        </w:rPr>
        <w:t>, see § 170.210</w:t>
      </w:r>
      <w:bookmarkEnd w:id="0"/>
      <w:r>
        <w:rPr>
          <w:rFonts w:ascii="TimesNewRomanPSMT" w:hAnsi="TimesNewRomanPSMT" w:cs="TimesNewRomanPSMT"/>
        </w:rPr>
        <w:t xml:space="preserve">; </w:t>
      </w:r>
      <w:r w:rsidRPr="000E3F3C">
        <w:rPr>
          <w:rFonts w:ascii="TimesNewRomanPSMT" w:hAnsi="TimesNewRomanPSMT" w:cs="TimesNewRomanPSMT"/>
        </w:rPr>
        <w:t xml:space="preserve">for the </w:t>
      </w:r>
      <w:r w:rsidR="00A82387">
        <w:rPr>
          <w:rFonts w:ascii="TimesNewRomanPSMT" w:hAnsi="TimesNewRomanPSMT" w:cs="TimesNewRomanPSMT"/>
        </w:rPr>
        <w:t>CVM</w:t>
      </w:r>
      <w:r w:rsidRPr="000E3F3C">
        <w:rPr>
          <w:rFonts w:ascii="TimesNewRomanPSMT" w:hAnsi="TimesNewRomanPSMT" w:cs="TimesNewRomanPSMT"/>
        </w:rPr>
        <w:t xml:space="preserve">, see § </w:t>
      </w:r>
      <w:r>
        <w:rPr>
          <w:rFonts w:ascii="TimesNewRomanPSMT" w:hAnsi="TimesNewRomanPSMT" w:cs="TimesNewRomanPSMT"/>
        </w:rPr>
        <w:t>5</w:t>
      </w:r>
      <w:r w:rsidRPr="000E3F3C">
        <w:rPr>
          <w:rFonts w:ascii="TimesNewRomanPSMT" w:hAnsi="TimesNewRomanPSMT" w:cs="TimesNewRomanPSMT"/>
        </w:rPr>
        <w:t>70.210</w:t>
      </w:r>
      <w:r>
        <w:rPr>
          <w:rFonts w:ascii="TimesNewRomanPSMT" w:hAnsi="TimesNewRomanPSMT" w:cs="TimesNewRomanPSMT"/>
        </w:rPr>
        <w:t>).  Based on our review of past GRAS submissions, we estimate 70% of submissions will be made electronically, while 30% will continue to be submitted on paper.</w:t>
      </w:r>
    </w:p>
    <w:p w:rsidR="00FA4F26" w:rsidRPr="00FA4F26" w:rsidP="001A0785" w14:paraId="04AB1042" w14:textId="77777777">
      <w:pPr>
        <w:autoSpaceDE w:val="0"/>
        <w:autoSpaceDN w:val="0"/>
        <w:adjustRightInd w:val="0"/>
        <w:rPr>
          <w:rFonts w:eastAsia="Calibri"/>
          <w:color w:val="000000" w:themeColor="text1"/>
        </w:rPr>
      </w:pPr>
    </w:p>
    <w:p w:rsidR="00357C8A" w:rsidRPr="00357C8A" w:rsidP="001A0785" w14:paraId="49DA4055"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E83E71" w:rsidP="001A0785" w14:paraId="1C73EC9B" w14:textId="5E81548E">
      <w:pPr>
        <w:autoSpaceDE w:val="0"/>
        <w:autoSpaceDN w:val="0"/>
        <w:adjustRightInd w:val="0"/>
        <w:rPr>
          <w:rFonts w:ascii="TimesNewRomanPSMT" w:hAnsi="TimesNewRomanPSMT" w:cs="TimesNewRomanPSMT"/>
          <w:color w:val="000000" w:themeColor="text1"/>
        </w:rPr>
      </w:pPr>
      <w:r>
        <w:rPr>
          <w:rFonts w:ascii="TimesNewRomanPSMT" w:hAnsi="TimesNewRomanPSMT" w:cs="TimesNewRomanPSMT"/>
        </w:rPr>
        <w:t xml:space="preserve">We are unaware of duplicative information collection.  Under the Meat and Poultry Inspection Acts, the United States Department of Agriculture’s Food Safety and Inspection Service </w:t>
      </w:r>
      <w:r>
        <w:rPr>
          <w:rFonts w:ascii="TimesNewRomanPSMT" w:hAnsi="TimesNewRomanPSMT" w:cs="TimesNewRomanPSMT"/>
        </w:rPr>
        <w:t>(USDA/FSIS) has regulatory authority for meat and poultry.  FDA and USDA have signed a Memorandum of Understanding that provides for a coordinated evaluation process with FSIS when the intended conditions of use of a notified substance include use in a product or products subject to regulation by USDA under statutes that it administers (75 FR 81536 at 81541-81542).</w:t>
      </w:r>
    </w:p>
    <w:p w:rsidR="001470E7" w:rsidRPr="00E83E71" w:rsidP="001A0785" w14:paraId="11BD9867" w14:textId="77777777">
      <w:pPr>
        <w:autoSpaceDE w:val="0"/>
        <w:autoSpaceDN w:val="0"/>
        <w:adjustRightInd w:val="0"/>
        <w:rPr>
          <w:rFonts w:eastAsia="Calibri"/>
          <w:color w:val="000000" w:themeColor="text1"/>
        </w:rPr>
      </w:pPr>
    </w:p>
    <w:p w:rsidR="00357C8A" w:rsidRPr="00357C8A" w:rsidP="001A0785" w14:paraId="2648B7DF"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1A0785" w14:paraId="1FE80423" w14:textId="18B59C5E">
      <w:pPr>
        <w:autoSpaceDE w:val="0"/>
        <w:autoSpaceDN w:val="0"/>
        <w:adjustRightInd w:val="0"/>
        <w:rPr>
          <w:rFonts w:ascii="TimesNewRomanPSMT" w:hAnsi="TimesNewRomanPSMT" w:cs="TimesNewRomanPSMT"/>
          <w:color w:val="0563C1"/>
          <w:u w:val="single"/>
        </w:rPr>
      </w:pPr>
      <w:r>
        <w:rPr>
          <w:rFonts w:ascii="TimesNewRomanPSMT" w:hAnsi="TimesNewRomanPSMT" w:cs="TimesNewRomanPSMT"/>
          <w:color w:val="000000"/>
        </w:rPr>
        <w:t xml:space="preserve">We estimate ten percent (10%) of respondents are small businesses; however, the regulations do not pose an undue burden on small entities.  </w:t>
      </w:r>
      <w:r w:rsidRPr="000313DD">
        <w:rPr>
          <w:rFonts w:ascii="TimesNewRomanPSMT" w:hAnsi="TimesNewRomanPSMT" w:cs="TimesNewRomanPSMT"/>
          <w:color w:val="000000"/>
        </w:rPr>
        <w:t xml:space="preserve">We assist small businesses in complying with our requirements through Regional Small Business Representatives and through scientific and administrative staffs within the agency.  Assistance is also available for small businesses via the agency’s website at </w:t>
      </w:r>
      <w:hyperlink r:id="rId8" w:history="1">
        <w:r w:rsidRPr="000313DD">
          <w:rPr>
            <w:rFonts w:ascii="TimesNewRomanPSMT" w:hAnsi="TimesNewRomanPSMT" w:cs="TimesNewRomanPSMT"/>
            <w:color w:val="0563C1"/>
            <w:u w:val="single"/>
          </w:rPr>
          <w:t>https://www.fda.gov/industry/small-business-assistance.</w:t>
        </w:r>
      </w:hyperlink>
    </w:p>
    <w:p w:rsidR="00455553" w:rsidRPr="00357C8A" w:rsidP="001A0785" w14:paraId="4A06A6AF" w14:textId="77777777">
      <w:pPr>
        <w:autoSpaceDE w:val="0"/>
        <w:autoSpaceDN w:val="0"/>
        <w:adjustRightInd w:val="0"/>
        <w:rPr>
          <w:rFonts w:eastAsia="Calibri"/>
        </w:rPr>
      </w:pPr>
    </w:p>
    <w:p w:rsidR="00357C8A" w:rsidRPr="00357C8A" w:rsidP="001A0785" w14:paraId="22F37AA6"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1A0785" w14:paraId="4607E27F" w14:textId="26A21B96">
      <w:pPr>
        <w:autoSpaceDE w:val="0"/>
        <w:autoSpaceDN w:val="0"/>
        <w:adjustRightInd w:val="0"/>
        <w:rPr>
          <w:rFonts w:ascii="TimesNewRomanPSMT" w:hAnsi="TimesNewRomanPSMT" w:cs="TimesNewRomanPSMT"/>
        </w:rPr>
      </w:pPr>
      <w:r>
        <w:rPr>
          <w:rFonts w:ascii="TimesNewRomanPSMT" w:hAnsi="TimesNewRomanPSMT" w:cs="TimesNewRomanPSMT"/>
        </w:rPr>
        <w:t>GRAS notifications are submitted only once and enable us to determine whether the substance is GRAS under the conditions of its intended use or is a food additive subject to premarket review.  We use the information collected through the GRAS notification procedure to complete our evaluation within the timelines specified in the regulations associated with parts 170 and 570.</w:t>
      </w:r>
    </w:p>
    <w:p w:rsidR="00062A3B" w:rsidP="001A0785" w14:paraId="60CBEC3B" w14:textId="77777777">
      <w:pPr>
        <w:autoSpaceDE w:val="0"/>
        <w:autoSpaceDN w:val="0"/>
        <w:adjustRightInd w:val="0"/>
        <w:rPr>
          <w:rFonts w:ascii="TimesNewRomanPSMT" w:hAnsi="TimesNewRomanPSMT" w:cs="TimesNewRomanPSMT"/>
        </w:rPr>
      </w:pPr>
    </w:p>
    <w:p w:rsidR="00062A3B" w:rsidP="001A0785" w14:paraId="00B099A5" w14:textId="41B8AB3E">
      <w:pPr>
        <w:autoSpaceDE w:val="0"/>
        <w:autoSpaceDN w:val="0"/>
        <w:adjustRightInd w:val="0"/>
        <w:rPr>
          <w:rFonts w:ascii="TimesNewRomanPSMT" w:hAnsi="TimesNewRomanPSMT" w:cs="TimesNewRomanPSMT"/>
        </w:rPr>
      </w:pPr>
      <w:r>
        <w:rPr>
          <w:rFonts w:ascii="TimesNewRomanPSMT" w:hAnsi="TimesNewRomanPSMT" w:cs="TimesNewRomanPSMT"/>
        </w:rPr>
        <w:t xml:space="preserve">Regarding </w:t>
      </w:r>
      <w:r w:rsidR="00DB1F07">
        <w:rPr>
          <w:rFonts w:ascii="TimesNewRomanPSMT" w:hAnsi="TimesNewRomanPSMT" w:cs="TimesNewRomanPSMT"/>
        </w:rPr>
        <w:t xml:space="preserve">convening GRAS panels, </w:t>
      </w:r>
      <w:r w:rsidR="0019652E">
        <w:rPr>
          <w:rFonts w:ascii="TimesNewRomanPSMT" w:hAnsi="TimesNewRomanPSMT" w:cs="TimesNewRomanPSMT"/>
        </w:rPr>
        <w:t>d</w:t>
      </w:r>
      <w:r w:rsidRPr="0019652E" w:rsidR="0019652E">
        <w:rPr>
          <w:rFonts w:ascii="TimesNewRomanPSMT" w:hAnsi="TimesNewRomanPSMT" w:cs="TimesNewRomanPSMT"/>
        </w:rPr>
        <w:t>ata collection occurs intermittently, which includes a one-time collection of creating a written GRAS panel policy.  A firm or other GRAS proponent that decides to follow the recommendations in the guidance would create a written GRAS panel policy, gather information from prospective members of each GRAS panel the proponent convenes, and then keep records of the application of the policy to each GRAS panel.  If the collection is not conducted or is conducted less frequently, GRAS conclusions may lack evidence indicating the GRAS panel had appropriate, balanced expertise and was free of bias (or the appearance of bias) that could affect the credibility of the GRAS panel’s output</w:t>
      </w:r>
      <w:r w:rsidR="00CD05D4">
        <w:rPr>
          <w:rFonts w:ascii="TimesNewRomanPSMT" w:hAnsi="TimesNewRomanPSMT" w:cs="TimesNewRomanPSMT"/>
        </w:rPr>
        <w:t>.</w:t>
      </w:r>
    </w:p>
    <w:p w:rsidR="006064E2" w:rsidRPr="006064E2" w:rsidP="001A0785" w14:paraId="4D90598D" w14:textId="77777777">
      <w:pPr>
        <w:autoSpaceDE w:val="0"/>
        <w:autoSpaceDN w:val="0"/>
        <w:adjustRightInd w:val="0"/>
        <w:rPr>
          <w:rFonts w:eastAsia="Calibri"/>
          <w:color w:val="000000" w:themeColor="text1"/>
        </w:rPr>
      </w:pPr>
    </w:p>
    <w:p w:rsidR="00357C8A" w:rsidRPr="00357C8A" w:rsidP="001A0785" w14:paraId="37890A1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P="001A0785" w14:paraId="1F53DF2E" w14:textId="7C249BD1">
      <w:pPr>
        <w:autoSpaceDE w:val="0"/>
        <w:autoSpaceDN w:val="0"/>
        <w:adjustRightInd w:val="0"/>
        <w:rPr>
          <w:rFonts w:ascii="TimesNewRomanPSMT" w:hAnsi="TimesNewRomanPSMT" w:cs="TimesNewRomanPSMT"/>
        </w:rPr>
      </w:pPr>
      <w:r>
        <w:rPr>
          <w:rFonts w:ascii="TimesNewRomanPSMT" w:hAnsi="TimesNewRomanPSMT" w:cs="TimesNewRomanPSMT"/>
        </w:rPr>
        <w:t>The information collection requirements are consistent with 5 CFR 1320.5, excepting indefinite extended retention of GRAS notification records.  We believe this extended retention period is necessary because, under the regulations, notifiers submit a summary of information that provides the basis for a conclusion of GRAS status rather than the information itself.  Although the regulations in 21 CFR parts 170 and 570 do not specify any timeframe to retain the data and information that supports the conclusion of GRAS status, preservation of the data and information that are the basis for the conclusion of GRAS status represents prudent practice for those who claim an exclusion from a statutory requirement regardless of whether the person subsequently notifies FDA.</w:t>
      </w:r>
    </w:p>
    <w:p w:rsidR="006064E2" w:rsidRPr="00357C8A" w:rsidP="001A0785" w14:paraId="1285CE62" w14:textId="77777777">
      <w:pPr>
        <w:autoSpaceDE w:val="0"/>
        <w:autoSpaceDN w:val="0"/>
        <w:adjustRightInd w:val="0"/>
        <w:rPr>
          <w:rFonts w:eastAsia="Calibri"/>
        </w:rPr>
      </w:pPr>
    </w:p>
    <w:p w:rsidR="00357C8A" w:rsidRPr="00357C8A" w:rsidP="001A0785" w14:paraId="6FA5B99B"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AB5598" w:rsidP="001A0785" w14:paraId="690DE0B2" w14:textId="26407295">
      <w:pPr>
        <w:autoSpaceDE w:val="0"/>
        <w:autoSpaceDN w:val="0"/>
        <w:adjustRightInd w:val="0"/>
        <w:rPr>
          <w:rFonts w:ascii="TimesNewRomanPSMT" w:hAnsi="TimesNewRomanPSMT" w:cs="TimesNewRomanPSMT"/>
          <w:color w:val="000000" w:themeColor="text1"/>
        </w:rPr>
      </w:pPr>
      <w:bookmarkStart w:id="1" w:name="_Hlk103671224"/>
      <w:r>
        <w:rPr>
          <w:rFonts w:ascii="TimesNewRomanPSMT" w:hAnsi="TimesNewRomanPSMT" w:cs="TimesNewRomanPSMT"/>
        </w:rPr>
        <w:t xml:space="preserve">In accordance with 5 CFR 1320.8(d), we published a 60-day notice for public comment in the </w:t>
      </w:r>
      <w:r w:rsidRPr="002E79C3">
        <w:rPr>
          <w:rFonts w:ascii="TimesNewRomanPSMT" w:hAnsi="TimesNewRomanPSMT" w:cs="TimesNewRomanPSMT"/>
          <w:i/>
          <w:iCs/>
        </w:rPr>
        <w:t>Federal Register</w:t>
      </w:r>
      <w:r>
        <w:rPr>
          <w:rFonts w:ascii="TimesNewRomanPSMT" w:hAnsi="TimesNewRomanPSMT" w:cs="TimesNewRomanPSMT"/>
        </w:rPr>
        <w:t xml:space="preserve"> of </w:t>
      </w:r>
      <w:r w:rsidR="00A5663B">
        <w:rPr>
          <w:rFonts w:ascii="TimesNewRomanPSMT" w:hAnsi="TimesNewRomanPSMT" w:cs="TimesNewRomanPSMT"/>
        </w:rPr>
        <w:t>June 27</w:t>
      </w:r>
      <w:r>
        <w:rPr>
          <w:rFonts w:ascii="TimesNewRomanPSMT" w:hAnsi="TimesNewRomanPSMT" w:cs="TimesNewRomanPSMT"/>
        </w:rPr>
        <w:t>, 202</w:t>
      </w:r>
      <w:r w:rsidR="000C2E91">
        <w:rPr>
          <w:rFonts w:ascii="TimesNewRomanPSMT" w:hAnsi="TimesNewRomanPSMT" w:cs="TimesNewRomanPSMT"/>
        </w:rPr>
        <w:t>5</w:t>
      </w:r>
      <w:r>
        <w:rPr>
          <w:rFonts w:ascii="TimesNewRomanPSMT" w:hAnsi="TimesNewRomanPSMT" w:cs="TimesNewRomanPSMT"/>
        </w:rPr>
        <w:t xml:space="preserve"> (</w:t>
      </w:r>
      <w:r w:rsidR="000C2E91">
        <w:rPr>
          <w:rFonts w:ascii="TimesNewRomanPSMT" w:hAnsi="TimesNewRomanPSMT" w:cs="TimesNewRomanPSMT"/>
        </w:rPr>
        <w:t>90</w:t>
      </w:r>
      <w:r>
        <w:rPr>
          <w:rFonts w:ascii="TimesNewRomanPSMT" w:hAnsi="TimesNewRomanPSMT" w:cs="TimesNewRomanPSMT"/>
        </w:rPr>
        <w:t xml:space="preserve"> FR </w:t>
      </w:r>
      <w:r w:rsidR="008A4619">
        <w:rPr>
          <w:rFonts w:ascii="TimesNewRomanPSMT" w:hAnsi="TimesNewRomanPSMT" w:cs="TimesNewRomanPSMT"/>
        </w:rPr>
        <w:t>27642</w:t>
      </w:r>
      <w:r>
        <w:rPr>
          <w:rFonts w:ascii="TimesNewRomanPSMT" w:hAnsi="TimesNewRomanPSMT" w:cs="TimesNewRomanPSMT"/>
        </w:rPr>
        <w:t xml:space="preserve">).  </w:t>
      </w:r>
      <w:r w:rsidR="000C2E91">
        <w:rPr>
          <w:rFonts w:ascii="TimesNewRomanPSMT" w:hAnsi="TimesNewRomanPSMT" w:cs="TimesNewRomanPSMT"/>
        </w:rPr>
        <w:t xml:space="preserve">No </w:t>
      </w:r>
      <w:r>
        <w:rPr>
          <w:rFonts w:ascii="TimesNewRomanPSMT" w:hAnsi="TimesNewRomanPSMT" w:cs="TimesNewRomanPSMT"/>
        </w:rPr>
        <w:t>comment</w:t>
      </w:r>
      <w:r w:rsidR="000C2E91">
        <w:rPr>
          <w:rFonts w:ascii="TimesNewRomanPSMT" w:hAnsi="TimesNewRomanPSMT" w:cs="TimesNewRomanPSMT"/>
        </w:rPr>
        <w:t>s</w:t>
      </w:r>
      <w:r>
        <w:rPr>
          <w:rFonts w:ascii="TimesNewRomanPSMT" w:hAnsi="TimesNewRomanPSMT" w:cs="TimesNewRomanPSMT"/>
        </w:rPr>
        <w:t xml:space="preserve"> w</w:t>
      </w:r>
      <w:r w:rsidR="000C2E91">
        <w:rPr>
          <w:rFonts w:ascii="TimesNewRomanPSMT" w:hAnsi="TimesNewRomanPSMT" w:cs="TimesNewRomanPSMT"/>
        </w:rPr>
        <w:t>ere</w:t>
      </w:r>
      <w:r>
        <w:rPr>
          <w:rFonts w:ascii="TimesNewRomanPSMT" w:hAnsi="TimesNewRomanPSMT" w:cs="TimesNewRomanPSMT"/>
        </w:rPr>
        <w:t xml:space="preserve"> received.</w:t>
      </w:r>
      <w:bookmarkEnd w:id="1"/>
    </w:p>
    <w:p w:rsidR="00AB5598" w:rsidRPr="00AB5598" w:rsidP="001A0785" w14:paraId="3A989CF7" w14:textId="77777777">
      <w:pPr>
        <w:autoSpaceDE w:val="0"/>
        <w:autoSpaceDN w:val="0"/>
        <w:adjustRightInd w:val="0"/>
        <w:rPr>
          <w:rFonts w:eastAsia="Calibri"/>
          <w:color w:val="000000" w:themeColor="text1"/>
        </w:rPr>
      </w:pPr>
    </w:p>
    <w:p w:rsidR="00357C8A" w:rsidRPr="00357C8A" w:rsidP="001A0785" w14:paraId="5471FC75"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200A7B" w:rsidP="001A0785" w14:paraId="7045F71F" w14:textId="62DC4831">
      <w:pPr>
        <w:spacing w:after="200"/>
        <w:rPr>
          <w:rFonts w:eastAsia="Calibri"/>
          <w:color w:val="000000" w:themeColor="text1"/>
        </w:rPr>
      </w:pPr>
      <w:r w:rsidRPr="002074FE">
        <w:rPr>
          <w:rFonts w:eastAsia="Calibri"/>
        </w:rPr>
        <w:t>There are no incentives, payments or gifts associated with this information collection.</w:t>
      </w:r>
    </w:p>
    <w:p w:rsidR="00357C8A" w:rsidRPr="00357C8A" w:rsidP="001A0785" w14:paraId="47264F88"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E56176" w:rsidP="001A0785" w14:paraId="104675B2" w14:textId="388DEE82">
      <w:pPr>
        <w:rPr>
          <w:rFonts w:eastAsia="Calibri"/>
        </w:rPr>
      </w:pPr>
      <w:r w:rsidRPr="00A849A6">
        <w:rPr>
          <w:rFonts w:eastAsia="Calibri"/>
        </w:rPr>
        <w:t xml:space="preserve">In accordance with our public information regulations in </w:t>
      </w:r>
      <w:r w:rsidR="000A3E02">
        <w:rPr>
          <w:rFonts w:eastAsia="Calibri"/>
        </w:rPr>
        <w:t>21 CFR</w:t>
      </w:r>
      <w:r w:rsidRPr="00A849A6">
        <w:rPr>
          <w:rFonts w:eastAsia="Calibri"/>
        </w:rPr>
        <w:t xml:space="preserve"> 20.85 (Disclosure to other</w:t>
      </w:r>
      <w:r>
        <w:rPr>
          <w:rFonts w:eastAsia="Calibri"/>
        </w:rPr>
        <w:t xml:space="preserve"> </w:t>
      </w:r>
      <w:r w:rsidRPr="00A849A6">
        <w:rPr>
          <w:rFonts w:eastAsia="Calibri"/>
        </w:rPr>
        <w:t>Federal government departments and agencies), we can share confidential commercial</w:t>
      </w:r>
      <w:r>
        <w:rPr>
          <w:rFonts w:eastAsia="Calibri"/>
        </w:rPr>
        <w:t xml:space="preserve"> </w:t>
      </w:r>
      <w:r w:rsidRPr="00A849A6">
        <w:rPr>
          <w:rFonts w:eastAsia="Calibri"/>
        </w:rPr>
        <w:t>information with another Federal agency pursuant to a written agreement that the record</w:t>
      </w:r>
      <w:r>
        <w:rPr>
          <w:rFonts w:eastAsia="Calibri"/>
        </w:rPr>
        <w:t xml:space="preserve"> </w:t>
      </w:r>
      <w:r w:rsidRPr="00A849A6">
        <w:rPr>
          <w:rFonts w:eastAsia="Calibri"/>
        </w:rPr>
        <w:t xml:space="preserve">will not be further disclosed. </w:t>
      </w:r>
      <w:r>
        <w:rPr>
          <w:rFonts w:eastAsia="Calibri"/>
        </w:rPr>
        <w:t xml:space="preserve"> </w:t>
      </w:r>
      <w:r w:rsidRPr="00A849A6">
        <w:rPr>
          <w:rFonts w:eastAsia="Calibri"/>
        </w:rPr>
        <w:t>The MOU between FDA and USDA’s FSIS</w:t>
      </w:r>
      <w:r>
        <w:rPr>
          <w:rFonts w:eastAsia="Calibri"/>
        </w:rPr>
        <w:t xml:space="preserve"> </w:t>
      </w:r>
      <w:r w:rsidRPr="00A849A6">
        <w:rPr>
          <w:rFonts w:eastAsia="Calibri"/>
        </w:rPr>
        <w:t>provides for FDA to share with FSIS confidential commercial information in a</w:t>
      </w:r>
      <w:r>
        <w:rPr>
          <w:rFonts w:eastAsia="Calibri"/>
        </w:rPr>
        <w:t xml:space="preserve"> </w:t>
      </w:r>
      <w:r w:rsidRPr="00A849A6">
        <w:rPr>
          <w:rFonts w:eastAsia="Calibri"/>
        </w:rPr>
        <w:t xml:space="preserve">submission such as a GRAS notice. </w:t>
      </w:r>
      <w:r>
        <w:rPr>
          <w:rFonts w:eastAsia="Calibri"/>
        </w:rPr>
        <w:t xml:space="preserve"> </w:t>
      </w:r>
      <w:r w:rsidRPr="00A849A6">
        <w:rPr>
          <w:rFonts w:eastAsia="Calibri"/>
        </w:rPr>
        <w:t>We generally cannot share trade secret</w:t>
      </w:r>
      <w:r>
        <w:rPr>
          <w:rFonts w:eastAsia="Calibri"/>
        </w:rPr>
        <w:t xml:space="preserve"> </w:t>
      </w:r>
      <w:r w:rsidRPr="00A849A6">
        <w:rPr>
          <w:rFonts w:eastAsia="Calibri"/>
        </w:rPr>
        <w:t>information with other Federal agencies under section 301(j) of the FD&amp;C Act (21</w:t>
      </w:r>
      <w:r>
        <w:rPr>
          <w:rFonts w:eastAsia="Calibri"/>
        </w:rPr>
        <w:t xml:space="preserve"> </w:t>
      </w:r>
      <w:r w:rsidRPr="00A849A6">
        <w:rPr>
          <w:rFonts w:eastAsia="Calibri"/>
        </w:rPr>
        <w:t>U.S.C. 331(j)), and therefore we would need the notifier’s authorization to share this</w:t>
      </w:r>
      <w:r>
        <w:rPr>
          <w:rFonts w:eastAsia="Calibri"/>
        </w:rPr>
        <w:t xml:space="preserve"> </w:t>
      </w:r>
      <w:r w:rsidRPr="00A849A6">
        <w:rPr>
          <w:rFonts w:eastAsia="Calibri"/>
        </w:rPr>
        <w:t>information with FSIS.</w:t>
      </w:r>
    </w:p>
    <w:p w:rsidR="00E56176" w:rsidRPr="00A849A6" w:rsidP="001A0785" w14:paraId="7A1DF07F" w14:textId="77777777">
      <w:pPr>
        <w:rPr>
          <w:rFonts w:eastAsia="Calibri"/>
        </w:rPr>
      </w:pPr>
    </w:p>
    <w:p w:rsidR="00E56176" w:rsidP="001A0785" w14:paraId="69A0393C" w14:textId="77777777">
      <w:pPr>
        <w:rPr>
          <w:rFonts w:eastAsia="Calibri"/>
        </w:rPr>
      </w:pPr>
      <w:r w:rsidRPr="00A849A6">
        <w:rPr>
          <w:rFonts w:eastAsia="Calibri"/>
        </w:rPr>
        <w:t>For efficiency in administering the coordinated evaluation of a GRAS notice with FSIS,</w:t>
      </w:r>
      <w:r>
        <w:rPr>
          <w:rFonts w:eastAsia="Calibri"/>
        </w:rPr>
        <w:t xml:space="preserve"> </w:t>
      </w:r>
      <w:r w:rsidRPr="00A849A6">
        <w:rPr>
          <w:rFonts w:eastAsia="Calibri"/>
        </w:rPr>
        <w:t>we have added a requirement for a notifier who submits a GRAS notice that we would</w:t>
      </w:r>
      <w:r>
        <w:rPr>
          <w:rFonts w:eastAsia="Calibri"/>
        </w:rPr>
        <w:t xml:space="preserve"> </w:t>
      </w:r>
      <w:r w:rsidRPr="00A849A6">
        <w:rPr>
          <w:rFonts w:eastAsia="Calibri"/>
        </w:rPr>
        <w:t xml:space="preserve">send to FSIS to include in </w:t>
      </w:r>
      <w:r>
        <w:rPr>
          <w:rFonts w:eastAsia="Calibri"/>
        </w:rPr>
        <w:t>P</w:t>
      </w:r>
      <w:r w:rsidRPr="00A849A6">
        <w:rPr>
          <w:rFonts w:eastAsia="Calibri"/>
        </w:rPr>
        <w:t>art 1 of the GRAS notice a statement as to whether the</w:t>
      </w:r>
      <w:r>
        <w:rPr>
          <w:rFonts w:eastAsia="Calibri"/>
        </w:rPr>
        <w:t xml:space="preserve"> </w:t>
      </w:r>
      <w:r w:rsidRPr="00A849A6">
        <w:rPr>
          <w:rFonts w:eastAsia="Calibri"/>
        </w:rPr>
        <w:t>notifier: (1) Authorizes us to send any trade secrets to FSIS; or (2) asks us to exclude</w:t>
      </w:r>
      <w:r>
        <w:rPr>
          <w:rFonts w:eastAsia="Calibri"/>
        </w:rPr>
        <w:t xml:space="preserve"> </w:t>
      </w:r>
      <w:r w:rsidRPr="00A849A6">
        <w:rPr>
          <w:rFonts w:eastAsia="Calibri"/>
        </w:rPr>
        <w:t>any trade secrets from the copy of the GRAS notice that we will send to FSIS (see §</w:t>
      </w:r>
      <w:r>
        <w:rPr>
          <w:rFonts w:eastAsia="Calibri"/>
        </w:rPr>
        <w:t xml:space="preserve"> </w:t>
      </w:r>
      <w:r w:rsidRPr="00A849A6">
        <w:rPr>
          <w:rFonts w:eastAsia="Calibri"/>
        </w:rPr>
        <w:t xml:space="preserve">170.225(c)(11)). </w:t>
      </w:r>
      <w:r>
        <w:rPr>
          <w:rFonts w:eastAsia="Calibri"/>
        </w:rPr>
        <w:t xml:space="preserve"> </w:t>
      </w:r>
      <w:r w:rsidRPr="00A849A6">
        <w:rPr>
          <w:rFonts w:eastAsia="Calibri"/>
        </w:rPr>
        <w:t>Under the provisions that make the coordinated evaluation of a GRAS</w:t>
      </w:r>
      <w:r>
        <w:rPr>
          <w:rFonts w:eastAsia="Calibri"/>
        </w:rPr>
        <w:t xml:space="preserve"> </w:t>
      </w:r>
      <w:r w:rsidRPr="00A849A6">
        <w:rPr>
          <w:rFonts w:eastAsia="Calibri"/>
        </w:rPr>
        <w:t>notice with FSIS explicit, we will exclude any trade secrets unless the notifier has</w:t>
      </w:r>
      <w:r>
        <w:rPr>
          <w:rFonts w:eastAsia="Calibri"/>
        </w:rPr>
        <w:t xml:space="preserve"> </w:t>
      </w:r>
      <w:r w:rsidRPr="00A849A6">
        <w:rPr>
          <w:rFonts w:eastAsia="Calibri"/>
        </w:rPr>
        <w:t xml:space="preserve">authorized us to send trade secret information to FSIS (see § 170.270). </w:t>
      </w:r>
      <w:r>
        <w:rPr>
          <w:rFonts w:eastAsia="Calibri"/>
        </w:rPr>
        <w:t xml:space="preserve"> </w:t>
      </w:r>
      <w:r w:rsidRPr="00A849A6">
        <w:rPr>
          <w:rFonts w:eastAsia="Calibri"/>
        </w:rPr>
        <w:t>These</w:t>
      </w:r>
      <w:r>
        <w:rPr>
          <w:rFonts w:eastAsia="Calibri"/>
        </w:rPr>
        <w:t xml:space="preserve"> </w:t>
      </w:r>
      <w:r w:rsidRPr="00A849A6">
        <w:rPr>
          <w:rFonts w:eastAsia="Calibri"/>
        </w:rPr>
        <w:t>provisions enable us, with the notifier’s authorization, to share a GRAS notice that</w:t>
      </w:r>
      <w:r>
        <w:rPr>
          <w:rFonts w:eastAsia="Calibri"/>
        </w:rPr>
        <w:t xml:space="preserve"> </w:t>
      </w:r>
      <w:r w:rsidRPr="00A849A6">
        <w:rPr>
          <w:rFonts w:eastAsia="Calibri"/>
        </w:rPr>
        <w:t>includes trade secret information with FSIS without first redacting the GRAS notice to</w:t>
      </w:r>
      <w:r>
        <w:rPr>
          <w:rFonts w:eastAsia="Calibri"/>
        </w:rPr>
        <w:t xml:space="preserve"> </w:t>
      </w:r>
      <w:r w:rsidRPr="00A849A6">
        <w:rPr>
          <w:rFonts w:eastAsia="Calibri"/>
        </w:rPr>
        <w:t>remove the trade secret information and, thus, will reduce the time it takes for us to</w:t>
      </w:r>
      <w:r>
        <w:rPr>
          <w:rFonts w:eastAsia="Calibri"/>
        </w:rPr>
        <w:t xml:space="preserve"> </w:t>
      </w:r>
      <w:r w:rsidRPr="00A849A6">
        <w:rPr>
          <w:rFonts w:eastAsia="Calibri"/>
        </w:rPr>
        <w:t>provide FSIS with a copy of the GRAS notice.</w:t>
      </w:r>
    </w:p>
    <w:p w:rsidR="00E56176" w:rsidRPr="00A849A6" w:rsidP="001A0785" w14:paraId="42C0B1CD" w14:textId="77777777">
      <w:pPr>
        <w:rPr>
          <w:rFonts w:eastAsia="Calibri"/>
        </w:rPr>
      </w:pPr>
    </w:p>
    <w:p w:rsidR="00E56176" w:rsidP="001A0785" w14:paraId="7571DABD" w14:textId="77777777">
      <w:pPr>
        <w:rPr>
          <w:rFonts w:eastAsia="Calibri"/>
        </w:rPr>
      </w:pPr>
      <w:r w:rsidRPr="00A849A6">
        <w:rPr>
          <w:rFonts w:eastAsia="Calibri"/>
        </w:rPr>
        <w:t>These provisions also clarify the notifier’s expectations regarding whether we</w:t>
      </w:r>
      <w:r>
        <w:rPr>
          <w:rFonts w:eastAsia="Calibri"/>
        </w:rPr>
        <w:t xml:space="preserve"> </w:t>
      </w:r>
      <w:r w:rsidRPr="00A849A6">
        <w:rPr>
          <w:rFonts w:eastAsia="Calibri"/>
        </w:rPr>
        <w:t>should share trade secret information with FSIS and, thus, require us to redact the trade</w:t>
      </w:r>
      <w:r>
        <w:rPr>
          <w:rFonts w:eastAsia="Calibri"/>
        </w:rPr>
        <w:t xml:space="preserve"> </w:t>
      </w:r>
      <w:r w:rsidRPr="00A849A6">
        <w:rPr>
          <w:rFonts w:eastAsia="Calibri"/>
        </w:rPr>
        <w:t>secret information from the copy we send to FSIS when consistent with the notifier’s</w:t>
      </w:r>
      <w:r>
        <w:rPr>
          <w:rFonts w:eastAsia="Calibri"/>
        </w:rPr>
        <w:t xml:space="preserve"> </w:t>
      </w:r>
      <w:r w:rsidRPr="00A849A6">
        <w:rPr>
          <w:rFonts w:eastAsia="Calibri"/>
        </w:rPr>
        <w:t>express wishes.</w:t>
      </w:r>
      <w:r>
        <w:rPr>
          <w:rFonts w:eastAsia="Calibri"/>
        </w:rPr>
        <w:t xml:space="preserve"> </w:t>
      </w:r>
    </w:p>
    <w:p w:rsidR="00E56176" w:rsidRPr="00A849A6" w:rsidP="001A0785" w14:paraId="2BE179A0" w14:textId="77777777">
      <w:pPr>
        <w:rPr>
          <w:rFonts w:eastAsia="Calibri"/>
        </w:rPr>
      </w:pPr>
    </w:p>
    <w:p w:rsidR="00E56176" w:rsidRPr="00A849A6" w:rsidP="001A0785" w14:paraId="0403B76F" w14:textId="77777777">
      <w:pPr>
        <w:rPr>
          <w:rFonts w:eastAsia="Calibri"/>
          <w:i/>
          <w:iCs/>
        </w:rPr>
      </w:pPr>
      <w:bookmarkStart w:id="2" w:name="_Hlk199924610"/>
      <w:r w:rsidRPr="00A849A6">
        <w:rPr>
          <w:rFonts w:eastAsia="Calibri"/>
          <w:i/>
          <w:iCs/>
        </w:rPr>
        <w:t>Privacy Act</w:t>
      </w:r>
    </w:p>
    <w:bookmarkEnd w:id="2"/>
    <w:p w:rsidR="00E56176" w:rsidP="001A0785" w14:paraId="1DA0DBAB" w14:textId="77777777">
      <w:pPr>
        <w:rPr>
          <w:rFonts w:eastAsia="Calibri"/>
        </w:rPr>
      </w:pPr>
    </w:p>
    <w:p w:rsidR="00E56176" w:rsidRPr="00997361" w:rsidP="001A0785" w14:paraId="3F17E765" w14:textId="77777777">
      <w:pPr>
        <w:rPr>
          <w:rFonts w:eastAsia="Calibri"/>
        </w:rPr>
      </w:pPr>
      <w:r w:rsidRPr="00997361">
        <w:rPr>
          <w:rFonts w:eastAsia="Calibri"/>
        </w:rPr>
        <w:t xml:space="preserve">In preparing this </w:t>
      </w:r>
      <w:r>
        <w:rPr>
          <w:rFonts w:eastAsia="Calibri"/>
        </w:rPr>
        <w:t>s</w:t>
      </w:r>
      <w:r w:rsidRPr="00997361">
        <w:rPr>
          <w:rFonts w:eastAsia="Calibri"/>
        </w:rPr>
        <w:t xml:space="preserve">upporting </w:t>
      </w:r>
      <w:r>
        <w:rPr>
          <w:rFonts w:eastAsia="Calibri"/>
        </w:rPr>
        <w:t>s</w:t>
      </w:r>
      <w:r w:rsidRPr="00997361">
        <w:rPr>
          <w:rFonts w:eastAsia="Calibri"/>
        </w:rPr>
        <w:t>tatement, we consulted our Privacy Office to ensure appropriate identification and handling of information collected.</w:t>
      </w:r>
    </w:p>
    <w:p w:rsidR="00E56176" w:rsidRPr="00997361" w:rsidP="001A0785" w14:paraId="1314D0FB" w14:textId="77777777">
      <w:pPr>
        <w:rPr>
          <w:rFonts w:eastAsia="Calibri"/>
        </w:rPr>
      </w:pPr>
    </w:p>
    <w:p w:rsidR="00CB4485" w:rsidRPr="00CB4485" w:rsidP="001A0785" w14:paraId="1B70CBB1" w14:textId="4CE03234">
      <w:pPr>
        <w:rPr>
          <w:rFonts w:eastAsia="Calibri"/>
        </w:rPr>
      </w:pPr>
      <w:r w:rsidRPr="00CB4485">
        <w:rPr>
          <w:rFonts w:eastAsia="Calibri"/>
        </w:rPr>
        <w:t xml:space="preserve">Related to this </w:t>
      </w:r>
      <w:r w:rsidR="006248C5">
        <w:rPr>
          <w:rFonts w:eastAsia="Calibri"/>
        </w:rPr>
        <w:t>i</w:t>
      </w:r>
      <w:r w:rsidRPr="00CB4485">
        <w:rPr>
          <w:rFonts w:eastAsia="Calibri"/>
        </w:rPr>
        <w:t xml:space="preserve">nformation </w:t>
      </w:r>
      <w:r w:rsidR="006248C5">
        <w:rPr>
          <w:rFonts w:eastAsia="Calibri"/>
        </w:rPr>
        <w:t>c</w:t>
      </w:r>
      <w:r w:rsidRPr="00CB4485">
        <w:rPr>
          <w:rFonts w:eastAsia="Calibri"/>
        </w:rPr>
        <w:t xml:space="preserve">ollection </w:t>
      </w:r>
      <w:r w:rsidR="006248C5">
        <w:rPr>
          <w:rFonts w:eastAsia="Calibri"/>
        </w:rPr>
        <w:t>r</w:t>
      </w:r>
      <w:r w:rsidRPr="00CB4485">
        <w:rPr>
          <w:rFonts w:eastAsia="Calibri"/>
        </w:rPr>
        <w:t xml:space="preserve">equest (ICR), the Food Applications Regulatory Management (FARM) System stores information submitted by industry for GRAS submissions. Appian Tempo is the software product used to manage and track the safety review processes performed by the Office of Food Chemical Safety, Dietary Supplements, and Innovation (OFCSDSI)/Office of Premarket Additive Safety (OPMAS). </w:t>
      </w:r>
      <w:r w:rsidR="006248C5">
        <w:rPr>
          <w:rFonts w:eastAsia="Calibri"/>
        </w:rPr>
        <w:t xml:space="preserve"> </w:t>
      </w:r>
      <w:r w:rsidRPr="00CB4485">
        <w:rPr>
          <w:rFonts w:eastAsia="Calibri"/>
        </w:rPr>
        <w:t xml:space="preserve">FARM receives industry submissions by paper, or electronic media (CD-ROM or DVD) or electronically through the FDA Electronic Submissions Gateway (ESG), or the Centralized Online Submission Module (COSM) (the subject of a separate assessment). </w:t>
      </w:r>
      <w:r w:rsidR="007E70F6">
        <w:rPr>
          <w:rFonts w:eastAsia="Calibri"/>
        </w:rPr>
        <w:t xml:space="preserve"> </w:t>
      </w:r>
      <w:r w:rsidRPr="00CB4485">
        <w:rPr>
          <w:rFonts w:eastAsia="Calibri"/>
        </w:rPr>
        <w:t xml:space="preserve">Submitters provide their contact information as a practical requirement in order to communicate with FDA. </w:t>
      </w:r>
      <w:r w:rsidR="007E70F6">
        <w:rPr>
          <w:rFonts w:eastAsia="Calibri"/>
        </w:rPr>
        <w:t xml:space="preserve"> </w:t>
      </w:r>
      <w:r w:rsidRPr="00CB4485">
        <w:rPr>
          <w:rFonts w:eastAsia="Calibri"/>
        </w:rPr>
        <w:t xml:space="preserve">The submissions may contain </w:t>
      </w:r>
      <w:r w:rsidRPr="007E70F6" w:rsidR="007E70F6">
        <w:rPr>
          <w:rFonts w:eastAsia="Calibri"/>
        </w:rPr>
        <w:t>personally identifiable information (PII)</w:t>
      </w:r>
      <w:r w:rsidR="007E70F6">
        <w:rPr>
          <w:rFonts w:eastAsia="Calibri"/>
        </w:rPr>
        <w:t>,</w:t>
      </w:r>
      <w:r w:rsidRPr="00CB4485">
        <w:rPr>
          <w:rFonts w:eastAsia="Calibri"/>
        </w:rPr>
        <w:t xml:space="preserve"> which may include name of notifier (industry and/or citizen points of contact (POCs)) or its agent, and/or email address, mailing address, and/or phone number. </w:t>
      </w:r>
      <w:r w:rsidR="0046558A">
        <w:rPr>
          <w:rFonts w:eastAsia="Calibri"/>
        </w:rPr>
        <w:t xml:space="preserve"> </w:t>
      </w:r>
      <w:r w:rsidRPr="00CB4485">
        <w:rPr>
          <w:rFonts w:eastAsia="Calibri"/>
        </w:rPr>
        <w:t>PII is not shared with any other organization.</w:t>
      </w:r>
    </w:p>
    <w:p w:rsidR="00CB4485" w:rsidRPr="00CB4485" w:rsidP="001A0785" w14:paraId="51430C42" w14:textId="77777777">
      <w:pPr>
        <w:rPr>
          <w:rFonts w:eastAsia="Calibri"/>
        </w:rPr>
      </w:pPr>
    </w:p>
    <w:p w:rsidR="00E56176" w:rsidRPr="00997361" w:rsidP="001A0785" w14:paraId="20A1E502" w14:textId="5A4B4089">
      <w:pPr>
        <w:rPr>
          <w:rFonts w:eastAsia="Calibri"/>
        </w:rPr>
      </w:pPr>
      <w:r w:rsidRPr="00CB4485">
        <w:rPr>
          <w:rFonts w:eastAsia="Calibri"/>
        </w:rPr>
        <w:t xml:space="preserve">This ICR collects </w:t>
      </w:r>
      <w:bookmarkStart w:id="3" w:name="_Hlk205220252"/>
      <w:r w:rsidRPr="00CB4485">
        <w:rPr>
          <w:rFonts w:eastAsia="Calibri"/>
        </w:rPr>
        <w:t>PII</w:t>
      </w:r>
      <w:bookmarkEnd w:id="3"/>
      <w:r w:rsidRPr="00CB4485">
        <w:rPr>
          <w:rFonts w:eastAsia="Calibri"/>
        </w:rPr>
        <w:t>.  PII is collected in the context of the subject individuals’ professional capacity and the FDA-related work they perform for their employer (e.g., point of contact at a regulated entity).  The PII submitted via Form FDA 3667 (Generally Recognized as Safe (GRAS) Notice) is name, phone number, mailing address, email address, and fax number.  FDA determined that although PII is collected</w:t>
      </w:r>
      <w:r w:rsidR="0046558A">
        <w:rPr>
          <w:rFonts w:eastAsia="Calibri"/>
        </w:rPr>
        <w:t>,</w:t>
      </w:r>
      <w:r w:rsidRPr="00CB4485">
        <w:rPr>
          <w:rFonts w:eastAsia="Calibri"/>
        </w:rPr>
        <w:t xml:space="preserve"> it is not subject to the Privacy Act of 1974 and the particular notice and other requirements of the Act do not apply. </w:t>
      </w:r>
      <w:r w:rsidR="002227D3">
        <w:rPr>
          <w:rFonts w:eastAsia="Calibri"/>
        </w:rPr>
        <w:t xml:space="preserve"> </w:t>
      </w:r>
      <w:r w:rsidRPr="00CB4485">
        <w:rPr>
          <w:rFonts w:eastAsia="Calibri"/>
        </w:rPr>
        <w:t xml:space="preserve">Specifically, FDA does not use name or any other personal identifier to retrieve records from the information collected. </w:t>
      </w:r>
      <w:r w:rsidR="002227D3">
        <w:rPr>
          <w:rFonts w:eastAsia="Calibri"/>
        </w:rPr>
        <w:t xml:space="preserve"> </w:t>
      </w:r>
      <w:r w:rsidRPr="00CB4485">
        <w:rPr>
          <w:rFonts w:eastAsia="Calibri"/>
        </w:rPr>
        <w:t>Through appropriate form design, FDA limited submission fields and minimized the PII collected to protect the privacy of the individuals</w:t>
      </w:r>
      <w:r w:rsidRPr="00997361">
        <w:rPr>
          <w:rFonts w:eastAsia="Calibri"/>
        </w:rPr>
        <w:t>.</w:t>
      </w:r>
    </w:p>
    <w:p w:rsidR="00E56176" w:rsidRPr="00997361" w:rsidP="001A0785" w14:paraId="7DDB3D90" w14:textId="77777777">
      <w:pPr>
        <w:rPr>
          <w:rFonts w:eastAsia="Calibri"/>
        </w:rPr>
      </w:pPr>
    </w:p>
    <w:p w:rsidR="00646219" w:rsidRPr="00A849A6" w:rsidP="001A0785" w14:paraId="41D17A62" w14:textId="003CFA34">
      <w:pPr>
        <w:rPr>
          <w:rFonts w:eastAsia="Calibri"/>
          <w:i/>
          <w:iCs/>
        </w:rPr>
      </w:pPr>
      <w:r>
        <w:rPr>
          <w:rFonts w:eastAsia="Calibri"/>
          <w:i/>
          <w:iCs/>
        </w:rPr>
        <w:t>Freedom of Information Act</w:t>
      </w:r>
    </w:p>
    <w:p w:rsidR="00646219" w:rsidP="001A0785" w14:paraId="6A77978D" w14:textId="77777777">
      <w:pPr>
        <w:rPr>
          <w:rFonts w:eastAsia="Calibri"/>
        </w:rPr>
      </w:pPr>
    </w:p>
    <w:p w:rsidR="00357C8A" w:rsidRPr="0091187D" w:rsidP="001A0785" w14:paraId="5046B1FD" w14:textId="4A95A8C0">
      <w:pPr>
        <w:rPr>
          <w:rFonts w:eastAsia="Calibri"/>
          <w:color w:val="000000" w:themeColor="text1"/>
        </w:rPr>
      </w:pPr>
      <w:r w:rsidRPr="00997361">
        <w:rPr>
          <w:rFonts w:eastAsia="Calibri"/>
        </w:rPr>
        <w:t xml:space="preserve">Under the Freedom of Information Act (FOIA) (5 U.S.C. 552), the public has broad access to government documents. </w:t>
      </w:r>
      <w:r>
        <w:rPr>
          <w:rFonts w:eastAsia="Calibri"/>
        </w:rPr>
        <w:t xml:space="preserve"> </w:t>
      </w:r>
      <w:r w:rsidRPr="00997361">
        <w:rPr>
          <w:rFonts w:eastAsia="Calibri"/>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Pr="0091187D">
        <w:rPr>
          <w:rFonts w:eastAsia="Calibri"/>
          <w:color w:val="000000" w:themeColor="text1"/>
        </w:rPr>
        <w:t xml:space="preserve">. </w:t>
      </w:r>
    </w:p>
    <w:p w:rsidR="001075D3" w:rsidRPr="001075D3" w:rsidP="001A0785" w14:paraId="43271FBC" w14:textId="77777777">
      <w:pPr>
        <w:ind w:left="720"/>
      </w:pPr>
    </w:p>
    <w:p w:rsidR="00357C8A" w:rsidRPr="00357C8A" w:rsidP="001A0785" w14:paraId="4EF94D8E" w14:textId="77777777">
      <w:pPr>
        <w:numPr>
          <w:ilvl w:val="0"/>
          <w:numId w:val="6"/>
        </w:numPr>
        <w:spacing w:after="200" w:line="276" w:lineRule="auto"/>
        <w:rPr>
          <w:rFonts w:eastAsia="Calibri"/>
        </w:rPr>
      </w:pPr>
      <w:r w:rsidRPr="00357C8A">
        <w:rPr>
          <w:rFonts w:eastAsia="Calibri"/>
          <w:u w:val="single"/>
        </w:rPr>
        <w:t>Justification for Sensitive Questions</w:t>
      </w:r>
    </w:p>
    <w:p w:rsidR="0091187D" w:rsidRPr="0091187D" w:rsidP="001A0785" w14:paraId="30325EF4" w14:textId="6209F346">
      <w:pPr>
        <w:autoSpaceDE w:val="0"/>
        <w:autoSpaceDN w:val="0"/>
        <w:adjustRightInd w:val="0"/>
        <w:rPr>
          <w:rFonts w:eastAsia="Calibri"/>
          <w:color w:val="000000" w:themeColor="text1"/>
        </w:rPr>
      </w:pPr>
      <w:r>
        <w:rPr>
          <w:rFonts w:ascii="TimesNewRomanPSMT" w:hAnsi="TimesNewRomanPSMT" w:cs="TimesNewRomanPSMT"/>
        </w:rPr>
        <w:t>This information collection does not involve any questions that are of a personally sensitive nature</w:t>
      </w:r>
      <w:r>
        <w:rPr>
          <w:rFonts w:eastAsia="Calibri"/>
        </w:rPr>
        <w:t>.</w:t>
      </w:r>
    </w:p>
    <w:p w:rsidR="00357C8A" w:rsidRPr="0091187D" w:rsidP="001A0785" w14:paraId="0CE537E8" w14:textId="0B467B4C">
      <w:pPr>
        <w:autoSpaceDE w:val="0"/>
        <w:autoSpaceDN w:val="0"/>
        <w:adjustRightInd w:val="0"/>
        <w:rPr>
          <w:rFonts w:eastAsia="Calibri"/>
          <w:color w:val="000000" w:themeColor="text1"/>
        </w:rPr>
      </w:pPr>
    </w:p>
    <w:p w:rsidR="00357C8A" w:rsidRPr="00357C8A" w:rsidP="001A0785" w14:paraId="509E7D3F"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DC74B0" w:rsidRPr="00390B4B" w:rsidP="00390B4B" w14:paraId="4CE54F5E" w14:textId="7CF8DC2A">
      <w:pPr>
        <w:spacing w:after="200"/>
        <w:ind w:left="360"/>
        <w:rPr>
          <w:rFonts w:eastAsia="Calibri"/>
          <w:i/>
          <w:iCs/>
        </w:rPr>
      </w:pPr>
      <w:r w:rsidRPr="00390B4B">
        <w:rPr>
          <w:rFonts w:eastAsia="Calibri"/>
          <w:i/>
          <w:iCs/>
        </w:rPr>
        <w:t>12a.  Annualized Hour Burden Estimate</w:t>
      </w:r>
    </w:p>
    <w:tbl>
      <w:tblPr>
        <w:tblW w:w="98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tblPr>
      <w:tblGrid>
        <w:gridCol w:w="3240"/>
        <w:gridCol w:w="1260"/>
        <w:gridCol w:w="1620"/>
        <w:gridCol w:w="1350"/>
        <w:gridCol w:w="1530"/>
        <w:gridCol w:w="810"/>
      </w:tblGrid>
      <w:tr w14:paraId="75C5B5D1" w14:textId="77777777" w:rsidTr="00390B4B">
        <w:tblPrEx>
          <w:tblW w:w="98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tblPrEx>
        <w:tc>
          <w:tcPr>
            <w:tcW w:w="9810" w:type="dxa"/>
            <w:gridSpan w:val="6"/>
            <w:tcBorders>
              <w:top w:val="nil"/>
              <w:left w:val="nil"/>
              <w:bottom w:val="single" w:sz="4" w:space="0" w:color="auto"/>
              <w:right w:val="nil"/>
            </w:tcBorders>
          </w:tcPr>
          <w:p w:rsidR="000145A3" w:rsidRPr="00BF4EB2" w:rsidP="001A0785" w14:paraId="609CADD5" w14:textId="77777777">
            <w:pPr>
              <w:ind w:left="360"/>
              <w:jc w:val="center"/>
              <w:rPr>
                <w:rFonts w:eastAsia="Calibri"/>
                <w:sz w:val="20"/>
                <w:szCs w:val="20"/>
              </w:rPr>
            </w:pPr>
            <w:r w:rsidRPr="00BF4EB2">
              <w:rPr>
                <w:rFonts w:eastAsia="Calibri"/>
                <w:sz w:val="20"/>
                <w:szCs w:val="20"/>
              </w:rPr>
              <w:t>Table 1.--Estimated Annual Reporting Burden</w:t>
            </w:r>
            <w:r w:rsidRPr="00BF4EB2">
              <w:rPr>
                <w:rFonts w:eastAsia="Calibri"/>
                <w:sz w:val="20"/>
                <w:szCs w:val="20"/>
                <w:vertAlign w:val="superscript"/>
              </w:rPr>
              <w:t>1</w:t>
            </w:r>
          </w:p>
        </w:tc>
      </w:tr>
      <w:tr w14:paraId="37A990B0" w14:textId="77777777" w:rsidTr="00390B4B">
        <w:tblPrEx>
          <w:tblW w:w="9810" w:type="dxa"/>
          <w:tblLayout w:type="fixed"/>
          <w:tblCellMar>
            <w:left w:w="101" w:type="dxa"/>
            <w:right w:w="101" w:type="dxa"/>
          </w:tblCellMar>
          <w:tblLook w:val="0000"/>
        </w:tblPrEx>
        <w:tc>
          <w:tcPr>
            <w:tcW w:w="3240" w:type="dxa"/>
            <w:tcBorders>
              <w:top w:val="single" w:sz="4" w:space="0" w:color="auto"/>
            </w:tcBorders>
          </w:tcPr>
          <w:p w:rsidR="000145A3" w:rsidRPr="006605A6" w:rsidP="001868FF" w14:paraId="3CDD1347" w14:textId="77777777">
            <w:pPr>
              <w:rPr>
                <w:rFonts w:eastAsia="Calibri"/>
                <w:sz w:val="20"/>
                <w:szCs w:val="20"/>
              </w:rPr>
            </w:pPr>
            <w:r w:rsidRPr="006605A6">
              <w:rPr>
                <w:rFonts w:eastAsia="Calibri"/>
                <w:sz w:val="20"/>
                <w:szCs w:val="20"/>
              </w:rPr>
              <w:t>Activity; 21 CFR Section</w:t>
            </w:r>
          </w:p>
        </w:tc>
        <w:tc>
          <w:tcPr>
            <w:tcW w:w="1260" w:type="dxa"/>
            <w:tcBorders>
              <w:top w:val="single" w:sz="4" w:space="0" w:color="auto"/>
            </w:tcBorders>
          </w:tcPr>
          <w:p w:rsidR="000145A3" w:rsidRPr="006605A6" w:rsidP="001868FF" w14:paraId="08396A7B" w14:textId="77777777">
            <w:pPr>
              <w:jc w:val="center"/>
              <w:rPr>
                <w:rFonts w:eastAsia="Calibri"/>
                <w:sz w:val="20"/>
                <w:szCs w:val="20"/>
              </w:rPr>
            </w:pPr>
            <w:r w:rsidRPr="006605A6">
              <w:rPr>
                <w:rFonts w:eastAsia="Calibri"/>
                <w:sz w:val="20"/>
                <w:szCs w:val="20"/>
              </w:rPr>
              <w:t>No. of Respondents</w:t>
            </w:r>
          </w:p>
        </w:tc>
        <w:tc>
          <w:tcPr>
            <w:tcW w:w="1620" w:type="dxa"/>
            <w:tcBorders>
              <w:top w:val="single" w:sz="4" w:space="0" w:color="auto"/>
            </w:tcBorders>
          </w:tcPr>
          <w:p w:rsidR="000145A3" w:rsidRPr="006605A6" w:rsidP="001868FF" w14:paraId="1DB6A270" w14:textId="77777777">
            <w:pPr>
              <w:jc w:val="center"/>
              <w:rPr>
                <w:rFonts w:eastAsia="Calibri"/>
                <w:sz w:val="20"/>
                <w:szCs w:val="20"/>
              </w:rPr>
            </w:pPr>
            <w:r w:rsidRPr="006605A6">
              <w:rPr>
                <w:rFonts w:eastAsia="Calibri"/>
                <w:bCs/>
                <w:sz w:val="20"/>
                <w:szCs w:val="20"/>
              </w:rPr>
              <w:t>No. of Responses per Respondent</w:t>
            </w:r>
          </w:p>
        </w:tc>
        <w:tc>
          <w:tcPr>
            <w:tcW w:w="1350" w:type="dxa"/>
            <w:tcBorders>
              <w:top w:val="single" w:sz="4" w:space="0" w:color="auto"/>
            </w:tcBorders>
          </w:tcPr>
          <w:p w:rsidR="000145A3" w:rsidRPr="006605A6" w:rsidP="001868FF" w14:paraId="02826D8C" w14:textId="77777777">
            <w:pPr>
              <w:jc w:val="center"/>
              <w:rPr>
                <w:rFonts w:eastAsia="Calibri"/>
                <w:sz w:val="20"/>
                <w:szCs w:val="20"/>
              </w:rPr>
            </w:pPr>
            <w:r w:rsidRPr="006605A6">
              <w:rPr>
                <w:rFonts w:eastAsia="Calibri"/>
                <w:sz w:val="20"/>
                <w:szCs w:val="20"/>
              </w:rPr>
              <w:t>Total Annual Responses</w:t>
            </w:r>
          </w:p>
        </w:tc>
        <w:tc>
          <w:tcPr>
            <w:tcW w:w="1530" w:type="dxa"/>
            <w:tcBorders>
              <w:top w:val="single" w:sz="4" w:space="0" w:color="auto"/>
            </w:tcBorders>
          </w:tcPr>
          <w:p w:rsidR="000145A3" w:rsidRPr="006605A6" w:rsidP="001868FF" w14:paraId="60B13294" w14:textId="77777777">
            <w:pPr>
              <w:jc w:val="center"/>
              <w:rPr>
                <w:rFonts w:eastAsia="Calibri"/>
                <w:sz w:val="20"/>
                <w:szCs w:val="20"/>
              </w:rPr>
            </w:pPr>
            <w:r w:rsidRPr="006605A6">
              <w:rPr>
                <w:rFonts w:eastAsia="Calibri"/>
                <w:bCs/>
                <w:sz w:val="20"/>
                <w:szCs w:val="20"/>
              </w:rPr>
              <w:t>Average Burden per Response</w:t>
            </w:r>
          </w:p>
        </w:tc>
        <w:tc>
          <w:tcPr>
            <w:tcW w:w="810" w:type="dxa"/>
            <w:tcBorders>
              <w:top w:val="single" w:sz="4" w:space="0" w:color="auto"/>
            </w:tcBorders>
          </w:tcPr>
          <w:p w:rsidR="000145A3" w:rsidRPr="006605A6" w:rsidP="001868FF" w14:paraId="08EE43BE" w14:textId="77777777">
            <w:pPr>
              <w:jc w:val="center"/>
              <w:rPr>
                <w:rFonts w:eastAsia="Calibri"/>
                <w:sz w:val="20"/>
                <w:szCs w:val="20"/>
              </w:rPr>
            </w:pPr>
            <w:r w:rsidRPr="006605A6">
              <w:rPr>
                <w:rFonts w:eastAsia="Calibri"/>
                <w:sz w:val="20"/>
                <w:szCs w:val="20"/>
              </w:rPr>
              <w:t>Total Hours</w:t>
            </w:r>
          </w:p>
        </w:tc>
      </w:tr>
      <w:tr w14:paraId="1F464D1A" w14:textId="77777777" w:rsidTr="00390B4B">
        <w:tblPrEx>
          <w:tblW w:w="9810" w:type="dxa"/>
          <w:tblLayout w:type="fixed"/>
          <w:tblCellMar>
            <w:left w:w="101" w:type="dxa"/>
            <w:right w:w="101" w:type="dxa"/>
          </w:tblCellMar>
          <w:tblLook w:val="0000"/>
        </w:tblPrEx>
        <w:trPr>
          <w:trHeight w:val="687"/>
        </w:trPr>
        <w:tc>
          <w:tcPr>
            <w:tcW w:w="3240" w:type="dxa"/>
          </w:tcPr>
          <w:p w:rsidR="000145A3" w:rsidRPr="006605A6" w:rsidP="001868FF" w14:paraId="7F208068" w14:textId="77777777">
            <w:pPr>
              <w:rPr>
                <w:rFonts w:eastAsia="Calibri"/>
                <w:sz w:val="20"/>
                <w:szCs w:val="20"/>
              </w:rPr>
            </w:pPr>
            <w:r w:rsidRPr="006605A6">
              <w:rPr>
                <w:rFonts w:eastAsia="Calibri"/>
                <w:sz w:val="20"/>
                <w:szCs w:val="20"/>
              </w:rPr>
              <w:t>GRAS notification procedure for human food; 170.210-170.280 (part 170, subpart E)</w:t>
            </w:r>
          </w:p>
        </w:tc>
        <w:tc>
          <w:tcPr>
            <w:tcW w:w="1260" w:type="dxa"/>
          </w:tcPr>
          <w:p w:rsidR="000145A3" w:rsidRPr="006605A6" w:rsidP="001868FF" w14:paraId="1CEB1922" w14:textId="77777777">
            <w:pPr>
              <w:jc w:val="right"/>
              <w:rPr>
                <w:rFonts w:eastAsia="Calibri"/>
                <w:sz w:val="20"/>
                <w:szCs w:val="20"/>
              </w:rPr>
            </w:pPr>
            <w:r w:rsidRPr="006605A6">
              <w:rPr>
                <w:rFonts w:eastAsia="Calibri"/>
                <w:sz w:val="20"/>
                <w:szCs w:val="20"/>
              </w:rPr>
              <w:t>100</w:t>
            </w:r>
          </w:p>
        </w:tc>
        <w:tc>
          <w:tcPr>
            <w:tcW w:w="1620" w:type="dxa"/>
          </w:tcPr>
          <w:p w:rsidR="000145A3" w:rsidRPr="006605A6" w:rsidP="001868FF" w14:paraId="022FF0DE" w14:textId="77777777">
            <w:pPr>
              <w:jc w:val="right"/>
              <w:rPr>
                <w:rFonts w:eastAsia="Calibri"/>
                <w:sz w:val="20"/>
                <w:szCs w:val="20"/>
              </w:rPr>
            </w:pPr>
            <w:r w:rsidRPr="006605A6">
              <w:rPr>
                <w:rFonts w:eastAsia="Calibri"/>
                <w:sz w:val="20"/>
                <w:szCs w:val="20"/>
              </w:rPr>
              <w:t>1</w:t>
            </w:r>
          </w:p>
        </w:tc>
        <w:tc>
          <w:tcPr>
            <w:tcW w:w="1350" w:type="dxa"/>
          </w:tcPr>
          <w:p w:rsidR="000145A3" w:rsidRPr="006605A6" w:rsidP="001868FF" w14:paraId="04381B04" w14:textId="77777777">
            <w:pPr>
              <w:jc w:val="right"/>
              <w:rPr>
                <w:rFonts w:eastAsia="Calibri"/>
                <w:sz w:val="20"/>
                <w:szCs w:val="20"/>
              </w:rPr>
            </w:pPr>
            <w:r w:rsidRPr="006605A6">
              <w:rPr>
                <w:rFonts w:eastAsia="Calibri"/>
                <w:sz w:val="20"/>
                <w:szCs w:val="20"/>
              </w:rPr>
              <w:t>100</w:t>
            </w:r>
          </w:p>
        </w:tc>
        <w:tc>
          <w:tcPr>
            <w:tcW w:w="1530" w:type="dxa"/>
          </w:tcPr>
          <w:p w:rsidR="000145A3" w:rsidRPr="006605A6" w:rsidP="001868FF" w14:paraId="77711BEE" w14:textId="77777777">
            <w:pPr>
              <w:jc w:val="right"/>
              <w:rPr>
                <w:rFonts w:eastAsia="Calibri"/>
                <w:sz w:val="20"/>
                <w:szCs w:val="20"/>
              </w:rPr>
            </w:pPr>
            <w:r w:rsidRPr="006605A6">
              <w:rPr>
                <w:rFonts w:eastAsia="Calibri"/>
                <w:sz w:val="20"/>
                <w:szCs w:val="20"/>
              </w:rPr>
              <w:t>170</w:t>
            </w:r>
          </w:p>
        </w:tc>
        <w:tc>
          <w:tcPr>
            <w:tcW w:w="810" w:type="dxa"/>
          </w:tcPr>
          <w:p w:rsidR="000145A3" w:rsidRPr="006605A6" w:rsidP="001868FF" w14:paraId="49496220" w14:textId="77777777">
            <w:pPr>
              <w:jc w:val="center"/>
              <w:rPr>
                <w:rFonts w:eastAsia="Calibri"/>
                <w:sz w:val="20"/>
                <w:szCs w:val="20"/>
              </w:rPr>
            </w:pPr>
            <w:r w:rsidRPr="006605A6">
              <w:rPr>
                <w:rFonts w:eastAsia="Calibri"/>
                <w:sz w:val="20"/>
                <w:szCs w:val="20"/>
              </w:rPr>
              <w:t>17,000</w:t>
            </w:r>
          </w:p>
        </w:tc>
      </w:tr>
      <w:tr w14:paraId="3FEE0B2C" w14:textId="77777777" w:rsidTr="00390B4B">
        <w:tblPrEx>
          <w:tblW w:w="9810" w:type="dxa"/>
          <w:tblLayout w:type="fixed"/>
          <w:tblCellMar>
            <w:left w:w="101" w:type="dxa"/>
            <w:right w:w="101" w:type="dxa"/>
          </w:tblCellMar>
          <w:tblLook w:val="0000"/>
        </w:tblPrEx>
        <w:trPr>
          <w:trHeight w:val="993"/>
        </w:trPr>
        <w:tc>
          <w:tcPr>
            <w:tcW w:w="3240" w:type="dxa"/>
          </w:tcPr>
          <w:p w:rsidR="000145A3" w:rsidRPr="006605A6" w:rsidP="001868FF" w14:paraId="6708B25D" w14:textId="77777777">
            <w:pPr>
              <w:rPr>
                <w:rFonts w:eastAsia="Calibri"/>
                <w:sz w:val="20"/>
                <w:szCs w:val="20"/>
              </w:rPr>
            </w:pPr>
            <w:r w:rsidRPr="006605A6">
              <w:rPr>
                <w:rFonts w:eastAsia="Calibri"/>
                <w:sz w:val="20"/>
                <w:szCs w:val="20"/>
              </w:rPr>
              <w:t>GRAS notification procedure for animal food and animal feed; 570.210-570.280 (part 570, subpart E)</w:t>
            </w:r>
          </w:p>
        </w:tc>
        <w:tc>
          <w:tcPr>
            <w:tcW w:w="1260" w:type="dxa"/>
          </w:tcPr>
          <w:p w:rsidR="000145A3" w:rsidRPr="006605A6" w:rsidP="001868FF" w14:paraId="53AF8468" w14:textId="3F37EED8">
            <w:pPr>
              <w:jc w:val="right"/>
              <w:rPr>
                <w:rFonts w:eastAsia="Calibri"/>
                <w:sz w:val="20"/>
                <w:szCs w:val="20"/>
              </w:rPr>
            </w:pPr>
            <w:r w:rsidRPr="006605A6">
              <w:rPr>
                <w:rFonts w:eastAsia="Calibri"/>
                <w:sz w:val="20"/>
                <w:szCs w:val="20"/>
              </w:rPr>
              <w:t>12</w:t>
            </w:r>
          </w:p>
        </w:tc>
        <w:tc>
          <w:tcPr>
            <w:tcW w:w="1620" w:type="dxa"/>
          </w:tcPr>
          <w:p w:rsidR="000145A3" w:rsidRPr="006605A6" w:rsidP="001868FF" w14:paraId="0F7775D5" w14:textId="77777777">
            <w:pPr>
              <w:jc w:val="right"/>
              <w:rPr>
                <w:rFonts w:eastAsia="Calibri"/>
                <w:sz w:val="20"/>
                <w:szCs w:val="20"/>
              </w:rPr>
            </w:pPr>
            <w:r w:rsidRPr="006605A6">
              <w:rPr>
                <w:rFonts w:eastAsia="Calibri"/>
                <w:sz w:val="20"/>
                <w:szCs w:val="20"/>
              </w:rPr>
              <w:t>1</w:t>
            </w:r>
          </w:p>
        </w:tc>
        <w:tc>
          <w:tcPr>
            <w:tcW w:w="1350" w:type="dxa"/>
          </w:tcPr>
          <w:p w:rsidR="000145A3" w:rsidRPr="006605A6" w:rsidP="001868FF" w14:paraId="74F01D01" w14:textId="1851FDEB">
            <w:pPr>
              <w:jc w:val="right"/>
              <w:rPr>
                <w:rFonts w:eastAsia="Calibri"/>
                <w:sz w:val="20"/>
                <w:szCs w:val="20"/>
              </w:rPr>
            </w:pPr>
            <w:r w:rsidRPr="006605A6">
              <w:rPr>
                <w:rFonts w:eastAsia="Calibri"/>
                <w:sz w:val="20"/>
                <w:szCs w:val="20"/>
              </w:rPr>
              <w:t>12</w:t>
            </w:r>
          </w:p>
        </w:tc>
        <w:tc>
          <w:tcPr>
            <w:tcW w:w="1530" w:type="dxa"/>
          </w:tcPr>
          <w:p w:rsidR="000145A3" w:rsidRPr="006605A6" w:rsidP="001868FF" w14:paraId="3A95AB25" w14:textId="77777777">
            <w:pPr>
              <w:jc w:val="right"/>
              <w:rPr>
                <w:rFonts w:eastAsia="Calibri"/>
                <w:sz w:val="20"/>
                <w:szCs w:val="20"/>
              </w:rPr>
            </w:pPr>
            <w:r w:rsidRPr="006605A6">
              <w:rPr>
                <w:rFonts w:eastAsia="Calibri"/>
                <w:sz w:val="20"/>
                <w:szCs w:val="20"/>
              </w:rPr>
              <w:t>170</w:t>
            </w:r>
          </w:p>
        </w:tc>
        <w:tc>
          <w:tcPr>
            <w:tcW w:w="810" w:type="dxa"/>
          </w:tcPr>
          <w:p w:rsidR="000145A3" w:rsidRPr="006605A6" w:rsidP="001868FF" w14:paraId="1AD386FB" w14:textId="1C97587F">
            <w:pPr>
              <w:jc w:val="center"/>
              <w:rPr>
                <w:rFonts w:eastAsia="Calibri"/>
                <w:sz w:val="20"/>
                <w:szCs w:val="20"/>
              </w:rPr>
            </w:pPr>
            <w:r w:rsidRPr="006605A6">
              <w:rPr>
                <w:rFonts w:eastAsia="Calibri"/>
                <w:sz w:val="20"/>
                <w:szCs w:val="20"/>
              </w:rPr>
              <w:t>2,040</w:t>
            </w:r>
          </w:p>
        </w:tc>
      </w:tr>
      <w:tr w14:paraId="5858C085" w14:textId="77777777" w:rsidTr="00390B4B">
        <w:tblPrEx>
          <w:tblW w:w="9810" w:type="dxa"/>
          <w:tblLayout w:type="fixed"/>
          <w:tblCellMar>
            <w:left w:w="101" w:type="dxa"/>
            <w:right w:w="101" w:type="dxa"/>
          </w:tblCellMar>
          <w:tblLook w:val="0000"/>
        </w:tblPrEx>
        <w:trPr>
          <w:trHeight w:val="210"/>
        </w:trPr>
        <w:tc>
          <w:tcPr>
            <w:tcW w:w="3240" w:type="dxa"/>
          </w:tcPr>
          <w:p w:rsidR="000145A3" w:rsidRPr="006605A6" w:rsidP="001868FF" w14:paraId="2A2F7578" w14:textId="0ABED2C2">
            <w:pPr>
              <w:rPr>
                <w:rFonts w:eastAsia="Calibri"/>
                <w:sz w:val="20"/>
                <w:szCs w:val="20"/>
              </w:rPr>
            </w:pPr>
            <w:r>
              <w:rPr>
                <w:rFonts w:eastAsia="Calibri"/>
                <w:sz w:val="20"/>
                <w:szCs w:val="20"/>
              </w:rPr>
              <w:t>TOTAL</w:t>
            </w:r>
          </w:p>
        </w:tc>
        <w:tc>
          <w:tcPr>
            <w:tcW w:w="1260" w:type="dxa"/>
          </w:tcPr>
          <w:p w:rsidR="000145A3" w:rsidRPr="006605A6" w:rsidP="001868FF" w14:paraId="79BA584E" w14:textId="77777777">
            <w:pPr>
              <w:jc w:val="center"/>
              <w:rPr>
                <w:rFonts w:eastAsia="Calibri"/>
                <w:sz w:val="20"/>
                <w:szCs w:val="20"/>
              </w:rPr>
            </w:pPr>
          </w:p>
        </w:tc>
        <w:tc>
          <w:tcPr>
            <w:tcW w:w="1620" w:type="dxa"/>
          </w:tcPr>
          <w:p w:rsidR="000145A3" w:rsidRPr="006605A6" w:rsidP="001868FF" w14:paraId="7CDA8EC2" w14:textId="77777777">
            <w:pPr>
              <w:jc w:val="center"/>
              <w:rPr>
                <w:rFonts w:eastAsia="Calibri"/>
                <w:sz w:val="20"/>
                <w:szCs w:val="20"/>
              </w:rPr>
            </w:pPr>
          </w:p>
        </w:tc>
        <w:tc>
          <w:tcPr>
            <w:tcW w:w="1350" w:type="dxa"/>
          </w:tcPr>
          <w:p w:rsidR="000145A3" w:rsidRPr="006605A6" w:rsidP="001868FF" w14:paraId="67A3B45E" w14:textId="4A48CC28">
            <w:pPr>
              <w:jc w:val="right"/>
              <w:rPr>
                <w:rFonts w:eastAsia="Calibri"/>
                <w:sz w:val="20"/>
                <w:szCs w:val="20"/>
              </w:rPr>
            </w:pPr>
            <w:r w:rsidRPr="006605A6">
              <w:rPr>
                <w:rFonts w:eastAsia="Calibri"/>
                <w:sz w:val="20"/>
                <w:szCs w:val="20"/>
              </w:rPr>
              <w:t>1</w:t>
            </w:r>
            <w:r w:rsidR="009750EF">
              <w:rPr>
                <w:rFonts w:eastAsia="Calibri"/>
                <w:sz w:val="20"/>
                <w:szCs w:val="20"/>
              </w:rPr>
              <w:t>12</w:t>
            </w:r>
          </w:p>
        </w:tc>
        <w:tc>
          <w:tcPr>
            <w:tcW w:w="1530" w:type="dxa"/>
          </w:tcPr>
          <w:p w:rsidR="000145A3" w:rsidRPr="006605A6" w:rsidP="001868FF" w14:paraId="0E4B58C9" w14:textId="77777777">
            <w:pPr>
              <w:jc w:val="center"/>
              <w:rPr>
                <w:rFonts w:eastAsia="Calibri"/>
                <w:sz w:val="20"/>
                <w:szCs w:val="20"/>
              </w:rPr>
            </w:pPr>
          </w:p>
        </w:tc>
        <w:tc>
          <w:tcPr>
            <w:tcW w:w="810" w:type="dxa"/>
          </w:tcPr>
          <w:p w:rsidR="000145A3" w:rsidRPr="006605A6" w:rsidP="001868FF" w14:paraId="7B99DA4D" w14:textId="72F2885C">
            <w:pPr>
              <w:jc w:val="center"/>
              <w:rPr>
                <w:rFonts w:eastAsia="Calibri"/>
                <w:sz w:val="20"/>
                <w:szCs w:val="20"/>
              </w:rPr>
            </w:pPr>
            <w:r w:rsidRPr="006605A6">
              <w:rPr>
                <w:rFonts w:eastAsia="Calibri"/>
                <w:sz w:val="20"/>
                <w:szCs w:val="20"/>
              </w:rPr>
              <w:t>19,040</w:t>
            </w:r>
          </w:p>
        </w:tc>
      </w:tr>
    </w:tbl>
    <w:p w:rsidR="000145A3" w:rsidRPr="00BF4EB2" w:rsidP="001A0785" w14:paraId="5FDE9498" w14:textId="184D11E0">
      <w:pPr>
        <w:spacing w:after="200"/>
        <w:ind w:left="360"/>
        <w:rPr>
          <w:rFonts w:eastAsia="Calibri"/>
          <w:sz w:val="20"/>
          <w:szCs w:val="20"/>
        </w:rPr>
      </w:pPr>
      <w:r w:rsidRPr="00BF4EB2">
        <w:rPr>
          <w:rFonts w:eastAsia="Calibri"/>
          <w:sz w:val="20"/>
          <w:szCs w:val="20"/>
          <w:vertAlign w:val="superscript"/>
        </w:rPr>
        <w:t>1</w:t>
      </w:r>
      <w:r w:rsidRPr="00BF4EB2">
        <w:rPr>
          <w:rFonts w:eastAsia="Calibri"/>
          <w:sz w:val="20"/>
          <w:szCs w:val="20"/>
        </w:rPr>
        <w:t xml:space="preserve"> There are no capital costs or operating and maintenance costs associated with this collection of information.</w:t>
      </w:r>
      <w:r w:rsidR="00256BF9">
        <w:rPr>
          <w:rFonts w:eastAsia="Calibri"/>
          <w:sz w:val="20"/>
          <w:szCs w:val="20"/>
        </w:rPr>
        <w:tab/>
      </w:r>
    </w:p>
    <w:p w:rsidR="000145A3" w:rsidRPr="000145A3" w:rsidP="00256BF9" w14:paraId="78F762BB" w14:textId="6900204A">
      <w:pPr>
        <w:spacing w:after="200"/>
        <w:ind w:firstLine="360"/>
        <w:rPr>
          <w:rFonts w:eastAsia="Calibri"/>
        </w:rPr>
      </w:pPr>
      <w:r w:rsidRPr="00256BF9">
        <w:t>In row 2 of table 1, we are decreasing our estimate for the number of respondents submitting GRAS notices for animal food and animal feed from 25 to 12, which results in a decrease of 2,210 burden hours (4,250 hours minus 2,040 hours).  This estimate is based on the number of submissions we received over the last 3 years</w:t>
      </w:r>
      <w:r w:rsidR="006E65F0">
        <w:t>.</w:t>
      </w:r>
    </w:p>
    <w:p w:rsidR="00256BF9" w14:paraId="6CD4511B" w14:textId="77777777">
      <w:pPr>
        <w:rPr>
          <w:sz w:val="20"/>
          <w:szCs w:val="20"/>
        </w:rPr>
      </w:pPr>
      <w:r>
        <w:rPr>
          <w:sz w:val="20"/>
          <w:szCs w:val="20"/>
        </w:rPr>
        <w:br w:type="page"/>
      </w:r>
    </w:p>
    <w:p w:rsidR="006A7AF0" w:rsidRPr="00BF4EB2" w:rsidP="00693746" w14:paraId="6D2ED0AB" w14:textId="44E3A8EC">
      <w:pPr>
        <w:jc w:val="center"/>
        <w:rPr>
          <w:sz w:val="20"/>
          <w:szCs w:val="20"/>
        </w:rPr>
      </w:pPr>
      <w:r w:rsidRPr="00BF4EB2">
        <w:rPr>
          <w:sz w:val="20"/>
          <w:szCs w:val="20"/>
        </w:rPr>
        <w:t>Table 2.--Estimated Annual Recordkeeping Burden</w:t>
      </w:r>
      <w:r w:rsidRPr="00BF4EB2">
        <w:rPr>
          <w:sz w:val="20"/>
          <w:szCs w:val="20"/>
          <w:vertAlign w:val="superscript"/>
        </w:rPr>
        <w:t>1</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1440"/>
        <w:gridCol w:w="1800"/>
        <w:gridCol w:w="1350"/>
        <w:gridCol w:w="1800"/>
        <w:gridCol w:w="900"/>
      </w:tblGrid>
      <w:tr w14:paraId="47F53754" w14:textId="77777777" w:rsidTr="003E6060">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66"/>
        </w:trPr>
        <w:tc>
          <w:tcPr>
            <w:tcW w:w="2520" w:type="dxa"/>
          </w:tcPr>
          <w:p w:rsidR="006A7AF0" w:rsidRPr="006A7AF0" w:rsidP="001A0785" w14:paraId="38081341" w14:textId="77777777">
            <w:pPr>
              <w:jc w:val="center"/>
              <w:rPr>
                <w:sz w:val="20"/>
                <w:szCs w:val="20"/>
              </w:rPr>
            </w:pPr>
            <w:r w:rsidRPr="006A7AF0">
              <w:rPr>
                <w:sz w:val="20"/>
                <w:szCs w:val="20"/>
              </w:rPr>
              <w:t>Activity; Guidance Document Section</w:t>
            </w:r>
          </w:p>
        </w:tc>
        <w:tc>
          <w:tcPr>
            <w:tcW w:w="1440" w:type="dxa"/>
          </w:tcPr>
          <w:p w:rsidR="006A7AF0" w:rsidRPr="006A7AF0" w:rsidP="001A0785" w14:paraId="28D76414" w14:textId="77777777">
            <w:pPr>
              <w:jc w:val="center"/>
              <w:rPr>
                <w:sz w:val="20"/>
                <w:szCs w:val="20"/>
              </w:rPr>
            </w:pPr>
            <w:r w:rsidRPr="006A7AF0">
              <w:rPr>
                <w:sz w:val="20"/>
                <w:szCs w:val="20"/>
              </w:rPr>
              <w:t>No. Of Recordkeepers</w:t>
            </w:r>
          </w:p>
        </w:tc>
        <w:tc>
          <w:tcPr>
            <w:tcW w:w="1800" w:type="dxa"/>
          </w:tcPr>
          <w:p w:rsidR="006A7AF0" w:rsidRPr="006A7AF0" w:rsidP="001A0785" w14:paraId="6A272755" w14:textId="77777777">
            <w:pPr>
              <w:jc w:val="center"/>
              <w:rPr>
                <w:sz w:val="20"/>
                <w:szCs w:val="20"/>
              </w:rPr>
            </w:pPr>
            <w:r w:rsidRPr="006A7AF0">
              <w:rPr>
                <w:sz w:val="20"/>
                <w:szCs w:val="20"/>
              </w:rPr>
              <w:t>No. of Records per Recordkeeper</w:t>
            </w:r>
          </w:p>
        </w:tc>
        <w:tc>
          <w:tcPr>
            <w:tcW w:w="1350" w:type="dxa"/>
          </w:tcPr>
          <w:p w:rsidR="006A7AF0" w:rsidRPr="006A7AF0" w:rsidP="001A0785" w14:paraId="7B1CE06F" w14:textId="77777777">
            <w:pPr>
              <w:jc w:val="center"/>
              <w:rPr>
                <w:sz w:val="20"/>
                <w:szCs w:val="20"/>
              </w:rPr>
            </w:pPr>
            <w:r w:rsidRPr="006A7AF0">
              <w:rPr>
                <w:sz w:val="20"/>
                <w:szCs w:val="20"/>
              </w:rPr>
              <w:t>Total Annual Records</w:t>
            </w:r>
          </w:p>
        </w:tc>
        <w:tc>
          <w:tcPr>
            <w:tcW w:w="1800" w:type="dxa"/>
          </w:tcPr>
          <w:p w:rsidR="006A7AF0" w:rsidRPr="006A7AF0" w:rsidP="001A0785" w14:paraId="1DDB0C7F" w14:textId="77777777">
            <w:pPr>
              <w:jc w:val="center"/>
              <w:rPr>
                <w:sz w:val="20"/>
                <w:szCs w:val="20"/>
              </w:rPr>
            </w:pPr>
            <w:r w:rsidRPr="006A7AF0">
              <w:rPr>
                <w:sz w:val="20"/>
                <w:szCs w:val="20"/>
              </w:rPr>
              <w:t xml:space="preserve">Average Burden per Recordkeeping </w:t>
            </w:r>
          </w:p>
        </w:tc>
        <w:tc>
          <w:tcPr>
            <w:tcW w:w="900" w:type="dxa"/>
          </w:tcPr>
          <w:p w:rsidR="006A7AF0" w:rsidRPr="006A7AF0" w:rsidP="001A0785" w14:paraId="777B1583" w14:textId="77777777">
            <w:pPr>
              <w:jc w:val="center"/>
              <w:rPr>
                <w:sz w:val="20"/>
                <w:szCs w:val="20"/>
              </w:rPr>
            </w:pPr>
            <w:r w:rsidRPr="006A7AF0">
              <w:rPr>
                <w:sz w:val="20"/>
                <w:szCs w:val="20"/>
              </w:rPr>
              <w:t>Total Hours</w:t>
            </w:r>
          </w:p>
        </w:tc>
      </w:tr>
      <w:tr w14:paraId="72F67421" w14:textId="77777777" w:rsidTr="003E6060">
        <w:tblPrEx>
          <w:tblW w:w="9810" w:type="dxa"/>
          <w:tblInd w:w="-5" w:type="dxa"/>
          <w:tblLook w:val="0000"/>
        </w:tblPrEx>
        <w:trPr>
          <w:cantSplit/>
          <w:trHeight w:val="602"/>
        </w:trPr>
        <w:tc>
          <w:tcPr>
            <w:tcW w:w="2520" w:type="dxa"/>
          </w:tcPr>
          <w:p w:rsidR="006A7AF0" w:rsidRPr="006A7AF0" w:rsidP="001A0785" w14:paraId="25586B5B" w14:textId="6F0BAEA2">
            <w:pPr>
              <w:rPr>
                <w:sz w:val="20"/>
                <w:szCs w:val="20"/>
              </w:rPr>
            </w:pPr>
            <w:r w:rsidRPr="006A7AF0">
              <w:rPr>
                <w:sz w:val="20"/>
                <w:szCs w:val="20"/>
              </w:rPr>
              <w:t>Maintaining written GRAS panel policy; V.</w:t>
            </w:r>
            <w:r w:rsidR="009B4E64">
              <w:rPr>
                <w:sz w:val="20"/>
                <w:szCs w:val="20"/>
              </w:rPr>
              <w:t xml:space="preserve"> </w:t>
            </w:r>
            <w:r w:rsidRPr="006A7AF0">
              <w:rPr>
                <w:sz w:val="20"/>
                <w:szCs w:val="20"/>
              </w:rPr>
              <w:t>Recommendations</w:t>
            </w:r>
          </w:p>
        </w:tc>
        <w:tc>
          <w:tcPr>
            <w:tcW w:w="1440" w:type="dxa"/>
            <w:noWrap/>
          </w:tcPr>
          <w:p w:rsidR="006A7AF0" w:rsidRPr="006A7AF0" w:rsidP="001A0785" w14:paraId="4C1B53BB" w14:textId="77777777">
            <w:pPr>
              <w:jc w:val="right"/>
              <w:rPr>
                <w:sz w:val="20"/>
                <w:szCs w:val="20"/>
              </w:rPr>
            </w:pPr>
            <w:r w:rsidRPr="006A7AF0">
              <w:rPr>
                <w:sz w:val="20"/>
                <w:szCs w:val="20"/>
              </w:rPr>
              <w:t>696</w:t>
            </w:r>
          </w:p>
        </w:tc>
        <w:tc>
          <w:tcPr>
            <w:tcW w:w="1800" w:type="dxa"/>
            <w:noWrap/>
          </w:tcPr>
          <w:p w:rsidR="006A7AF0" w:rsidRPr="006A7AF0" w:rsidP="001A0785" w14:paraId="4F680653" w14:textId="77777777">
            <w:pPr>
              <w:jc w:val="right"/>
              <w:rPr>
                <w:sz w:val="20"/>
                <w:szCs w:val="20"/>
              </w:rPr>
            </w:pPr>
            <w:r w:rsidRPr="006A7AF0">
              <w:rPr>
                <w:sz w:val="20"/>
                <w:szCs w:val="20"/>
              </w:rPr>
              <w:t>1</w:t>
            </w:r>
          </w:p>
        </w:tc>
        <w:tc>
          <w:tcPr>
            <w:tcW w:w="1350" w:type="dxa"/>
            <w:noWrap/>
          </w:tcPr>
          <w:p w:rsidR="006A7AF0" w:rsidRPr="006A7AF0" w:rsidP="001A0785" w14:paraId="64C76C60" w14:textId="77777777">
            <w:pPr>
              <w:jc w:val="right"/>
              <w:rPr>
                <w:sz w:val="20"/>
              </w:rPr>
            </w:pPr>
            <w:r w:rsidRPr="006A7AF0">
              <w:rPr>
                <w:sz w:val="20"/>
              </w:rPr>
              <w:t>696</w:t>
            </w:r>
          </w:p>
        </w:tc>
        <w:tc>
          <w:tcPr>
            <w:tcW w:w="1800" w:type="dxa"/>
            <w:noWrap/>
          </w:tcPr>
          <w:p w:rsidR="006A7AF0" w:rsidRPr="006A7AF0" w:rsidP="001A0785" w14:paraId="519590FD" w14:textId="77777777">
            <w:pPr>
              <w:jc w:val="right"/>
              <w:rPr>
                <w:sz w:val="20"/>
                <w:szCs w:val="20"/>
              </w:rPr>
            </w:pPr>
            <w:r w:rsidRPr="006A7AF0">
              <w:rPr>
                <w:sz w:val="20"/>
                <w:szCs w:val="20"/>
              </w:rPr>
              <w:t>2</w:t>
            </w:r>
          </w:p>
        </w:tc>
        <w:tc>
          <w:tcPr>
            <w:tcW w:w="900" w:type="dxa"/>
            <w:noWrap/>
          </w:tcPr>
          <w:p w:rsidR="006A7AF0" w:rsidRPr="006A7AF0" w:rsidP="001A0785" w14:paraId="71E82C3F" w14:textId="77777777">
            <w:pPr>
              <w:jc w:val="right"/>
              <w:rPr>
                <w:sz w:val="20"/>
              </w:rPr>
            </w:pPr>
            <w:r w:rsidRPr="006A7AF0">
              <w:rPr>
                <w:sz w:val="20"/>
              </w:rPr>
              <w:t>1,392</w:t>
            </w:r>
          </w:p>
        </w:tc>
      </w:tr>
      <w:tr w14:paraId="682E927E" w14:textId="77777777" w:rsidTr="003E6060">
        <w:tblPrEx>
          <w:tblW w:w="9810" w:type="dxa"/>
          <w:tblInd w:w="-5" w:type="dxa"/>
          <w:tblLook w:val="0000"/>
        </w:tblPrEx>
        <w:trPr>
          <w:cantSplit/>
          <w:trHeight w:val="800"/>
        </w:trPr>
        <w:tc>
          <w:tcPr>
            <w:tcW w:w="2520" w:type="dxa"/>
          </w:tcPr>
          <w:p w:rsidR="006A7AF0" w:rsidRPr="006A7AF0" w:rsidP="001A0785" w14:paraId="73D210F1" w14:textId="77777777">
            <w:pPr>
              <w:rPr>
                <w:sz w:val="20"/>
                <w:szCs w:val="20"/>
              </w:rPr>
            </w:pPr>
            <w:r w:rsidRPr="006A7AF0">
              <w:rPr>
                <w:sz w:val="20"/>
                <w:szCs w:val="20"/>
              </w:rPr>
              <w:t>Application of written GRAS panel policy to GRAS panel members; V. Recommendations</w:t>
            </w:r>
          </w:p>
        </w:tc>
        <w:tc>
          <w:tcPr>
            <w:tcW w:w="1440" w:type="dxa"/>
            <w:noWrap/>
          </w:tcPr>
          <w:p w:rsidR="006A7AF0" w:rsidRPr="006A7AF0" w:rsidP="001A0785" w14:paraId="5CE0F099" w14:textId="77777777">
            <w:pPr>
              <w:jc w:val="right"/>
              <w:rPr>
                <w:sz w:val="20"/>
                <w:szCs w:val="20"/>
              </w:rPr>
            </w:pPr>
            <w:r w:rsidRPr="006A7AF0">
              <w:rPr>
                <w:sz w:val="20"/>
                <w:szCs w:val="20"/>
              </w:rPr>
              <w:t>94</w:t>
            </w:r>
          </w:p>
        </w:tc>
        <w:tc>
          <w:tcPr>
            <w:tcW w:w="1800" w:type="dxa"/>
            <w:noWrap/>
          </w:tcPr>
          <w:p w:rsidR="006A7AF0" w:rsidRPr="006A7AF0" w:rsidP="001A0785" w14:paraId="3C7B11F2" w14:textId="77777777">
            <w:pPr>
              <w:jc w:val="right"/>
              <w:rPr>
                <w:sz w:val="20"/>
                <w:szCs w:val="20"/>
              </w:rPr>
            </w:pPr>
            <w:r w:rsidRPr="006A7AF0">
              <w:rPr>
                <w:sz w:val="20"/>
                <w:szCs w:val="20"/>
              </w:rPr>
              <w:t>6</w:t>
            </w:r>
          </w:p>
        </w:tc>
        <w:tc>
          <w:tcPr>
            <w:tcW w:w="1350" w:type="dxa"/>
            <w:noWrap/>
          </w:tcPr>
          <w:p w:rsidR="006A7AF0" w:rsidRPr="006A7AF0" w:rsidP="001A0785" w14:paraId="586C4E20" w14:textId="77777777">
            <w:pPr>
              <w:jc w:val="right"/>
              <w:rPr>
                <w:sz w:val="20"/>
              </w:rPr>
            </w:pPr>
            <w:r w:rsidRPr="006A7AF0">
              <w:rPr>
                <w:sz w:val="20"/>
                <w:szCs w:val="20"/>
              </w:rPr>
              <w:t>564</w:t>
            </w:r>
          </w:p>
        </w:tc>
        <w:tc>
          <w:tcPr>
            <w:tcW w:w="1800" w:type="dxa"/>
            <w:noWrap/>
          </w:tcPr>
          <w:p w:rsidR="006A7AF0" w:rsidRPr="006A7AF0" w:rsidP="001A0785" w14:paraId="4DFDF9F7" w14:textId="77777777">
            <w:pPr>
              <w:jc w:val="right"/>
              <w:rPr>
                <w:sz w:val="20"/>
                <w:szCs w:val="20"/>
              </w:rPr>
            </w:pPr>
            <w:r w:rsidRPr="006A7AF0">
              <w:rPr>
                <w:sz w:val="20"/>
                <w:szCs w:val="20"/>
              </w:rPr>
              <w:t>16</w:t>
            </w:r>
          </w:p>
        </w:tc>
        <w:tc>
          <w:tcPr>
            <w:tcW w:w="900" w:type="dxa"/>
            <w:noWrap/>
          </w:tcPr>
          <w:p w:rsidR="006A7AF0" w:rsidRPr="006A7AF0" w:rsidP="001A0785" w14:paraId="236B587E" w14:textId="77777777">
            <w:pPr>
              <w:jc w:val="right"/>
              <w:rPr>
                <w:sz w:val="20"/>
              </w:rPr>
            </w:pPr>
            <w:r w:rsidRPr="006A7AF0">
              <w:rPr>
                <w:sz w:val="20"/>
                <w:szCs w:val="20"/>
              </w:rPr>
              <w:t>9,024</w:t>
            </w:r>
          </w:p>
        </w:tc>
      </w:tr>
      <w:tr w14:paraId="29A1D7C7" w14:textId="77777777" w:rsidTr="003E6060">
        <w:tblPrEx>
          <w:tblW w:w="9810" w:type="dxa"/>
          <w:tblInd w:w="-5" w:type="dxa"/>
          <w:tblLook w:val="0000"/>
        </w:tblPrEx>
        <w:trPr>
          <w:cantSplit/>
          <w:trHeight w:val="296"/>
        </w:trPr>
        <w:tc>
          <w:tcPr>
            <w:tcW w:w="2520" w:type="dxa"/>
          </w:tcPr>
          <w:p w:rsidR="006A7AF0" w:rsidRPr="006A7AF0" w:rsidP="001A0785" w14:paraId="5DB6D8DE" w14:textId="77777777">
            <w:pPr>
              <w:rPr>
                <w:sz w:val="20"/>
                <w:szCs w:val="20"/>
              </w:rPr>
            </w:pPr>
            <w:r w:rsidRPr="006A7AF0">
              <w:rPr>
                <w:sz w:val="20"/>
                <w:szCs w:val="20"/>
              </w:rPr>
              <w:t>Total</w:t>
            </w:r>
          </w:p>
        </w:tc>
        <w:tc>
          <w:tcPr>
            <w:tcW w:w="1440" w:type="dxa"/>
            <w:noWrap/>
          </w:tcPr>
          <w:p w:rsidR="006A7AF0" w:rsidRPr="006A7AF0" w:rsidP="001A0785" w14:paraId="4AAAA878" w14:textId="77777777">
            <w:pPr>
              <w:jc w:val="right"/>
              <w:rPr>
                <w:sz w:val="20"/>
                <w:szCs w:val="20"/>
              </w:rPr>
            </w:pPr>
          </w:p>
        </w:tc>
        <w:tc>
          <w:tcPr>
            <w:tcW w:w="1800" w:type="dxa"/>
            <w:noWrap/>
          </w:tcPr>
          <w:p w:rsidR="006A7AF0" w:rsidRPr="006A7AF0" w:rsidP="001A0785" w14:paraId="100DEC0C" w14:textId="77777777">
            <w:pPr>
              <w:jc w:val="right"/>
              <w:rPr>
                <w:sz w:val="20"/>
                <w:szCs w:val="20"/>
              </w:rPr>
            </w:pPr>
          </w:p>
        </w:tc>
        <w:tc>
          <w:tcPr>
            <w:tcW w:w="1350" w:type="dxa"/>
            <w:noWrap/>
          </w:tcPr>
          <w:p w:rsidR="006A7AF0" w:rsidRPr="006A7AF0" w:rsidP="001A0785" w14:paraId="012543C8" w14:textId="77777777">
            <w:pPr>
              <w:jc w:val="right"/>
              <w:rPr>
                <w:sz w:val="20"/>
                <w:szCs w:val="20"/>
              </w:rPr>
            </w:pPr>
            <w:r w:rsidRPr="006A7AF0">
              <w:rPr>
                <w:sz w:val="20"/>
                <w:szCs w:val="20"/>
              </w:rPr>
              <w:t>1,260</w:t>
            </w:r>
          </w:p>
        </w:tc>
        <w:tc>
          <w:tcPr>
            <w:tcW w:w="1800" w:type="dxa"/>
            <w:noWrap/>
          </w:tcPr>
          <w:p w:rsidR="006A7AF0" w:rsidRPr="006A7AF0" w:rsidP="001A0785" w14:paraId="0DA604B5" w14:textId="77777777">
            <w:pPr>
              <w:jc w:val="right"/>
              <w:rPr>
                <w:sz w:val="20"/>
                <w:szCs w:val="20"/>
              </w:rPr>
            </w:pPr>
          </w:p>
        </w:tc>
        <w:tc>
          <w:tcPr>
            <w:tcW w:w="900" w:type="dxa"/>
            <w:noWrap/>
          </w:tcPr>
          <w:p w:rsidR="006A7AF0" w:rsidRPr="006A7AF0" w:rsidP="001A0785" w14:paraId="350F5E4F" w14:textId="77777777">
            <w:pPr>
              <w:jc w:val="right"/>
              <w:rPr>
                <w:sz w:val="20"/>
                <w:szCs w:val="20"/>
              </w:rPr>
            </w:pPr>
            <w:r w:rsidRPr="006A7AF0">
              <w:rPr>
                <w:sz w:val="20"/>
                <w:szCs w:val="20"/>
              </w:rPr>
              <w:t>10,416</w:t>
            </w:r>
          </w:p>
        </w:tc>
      </w:tr>
    </w:tbl>
    <w:p w:rsidR="006A7AF0" w:rsidRPr="006A7AF0" w:rsidP="001A0785" w14:paraId="40DFABAC" w14:textId="77777777">
      <w:pPr>
        <w:spacing w:line="480" w:lineRule="auto"/>
        <w:ind w:left="360"/>
        <w:rPr>
          <w:sz w:val="20"/>
          <w:szCs w:val="20"/>
        </w:rPr>
      </w:pPr>
      <w:r w:rsidRPr="006A7AF0">
        <w:rPr>
          <w:sz w:val="20"/>
          <w:szCs w:val="20"/>
          <w:vertAlign w:val="superscript"/>
        </w:rPr>
        <w:t>1</w:t>
      </w:r>
      <w:r w:rsidRPr="006A7AF0">
        <w:rPr>
          <w:szCs w:val="20"/>
        </w:rPr>
        <w:t xml:space="preserve"> </w:t>
      </w:r>
      <w:r w:rsidRPr="006A7AF0">
        <w:rPr>
          <w:sz w:val="20"/>
          <w:szCs w:val="20"/>
        </w:rPr>
        <w:t>There are no capital costs or operating and maintenance costs associated with this collection of information.</w:t>
      </w:r>
    </w:p>
    <w:p w:rsidR="00CE7581" w:rsidP="00CC55B7" w14:paraId="16C928C7" w14:textId="6BF2A606">
      <w:pPr>
        <w:spacing w:after="200"/>
        <w:ind w:firstLine="360"/>
        <w:rPr>
          <w:rFonts w:eastAsia="Calibri"/>
        </w:rPr>
      </w:pPr>
      <w:r w:rsidRPr="00CC55B7">
        <w:rPr>
          <w:rFonts w:eastAsia="Calibri"/>
        </w:rPr>
        <w:t>Row 1 of table 2 reflects a decrease in our estimate of the average burden per recordkeeping from 40 hours to 2 hours annually.  We believe that respondents will have realized burden associated with the initial documentation of written GRAS panel policies and have modified our estimate to reflect burden associated with maintaining the applicable records</w:t>
      </w:r>
    </w:p>
    <w:p w:rsidR="0066635D" w:rsidRPr="00BF4EB2" w:rsidP="001A0785" w14:paraId="10922419" w14:textId="77777777">
      <w:pPr>
        <w:jc w:val="center"/>
        <w:rPr>
          <w:sz w:val="20"/>
          <w:szCs w:val="20"/>
          <w:vertAlign w:val="superscript"/>
        </w:rPr>
      </w:pPr>
      <w:r w:rsidRPr="00BF4EB2">
        <w:rPr>
          <w:sz w:val="20"/>
          <w:szCs w:val="20"/>
        </w:rPr>
        <w:t>Table 3.--Estimated Annual Third-Party Disclosure Burden</w:t>
      </w:r>
      <w:r w:rsidRPr="00BF4EB2">
        <w:rPr>
          <w:sz w:val="20"/>
          <w:szCs w:val="20"/>
          <w:vertAlign w:val="superscript"/>
        </w:rPr>
        <w:t>1</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1239"/>
        <w:gridCol w:w="1800"/>
        <w:gridCol w:w="1350"/>
        <w:gridCol w:w="1609"/>
        <w:gridCol w:w="1202"/>
      </w:tblGrid>
      <w:tr w14:paraId="4127D5DD" w14:textId="77777777" w:rsidTr="003E6060">
        <w:tblPrEx>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57"/>
        </w:trPr>
        <w:tc>
          <w:tcPr>
            <w:tcW w:w="2610" w:type="dxa"/>
            <w:tcBorders>
              <w:top w:val="single" w:sz="4" w:space="0" w:color="auto"/>
            </w:tcBorders>
          </w:tcPr>
          <w:p w:rsidR="0066635D" w:rsidRPr="0066635D" w:rsidP="001A0785" w14:paraId="517F8549" w14:textId="77777777">
            <w:pPr>
              <w:jc w:val="center"/>
              <w:rPr>
                <w:sz w:val="20"/>
                <w:szCs w:val="20"/>
              </w:rPr>
            </w:pPr>
            <w:r w:rsidRPr="0066635D">
              <w:rPr>
                <w:sz w:val="20"/>
                <w:szCs w:val="20"/>
              </w:rPr>
              <w:t>Activity; Guidance Document Section</w:t>
            </w:r>
          </w:p>
        </w:tc>
        <w:tc>
          <w:tcPr>
            <w:tcW w:w="1239" w:type="dxa"/>
            <w:tcBorders>
              <w:top w:val="single" w:sz="4" w:space="0" w:color="auto"/>
            </w:tcBorders>
          </w:tcPr>
          <w:p w:rsidR="0066635D" w:rsidRPr="0066635D" w:rsidP="001A0785" w14:paraId="242926D3" w14:textId="77777777">
            <w:pPr>
              <w:jc w:val="center"/>
              <w:rPr>
                <w:sz w:val="20"/>
                <w:szCs w:val="20"/>
              </w:rPr>
            </w:pPr>
            <w:r w:rsidRPr="0066635D">
              <w:rPr>
                <w:sz w:val="20"/>
                <w:szCs w:val="20"/>
              </w:rPr>
              <w:t>No. of Respondents</w:t>
            </w:r>
          </w:p>
        </w:tc>
        <w:tc>
          <w:tcPr>
            <w:tcW w:w="1800" w:type="dxa"/>
            <w:tcBorders>
              <w:top w:val="single" w:sz="4" w:space="0" w:color="auto"/>
            </w:tcBorders>
          </w:tcPr>
          <w:p w:rsidR="0066635D" w:rsidRPr="0066635D" w:rsidP="001A0785" w14:paraId="59C3364E" w14:textId="77777777">
            <w:pPr>
              <w:jc w:val="center"/>
              <w:rPr>
                <w:sz w:val="20"/>
                <w:szCs w:val="20"/>
              </w:rPr>
            </w:pPr>
            <w:r w:rsidRPr="0066635D">
              <w:rPr>
                <w:bCs/>
                <w:sz w:val="20"/>
                <w:szCs w:val="20"/>
              </w:rPr>
              <w:t>No. of Disclosures per Respondent</w:t>
            </w:r>
          </w:p>
        </w:tc>
        <w:tc>
          <w:tcPr>
            <w:tcW w:w="1350" w:type="dxa"/>
            <w:tcBorders>
              <w:top w:val="single" w:sz="4" w:space="0" w:color="auto"/>
            </w:tcBorders>
          </w:tcPr>
          <w:p w:rsidR="0066635D" w:rsidRPr="0066635D" w:rsidP="001A0785" w14:paraId="31073D62" w14:textId="77777777">
            <w:pPr>
              <w:jc w:val="center"/>
              <w:rPr>
                <w:sz w:val="20"/>
                <w:szCs w:val="20"/>
              </w:rPr>
            </w:pPr>
            <w:r w:rsidRPr="0066635D">
              <w:rPr>
                <w:sz w:val="20"/>
                <w:szCs w:val="20"/>
              </w:rPr>
              <w:t>Total Annual Disclosures</w:t>
            </w:r>
          </w:p>
        </w:tc>
        <w:tc>
          <w:tcPr>
            <w:tcW w:w="1609" w:type="dxa"/>
            <w:tcBorders>
              <w:top w:val="single" w:sz="4" w:space="0" w:color="auto"/>
            </w:tcBorders>
          </w:tcPr>
          <w:p w:rsidR="0066635D" w:rsidRPr="0066635D" w:rsidP="001A0785" w14:paraId="7DCA936B" w14:textId="77777777">
            <w:pPr>
              <w:jc w:val="center"/>
              <w:rPr>
                <w:sz w:val="20"/>
                <w:szCs w:val="20"/>
              </w:rPr>
            </w:pPr>
            <w:r w:rsidRPr="0066635D">
              <w:rPr>
                <w:bCs/>
                <w:sz w:val="20"/>
                <w:szCs w:val="20"/>
              </w:rPr>
              <w:t>Average Burden per Disclosure</w:t>
            </w:r>
          </w:p>
        </w:tc>
        <w:tc>
          <w:tcPr>
            <w:tcW w:w="1202" w:type="dxa"/>
            <w:tcBorders>
              <w:top w:val="single" w:sz="4" w:space="0" w:color="auto"/>
            </w:tcBorders>
          </w:tcPr>
          <w:p w:rsidR="0066635D" w:rsidRPr="0066635D" w:rsidP="001A0785" w14:paraId="5F866043" w14:textId="77777777">
            <w:pPr>
              <w:jc w:val="center"/>
              <w:rPr>
                <w:sz w:val="20"/>
                <w:szCs w:val="20"/>
              </w:rPr>
            </w:pPr>
            <w:r w:rsidRPr="0066635D">
              <w:rPr>
                <w:sz w:val="20"/>
                <w:szCs w:val="20"/>
              </w:rPr>
              <w:t>Total Hours</w:t>
            </w:r>
          </w:p>
        </w:tc>
      </w:tr>
      <w:tr w14:paraId="1F30E109" w14:textId="77777777" w:rsidTr="003E6060">
        <w:tblPrEx>
          <w:tblW w:w="9810" w:type="dxa"/>
          <w:tblInd w:w="-5" w:type="dxa"/>
          <w:tblLook w:val="0000"/>
        </w:tblPrEx>
        <w:trPr>
          <w:cantSplit/>
          <w:trHeight w:val="1070"/>
        </w:trPr>
        <w:tc>
          <w:tcPr>
            <w:tcW w:w="2610" w:type="dxa"/>
          </w:tcPr>
          <w:p w:rsidR="0066635D" w:rsidRPr="0066635D" w:rsidP="001A0785" w14:paraId="30444BDD" w14:textId="77777777">
            <w:pPr>
              <w:rPr>
                <w:sz w:val="20"/>
                <w:szCs w:val="20"/>
              </w:rPr>
            </w:pPr>
            <w:r w:rsidRPr="0066635D">
              <w:rPr>
                <w:sz w:val="20"/>
                <w:szCs w:val="20"/>
              </w:rPr>
              <w:t>Potential GRAS panel members provide information to the proponents of GRAS conclusions; V. Recommendations</w:t>
            </w:r>
          </w:p>
        </w:tc>
        <w:tc>
          <w:tcPr>
            <w:tcW w:w="1239" w:type="dxa"/>
            <w:noWrap/>
          </w:tcPr>
          <w:p w:rsidR="0066635D" w:rsidRPr="0066635D" w:rsidP="001A0785" w14:paraId="471F2930" w14:textId="77777777">
            <w:pPr>
              <w:jc w:val="right"/>
              <w:rPr>
                <w:sz w:val="20"/>
                <w:szCs w:val="20"/>
              </w:rPr>
            </w:pPr>
            <w:r w:rsidRPr="0066635D">
              <w:rPr>
                <w:sz w:val="20"/>
                <w:szCs w:val="20"/>
              </w:rPr>
              <w:t>564</w:t>
            </w:r>
          </w:p>
        </w:tc>
        <w:tc>
          <w:tcPr>
            <w:tcW w:w="1800" w:type="dxa"/>
            <w:noWrap/>
          </w:tcPr>
          <w:p w:rsidR="0066635D" w:rsidRPr="0066635D" w:rsidP="001A0785" w14:paraId="117BF05B" w14:textId="77777777">
            <w:pPr>
              <w:jc w:val="right"/>
              <w:rPr>
                <w:sz w:val="20"/>
              </w:rPr>
            </w:pPr>
            <w:r w:rsidRPr="0066635D">
              <w:rPr>
                <w:sz w:val="20"/>
              </w:rPr>
              <w:t>1</w:t>
            </w:r>
          </w:p>
        </w:tc>
        <w:tc>
          <w:tcPr>
            <w:tcW w:w="1350" w:type="dxa"/>
            <w:noWrap/>
          </w:tcPr>
          <w:p w:rsidR="0066635D" w:rsidRPr="0066635D" w:rsidP="001A0785" w14:paraId="5AC08556" w14:textId="77777777">
            <w:pPr>
              <w:jc w:val="right"/>
              <w:rPr>
                <w:sz w:val="20"/>
              </w:rPr>
            </w:pPr>
            <w:r w:rsidRPr="0066635D">
              <w:rPr>
                <w:sz w:val="20"/>
              </w:rPr>
              <w:t>564</w:t>
            </w:r>
          </w:p>
        </w:tc>
        <w:tc>
          <w:tcPr>
            <w:tcW w:w="1609" w:type="dxa"/>
            <w:noWrap/>
          </w:tcPr>
          <w:p w:rsidR="0066635D" w:rsidRPr="0066635D" w:rsidP="001A0785" w14:paraId="26C80983" w14:textId="77777777">
            <w:pPr>
              <w:jc w:val="right"/>
              <w:rPr>
                <w:sz w:val="20"/>
              </w:rPr>
            </w:pPr>
            <w:r w:rsidRPr="0066635D">
              <w:rPr>
                <w:sz w:val="20"/>
              </w:rPr>
              <w:t>4</w:t>
            </w:r>
          </w:p>
        </w:tc>
        <w:tc>
          <w:tcPr>
            <w:tcW w:w="1202" w:type="dxa"/>
            <w:noWrap/>
          </w:tcPr>
          <w:p w:rsidR="0066635D" w:rsidRPr="0066635D" w:rsidP="001A0785" w14:paraId="6321B530" w14:textId="77777777">
            <w:pPr>
              <w:jc w:val="right"/>
              <w:rPr>
                <w:sz w:val="20"/>
              </w:rPr>
            </w:pPr>
            <w:r w:rsidRPr="0066635D">
              <w:rPr>
                <w:sz w:val="20"/>
              </w:rPr>
              <w:t>2,256</w:t>
            </w:r>
          </w:p>
        </w:tc>
      </w:tr>
    </w:tbl>
    <w:p w:rsidR="0066635D" w:rsidRPr="0066635D" w:rsidP="001A0785" w14:paraId="3135CDA5" w14:textId="77777777">
      <w:pPr>
        <w:spacing w:line="480" w:lineRule="auto"/>
        <w:ind w:left="360"/>
        <w:rPr>
          <w:szCs w:val="20"/>
        </w:rPr>
      </w:pPr>
      <w:r w:rsidRPr="0066635D">
        <w:rPr>
          <w:sz w:val="20"/>
          <w:szCs w:val="20"/>
          <w:vertAlign w:val="superscript"/>
        </w:rPr>
        <w:t>1</w:t>
      </w:r>
      <w:r w:rsidRPr="0066635D">
        <w:rPr>
          <w:szCs w:val="20"/>
        </w:rPr>
        <w:t xml:space="preserve"> </w:t>
      </w:r>
      <w:r w:rsidRPr="0066635D">
        <w:rPr>
          <w:sz w:val="20"/>
          <w:szCs w:val="20"/>
        </w:rPr>
        <w:t>There are no capital costs or operating and maintenance costs associated with this collection of information.</w:t>
      </w:r>
    </w:p>
    <w:p w:rsidR="00CE7581" w:rsidP="00CC55B7" w14:paraId="1995432D" w14:textId="43208857">
      <w:pPr>
        <w:spacing w:after="200"/>
        <w:ind w:firstLine="360"/>
        <w:rPr>
          <w:rFonts w:eastAsia="Calibri"/>
        </w:rPr>
      </w:pPr>
      <w:r w:rsidRPr="00CE7581">
        <w:rPr>
          <w:rFonts w:eastAsia="Calibri"/>
        </w:rPr>
        <w:t>We have made no change in our estimate associated with the disclosure recommendations discussed in the guidance document.</w:t>
      </w:r>
    </w:p>
    <w:p w:rsidR="00357C8A" w:rsidRPr="00693746" w:rsidP="00693746" w14:paraId="2461AB67" w14:textId="1D028AAB">
      <w:pPr>
        <w:spacing w:after="200"/>
        <w:ind w:firstLine="720"/>
        <w:rPr>
          <w:rFonts w:eastAsia="Calibri"/>
          <w:i/>
          <w:iCs/>
        </w:rPr>
      </w:pPr>
      <w:r w:rsidRPr="00693746">
        <w:rPr>
          <w:rFonts w:eastAsia="Calibri"/>
          <w:i/>
          <w:iCs/>
        </w:rPr>
        <w:t>12b.  Annualized Cost Burden Estimate</w:t>
      </w:r>
    </w:p>
    <w:p w:rsidR="00E3465F" w:rsidP="00693746" w14:paraId="6B53331A" w14:textId="2DE2F0BD">
      <w:pPr>
        <w:spacing w:after="200"/>
        <w:ind w:firstLine="720"/>
        <w:rPr>
          <w:rFonts w:eastAsia="Calibri"/>
        </w:rPr>
      </w:pPr>
      <w:r>
        <w:rPr>
          <w:rFonts w:eastAsia="Calibri"/>
        </w:rPr>
        <w:t xml:space="preserve">Regarding GRAS notice submissions, </w:t>
      </w:r>
      <w:r w:rsidR="000B399B">
        <w:rPr>
          <w:rFonts w:eastAsia="Calibri"/>
        </w:rPr>
        <w:t>w</w:t>
      </w:r>
      <w:r w:rsidRPr="00756C3B" w:rsidR="00756C3B">
        <w:rPr>
          <w:rFonts w:eastAsia="Calibri"/>
        </w:rPr>
        <w:t>e estimate the annualized burden hour cost to respondents to be $</w:t>
      </w:r>
      <w:r w:rsidRPr="001A5CA0" w:rsidR="001A5CA0">
        <w:rPr>
          <w:rFonts w:eastAsia="Calibri"/>
        </w:rPr>
        <w:t>1,</w:t>
      </w:r>
      <w:r w:rsidR="00331F03">
        <w:rPr>
          <w:rFonts w:eastAsia="Calibri"/>
        </w:rPr>
        <w:t>262,</w:t>
      </w:r>
      <w:r w:rsidR="008E7A52">
        <w:rPr>
          <w:rFonts w:eastAsia="Calibri"/>
        </w:rPr>
        <w:t>924</w:t>
      </w:r>
      <w:r w:rsidRPr="00756C3B" w:rsidR="00756C3B">
        <w:rPr>
          <w:rFonts w:eastAsia="Calibri"/>
        </w:rPr>
        <w:t xml:space="preserve">.  We estimate the average wage for an operations manager to be the equivalent of a </w:t>
      </w:r>
      <w:r w:rsidR="009069FB">
        <w:rPr>
          <w:rFonts w:eastAsia="Calibri"/>
        </w:rPr>
        <w:t>F</w:t>
      </w:r>
      <w:r w:rsidRPr="00756C3B" w:rsidR="001D6EDC">
        <w:rPr>
          <w:rFonts w:eastAsia="Calibri"/>
        </w:rPr>
        <w:t>ederal</w:t>
      </w:r>
      <w:r w:rsidRPr="00756C3B" w:rsidR="00756C3B">
        <w:rPr>
          <w:rFonts w:eastAsia="Calibri"/>
        </w:rPr>
        <w:t xml:space="preserve"> government employee at the GS-11/Step 4 rate for the Washington-Baltimore locality pay area for the year 202</w:t>
      </w:r>
      <w:r w:rsidR="001D6EDC">
        <w:rPr>
          <w:rFonts w:eastAsia="Calibri"/>
        </w:rPr>
        <w:t>5</w:t>
      </w:r>
      <w:r w:rsidRPr="00756C3B" w:rsidR="00756C3B">
        <w:rPr>
          <w:rFonts w:eastAsia="Calibri"/>
        </w:rPr>
        <w:t>, which is $</w:t>
      </w:r>
      <w:r w:rsidR="001D6EDC">
        <w:rPr>
          <w:rFonts w:eastAsia="Calibri"/>
        </w:rPr>
        <w:t>44.59</w:t>
      </w:r>
      <w:r w:rsidRPr="00756C3B" w:rsidR="00756C3B">
        <w:rPr>
          <w:rFonts w:eastAsia="Calibri"/>
        </w:rPr>
        <w:t xml:space="preserve">/hour.  We also estimate the average wage rate for clerical staff to be the equivalent of a </w:t>
      </w:r>
      <w:r w:rsidR="00185109">
        <w:rPr>
          <w:rFonts w:eastAsia="Calibri"/>
        </w:rPr>
        <w:t>F</w:t>
      </w:r>
      <w:r w:rsidRPr="00756C3B" w:rsidR="001D6EDC">
        <w:rPr>
          <w:rFonts w:eastAsia="Calibri"/>
        </w:rPr>
        <w:t>ederal</w:t>
      </w:r>
      <w:r w:rsidRPr="00756C3B" w:rsidR="00756C3B">
        <w:rPr>
          <w:rFonts w:eastAsia="Calibri"/>
        </w:rPr>
        <w:t xml:space="preserve"> government employee at the GS-4/Step 4 level </w:t>
      </w:r>
      <w:bookmarkStart w:id="4" w:name="_Hlk98769682"/>
      <w:r w:rsidRPr="00756C3B" w:rsidR="00756C3B">
        <w:rPr>
          <w:rFonts w:eastAsia="Calibri"/>
        </w:rPr>
        <w:t xml:space="preserve">for the Washington-Baltimore locality pay area </w:t>
      </w:r>
      <w:bookmarkEnd w:id="4"/>
      <w:r w:rsidRPr="00756C3B" w:rsidR="00756C3B">
        <w:rPr>
          <w:rFonts w:eastAsia="Calibri"/>
        </w:rPr>
        <w:t>for the year 202</w:t>
      </w:r>
      <w:r w:rsidR="00470D8B">
        <w:rPr>
          <w:rFonts w:eastAsia="Calibri"/>
        </w:rPr>
        <w:t>5</w:t>
      </w:r>
      <w:r w:rsidRPr="00756C3B" w:rsidR="00756C3B">
        <w:rPr>
          <w:rFonts w:eastAsia="Calibri"/>
        </w:rPr>
        <w:t>, which is $</w:t>
      </w:r>
      <w:r w:rsidR="00470D8B">
        <w:rPr>
          <w:rFonts w:eastAsia="Calibri"/>
        </w:rPr>
        <w:t>21.74</w:t>
      </w:r>
      <w:r w:rsidRPr="00756C3B" w:rsidR="00756C3B">
        <w:rPr>
          <w:rFonts w:eastAsia="Calibri"/>
        </w:rPr>
        <w:t>/hour.  To account for overhead, both salaries will be doubled (i.e., $</w:t>
      </w:r>
      <w:r w:rsidR="00551258">
        <w:rPr>
          <w:rFonts w:eastAsia="Calibri"/>
        </w:rPr>
        <w:t>89.18</w:t>
      </w:r>
      <w:r w:rsidRPr="00756C3B" w:rsidR="00756C3B">
        <w:rPr>
          <w:rFonts w:eastAsia="Calibri"/>
        </w:rPr>
        <w:t>/hour for operations managers and $</w:t>
      </w:r>
      <w:r w:rsidR="005A6F8B">
        <w:rPr>
          <w:rFonts w:eastAsia="Calibri"/>
        </w:rPr>
        <w:t>43.48</w:t>
      </w:r>
      <w:r w:rsidRPr="00756C3B" w:rsidR="00756C3B">
        <w:rPr>
          <w:rFonts w:eastAsia="Calibri"/>
        </w:rPr>
        <w:t>/hour for clerical staff</w:t>
      </w:r>
      <w:r w:rsidR="00330F0A">
        <w:rPr>
          <w:rFonts w:eastAsia="Calibri"/>
        </w:rPr>
        <w:t>)</w:t>
      </w:r>
      <w:r w:rsidRPr="00756C3B" w:rsidR="00756C3B">
        <w:rPr>
          <w:rFonts w:eastAsia="Calibri"/>
        </w:rPr>
        <w:t xml:space="preserve">.  In addition, we estimate that the effort to </w:t>
      </w:r>
      <w:r w:rsidR="0032605E">
        <w:rPr>
          <w:rFonts w:eastAsia="Calibri"/>
        </w:rPr>
        <w:t>prepare and submit</w:t>
      </w:r>
      <w:r w:rsidRPr="00756C3B" w:rsidR="0032605E">
        <w:rPr>
          <w:rFonts w:eastAsia="Calibri"/>
        </w:rPr>
        <w:t xml:space="preserve"> </w:t>
      </w:r>
      <w:r w:rsidRPr="00756C3B" w:rsidR="00756C3B">
        <w:rPr>
          <w:rFonts w:eastAsia="Calibri"/>
        </w:rPr>
        <w:t xml:space="preserve">a GRAS </w:t>
      </w:r>
      <w:r w:rsidR="00B05287">
        <w:rPr>
          <w:rFonts w:eastAsia="Calibri"/>
        </w:rPr>
        <w:t>notification</w:t>
      </w:r>
      <w:r w:rsidRPr="00756C3B" w:rsidR="00B05287">
        <w:rPr>
          <w:rFonts w:eastAsia="Calibri"/>
        </w:rPr>
        <w:t xml:space="preserve"> </w:t>
      </w:r>
      <w:r w:rsidRPr="00756C3B" w:rsidR="00756C3B">
        <w:rPr>
          <w:rFonts w:eastAsia="Calibri"/>
        </w:rPr>
        <w:t xml:space="preserve">will be split evenly between managers and clerical staff. </w:t>
      </w:r>
    </w:p>
    <w:p w:rsidR="00122F17" w:rsidP="00396635" w14:paraId="39898A81" w14:textId="763A4186">
      <w:pPr>
        <w:spacing w:after="200"/>
        <w:rPr>
          <w:rFonts w:eastAsia="Calibri"/>
        </w:rPr>
      </w:pPr>
      <w:r>
        <w:rPr>
          <w:rFonts w:eastAsia="Calibri"/>
        </w:rPr>
        <w:t xml:space="preserve">Regarding the </w:t>
      </w:r>
      <w:r w:rsidR="00D405C3">
        <w:rPr>
          <w:rFonts w:eastAsia="Calibri"/>
        </w:rPr>
        <w:t xml:space="preserve">information collection related to convening GRAS panels, </w:t>
      </w:r>
      <w:r w:rsidRPr="008E7A52" w:rsidR="008E7A52">
        <w:rPr>
          <w:rFonts w:eastAsia="Calibri"/>
        </w:rPr>
        <w:t>we estimate the annualized burden hour cost to respondents to be $</w:t>
      </w:r>
      <w:r w:rsidR="000A7AF4">
        <w:rPr>
          <w:rFonts w:eastAsia="Calibri"/>
        </w:rPr>
        <w:t>2,</w:t>
      </w:r>
      <w:r w:rsidR="00C42D25">
        <w:rPr>
          <w:rFonts w:eastAsia="Calibri"/>
        </w:rPr>
        <w:t>199,680</w:t>
      </w:r>
      <w:r w:rsidRPr="008E7A52" w:rsidR="008E7A52">
        <w:rPr>
          <w:rFonts w:eastAsia="Calibri"/>
        </w:rPr>
        <w:t>.</w:t>
      </w:r>
      <w:r w:rsidR="00D405C3">
        <w:rPr>
          <w:rFonts w:eastAsia="Calibri"/>
        </w:rPr>
        <w:t xml:space="preserve"> </w:t>
      </w:r>
      <w:r w:rsidR="002A6869">
        <w:rPr>
          <w:rFonts w:eastAsia="Calibri"/>
        </w:rPr>
        <w:t xml:space="preserve"> </w:t>
      </w:r>
      <w:r w:rsidRPr="002A6869" w:rsidR="002A6869">
        <w:rPr>
          <w:rFonts w:eastAsia="Calibri"/>
        </w:rPr>
        <w:t>We estimate the average wage for a proponent to be the equivalent of a Federal government employee at the GS-15/Step 4 rate for the Washington-Baltimore locality pay area for the year 202</w:t>
      </w:r>
      <w:r w:rsidR="00E93159">
        <w:rPr>
          <w:rFonts w:eastAsia="Calibri"/>
        </w:rPr>
        <w:t>5</w:t>
      </w:r>
      <w:r w:rsidRPr="002A6869" w:rsidR="002A6869">
        <w:rPr>
          <w:rFonts w:eastAsia="Calibri"/>
        </w:rPr>
        <w:t>, which is $</w:t>
      </w:r>
      <w:r w:rsidR="005E4FBE">
        <w:rPr>
          <w:rFonts w:eastAsia="Calibri"/>
        </w:rPr>
        <w:t>8</w:t>
      </w:r>
      <w:r w:rsidRPr="002A6869" w:rsidR="002A6869">
        <w:rPr>
          <w:rFonts w:eastAsia="Calibri"/>
        </w:rPr>
        <w:t>8.</w:t>
      </w:r>
      <w:r w:rsidR="00E93159">
        <w:rPr>
          <w:rFonts w:eastAsia="Calibri"/>
        </w:rPr>
        <w:t>34</w:t>
      </w:r>
      <w:r w:rsidRPr="002A6869" w:rsidR="002A6869">
        <w:rPr>
          <w:rFonts w:eastAsia="Calibri"/>
        </w:rPr>
        <w:t>/hour.  We also estimate the average wage rate for a</w:t>
      </w:r>
      <w:r w:rsidR="00B10202">
        <w:rPr>
          <w:rFonts w:eastAsia="Calibri"/>
        </w:rPr>
        <w:t xml:space="preserve"> potential</w:t>
      </w:r>
      <w:r w:rsidRPr="002A6869" w:rsidR="002A6869">
        <w:rPr>
          <w:rFonts w:eastAsia="Calibri"/>
        </w:rPr>
        <w:t xml:space="preserve"> GRAS panel member to be the equivalent of a Federal government employee at the GS-14/Step 6 level for the Washington-Baltimore locality pay area for the year 202</w:t>
      </w:r>
      <w:r w:rsidR="005A5EC2">
        <w:rPr>
          <w:rFonts w:eastAsia="Calibri"/>
        </w:rPr>
        <w:t>5</w:t>
      </w:r>
      <w:r w:rsidRPr="002A6869" w:rsidR="002A6869">
        <w:rPr>
          <w:rFonts w:eastAsia="Calibri"/>
        </w:rPr>
        <w:t>, which is $7</w:t>
      </w:r>
      <w:r w:rsidR="00E93159">
        <w:rPr>
          <w:rFonts w:eastAsia="Calibri"/>
        </w:rPr>
        <w:t>9</w:t>
      </w:r>
      <w:r w:rsidRPr="002A6869" w:rsidR="002A6869">
        <w:rPr>
          <w:rFonts w:eastAsia="Calibri"/>
        </w:rPr>
        <w:t>.</w:t>
      </w:r>
      <w:r w:rsidR="00E93159">
        <w:rPr>
          <w:rFonts w:eastAsia="Calibri"/>
        </w:rPr>
        <w:t>6</w:t>
      </w:r>
      <w:r w:rsidRPr="002A6869" w:rsidR="002A6869">
        <w:rPr>
          <w:rFonts w:eastAsia="Calibri"/>
        </w:rPr>
        <w:t>5/hour.  To account for overhead, both wages are doubled (i.e., $1</w:t>
      </w:r>
      <w:r w:rsidR="00324971">
        <w:rPr>
          <w:rFonts w:eastAsia="Calibri"/>
        </w:rPr>
        <w:t>7</w:t>
      </w:r>
      <w:r w:rsidRPr="002A6869" w:rsidR="002A6869">
        <w:rPr>
          <w:rFonts w:eastAsia="Calibri"/>
        </w:rPr>
        <w:t>6.</w:t>
      </w:r>
      <w:r w:rsidR="00324971">
        <w:rPr>
          <w:rFonts w:eastAsia="Calibri"/>
        </w:rPr>
        <w:t>68</w:t>
      </w:r>
      <w:r w:rsidRPr="002A6869" w:rsidR="002A6869">
        <w:rPr>
          <w:rFonts w:eastAsia="Calibri"/>
        </w:rPr>
        <w:t>/hour for proponents and $1</w:t>
      </w:r>
      <w:r w:rsidR="00D66422">
        <w:rPr>
          <w:rFonts w:eastAsia="Calibri"/>
        </w:rPr>
        <w:t>59</w:t>
      </w:r>
      <w:r w:rsidRPr="002A6869" w:rsidR="002A6869">
        <w:rPr>
          <w:rFonts w:eastAsia="Calibri"/>
        </w:rPr>
        <w:t>.</w:t>
      </w:r>
      <w:r w:rsidR="00D66422">
        <w:rPr>
          <w:rFonts w:eastAsia="Calibri"/>
        </w:rPr>
        <w:t>30</w:t>
      </w:r>
      <w:r w:rsidRPr="002A6869" w:rsidR="002A6869">
        <w:rPr>
          <w:rFonts w:eastAsia="Calibri"/>
        </w:rPr>
        <w:t xml:space="preserve">/hour for </w:t>
      </w:r>
      <w:r w:rsidR="00030CFD">
        <w:rPr>
          <w:rFonts w:eastAsia="Calibri"/>
        </w:rPr>
        <w:t xml:space="preserve">potential </w:t>
      </w:r>
      <w:r w:rsidRPr="002A6869" w:rsidR="002A6869">
        <w:rPr>
          <w:rFonts w:eastAsia="Calibri"/>
        </w:rPr>
        <w:t xml:space="preserve">GRAS panel members).  </w:t>
      </w:r>
    </w:p>
    <w:p w:rsidR="00C34B4F" w:rsidP="00396635" w14:paraId="172BE3DB" w14:textId="6FC6D7CF">
      <w:pPr>
        <w:spacing w:after="200"/>
        <w:rPr>
          <w:rFonts w:eastAsia="Calibri"/>
        </w:rPr>
      </w:pPr>
      <w:r w:rsidRPr="00756C3B">
        <w:rPr>
          <w:rFonts w:eastAsia="Calibri"/>
        </w:rPr>
        <w:t>Therefore, the total cost of this collection of information to respondents is estimated to be $</w:t>
      </w:r>
      <w:r w:rsidRPr="00C42D25" w:rsidR="00C42D25">
        <w:rPr>
          <w:rFonts w:eastAsia="Calibri"/>
        </w:rPr>
        <w:t>3,462,604</w:t>
      </w:r>
      <w:r w:rsidRPr="00756C3B">
        <w:rPr>
          <w:rFonts w:eastAsia="Calibri"/>
        </w:rPr>
        <w:t xml:space="preserve">, which is listed in </w:t>
      </w:r>
      <w:r w:rsidR="002A6869">
        <w:rPr>
          <w:rFonts w:eastAsia="Calibri"/>
        </w:rPr>
        <w:t>T</w:t>
      </w:r>
      <w:r w:rsidRPr="00756C3B">
        <w:rPr>
          <w:rFonts w:eastAsia="Calibri"/>
        </w:rPr>
        <w:t xml:space="preserve">able </w:t>
      </w:r>
      <w:r w:rsidR="008A40C6">
        <w:rPr>
          <w:rFonts w:eastAsia="Calibri"/>
        </w:rPr>
        <w:t>4</w:t>
      </w:r>
      <w:r w:rsidRPr="00756C3B">
        <w:rPr>
          <w:rFonts w:eastAsia="Calibri"/>
        </w:rPr>
        <w:t xml:space="preserve"> below.</w:t>
      </w:r>
    </w:p>
    <w:p w:rsidR="00756C3B" w:rsidRPr="00BF4EB2" w:rsidP="00396635" w14:paraId="6D485AAB" w14:textId="4622F096">
      <w:pPr>
        <w:jc w:val="center"/>
        <w:rPr>
          <w:rFonts w:eastAsia="Calibri"/>
          <w:sz w:val="20"/>
          <w:szCs w:val="20"/>
        </w:rPr>
      </w:pPr>
      <w:r w:rsidRPr="00BF4EB2">
        <w:rPr>
          <w:rFonts w:eastAsia="Calibri"/>
          <w:sz w:val="20"/>
          <w:szCs w:val="20"/>
        </w:rPr>
        <w:t xml:space="preserve">Table </w:t>
      </w:r>
      <w:r w:rsidRPr="00BF4EB2" w:rsidR="003C0723">
        <w:rPr>
          <w:rFonts w:eastAsia="Calibri"/>
          <w:sz w:val="20"/>
          <w:szCs w:val="20"/>
        </w:rPr>
        <w:t>4</w:t>
      </w:r>
      <w:r w:rsidRPr="00BF4EB2">
        <w:rPr>
          <w:rFonts w:eastAsia="Calibri"/>
          <w:sz w:val="20"/>
          <w:szCs w:val="20"/>
        </w:rPr>
        <w:t>.--Estimated Annual Cost Burden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3"/>
        <w:gridCol w:w="1710"/>
        <w:gridCol w:w="1944"/>
        <w:gridCol w:w="2083"/>
      </w:tblGrid>
      <w:tr w14:paraId="54398535" w14:textId="77777777" w:rsidTr="00396635">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8"/>
        </w:trPr>
        <w:tc>
          <w:tcPr>
            <w:tcW w:w="3533" w:type="dxa"/>
            <w:shd w:val="clear" w:color="auto" w:fill="auto"/>
          </w:tcPr>
          <w:p w:rsidR="00756C3B" w:rsidRPr="00BF4EB2" w:rsidP="00396635" w14:paraId="0BCB328F" w14:textId="477184F7">
            <w:pPr>
              <w:spacing w:after="200"/>
              <w:jc w:val="center"/>
              <w:rPr>
                <w:rFonts w:eastAsia="Calibri"/>
                <w:sz w:val="20"/>
                <w:szCs w:val="20"/>
              </w:rPr>
            </w:pPr>
            <w:r w:rsidRPr="00BF4EB2">
              <w:rPr>
                <w:rFonts w:eastAsia="Calibri"/>
                <w:sz w:val="20"/>
                <w:szCs w:val="20"/>
              </w:rPr>
              <w:t>Activity; 21 CFR Section</w:t>
            </w:r>
            <w:r w:rsidR="001E29A7">
              <w:rPr>
                <w:rFonts w:eastAsia="Calibri"/>
                <w:sz w:val="20"/>
                <w:szCs w:val="20"/>
              </w:rPr>
              <w:t xml:space="preserve"> or </w:t>
            </w:r>
            <w:r w:rsidR="007F5F27">
              <w:rPr>
                <w:rFonts w:eastAsia="Calibri"/>
                <w:sz w:val="20"/>
                <w:szCs w:val="20"/>
              </w:rPr>
              <w:t>Type of Respondent</w:t>
            </w:r>
          </w:p>
        </w:tc>
        <w:tc>
          <w:tcPr>
            <w:tcW w:w="1710" w:type="dxa"/>
            <w:shd w:val="clear" w:color="auto" w:fill="auto"/>
          </w:tcPr>
          <w:p w:rsidR="00756C3B" w:rsidRPr="00BF4EB2" w:rsidP="00396635" w14:paraId="0D5F42BD" w14:textId="77777777">
            <w:pPr>
              <w:spacing w:after="200"/>
              <w:jc w:val="center"/>
              <w:rPr>
                <w:rFonts w:eastAsia="Calibri"/>
                <w:sz w:val="20"/>
                <w:szCs w:val="20"/>
              </w:rPr>
            </w:pPr>
            <w:r w:rsidRPr="00BF4EB2">
              <w:rPr>
                <w:rFonts w:eastAsia="Calibri"/>
                <w:sz w:val="20"/>
                <w:szCs w:val="20"/>
              </w:rPr>
              <w:t>Total Burden Hours</w:t>
            </w:r>
          </w:p>
        </w:tc>
        <w:tc>
          <w:tcPr>
            <w:tcW w:w="1944" w:type="dxa"/>
            <w:shd w:val="clear" w:color="auto" w:fill="auto"/>
          </w:tcPr>
          <w:p w:rsidR="00756C3B" w:rsidRPr="00BF4EB2" w:rsidP="00396635" w14:paraId="1A8FF546" w14:textId="77777777">
            <w:pPr>
              <w:spacing w:after="200"/>
              <w:jc w:val="center"/>
              <w:rPr>
                <w:rFonts w:eastAsia="Calibri"/>
                <w:sz w:val="20"/>
                <w:szCs w:val="20"/>
              </w:rPr>
            </w:pPr>
            <w:r w:rsidRPr="00BF4EB2">
              <w:rPr>
                <w:rFonts w:eastAsia="Calibri"/>
                <w:sz w:val="20"/>
                <w:szCs w:val="20"/>
              </w:rPr>
              <w:t>Hourly Wage Rate</w:t>
            </w:r>
          </w:p>
        </w:tc>
        <w:tc>
          <w:tcPr>
            <w:tcW w:w="2083" w:type="dxa"/>
            <w:shd w:val="clear" w:color="auto" w:fill="auto"/>
          </w:tcPr>
          <w:p w:rsidR="00756C3B" w:rsidRPr="00BF4EB2" w:rsidP="00396635" w14:paraId="1FC14324" w14:textId="77777777">
            <w:pPr>
              <w:spacing w:after="200"/>
              <w:jc w:val="center"/>
              <w:rPr>
                <w:rFonts w:eastAsia="Calibri"/>
                <w:sz w:val="20"/>
                <w:szCs w:val="20"/>
              </w:rPr>
            </w:pPr>
            <w:r w:rsidRPr="00BF4EB2">
              <w:rPr>
                <w:rFonts w:eastAsia="Calibri"/>
                <w:sz w:val="20"/>
                <w:szCs w:val="20"/>
              </w:rPr>
              <w:t>Total Respondent Costs</w:t>
            </w:r>
          </w:p>
        </w:tc>
      </w:tr>
      <w:tr w14:paraId="3DC55CD5" w14:textId="77777777" w:rsidTr="00396635">
        <w:tblPrEx>
          <w:tblW w:w="0" w:type="auto"/>
          <w:tblInd w:w="-5" w:type="dxa"/>
          <w:tblLook w:val="01E0"/>
        </w:tblPrEx>
        <w:tc>
          <w:tcPr>
            <w:tcW w:w="3533" w:type="dxa"/>
            <w:shd w:val="clear" w:color="auto" w:fill="auto"/>
          </w:tcPr>
          <w:p w:rsidR="00756C3B" w:rsidRPr="00BF4EB2" w:rsidP="00396635" w14:paraId="2DA3E3F9" w14:textId="56791FB3">
            <w:pPr>
              <w:spacing w:after="200"/>
              <w:rPr>
                <w:rFonts w:eastAsia="Calibri"/>
                <w:sz w:val="20"/>
                <w:szCs w:val="20"/>
              </w:rPr>
            </w:pPr>
            <w:r w:rsidRPr="00BF4EB2">
              <w:rPr>
                <w:rFonts w:eastAsia="Calibri"/>
                <w:sz w:val="20"/>
                <w:szCs w:val="20"/>
              </w:rPr>
              <w:t>GRAS notification procedure for human food; 170.210 through</w:t>
            </w:r>
            <w:r w:rsidRPr="00BF4EB2" w:rsidR="002613C3">
              <w:rPr>
                <w:rFonts w:eastAsia="Calibri"/>
                <w:sz w:val="20"/>
                <w:szCs w:val="20"/>
              </w:rPr>
              <w:t xml:space="preserve"> </w:t>
            </w:r>
            <w:r w:rsidRPr="00BF4EB2">
              <w:rPr>
                <w:rFonts w:eastAsia="Calibri"/>
                <w:sz w:val="20"/>
                <w:szCs w:val="20"/>
              </w:rPr>
              <w:t>170.270 (managers)</w:t>
            </w:r>
          </w:p>
        </w:tc>
        <w:tc>
          <w:tcPr>
            <w:tcW w:w="1710" w:type="dxa"/>
            <w:shd w:val="clear" w:color="auto" w:fill="auto"/>
          </w:tcPr>
          <w:p w:rsidR="00756C3B" w:rsidRPr="00BF4EB2" w:rsidP="00396635" w14:paraId="036DA545" w14:textId="501E722C">
            <w:pPr>
              <w:spacing w:after="200"/>
              <w:jc w:val="right"/>
              <w:rPr>
                <w:rFonts w:eastAsia="Calibri"/>
                <w:sz w:val="20"/>
                <w:szCs w:val="20"/>
              </w:rPr>
            </w:pPr>
            <w:r>
              <w:rPr>
                <w:rFonts w:eastAsia="Calibri"/>
                <w:sz w:val="20"/>
                <w:szCs w:val="20"/>
              </w:rPr>
              <w:t>8,500</w:t>
            </w:r>
          </w:p>
        </w:tc>
        <w:tc>
          <w:tcPr>
            <w:tcW w:w="1944" w:type="dxa"/>
            <w:shd w:val="clear" w:color="auto" w:fill="auto"/>
          </w:tcPr>
          <w:p w:rsidR="00756C3B" w:rsidRPr="00BF4EB2" w:rsidP="00396635" w14:paraId="206A0B6E" w14:textId="0B7E39A4">
            <w:pPr>
              <w:spacing w:after="200"/>
              <w:jc w:val="right"/>
              <w:rPr>
                <w:rFonts w:eastAsia="Calibri"/>
                <w:sz w:val="20"/>
                <w:szCs w:val="20"/>
              </w:rPr>
            </w:pPr>
            <w:r w:rsidRPr="00BF4EB2">
              <w:rPr>
                <w:rFonts w:eastAsia="Calibri"/>
                <w:sz w:val="20"/>
                <w:szCs w:val="20"/>
              </w:rPr>
              <w:t>$</w:t>
            </w:r>
            <w:r w:rsidRPr="00BF4EB2" w:rsidR="00F81769">
              <w:rPr>
                <w:rFonts w:eastAsia="Calibri"/>
                <w:sz w:val="20"/>
                <w:szCs w:val="20"/>
              </w:rPr>
              <w:t>89.18</w:t>
            </w:r>
          </w:p>
        </w:tc>
        <w:tc>
          <w:tcPr>
            <w:tcW w:w="2083" w:type="dxa"/>
            <w:shd w:val="clear" w:color="auto" w:fill="auto"/>
          </w:tcPr>
          <w:p w:rsidR="00756C3B" w:rsidRPr="00BF4EB2" w:rsidP="00396635" w14:paraId="1F4539C1" w14:textId="3B0ED2AF">
            <w:pPr>
              <w:spacing w:after="200"/>
              <w:jc w:val="right"/>
              <w:rPr>
                <w:rFonts w:eastAsia="Calibri"/>
                <w:sz w:val="20"/>
                <w:szCs w:val="20"/>
              </w:rPr>
            </w:pPr>
            <w:r w:rsidRPr="00BF4EB2">
              <w:rPr>
                <w:rFonts w:eastAsia="Calibri"/>
                <w:sz w:val="20"/>
                <w:szCs w:val="20"/>
              </w:rPr>
              <w:t>$</w:t>
            </w:r>
            <w:r w:rsidR="003F3EEB">
              <w:rPr>
                <w:rFonts w:eastAsia="Calibri"/>
                <w:sz w:val="20"/>
                <w:szCs w:val="20"/>
              </w:rPr>
              <w:t>758,030</w:t>
            </w:r>
          </w:p>
        </w:tc>
      </w:tr>
      <w:tr w14:paraId="00560EA2" w14:textId="77777777" w:rsidTr="00396635">
        <w:tblPrEx>
          <w:tblW w:w="0" w:type="auto"/>
          <w:tblInd w:w="-5" w:type="dxa"/>
          <w:tblLook w:val="01E0"/>
        </w:tblPrEx>
        <w:tc>
          <w:tcPr>
            <w:tcW w:w="3533" w:type="dxa"/>
            <w:shd w:val="clear" w:color="auto" w:fill="auto"/>
          </w:tcPr>
          <w:p w:rsidR="00756C3B" w:rsidRPr="00BF4EB2" w:rsidP="001A0785" w14:paraId="6C5D50DA" w14:textId="19BF25FD">
            <w:pPr>
              <w:spacing w:after="200"/>
              <w:rPr>
                <w:rFonts w:eastAsia="Calibri"/>
                <w:sz w:val="20"/>
                <w:szCs w:val="20"/>
              </w:rPr>
            </w:pPr>
            <w:r w:rsidRPr="00BF4EB2">
              <w:rPr>
                <w:rFonts w:eastAsia="Calibri"/>
                <w:sz w:val="20"/>
                <w:szCs w:val="20"/>
              </w:rPr>
              <w:t>GRAS notification procedure for human food; 170.210 through</w:t>
            </w:r>
            <w:r w:rsidRPr="00BF4EB2" w:rsidR="002613C3">
              <w:rPr>
                <w:rFonts w:eastAsia="Calibri"/>
                <w:sz w:val="20"/>
                <w:szCs w:val="20"/>
              </w:rPr>
              <w:t xml:space="preserve"> </w:t>
            </w:r>
            <w:r w:rsidRPr="00BF4EB2">
              <w:rPr>
                <w:rFonts w:eastAsia="Calibri"/>
                <w:sz w:val="20"/>
                <w:szCs w:val="20"/>
              </w:rPr>
              <w:t>170.270 (clerical)</w:t>
            </w:r>
          </w:p>
        </w:tc>
        <w:tc>
          <w:tcPr>
            <w:tcW w:w="1710" w:type="dxa"/>
            <w:shd w:val="clear" w:color="auto" w:fill="auto"/>
          </w:tcPr>
          <w:p w:rsidR="00756C3B" w:rsidRPr="00BF4EB2" w:rsidP="001A0785" w14:paraId="52F3A9B7" w14:textId="6F3A88C2">
            <w:pPr>
              <w:spacing w:after="200"/>
              <w:ind w:left="360"/>
              <w:jc w:val="right"/>
              <w:rPr>
                <w:rFonts w:eastAsia="Calibri"/>
                <w:sz w:val="20"/>
                <w:szCs w:val="20"/>
              </w:rPr>
            </w:pPr>
            <w:r>
              <w:rPr>
                <w:rFonts w:eastAsia="Calibri"/>
                <w:sz w:val="20"/>
                <w:szCs w:val="20"/>
              </w:rPr>
              <w:t>8,500</w:t>
            </w:r>
          </w:p>
        </w:tc>
        <w:tc>
          <w:tcPr>
            <w:tcW w:w="1944" w:type="dxa"/>
            <w:shd w:val="clear" w:color="auto" w:fill="auto"/>
          </w:tcPr>
          <w:p w:rsidR="00756C3B" w:rsidRPr="00BF4EB2" w:rsidP="001A0785" w14:paraId="68C2A852" w14:textId="6CACB3DE">
            <w:pPr>
              <w:spacing w:after="200"/>
              <w:ind w:left="360"/>
              <w:jc w:val="right"/>
              <w:rPr>
                <w:rFonts w:eastAsia="Calibri"/>
                <w:sz w:val="20"/>
                <w:szCs w:val="20"/>
              </w:rPr>
            </w:pPr>
            <w:r w:rsidRPr="00BF4EB2">
              <w:rPr>
                <w:rFonts w:eastAsia="Calibri"/>
                <w:sz w:val="20"/>
                <w:szCs w:val="20"/>
              </w:rPr>
              <w:t>$</w:t>
            </w:r>
            <w:r w:rsidRPr="00BF4EB2" w:rsidR="00F81769">
              <w:rPr>
                <w:rFonts w:eastAsia="Calibri"/>
                <w:sz w:val="20"/>
                <w:szCs w:val="20"/>
              </w:rPr>
              <w:t>43.48</w:t>
            </w:r>
          </w:p>
        </w:tc>
        <w:tc>
          <w:tcPr>
            <w:tcW w:w="2083" w:type="dxa"/>
            <w:shd w:val="clear" w:color="auto" w:fill="auto"/>
          </w:tcPr>
          <w:p w:rsidR="00756C3B" w:rsidRPr="00BF4EB2" w:rsidP="001A0785" w14:paraId="0EC03FA3" w14:textId="3705EA2C">
            <w:pPr>
              <w:spacing w:after="200"/>
              <w:ind w:left="360"/>
              <w:jc w:val="right"/>
              <w:rPr>
                <w:rFonts w:eastAsia="Calibri"/>
                <w:sz w:val="20"/>
                <w:szCs w:val="20"/>
              </w:rPr>
            </w:pPr>
            <w:r w:rsidRPr="00BF4EB2">
              <w:rPr>
                <w:rFonts w:eastAsia="Calibri"/>
                <w:sz w:val="20"/>
                <w:szCs w:val="20"/>
              </w:rPr>
              <w:t>$</w:t>
            </w:r>
            <w:r w:rsidR="00EF1446">
              <w:rPr>
                <w:rFonts w:eastAsia="Calibri"/>
                <w:sz w:val="20"/>
                <w:szCs w:val="20"/>
              </w:rPr>
              <w:t>369,580</w:t>
            </w:r>
          </w:p>
        </w:tc>
      </w:tr>
      <w:tr w14:paraId="26036947" w14:textId="77777777" w:rsidTr="00396635">
        <w:tblPrEx>
          <w:tblW w:w="0" w:type="auto"/>
          <w:tblInd w:w="-5" w:type="dxa"/>
          <w:tblLook w:val="01E0"/>
        </w:tblPrEx>
        <w:tc>
          <w:tcPr>
            <w:tcW w:w="3533" w:type="dxa"/>
            <w:shd w:val="clear" w:color="auto" w:fill="auto"/>
          </w:tcPr>
          <w:p w:rsidR="00756C3B" w:rsidRPr="00BF4EB2" w:rsidP="001A0785" w14:paraId="43266209" w14:textId="341EEC61">
            <w:pPr>
              <w:spacing w:after="200"/>
              <w:rPr>
                <w:rFonts w:eastAsia="Calibri"/>
                <w:sz w:val="20"/>
                <w:szCs w:val="20"/>
              </w:rPr>
            </w:pPr>
            <w:r w:rsidRPr="00BF4EB2">
              <w:rPr>
                <w:rFonts w:eastAsia="Calibri"/>
                <w:sz w:val="20"/>
                <w:szCs w:val="20"/>
              </w:rPr>
              <w:t>GRAS notification procedure for animal food;</w:t>
            </w:r>
            <w:r w:rsidR="00FD4349">
              <w:rPr>
                <w:rFonts w:eastAsia="Calibri"/>
                <w:sz w:val="20"/>
                <w:szCs w:val="20"/>
              </w:rPr>
              <w:t xml:space="preserve"> </w:t>
            </w:r>
            <w:r w:rsidRPr="00BF4EB2">
              <w:rPr>
                <w:rFonts w:eastAsia="Calibri"/>
                <w:sz w:val="20"/>
                <w:szCs w:val="20"/>
              </w:rPr>
              <w:t>570.210 through 570.270</w:t>
            </w:r>
            <w:r w:rsidR="00FD4349">
              <w:rPr>
                <w:rFonts w:eastAsia="Calibri"/>
                <w:sz w:val="20"/>
                <w:szCs w:val="20"/>
              </w:rPr>
              <w:t xml:space="preserve"> </w:t>
            </w:r>
            <w:r w:rsidRPr="00BF4EB2">
              <w:rPr>
                <w:rFonts w:eastAsia="Calibri"/>
                <w:sz w:val="20"/>
                <w:szCs w:val="20"/>
              </w:rPr>
              <w:t>(managers)</w:t>
            </w:r>
          </w:p>
        </w:tc>
        <w:tc>
          <w:tcPr>
            <w:tcW w:w="1710" w:type="dxa"/>
            <w:shd w:val="clear" w:color="auto" w:fill="auto"/>
          </w:tcPr>
          <w:p w:rsidR="00756C3B" w:rsidRPr="00BF4EB2" w:rsidP="001A0785" w14:paraId="328BC5C4" w14:textId="215F1869">
            <w:pPr>
              <w:spacing w:after="200"/>
              <w:ind w:left="360"/>
              <w:jc w:val="right"/>
              <w:rPr>
                <w:rFonts w:eastAsia="Calibri"/>
                <w:sz w:val="20"/>
                <w:szCs w:val="20"/>
              </w:rPr>
            </w:pPr>
            <w:r>
              <w:rPr>
                <w:rFonts w:eastAsia="Calibri"/>
                <w:sz w:val="20"/>
                <w:szCs w:val="20"/>
              </w:rPr>
              <w:t>1,0</w:t>
            </w:r>
            <w:r w:rsidR="001B3CCA">
              <w:rPr>
                <w:rFonts w:eastAsia="Calibri"/>
                <w:sz w:val="20"/>
                <w:szCs w:val="20"/>
              </w:rPr>
              <w:t>2</w:t>
            </w:r>
            <w:r>
              <w:rPr>
                <w:rFonts w:eastAsia="Calibri"/>
                <w:sz w:val="20"/>
                <w:szCs w:val="20"/>
              </w:rPr>
              <w:t>0</w:t>
            </w:r>
          </w:p>
        </w:tc>
        <w:tc>
          <w:tcPr>
            <w:tcW w:w="1944" w:type="dxa"/>
            <w:shd w:val="clear" w:color="auto" w:fill="auto"/>
          </w:tcPr>
          <w:p w:rsidR="00756C3B" w:rsidRPr="00BF4EB2" w:rsidP="001A0785" w14:paraId="372EC985" w14:textId="55D7F8EE">
            <w:pPr>
              <w:spacing w:after="200"/>
              <w:ind w:left="360"/>
              <w:jc w:val="right"/>
              <w:rPr>
                <w:rFonts w:eastAsia="Calibri"/>
                <w:sz w:val="20"/>
                <w:szCs w:val="20"/>
              </w:rPr>
            </w:pPr>
            <w:r w:rsidRPr="00BF4EB2">
              <w:rPr>
                <w:rFonts w:eastAsia="Calibri"/>
                <w:sz w:val="20"/>
                <w:szCs w:val="20"/>
              </w:rPr>
              <w:t>$</w:t>
            </w:r>
            <w:r w:rsidRPr="00BF4EB2" w:rsidR="00F81769">
              <w:rPr>
                <w:rFonts w:eastAsia="Calibri"/>
                <w:sz w:val="20"/>
                <w:szCs w:val="20"/>
              </w:rPr>
              <w:t>89.18</w:t>
            </w:r>
          </w:p>
        </w:tc>
        <w:tc>
          <w:tcPr>
            <w:tcW w:w="2083" w:type="dxa"/>
            <w:shd w:val="clear" w:color="auto" w:fill="auto"/>
          </w:tcPr>
          <w:p w:rsidR="00756C3B" w:rsidRPr="00BF4EB2" w:rsidP="001A0785" w14:paraId="18F5BA93" w14:textId="58383F72">
            <w:pPr>
              <w:spacing w:after="200"/>
              <w:ind w:left="360"/>
              <w:jc w:val="right"/>
              <w:rPr>
                <w:rFonts w:eastAsia="Calibri"/>
                <w:sz w:val="20"/>
                <w:szCs w:val="20"/>
              </w:rPr>
            </w:pPr>
            <w:r w:rsidRPr="00BF4EB2">
              <w:rPr>
                <w:rFonts w:eastAsia="Calibri"/>
                <w:sz w:val="20"/>
                <w:szCs w:val="20"/>
              </w:rPr>
              <w:t>$</w:t>
            </w:r>
            <w:r w:rsidR="00F14764">
              <w:rPr>
                <w:rFonts w:eastAsia="Calibri"/>
                <w:sz w:val="20"/>
                <w:szCs w:val="20"/>
              </w:rPr>
              <w:t>90</w:t>
            </w:r>
            <w:r w:rsidR="00413F02">
              <w:rPr>
                <w:rFonts w:eastAsia="Calibri"/>
                <w:sz w:val="20"/>
                <w:szCs w:val="20"/>
              </w:rPr>
              <w:t>,964</w:t>
            </w:r>
          </w:p>
        </w:tc>
      </w:tr>
      <w:tr w14:paraId="053F9494" w14:textId="77777777" w:rsidTr="00396635">
        <w:tblPrEx>
          <w:tblW w:w="0" w:type="auto"/>
          <w:tblInd w:w="-5" w:type="dxa"/>
          <w:tblLook w:val="01E0"/>
        </w:tblPrEx>
        <w:trPr>
          <w:trHeight w:val="710"/>
        </w:trPr>
        <w:tc>
          <w:tcPr>
            <w:tcW w:w="3533" w:type="dxa"/>
            <w:shd w:val="clear" w:color="auto" w:fill="auto"/>
          </w:tcPr>
          <w:p w:rsidR="00756C3B" w:rsidRPr="00BF4EB2" w:rsidP="001A0785" w14:paraId="214BCB19" w14:textId="2312DA30">
            <w:pPr>
              <w:spacing w:after="200"/>
              <w:rPr>
                <w:rFonts w:eastAsia="Calibri"/>
                <w:sz w:val="20"/>
                <w:szCs w:val="20"/>
              </w:rPr>
            </w:pPr>
            <w:r w:rsidRPr="00BF4EB2">
              <w:rPr>
                <w:rFonts w:eastAsia="Calibri"/>
                <w:sz w:val="20"/>
                <w:szCs w:val="20"/>
              </w:rPr>
              <w:t>GRAS notification procedure for animal food;</w:t>
            </w:r>
            <w:r w:rsidR="00FD4349">
              <w:rPr>
                <w:rFonts w:eastAsia="Calibri"/>
                <w:sz w:val="20"/>
                <w:szCs w:val="20"/>
              </w:rPr>
              <w:t xml:space="preserve"> </w:t>
            </w:r>
            <w:r w:rsidRPr="00BF4EB2">
              <w:rPr>
                <w:rFonts w:eastAsia="Calibri"/>
                <w:sz w:val="20"/>
                <w:szCs w:val="20"/>
              </w:rPr>
              <w:t>570.210 through 570.270 (clerical)</w:t>
            </w:r>
          </w:p>
        </w:tc>
        <w:tc>
          <w:tcPr>
            <w:tcW w:w="1710" w:type="dxa"/>
            <w:shd w:val="clear" w:color="auto" w:fill="auto"/>
          </w:tcPr>
          <w:p w:rsidR="00756C3B" w:rsidRPr="00BF4EB2" w:rsidP="001A0785" w14:paraId="73BB40D7" w14:textId="2549335A">
            <w:pPr>
              <w:spacing w:after="200"/>
              <w:ind w:left="360"/>
              <w:jc w:val="right"/>
              <w:rPr>
                <w:rFonts w:eastAsia="Calibri"/>
                <w:sz w:val="20"/>
                <w:szCs w:val="20"/>
              </w:rPr>
            </w:pPr>
            <w:r>
              <w:rPr>
                <w:rFonts w:eastAsia="Calibri"/>
                <w:sz w:val="20"/>
                <w:szCs w:val="20"/>
              </w:rPr>
              <w:t>1,0</w:t>
            </w:r>
            <w:r w:rsidR="001B3CCA">
              <w:rPr>
                <w:rFonts w:eastAsia="Calibri"/>
                <w:sz w:val="20"/>
                <w:szCs w:val="20"/>
              </w:rPr>
              <w:t>2</w:t>
            </w:r>
            <w:r>
              <w:rPr>
                <w:rFonts w:eastAsia="Calibri"/>
                <w:sz w:val="20"/>
                <w:szCs w:val="20"/>
              </w:rPr>
              <w:t>0</w:t>
            </w:r>
          </w:p>
        </w:tc>
        <w:tc>
          <w:tcPr>
            <w:tcW w:w="1944" w:type="dxa"/>
            <w:shd w:val="clear" w:color="auto" w:fill="auto"/>
          </w:tcPr>
          <w:p w:rsidR="00756C3B" w:rsidRPr="00BF4EB2" w:rsidP="001A0785" w14:paraId="71B3723C" w14:textId="325A1541">
            <w:pPr>
              <w:spacing w:after="200"/>
              <w:ind w:left="360"/>
              <w:jc w:val="right"/>
              <w:rPr>
                <w:rFonts w:eastAsia="Calibri"/>
                <w:sz w:val="20"/>
                <w:szCs w:val="20"/>
              </w:rPr>
            </w:pPr>
            <w:r w:rsidRPr="00BF4EB2">
              <w:rPr>
                <w:rFonts w:eastAsia="Calibri"/>
                <w:sz w:val="20"/>
                <w:szCs w:val="20"/>
              </w:rPr>
              <w:t>$</w:t>
            </w:r>
            <w:r w:rsidRPr="00BF4EB2" w:rsidR="00F81769">
              <w:rPr>
                <w:rFonts w:eastAsia="Calibri"/>
                <w:sz w:val="20"/>
                <w:szCs w:val="20"/>
              </w:rPr>
              <w:t>43.48</w:t>
            </w:r>
          </w:p>
        </w:tc>
        <w:tc>
          <w:tcPr>
            <w:tcW w:w="2083" w:type="dxa"/>
            <w:shd w:val="clear" w:color="auto" w:fill="auto"/>
          </w:tcPr>
          <w:p w:rsidR="00756C3B" w:rsidRPr="00BF4EB2" w:rsidP="001A0785" w14:paraId="0C326B00" w14:textId="0443BF9B">
            <w:pPr>
              <w:spacing w:after="200"/>
              <w:ind w:left="360"/>
              <w:jc w:val="right"/>
              <w:rPr>
                <w:rFonts w:eastAsia="Calibri"/>
                <w:sz w:val="20"/>
                <w:szCs w:val="20"/>
              </w:rPr>
            </w:pPr>
            <w:r w:rsidRPr="00BF4EB2">
              <w:rPr>
                <w:rFonts w:eastAsia="Calibri"/>
                <w:sz w:val="20"/>
                <w:szCs w:val="20"/>
              </w:rPr>
              <w:t>$</w:t>
            </w:r>
            <w:r w:rsidR="00413F02">
              <w:rPr>
                <w:rFonts w:eastAsia="Calibri"/>
                <w:sz w:val="20"/>
                <w:szCs w:val="20"/>
              </w:rPr>
              <w:t>44,</w:t>
            </w:r>
            <w:r w:rsidR="00B64A46">
              <w:rPr>
                <w:rFonts w:eastAsia="Calibri"/>
                <w:sz w:val="20"/>
                <w:szCs w:val="20"/>
              </w:rPr>
              <w:t>350</w:t>
            </w:r>
          </w:p>
        </w:tc>
      </w:tr>
      <w:tr w14:paraId="6568E32C" w14:textId="77777777" w:rsidTr="00396635">
        <w:tblPrEx>
          <w:tblW w:w="0" w:type="auto"/>
          <w:tblInd w:w="-5" w:type="dxa"/>
          <w:tblLook w:val="01E0"/>
        </w:tblPrEx>
        <w:trPr>
          <w:trHeight w:val="710"/>
        </w:trPr>
        <w:tc>
          <w:tcPr>
            <w:tcW w:w="3533" w:type="dxa"/>
            <w:shd w:val="clear" w:color="auto" w:fill="auto"/>
          </w:tcPr>
          <w:p w:rsidR="00335A2A" w:rsidRPr="00335A2A" w:rsidP="001A0785" w14:paraId="4697AF65" w14:textId="06AD48D9">
            <w:pPr>
              <w:spacing w:after="200"/>
              <w:rPr>
                <w:rFonts w:eastAsia="Calibri"/>
                <w:sz w:val="20"/>
                <w:szCs w:val="20"/>
              </w:rPr>
            </w:pPr>
            <w:r>
              <w:rPr>
                <w:rFonts w:eastAsia="Calibri"/>
                <w:sz w:val="20"/>
                <w:szCs w:val="20"/>
              </w:rPr>
              <w:t xml:space="preserve">Recordkeeping </w:t>
            </w:r>
            <w:r w:rsidR="00785AC3">
              <w:rPr>
                <w:rFonts w:eastAsia="Calibri"/>
                <w:sz w:val="20"/>
                <w:szCs w:val="20"/>
              </w:rPr>
              <w:t>for m</w:t>
            </w:r>
            <w:r w:rsidR="007F5F27">
              <w:rPr>
                <w:rFonts w:eastAsia="Calibri"/>
                <w:sz w:val="20"/>
                <w:szCs w:val="20"/>
              </w:rPr>
              <w:t xml:space="preserve">aintaining and </w:t>
            </w:r>
            <w:r>
              <w:rPr>
                <w:rFonts w:eastAsia="Calibri"/>
                <w:sz w:val="20"/>
                <w:szCs w:val="20"/>
              </w:rPr>
              <w:t>a</w:t>
            </w:r>
            <w:r w:rsidR="007F5F27">
              <w:rPr>
                <w:rFonts w:eastAsia="Calibri"/>
                <w:sz w:val="20"/>
                <w:szCs w:val="20"/>
              </w:rPr>
              <w:t xml:space="preserve">pplying GRAS </w:t>
            </w:r>
            <w:r>
              <w:rPr>
                <w:rFonts w:eastAsia="Calibri"/>
                <w:sz w:val="20"/>
                <w:szCs w:val="20"/>
              </w:rPr>
              <w:t>written policy</w:t>
            </w:r>
            <w:r w:rsidR="00785AC3">
              <w:rPr>
                <w:rFonts w:eastAsia="Calibri"/>
                <w:sz w:val="20"/>
                <w:szCs w:val="20"/>
              </w:rPr>
              <w:t>; proponent</w:t>
            </w:r>
          </w:p>
        </w:tc>
        <w:tc>
          <w:tcPr>
            <w:tcW w:w="1710" w:type="dxa"/>
            <w:shd w:val="clear" w:color="auto" w:fill="auto"/>
          </w:tcPr>
          <w:p w:rsidR="00335A2A" w:rsidP="001A0785" w14:paraId="44308D48" w14:textId="1EAD8201">
            <w:pPr>
              <w:spacing w:after="200"/>
              <w:ind w:left="360"/>
              <w:jc w:val="right"/>
              <w:rPr>
                <w:rFonts w:eastAsia="Calibri"/>
                <w:sz w:val="20"/>
                <w:szCs w:val="20"/>
              </w:rPr>
            </w:pPr>
            <w:r>
              <w:rPr>
                <w:rFonts w:eastAsia="Calibri"/>
                <w:sz w:val="20"/>
                <w:szCs w:val="20"/>
              </w:rPr>
              <w:t>10,416</w:t>
            </w:r>
          </w:p>
        </w:tc>
        <w:tc>
          <w:tcPr>
            <w:tcW w:w="1944" w:type="dxa"/>
            <w:shd w:val="clear" w:color="auto" w:fill="auto"/>
          </w:tcPr>
          <w:p w:rsidR="00335A2A" w:rsidRPr="00335A2A" w:rsidP="001A0785" w14:paraId="15A8E9F6" w14:textId="5F058BE9">
            <w:pPr>
              <w:spacing w:after="200"/>
              <w:ind w:left="360"/>
              <w:jc w:val="right"/>
              <w:rPr>
                <w:rFonts w:eastAsia="Calibri"/>
                <w:sz w:val="20"/>
                <w:szCs w:val="20"/>
              </w:rPr>
            </w:pPr>
            <w:r w:rsidRPr="004F3AA0">
              <w:rPr>
                <w:rFonts w:eastAsia="Calibri"/>
                <w:sz w:val="20"/>
                <w:szCs w:val="20"/>
              </w:rPr>
              <w:t>$176.68</w:t>
            </w:r>
          </w:p>
        </w:tc>
        <w:tc>
          <w:tcPr>
            <w:tcW w:w="2083" w:type="dxa"/>
            <w:shd w:val="clear" w:color="auto" w:fill="auto"/>
          </w:tcPr>
          <w:p w:rsidR="00335A2A" w:rsidRPr="00335A2A" w:rsidP="001A0785" w14:paraId="0C243DF0" w14:textId="24FF43AB">
            <w:pPr>
              <w:spacing w:after="200"/>
              <w:ind w:left="360"/>
              <w:jc w:val="right"/>
              <w:rPr>
                <w:rFonts w:eastAsia="Calibri"/>
                <w:sz w:val="20"/>
                <w:szCs w:val="20"/>
              </w:rPr>
            </w:pPr>
            <w:r>
              <w:rPr>
                <w:rFonts w:eastAsia="Calibri"/>
                <w:sz w:val="20"/>
                <w:szCs w:val="20"/>
              </w:rPr>
              <w:t>$1,840,299</w:t>
            </w:r>
          </w:p>
        </w:tc>
      </w:tr>
      <w:tr w14:paraId="313A7203" w14:textId="77777777" w:rsidTr="00396635">
        <w:tblPrEx>
          <w:tblW w:w="0" w:type="auto"/>
          <w:tblInd w:w="-5" w:type="dxa"/>
          <w:tblLook w:val="01E0"/>
        </w:tblPrEx>
        <w:trPr>
          <w:trHeight w:val="710"/>
        </w:trPr>
        <w:tc>
          <w:tcPr>
            <w:tcW w:w="3533" w:type="dxa"/>
            <w:shd w:val="clear" w:color="auto" w:fill="auto"/>
          </w:tcPr>
          <w:p w:rsidR="00335A2A" w:rsidRPr="00335A2A" w:rsidP="001A0785" w14:paraId="354775D4" w14:textId="3782EAF7">
            <w:pPr>
              <w:spacing w:after="200"/>
              <w:rPr>
                <w:rFonts w:eastAsia="Calibri"/>
                <w:sz w:val="20"/>
                <w:szCs w:val="20"/>
              </w:rPr>
            </w:pPr>
            <w:r>
              <w:rPr>
                <w:rFonts w:eastAsia="Calibri"/>
                <w:sz w:val="20"/>
                <w:szCs w:val="20"/>
              </w:rPr>
              <w:t>Submission of information to proponents</w:t>
            </w:r>
            <w:r w:rsidR="003D22A3">
              <w:rPr>
                <w:rFonts w:eastAsia="Calibri"/>
                <w:sz w:val="20"/>
                <w:szCs w:val="20"/>
              </w:rPr>
              <w:t xml:space="preserve">; </w:t>
            </w:r>
            <w:r w:rsidRPr="003D22A3" w:rsidR="003D22A3">
              <w:rPr>
                <w:rFonts w:eastAsia="Calibri"/>
                <w:sz w:val="20"/>
                <w:szCs w:val="20"/>
              </w:rPr>
              <w:t>potential GRAS panel members</w:t>
            </w:r>
          </w:p>
        </w:tc>
        <w:tc>
          <w:tcPr>
            <w:tcW w:w="1710" w:type="dxa"/>
            <w:shd w:val="clear" w:color="auto" w:fill="auto"/>
          </w:tcPr>
          <w:p w:rsidR="00335A2A" w:rsidP="001A0785" w14:paraId="11800DCD" w14:textId="1B9FECA1">
            <w:pPr>
              <w:spacing w:after="200"/>
              <w:ind w:left="360"/>
              <w:jc w:val="right"/>
              <w:rPr>
                <w:rFonts w:eastAsia="Calibri"/>
                <w:sz w:val="20"/>
                <w:szCs w:val="20"/>
              </w:rPr>
            </w:pPr>
            <w:r>
              <w:rPr>
                <w:rFonts w:eastAsia="Calibri"/>
                <w:sz w:val="20"/>
                <w:szCs w:val="20"/>
              </w:rPr>
              <w:t>2,256</w:t>
            </w:r>
          </w:p>
        </w:tc>
        <w:tc>
          <w:tcPr>
            <w:tcW w:w="1944" w:type="dxa"/>
            <w:shd w:val="clear" w:color="auto" w:fill="auto"/>
          </w:tcPr>
          <w:p w:rsidR="00335A2A" w:rsidRPr="00335A2A" w:rsidP="001A0785" w14:paraId="789E2565" w14:textId="440FF90B">
            <w:pPr>
              <w:spacing w:after="200"/>
              <w:ind w:left="360"/>
              <w:jc w:val="right"/>
              <w:rPr>
                <w:rFonts w:eastAsia="Calibri"/>
                <w:sz w:val="20"/>
                <w:szCs w:val="20"/>
              </w:rPr>
            </w:pPr>
            <w:r w:rsidRPr="0030271F">
              <w:rPr>
                <w:rFonts w:eastAsia="Calibri"/>
                <w:sz w:val="20"/>
                <w:szCs w:val="20"/>
              </w:rPr>
              <w:t>$159.30</w:t>
            </w:r>
          </w:p>
        </w:tc>
        <w:tc>
          <w:tcPr>
            <w:tcW w:w="2083" w:type="dxa"/>
            <w:shd w:val="clear" w:color="auto" w:fill="auto"/>
          </w:tcPr>
          <w:p w:rsidR="00335A2A" w:rsidRPr="00335A2A" w:rsidP="001A0785" w14:paraId="660D8F2C" w14:textId="034025FB">
            <w:pPr>
              <w:spacing w:after="200"/>
              <w:ind w:left="360"/>
              <w:jc w:val="right"/>
              <w:rPr>
                <w:rFonts w:eastAsia="Calibri"/>
                <w:sz w:val="20"/>
                <w:szCs w:val="20"/>
              </w:rPr>
            </w:pPr>
            <w:r>
              <w:rPr>
                <w:rFonts w:eastAsia="Calibri"/>
                <w:sz w:val="20"/>
                <w:szCs w:val="20"/>
              </w:rPr>
              <w:t>$359,381</w:t>
            </w:r>
          </w:p>
        </w:tc>
      </w:tr>
      <w:tr w14:paraId="69C12DBC" w14:textId="77777777" w:rsidTr="00396635">
        <w:tblPrEx>
          <w:tblW w:w="0" w:type="auto"/>
          <w:tblInd w:w="-5" w:type="dxa"/>
          <w:tblLook w:val="01E0"/>
        </w:tblPrEx>
        <w:trPr>
          <w:trHeight w:val="170"/>
        </w:trPr>
        <w:tc>
          <w:tcPr>
            <w:tcW w:w="7187" w:type="dxa"/>
            <w:gridSpan w:val="3"/>
            <w:shd w:val="clear" w:color="auto" w:fill="auto"/>
          </w:tcPr>
          <w:p w:rsidR="00756C3B" w:rsidRPr="00BF4EB2" w:rsidP="001A0785" w14:paraId="7333A05E" w14:textId="77777777">
            <w:pPr>
              <w:spacing w:after="200"/>
              <w:rPr>
                <w:rFonts w:eastAsia="Calibri"/>
                <w:sz w:val="20"/>
                <w:szCs w:val="20"/>
              </w:rPr>
            </w:pPr>
            <w:r w:rsidRPr="00BF4EB2">
              <w:rPr>
                <w:rFonts w:eastAsia="Calibri"/>
                <w:sz w:val="20"/>
                <w:szCs w:val="20"/>
              </w:rPr>
              <w:t>Total</w:t>
            </w:r>
          </w:p>
        </w:tc>
        <w:tc>
          <w:tcPr>
            <w:tcW w:w="2083" w:type="dxa"/>
            <w:shd w:val="clear" w:color="auto" w:fill="auto"/>
          </w:tcPr>
          <w:p w:rsidR="00756C3B" w:rsidRPr="00BF4EB2" w:rsidP="001A0785" w14:paraId="1E9C359B" w14:textId="0EE76E3D">
            <w:pPr>
              <w:spacing w:after="200"/>
              <w:ind w:left="360"/>
              <w:jc w:val="right"/>
              <w:rPr>
                <w:rFonts w:eastAsia="Calibri"/>
                <w:sz w:val="20"/>
                <w:szCs w:val="20"/>
              </w:rPr>
            </w:pPr>
            <w:r w:rsidRPr="00BF4EB2">
              <w:rPr>
                <w:rFonts w:eastAsia="Calibri"/>
                <w:sz w:val="20"/>
                <w:szCs w:val="20"/>
              </w:rPr>
              <w:t>$</w:t>
            </w:r>
            <w:bookmarkStart w:id="5" w:name="_Hlk205288940"/>
            <w:r w:rsidR="00B006BE">
              <w:rPr>
                <w:rFonts w:eastAsia="Calibri"/>
                <w:sz w:val="20"/>
                <w:szCs w:val="20"/>
              </w:rPr>
              <w:t>3,462,604</w:t>
            </w:r>
            <w:bookmarkEnd w:id="5"/>
          </w:p>
        </w:tc>
      </w:tr>
    </w:tbl>
    <w:p w:rsidR="00756C3B" w:rsidRPr="00756C3B" w:rsidP="001A0785" w14:paraId="33046881" w14:textId="77777777">
      <w:pPr>
        <w:ind w:left="360"/>
        <w:rPr>
          <w:rFonts w:eastAsia="Calibri"/>
        </w:rPr>
      </w:pPr>
    </w:p>
    <w:p w:rsidR="00357C8A" w:rsidRPr="00357C8A" w:rsidP="001A0785" w14:paraId="4F3836AE"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1A0785" w14:paraId="3AF713B1" w14:textId="55C26EE3">
      <w:pPr>
        <w:rPr>
          <w:rFonts w:eastAsia="Calibri"/>
          <w:color w:val="000000"/>
        </w:rPr>
      </w:pPr>
      <w:r w:rsidRPr="008D6922">
        <w:rPr>
          <w:rFonts w:eastAsia="Calibri"/>
        </w:rPr>
        <w:t>There are no capital, start-up, operating or maintenance costs associated with this</w:t>
      </w:r>
      <w:r>
        <w:rPr>
          <w:rFonts w:eastAsia="Calibri"/>
        </w:rPr>
        <w:t xml:space="preserve"> </w:t>
      </w:r>
      <w:r w:rsidRPr="008D6922">
        <w:rPr>
          <w:rFonts w:eastAsia="Calibri"/>
        </w:rPr>
        <w:t>information collection</w:t>
      </w:r>
      <w:r w:rsidRPr="008B71D9">
        <w:rPr>
          <w:rFonts w:eastAsia="Calibri"/>
          <w:color w:val="000000"/>
        </w:rPr>
        <w:t>.</w:t>
      </w:r>
    </w:p>
    <w:p w:rsidR="006B21FC" w:rsidP="001A0785" w14:paraId="765DD3B6" w14:textId="77777777">
      <w:pPr>
        <w:rPr>
          <w:rFonts w:eastAsia="Calibri"/>
          <w:u w:val="single"/>
        </w:rPr>
      </w:pPr>
    </w:p>
    <w:p w:rsidR="00357C8A" w:rsidRPr="00357C8A" w:rsidP="001A0785" w14:paraId="33BB34DC"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5C5C0F" w:rsidP="001A0785" w14:paraId="39C2A66C" w14:textId="7417DA2D">
      <w:pPr>
        <w:autoSpaceDE w:val="0"/>
        <w:autoSpaceDN w:val="0"/>
        <w:adjustRightInd w:val="0"/>
        <w:rPr>
          <w:rFonts w:ascii="TimesNewRomanPSMT" w:hAnsi="TimesNewRomanPSMT" w:cs="TimesNewRomanPSMT"/>
        </w:rPr>
      </w:pPr>
      <w:r>
        <w:rPr>
          <w:rFonts w:ascii="TimesNewRomanPSMT" w:hAnsi="TimesNewRomanPSMT" w:cs="TimesNewRomanPSMT"/>
        </w:rPr>
        <w:t xml:space="preserve">We estimate it will take 4 full-time equivalent positions (FTEs) to process </w:t>
      </w:r>
      <w:r w:rsidR="00B57927">
        <w:rPr>
          <w:rFonts w:ascii="TimesNewRomanPSMT" w:hAnsi="TimesNewRomanPSMT" w:cs="TimesNewRomanPSMT"/>
        </w:rPr>
        <w:t>a</w:t>
      </w:r>
      <w:r>
        <w:rPr>
          <w:rFonts w:ascii="TimesNewRomanPSMT" w:hAnsi="TimesNewRomanPSMT" w:cs="TimesNewRomanPSMT"/>
        </w:rPr>
        <w:t xml:space="preserve"> GRAS notification for human food.  Due to the smaller number of notices anticipated for animal food, only 3 FTEs are expected to be devoted to processing notices for animal food.  Based on an average cost of $</w:t>
      </w:r>
      <w:r w:rsidR="00B26B79">
        <w:rPr>
          <w:rFonts w:ascii="TimesNewRomanPSMT" w:hAnsi="TimesNewRomanPSMT" w:cs="TimesNewRomanPSMT"/>
        </w:rPr>
        <w:t>223,086</w:t>
      </w:r>
      <w:r>
        <w:rPr>
          <w:rFonts w:ascii="TimesNewRomanPSMT" w:hAnsi="TimesNewRomanPSMT" w:cs="TimesNewRomanPSMT"/>
        </w:rPr>
        <w:t xml:space="preserve"> per fully supported position ($</w:t>
      </w:r>
      <w:r w:rsidR="00F70D12">
        <w:rPr>
          <w:rFonts w:ascii="TimesNewRomanPSMT" w:hAnsi="TimesNewRomanPSMT" w:cs="TimesNewRomanPSMT"/>
        </w:rPr>
        <w:t>111,543</w:t>
      </w:r>
      <w:r>
        <w:rPr>
          <w:rFonts w:ascii="TimesNewRomanPSMT" w:hAnsi="TimesNewRomanPSMT" w:cs="TimesNewRomanPSMT"/>
        </w:rPr>
        <w:t xml:space="preserve"> for a GS-12/Step 4</w:t>
      </w:r>
      <w:r w:rsidRPr="005C4505">
        <w:t xml:space="preserve"> </w:t>
      </w:r>
      <w:r w:rsidRPr="005C4505">
        <w:rPr>
          <w:rFonts w:ascii="TimesNewRomanPSMT" w:hAnsi="TimesNewRomanPSMT" w:cs="TimesNewRomanPSMT"/>
        </w:rPr>
        <w:t>for the Washington-Baltimore locality pay area</w:t>
      </w:r>
      <w:r>
        <w:rPr>
          <w:rFonts w:ascii="TimesNewRomanPSMT" w:hAnsi="TimesNewRomanPSMT" w:cs="TimesNewRomanPSMT"/>
        </w:rPr>
        <w:t xml:space="preserve"> in 202</w:t>
      </w:r>
      <w:r w:rsidR="0000601E">
        <w:rPr>
          <w:rFonts w:ascii="TimesNewRomanPSMT" w:hAnsi="TimesNewRomanPSMT" w:cs="TimesNewRomanPSMT"/>
        </w:rPr>
        <w:t>5</w:t>
      </w:r>
      <w:r>
        <w:rPr>
          <w:rFonts w:ascii="TimesNewRomanPSMT" w:hAnsi="TimesNewRomanPSMT" w:cs="TimesNewRomanPSMT"/>
        </w:rPr>
        <w:t xml:space="preserve"> increased by 100 percent to account for overhead), the cost of processing GRAS notifications would be $1,</w:t>
      </w:r>
      <w:r w:rsidR="001A73E8">
        <w:rPr>
          <w:rFonts w:ascii="TimesNewRomanPSMT" w:hAnsi="TimesNewRomanPSMT" w:cs="TimesNewRomanPSMT"/>
        </w:rPr>
        <w:t>561,602</w:t>
      </w:r>
      <w:r>
        <w:rPr>
          <w:rFonts w:ascii="TimesNewRomanPSMT" w:hAnsi="TimesNewRomanPSMT" w:cs="TimesNewRomanPSMT"/>
        </w:rPr>
        <w:t xml:space="preserve"> per year ($</w:t>
      </w:r>
      <w:r w:rsidR="00645DDE">
        <w:rPr>
          <w:rFonts w:ascii="TimesNewRomanPSMT" w:hAnsi="TimesNewRomanPSMT" w:cs="TimesNewRomanPSMT"/>
        </w:rPr>
        <w:t>223</w:t>
      </w:r>
      <w:r>
        <w:rPr>
          <w:rFonts w:ascii="TimesNewRomanPSMT" w:hAnsi="TimesNewRomanPSMT" w:cs="TimesNewRomanPSMT"/>
        </w:rPr>
        <w:t>,</w:t>
      </w:r>
      <w:r w:rsidR="001A73E8">
        <w:rPr>
          <w:rFonts w:ascii="TimesNewRomanPSMT" w:hAnsi="TimesNewRomanPSMT" w:cs="TimesNewRomanPSMT"/>
        </w:rPr>
        <w:t>086</w:t>
      </w:r>
      <w:r>
        <w:rPr>
          <w:rFonts w:ascii="TimesNewRomanPSMT" w:hAnsi="TimesNewRomanPSMT" w:cs="TimesNewRomanPSMT"/>
        </w:rPr>
        <w:t xml:space="preserve"> </w:t>
      </w:r>
      <w:r w:rsidR="00170EB8">
        <w:t>×</w:t>
      </w:r>
      <w:r>
        <w:rPr>
          <w:rFonts w:ascii="TimesNewRomanPSMT" w:hAnsi="TimesNewRomanPSMT" w:cs="TimesNewRomanPSMT"/>
        </w:rPr>
        <w:t xml:space="preserve"> 7 FTEs).</w:t>
      </w:r>
    </w:p>
    <w:p w:rsidR="00357C8A" w:rsidRPr="00357C8A" w:rsidP="001A0785" w14:paraId="64240ED1" w14:textId="0B6F438C">
      <w:pPr>
        <w:autoSpaceDE w:val="0"/>
        <w:autoSpaceDN w:val="0"/>
        <w:adjustRightInd w:val="0"/>
        <w:rPr>
          <w:rFonts w:eastAsia="Calibri"/>
        </w:rPr>
      </w:pPr>
    </w:p>
    <w:p w:rsidR="00C97F22" w14:paraId="4A3D4DE3" w14:textId="77777777">
      <w:pPr>
        <w:rPr>
          <w:rFonts w:eastAsia="Calibri"/>
          <w:u w:val="single"/>
        </w:rPr>
      </w:pPr>
      <w:r>
        <w:rPr>
          <w:rFonts w:eastAsia="Calibri"/>
          <w:u w:val="single"/>
        </w:rPr>
        <w:br w:type="page"/>
      </w:r>
    </w:p>
    <w:p w:rsidR="00357C8A" w:rsidP="001A0785" w14:paraId="56594DD4" w14:textId="001895F3">
      <w:pPr>
        <w:numPr>
          <w:ilvl w:val="0"/>
          <w:numId w:val="6"/>
        </w:numPr>
        <w:spacing w:after="200" w:line="276" w:lineRule="auto"/>
        <w:rPr>
          <w:rFonts w:eastAsia="Calibri"/>
          <w:u w:val="single"/>
        </w:rPr>
      </w:pPr>
      <w:r w:rsidRPr="00357C8A">
        <w:rPr>
          <w:rFonts w:eastAsia="Calibri"/>
          <w:u w:val="single"/>
        </w:rPr>
        <w:t>Explanation for Program Changes or Adjustments</w:t>
      </w:r>
    </w:p>
    <w:p w:rsidR="00A545F3" w:rsidRPr="00EE1722" w:rsidP="00EE1722" w14:paraId="21CDFFE8" w14:textId="6C865187">
      <w:pPr>
        <w:spacing w:after="200"/>
        <w:rPr>
          <w:rFonts w:eastAsia="Calibri"/>
        </w:rPr>
      </w:pPr>
      <w:r>
        <w:rPr>
          <w:rFonts w:eastAsia="Calibri"/>
        </w:rPr>
        <w:t xml:space="preserve">The information collection reflects changes and adjustments.  We have </w:t>
      </w:r>
      <w:r w:rsidR="00663116">
        <w:rPr>
          <w:rFonts w:eastAsia="Calibri"/>
        </w:rPr>
        <w:t>consolidated activity attributable to</w:t>
      </w:r>
      <w:r w:rsidR="00E510AA">
        <w:rPr>
          <w:rFonts w:eastAsia="Calibri"/>
        </w:rPr>
        <w:t xml:space="preserve"> our</w:t>
      </w:r>
      <w:r w:rsidR="00663116">
        <w:rPr>
          <w:rFonts w:eastAsia="Calibri"/>
        </w:rPr>
        <w:t xml:space="preserve"> </w:t>
      </w:r>
      <w:r w:rsidRPr="00E510AA" w:rsidR="00663116">
        <w:rPr>
          <w:rFonts w:eastAsia="Calibri"/>
          <w:i/>
          <w:iCs/>
        </w:rPr>
        <w:t>Best Practices for Convening GRAS Panels</w:t>
      </w:r>
      <w:r w:rsidR="00071F8C">
        <w:rPr>
          <w:rFonts w:eastAsia="Calibri"/>
        </w:rPr>
        <w:t xml:space="preserve"> </w:t>
      </w:r>
      <w:r w:rsidR="00E510AA">
        <w:rPr>
          <w:rFonts w:eastAsia="Calibri"/>
        </w:rPr>
        <w:t xml:space="preserve">guidance </w:t>
      </w:r>
      <w:r w:rsidR="00071F8C">
        <w:rPr>
          <w:rFonts w:eastAsia="Calibri"/>
        </w:rPr>
        <w:t xml:space="preserve">while at the same time correcting an inadvertent calculation error in our summary burden table.  The result is </w:t>
      </w:r>
      <w:r w:rsidR="00663116">
        <w:rPr>
          <w:rFonts w:eastAsia="Calibri"/>
        </w:rPr>
        <w:t xml:space="preserve">an increase of </w:t>
      </w:r>
      <w:r w:rsidRPr="008B4FFB" w:rsidR="008B4FFB">
        <w:rPr>
          <w:rFonts w:eastAsia="Calibri"/>
        </w:rPr>
        <w:t>1,8</w:t>
      </w:r>
      <w:r w:rsidR="00BB6067">
        <w:rPr>
          <w:rFonts w:eastAsia="Calibri"/>
        </w:rPr>
        <w:t>11</w:t>
      </w:r>
      <w:r w:rsidRPr="008B4FFB" w:rsidR="008B4FFB">
        <w:rPr>
          <w:rFonts w:eastAsia="Calibri"/>
        </w:rPr>
        <w:t xml:space="preserve"> responses</w:t>
      </w:r>
      <w:r w:rsidR="00071F8C">
        <w:rPr>
          <w:rFonts w:eastAsia="Calibri"/>
        </w:rPr>
        <w:t xml:space="preserve"> and </w:t>
      </w:r>
      <w:r w:rsidRPr="008B4FFB">
        <w:rPr>
          <w:rFonts w:eastAsia="Calibri"/>
        </w:rPr>
        <w:t>10,462 hours</w:t>
      </w:r>
      <w:r w:rsidR="00071F8C">
        <w:rPr>
          <w:rFonts w:eastAsia="Calibri"/>
        </w:rPr>
        <w:t>, annually.</w:t>
      </w:r>
      <w:r w:rsidR="00E510AA">
        <w:rPr>
          <w:rFonts w:eastAsia="Calibri"/>
        </w:rPr>
        <w:t xml:space="preserve">  We plan to discontinue </w:t>
      </w:r>
      <w:r>
        <w:rPr>
          <w:rFonts w:eastAsia="Calibri"/>
        </w:rPr>
        <w:t>OMB control number 0910</w:t>
      </w:r>
      <w:r w:rsidR="00EE1722">
        <w:rPr>
          <w:rFonts w:eastAsia="Calibri"/>
        </w:rPr>
        <w:t>-0911 upon</w:t>
      </w:r>
      <w:r>
        <w:rPr>
          <w:rFonts w:eastAsia="Calibri"/>
        </w:rPr>
        <w:t xml:space="preserve"> approv</w:t>
      </w:r>
      <w:r w:rsidR="00EE1722">
        <w:rPr>
          <w:rFonts w:eastAsia="Calibri"/>
        </w:rPr>
        <w:t>al of this request</w:t>
      </w:r>
      <w:r>
        <w:rPr>
          <w:rFonts w:eastAsia="Calibri"/>
        </w:rPr>
        <w:t>.</w:t>
      </w:r>
    </w:p>
    <w:p w:rsidR="00357C8A" w:rsidRPr="00357C8A" w:rsidP="001A0785" w14:paraId="62DA8D41"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BD2B08" w:rsidP="001A0785" w14:paraId="50574A4A" w14:textId="1D8927AF">
      <w:pPr>
        <w:autoSpaceDE w:val="0"/>
        <w:autoSpaceDN w:val="0"/>
        <w:adjustRightInd w:val="0"/>
        <w:rPr>
          <w:rFonts w:ascii="TimesNewRomanPSMT" w:hAnsi="TimesNewRomanPSMT" w:cs="TimesNewRomanPSMT"/>
          <w:color w:val="000000" w:themeColor="text1"/>
        </w:rPr>
      </w:pPr>
      <w:r>
        <w:rPr>
          <w:rFonts w:ascii="TimesNewRomanPSMT" w:hAnsi="TimesNewRomanPSMT" w:cs="TimesNewRomanPSMT"/>
        </w:rPr>
        <w:t>We will make the following readily accessible to the public: (1) A list of filed GRAS notices, including the information described in certain of the signed statements that are included in Part 1 of a GRAS notice (i.e., § 170.225(c)(2) through (c)(5)); and (2) The text of any letter that we issue under § 170.265(b)(1) (our response to a GRAS notice based on our evaluation of the notice), § 170.265(b)(3) (a letter if we grant a request that we cease to evaluate a GRAS notice), or § 170.265(c) (a subsequent letter that we send about a GRAS notice).</w:t>
      </w:r>
      <w:r w:rsidR="008C4AC8">
        <w:rPr>
          <w:rFonts w:ascii="TimesNewRomanPSMT" w:hAnsi="TimesNewRomanPSMT" w:cs="TimesNewRomanPSMT"/>
        </w:rPr>
        <w:t xml:space="preserve"> </w:t>
      </w:r>
      <w:r>
        <w:rPr>
          <w:rFonts w:ascii="TimesNewRomanPSMT" w:hAnsi="TimesNewRomanPSMT" w:cs="TimesNewRomanPSMT"/>
        </w:rPr>
        <w:t xml:space="preserve"> (See § 170.275(b).)  We are not specifying that the mechanism for us to do so is through an “Inventory” because the procedure we use to make this information readily accessible to the public evolved over time and may continue to evolve.</w:t>
      </w:r>
    </w:p>
    <w:p w:rsidR="00BD2B08" w:rsidRPr="00BD2B08" w:rsidP="001A0785" w14:paraId="1EA8B52A" w14:textId="77777777">
      <w:pPr>
        <w:autoSpaceDE w:val="0"/>
        <w:autoSpaceDN w:val="0"/>
        <w:adjustRightInd w:val="0"/>
        <w:rPr>
          <w:rFonts w:eastAsia="Calibri"/>
          <w:color w:val="000000" w:themeColor="text1"/>
        </w:rPr>
      </w:pPr>
    </w:p>
    <w:p w:rsidR="00357C8A" w:rsidRPr="00357C8A" w:rsidP="001A0785" w14:paraId="3FC9E4A1"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6A783C" w:rsidP="001A0785" w14:paraId="3078C1AD" w14:textId="68C94352">
      <w:pPr>
        <w:autoSpaceDE w:val="0"/>
        <w:autoSpaceDN w:val="0"/>
        <w:adjustRightInd w:val="0"/>
        <w:rPr>
          <w:rFonts w:ascii="TimesNewRomanPSMT" w:hAnsi="TimesNewRomanPSMT" w:cs="TimesNewRomanPSMT"/>
          <w:color w:val="000000" w:themeColor="text1"/>
        </w:rPr>
      </w:pPr>
      <w:r>
        <w:rPr>
          <w:rFonts w:ascii="TimesNewRomanPSMT" w:hAnsi="TimesNewRomanPSMT" w:cs="TimesNewRomanPSMT"/>
        </w:rPr>
        <w:t>Display of OMB expiration date is appropriate.  We will display the OMB expiration date as required by 5 CFR 1320.5.</w:t>
      </w:r>
    </w:p>
    <w:p w:rsidR="006A783C" w:rsidRPr="006A783C" w:rsidP="001A0785" w14:paraId="4CDCB7F6" w14:textId="77777777">
      <w:pPr>
        <w:autoSpaceDE w:val="0"/>
        <w:autoSpaceDN w:val="0"/>
        <w:adjustRightInd w:val="0"/>
        <w:rPr>
          <w:rFonts w:eastAsia="Calibri"/>
          <w:color w:val="000000" w:themeColor="text1"/>
        </w:rPr>
      </w:pPr>
    </w:p>
    <w:p w:rsidR="00357C8A" w:rsidRPr="00357C8A" w:rsidP="001A0785" w14:paraId="23AAD7ED"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1C055E" w:rsidP="001A0785" w14:paraId="5D7C6CB9" w14:textId="4861E0A4">
      <w:pPr>
        <w:autoSpaceDE w:val="0"/>
        <w:autoSpaceDN w:val="0"/>
        <w:adjustRightInd w:val="0"/>
        <w:rPr>
          <w:rFonts w:ascii="TimesNewRomanPSMT" w:hAnsi="TimesNewRomanPSMT" w:cs="TimesNewRomanPSMT"/>
        </w:rPr>
      </w:pPr>
      <w:r w:rsidRPr="00C34B4F">
        <w:rPr>
          <w:rFonts w:ascii="TimesNewRomanPSMT" w:hAnsi="TimesNewRomanPSMT" w:cs="TimesNewRomanPSMT"/>
        </w:rPr>
        <w:t>There are no exceptions to the certification</w:t>
      </w:r>
      <w:r>
        <w:rPr>
          <w:rFonts w:ascii="TimesNewRomanPSMT" w:hAnsi="TimesNewRomanPSMT" w:cs="TimesNewRomanPSMT"/>
        </w:rPr>
        <w:t>.</w:t>
      </w:r>
    </w:p>
    <w:p w:rsidR="00B53989" w:rsidP="001A0785" w14:paraId="173D5649" w14:textId="77777777">
      <w:pPr>
        <w:autoSpaceDE w:val="0"/>
        <w:autoSpaceDN w:val="0"/>
        <w:adjustRightInd w:val="0"/>
        <w:rPr>
          <w:rFonts w:ascii="TimesNewRomanPSMT" w:hAnsi="TimesNewRomanPSMT" w:cs="TimesNewRomanPSMT"/>
        </w:rPr>
      </w:pPr>
    </w:p>
    <w:p w:rsidR="00B53989" w:rsidP="001A0785" w14:paraId="268AC658" w14:textId="77777777">
      <w:pPr>
        <w:autoSpaceDE w:val="0"/>
        <w:autoSpaceDN w:val="0"/>
        <w:adjustRightInd w:val="0"/>
        <w:rPr>
          <w:rFonts w:ascii="TimesNewRomanPSMT" w:hAnsi="TimesNewRomanPSMT" w:cs="TimesNewRomanPSMT"/>
        </w:rPr>
      </w:pPr>
    </w:p>
    <w:p w:rsidR="00B53989" w:rsidP="001A0785" w14:paraId="413A5BF5" w14:textId="77777777">
      <w:pPr>
        <w:autoSpaceDE w:val="0"/>
        <w:autoSpaceDN w:val="0"/>
        <w:adjustRightInd w:val="0"/>
        <w:rPr>
          <w:rFonts w:ascii="TimesNewRomanPSMT" w:hAnsi="TimesNewRomanPSMT" w:cs="TimesNewRomanPSMT"/>
        </w:rPr>
      </w:pPr>
    </w:p>
    <w:p w:rsidR="00B53989" w:rsidP="001A0785" w14:paraId="0AAB5AD5" w14:textId="77777777">
      <w:pPr>
        <w:autoSpaceDE w:val="0"/>
        <w:autoSpaceDN w:val="0"/>
        <w:adjustRightInd w:val="0"/>
        <w:rPr>
          <w:rFonts w:ascii="TimesNewRomanPSMT" w:hAnsi="TimesNewRomanPSMT" w:cs="TimesNewRomanPSMT"/>
        </w:rPr>
      </w:pPr>
    </w:p>
    <w:p w:rsidR="00544138" w:rsidRPr="00C20690" w:rsidP="001A0785" w14:paraId="6DF27B71" w14:textId="328EBCA6">
      <w:pPr>
        <w:spacing w:after="200"/>
        <w:rPr>
          <w:rFonts w:eastAsia="Calibri"/>
        </w:rPr>
      </w:pPr>
    </w:p>
    <w:sectPr w:rsidSect="00C57367">
      <w:footerReference w:type="even" r:id="rId9"/>
      <w:footerReference w:type="default" r:id="rId10"/>
      <w:pgSz w:w="12240" w:h="15840" w:code="1"/>
      <w:pgMar w:top="1440" w:right="1296" w:bottom="1296"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1F0D0B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E82F1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20D167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B22E7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6B125D9"/>
    <w:multiLevelType w:val="hybridMultilevel"/>
    <w:tmpl w:val="6CBA8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85558684">
    <w:abstractNumId w:val="6"/>
  </w:num>
  <w:num w:numId="2" w16cid:durableId="1326936269">
    <w:abstractNumId w:val="1"/>
  </w:num>
  <w:num w:numId="3" w16cid:durableId="1168985808">
    <w:abstractNumId w:val="7"/>
  </w:num>
  <w:num w:numId="4" w16cid:durableId="934900715">
    <w:abstractNumId w:val="3"/>
  </w:num>
  <w:num w:numId="5" w16cid:durableId="1025596912">
    <w:abstractNumId w:val="8"/>
  </w:num>
  <w:num w:numId="6" w16cid:durableId="425882331">
    <w:abstractNumId w:val="0"/>
  </w:num>
  <w:num w:numId="7" w16cid:durableId="280114363">
    <w:abstractNumId w:val="2"/>
  </w:num>
  <w:num w:numId="8" w16cid:durableId="812135093">
    <w:abstractNumId w:val="5"/>
  </w:num>
  <w:num w:numId="9" w16cid:durableId="20252787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601E"/>
    <w:rsid w:val="0001446B"/>
    <w:rsid w:val="000145A3"/>
    <w:rsid w:val="00030CFD"/>
    <w:rsid w:val="000313DD"/>
    <w:rsid w:val="00031A2C"/>
    <w:rsid w:val="00042B93"/>
    <w:rsid w:val="00043C7F"/>
    <w:rsid w:val="000467A8"/>
    <w:rsid w:val="00053588"/>
    <w:rsid w:val="00062A3B"/>
    <w:rsid w:val="00062D60"/>
    <w:rsid w:val="0006570F"/>
    <w:rsid w:val="00071F8C"/>
    <w:rsid w:val="00075DE8"/>
    <w:rsid w:val="00084B02"/>
    <w:rsid w:val="00087439"/>
    <w:rsid w:val="000903CA"/>
    <w:rsid w:val="000A3E02"/>
    <w:rsid w:val="000A7AF4"/>
    <w:rsid w:val="000B399B"/>
    <w:rsid w:val="000C1260"/>
    <w:rsid w:val="000C1B95"/>
    <w:rsid w:val="000C2E91"/>
    <w:rsid w:val="000C560C"/>
    <w:rsid w:val="000D080B"/>
    <w:rsid w:val="000D48FD"/>
    <w:rsid w:val="000D4D29"/>
    <w:rsid w:val="000D502F"/>
    <w:rsid w:val="000D79CC"/>
    <w:rsid w:val="000E1C64"/>
    <w:rsid w:val="000E3F3C"/>
    <w:rsid w:val="000E537D"/>
    <w:rsid w:val="000F5E29"/>
    <w:rsid w:val="000F7119"/>
    <w:rsid w:val="00100739"/>
    <w:rsid w:val="0010493E"/>
    <w:rsid w:val="001075D3"/>
    <w:rsid w:val="00107885"/>
    <w:rsid w:val="00114FC4"/>
    <w:rsid w:val="00122F17"/>
    <w:rsid w:val="0012329C"/>
    <w:rsid w:val="00134FA7"/>
    <w:rsid w:val="00137950"/>
    <w:rsid w:val="0014047A"/>
    <w:rsid w:val="00140DFC"/>
    <w:rsid w:val="001470E7"/>
    <w:rsid w:val="00152F29"/>
    <w:rsid w:val="001569B0"/>
    <w:rsid w:val="00170EB8"/>
    <w:rsid w:val="00173BD6"/>
    <w:rsid w:val="00174D54"/>
    <w:rsid w:val="0017702C"/>
    <w:rsid w:val="00182900"/>
    <w:rsid w:val="00185109"/>
    <w:rsid w:val="00185270"/>
    <w:rsid w:val="001868FF"/>
    <w:rsid w:val="0019652E"/>
    <w:rsid w:val="001A0785"/>
    <w:rsid w:val="001A36E3"/>
    <w:rsid w:val="001A3B5A"/>
    <w:rsid w:val="001A458C"/>
    <w:rsid w:val="001A5CA0"/>
    <w:rsid w:val="001A73E8"/>
    <w:rsid w:val="001B0BD0"/>
    <w:rsid w:val="001B3CCA"/>
    <w:rsid w:val="001B63CE"/>
    <w:rsid w:val="001B7CE9"/>
    <w:rsid w:val="001C055E"/>
    <w:rsid w:val="001D495A"/>
    <w:rsid w:val="001D6EDC"/>
    <w:rsid w:val="001E0CE1"/>
    <w:rsid w:val="001E112A"/>
    <w:rsid w:val="001E244C"/>
    <w:rsid w:val="001E29A7"/>
    <w:rsid w:val="001F1437"/>
    <w:rsid w:val="00200A7B"/>
    <w:rsid w:val="00202907"/>
    <w:rsid w:val="00206799"/>
    <w:rsid w:val="002074FE"/>
    <w:rsid w:val="002227D3"/>
    <w:rsid w:val="0022425B"/>
    <w:rsid w:val="002259EF"/>
    <w:rsid w:val="002349FE"/>
    <w:rsid w:val="00242ED1"/>
    <w:rsid w:val="002444BB"/>
    <w:rsid w:val="0024649E"/>
    <w:rsid w:val="00254069"/>
    <w:rsid w:val="00256BF9"/>
    <w:rsid w:val="002611D5"/>
    <w:rsid w:val="002613C3"/>
    <w:rsid w:val="00270748"/>
    <w:rsid w:val="002734E5"/>
    <w:rsid w:val="002746DB"/>
    <w:rsid w:val="00280CAF"/>
    <w:rsid w:val="00282F09"/>
    <w:rsid w:val="0028570C"/>
    <w:rsid w:val="00291810"/>
    <w:rsid w:val="00294D62"/>
    <w:rsid w:val="00297532"/>
    <w:rsid w:val="00297FFD"/>
    <w:rsid w:val="002A1210"/>
    <w:rsid w:val="002A47D2"/>
    <w:rsid w:val="002A6869"/>
    <w:rsid w:val="002A7FB5"/>
    <w:rsid w:val="002B2074"/>
    <w:rsid w:val="002C1F6A"/>
    <w:rsid w:val="002D14D8"/>
    <w:rsid w:val="002D32B5"/>
    <w:rsid w:val="002D4799"/>
    <w:rsid w:val="002E11DC"/>
    <w:rsid w:val="002E3FA4"/>
    <w:rsid w:val="002E53A5"/>
    <w:rsid w:val="002E64B8"/>
    <w:rsid w:val="002E6834"/>
    <w:rsid w:val="002E79C3"/>
    <w:rsid w:val="003010C8"/>
    <w:rsid w:val="0030271F"/>
    <w:rsid w:val="0030612C"/>
    <w:rsid w:val="003113FF"/>
    <w:rsid w:val="00312622"/>
    <w:rsid w:val="00315D5E"/>
    <w:rsid w:val="0032277F"/>
    <w:rsid w:val="00324971"/>
    <w:rsid w:val="0032605E"/>
    <w:rsid w:val="00330F0A"/>
    <w:rsid w:val="00331F03"/>
    <w:rsid w:val="00335884"/>
    <w:rsid w:val="00335A2A"/>
    <w:rsid w:val="00336B69"/>
    <w:rsid w:val="0034302B"/>
    <w:rsid w:val="00350523"/>
    <w:rsid w:val="0035189D"/>
    <w:rsid w:val="00355B62"/>
    <w:rsid w:val="00356967"/>
    <w:rsid w:val="00357C8A"/>
    <w:rsid w:val="003740BC"/>
    <w:rsid w:val="0037456B"/>
    <w:rsid w:val="003801A3"/>
    <w:rsid w:val="00383D90"/>
    <w:rsid w:val="003870AE"/>
    <w:rsid w:val="00390B4B"/>
    <w:rsid w:val="00395A21"/>
    <w:rsid w:val="00396635"/>
    <w:rsid w:val="003A1A27"/>
    <w:rsid w:val="003A50CC"/>
    <w:rsid w:val="003A5528"/>
    <w:rsid w:val="003B42B3"/>
    <w:rsid w:val="003B6384"/>
    <w:rsid w:val="003C0723"/>
    <w:rsid w:val="003C0FE2"/>
    <w:rsid w:val="003C4EBB"/>
    <w:rsid w:val="003D1531"/>
    <w:rsid w:val="003D22A3"/>
    <w:rsid w:val="003E4EC6"/>
    <w:rsid w:val="003E527E"/>
    <w:rsid w:val="003E553E"/>
    <w:rsid w:val="003E6060"/>
    <w:rsid w:val="003E7078"/>
    <w:rsid w:val="003F3DF5"/>
    <w:rsid w:val="003F3EEB"/>
    <w:rsid w:val="003F73B8"/>
    <w:rsid w:val="0040297E"/>
    <w:rsid w:val="00411D11"/>
    <w:rsid w:val="00413F02"/>
    <w:rsid w:val="00414494"/>
    <w:rsid w:val="00415E23"/>
    <w:rsid w:val="0041670D"/>
    <w:rsid w:val="00423272"/>
    <w:rsid w:val="00424061"/>
    <w:rsid w:val="00430E52"/>
    <w:rsid w:val="00442A3C"/>
    <w:rsid w:val="00443969"/>
    <w:rsid w:val="004467C4"/>
    <w:rsid w:val="00447D74"/>
    <w:rsid w:val="00450A74"/>
    <w:rsid w:val="004546BF"/>
    <w:rsid w:val="00455553"/>
    <w:rsid w:val="00456797"/>
    <w:rsid w:val="00465350"/>
    <w:rsid w:val="0046558A"/>
    <w:rsid w:val="00465D89"/>
    <w:rsid w:val="00470D8B"/>
    <w:rsid w:val="00476B91"/>
    <w:rsid w:val="004846BF"/>
    <w:rsid w:val="00494912"/>
    <w:rsid w:val="004A5323"/>
    <w:rsid w:val="004A5A99"/>
    <w:rsid w:val="004B7290"/>
    <w:rsid w:val="004C6979"/>
    <w:rsid w:val="004C7CC5"/>
    <w:rsid w:val="004C7F8B"/>
    <w:rsid w:val="004D13A2"/>
    <w:rsid w:val="004D3E7A"/>
    <w:rsid w:val="004E0C6A"/>
    <w:rsid w:val="004E6D30"/>
    <w:rsid w:val="004E792B"/>
    <w:rsid w:val="004F3AA0"/>
    <w:rsid w:val="004F594B"/>
    <w:rsid w:val="004F61E1"/>
    <w:rsid w:val="00501C65"/>
    <w:rsid w:val="00504B82"/>
    <w:rsid w:val="0052258D"/>
    <w:rsid w:val="00524469"/>
    <w:rsid w:val="0053380B"/>
    <w:rsid w:val="00543194"/>
    <w:rsid w:val="00544138"/>
    <w:rsid w:val="00547A23"/>
    <w:rsid w:val="00551258"/>
    <w:rsid w:val="005515A7"/>
    <w:rsid w:val="00554E34"/>
    <w:rsid w:val="0055602F"/>
    <w:rsid w:val="00556EBD"/>
    <w:rsid w:val="005642AA"/>
    <w:rsid w:val="00584583"/>
    <w:rsid w:val="00590E90"/>
    <w:rsid w:val="00590EEB"/>
    <w:rsid w:val="00592F96"/>
    <w:rsid w:val="00597C8D"/>
    <w:rsid w:val="005A1873"/>
    <w:rsid w:val="005A4099"/>
    <w:rsid w:val="005A5EC2"/>
    <w:rsid w:val="005A6F8B"/>
    <w:rsid w:val="005B3A71"/>
    <w:rsid w:val="005C38B2"/>
    <w:rsid w:val="005C4505"/>
    <w:rsid w:val="005C4ECC"/>
    <w:rsid w:val="005C5029"/>
    <w:rsid w:val="005C55C2"/>
    <w:rsid w:val="005C5C0F"/>
    <w:rsid w:val="005C71CA"/>
    <w:rsid w:val="005C745C"/>
    <w:rsid w:val="005D4DF5"/>
    <w:rsid w:val="005E42BA"/>
    <w:rsid w:val="005E4FBE"/>
    <w:rsid w:val="005F4BB9"/>
    <w:rsid w:val="005F51C2"/>
    <w:rsid w:val="006064E2"/>
    <w:rsid w:val="00611D6B"/>
    <w:rsid w:val="00620F0F"/>
    <w:rsid w:val="006248C5"/>
    <w:rsid w:val="00625CFD"/>
    <w:rsid w:val="006326EC"/>
    <w:rsid w:val="0064119D"/>
    <w:rsid w:val="00645DDE"/>
    <w:rsid w:val="00646219"/>
    <w:rsid w:val="006605A6"/>
    <w:rsid w:val="00663116"/>
    <w:rsid w:val="00663A42"/>
    <w:rsid w:val="00663D18"/>
    <w:rsid w:val="006641C7"/>
    <w:rsid w:val="0066635D"/>
    <w:rsid w:val="006705EA"/>
    <w:rsid w:val="00670BE2"/>
    <w:rsid w:val="006744FF"/>
    <w:rsid w:val="006916D9"/>
    <w:rsid w:val="00693746"/>
    <w:rsid w:val="006A0E05"/>
    <w:rsid w:val="006A26C6"/>
    <w:rsid w:val="006A465A"/>
    <w:rsid w:val="006A783C"/>
    <w:rsid w:val="006A7AF0"/>
    <w:rsid w:val="006A7C8B"/>
    <w:rsid w:val="006A7D5D"/>
    <w:rsid w:val="006B21FC"/>
    <w:rsid w:val="006C3F32"/>
    <w:rsid w:val="006D0C12"/>
    <w:rsid w:val="006D4C97"/>
    <w:rsid w:val="006D5D57"/>
    <w:rsid w:val="006E2538"/>
    <w:rsid w:val="006E302F"/>
    <w:rsid w:val="006E65F0"/>
    <w:rsid w:val="006F360D"/>
    <w:rsid w:val="006F4D6D"/>
    <w:rsid w:val="00701DF6"/>
    <w:rsid w:val="00705086"/>
    <w:rsid w:val="0071302E"/>
    <w:rsid w:val="00722001"/>
    <w:rsid w:val="007439C5"/>
    <w:rsid w:val="00744525"/>
    <w:rsid w:val="00751E66"/>
    <w:rsid w:val="00754497"/>
    <w:rsid w:val="00756C3B"/>
    <w:rsid w:val="00773201"/>
    <w:rsid w:val="00780464"/>
    <w:rsid w:val="0078199D"/>
    <w:rsid w:val="00785AC3"/>
    <w:rsid w:val="00787C39"/>
    <w:rsid w:val="00792136"/>
    <w:rsid w:val="00792947"/>
    <w:rsid w:val="00795DF3"/>
    <w:rsid w:val="007A25FD"/>
    <w:rsid w:val="007A373C"/>
    <w:rsid w:val="007B225C"/>
    <w:rsid w:val="007B6F04"/>
    <w:rsid w:val="007B7D8B"/>
    <w:rsid w:val="007C75B1"/>
    <w:rsid w:val="007D3DFC"/>
    <w:rsid w:val="007D7DB1"/>
    <w:rsid w:val="007E2F07"/>
    <w:rsid w:val="007E497C"/>
    <w:rsid w:val="007E59A8"/>
    <w:rsid w:val="007E70F6"/>
    <w:rsid w:val="007F5ECB"/>
    <w:rsid w:val="007F5F27"/>
    <w:rsid w:val="00806474"/>
    <w:rsid w:val="0080776D"/>
    <w:rsid w:val="00810145"/>
    <w:rsid w:val="008108FA"/>
    <w:rsid w:val="00810FF1"/>
    <w:rsid w:val="00822336"/>
    <w:rsid w:val="00823B74"/>
    <w:rsid w:val="00823DFA"/>
    <w:rsid w:val="00826FB9"/>
    <w:rsid w:val="00842DB7"/>
    <w:rsid w:val="00843752"/>
    <w:rsid w:val="0084479F"/>
    <w:rsid w:val="0085725E"/>
    <w:rsid w:val="00864239"/>
    <w:rsid w:val="008705A2"/>
    <w:rsid w:val="00873D4F"/>
    <w:rsid w:val="0087509F"/>
    <w:rsid w:val="00883A81"/>
    <w:rsid w:val="00885B09"/>
    <w:rsid w:val="00892400"/>
    <w:rsid w:val="00894BC0"/>
    <w:rsid w:val="008A209D"/>
    <w:rsid w:val="008A22BB"/>
    <w:rsid w:val="008A40C6"/>
    <w:rsid w:val="008A4619"/>
    <w:rsid w:val="008A6393"/>
    <w:rsid w:val="008B035D"/>
    <w:rsid w:val="008B0E29"/>
    <w:rsid w:val="008B0EFA"/>
    <w:rsid w:val="008B30AB"/>
    <w:rsid w:val="008B4C70"/>
    <w:rsid w:val="008B4FFB"/>
    <w:rsid w:val="008B71D9"/>
    <w:rsid w:val="008C0A75"/>
    <w:rsid w:val="008C3BB8"/>
    <w:rsid w:val="008C4AC8"/>
    <w:rsid w:val="008C4B65"/>
    <w:rsid w:val="008D6922"/>
    <w:rsid w:val="008E51B5"/>
    <w:rsid w:val="008E5F55"/>
    <w:rsid w:val="008E7A52"/>
    <w:rsid w:val="009009E7"/>
    <w:rsid w:val="00905DEF"/>
    <w:rsid w:val="00906056"/>
    <w:rsid w:val="009069FB"/>
    <w:rsid w:val="0091187D"/>
    <w:rsid w:val="009122AE"/>
    <w:rsid w:val="00913B43"/>
    <w:rsid w:val="00925E7E"/>
    <w:rsid w:val="00930203"/>
    <w:rsid w:val="009311D2"/>
    <w:rsid w:val="009311E6"/>
    <w:rsid w:val="00931275"/>
    <w:rsid w:val="00931284"/>
    <w:rsid w:val="00933684"/>
    <w:rsid w:val="00936AC7"/>
    <w:rsid w:val="00945A20"/>
    <w:rsid w:val="009462AA"/>
    <w:rsid w:val="009466F6"/>
    <w:rsid w:val="00953B64"/>
    <w:rsid w:val="00953C43"/>
    <w:rsid w:val="00955C74"/>
    <w:rsid w:val="00961276"/>
    <w:rsid w:val="009646A7"/>
    <w:rsid w:val="00964ACA"/>
    <w:rsid w:val="00967A77"/>
    <w:rsid w:val="00970A88"/>
    <w:rsid w:val="009740DD"/>
    <w:rsid w:val="009750EF"/>
    <w:rsid w:val="009818A1"/>
    <w:rsid w:val="00995FFA"/>
    <w:rsid w:val="00997361"/>
    <w:rsid w:val="009A1674"/>
    <w:rsid w:val="009B331B"/>
    <w:rsid w:val="009B38BE"/>
    <w:rsid w:val="009B4DF2"/>
    <w:rsid w:val="009B4E64"/>
    <w:rsid w:val="009C5718"/>
    <w:rsid w:val="009C684F"/>
    <w:rsid w:val="009D074C"/>
    <w:rsid w:val="009D6E73"/>
    <w:rsid w:val="009F1F1D"/>
    <w:rsid w:val="009F2B4F"/>
    <w:rsid w:val="009F3C63"/>
    <w:rsid w:val="009F59C5"/>
    <w:rsid w:val="009F66B5"/>
    <w:rsid w:val="009F6CA5"/>
    <w:rsid w:val="00A02F10"/>
    <w:rsid w:val="00A1060C"/>
    <w:rsid w:val="00A16221"/>
    <w:rsid w:val="00A20A7D"/>
    <w:rsid w:val="00A35D42"/>
    <w:rsid w:val="00A46CCF"/>
    <w:rsid w:val="00A506DE"/>
    <w:rsid w:val="00A53451"/>
    <w:rsid w:val="00A5379F"/>
    <w:rsid w:val="00A545F3"/>
    <w:rsid w:val="00A5663B"/>
    <w:rsid w:val="00A70426"/>
    <w:rsid w:val="00A707CC"/>
    <w:rsid w:val="00A71410"/>
    <w:rsid w:val="00A7369E"/>
    <w:rsid w:val="00A80F49"/>
    <w:rsid w:val="00A82387"/>
    <w:rsid w:val="00A846F4"/>
    <w:rsid w:val="00A849A6"/>
    <w:rsid w:val="00A91E9A"/>
    <w:rsid w:val="00A93ED9"/>
    <w:rsid w:val="00A95FE2"/>
    <w:rsid w:val="00A96221"/>
    <w:rsid w:val="00AA6B8D"/>
    <w:rsid w:val="00AB0653"/>
    <w:rsid w:val="00AB1E4D"/>
    <w:rsid w:val="00AB2C3E"/>
    <w:rsid w:val="00AB5598"/>
    <w:rsid w:val="00AC2DBB"/>
    <w:rsid w:val="00AC6A99"/>
    <w:rsid w:val="00AC789A"/>
    <w:rsid w:val="00AD6048"/>
    <w:rsid w:val="00AE34B9"/>
    <w:rsid w:val="00AF6C9F"/>
    <w:rsid w:val="00B006BE"/>
    <w:rsid w:val="00B05287"/>
    <w:rsid w:val="00B055EF"/>
    <w:rsid w:val="00B06B5B"/>
    <w:rsid w:val="00B10202"/>
    <w:rsid w:val="00B1554E"/>
    <w:rsid w:val="00B23769"/>
    <w:rsid w:val="00B26B79"/>
    <w:rsid w:val="00B34746"/>
    <w:rsid w:val="00B41789"/>
    <w:rsid w:val="00B53989"/>
    <w:rsid w:val="00B54F91"/>
    <w:rsid w:val="00B57927"/>
    <w:rsid w:val="00B63DE7"/>
    <w:rsid w:val="00B64A46"/>
    <w:rsid w:val="00B81808"/>
    <w:rsid w:val="00B86DFA"/>
    <w:rsid w:val="00B936D0"/>
    <w:rsid w:val="00BB15FB"/>
    <w:rsid w:val="00BB6067"/>
    <w:rsid w:val="00BB645E"/>
    <w:rsid w:val="00BD2B08"/>
    <w:rsid w:val="00BD3D5B"/>
    <w:rsid w:val="00BD4DD0"/>
    <w:rsid w:val="00BE3600"/>
    <w:rsid w:val="00BF0038"/>
    <w:rsid w:val="00BF4EB2"/>
    <w:rsid w:val="00C01F6F"/>
    <w:rsid w:val="00C02DE4"/>
    <w:rsid w:val="00C041EA"/>
    <w:rsid w:val="00C131FB"/>
    <w:rsid w:val="00C13BBD"/>
    <w:rsid w:val="00C13F85"/>
    <w:rsid w:val="00C149AB"/>
    <w:rsid w:val="00C156C5"/>
    <w:rsid w:val="00C16929"/>
    <w:rsid w:val="00C20690"/>
    <w:rsid w:val="00C34B4F"/>
    <w:rsid w:val="00C36020"/>
    <w:rsid w:val="00C40694"/>
    <w:rsid w:val="00C42D25"/>
    <w:rsid w:val="00C479BF"/>
    <w:rsid w:val="00C5124B"/>
    <w:rsid w:val="00C52E4F"/>
    <w:rsid w:val="00C57367"/>
    <w:rsid w:val="00C60CDD"/>
    <w:rsid w:val="00C63018"/>
    <w:rsid w:val="00C70542"/>
    <w:rsid w:val="00C75CBF"/>
    <w:rsid w:val="00C97F22"/>
    <w:rsid w:val="00CA17FC"/>
    <w:rsid w:val="00CB4485"/>
    <w:rsid w:val="00CC2894"/>
    <w:rsid w:val="00CC3E64"/>
    <w:rsid w:val="00CC55B7"/>
    <w:rsid w:val="00CD05D4"/>
    <w:rsid w:val="00CD77C3"/>
    <w:rsid w:val="00CE112C"/>
    <w:rsid w:val="00CE7581"/>
    <w:rsid w:val="00CF3330"/>
    <w:rsid w:val="00CF55D4"/>
    <w:rsid w:val="00D0163E"/>
    <w:rsid w:val="00D24196"/>
    <w:rsid w:val="00D405C3"/>
    <w:rsid w:val="00D55175"/>
    <w:rsid w:val="00D57C78"/>
    <w:rsid w:val="00D608DA"/>
    <w:rsid w:val="00D66422"/>
    <w:rsid w:val="00D66B56"/>
    <w:rsid w:val="00D730BF"/>
    <w:rsid w:val="00D74A8B"/>
    <w:rsid w:val="00D8405C"/>
    <w:rsid w:val="00D852F4"/>
    <w:rsid w:val="00DB07A0"/>
    <w:rsid w:val="00DB1110"/>
    <w:rsid w:val="00DB1F07"/>
    <w:rsid w:val="00DB3730"/>
    <w:rsid w:val="00DC371B"/>
    <w:rsid w:val="00DC3788"/>
    <w:rsid w:val="00DC74B0"/>
    <w:rsid w:val="00DC76C7"/>
    <w:rsid w:val="00DD09F5"/>
    <w:rsid w:val="00DD0E02"/>
    <w:rsid w:val="00DD4201"/>
    <w:rsid w:val="00DD5E9F"/>
    <w:rsid w:val="00DD75C3"/>
    <w:rsid w:val="00DE5711"/>
    <w:rsid w:val="00E00EA0"/>
    <w:rsid w:val="00E021CB"/>
    <w:rsid w:val="00E138F1"/>
    <w:rsid w:val="00E2309D"/>
    <w:rsid w:val="00E26758"/>
    <w:rsid w:val="00E3465F"/>
    <w:rsid w:val="00E4332F"/>
    <w:rsid w:val="00E4357B"/>
    <w:rsid w:val="00E443A7"/>
    <w:rsid w:val="00E45904"/>
    <w:rsid w:val="00E510AA"/>
    <w:rsid w:val="00E56176"/>
    <w:rsid w:val="00E63DE5"/>
    <w:rsid w:val="00E647AF"/>
    <w:rsid w:val="00E647C7"/>
    <w:rsid w:val="00E65A37"/>
    <w:rsid w:val="00E65EF7"/>
    <w:rsid w:val="00E71B38"/>
    <w:rsid w:val="00E77B48"/>
    <w:rsid w:val="00E83E71"/>
    <w:rsid w:val="00E857FB"/>
    <w:rsid w:val="00E91799"/>
    <w:rsid w:val="00E93159"/>
    <w:rsid w:val="00E938BE"/>
    <w:rsid w:val="00E97DF8"/>
    <w:rsid w:val="00EA21FE"/>
    <w:rsid w:val="00EA34E3"/>
    <w:rsid w:val="00EB7538"/>
    <w:rsid w:val="00EC1868"/>
    <w:rsid w:val="00ED6328"/>
    <w:rsid w:val="00EE1722"/>
    <w:rsid w:val="00EE6468"/>
    <w:rsid w:val="00EF1446"/>
    <w:rsid w:val="00EF7E77"/>
    <w:rsid w:val="00F1299B"/>
    <w:rsid w:val="00F14764"/>
    <w:rsid w:val="00F207A4"/>
    <w:rsid w:val="00F25173"/>
    <w:rsid w:val="00F355AC"/>
    <w:rsid w:val="00F37E78"/>
    <w:rsid w:val="00F40CF7"/>
    <w:rsid w:val="00F4239D"/>
    <w:rsid w:val="00F44194"/>
    <w:rsid w:val="00F4597B"/>
    <w:rsid w:val="00F704DB"/>
    <w:rsid w:val="00F70D12"/>
    <w:rsid w:val="00F71A5A"/>
    <w:rsid w:val="00F73A1A"/>
    <w:rsid w:val="00F769E0"/>
    <w:rsid w:val="00F81769"/>
    <w:rsid w:val="00F81804"/>
    <w:rsid w:val="00F87A36"/>
    <w:rsid w:val="00F91430"/>
    <w:rsid w:val="00FA4A46"/>
    <w:rsid w:val="00FA4F26"/>
    <w:rsid w:val="00FA75FE"/>
    <w:rsid w:val="00FB1032"/>
    <w:rsid w:val="00FB39BC"/>
    <w:rsid w:val="00FB6A53"/>
    <w:rsid w:val="00FC11CA"/>
    <w:rsid w:val="00FC6BDE"/>
    <w:rsid w:val="00FD2A09"/>
    <w:rsid w:val="00FD4349"/>
    <w:rsid w:val="00FF362D"/>
    <w:rsid w:val="00FF6138"/>
    <w:rsid w:val="00FF67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3599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62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7D7D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media/109006/download" TargetMode="External" /><Relationship Id="rId6" Type="http://schemas.openxmlformats.org/officeDocument/2006/relationships/hyperlink" Target="https://www.fda.gov/media/85886/download" TargetMode="External" /><Relationship Id="rId7" Type="http://schemas.openxmlformats.org/officeDocument/2006/relationships/hyperlink" Target="https://www.fda.gov/food/registration-food-facilities-and-other-submissions/centralized-online-submission-module-cosm" TargetMode="External" /><Relationship Id="rId8" Type="http://schemas.openxmlformats.org/officeDocument/2006/relationships/hyperlink" Target="https://www.fda.gov/industry/small-business-assistanc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C3225-C9AC-485D-9718-6612720E5E15}">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3778</Words>
  <Characters>21388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2025-08-26T13:05:00Z</dcterms:created>
  <dcterms:modified xsi:type="dcterms:W3CDTF">2025-08-26T15:16:00Z</dcterms:modified>
</cp:coreProperties>
</file>