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6BECD836" w14:textId="00947D54">
      <w:pPr>
        <w:jc w:val="center"/>
        <w:rPr>
          <w:rFonts w:eastAsia="Calibri"/>
        </w:rPr>
      </w:pPr>
      <w:r>
        <w:rPr>
          <w:rFonts w:eastAsia="Calibri"/>
        </w:rPr>
        <w:t>United States Food and Drug Administration</w:t>
      </w:r>
    </w:p>
    <w:p w:rsidR="00357C8A" w:rsidP="00357C8A" w14:paraId="782F7957" w14:textId="77777777">
      <w:pPr>
        <w:jc w:val="center"/>
        <w:rPr>
          <w:rFonts w:eastAsia="Calibri"/>
        </w:rPr>
      </w:pPr>
    </w:p>
    <w:p w:rsidR="00357C8A" w:rsidP="00357C8A" w14:paraId="7D874B80" w14:textId="18BCDDE3">
      <w:pPr>
        <w:jc w:val="center"/>
        <w:rPr>
          <w:rFonts w:eastAsia="Calibri"/>
        </w:rPr>
      </w:pPr>
      <w:r>
        <w:rPr>
          <w:rFonts w:eastAsia="Calibri"/>
        </w:rPr>
        <w:t xml:space="preserve">Food Labeling: </w:t>
      </w:r>
      <w:r w:rsidRPr="00DB018C" w:rsidR="00DB018C">
        <w:rPr>
          <w:rFonts w:eastAsia="Calibri"/>
        </w:rPr>
        <w:t>Front</w:t>
      </w:r>
      <w:r w:rsidR="00CF6504">
        <w:rPr>
          <w:rFonts w:eastAsia="Calibri"/>
        </w:rPr>
        <w:t>-</w:t>
      </w:r>
      <w:r w:rsidRPr="00DB018C" w:rsidR="00DB018C">
        <w:rPr>
          <w:rFonts w:eastAsia="Calibri"/>
        </w:rPr>
        <w:t>of</w:t>
      </w:r>
      <w:r w:rsidR="00CF6504">
        <w:rPr>
          <w:rFonts w:eastAsia="Calibri"/>
        </w:rPr>
        <w:t>-</w:t>
      </w:r>
      <w:r w:rsidRPr="00DB018C" w:rsidR="00DB018C">
        <w:rPr>
          <w:rFonts w:eastAsia="Calibri"/>
        </w:rPr>
        <w:t xml:space="preserve">Package </w:t>
      </w:r>
      <w:r>
        <w:rPr>
          <w:rFonts w:eastAsia="Calibri"/>
        </w:rPr>
        <w:t>Nutrition Information</w:t>
      </w:r>
    </w:p>
    <w:p w:rsidR="00DB018C" w:rsidP="00357C8A" w14:paraId="6D3A637B" w14:textId="77777777">
      <w:pPr>
        <w:jc w:val="center"/>
        <w:rPr>
          <w:rFonts w:eastAsia="Calibri"/>
        </w:rPr>
      </w:pPr>
    </w:p>
    <w:p w:rsidR="00357C8A" w:rsidRPr="00F52CF4" w:rsidP="00357C8A" w14:paraId="4A6867A2" w14:textId="14888D02">
      <w:pPr>
        <w:jc w:val="center"/>
        <w:rPr>
          <w:rFonts w:eastAsia="Calibri"/>
        </w:rPr>
      </w:pPr>
      <w:r w:rsidRPr="00F52CF4">
        <w:rPr>
          <w:rFonts w:eastAsia="Calibri"/>
        </w:rPr>
        <w:t>OMB Control No. 0910-</w:t>
      </w:r>
      <w:r w:rsidRPr="00F52CF4" w:rsidR="001B0ACE">
        <w:rPr>
          <w:rFonts w:eastAsia="Calibri"/>
        </w:rPr>
        <w:t>NEW</w:t>
      </w:r>
      <w:r w:rsidR="00F52CF4">
        <w:rPr>
          <w:rFonts w:eastAsia="Calibri"/>
        </w:rPr>
        <w:t xml:space="preserve"> (Proposed Rule)</w:t>
      </w:r>
    </w:p>
    <w:p w:rsidR="00D63EC2" w:rsidP="00357C8A" w14:paraId="225C8EB1" w14:textId="47CF7766">
      <w:pPr>
        <w:jc w:val="center"/>
        <w:rPr>
          <w:rFonts w:eastAsia="Calibri"/>
        </w:rPr>
      </w:pPr>
      <w:r w:rsidRPr="00D63EC2">
        <w:rPr>
          <w:rFonts w:eastAsia="Calibri"/>
        </w:rPr>
        <w:t>RIN 0910-AI</w:t>
      </w:r>
      <w:r w:rsidRPr="00B14E3C" w:rsidR="00FD2072">
        <w:rPr>
          <w:rFonts w:eastAsia="Calibri"/>
        </w:rPr>
        <w:t>80</w:t>
      </w:r>
    </w:p>
    <w:p w:rsidR="00357C8A" w:rsidP="00357C8A" w14:paraId="53DAD1CC" w14:textId="77777777">
      <w:pPr>
        <w:jc w:val="center"/>
        <w:rPr>
          <w:rFonts w:eastAsia="Calibri"/>
        </w:rPr>
      </w:pPr>
    </w:p>
    <w:p w:rsidR="00357C8A" w:rsidP="00357C8A" w14:paraId="0CAF737A" w14:textId="77777777">
      <w:pPr>
        <w:jc w:val="center"/>
        <w:rPr>
          <w:rFonts w:eastAsia="Calibri"/>
        </w:rPr>
      </w:pPr>
      <w:r w:rsidRPr="00357C8A">
        <w:rPr>
          <w:rFonts w:eastAsia="Calibri"/>
        </w:rPr>
        <w:t>SUPPORTING STATEMENT</w:t>
      </w:r>
    </w:p>
    <w:p w:rsidR="009B4DF2" w:rsidP="00357C8A" w14:paraId="41EDC62B" w14:textId="77777777">
      <w:pPr>
        <w:jc w:val="center"/>
        <w:rPr>
          <w:rFonts w:eastAsia="Calibri"/>
        </w:rPr>
      </w:pPr>
    </w:p>
    <w:p w:rsidR="00357C8A" w:rsidP="000D79CC" w14:paraId="59D837F6" w14:textId="72B29FC6">
      <w:pPr>
        <w:rPr>
          <w:rFonts w:eastAsia="Calibri"/>
        </w:rPr>
      </w:pPr>
      <w:r w:rsidRPr="00357C8A">
        <w:rPr>
          <w:rFonts w:eastAsia="Calibri"/>
          <w:b/>
        </w:rPr>
        <w:t>Part A:  Justification</w:t>
      </w:r>
    </w:p>
    <w:p w:rsidR="000D79CC" w:rsidRPr="00357C8A" w:rsidP="000D79CC" w14:paraId="56E7B820" w14:textId="77777777">
      <w:pPr>
        <w:rPr>
          <w:rFonts w:eastAsia="Calibri"/>
        </w:rPr>
      </w:pPr>
    </w:p>
    <w:p w:rsidR="00357C8A" w:rsidRPr="00357C8A" w:rsidP="006705EA" w14:paraId="128F82B6"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007497" w:rsidP="00007497" w14:paraId="24DD2A32" w14:textId="1BDA3CB2">
      <w:pPr>
        <w:rPr>
          <w:rFonts w:eastAsia="Calibri"/>
        </w:rPr>
      </w:pPr>
      <w:r w:rsidRPr="005C71CA">
        <w:rPr>
          <w:rFonts w:eastAsia="Calibri"/>
        </w:rPr>
        <w:t xml:space="preserve">This information collection supports Food and Drug Administration (FDA or we) </w:t>
      </w:r>
      <w:r w:rsidR="009B74B7">
        <w:rPr>
          <w:rFonts w:eastAsia="Calibri"/>
        </w:rPr>
        <w:t>rulemaking</w:t>
      </w:r>
      <w:r w:rsidR="00986E9F">
        <w:rPr>
          <w:rFonts w:eastAsia="Calibri"/>
        </w:rPr>
        <w:t xml:space="preserve">, which </w:t>
      </w:r>
      <w:r w:rsidR="007E5687">
        <w:rPr>
          <w:rFonts w:eastAsia="Calibri"/>
        </w:rPr>
        <w:t>we are issuing consistent with</w:t>
      </w:r>
      <w:r w:rsidRPr="00007497">
        <w:rPr>
          <w:rFonts w:eastAsia="Calibri"/>
        </w:rPr>
        <w:t xml:space="preserve"> the </w:t>
      </w:r>
      <w:r w:rsidRPr="008F34BA" w:rsidR="008F34BA">
        <w:rPr>
          <w:rFonts w:eastAsia="Calibri"/>
        </w:rPr>
        <w:t>Nutrition Labeling and Education Act of 1990</w:t>
      </w:r>
      <w:r w:rsidRPr="00007497">
        <w:rPr>
          <w:rFonts w:eastAsia="Calibri"/>
        </w:rPr>
        <w:t xml:space="preserve"> (Pub. L. No. 101-535, 104 Stat. 2353, Section 2(b)(1) (21 U.S.C. 343 note (1990))) and sections 403(f) and 403(q) of the </w:t>
      </w:r>
      <w:r w:rsidRPr="00A05A49" w:rsidR="00A05A49">
        <w:rPr>
          <w:rFonts w:eastAsia="Calibri"/>
        </w:rPr>
        <w:t>Federal Food, Drug, and Cosmetic Act</w:t>
      </w:r>
      <w:r w:rsidRPr="00007497">
        <w:rPr>
          <w:rFonts w:eastAsia="Calibri"/>
        </w:rPr>
        <w:t xml:space="preserve"> </w:t>
      </w:r>
      <w:r w:rsidRPr="004466BE" w:rsidR="004466BE">
        <w:rPr>
          <w:rFonts w:eastAsia="Calibri"/>
        </w:rPr>
        <w:t xml:space="preserve">(FD&amp;C Act) </w:t>
      </w:r>
      <w:r w:rsidRPr="00007497">
        <w:rPr>
          <w:rFonts w:eastAsia="Calibri"/>
        </w:rPr>
        <w:t xml:space="preserve">(21 U.S.C. 343(f) and 343(q)). </w:t>
      </w:r>
      <w:r w:rsidRPr="002646B7" w:rsidR="002646B7">
        <w:rPr>
          <w:rFonts w:eastAsia="Calibri"/>
        </w:rPr>
        <w:t>We are also issuing this proposed rule consistent with our authorities</w:t>
      </w:r>
      <w:r w:rsidR="002646B7">
        <w:rPr>
          <w:rFonts w:eastAsia="Calibri"/>
        </w:rPr>
        <w:t xml:space="preserve"> in</w:t>
      </w:r>
      <w:r w:rsidRPr="00007497">
        <w:rPr>
          <w:rFonts w:eastAsia="Calibri"/>
        </w:rPr>
        <w:t xml:space="preserve"> sections 701(a), 403(a)(1), and 201(n) of the FD&amp;C Act (21 U.S.C. 371(a), 21 U.S.C. 343(a)(1), and 21 U.S.C. 321(n), respectively).</w:t>
      </w:r>
    </w:p>
    <w:p w:rsidR="00007497" w:rsidRPr="00007497" w:rsidP="00007497" w14:paraId="6CDC2C3A" w14:textId="77777777">
      <w:pPr>
        <w:rPr>
          <w:rFonts w:eastAsia="Calibri"/>
        </w:rPr>
      </w:pPr>
    </w:p>
    <w:p w:rsidR="00423272" w:rsidP="00007497" w14:paraId="18D35776" w14:textId="3B1E5814">
      <w:pPr>
        <w:rPr>
          <w:rFonts w:eastAsia="Calibri"/>
        </w:rPr>
      </w:pPr>
      <w:r w:rsidRPr="00007497">
        <w:rPr>
          <w:rFonts w:eastAsia="Calibri"/>
        </w:rPr>
        <w:t>The proposed rule, if finalized, would add § 101.6 (21 CFR 101.6) requir</w:t>
      </w:r>
      <w:r w:rsidR="00967463">
        <w:rPr>
          <w:rFonts w:eastAsia="Calibri"/>
        </w:rPr>
        <w:t>ing</w:t>
      </w:r>
      <w:r w:rsidRPr="00007497">
        <w:rPr>
          <w:rFonts w:eastAsia="Calibri"/>
        </w:rPr>
        <w:t xml:space="preserve"> </w:t>
      </w:r>
      <w:r w:rsidRPr="00F235F1" w:rsidR="00F235F1">
        <w:rPr>
          <w:rFonts w:eastAsia="Calibri"/>
        </w:rPr>
        <w:t>the food industry</w:t>
      </w:r>
      <w:r w:rsidRPr="00007497">
        <w:rPr>
          <w:rFonts w:eastAsia="Calibri"/>
        </w:rPr>
        <w:t xml:space="preserve"> to disclose </w:t>
      </w:r>
      <w:bookmarkStart w:id="0" w:name="_Hlk163551364"/>
      <w:r w:rsidRPr="00007497">
        <w:rPr>
          <w:rFonts w:eastAsia="Calibri"/>
        </w:rPr>
        <w:t>certain nutrition information</w:t>
      </w:r>
      <w:bookmarkEnd w:id="0"/>
      <w:r w:rsidRPr="00007497">
        <w:rPr>
          <w:rFonts w:eastAsia="Calibri"/>
        </w:rPr>
        <w:t xml:space="preserve"> as an informational label on the principal display panel of most foods bearing a Nutrition Facts label. </w:t>
      </w:r>
      <w:r w:rsidRPr="009550E6" w:rsidR="009550E6">
        <w:rPr>
          <w:rFonts w:eastAsia="Calibri"/>
        </w:rPr>
        <w:t xml:space="preserve">The informational label would </w:t>
      </w:r>
      <w:r w:rsidRPr="00716F60" w:rsidR="00716F60">
        <w:rPr>
          <w:rFonts w:eastAsia="Calibri"/>
        </w:rPr>
        <w:t>provide consumers with interpretive information on the front of food packages for three nutrients to limit that would allow consumers to compare the levels of these three important nutrients among foods</w:t>
      </w:r>
      <w:r w:rsidR="00B16D7E">
        <w:rPr>
          <w:rFonts w:eastAsia="Calibri"/>
        </w:rPr>
        <w:t xml:space="preserve">. </w:t>
      </w:r>
      <w:r w:rsidRPr="00007497">
        <w:rPr>
          <w:rFonts w:eastAsia="Calibri"/>
        </w:rPr>
        <w:t xml:space="preserve">The informational label would give consumers additional context on the front of most food packages about certain nutrients that appear on the Nutrition Facts label. </w:t>
      </w:r>
    </w:p>
    <w:p w:rsidR="003F6395" w:rsidP="006A4393" w14:paraId="348E06D9" w14:textId="77777777">
      <w:pPr>
        <w:rPr>
          <w:rFonts w:eastAsia="Calibri"/>
        </w:rPr>
      </w:pPr>
    </w:p>
    <w:p w:rsidR="00357C8A" w:rsidP="006A4393" w14:paraId="7ECF1A30" w14:textId="1F714420">
      <w:pPr>
        <w:rPr>
          <w:rFonts w:eastAsia="Calibri"/>
        </w:rPr>
      </w:pPr>
      <w:r w:rsidRPr="005C71CA">
        <w:rPr>
          <w:rFonts w:eastAsia="Calibri"/>
        </w:rPr>
        <w:t xml:space="preserve">We therefore request OMB approval of </w:t>
      </w:r>
      <w:r w:rsidR="003E43B4">
        <w:rPr>
          <w:rFonts w:eastAsia="Calibri"/>
        </w:rPr>
        <w:t xml:space="preserve">the information collection associated with </w:t>
      </w:r>
      <w:r w:rsidR="00732245">
        <w:rPr>
          <w:rFonts w:eastAsia="Calibri"/>
        </w:rPr>
        <w:t xml:space="preserve">provisions in </w:t>
      </w:r>
      <w:r w:rsidR="006324AE">
        <w:rPr>
          <w:rFonts w:eastAsia="Calibri"/>
        </w:rPr>
        <w:t xml:space="preserve">the </w:t>
      </w:r>
      <w:r w:rsidR="003248A1">
        <w:rPr>
          <w:rFonts w:eastAsia="Calibri"/>
        </w:rPr>
        <w:t>proposed</w:t>
      </w:r>
      <w:r w:rsidR="003E43B4">
        <w:rPr>
          <w:rFonts w:eastAsia="Calibri"/>
        </w:rPr>
        <w:t xml:space="preserve"> </w:t>
      </w:r>
      <w:r w:rsidRPr="005C71CA">
        <w:rPr>
          <w:rFonts w:eastAsia="Calibri"/>
        </w:rPr>
        <w:t xml:space="preserve">21 CFR </w:t>
      </w:r>
      <w:r w:rsidR="006A4393">
        <w:rPr>
          <w:rFonts w:eastAsia="Calibri"/>
        </w:rPr>
        <w:t>101.6</w:t>
      </w:r>
      <w:r w:rsidR="003E43B4">
        <w:rPr>
          <w:rFonts w:eastAsia="Calibri"/>
        </w:rPr>
        <w:t>,</w:t>
      </w:r>
      <w:r w:rsidRPr="005C71CA">
        <w:rPr>
          <w:rFonts w:eastAsia="Calibri"/>
        </w:rPr>
        <w:t xml:space="preserve"> as discussed in this supporting statement.</w:t>
      </w:r>
    </w:p>
    <w:p w:rsidR="006A4393" w:rsidRPr="00357C8A" w:rsidP="006A4393" w14:paraId="6A2C98D9" w14:textId="77777777">
      <w:pPr>
        <w:rPr>
          <w:rFonts w:eastAsia="Calibri"/>
          <w:color w:val="FF0000"/>
        </w:rPr>
      </w:pPr>
    </w:p>
    <w:p w:rsidR="00357C8A" w:rsidRPr="00357C8A" w:rsidP="006705EA" w14:paraId="4BF0AEF3"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357C8A" w:rsidP="0022425B" w14:paraId="6B746C41" w14:textId="21624955">
      <w:pPr>
        <w:spacing w:after="200"/>
        <w:rPr>
          <w:rFonts w:eastAsia="Calibri"/>
        </w:rPr>
      </w:pPr>
      <w:r w:rsidRPr="002A1591">
        <w:rPr>
          <w:rFonts w:eastAsia="Calibri"/>
        </w:rPr>
        <w:t xml:space="preserve">The purpose of </w:t>
      </w:r>
      <w:r w:rsidR="00604711">
        <w:rPr>
          <w:rFonts w:eastAsia="Calibri"/>
        </w:rPr>
        <w:t>this</w:t>
      </w:r>
      <w:r w:rsidRPr="002A1591">
        <w:rPr>
          <w:rFonts w:eastAsia="Calibri"/>
        </w:rPr>
        <w:t xml:space="preserve"> food labeling requirement</w:t>
      </w:r>
      <w:r w:rsidR="00604711">
        <w:rPr>
          <w:rFonts w:eastAsia="Calibri"/>
        </w:rPr>
        <w:t xml:space="preserve"> </w:t>
      </w:r>
      <w:r w:rsidRPr="00934EAF" w:rsidR="00934EAF">
        <w:rPr>
          <w:rFonts w:eastAsia="Calibri"/>
        </w:rPr>
        <w:t>would give consumers additional context on the front of most food packages about certain nutrients that appear on the Nutrition Facts label. The label would promote public health by providing consumers with quick, easy-to-use nutrition information to help them build healthy dietary patterns</w:t>
      </w:r>
      <w:r w:rsidRPr="002A1591">
        <w:rPr>
          <w:rFonts w:eastAsia="Calibri"/>
        </w:rPr>
        <w:t xml:space="preserve">. </w:t>
      </w:r>
      <w:r w:rsidRPr="001E7F98" w:rsidR="001E7F98">
        <w:rPr>
          <w:rFonts w:eastAsia="Calibri"/>
        </w:rPr>
        <w:t xml:space="preserve">The primary user of the information to be disclosed on the label or labeling of food products </w:t>
      </w:r>
      <w:r w:rsidR="00CC37C0">
        <w:rPr>
          <w:rFonts w:eastAsia="Calibri"/>
        </w:rPr>
        <w:t>would be</w:t>
      </w:r>
      <w:r w:rsidRPr="001E7F98" w:rsidR="001E7F98">
        <w:rPr>
          <w:rFonts w:eastAsia="Calibri"/>
        </w:rPr>
        <w:t xml:space="preserve"> the consumer that </w:t>
      </w:r>
      <w:r w:rsidR="00BB7C7B">
        <w:rPr>
          <w:rFonts w:eastAsia="Calibri"/>
        </w:rPr>
        <w:t xml:space="preserve">considers </w:t>
      </w:r>
      <w:r w:rsidRPr="001E7F98" w:rsidR="001E7F98">
        <w:rPr>
          <w:rFonts w:eastAsia="Calibri"/>
        </w:rPr>
        <w:t>purchas</w:t>
      </w:r>
      <w:r w:rsidR="00BB7C7B">
        <w:rPr>
          <w:rFonts w:eastAsia="Calibri"/>
        </w:rPr>
        <w:t>ing, consuming, or otherwise using</w:t>
      </w:r>
      <w:r w:rsidRPr="001E7F98" w:rsidR="001E7F98">
        <w:rPr>
          <w:rFonts w:eastAsia="Calibri"/>
        </w:rPr>
        <w:t xml:space="preserve"> the food product. Consumers </w:t>
      </w:r>
      <w:r w:rsidR="008B082F">
        <w:rPr>
          <w:rFonts w:eastAsia="Calibri"/>
        </w:rPr>
        <w:t xml:space="preserve">would </w:t>
      </w:r>
      <w:r w:rsidRPr="001E7F98" w:rsidR="001E7F98">
        <w:rPr>
          <w:rFonts w:eastAsia="Calibri"/>
        </w:rPr>
        <w:t>use the information to assist them in making choices concerning their purchase</w:t>
      </w:r>
      <w:r w:rsidR="00BB7C7B">
        <w:rPr>
          <w:rFonts w:eastAsia="Calibri"/>
        </w:rPr>
        <w:t>, consumption, or other use</w:t>
      </w:r>
      <w:r w:rsidRPr="001E7F98" w:rsidR="001E7F98">
        <w:rPr>
          <w:rFonts w:eastAsia="Calibri"/>
        </w:rPr>
        <w:t xml:space="preserve"> of a food product. </w:t>
      </w:r>
      <w:r w:rsidRPr="00194C3C">
        <w:rPr>
          <w:rFonts w:eastAsia="Calibri"/>
        </w:rPr>
        <w:t>Nutrition labeling</w:t>
      </w:r>
      <w:r w:rsidR="00BD2313">
        <w:rPr>
          <w:rFonts w:eastAsia="Calibri"/>
        </w:rPr>
        <w:t>,</w:t>
      </w:r>
      <w:r w:rsidRPr="00194C3C">
        <w:rPr>
          <w:rFonts w:eastAsia="Calibri"/>
        </w:rPr>
        <w:t xml:space="preserve"> </w:t>
      </w:r>
      <w:r w:rsidR="00BD2313">
        <w:rPr>
          <w:rFonts w:eastAsia="Calibri"/>
        </w:rPr>
        <w:t xml:space="preserve">in general, </w:t>
      </w:r>
      <w:r w:rsidRPr="00194C3C">
        <w:rPr>
          <w:rFonts w:eastAsia="Calibri"/>
        </w:rPr>
        <w:t xml:space="preserve">provides information for use by consumers in selecting a nutritious diet. </w:t>
      </w:r>
      <w:r w:rsidR="00B517A0">
        <w:rPr>
          <w:rFonts w:eastAsia="Calibri"/>
        </w:rPr>
        <w:t>Providing</w:t>
      </w:r>
      <w:r w:rsidRPr="00194C3C">
        <w:rPr>
          <w:rFonts w:eastAsia="Calibri"/>
        </w:rPr>
        <w:t xml:space="preserve"> </w:t>
      </w:r>
      <w:r w:rsidRPr="00B517A0" w:rsidR="00B517A0">
        <w:rPr>
          <w:rFonts w:eastAsia="Calibri"/>
        </w:rPr>
        <w:t xml:space="preserve">certain nutrition </w:t>
      </w:r>
      <w:r w:rsidRPr="00194C3C">
        <w:rPr>
          <w:rFonts w:eastAsia="Calibri"/>
        </w:rPr>
        <w:t>information</w:t>
      </w:r>
      <w:r w:rsidR="00B517A0">
        <w:rPr>
          <w:rFonts w:eastAsia="Calibri"/>
        </w:rPr>
        <w:t xml:space="preserve"> on the front</w:t>
      </w:r>
      <w:r w:rsidR="00A61567">
        <w:rPr>
          <w:rFonts w:eastAsia="Calibri"/>
        </w:rPr>
        <w:t xml:space="preserve"> of package would</w:t>
      </w:r>
      <w:r w:rsidRPr="00194C3C">
        <w:rPr>
          <w:rFonts w:eastAsia="Calibri"/>
        </w:rPr>
        <w:t xml:space="preserve"> </w:t>
      </w:r>
      <w:r w:rsidR="00A61567">
        <w:rPr>
          <w:rFonts w:eastAsia="Calibri"/>
        </w:rPr>
        <w:t>make it easier</w:t>
      </w:r>
      <w:r w:rsidR="00BB7C7B">
        <w:rPr>
          <w:rFonts w:eastAsia="Calibri"/>
        </w:rPr>
        <w:t xml:space="preserve"> and faster</w:t>
      </w:r>
      <w:r w:rsidR="00A61567">
        <w:rPr>
          <w:rFonts w:eastAsia="Calibri"/>
        </w:rPr>
        <w:t xml:space="preserve"> for</w:t>
      </w:r>
      <w:r w:rsidRPr="00194C3C">
        <w:rPr>
          <w:rFonts w:eastAsia="Calibri"/>
        </w:rPr>
        <w:t xml:space="preserve"> a consumer to comparison shop</w:t>
      </w:r>
      <w:r w:rsidR="00BB7C7B">
        <w:rPr>
          <w:rFonts w:eastAsia="Calibri"/>
        </w:rPr>
        <w:t xml:space="preserve"> or decide what foods to eat or use</w:t>
      </w:r>
      <w:r w:rsidRPr="00194C3C">
        <w:rPr>
          <w:rFonts w:eastAsia="Calibri"/>
        </w:rPr>
        <w:t xml:space="preserve">.  </w:t>
      </w:r>
    </w:p>
    <w:p w:rsidR="001E7F98" w:rsidRPr="001E7F98" w:rsidP="0022425B" w14:paraId="33F00EBB" w14:textId="42A8D7EE">
      <w:pPr>
        <w:spacing w:after="200"/>
        <w:rPr>
          <w:rFonts w:eastAsia="Calibri"/>
        </w:rPr>
      </w:pPr>
      <w:r w:rsidRPr="001E7F98">
        <w:rPr>
          <w:rFonts w:eastAsia="Calibri"/>
        </w:rPr>
        <w:t xml:space="preserve">The respondents to this information collection are </w:t>
      </w:r>
      <w:bookmarkStart w:id="1" w:name="_Hlk529197472"/>
      <w:r w:rsidRPr="001E7F98">
        <w:rPr>
          <w:rFonts w:eastAsia="Calibri"/>
        </w:rPr>
        <w:t>manufacturers</w:t>
      </w:r>
      <w:bookmarkEnd w:id="1"/>
      <w:r w:rsidRPr="00EF6E7D" w:rsidR="00EF6E7D">
        <w:rPr>
          <w:rFonts w:eastAsia="Calibri"/>
        </w:rPr>
        <w:t>, packers, and distributors</w:t>
      </w:r>
      <w:r w:rsidRPr="001E7F98">
        <w:rPr>
          <w:rFonts w:eastAsia="Calibri"/>
        </w:rPr>
        <w:t xml:space="preserve"> of food products </w:t>
      </w:r>
      <w:r w:rsidRPr="00C277E9" w:rsidR="00C277E9">
        <w:rPr>
          <w:rFonts w:eastAsia="Calibri"/>
        </w:rPr>
        <w:t>subject to statutory and regulatory food labeling requirements</w:t>
      </w:r>
      <w:r w:rsidRPr="001E7F98">
        <w:rPr>
          <w:rFonts w:eastAsia="Calibri"/>
        </w:rPr>
        <w:t>.</w:t>
      </w:r>
    </w:p>
    <w:p w:rsidR="00357C8A" w:rsidRPr="00357C8A" w:rsidP="006705EA" w14:paraId="1B71F89F"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357C8A" w:rsidP="0022425B" w14:paraId="7E5BB9AF" w14:textId="264B97C2">
      <w:pPr>
        <w:spacing w:after="200"/>
        <w:rPr>
          <w:rFonts w:eastAsia="Calibri"/>
          <w:color w:val="FF0000"/>
        </w:rPr>
      </w:pPr>
      <w:r>
        <w:rPr>
          <w:rFonts w:eastAsia="Calibri"/>
        </w:rPr>
        <w:t>Proposed</w:t>
      </w:r>
      <w:r w:rsidR="00E61258">
        <w:rPr>
          <w:rFonts w:eastAsia="Calibri"/>
        </w:rPr>
        <w:t xml:space="preserve"> </w:t>
      </w:r>
      <w:r w:rsidRPr="009703E5" w:rsidR="00E61258">
        <w:rPr>
          <w:rFonts w:eastAsia="Calibri"/>
        </w:rPr>
        <w:t>§ 101.6 do</w:t>
      </w:r>
      <w:r w:rsidR="00E61258">
        <w:rPr>
          <w:rFonts w:eastAsia="Calibri"/>
        </w:rPr>
        <w:t>es</w:t>
      </w:r>
      <w:r w:rsidRPr="009703E5" w:rsidR="00E61258">
        <w:rPr>
          <w:rFonts w:eastAsia="Calibri"/>
        </w:rPr>
        <w:t xml:space="preserve"> not specifically prescribe the use of automated, electronic, mechanical, or other technological techniques or other forms of information technology as necessary for use by </w:t>
      </w:r>
      <w:r w:rsidR="00193C3B">
        <w:rPr>
          <w:rFonts w:eastAsia="Calibri"/>
        </w:rPr>
        <w:t>respondent</w:t>
      </w:r>
      <w:r w:rsidRPr="009703E5" w:rsidR="00E61258">
        <w:rPr>
          <w:rFonts w:eastAsia="Calibri"/>
        </w:rPr>
        <w:t xml:space="preserve">s. </w:t>
      </w:r>
      <w:r w:rsidR="00193C3B">
        <w:rPr>
          <w:rFonts w:eastAsia="Calibri"/>
        </w:rPr>
        <w:t>R</w:t>
      </w:r>
      <w:r w:rsidRPr="00193C3B" w:rsidR="00193C3B">
        <w:rPr>
          <w:rFonts w:eastAsia="Calibri"/>
        </w:rPr>
        <w:t>espondents</w:t>
      </w:r>
      <w:r w:rsidRPr="009703E5" w:rsidR="00E61258">
        <w:rPr>
          <w:rFonts w:eastAsia="Calibri"/>
        </w:rPr>
        <w:t xml:space="preserve"> are free to use whatever forms of information technology may best assist them </w:t>
      </w:r>
      <w:r w:rsidR="00E61258">
        <w:rPr>
          <w:rFonts w:eastAsia="Calibri"/>
        </w:rPr>
        <w:t xml:space="preserve">for </w:t>
      </w:r>
      <w:r w:rsidRPr="009703E5" w:rsidR="00E61258">
        <w:rPr>
          <w:rFonts w:eastAsia="Calibri"/>
        </w:rPr>
        <w:t>meeting labeling requirements for food.</w:t>
      </w:r>
    </w:p>
    <w:p w:rsidR="00357C8A" w:rsidRPr="00357C8A" w:rsidP="006705EA" w14:paraId="1FEF6B2F"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P="0053380B" w14:paraId="3EEFA03F" w14:textId="35BD30BB">
      <w:pPr>
        <w:spacing w:after="200"/>
      </w:pPr>
      <w:r w:rsidRPr="00CC45FF">
        <w:t xml:space="preserve">Congress has authorized FDA to promulgate regulations pertaining to the labeling of </w:t>
      </w:r>
      <w:r w:rsidR="00A94417">
        <w:t xml:space="preserve">most </w:t>
      </w:r>
      <w:r w:rsidRPr="00CC45FF">
        <w:t xml:space="preserve">foods, as opposed to the jurisdiction of the U.S. Department of Agriculture (meats and poultry) and the Federal Trade Commission (advertising). </w:t>
      </w:r>
      <w:r w:rsidR="00A07417">
        <w:t>However, t</w:t>
      </w:r>
      <w:r w:rsidR="00171419">
        <w:t xml:space="preserve">he proposed collection of information </w:t>
      </w:r>
      <w:r w:rsidR="00AC3694">
        <w:t xml:space="preserve">includes disclosure of </w:t>
      </w:r>
      <w:r w:rsidRPr="00007497" w:rsidR="00AC3694">
        <w:rPr>
          <w:rFonts w:eastAsia="Calibri"/>
        </w:rPr>
        <w:t>certain nutrition information</w:t>
      </w:r>
      <w:r w:rsidR="00184D7D">
        <w:rPr>
          <w:rFonts w:eastAsia="Calibri"/>
        </w:rPr>
        <w:t xml:space="preserve"> </w:t>
      </w:r>
      <w:r w:rsidR="00E40206">
        <w:rPr>
          <w:rFonts w:eastAsia="Calibri"/>
        </w:rPr>
        <w:t xml:space="preserve">on the front of packages </w:t>
      </w:r>
      <w:r w:rsidR="00184D7D">
        <w:rPr>
          <w:rFonts w:eastAsia="Calibri"/>
        </w:rPr>
        <w:t>that is</w:t>
      </w:r>
      <w:r w:rsidR="00FE04D0">
        <w:rPr>
          <w:rFonts w:eastAsia="Calibri"/>
        </w:rPr>
        <w:t xml:space="preserve"> currently</w:t>
      </w:r>
      <w:r w:rsidR="00184D7D">
        <w:rPr>
          <w:rFonts w:eastAsia="Calibri"/>
        </w:rPr>
        <w:t xml:space="preserve"> disclosed </w:t>
      </w:r>
      <w:r w:rsidRPr="00B025C3" w:rsidR="00B025C3">
        <w:rPr>
          <w:rFonts w:eastAsia="Calibri"/>
        </w:rPr>
        <w:t xml:space="preserve">on the Nutrition Facts label </w:t>
      </w:r>
      <w:r w:rsidR="00415C5A">
        <w:rPr>
          <w:rFonts w:eastAsia="Calibri"/>
        </w:rPr>
        <w:t>under</w:t>
      </w:r>
      <w:r w:rsidR="00184D7D">
        <w:rPr>
          <w:rFonts w:eastAsia="Calibri"/>
        </w:rPr>
        <w:t xml:space="preserve"> </w:t>
      </w:r>
      <w:r w:rsidR="00100CD4">
        <w:rPr>
          <w:rFonts w:eastAsia="Calibri"/>
        </w:rPr>
        <w:t>OMB control no. 0910-0381</w:t>
      </w:r>
      <w:r w:rsidR="00010440">
        <w:rPr>
          <w:rFonts w:eastAsia="Calibri"/>
        </w:rPr>
        <w:t xml:space="preserve">, </w:t>
      </w:r>
      <w:r w:rsidRPr="00010440" w:rsidR="00010440">
        <w:rPr>
          <w:rFonts w:eastAsia="Calibri"/>
        </w:rPr>
        <w:t>Food Labeling Requirements</w:t>
      </w:r>
      <w:r w:rsidRPr="005C71CA" w:rsidR="00E61258">
        <w:t>.</w:t>
      </w:r>
      <w:r w:rsidR="00FE04D0">
        <w:t xml:space="preserve"> The proposed </w:t>
      </w:r>
      <w:r w:rsidR="004704EF">
        <w:t>disclosure</w:t>
      </w:r>
      <w:r w:rsidRPr="00B025C3" w:rsidR="00B025C3">
        <w:t xml:space="preserve"> </w:t>
      </w:r>
      <w:r w:rsidR="004C403C">
        <w:t xml:space="preserve">would complement the </w:t>
      </w:r>
      <w:r w:rsidRPr="00555B0E" w:rsidR="00555B0E">
        <w:t xml:space="preserve">Nutrition Facts label </w:t>
      </w:r>
      <w:r w:rsidR="0021614F">
        <w:t>by</w:t>
      </w:r>
      <w:r w:rsidR="00C0019E">
        <w:t xml:space="preserve"> </w:t>
      </w:r>
      <w:r w:rsidRPr="00B025C3" w:rsidR="00B025C3">
        <w:t>giv</w:t>
      </w:r>
      <w:r w:rsidR="0021614F">
        <w:t>ing</w:t>
      </w:r>
      <w:r w:rsidRPr="00B025C3" w:rsidR="00B025C3">
        <w:t xml:space="preserve"> consumers additional context about certain nutrients that appear on the Nutrition Facts label</w:t>
      </w:r>
      <w:r w:rsidRPr="003E75D1" w:rsidR="003E75D1">
        <w:t xml:space="preserve"> </w:t>
      </w:r>
      <w:r w:rsidR="003E75D1">
        <w:t xml:space="preserve">and </w:t>
      </w:r>
      <w:r w:rsidR="00A21071">
        <w:t>help</w:t>
      </w:r>
      <w:r w:rsidRPr="003E75D1" w:rsidR="003E75D1">
        <w:t xml:space="preserve"> </w:t>
      </w:r>
      <w:r w:rsidR="003E75D1">
        <w:t>them</w:t>
      </w:r>
      <w:r w:rsidRPr="003E75D1" w:rsidR="003E75D1">
        <w:t xml:space="preserve"> to compare the levels of </w:t>
      </w:r>
      <w:r w:rsidR="007A48A8">
        <w:t>certain</w:t>
      </w:r>
      <w:r w:rsidRPr="003E75D1" w:rsidR="003E75D1">
        <w:t xml:space="preserve"> nutrients among foods</w:t>
      </w:r>
      <w:r w:rsidR="00CC51BA">
        <w:t>.</w:t>
      </w:r>
      <w:r w:rsidR="008868C4">
        <w:t xml:space="preserve"> </w:t>
      </w:r>
    </w:p>
    <w:p w:rsidR="00F62155" w:rsidRPr="009703E5" w:rsidP="0053380B" w14:paraId="2CC7F935" w14:textId="4FF9C105">
      <w:pPr>
        <w:spacing w:after="200"/>
      </w:pPr>
      <w:r>
        <w:t xml:space="preserve">We intend to consolidate </w:t>
      </w:r>
      <w:r w:rsidR="00E63EF6">
        <w:t xml:space="preserve">this ICR with </w:t>
      </w:r>
      <w:r w:rsidRPr="00E63EF6" w:rsidR="00E63EF6">
        <w:t>OMB control no. 0910-0381</w:t>
      </w:r>
      <w:r w:rsidR="00037F6F">
        <w:t xml:space="preserve"> with the final rule.</w:t>
      </w:r>
    </w:p>
    <w:p w:rsidR="00357C8A" w:rsidRPr="00357C8A" w:rsidP="006705EA" w14:paraId="09E3773E"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76623DA4" w14:textId="70BC47BD">
      <w:pPr>
        <w:spacing w:after="200"/>
        <w:rPr>
          <w:rFonts w:eastAsia="Calibri"/>
        </w:rPr>
      </w:pPr>
      <w:r w:rsidRPr="009703E5">
        <w:rPr>
          <w:rFonts w:eastAsia="Calibri"/>
        </w:rPr>
        <w:t xml:space="preserve">We estimate that approximately </w:t>
      </w:r>
      <w:r w:rsidR="00D16B87">
        <w:rPr>
          <w:rFonts w:eastAsia="Calibri"/>
        </w:rPr>
        <w:t>fifty</w:t>
      </w:r>
      <w:r w:rsidRPr="009703E5">
        <w:rPr>
          <w:rFonts w:eastAsia="Calibri"/>
        </w:rPr>
        <w:t xml:space="preserve"> percent (</w:t>
      </w:r>
      <w:r w:rsidR="00A94AAE">
        <w:rPr>
          <w:rFonts w:eastAsia="Calibri"/>
        </w:rPr>
        <w:t>5</w:t>
      </w:r>
      <w:r w:rsidRPr="009703E5">
        <w:rPr>
          <w:rFonts w:eastAsia="Calibri"/>
        </w:rPr>
        <w:t xml:space="preserve">0%) of the respondents are small businesses. The requirements are the minimum requirements for complying with the provisions of the FD&amp;C Act. We aid small businesses in </w:t>
      </w:r>
      <w:r w:rsidRPr="00155E81" w:rsidR="00155E81">
        <w:rPr>
          <w:rFonts w:eastAsia="Calibri"/>
        </w:rPr>
        <w:t>understanding and meeting</w:t>
      </w:r>
      <w:r w:rsidRPr="009703E5">
        <w:rPr>
          <w:rFonts w:eastAsia="Calibri"/>
        </w:rPr>
        <w:t xml:space="preserve"> the requirements of the FD&amp;C Act through the agency’s Regional Small Business Representatives and through the scientific and administrative staffs within the agency. </w:t>
      </w:r>
      <w:r w:rsidRPr="003F6093" w:rsidR="003F6093">
        <w:rPr>
          <w:rFonts w:eastAsia="Calibri"/>
        </w:rPr>
        <w:t xml:space="preserve">We also </w:t>
      </w:r>
      <w:r w:rsidRPr="003F6093" w:rsidR="003F6093">
        <w:rPr>
          <w:rFonts w:eastAsia="Calibri"/>
        </w:rPr>
        <w:t>provide assistance</w:t>
      </w:r>
      <w:r w:rsidRPr="003F6093" w:rsidR="003F6093">
        <w:rPr>
          <w:rFonts w:eastAsia="Calibri"/>
        </w:rPr>
        <w:t xml:space="preserve"> via </w:t>
      </w:r>
      <w:r w:rsidR="008D176B">
        <w:rPr>
          <w:rFonts w:eastAsia="Calibri"/>
        </w:rPr>
        <w:t>FDA’s</w:t>
      </w:r>
      <w:r w:rsidRPr="003F6093" w:rsidR="003F6093">
        <w:rPr>
          <w:rFonts w:eastAsia="Calibri"/>
        </w:rPr>
        <w:t xml:space="preserve"> Small Business Assistance webpage on the agency’s website at </w:t>
      </w:r>
      <w:hyperlink r:id="rId4" w:history="1">
        <w:r w:rsidRPr="003F6093" w:rsidR="003F6093">
          <w:rPr>
            <w:rStyle w:val="Hyperlink"/>
            <w:rFonts w:eastAsia="Calibri"/>
          </w:rPr>
          <w:t>https://www.fda.gov/industry/small-business-assistance</w:t>
        </w:r>
      </w:hyperlink>
      <w:r w:rsidRPr="003F6093" w:rsidR="003F6093">
        <w:rPr>
          <w:rFonts w:eastAsia="Calibri"/>
        </w:rPr>
        <w:t>.</w:t>
      </w:r>
    </w:p>
    <w:p w:rsidR="00357C8A" w:rsidP="006705EA" w14:paraId="31E3BEA8"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037F6F" w:rsidRPr="00037F6F" w:rsidP="00037F6F" w14:paraId="4FE0D708" w14:textId="53FDFFFB">
      <w:pPr>
        <w:spacing w:after="200" w:line="276" w:lineRule="auto"/>
        <w:rPr>
          <w:rFonts w:eastAsia="Calibri"/>
        </w:rPr>
      </w:pPr>
      <w:r w:rsidRPr="00037F6F">
        <w:rPr>
          <w:rFonts w:eastAsia="Calibri"/>
        </w:rPr>
        <w:t xml:space="preserve">Data collection occurs occasionally. There are no consequences to Federal program or policy activities if the information is collected less frequently. </w:t>
      </w:r>
      <w:r>
        <w:rPr>
          <w:rFonts w:eastAsia="Calibri"/>
        </w:rPr>
        <w:t>F</w:t>
      </w:r>
      <w:r w:rsidRPr="00037F6F">
        <w:rPr>
          <w:rFonts w:eastAsia="Calibri"/>
        </w:rPr>
        <w:t>ailure of a firm to comply with the requirements for disclosure of the information on the labels or labeling of its food products may result in those products being misbranded under section 403 of the FD&amp;C Act and the products and the firm subject to regulatory action.</w:t>
      </w:r>
    </w:p>
    <w:p w:rsidR="00357C8A" w:rsidRPr="00357C8A" w:rsidP="006705EA" w14:paraId="2A1BC52C"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06680094" w14:textId="77777777">
      <w:pPr>
        <w:spacing w:after="200"/>
        <w:rPr>
          <w:rFonts w:eastAsia="Calibri"/>
        </w:rPr>
      </w:pPr>
      <w:r w:rsidRPr="00EC66C9">
        <w:rPr>
          <w:rFonts w:eastAsia="Calibri"/>
        </w:rPr>
        <w:t>There are no special circumstances associated with this collection of information.</w:t>
      </w:r>
    </w:p>
    <w:p w:rsidR="00357C8A" w:rsidRPr="00357C8A" w:rsidP="006705EA" w14:paraId="5EEAEE34"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B654EB" w:rsidP="00B654EB" w14:paraId="2FBD81A6" w14:textId="38B9295C">
      <w:pPr>
        <w:autoSpaceDE w:val="0"/>
        <w:autoSpaceDN w:val="0"/>
        <w:adjustRightInd w:val="0"/>
      </w:pPr>
      <w:r>
        <w:t xml:space="preserve">In </w:t>
      </w:r>
      <w:r w:rsidR="00D16FE2">
        <w:t xml:space="preserve">accordance </w:t>
      </w:r>
      <w:r>
        <w:t xml:space="preserve">with </w:t>
      </w:r>
      <w:r w:rsidR="00D16FE2">
        <w:t>5 CFR 1320.11 we published a proposed rule i</w:t>
      </w:r>
      <w:r w:rsidRPr="009A6BD5" w:rsidR="00D16FE2">
        <w:t xml:space="preserve">n the </w:t>
      </w:r>
      <w:r w:rsidRPr="007C2EE9" w:rsidR="00D16FE2">
        <w:rPr>
          <w:i/>
          <w:iCs/>
        </w:rPr>
        <w:t>Federal Register</w:t>
      </w:r>
      <w:r w:rsidRPr="009A6BD5" w:rsidR="00D16FE2">
        <w:t xml:space="preserve"> of </w:t>
      </w:r>
      <w:r>
        <w:t>we</w:t>
      </w:r>
    </w:p>
    <w:p w:rsidR="002F1C64" w:rsidP="00B654EB" w14:paraId="302D6EE5" w14:textId="538DA34B">
      <w:pPr>
        <w:autoSpaceDE w:val="0"/>
        <w:autoSpaceDN w:val="0"/>
        <w:adjustRightInd w:val="0"/>
      </w:pPr>
      <w:r>
        <w:t xml:space="preserve">published </w:t>
      </w:r>
      <w:r w:rsidR="00BF52DA">
        <w:t xml:space="preserve">a proposed rule </w:t>
      </w:r>
      <w:r>
        <w:t xml:space="preserve">in the </w:t>
      </w:r>
      <w:r w:rsidRPr="00EC66C9">
        <w:rPr>
          <w:i/>
        </w:rPr>
        <w:t>Federal Register</w:t>
      </w:r>
      <w:r>
        <w:t xml:space="preserve"> of </w:t>
      </w:r>
      <w:r w:rsidRPr="0087259F" w:rsidR="00BF52DA">
        <w:t>January 1</w:t>
      </w:r>
      <w:r w:rsidRPr="0087259F" w:rsidR="0087259F">
        <w:t>6</w:t>
      </w:r>
      <w:r w:rsidRPr="0087259F" w:rsidR="00BF52DA">
        <w:t>, 2025</w:t>
      </w:r>
      <w:r w:rsidRPr="0087259F">
        <w:t xml:space="preserve"> (</w:t>
      </w:r>
      <w:r w:rsidRPr="0087259F" w:rsidR="0087259F">
        <w:t>90 FR 5426</w:t>
      </w:r>
      <w:r w:rsidRPr="0087259F">
        <w:t>)</w:t>
      </w:r>
      <w:r w:rsidR="00BF52DA">
        <w:t xml:space="preserve"> including a request for comments on the proposed information collection</w:t>
      </w:r>
      <w:r w:rsidR="00E61258">
        <w:t>.</w:t>
      </w:r>
    </w:p>
    <w:p w:rsidR="00EC66C9" w:rsidRPr="00EC66C9" w:rsidP="00EC66C9" w14:paraId="5A040E26" w14:textId="77777777">
      <w:pPr>
        <w:autoSpaceDE w:val="0"/>
        <w:autoSpaceDN w:val="0"/>
        <w:adjustRightInd w:val="0"/>
      </w:pPr>
    </w:p>
    <w:p w:rsidR="00357C8A" w:rsidRPr="00357C8A" w:rsidP="006705EA" w14:paraId="689FA22B"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B63B0E" w:rsidP="00357C8A" w14:paraId="4F1D27B5" w14:textId="77777777">
      <w:pPr>
        <w:spacing w:after="200"/>
        <w:rPr>
          <w:rFonts w:eastAsia="Calibri"/>
          <w:i/>
        </w:rPr>
      </w:pPr>
      <w:r w:rsidRPr="002074FE">
        <w:rPr>
          <w:rFonts w:eastAsia="Calibri"/>
        </w:rPr>
        <w:t>There are no incentives, payments or gifts associated with this information collection.</w:t>
      </w:r>
    </w:p>
    <w:p w:rsidR="00357C8A" w:rsidRPr="00357C8A" w:rsidP="006705EA" w14:paraId="2C892DA9"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CA5F56" w:rsidRPr="00CA5F56" w:rsidP="00CA5F56" w14:paraId="060CB60C" w14:textId="6E38C1CF">
      <w:pPr>
        <w:spacing w:after="200"/>
        <w:rPr>
          <w:rFonts w:eastAsia="Calibri"/>
          <w:iCs/>
        </w:rPr>
      </w:pPr>
      <w:r w:rsidRPr="00CA5F56">
        <w:rPr>
          <w:rFonts w:eastAsia="Calibri"/>
          <w:iCs/>
        </w:rPr>
        <w:t xml:space="preserve">In preparing this </w:t>
      </w:r>
      <w:r w:rsidR="00C920D1">
        <w:rPr>
          <w:rFonts w:eastAsia="Calibri"/>
          <w:iCs/>
        </w:rPr>
        <w:t>s</w:t>
      </w:r>
      <w:r w:rsidRPr="00CA5F56">
        <w:rPr>
          <w:rFonts w:eastAsia="Calibri"/>
          <w:iCs/>
        </w:rPr>
        <w:t xml:space="preserve">upporting </w:t>
      </w:r>
      <w:r w:rsidR="00C920D1">
        <w:rPr>
          <w:rFonts w:eastAsia="Calibri"/>
          <w:iCs/>
        </w:rPr>
        <w:t>s</w:t>
      </w:r>
      <w:r w:rsidRPr="00CA5F56">
        <w:rPr>
          <w:rFonts w:eastAsia="Calibri"/>
          <w:iCs/>
        </w:rPr>
        <w:t>tatement, we consulted our Privacy Office to ensure appropriate identification and handling of information collected.</w:t>
      </w:r>
    </w:p>
    <w:p w:rsidR="00CA5F56" w:rsidRPr="00CA5F56" w:rsidP="00CA5F56" w14:paraId="04B7B47E" w14:textId="33EE5C2F">
      <w:pPr>
        <w:spacing w:after="200"/>
        <w:rPr>
          <w:rFonts w:eastAsia="Calibri"/>
          <w:iCs/>
        </w:rPr>
      </w:pPr>
      <w:r w:rsidRPr="00CA5F56">
        <w:rPr>
          <w:rFonts w:eastAsia="Calibri"/>
          <w:iCs/>
        </w:rPr>
        <w:t xml:space="preserve">This ICR does not collect personally identifiable information (PII) or information of a personal nature. </w:t>
      </w:r>
      <w:r w:rsidR="0089393C">
        <w:rPr>
          <w:rFonts w:eastAsia="Calibri"/>
          <w:iCs/>
        </w:rPr>
        <w:t xml:space="preserve"> </w:t>
      </w:r>
      <w:r w:rsidRPr="00CA5F56">
        <w:rPr>
          <w:rFonts w:eastAsia="Calibri"/>
          <w:iCs/>
        </w:rPr>
        <w:t>This information collection supports the FDA rulemaking regarding disclosure of certain nutrition information on an informational label on regulated products.</w:t>
      </w:r>
      <w:r w:rsidR="00F84317">
        <w:rPr>
          <w:rFonts w:eastAsia="Calibri"/>
          <w:iCs/>
        </w:rPr>
        <w:t xml:space="preserve"> </w:t>
      </w:r>
      <w:r w:rsidRPr="00CA5F56">
        <w:rPr>
          <w:rFonts w:eastAsia="Calibri"/>
          <w:iCs/>
        </w:rPr>
        <w:t>Because FDA does not collect any PII, the ICR is not subject to the Privacy Act of 1974 and the requirements of the Privacy Act such as displaying a Privacy Act Statement on a collection form do not apply.</w:t>
      </w:r>
    </w:p>
    <w:p w:rsidR="001075D3" w:rsidRPr="00CA5F56" w:rsidP="00CA5F56" w14:paraId="31CB9B1B" w14:textId="5A5336FD">
      <w:pPr>
        <w:spacing w:after="200"/>
        <w:rPr>
          <w:rFonts w:eastAsia="Calibri"/>
          <w:iCs/>
        </w:rPr>
      </w:pPr>
      <w:r w:rsidRPr="00CA5F56">
        <w:rPr>
          <w:rFonts w:eastAsia="Calibri"/>
          <w:iCs/>
        </w:rPr>
        <w:t xml:space="preserve">Under the Freedom of Information Act (FOIA) (5 U.S.C. 552), the public has broad access to government documents. </w:t>
      </w:r>
      <w:r w:rsidR="004662E2">
        <w:rPr>
          <w:rFonts w:eastAsia="Calibri"/>
          <w:iCs/>
        </w:rPr>
        <w:t xml:space="preserve"> </w:t>
      </w:r>
      <w:r w:rsidRPr="00CA5F56">
        <w:rPr>
          <w:rFonts w:eastAsia="Calibri"/>
          <w:iCs/>
        </w:rPr>
        <w:t>However, FOIA provides certain exemptions from mandatory public disclosure of government records (5 U.S.C. 552(b</w:t>
      </w:r>
      <w:r w:rsidRPr="00CA5F56">
        <w:rPr>
          <w:rFonts w:eastAsia="Calibri"/>
          <w:iCs/>
        </w:rPr>
        <w:t>)(</w:t>
      </w:r>
      <w:r w:rsidRPr="00CA5F56">
        <w:rPr>
          <w:rFonts w:eastAsia="Calibri"/>
          <w:iCs/>
        </w:rPr>
        <w:t>1-9)). FDA will make the fullest possible disclosure of records to the public, consistent with the rights of individuals to privacy, the property rights of persons in trade and confidential commercial or financial information</w:t>
      </w:r>
      <w:r w:rsidRPr="00CA5F56" w:rsidR="00F12AA2">
        <w:rPr>
          <w:rFonts w:eastAsia="Calibri"/>
          <w:iCs/>
        </w:rPr>
        <w:t>.</w:t>
      </w:r>
      <w:r w:rsidRPr="00CA5F56" w:rsidR="00E61258">
        <w:rPr>
          <w:rFonts w:eastAsia="Calibri"/>
          <w:iCs/>
        </w:rPr>
        <w:t xml:space="preserve"> </w:t>
      </w:r>
    </w:p>
    <w:p w:rsidR="00357C8A" w:rsidRPr="00357C8A" w:rsidP="006705EA" w14:paraId="6B0A2283"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B63B0E" w:rsidP="0022425B" w14:paraId="7EDAF545" w14:textId="77777777">
      <w:pPr>
        <w:spacing w:after="200"/>
        <w:rPr>
          <w:rFonts w:eastAsia="Calibri"/>
        </w:rPr>
      </w:pPr>
      <w:r w:rsidRPr="00B63B0E">
        <w:rPr>
          <w:rFonts w:eastAsia="Calibri"/>
        </w:rPr>
        <w:t>The collection of information does not involve sensitive questions.</w:t>
      </w:r>
      <w:r w:rsidRPr="002A47D2">
        <w:rPr>
          <w:rFonts w:eastAsia="Calibri"/>
          <w:color w:val="FF0000"/>
        </w:rPr>
        <w:t xml:space="preserve"> </w:t>
      </w:r>
    </w:p>
    <w:p w:rsidR="00357C8A" w:rsidRPr="00357C8A" w:rsidP="006705EA" w14:paraId="310057AC"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D03623" w:rsidP="0022425B" w14:paraId="753021D8" w14:textId="77777777">
      <w:pPr>
        <w:spacing w:after="200"/>
        <w:ind w:left="360"/>
        <w:rPr>
          <w:rFonts w:eastAsia="Calibri"/>
          <w:i/>
          <w:iCs/>
        </w:rPr>
      </w:pPr>
      <w:r w:rsidRPr="00D03623">
        <w:rPr>
          <w:rFonts w:eastAsia="Calibri"/>
          <w:i/>
          <w:iCs/>
        </w:rPr>
        <w:t>12a.  Annualized Hour Burden Estimate</w:t>
      </w:r>
    </w:p>
    <w:p w:rsidR="0034564B" w:rsidP="00D10DAA" w14:paraId="04889EE8" w14:textId="3481B735">
      <w:pPr>
        <w:ind w:left="360"/>
        <w:jc w:val="center"/>
        <w:rPr>
          <w:sz w:val="20"/>
          <w:szCs w:val="20"/>
        </w:rPr>
      </w:pPr>
      <w:r w:rsidRPr="00FF1ED4">
        <w:rPr>
          <w:sz w:val="20"/>
          <w:szCs w:val="20"/>
        </w:rPr>
        <w:t xml:space="preserve">Table </w:t>
      </w:r>
      <w:r w:rsidR="004B073E">
        <w:rPr>
          <w:sz w:val="20"/>
          <w:szCs w:val="20"/>
        </w:rPr>
        <w:t>1</w:t>
      </w:r>
      <w:r w:rsidRPr="00FF1ED4">
        <w:rPr>
          <w:sz w:val="20"/>
          <w:szCs w:val="20"/>
        </w:rPr>
        <w:t>.</w:t>
      </w:r>
      <w:r w:rsidR="00871321">
        <w:rPr>
          <w:sz w:val="20"/>
          <w:szCs w:val="20"/>
        </w:rPr>
        <w:t>--</w:t>
      </w:r>
      <w:r w:rsidRPr="00FF1ED4">
        <w:rPr>
          <w:sz w:val="20"/>
          <w:szCs w:val="20"/>
        </w:rPr>
        <w:t>Estimated</w:t>
      </w:r>
      <w:r w:rsidR="00176BE2">
        <w:rPr>
          <w:sz w:val="20"/>
          <w:szCs w:val="20"/>
        </w:rPr>
        <w:t xml:space="preserve"> Annual</w:t>
      </w:r>
      <w:r w:rsidRPr="00FF1ED4">
        <w:rPr>
          <w:sz w:val="20"/>
          <w:szCs w:val="20"/>
        </w:rPr>
        <w:t xml:space="preserve"> </w:t>
      </w:r>
      <w:r w:rsidR="00542132">
        <w:rPr>
          <w:sz w:val="20"/>
          <w:szCs w:val="20"/>
        </w:rPr>
        <w:t>Third-Party Disclosure</w:t>
      </w:r>
      <w:r w:rsidRPr="00FF1ED4">
        <w:rPr>
          <w:sz w:val="20"/>
          <w:szCs w:val="20"/>
        </w:rPr>
        <w:t xml:space="preserve"> Burden</w:t>
      </w:r>
      <w:r w:rsidRPr="00FF1ED4">
        <w:rPr>
          <w:sz w:val="20"/>
          <w:szCs w:val="20"/>
          <w:vertAlign w:val="superscript"/>
        </w:rPr>
        <w:t>1</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8"/>
        <w:gridCol w:w="1262"/>
        <w:gridCol w:w="1529"/>
        <w:gridCol w:w="1350"/>
        <w:gridCol w:w="1172"/>
        <w:gridCol w:w="1078"/>
        <w:gridCol w:w="1350"/>
      </w:tblGrid>
      <w:tr w14:paraId="700A2200" w14:textId="77777777" w:rsidTr="00F52CF4">
        <w:tblPrEx>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46"/>
          <w:tblHeader/>
        </w:trPr>
        <w:tc>
          <w:tcPr>
            <w:tcW w:w="864" w:type="pct"/>
            <w:shd w:val="clear" w:color="auto" w:fill="auto"/>
          </w:tcPr>
          <w:p w:rsidR="00D10DAA" w:rsidRPr="00FF1ED4" w:rsidP="00DE437D" w14:paraId="0844D18C" w14:textId="2C27B16A">
            <w:pPr>
              <w:jc w:val="center"/>
              <w:rPr>
                <w:sz w:val="20"/>
                <w:szCs w:val="20"/>
              </w:rPr>
            </w:pPr>
            <w:r w:rsidRPr="00FF1ED4">
              <w:rPr>
                <w:sz w:val="20"/>
                <w:szCs w:val="20"/>
              </w:rPr>
              <w:t>Activity</w:t>
            </w:r>
            <w:r w:rsidR="00E82EE5">
              <w:rPr>
                <w:sz w:val="20"/>
                <w:szCs w:val="20"/>
              </w:rPr>
              <w:t>; 21 CFR Section</w:t>
            </w:r>
          </w:p>
        </w:tc>
        <w:tc>
          <w:tcPr>
            <w:tcW w:w="674" w:type="pct"/>
            <w:shd w:val="clear" w:color="auto" w:fill="auto"/>
          </w:tcPr>
          <w:p w:rsidR="00D10DAA" w:rsidRPr="00FF1ED4" w:rsidP="00DE437D" w14:paraId="5327A23A" w14:textId="77777777">
            <w:pPr>
              <w:jc w:val="center"/>
              <w:rPr>
                <w:sz w:val="20"/>
                <w:szCs w:val="20"/>
              </w:rPr>
            </w:pPr>
            <w:r w:rsidRPr="00FF1ED4">
              <w:rPr>
                <w:sz w:val="20"/>
                <w:szCs w:val="20"/>
              </w:rPr>
              <w:t>No. of Respondents</w:t>
            </w:r>
          </w:p>
        </w:tc>
        <w:tc>
          <w:tcPr>
            <w:tcW w:w="817" w:type="pct"/>
            <w:shd w:val="clear" w:color="auto" w:fill="auto"/>
          </w:tcPr>
          <w:p w:rsidR="00D10DAA" w:rsidRPr="00FF1ED4" w:rsidP="00DE437D" w14:paraId="32877804" w14:textId="6F5E43D8">
            <w:pPr>
              <w:jc w:val="center"/>
              <w:rPr>
                <w:sz w:val="20"/>
                <w:szCs w:val="20"/>
              </w:rPr>
            </w:pPr>
            <w:r w:rsidRPr="00FF1ED4">
              <w:rPr>
                <w:bCs/>
                <w:sz w:val="20"/>
                <w:szCs w:val="20"/>
              </w:rPr>
              <w:t>No. of Disclosures per Respondent</w:t>
            </w:r>
            <w:r w:rsidR="00586127">
              <w:rPr>
                <w:bCs/>
                <w:sz w:val="20"/>
                <w:szCs w:val="20"/>
                <w:vertAlign w:val="superscript"/>
              </w:rPr>
              <w:t>2</w:t>
            </w:r>
          </w:p>
        </w:tc>
        <w:tc>
          <w:tcPr>
            <w:tcW w:w="721" w:type="pct"/>
            <w:shd w:val="clear" w:color="auto" w:fill="auto"/>
          </w:tcPr>
          <w:p w:rsidR="00D10DAA" w:rsidRPr="00FF1ED4" w:rsidP="00DE437D" w14:paraId="12140F57" w14:textId="77777777">
            <w:pPr>
              <w:jc w:val="center"/>
              <w:rPr>
                <w:sz w:val="20"/>
                <w:szCs w:val="20"/>
              </w:rPr>
            </w:pPr>
            <w:r w:rsidRPr="00FF1ED4">
              <w:rPr>
                <w:sz w:val="20"/>
                <w:szCs w:val="20"/>
              </w:rPr>
              <w:t>Total Annual Disclosures</w:t>
            </w:r>
          </w:p>
        </w:tc>
        <w:tc>
          <w:tcPr>
            <w:tcW w:w="626" w:type="pct"/>
            <w:shd w:val="clear" w:color="auto" w:fill="auto"/>
          </w:tcPr>
          <w:p w:rsidR="00D10DAA" w:rsidRPr="00FF1ED4" w:rsidP="00DE437D" w14:paraId="269D46F0" w14:textId="77777777">
            <w:pPr>
              <w:jc w:val="center"/>
              <w:rPr>
                <w:sz w:val="20"/>
                <w:szCs w:val="20"/>
              </w:rPr>
            </w:pPr>
            <w:r w:rsidRPr="00FF1ED4">
              <w:rPr>
                <w:bCs/>
                <w:sz w:val="20"/>
                <w:szCs w:val="20"/>
              </w:rPr>
              <w:t xml:space="preserve">Average Burden per Disclosure </w:t>
            </w:r>
          </w:p>
        </w:tc>
        <w:tc>
          <w:tcPr>
            <w:tcW w:w="576" w:type="pct"/>
            <w:shd w:val="clear" w:color="auto" w:fill="auto"/>
          </w:tcPr>
          <w:p w:rsidR="00D10DAA" w:rsidRPr="00FF1ED4" w:rsidP="00DE437D" w14:paraId="7AB71FDA" w14:textId="77777777">
            <w:pPr>
              <w:jc w:val="center"/>
              <w:rPr>
                <w:sz w:val="20"/>
                <w:szCs w:val="20"/>
              </w:rPr>
            </w:pPr>
            <w:r w:rsidRPr="00FF1ED4">
              <w:rPr>
                <w:sz w:val="20"/>
                <w:szCs w:val="20"/>
              </w:rPr>
              <w:t>Total Hours</w:t>
            </w:r>
          </w:p>
        </w:tc>
        <w:tc>
          <w:tcPr>
            <w:tcW w:w="721" w:type="pct"/>
          </w:tcPr>
          <w:p w:rsidR="00D10DAA" w:rsidRPr="00FF1ED4" w:rsidP="00DE437D" w14:paraId="5E4DF703" w14:textId="0E5D9C46">
            <w:pPr>
              <w:jc w:val="center"/>
              <w:rPr>
                <w:sz w:val="20"/>
                <w:szCs w:val="20"/>
              </w:rPr>
            </w:pPr>
            <w:r w:rsidRPr="00FF1ED4">
              <w:rPr>
                <w:sz w:val="20"/>
                <w:szCs w:val="20"/>
              </w:rPr>
              <w:t>Total Capital Costs</w:t>
            </w:r>
            <w:r w:rsidR="00586127">
              <w:rPr>
                <w:sz w:val="20"/>
                <w:szCs w:val="20"/>
                <w:vertAlign w:val="superscript"/>
              </w:rPr>
              <w:t>3</w:t>
            </w:r>
          </w:p>
        </w:tc>
      </w:tr>
      <w:tr w14:paraId="033A7310" w14:textId="77777777" w:rsidTr="00F52CF4">
        <w:tblPrEx>
          <w:tblW w:w="5005" w:type="pct"/>
          <w:tblInd w:w="-5" w:type="dxa"/>
          <w:tblLayout w:type="fixed"/>
          <w:tblLook w:val="01E0"/>
        </w:tblPrEx>
        <w:trPr>
          <w:trHeight w:val="467"/>
        </w:trPr>
        <w:tc>
          <w:tcPr>
            <w:tcW w:w="864" w:type="pct"/>
            <w:shd w:val="clear" w:color="auto" w:fill="auto"/>
          </w:tcPr>
          <w:p w:rsidR="00D10DAA" w:rsidRPr="00FF1ED4" w:rsidP="00DE437D" w14:paraId="4FC75A20" w14:textId="1BED9A14">
            <w:pPr>
              <w:rPr>
                <w:sz w:val="20"/>
                <w:szCs w:val="20"/>
              </w:rPr>
            </w:pPr>
            <w:r w:rsidRPr="00631D61">
              <w:rPr>
                <w:sz w:val="20"/>
                <w:szCs w:val="20"/>
              </w:rPr>
              <w:t>Front of Package Labeling; 101.6</w:t>
            </w:r>
          </w:p>
        </w:tc>
        <w:tc>
          <w:tcPr>
            <w:tcW w:w="674" w:type="pct"/>
            <w:shd w:val="clear" w:color="auto" w:fill="auto"/>
          </w:tcPr>
          <w:p w:rsidR="00D10DAA" w:rsidRPr="00B41C9B" w:rsidP="00DE437D" w14:paraId="2DD96ED8" w14:textId="3840E500">
            <w:pPr>
              <w:jc w:val="right"/>
              <w:rPr>
                <w:sz w:val="20"/>
                <w:szCs w:val="20"/>
                <w:highlight w:val="yellow"/>
              </w:rPr>
            </w:pPr>
            <w:r>
              <w:rPr>
                <w:sz w:val="20"/>
                <w:szCs w:val="20"/>
              </w:rPr>
              <w:t>30,</w:t>
            </w:r>
            <w:r w:rsidR="004E3FF1">
              <w:rPr>
                <w:sz w:val="20"/>
                <w:szCs w:val="20"/>
              </w:rPr>
              <w:t>413</w:t>
            </w:r>
          </w:p>
        </w:tc>
        <w:tc>
          <w:tcPr>
            <w:tcW w:w="817" w:type="pct"/>
            <w:shd w:val="clear" w:color="auto" w:fill="auto"/>
          </w:tcPr>
          <w:p w:rsidR="00D10DAA" w:rsidRPr="00B41C9B" w:rsidP="00DE437D" w14:paraId="097E198E" w14:textId="2C9DF3FD">
            <w:pPr>
              <w:jc w:val="right"/>
              <w:rPr>
                <w:sz w:val="20"/>
                <w:szCs w:val="20"/>
                <w:highlight w:val="yellow"/>
              </w:rPr>
            </w:pPr>
            <w:r w:rsidRPr="005A3651">
              <w:rPr>
                <w:sz w:val="20"/>
                <w:szCs w:val="20"/>
              </w:rPr>
              <w:t>1</w:t>
            </w:r>
            <w:r w:rsidR="00392B33">
              <w:rPr>
                <w:sz w:val="20"/>
                <w:szCs w:val="20"/>
              </w:rPr>
              <w:t>1</w:t>
            </w:r>
          </w:p>
        </w:tc>
        <w:tc>
          <w:tcPr>
            <w:tcW w:w="721" w:type="pct"/>
            <w:shd w:val="clear" w:color="auto" w:fill="auto"/>
          </w:tcPr>
          <w:p w:rsidR="00D10DAA" w:rsidRPr="00B41C9B" w:rsidP="00DE437D" w14:paraId="45A72232" w14:textId="42A5F339">
            <w:pPr>
              <w:jc w:val="right"/>
              <w:rPr>
                <w:sz w:val="20"/>
                <w:szCs w:val="20"/>
                <w:highlight w:val="yellow"/>
              </w:rPr>
            </w:pPr>
            <w:r>
              <w:rPr>
                <w:sz w:val="20"/>
                <w:szCs w:val="20"/>
              </w:rPr>
              <w:t>322,378</w:t>
            </w:r>
          </w:p>
        </w:tc>
        <w:tc>
          <w:tcPr>
            <w:tcW w:w="626" w:type="pct"/>
            <w:shd w:val="clear" w:color="auto" w:fill="auto"/>
          </w:tcPr>
          <w:p w:rsidR="00D10DAA" w:rsidRPr="00B41C9B" w:rsidP="00DE437D" w14:paraId="37D7A830" w14:textId="724C65E4">
            <w:pPr>
              <w:jc w:val="right"/>
              <w:rPr>
                <w:sz w:val="20"/>
                <w:szCs w:val="20"/>
                <w:highlight w:val="yellow"/>
              </w:rPr>
            </w:pPr>
            <w:r w:rsidRPr="00A016B4">
              <w:rPr>
                <w:sz w:val="20"/>
                <w:szCs w:val="20"/>
              </w:rPr>
              <w:t>4</w:t>
            </w:r>
          </w:p>
        </w:tc>
        <w:tc>
          <w:tcPr>
            <w:tcW w:w="576" w:type="pct"/>
            <w:shd w:val="clear" w:color="auto" w:fill="auto"/>
          </w:tcPr>
          <w:p w:rsidR="00D10DAA" w:rsidRPr="00B41C9B" w:rsidP="00DE437D" w14:paraId="675C12FA" w14:textId="7370A207">
            <w:pPr>
              <w:jc w:val="right"/>
              <w:rPr>
                <w:sz w:val="20"/>
                <w:szCs w:val="20"/>
                <w:highlight w:val="yellow"/>
              </w:rPr>
            </w:pPr>
            <w:bookmarkStart w:id="2" w:name="_Hlk163140379"/>
            <w:r>
              <w:rPr>
                <w:sz w:val="20"/>
                <w:szCs w:val="20"/>
              </w:rPr>
              <w:t>1,289,512</w:t>
            </w:r>
            <w:bookmarkEnd w:id="2"/>
          </w:p>
        </w:tc>
        <w:tc>
          <w:tcPr>
            <w:tcW w:w="721" w:type="pct"/>
          </w:tcPr>
          <w:p w:rsidR="00D10DAA" w:rsidRPr="00B41C9B" w:rsidP="00DE437D" w14:paraId="5250DCFB" w14:textId="55A5B746">
            <w:pPr>
              <w:jc w:val="right"/>
              <w:rPr>
                <w:sz w:val="20"/>
                <w:szCs w:val="20"/>
                <w:highlight w:val="yellow"/>
              </w:rPr>
            </w:pPr>
            <w:r w:rsidRPr="005A3651">
              <w:rPr>
                <w:sz w:val="20"/>
                <w:szCs w:val="20"/>
              </w:rPr>
              <w:t>$</w:t>
            </w:r>
            <w:r w:rsidR="00DA1926">
              <w:rPr>
                <w:sz w:val="20"/>
                <w:szCs w:val="20"/>
              </w:rPr>
              <w:t>143,220,186</w:t>
            </w:r>
          </w:p>
        </w:tc>
      </w:tr>
    </w:tbl>
    <w:p w:rsidR="00D10DAA" w:rsidRPr="00FF1ED4" w:rsidP="001672B5" w14:paraId="745CD32C" w14:textId="42CDB740">
      <w:pPr>
        <w:rPr>
          <w:sz w:val="20"/>
          <w:szCs w:val="20"/>
        </w:rPr>
      </w:pPr>
      <w:r w:rsidRPr="00FF1ED4">
        <w:rPr>
          <w:sz w:val="20"/>
          <w:szCs w:val="20"/>
          <w:vertAlign w:val="superscript"/>
        </w:rPr>
        <w:t>1</w:t>
      </w:r>
      <w:r w:rsidRPr="004959A7" w:rsidR="004959A7">
        <w:rPr>
          <w:sz w:val="20"/>
          <w:szCs w:val="20"/>
        </w:rPr>
        <w:t xml:space="preserve"> </w:t>
      </w:r>
      <w:r w:rsidRPr="00FF1ED4" w:rsidR="004959A7">
        <w:rPr>
          <w:sz w:val="20"/>
          <w:szCs w:val="20"/>
        </w:rPr>
        <w:t>There are no operating and maintenance costs associated with this collection of information</w:t>
      </w:r>
      <w:r w:rsidRPr="00FF1ED4">
        <w:rPr>
          <w:sz w:val="20"/>
          <w:szCs w:val="20"/>
        </w:rPr>
        <w:t>.</w:t>
      </w:r>
    </w:p>
    <w:p w:rsidR="00A1784E" w:rsidP="00F52CF4" w14:paraId="4F875F20" w14:textId="30514206">
      <w:pPr>
        <w:rPr>
          <w:sz w:val="20"/>
          <w:szCs w:val="20"/>
        </w:rPr>
      </w:pPr>
      <w:r w:rsidRPr="00FF1ED4">
        <w:rPr>
          <w:sz w:val="20"/>
          <w:szCs w:val="20"/>
          <w:vertAlign w:val="superscript"/>
        </w:rPr>
        <w:t>2</w:t>
      </w:r>
      <w:r w:rsidRPr="00FF1ED4">
        <w:rPr>
          <w:sz w:val="20"/>
          <w:szCs w:val="20"/>
        </w:rPr>
        <w:t xml:space="preserve"> </w:t>
      </w:r>
      <w:r w:rsidRPr="00054C74" w:rsidR="00054C74">
        <w:rPr>
          <w:sz w:val="20"/>
          <w:szCs w:val="20"/>
        </w:rPr>
        <w:t>For purposes of this table, we have rounded up to use whole numbers when calculating the number of disclosures per respondent. All other figures are consistent with the PRIA.</w:t>
      </w:r>
      <w:r>
        <w:rPr>
          <w:sz w:val="20"/>
          <w:szCs w:val="20"/>
        </w:rPr>
        <w:t xml:space="preserve"> </w:t>
      </w:r>
    </w:p>
    <w:p w:rsidR="00A1784E" w:rsidP="001672B5" w14:paraId="1A295A84" w14:textId="4304DBF5">
      <w:pPr>
        <w:spacing w:after="200"/>
        <w:rPr>
          <w:sz w:val="20"/>
          <w:szCs w:val="20"/>
        </w:rPr>
      </w:pPr>
      <w:r w:rsidRPr="00F52CF4">
        <w:rPr>
          <w:sz w:val="20"/>
          <w:szCs w:val="20"/>
          <w:vertAlign w:val="superscript"/>
        </w:rPr>
        <w:t>3</w:t>
      </w:r>
      <w:r>
        <w:rPr>
          <w:sz w:val="20"/>
          <w:szCs w:val="20"/>
        </w:rPr>
        <w:t xml:space="preserve"> </w:t>
      </w:r>
      <w:r w:rsidRPr="00054C74" w:rsidR="00054C74">
        <w:rPr>
          <w:sz w:val="20"/>
          <w:szCs w:val="20"/>
        </w:rPr>
        <w:t xml:space="preserve">One-time capital cost to relabel. </w:t>
      </w:r>
    </w:p>
    <w:p w:rsidR="00E9036E" w:rsidRPr="00E9036E" w:rsidP="006B5254" w14:paraId="2B6AFD1D" w14:textId="4B10B1C0">
      <w:pPr>
        <w:spacing w:after="200"/>
        <w:ind w:left="360"/>
        <w:rPr>
          <w:rFonts w:eastAsia="Calibri"/>
        </w:rPr>
      </w:pPr>
      <w:r w:rsidRPr="00ED53D6">
        <w:rPr>
          <w:rFonts w:eastAsia="Calibri"/>
        </w:rPr>
        <w:t xml:space="preserve">The estimates in </w:t>
      </w:r>
      <w:r w:rsidR="008560F9">
        <w:rPr>
          <w:rFonts w:eastAsia="Calibri"/>
        </w:rPr>
        <w:t>T</w:t>
      </w:r>
      <w:r w:rsidRPr="00ED53D6">
        <w:rPr>
          <w:rFonts w:eastAsia="Calibri"/>
        </w:rPr>
        <w:t xml:space="preserve">able </w:t>
      </w:r>
      <w:r w:rsidR="008560F9">
        <w:rPr>
          <w:rFonts w:eastAsia="Calibri"/>
        </w:rPr>
        <w:t>1</w:t>
      </w:r>
      <w:r w:rsidRPr="00ED53D6">
        <w:rPr>
          <w:rFonts w:eastAsia="Calibri"/>
        </w:rPr>
        <w:t xml:space="preserve"> are consistent with the estimates found in the Preliminary Regulatory Impact Analysis (PRIA) </w:t>
      </w:r>
      <w:r w:rsidRPr="00BF1D9B" w:rsidR="00BF1D9B">
        <w:rPr>
          <w:rFonts w:eastAsia="Calibri"/>
        </w:rPr>
        <w:t>(Docket No. FDA-20</w:t>
      </w:r>
      <w:r w:rsidR="00BF1D9B">
        <w:rPr>
          <w:rFonts w:eastAsia="Calibri"/>
        </w:rPr>
        <w:t>24</w:t>
      </w:r>
      <w:r w:rsidRPr="00BF1D9B" w:rsidR="00BF1D9B">
        <w:rPr>
          <w:rFonts w:eastAsia="Calibri"/>
        </w:rPr>
        <w:t>-</w:t>
      </w:r>
      <w:r w:rsidR="000F1EF1">
        <w:rPr>
          <w:rFonts w:eastAsia="Calibri"/>
        </w:rPr>
        <w:t>N-</w:t>
      </w:r>
      <w:r w:rsidR="00493FDB">
        <w:rPr>
          <w:rFonts w:eastAsia="Calibri"/>
        </w:rPr>
        <w:t>2910</w:t>
      </w:r>
      <w:r w:rsidRPr="00BF1D9B" w:rsidR="00BF1D9B">
        <w:rPr>
          <w:rFonts w:eastAsia="Calibri"/>
        </w:rPr>
        <w:t>)</w:t>
      </w:r>
      <w:r w:rsidRPr="00626BAD" w:rsidR="00626BAD">
        <w:rPr>
          <w:rFonts w:eastAsia="Calibri"/>
          <w:lang w:val="en"/>
        </w:rPr>
        <w:t xml:space="preserve"> </w:t>
      </w:r>
      <w:r w:rsidR="00626BAD">
        <w:rPr>
          <w:rFonts w:eastAsia="Calibri"/>
          <w:lang w:val="en"/>
        </w:rPr>
        <w:t>(</w:t>
      </w:r>
      <w:hyperlink r:id="rId5" w:history="1">
        <w:r w:rsidRPr="005237E5" w:rsidR="00626BAD">
          <w:rPr>
            <w:rStyle w:val="Hyperlink"/>
            <w:rFonts w:eastAsia="Calibri"/>
            <w:lang w:val="en"/>
          </w:rPr>
          <w:t>https://www.fda.gov/about-fda/reports/economic-impact-analyses-fda-regulations</w:t>
        </w:r>
      </w:hyperlink>
      <w:r w:rsidR="00626BAD">
        <w:rPr>
          <w:rFonts w:eastAsia="Calibri"/>
          <w:lang w:val="en"/>
        </w:rPr>
        <w:t>)</w:t>
      </w:r>
      <w:r w:rsidRPr="00ED53D6">
        <w:rPr>
          <w:rFonts w:eastAsia="Calibri"/>
        </w:rPr>
        <w:t xml:space="preserve">. </w:t>
      </w:r>
      <w:r w:rsidRPr="008560F9" w:rsidR="008560F9">
        <w:rPr>
          <w:rFonts w:eastAsia="Calibri"/>
        </w:rPr>
        <w:t xml:space="preserve">In </w:t>
      </w:r>
      <w:r w:rsidR="008560F9">
        <w:rPr>
          <w:rFonts w:eastAsia="Calibri"/>
        </w:rPr>
        <w:t>T</w:t>
      </w:r>
      <w:r w:rsidRPr="008560F9" w:rsidR="008560F9">
        <w:rPr>
          <w:rFonts w:eastAsia="Calibri"/>
        </w:rPr>
        <w:t xml:space="preserve">able </w:t>
      </w:r>
      <w:r w:rsidR="00493FDB">
        <w:rPr>
          <w:rFonts w:eastAsia="Calibri"/>
        </w:rPr>
        <w:t>2</w:t>
      </w:r>
      <w:r w:rsidRPr="008560F9" w:rsidR="008560F9">
        <w:rPr>
          <w:rFonts w:eastAsia="Calibri"/>
        </w:rPr>
        <w:t xml:space="preserve">1 of the PRIA, we estimate that approximately </w:t>
      </w:r>
      <w:r w:rsidR="003850D0">
        <w:rPr>
          <w:rFonts w:eastAsia="Calibri"/>
        </w:rPr>
        <w:t>30,413</w:t>
      </w:r>
      <w:r w:rsidRPr="008560F9" w:rsidR="008560F9">
        <w:rPr>
          <w:rFonts w:eastAsia="Calibri"/>
        </w:rPr>
        <w:t xml:space="preserve"> manufacturers will need to add an informational nutrition label to the principal display panel of their food product package. In </w:t>
      </w:r>
      <w:r w:rsidR="008E181C">
        <w:rPr>
          <w:rFonts w:eastAsia="Calibri"/>
        </w:rPr>
        <w:t>T</w:t>
      </w:r>
      <w:r w:rsidRPr="008560F9" w:rsidR="008560F9">
        <w:rPr>
          <w:rFonts w:eastAsia="Calibri"/>
        </w:rPr>
        <w:t xml:space="preserve">able 4 of the PRIA, we estimate that approximately 322,326 products will need to be </w:t>
      </w:r>
      <w:r w:rsidRPr="008560F9" w:rsidR="008560F9">
        <w:rPr>
          <w:rFonts w:eastAsia="Calibri"/>
        </w:rPr>
        <w:t>relabeled. For the purpose of this analysis, we use</w:t>
      </w:r>
      <w:r w:rsidR="00E94D27">
        <w:rPr>
          <w:rFonts w:eastAsia="Calibri"/>
        </w:rPr>
        <w:t>d</w:t>
      </w:r>
      <w:r w:rsidRPr="008560F9" w:rsidR="008560F9">
        <w:rPr>
          <w:rFonts w:eastAsia="Calibri"/>
        </w:rPr>
        <w:t xml:space="preserve"> the estimates for the number of manufacturers and disclosures to calculate that each manufacturer will need to relabel around </w:t>
      </w:r>
      <w:r w:rsidR="006343B9">
        <w:rPr>
          <w:rFonts w:eastAsia="Calibri"/>
        </w:rPr>
        <w:t>11</w:t>
      </w:r>
      <w:r w:rsidRPr="008560F9" w:rsidR="008560F9">
        <w:rPr>
          <w:rFonts w:eastAsia="Calibri"/>
        </w:rPr>
        <w:t xml:space="preserve"> (10-11) products (</w:t>
      </w:r>
      <w:r w:rsidR="004744C5">
        <w:rPr>
          <w:rFonts w:eastAsia="Calibri"/>
        </w:rPr>
        <w:t>322,</w:t>
      </w:r>
      <w:r w:rsidR="00832A3B">
        <w:rPr>
          <w:rFonts w:eastAsia="Calibri"/>
        </w:rPr>
        <w:t>378</w:t>
      </w:r>
      <w:r w:rsidRPr="008560F9" w:rsidR="008560F9">
        <w:rPr>
          <w:rFonts w:eastAsia="Calibri"/>
        </w:rPr>
        <w:t xml:space="preserve"> disclosures ÷ </w:t>
      </w:r>
      <w:r w:rsidR="00832A3B">
        <w:rPr>
          <w:rFonts w:eastAsia="Calibri"/>
        </w:rPr>
        <w:t>30,413</w:t>
      </w:r>
      <w:r w:rsidRPr="008560F9" w:rsidR="008560F9">
        <w:rPr>
          <w:rFonts w:eastAsia="Calibri"/>
        </w:rPr>
        <w:t xml:space="preserve"> manufacturers). </w:t>
      </w:r>
      <w:r w:rsidRPr="002857BE" w:rsidR="002857BE">
        <w:rPr>
          <w:rFonts w:eastAsia="Calibri"/>
        </w:rPr>
        <w:t>I</w:t>
      </w:r>
      <w:r w:rsidR="002451C2">
        <w:rPr>
          <w:rFonts w:eastAsia="Calibri"/>
        </w:rPr>
        <w:t>n</w:t>
      </w:r>
      <w:r w:rsidRPr="002857BE" w:rsidR="002857BE">
        <w:rPr>
          <w:rFonts w:eastAsia="Calibri"/>
        </w:rPr>
        <w:t xml:space="preserve"> the existing information collection for Food Labeling Requirements approved under OMB control number 0910-0381, we estimated that an establishment would spend 4 hours per label for labeling requirements for disclosure of nutrition information (21 CFR 101.9). We use the 4-hour estimate for the purpose of this analysis. </w:t>
      </w:r>
      <w:r w:rsidRPr="008560F9" w:rsidR="008560F9">
        <w:rPr>
          <w:rFonts w:eastAsia="Calibri"/>
        </w:rPr>
        <w:t xml:space="preserve">Each disclosure will take an estimated 4 hours to complete for an annual third-party disclosure burden of </w:t>
      </w:r>
      <w:r w:rsidR="00DB01AD">
        <w:rPr>
          <w:rFonts w:eastAsia="Calibri"/>
        </w:rPr>
        <w:t>1,289,512</w:t>
      </w:r>
      <w:r w:rsidRPr="008560F9" w:rsidR="008560F9">
        <w:rPr>
          <w:rFonts w:eastAsia="Calibri"/>
        </w:rPr>
        <w:t xml:space="preserve"> hours (</w:t>
      </w:r>
      <w:r w:rsidR="003E264A">
        <w:rPr>
          <w:rFonts w:eastAsia="Calibri"/>
        </w:rPr>
        <w:t>322,378</w:t>
      </w:r>
      <w:r w:rsidRPr="008560F9" w:rsidR="008560F9">
        <w:rPr>
          <w:rFonts w:eastAsia="Calibri"/>
        </w:rPr>
        <w:t xml:space="preserve"> disclosures × 4 hours). Based on </w:t>
      </w:r>
      <w:r w:rsidR="00284E62">
        <w:rPr>
          <w:rFonts w:eastAsia="Calibri"/>
        </w:rPr>
        <w:t>T</w:t>
      </w:r>
      <w:r w:rsidRPr="008560F9" w:rsidR="008560F9">
        <w:rPr>
          <w:rFonts w:eastAsia="Calibri"/>
        </w:rPr>
        <w:t>able 6 of the PRIA, we estimate each product that will be relabeled cost</w:t>
      </w:r>
      <w:r w:rsidR="00FE232A">
        <w:rPr>
          <w:rFonts w:eastAsia="Calibri"/>
        </w:rPr>
        <w:t>s</w:t>
      </w:r>
      <w:r w:rsidRPr="008560F9" w:rsidR="008560F9">
        <w:rPr>
          <w:rFonts w:eastAsia="Calibri"/>
        </w:rPr>
        <w:t xml:space="preserve"> $1,3</w:t>
      </w:r>
      <w:r w:rsidR="00117B66">
        <w:rPr>
          <w:rFonts w:eastAsia="Calibri"/>
        </w:rPr>
        <w:t>33</w:t>
      </w:r>
      <w:r w:rsidRPr="008560F9" w:rsidR="008560F9">
        <w:rPr>
          <w:rFonts w:eastAsia="Calibri"/>
        </w:rPr>
        <w:t xml:space="preserve"> assuming a three-year compliance period. That calculates to an annual capital cost of $</w:t>
      </w:r>
      <w:r w:rsidRPr="000C7B79" w:rsidR="000C7B79">
        <w:rPr>
          <w:rFonts w:eastAsia="Calibri"/>
        </w:rPr>
        <w:t>143,220,186</w:t>
      </w:r>
      <w:r w:rsidRPr="008560F9" w:rsidR="008560F9">
        <w:rPr>
          <w:rFonts w:eastAsia="Calibri"/>
        </w:rPr>
        <w:t xml:space="preserve"> ($1,3</w:t>
      </w:r>
      <w:r w:rsidR="000C7B79">
        <w:rPr>
          <w:rFonts w:eastAsia="Calibri"/>
        </w:rPr>
        <w:t>33</w:t>
      </w:r>
      <w:r w:rsidRPr="008560F9" w:rsidR="008560F9">
        <w:rPr>
          <w:rFonts w:eastAsia="Calibri"/>
        </w:rPr>
        <w:t xml:space="preserve"> × 107,442 products) over 3 years associated with relabeling with the total capital cost being $</w:t>
      </w:r>
      <w:r w:rsidRPr="004C42CF" w:rsidR="004C42CF">
        <w:rPr>
          <w:rFonts w:eastAsia="Calibri"/>
        </w:rPr>
        <w:t>429,660,558</w:t>
      </w:r>
      <w:r w:rsidRPr="00ED53D6">
        <w:rPr>
          <w:rFonts w:eastAsia="Calibri"/>
        </w:rPr>
        <w:t>. This is the cost of designing a revised label and incorporating it into the manufacturing process. We believe that this will be a one-time capital cost</w:t>
      </w:r>
      <w:r w:rsidR="002F2B50">
        <w:rPr>
          <w:rFonts w:eastAsia="Calibri"/>
        </w:rPr>
        <w:t>.</w:t>
      </w:r>
      <w:r w:rsidR="00AD2B2C">
        <w:rPr>
          <w:rFonts w:eastAsia="Calibri"/>
        </w:rPr>
        <w:t xml:space="preserve"> </w:t>
      </w:r>
    </w:p>
    <w:p w:rsidR="00357C8A" w:rsidRPr="00D03623" w:rsidP="006B5254" w14:paraId="427D11DC" w14:textId="77777777">
      <w:pPr>
        <w:spacing w:after="200"/>
        <w:ind w:left="360"/>
        <w:rPr>
          <w:rFonts w:eastAsia="Calibri"/>
          <w:i/>
          <w:iCs/>
        </w:rPr>
      </w:pPr>
      <w:r w:rsidRPr="00D03623">
        <w:rPr>
          <w:rFonts w:eastAsia="Calibri"/>
          <w:i/>
          <w:iCs/>
        </w:rPr>
        <w:t>12b.  Annualized Cost Burden Estimate</w:t>
      </w:r>
    </w:p>
    <w:p w:rsidR="004C5605" w:rsidRPr="00357C8A" w:rsidP="006B5254" w14:paraId="5322F3F8" w14:textId="2B2BBBA9">
      <w:pPr>
        <w:ind w:left="360"/>
        <w:rPr>
          <w:rFonts w:eastAsia="Calibri"/>
        </w:rPr>
      </w:pPr>
      <w:r w:rsidRPr="00273308">
        <w:rPr>
          <w:rFonts w:eastAsia="Calibri"/>
        </w:rPr>
        <w:t xml:space="preserve">We estimate that the total annualized cost burden to respondents associated with the requirements of </w:t>
      </w:r>
      <w:r w:rsidR="00562071">
        <w:rPr>
          <w:rFonts w:eastAsia="Calibri"/>
        </w:rPr>
        <w:t xml:space="preserve">proposed </w:t>
      </w:r>
      <w:r w:rsidRPr="00273308">
        <w:rPr>
          <w:rFonts w:eastAsia="Calibri"/>
        </w:rPr>
        <w:t>§</w:t>
      </w:r>
      <w:r>
        <w:rPr>
          <w:rFonts w:eastAsia="Calibri"/>
        </w:rPr>
        <w:t xml:space="preserve"> 101.6</w:t>
      </w:r>
      <w:r w:rsidRPr="00273308">
        <w:rPr>
          <w:rFonts w:eastAsia="Calibri"/>
        </w:rPr>
        <w:t xml:space="preserve"> to be approximately $</w:t>
      </w:r>
      <w:r w:rsidRPr="0041760D" w:rsidR="0041760D">
        <w:rPr>
          <w:rFonts w:eastAsia="Calibri"/>
        </w:rPr>
        <w:t>145,766,436.48</w:t>
      </w:r>
      <w:r w:rsidRPr="00273308">
        <w:rPr>
          <w:rFonts w:eastAsia="Calibri"/>
        </w:rPr>
        <w:t xml:space="preserve">. We estimate a respondent’s average wage to be commensurate to that of a </w:t>
      </w:r>
      <w:r w:rsidRPr="00273308" w:rsidR="002451C2">
        <w:rPr>
          <w:rFonts w:eastAsia="Calibri"/>
        </w:rPr>
        <w:t>federal</w:t>
      </w:r>
      <w:r w:rsidRPr="00273308">
        <w:rPr>
          <w:rFonts w:eastAsia="Calibri"/>
        </w:rPr>
        <w:t xml:space="preserve"> government employee at the GS-13/Step-1 rate for the Washington-Baltimore locality pay area for the year 202</w:t>
      </w:r>
      <w:r w:rsidR="00D726D4">
        <w:rPr>
          <w:rFonts w:eastAsia="Calibri"/>
        </w:rPr>
        <w:t>4</w:t>
      </w:r>
      <w:r w:rsidRPr="00273308">
        <w:rPr>
          <w:rFonts w:eastAsia="Calibri"/>
        </w:rPr>
        <w:t>, $</w:t>
      </w:r>
      <w:r w:rsidRPr="00806057" w:rsidR="00806057">
        <w:rPr>
          <w:rFonts w:eastAsia="Calibri"/>
        </w:rPr>
        <w:t>56.52</w:t>
      </w:r>
      <w:r w:rsidRPr="00273308">
        <w:rPr>
          <w:rFonts w:eastAsia="Calibri"/>
        </w:rPr>
        <w:t xml:space="preserve"> per hour. To account for overhead, this cost is increased by 100 percent, making the estimated cost burden to the respondent $</w:t>
      </w:r>
      <w:r w:rsidRPr="00AB426C" w:rsidR="00AB426C">
        <w:rPr>
          <w:rFonts w:eastAsia="Calibri"/>
        </w:rPr>
        <w:t>113.04</w:t>
      </w:r>
      <w:r w:rsidRPr="00273308">
        <w:rPr>
          <w:rFonts w:eastAsia="Calibri"/>
        </w:rPr>
        <w:t xml:space="preserve"> per hour. Using these figures, </w:t>
      </w:r>
      <w:r w:rsidR="00A604A9">
        <w:rPr>
          <w:rFonts w:eastAsia="Calibri"/>
        </w:rPr>
        <w:t>we</w:t>
      </w:r>
      <w:r w:rsidRPr="00273308">
        <w:rPr>
          <w:rFonts w:eastAsia="Calibri"/>
        </w:rPr>
        <w:t xml:space="preserve"> estimate the </w:t>
      </w:r>
      <w:r w:rsidR="00310A51">
        <w:rPr>
          <w:rFonts w:eastAsia="Calibri"/>
        </w:rPr>
        <w:t xml:space="preserve">annual </w:t>
      </w:r>
      <w:r w:rsidRPr="00273308">
        <w:rPr>
          <w:rFonts w:eastAsia="Calibri"/>
        </w:rPr>
        <w:t xml:space="preserve">cost burden for </w:t>
      </w:r>
      <w:r>
        <w:rPr>
          <w:rFonts w:eastAsia="Calibri"/>
        </w:rPr>
        <w:t>relabeling</w:t>
      </w:r>
      <w:r w:rsidRPr="00273308">
        <w:rPr>
          <w:rFonts w:eastAsia="Calibri"/>
        </w:rPr>
        <w:t xml:space="preserve"> to be $</w:t>
      </w:r>
      <w:r w:rsidRPr="002C5238" w:rsidR="002C5238">
        <w:rPr>
          <w:rFonts w:eastAsia="Calibri"/>
        </w:rPr>
        <w:t>145,766,436.48</w:t>
      </w:r>
      <w:r w:rsidRPr="00273308">
        <w:rPr>
          <w:rFonts w:eastAsia="Calibri"/>
        </w:rPr>
        <w:t xml:space="preserve"> (</w:t>
      </w:r>
      <w:r w:rsidRPr="006B0D63" w:rsidR="006B0D63">
        <w:rPr>
          <w:rFonts w:eastAsia="Calibri"/>
        </w:rPr>
        <w:t>1,289,512</w:t>
      </w:r>
      <w:r w:rsidRPr="00273308">
        <w:rPr>
          <w:rFonts w:eastAsia="Calibri"/>
        </w:rPr>
        <w:t xml:space="preserve"> hours </w:t>
      </w:r>
      <w:r w:rsidRPr="00F45AE2" w:rsidR="00F45AE2">
        <w:rPr>
          <w:rFonts w:eastAsia="Calibri"/>
        </w:rPr>
        <w:t>×</w:t>
      </w:r>
      <w:r w:rsidRPr="00273308">
        <w:rPr>
          <w:rFonts w:eastAsia="Calibri"/>
        </w:rPr>
        <w:t xml:space="preserve"> $</w:t>
      </w:r>
      <w:r w:rsidRPr="00E52784" w:rsidR="00E52784">
        <w:rPr>
          <w:rFonts w:eastAsia="Calibri"/>
        </w:rPr>
        <w:t>113.04</w:t>
      </w:r>
      <w:r w:rsidRPr="00273308">
        <w:rPr>
          <w:rFonts w:eastAsia="Calibri"/>
        </w:rPr>
        <w:t xml:space="preserve"> per hour).</w:t>
      </w:r>
    </w:p>
    <w:p w:rsidR="00357C8A" w:rsidP="00357C8A" w14:paraId="7EF66322" w14:textId="77777777">
      <w:pPr>
        <w:ind w:left="720"/>
        <w:rPr>
          <w:rFonts w:eastAsia="Calibri"/>
        </w:rPr>
      </w:pPr>
    </w:p>
    <w:p w:rsidR="008E6B3B" w:rsidRPr="008E6B3B" w:rsidP="008E6B3B" w14:paraId="4D45FAB9" w14:textId="2A75E626">
      <w:pPr>
        <w:ind w:left="720"/>
        <w:jc w:val="center"/>
        <w:rPr>
          <w:rFonts w:eastAsia="Calibri"/>
          <w:sz w:val="20"/>
          <w:szCs w:val="20"/>
        </w:rPr>
      </w:pPr>
      <w:r w:rsidRPr="008E6B3B">
        <w:rPr>
          <w:rFonts w:eastAsia="Calibri"/>
          <w:sz w:val="20"/>
          <w:szCs w:val="20"/>
        </w:rPr>
        <w:t xml:space="preserve">Table </w:t>
      </w:r>
      <w:r w:rsidR="00AB1E14">
        <w:rPr>
          <w:rFonts w:eastAsia="Calibri"/>
          <w:sz w:val="20"/>
          <w:szCs w:val="20"/>
        </w:rPr>
        <w:t>2</w:t>
      </w:r>
      <w:r w:rsidRPr="008E6B3B">
        <w:rPr>
          <w:rFonts w:eastAsia="Calibri"/>
          <w:sz w:val="20"/>
          <w:szCs w:val="20"/>
        </w:rPr>
        <w:t>.--</w:t>
      </w:r>
      <w:r w:rsidRPr="008E6B3B">
        <w:rPr>
          <w:rFonts w:eastAsia="Calibri"/>
          <w:sz w:val="20"/>
          <w:szCs w:val="20"/>
        </w:rPr>
        <w:t>Estimated Annual Cost Burden</w:t>
      </w:r>
    </w:p>
    <w:tbl>
      <w:tblPr>
        <w:tblW w:w="882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50"/>
        <w:gridCol w:w="1800"/>
        <w:gridCol w:w="2394"/>
        <w:gridCol w:w="2176"/>
      </w:tblGrid>
      <w:tr w14:paraId="62BCD2D8" w14:textId="77777777" w:rsidTr="006B5254">
        <w:tblPrEx>
          <w:tblW w:w="882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40"/>
        </w:trPr>
        <w:tc>
          <w:tcPr>
            <w:tcW w:w="2450" w:type="dxa"/>
          </w:tcPr>
          <w:p w:rsidR="00A604A9" w:rsidRPr="00A604A9" w:rsidP="00DE437D" w14:paraId="10B0704A" w14:textId="77777777">
            <w:pPr>
              <w:widowControl w:val="0"/>
              <w:autoSpaceDE w:val="0"/>
              <w:autoSpaceDN w:val="0"/>
              <w:spacing w:line="274" w:lineRule="exact"/>
              <w:ind w:left="102"/>
              <w:rPr>
                <w:sz w:val="20"/>
                <w:szCs w:val="20"/>
              </w:rPr>
            </w:pPr>
            <w:r w:rsidRPr="00A604A9">
              <w:rPr>
                <w:sz w:val="20"/>
                <w:szCs w:val="20"/>
              </w:rPr>
              <w:t>Activity</w:t>
            </w:r>
          </w:p>
        </w:tc>
        <w:tc>
          <w:tcPr>
            <w:tcW w:w="1800" w:type="dxa"/>
          </w:tcPr>
          <w:p w:rsidR="00A604A9" w:rsidRPr="00A604A9" w:rsidP="00A604A9" w14:paraId="5BD07BA2" w14:textId="77777777">
            <w:pPr>
              <w:widowControl w:val="0"/>
              <w:autoSpaceDE w:val="0"/>
              <w:autoSpaceDN w:val="0"/>
              <w:ind w:left="101" w:right="389"/>
              <w:jc w:val="center"/>
              <w:rPr>
                <w:sz w:val="20"/>
                <w:szCs w:val="20"/>
              </w:rPr>
            </w:pPr>
            <w:r w:rsidRPr="00A604A9">
              <w:rPr>
                <w:sz w:val="20"/>
                <w:szCs w:val="20"/>
              </w:rPr>
              <w:t>Total Burden Hours</w:t>
            </w:r>
          </w:p>
        </w:tc>
        <w:tc>
          <w:tcPr>
            <w:tcW w:w="2394" w:type="dxa"/>
          </w:tcPr>
          <w:p w:rsidR="00A604A9" w:rsidRPr="00A604A9" w:rsidP="00A604A9" w14:paraId="6823CAE5" w14:textId="77777777">
            <w:pPr>
              <w:widowControl w:val="0"/>
              <w:autoSpaceDE w:val="0"/>
              <w:autoSpaceDN w:val="0"/>
              <w:spacing w:line="274" w:lineRule="exact"/>
              <w:ind w:left="103"/>
              <w:jc w:val="center"/>
              <w:rPr>
                <w:sz w:val="20"/>
                <w:szCs w:val="20"/>
              </w:rPr>
            </w:pPr>
            <w:r w:rsidRPr="00A604A9">
              <w:rPr>
                <w:sz w:val="20"/>
                <w:szCs w:val="20"/>
              </w:rPr>
              <w:t>Hourly Wage Rate</w:t>
            </w:r>
          </w:p>
        </w:tc>
        <w:tc>
          <w:tcPr>
            <w:tcW w:w="2176" w:type="dxa"/>
          </w:tcPr>
          <w:p w:rsidR="00A604A9" w:rsidRPr="00A604A9" w:rsidP="00A604A9" w14:paraId="402B9340" w14:textId="77777777">
            <w:pPr>
              <w:widowControl w:val="0"/>
              <w:autoSpaceDE w:val="0"/>
              <w:autoSpaceDN w:val="0"/>
              <w:ind w:left="101" w:right="101"/>
              <w:jc w:val="center"/>
              <w:rPr>
                <w:sz w:val="20"/>
                <w:szCs w:val="20"/>
              </w:rPr>
            </w:pPr>
            <w:r w:rsidRPr="00A604A9">
              <w:rPr>
                <w:sz w:val="20"/>
                <w:szCs w:val="20"/>
              </w:rPr>
              <w:t>Total Respondent Costs</w:t>
            </w:r>
          </w:p>
        </w:tc>
      </w:tr>
      <w:tr w14:paraId="333A4279" w14:textId="77777777" w:rsidTr="006B5254">
        <w:tblPrEx>
          <w:tblW w:w="8820" w:type="dxa"/>
          <w:tblInd w:w="445" w:type="dxa"/>
          <w:tblLayout w:type="fixed"/>
          <w:tblCellMar>
            <w:left w:w="0" w:type="dxa"/>
            <w:right w:w="0" w:type="dxa"/>
          </w:tblCellMar>
          <w:tblLook w:val="01E0"/>
        </w:tblPrEx>
        <w:trPr>
          <w:trHeight w:val="341"/>
        </w:trPr>
        <w:tc>
          <w:tcPr>
            <w:tcW w:w="2450" w:type="dxa"/>
          </w:tcPr>
          <w:p w:rsidR="00A604A9" w:rsidRPr="00A604A9" w:rsidP="00DE437D" w14:paraId="183290F4" w14:textId="77777777">
            <w:pPr>
              <w:widowControl w:val="0"/>
              <w:autoSpaceDE w:val="0"/>
              <w:autoSpaceDN w:val="0"/>
              <w:spacing w:line="259" w:lineRule="exact"/>
              <w:ind w:left="103"/>
              <w:rPr>
                <w:sz w:val="20"/>
                <w:szCs w:val="20"/>
              </w:rPr>
            </w:pPr>
            <w:r>
              <w:rPr>
                <w:sz w:val="20"/>
                <w:szCs w:val="20"/>
              </w:rPr>
              <w:t>Relabeling</w:t>
            </w:r>
          </w:p>
        </w:tc>
        <w:tc>
          <w:tcPr>
            <w:tcW w:w="1800" w:type="dxa"/>
          </w:tcPr>
          <w:p w:rsidR="00A604A9" w:rsidRPr="00B41C9B" w:rsidP="004C5605" w14:paraId="66EFA6B2" w14:textId="37EF850D">
            <w:pPr>
              <w:widowControl w:val="0"/>
              <w:autoSpaceDE w:val="0"/>
              <w:autoSpaceDN w:val="0"/>
              <w:spacing w:line="273" w:lineRule="exact"/>
              <w:ind w:left="102" w:right="100"/>
              <w:jc w:val="right"/>
              <w:rPr>
                <w:sz w:val="20"/>
                <w:szCs w:val="20"/>
                <w:highlight w:val="yellow"/>
              </w:rPr>
            </w:pPr>
            <w:r w:rsidRPr="008957ED">
              <w:rPr>
                <w:sz w:val="20"/>
                <w:szCs w:val="20"/>
              </w:rPr>
              <w:t>1,289,512</w:t>
            </w:r>
          </w:p>
        </w:tc>
        <w:tc>
          <w:tcPr>
            <w:tcW w:w="2394" w:type="dxa"/>
          </w:tcPr>
          <w:p w:rsidR="00A604A9" w:rsidRPr="00B41C9B" w:rsidP="004C5605" w14:paraId="12DAF480" w14:textId="61809FB0">
            <w:pPr>
              <w:widowControl w:val="0"/>
              <w:autoSpaceDE w:val="0"/>
              <w:autoSpaceDN w:val="0"/>
              <w:spacing w:line="273" w:lineRule="exact"/>
              <w:ind w:left="103" w:right="60"/>
              <w:jc w:val="right"/>
              <w:rPr>
                <w:sz w:val="20"/>
                <w:szCs w:val="20"/>
                <w:highlight w:val="yellow"/>
              </w:rPr>
            </w:pPr>
            <w:r w:rsidRPr="006F0152">
              <w:rPr>
                <w:sz w:val="20"/>
                <w:szCs w:val="20"/>
              </w:rPr>
              <w:t>$113.04</w:t>
            </w:r>
          </w:p>
        </w:tc>
        <w:tc>
          <w:tcPr>
            <w:tcW w:w="2176" w:type="dxa"/>
          </w:tcPr>
          <w:p w:rsidR="00A604A9" w:rsidRPr="00B41C9B" w:rsidP="00A604A9" w14:paraId="74E2934F" w14:textId="7AD0159E">
            <w:pPr>
              <w:widowControl w:val="0"/>
              <w:autoSpaceDE w:val="0"/>
              <w:autoSpaceDN w:val="0"/>
              <w:spacing w:line="273" w:lineRule="exact"/>
              <w:ind w:right="102"/>
              <w:jc w:val="right"/>
              <w:rPr>
                <w:sz w:val="20"/>
                <w:szCs w:val="20"/>
                <w:highlight w:val="yellow"/>
              </w:rPr>
            </w:pPr>
            <w:r w:rsidRPr="006F0152">
              <w:rPr>
                <w:sz w:val="20"/>
                <w:szCs w:val="20"/>
              </w:rPr>
              <w:t>$</w:t>
            </w:r>
            <w:r w:rsidR="004955B0">
              <w:rPr>
                <w:sz w:val="20"/>
                <w:szCs w:val="20"/>
              </w:rPr>
              <w:t>145,766,</w:t>
            </w:r>
            <w:r w:rsidR="00043F85">
              <w:rPr>
                <w:sz w:val="20"/>
                <w:szCs w:val="20"/>
              </w:rPr>
              <w:t>436.48</w:t>
            </w:r>
          </w:p>
        </w:tc>
      </w:tr>
    </w:tbl>
    <w:p w:rsidR="006B5254" w:rsidRPr="006B5254" w:rsidP="006B5254" w14:paraId="462FBCD0" w14:textId="77777777">
      <w:pPr>
        <w:rPr>
          <w:rFonts w:eastAsia="Calibri"/>
        </w:rPr>
      </w:pPr>
    </w:p>
    <w:p w:rsidR="00357C8A" w:rsidRPr="00357C8A" w:rsidP="006B5254" w14:paraId="0A1CD928" w14:textId="1DFE7734">
      <w:pPr>
        <w:numPr>
          <w:ilvl w:val="0"/>
          <w:numId w:val="6"/>
        </w:numPr>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B45D1E" w:rsidP="0009601C" w14:paraId="47999A9B" w14:textId="77777777">
      <w:pPr>
        <w:rPr>
          <w:rFonts w:eastAsia="Calibri"/>
        </w:rPr>
      </w:pPr>
    </w:p>
    <w:p w:rsidR="0022425B" w:rsidP="0009601C" w14:paraId="0FC38D3B" w14:textId="24A76FA8">
      <w:pPr>
        <w:rPr>
          <w:rFonts w:eastAsia="Calibri"/>
        </w:rPr>
      </w:pPr>
      <w:r w:rsidRPr="00A86B2C">
        <w:rPr>
          <w:rFonts w:eastAsia="Calibri"/>
        </w:rPr>
        <w:t>Based on Table 6 of the PRIA, we estimate each product that will be relabeled cost</w:t>
      </w:r>
      <w:r w:rsidR="00F2407A">
        <w:rPr>
          <w:rFonts w:eastAsia="Calibri"/>
        </w:rPr>
        <w:t>s</w:t>
      </w:r>
      <w:r w:rsidRPr="00A86B2C">
        <w:rPr>
          <w:rFonts w:eastAsia="Calibri"/>
        </w:rPr>
        <w:t xml:space="preserve"> $1,3</w:t>
      </w:r>
      <w:r w:rsidR="00D51FD0">
        <w:rPr>
          <w:rFonts w:eastAsia="Calibri"/>
        </w:rPr>
        <w:t>33</w:t>
      </w:r>
      <w:r w:rsidRPr="00A86B2C">
        <w:rPr>
          <w:rFonts w:eastAsia="Calibri"/>
        </w:rPr>
        <w:t xml:space="preserve"> assuming a three-year compliance period. That calculates to an annual capital cost of $</w:t>
      </w:r>
      <w:r w:rsidRPr="00843396" w:rsidR="00843396">
        <w:rPr>
          <w:rFonts w:eastAsia="Calibri"/>
        </w:rPr>
        <w:t>143,220,186</w:t>
      </w:r>
      <w:r w:rsidRPr="00A86B2C">
        <w:rPr>
          <w:rFonts w:eastAsia="Calibri"/>
        </w:rPr>
        <w:t xml:space="preserve"> ($1,3</w:t>
      </w:r>
      <w:r w:rsidR="00843396">
        <w:rPr>
          <w:rFonts w:eastAsia="Calibri"/>
        </w:rPr>
        <w:t>33</w:t>
      </w:r>
      <w:r w:rsidRPr="00A86B2C">
        <w:rPr>
          <w:rFonts w:eastAsia="Calibri"/>
        </w:rPr>
        <w:t xml:space="preserve"> × 107,442 products) over 3 years associated with relabeling with the total capital cost being $</w:t>
      </w:r>
      <w:r w:rsidRPr="00843396" w:rsidR="00843396">
        <w:rPr>
          <w:rFonts w:eastAsia="Calibri"/>
        </w:rPr>
        <w:t>429,660,558</w:t>
      </w:r>
      <w:r w:rsidRPr="00A86B2C">
        <w:rPr>
          <w:rFonts w:eastAsia="Calibri"/>
        </w:rPr>
        <w:t>. This is the cost of designing a revised label and incorporating it into the manufacturing process.  We believe that this will be a one-time capital cost</w:t>
      </w:r>
      <w:r w:rsidRPr="008A52CF" w:rsidR="008A52CF">
        <w:rPr>
          <w:rFonts w:eastAsia="Calibri"/>
        </w:rPr>
        <w:t xml:space="preserve">. </w:t>
      </w:r>
      <w:r w:rsidR="008A52CF">
        <w:rPr>
          <w:rFonts w:eastAsia="Calibri"/>
        </w:rPr>
        <w:t xml:space="preserve"> </w:t>
      </w:r>
    </w:p>
    <w:p w:rsidR="0009601C" w:rsidP="0009601C" w14:paraId="4DEBBCD7" w14:textId="77777777">
      <w:pPr>
        <w:rPr>
          <w:rFonts w:eastAsia="Calibri"/>
          <w:u w:val="single"/>
        </w:rPr>
      </w:pPr>
    </w:p>
    <w:p w:rsidR="00357C8A" w:rsidRPr="00357C8A" w:rsidP="006B5254" w14:paraId="5C0DBEAA" w14:textId="77777777">
      <w:pPr>
        <w:numPr>
          <w:ilvl w:val="0"/>
          <w:numId w:val="6"/>
        </w:numPr>
        <w:rPr>
          <w:rFonts w:eastAsia="Calibri"/>
          <w:u w:val="single"/>
        </w:rPr>
      </w:pPr>
      <w:r w:rsidRPr="00357C8A">
        <w:rPr>
          <w:rFonts w:eastAsia="Calibri"/>
          <w:u w:val="single"/>
        </w:rPr>
        <w:t>Annualized Cost to the Federal Government</w:t>
      </w:r>
    </w:p>
    <w:p w:rsidR="00B45D1E" w:rsidP="0009601C" w14:paraId="5757A721" w14:textId="77777777"/>
    <w:p w:rsidR="00D41ED6" w:rsidRPr="00D41ED6" w:rsidP="0009601C" w14:paraId="78166873" w14:textId="4F3359BE">
      <w:pPr>
        <w:rPr>
          <w:rFonts w:eastAsia="Calibri"/>
          <w:u w:val="single"/>
        </w:rPr>
      </w:pPr>
      <w:r>
        <w:t xml:space="preserve">Currently FDA estimates </w:t>
      </w:r>
      <w:r w:rsidRPr="002641BC" w:rsidR="002641BC">
        <w:t>$</w:t>
      </w:r>
      <w:r w:rsidRPr="001F6B7C" w:rsidR="001F6B7C">
        <w:t>6,542,114</w:t>
      </w:r>
      <w:r w:rsidR="00F35A4E">
        <w:t xml:space="preserve"> for </w:t>
      </w:r>
      <w:r>
        <w:t xml:space="preserve">costs of administering food labeling requirements, including this rulemaking.  </w:t>
      </w:r>
    </w:p>
    <w:p w:rsidR="00D41ED6" w:rsidRPr="00D41ED6" w:rsidP="0009601C" w14:paraId="5CF9753E" w14:textId="77777777">
      <w:pPr>
        <w:rPr>
          <w:rFonts w:eastAsia="Calibri"/>
          <w:u w:val="single"/>
        </w:rPr>
      </w:pPr>
    </w:p>
    <w:p w:rsidR="00357C8A" w:rsidP="006B5254" w14:paraId="61AD28F5" w14:textId="0EB1FB11">
      <w:pPr>
        <w:numPr>
          <w:ilvl w:val="0"/>
          <w:numId w:val="6"/>
        </w:numPr>
        <w:rPr>
          <w:rFonts w:eastAsia="Calibri"/>
          <w:u w:val="single"/>
        </w:rPr>
      </w:pPr>
      <w:r w:rsidRPr="00357C8A">
        <w:rPr>
          <w:rFonts w:eastAsia="Calibri"/>
          <w:u w:val="single"/>
        </w:rPr>
        <w:t>Explanation for Program Changes or Adjustments</w:t>
      </w:r>
    </w:p>
    <w:p w:rsidR="00B45D1E" w:rsidP="0009601C" w14:paraId="7A2CDA4D" w14:textId="77777777">
      <w:pPr>
        <w:rPr>
          <w:rFonts w:eastAsia="Calibri"/>
        </w:rPr>
      </w:pPr>
    </w:p>
    <w:p w:rsidR="00357C8A" w:rsidP="0009601C" w14:paraId="4B091B17" w14:textId="1F6DD706">
      <w:pPr>
        <w:rPr>
          <w:rFonts w:eastAsia="Calibri"/>
        </w:rPr>
      </w:pPr>
      <w:r w:rsidRPr="00CD37C6">
        <w:rPr>
          <w:rFonts w:eastAsia="Calibri"/>
        </w:rPr>
        <w:t>This is a new information collection</w:t>
      </w:r>
      <w:r w:rsidR="00205023">
        <w:rPr>
          <w:rFonts w:eastAsia="Calibri"/>
          <w:bCs/>
        </w:rPr>
        <w:t>.</w:t>
      </w:r>
    </w:p>
    <w:p w:rsidR="00D41ED6" w:rsidRPr="00357C8A" w:rsidP="0009601C" w14:paraId="05EB5CC8" w14:textId="77777777">
      <w:pPr>
        <w:rPr>
          <w:rFonts w:eastAsia="Calibri"/>
          <w:color w:val="FF0000"/>
        </w:rPr>
      </w:pPr>
    </w:p>
    <w:p w:rsidR="00357C8A" w:rsidRPr="00357C8A" w:rsidP="006B5254" w14:paraId="37612443" w14:textId="77777777">
      <w:pPr>
        <w:numPr>
          <w:ilvl w:val="0"/>
          <w:numId w:val="6"/>
        </w:numPr>
        <w:rPr>
          <w:rFonts w:eastAsia="Calibri"/>
          <w:u w:val="single"/>
        </w:rPr>
      </w:pPr>
      <w:r w:rsidRPr="00357C8A">
        <w:rPr>
          <w:rFonts w:eastAsia="Calibri"/>
          <w:u w:val="single"/>
        </w:rPr>
        <w:t>Plans for Tabulation and Publication and Project Time Schedule</w:t>
      </w:r>
    </w:p>
    <w:p w:rsidR="00D41ED6" w:rsidP="0009601C" w14:paraId="4D6F8DFA" w14:textId="77777777">
      <w:pPr>
        <w:rPr>
          <w:rFonts w:eastAsia="Calibri"/>
        </w:rPr>
      </w:pPr>
    </w:p>
    <w:p w:rsidR="00357C8A" w:rsidP="0009601C" w14:paraId="24B8EF31" w14:textId="5A98AF97">
      <w:pPr>
        <w:rPr>
          <w:rFonts w:eastAsia="Calibri"/>
        </w:rPr>
      </w:pPr>
      <w:r w:rsidRPr="005C71CA">
        <w:rPr>
          <w:rFonts w:eastAsia="Calibri"/>
        </w:rPr>
        <w:t>This information collected will not be published or tabulated.</w:t>
      </w:r>
    </w:p>
    <w:p w:rsidR="00D41ED6" w:rsidRPr="007C29D3" w:rsidP="0009601C" w14:paraId="2E951D95" w14:textId="77777777">
      <w:pPr>
        <w:rPr>
          <w:rFonts w:eastAsia="Calibri"/>
        </w:rPr>
      </w:pPr>
    </w:p>
    <w:p w:rsidR="00357C8A" w:rsidRPr="00357C8A" w:rsidP="006B5254" w14:paraId="65BCDDE6" w14:textId="77777777">
      <w:pPr>
        <w:numPr>
          <w:ilvl w:val="0"/>
          <w:numId w:val="6"/>
        </w:numPr>
        <w:rPr>
          <w:rFonts w:eastAsia="Calibri"/>
          <w:u w:val="single"/>
        </w:rPr>
      </w:pPr>
      <w:r w:rsidRPr="00357C8A">
        <w:rPr>
          <w:rFonts w:eastAsia="Calibri"/>
          <w:u w:val="single"/>
        </w:rPr>
        <w:t>Reason(s) Display of OMB Expiration Date is Inappropriate</w:t>
      </w:r>
    </w:p>
    <w:p w:rsidR="00D41ED6" w:rsidP="0009601C" w14:paraId="51BC2A61" w14:textId="77777777">
      <w:pPr>
        <w:rPr>
          <w:rFonts w:eastAsia="Calibri"/>
        </w:rPr>
      </w:pPr>
    </w:p>
    <w:p w:rsidR="00357C8A" w:rsidP="0009601C" w14:paraId="1999BC1D" w14:textId="1E3BCE14">
      <w:pPr>
        <w:rPr>
          <w:rFonts w:eastAsia="Calibri"/>
          <w:color w:val="FF0000"/>
        </w:rPr>
      </w:pPr>
      <w:r w:rsidRPr="007C29D3">
        <w:rPr>
          <w:rFonts w:eastAsia="Calibri"/>
        </w:rPr>
        <w:t>Display of OMB expiration date is appropriate.</w:t>
      </w:r>
      <w:r w:rsidRPr="00357C8A">
        <w:rPr>
          <w:rFonts w:eastAsia="Calibri"/>
          <w:color w:val="FF0000"/>
        </w:rPr>
        <w:t xml:space="preserve"> </w:t>
      </w:r>
    </w:p>
    <w:p w:rsidR="00D41ED6" w:rsidRPr="00357C8A" w:rsidP="0009601C" w14:paraId="775D8A89" w14:textId="77777777">
      <w:pPr>
        <w:rPr>
          <w:rFonts w:eastAsia="Calibri"/>
          <w:color w:val="FF0000"/>
        </w:rPr>
      </w:pPr>
    </w:p>
    <w:p w:rsidR="00357C8A" w:rsidRPr="00357C8A" w:rsidP="006B5254" w14:paraId="39D26C2B" w14:textId="77777777">
      <w:pPr>
        <w:numPr>
          <w:ilvl w:val="0"/>
          <w:numId w:val="6"/>
        </w:numPr>
        <w:rPr>
          <w:rFonts w:eastAsia="Calibri"/>
          <w:u w:val="single"/>
        </w:rPr>
      </w:pPr>
      <w:r w:rsidRPr="00357C8A">
        <w:rPr>
          <w:rFonts w:eastAsia="Calibri"/>
          <w:u w:val="single"/>
        </w:rPr>
        <w:t>Exceptions to Certification for Paperwork Reduction Act Submissions</w:t>
      </w:r>
    </w:p>
    <w:p w:rsidR="00D41ED6" w:rsidP="0009601C" w14:paraId="764DB593" w14:textId="77777777">
      <w:pPr>
        <w:rPr>
          <w:rFonts w:eastAsia="Calibri"/>
        </w:rPr>
      </w:pPr>
    </w:p>
    <w:p w:rsidR="00544138" w:rsidRPr="00C20690" w:rsidP="0009601C" w14:paraId="203022D2" w14:textId="28080464">
      <w:pPr>
        <w:rPr>
          <w:rFonts w:eastAsia="Calibri"/>
        </w:rPr>
      </w:pPr>
      <w:r w:rsidRPr="007E59A8">
        <w:rPr>
          <w:rFonts w:eastAsia="Calibri"/>
        </w:rPr>
        <w:t>There are no exceptions to the certification</w:t>
      </w:r>
      <w:r>
        <w:rPr>
          <w:rFonts w:eastAsia="Calibri"/>
        </w:rPr>
        <w:t>.</w:t>
      </w:r>
    </w:p>
    <w:sectPr w:rsidSect="001E3C08">
      <w:footerReference w:type="even" r:id="rId6"/>
      <w:footerReference w:type="default" r:id="rId7"/>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AD1474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B3319">
      <w:rPr>
        <w:rStyle w:val="PageNumber"/>
      </w:rPr>
      <w:fldChar w:fldCharType="separate"/>
    </w:r>
    <w:r>
      <w:rPr>
        <w:rStyle w:val="PageNumber"/>
      </w:rPr>
      <w:fldChar w:fldCharType="end"/>
    </w:r>
  </w:p>
  <w:p w:rsidR="00E63DE5" w14:paraId="59A85C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4B04FC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AF05B4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53552744">
    <w:abstractNumId w:val="5"/>
  </w:num>
  <w:num w:numId="2" w16cid:durableId="1479614971">
    <w:abstractNumId w:val="1"/>
  </w:num>
  <w:num w:numId="3" w16cid:durableId="767236296">
    <w:abstractNumId w:val="6"/>
  </w:num>
  <w:num w:numId="4" w16cid:durableId="939486474">
    <w:abstractNumId w:val="3"/>
  </w:num>
  <w:num w:numId="5" w16cid:durableId="1274363434">
    <w:abstractNumId w:val="7"/>
  </w:num>
  <w:num w:numId="6" w16cid:durableId="497118087">
    <w:abstractNumId w:val="0"/>
  </w:num>
  <w:num w:numId="7" w16cid:durableId="1033655930">
    <w:abstractNumId w:val="2"/>
  </w:num>
  <w:num w:numId="8" w16cid:durableId="51885799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7497"/>
    <w:rsid w:val="00010440"/>
    <w:rsid w:val="00031A2C"/>
    <w:rsid w:val="00037F6F"/>
    <w:rsid w:val="00042B93"/>
    <w:rsid w:val="00043C7F"/>
    <w:rsid w:val="00043F85"/>
    <w:rsid w:val="000443A7"/>
    <w:rsid w:val="000467A8"/>
    <w:rsid w:val="00054C74"/>
    <w:rsid w:val="0006570F"/>
    <w:rsid w:val="00073224"/>
    <w:rsid w:val="00075DE8"/>
    <w:rsid w:val="00087439"/>
    <w:rsid w:val="0009601C"/>
    <w:rsid w:val="000A63BB"/>
    <w:rsid w:val="000A74B9"/>
    <w:rsid w:val="000C1260"/>
    <w:rsid w:val="000C560C"/>
    <w:rsid w:val="000C7B79"/>
    <w:rsid w:val="000D080B"/>
    <w:rsid w:val="000D393C"/>
    <w:rsid w:val="000D3E64"/>
    <w:rsid w:val="000D48FD"/>
    <w:rsid w:val="000D79CC"/>
    <w:rsid w:val="000E1C64"/>
    <w:rsid w:val="000F0FED"/>
    <w:rsid w:val="000F1EF1"/>
    <w:rsid w:val="000F6029"/>
    <w:rsid w:val="000F7119"/>
    <w:rsid w:val="00100739"/>
    <w:rsid w:val="00100CD4"/>
    <w:rsid w:val="0010493E"/>
    <w:rsid w:val="001075D3"/>
    <w:rsid w:val="00107885"/>
    <w:rsid w:val="00114FC4"/>
    <w:rsid w:val="00117B66"/>
    <w:rsid w:val="0012329C"/>
    <w:rsid w:val="00134FA7"/>
    <w:rsid w:val="00134FFA"/>
    <w:rsid w:val="00137950"/>
    <w:rsid w:val="00140945"/>
    <w:rsid w:val="00152F29"/>
    <w:rsid w:val="00154F0D"/>
    <w:rsid w:val="00155E81"/>
    <w:rsid w:val="001672B5"/>
    <w:rsid w:val="00171419"/>
    <w:rsid w:val="00174D54"/>
    <w:rsid w:val="00176BE2"/>
    <w:rsid w:val="0017702C"/>
    <w:rsid w:val="00184D7D"/>
    <w:rsid w:val="00185270"/>
    <w:rsid w:val="00193C3B"/>
    <w:rsid w:val="00194C3C"/>
    <w:rsid w:val="0019749C"/>
    <w:rsid w:val="001A081B"/>
    <w:rsid w:val="001A3B5A"/>
    <w:rsid w:val="001B0ACE"/>
    <w:rsid w:val="001B7A57"/>
    <w:rsid w:val="001B7CE9"/>
    <w:rsid w:val="001C7A57"/>
    <w:rsid w:val="001D495A"/>
    <w:rsid w:val="001D7C5D"/>
    <w:rsid w:val="001E244C"/>
    <w:rsid w:val="001E3C08"/>
    <w:rsid w:val="001E7F98"/>
    <w:rsid w:val="001F1437"/>
    <w:rsid w:val="001F2538"/>
    <w:rsid w:val="001F6681"/>
    <w:rsid w:val="001F6B7C"/>
    <w:rsid w:val="00201860"/>
    <w:rsid w:val="00205023"/>
    <w:rsid w:val="00206799"/>
    <w:rsid w:val="002074FE"/>
    <w:rsid w:val="00215374"/>
    <w:rsid w:val="0021614F"/>
    <w:rsid w:val="0022073F"/>
    <w:rsid w:val="0022425B"/>
    <w:rsid w:val="002259EF"/>
    <w:rsid w:val="00242ED1"/>
    <w:rsid w:val="002444BB"/>
    <w:rsid w:val="002451C2"/>
    <w:rsid w:val="00247FEF"/>
    <w:rsid w:val="0025249C"/>
    <w:rsid w:val="00254069"/>
    <w:rsid w:val="002641BC"/>
    <w:rsid w:val="002646B7"/>
    <w:rsid w:val="002646DE"/>
    <w:rsid w:val="00270748"/>
    <w:rsid w:val="00273308"/>
    <w:rsid w:val="002734E5"/>
    <w:rsid w:val="00273DB8"/>
    <w:rsid w:val="002746DB"/>
    <w:rsid w:val="00280CAF"/>
    <w:rsid w:val="00282F09"/>
    <w:rsid w:val="00284E62"/>
    <w:rsid w:val="002857BE"/>
    <w:rsid w:val="00291810"/>
    <w:rsid w:val="00294D62"/>
    <w:rsid w:val="00297532"/>
    <w:rsid w:val="00297FFD"/>
    <w:rsid w:val="002A1210"/>
    <w:rsid w:val="002A1591"/>
    <w:rsid w:val="002A1962"/>
    <w:rsid w:val="002A47D2"/>
    <w:rsid w:val="002A7FB5"/>
    <w:rsid w:val="002B2074"/>
    <w:rsid w:val="002C5238"/>
    <w:rsid w:val="002D14D8"/>
    <w:rsid w:val="002D4799"/>
    <w:rsid w:val="002E3FA4"/>
    <w:rsid w:val="002E53A5"/>
    <w:rsid w:val="002E64B8"/>
    <w:rsid w:val="002E6834"/>
    <w:rsid w:val="002F1C64"/>
    <w:rsid w:val="002F2B50"/>
    <w:rsid w:val="002F7134"/>
    <w:rsid w:val="00304ED9"/>
    <w:rsid w:val="00310A51"/>
    <w:rsid w:val="003113FF"/>
    <w:rsid w:val="00312622"/>
    <w:rsid w:val="0032221D"/>
    <w:rsid w:val="0032277F"/>
    <w:rsid w:val="003248A1"/>
    <w:rsid w:val="00333652"/>
    <w:rsid w:val="00335FFB"/>
    <w:rsid w:val="00336B69"/>
    <w:rsid w:val="0034302B"/>
    <w:rsid w:val="0034564B"/>
    <w:rsid w:val="00350523"/>
    <w:rsid w:val="0035189D"/>
    <w:rsid w:val="00355B62"/>
    <w:rsid w:val="00357C8A"/>
    <w:rsid w:val="003740BC"/>
    <w:rsid w:val="0037456B"/>
    <w:rsid w:val="003801A3"/>
    <w:rsid w:val="00383D90"/>
    <w:rsid w:val="003850D0"/>
    <w:rsid w:val="003870AE"/>
    <w:rsid w:val="003929E3"/>
    <w:rsid w:val="00392B33"/>
    <w:rsid w:val="003A1A27"/>
    <w:rsid w:val="003A50CC"/>
    <w:rsid w:val="003B42B3"/>
    <w:rsid w:val="003B48B9"/>
    <w:rsid w:val="003B6384"/>
    <w:rsid w:val="003C0FE2"/>
    <w:rsid w:val="003C4EBB"/>
    <w:rsid w:val="003D1531"/>
    <w:rsid w:val="003E264A"/>
    <w:rsid w:val="003E43B4"/>
    <w:rsid w:val="003E4EC6"/>
    <w:rsid w:val="003E527E"/>
    <w:rsid w:val="003E553E"/>
    <w:rsid w:val="003E7078"/>
    <w:rsid w:val="003E75D1"/>
    <w:rsid w:val="003F1474"/>
    <w:rsid w:val="003F3DF5"/>
    <w:rsid w:val="003F6093"/>
    <w:rsid w:val="003F6395"/>
    <w:rsid w:val="003F73B8"/>
    <w:rsid w:val="003F7FDC"/>
    <w:rsid w:val="0040297E"/>
    <w:rsid w:val="00406133"/>
    <w:rsid w:val="00411D11"/>
    <w:rsid w:val="00414494"/>
    <w:rsid w:val="00415C5A"/>
    <w:rsid w:val="00415E23"/>
    <w:rsid w:val="0041670D"/>
    <w:rsid w:val="00416C0E"/>
    <w:rsid w:val="0041760D"/>
    <w:rsid w:val="00423272"/>
    <w:rsid w:val="00424061"/>
    <w:rsid w:val="00426B6B"/>
    <w:rsid w:val="00435B8A"/>
    <w:rsid w:val="00442A3C"/>
    <w:rsid w:val="00443969"/>
    <w:rsid w:val="004466BE"/>
    <w:rsid w:val="00447D74"/>
    <w:rsid w:val="00450A74"/>
    <w:rsid w:val="0045188E"/>
    <w:rsid w:val="004546BF"/>
    <w:rsid w:val="00465350"/>
    <w:rsid w:val="004662E2"/>
    <w:rsid w:val="004704EF"/>
    <w:rsid w:val="004744C5"/>
    <w:rsid w:val="004750BE"/>
    <w:rsid w:val="00476B91"/>
    <w:rsid w:val="00482900"/>
    <w:rsid w:val="004846BF"/>
    <w:rsid w:val="00484BFE"/>
    <w:rsid w:val="00493FDB"/>
    <w:rsid w:val="00494912"/>
    <w:rsid w:val="004955B0"/>
    <w:rsid w:val="004959A7"/>
    <w:rsid w:val="004A5323"/>
    <w:rsid w:val="004A5A99"/>
    <w:rsid w:val="004B073E"/>
    <w:rsid w:val="004C0EDE"/>
    <w:rsid w:val="004C403C"/>
    <w:rsid w:val="004C42CF"/>
    <w:rsid w:val="004C4849"/>
    <w:rsid w:val="004C5605"/>
    <w:rsid w:val="004C6979"/>
    <w:rsid w:val="004D13A2"/>
    <w:rsid w:val="004D3E7A"/>
    <w:rsid w:val="004E3FF1"/>
    <w:rsid w:val="004E6068"/>
    <w:rsid w:val="004F594B"/>
    <w:rsid w:val="004F61E1"/>
    <w:rsid w:val="004F67AF"/>
    <w:rsid w:val="00500703"/>
    <w:rsid w:val="005237E5"/>
    <w:rsid w:val="00525FF4"/>
    <w:rsid w:val="0053380B"/>
    <w:rsid w:val="00542132"/>
    <w:rsid w:val="00543194"/>
    <w:rsid w:val="00544138"/>
    <w:rsid w:val="00554E34"/>
    <w:rsid w:val="00555B0E"/>
    <w:rsid w:val="00562071"/>
    <w:rsid w:val="00584583"/>
    <w:rsid w:val="00586127"/>
    <w:rsid w:val="00587C1B"/>
    <w:rsid w:val="00590E90"/>
    <w:rsid w:val="00590EEB"/>
    <w:rsid w:val="00596AF5"/>
    <w:rsid w:val="005A3651"/>
    <w:rsid w:val="005A4099"/>
    <w:rsid w:val="005B4634"/>
    <w:rsid w:val="005B6D8B"/>
    <w:rsid w:val="005C38B2"/>
    <w:rsid w:val="005C5029"/>
    <w:rsid w:val="005C55C2"/>
    <w:rsid w:val="005C71CA"/>
    <w:rsid w:val="005C745C"/>
    <w:rsid w:val="005D4DF5"/>
    <w:rsid w:val="005D7A32"/>
    <w:rsid w:val="005E42BA"/>
    <w:rsid w:val="005F18C4"/>
    <w:rsid w:val="00604711"/>
    <w:rsid w:val="00611D6B"/>
    <w:rsid w:val="0061531D"/>
    <w:rsid w:val="00626BAD"/>
    <w:rsid w:val="00631D61"/>
    <w:rsid w:val="006324AE"/>
    <w:rsid w:val="006326EC"/>
    <w:rsid w:val="006343B9"/>
    <w:rsid w:val="006503FF"/>
    <w:rsid w:val="006637ED"/>
    <w:rsid w:val="00663A42"/>
    <w:rsid w:val="006641C7"/>
    <w:rsid w:val="00665A7C"/>
    <w:rsid w:val="006705EA"/>
    <w:rsid w:val="00670BE2"/>
    <w:rsid w:val="00672AE9"/>
    <w:rsid w:val="006828B5"/>
    <w:rsid w:val="006916D9"/>
    <w:rsid w:val="006A0E05"/>
    <w:rsid w:val="006A26C6"/>
    <w:rsid w:val="006A4393"/>
    <w:rsid w:val="006A465A"/>
    <w:rsid w:val="006A4B69"/>
    <w:rsid w:val="006A6721"/>
    <w:rsid w:val="006A7D5D"/>
    <w:rsid w:val="006B0D63"/>
    <w:rsid w:val="006B5254"/>
    <w:rsid w:val="006D0C12"/>
    <w:rsid w:val="006D5D57"/>
    <w:rsid w:val="006E2538"/>
    <w:rsid w:val="006E2796"/>
    <w:rsid w:val="006E302F"/>
    <w:rsid w:val="006F0152"/>
    <w:rsid w:val="006F2F84"/>
    <w:rsid w:val="006F4D6D"/>
    <w:rsid w:val="006F635F"/>
    <w:rsid w:val="00705086"/>
    <w:rsid w:val="00716F60"/>
    <w:rsid w:val="00722001"/>
    <w:rsid w:val="00725CCE"/>
    <w:rsid w:val="00732245"/>
    <w:rsid w:val="00751E66"/>
    <w:rsid w:val="00754497"/>
    <w:rsid w:val="007648AD"/>
    <w:rsid w:val="00780783"/>
    <w:rsid w:val="0078079B"/>
    <w:rsid w:val="00787C39"/>
    <w:rsid w:val="00792947"/>
    <w:rsid w:val="00795DF3"/>
    <w:rsid w:val="007A373C"/>
    <w:rsid w:val="007A48A8"/>
    <w:rsid w:val="007B225C"/>
    <w:rsid w:val="007B5D97"/>
    <w:rsid w:val="007B7CF3"/>
    <w:rsid w:val="007C29D3"/>
    <w:rsid w:val="007C2EE9"/>
    <w:rsid w:val="007C5BEA"/>
    <w:rsid w:val="007C75B1"/>
    <w:rsid w:val="007D3DFC"/>
    <w:rsid w:val="007E2F07"/>
    <w:rsid w:val="007E5687"/>
    <w:rsid w:val="007E59A8"/>
    <w:rsid w:val="007F517A"/>
    <w:rsid w:val="00805E3A"/>
    <w:rsid w:val="00806057"/>
    <w:rsid w:val="0080776D"/>
    <w:rsid w:val="00810010"/>
    <w:rsid w:val="00810145"/>
    <w:rsid w:val="008108FA"/>
    <w:rsid w:val="00810FF1"/>
    <w:rsid w:val="008171BA"/>
    <w:rsid w:val="00822336"/>
    <w:rsid w:val="00823DFA"/>
    <w:rsid w:val="00832A3B"/>
    <w:rsid w:val="00840A66"/>
    <w:rsid w:val="00842DB7"/>
    <w:rsid w:val="00843396"/>
    <w:rsid w:val="00843752"/>
    <w:rsid w:val="00843938"/>
    <w:rsid w:val="0084479F"/>
    <w:rsid w:val="008560F9"/>
    <w:rsid w:val="0085725E"/>
    <w:rsid w:val="008630B9"/>
    <w:rsid w:val="00871321"/>
    <w:rsid w:val="0087259F"/>
    <w:rsid w:val="00873D4F"/>
    <w:rsid w:val="0087509F"/>
    <w:rsid w:val="00885B09"/>
    <w:rsid w:val="008868C4"/>
    <w:rsid w:val="00892400"/>
    <w:rsid w:val="0089393C"/>
    <w:rsid w:val="00894234"/>
    <w:rsid w:val="008957ED"/>
    <w:rsid w:val="008A209D"/>
    <w:rsid w:val="008A22BB"/>
    <w:rsid w:val="008A52CF"/>
    <w:rsid w:val="008B035D"/>
    <w:rsid w:val="008B082F"/>
    <w:rsid w:val="008B0E29"/>
    <w:rsid w:val="008B0EFA"/>
    <w:rsid w:val="008B30AB"/>
    <w:rsid w:val="008C3BB8"/>
    <w:rsid w:val="008C4B65"/>
    <w:rsid w:val="008D0B9A"/>
    <w:rsid w:val="008D176B"/>
    <w:rsid w:val="008E181C"/>
    <w:rsid w:val="008E5F55"/>
    <w:rsid w:val="008E6B3B"/>
    <w:rsid w:val="008F34BA"/>
    <w:rsid w:val="009000C8"/>
    <w:rsid w:val="009009E7"/>
    <w:rsid w:val="00902E93"/>
    <w:rsid w:val="00905DEF"/>
    <w:rsid w:val="00906056"/>
    <w:rsid w:val="009122AE"/>
    <w:rsid w:val="00913B43"/>
    <w:rsid w:val="0092615A"/>
    <w:rsid w:val="00930203"/>
    <w:rsid w:val="009311D2"/>
    <w:rsid w:val="009311E6"/>
    <w:rsid w:val="00931275"/>
    <w:rsid w:val="00934758"/>
    <w:rsid w:val="00934EAF"/>
    <w:rsid w:val="009357CE"/>
    <w:rsid w:val="00936AC7"/>
    <w:rsid w:val="00953B39"/>
    <w:rsid w:val="00953B64"/>
    <w:rsid w:val="009550E6"/>
    <w:rsid w:val="00957AC0"/>
    <w:rsid w:val="009646A7"/>
    <w:rsid w:val="00967463"/>
    <w:rsid w:val="009703E5"/>
    <w:rsid w:val="00970A88"/>
    <w:rsid w:val="00970FBA"/>
    <w:rsid w:val="009818A1"/>
    <w:rsid w:val="00986E9F"/>
    <w:rsid w:val="00996788"/>
    <w:rsid w:val="009A1674"/>
    <w:rsid w:val="009A6BD5"/>
    <w:rsid w:val="009B193B"/>
    <w:rsid w:val="009B38BE"/>
    <w:rsid w:val="009B4DF2"/>
    <w:rsid w:val="009B74B7"/>
    <w:rsid w:val="009C684F"/>
    <w:rsid w:val="009D074C"/>
    <w:rsid w:val="009D22D0"/>
    <w:rsid w:val="009D6E73"/>
    <w:rsid w:val="009F0542"/>
    <w:rsid w:val="009F1F1D"/>
    <w:rsid w:val="009F2B4F"/>
    <w:rsid w:val="009F3C63"/>
    <w:rsid w:val="009F66B5"/>
    <w:rsid w:val="00A016B4"/>
    <w:rsid w:val="00A02F10"/>
    <w:rsid w:val="00A05A49"/>
    <w:rsid w:val="00A07417"/>
    <w:rsid w:val="00A11370"/>
    <w:rsid w:val="00A15943"/>
    <w:rsid w:val="00A16221"/>
    <w:rsid w:val="00A1784E"/>
    <w:rsid w:val="00A20A7D"/>
    <w:rsid w:val="00A21071"/>
    <w:rsid w:val="00A35D42"/>
    <w:rsid w:val="00A35E9B"/>
    <w:rsid w:val="00A376CD"/>
    <w:rsid w:val="00A46CCF"/>
    <w:rsid w:val="00A506DE"/>
    <w:rsid w:val="00A53451"/>
    <w:rsid w:val="00A604A9"/>
    <w:rsid w:val="00A612DB"/>
    <w:rsid w:val="00A61567"/>
    <w:rsid w:val="00A70426"/>
    <w:rsid w:val="00A70501"/>
    <w:rsid w:val="00A707CC"/>
    <w:rsid w:val="00A71410"/>
    <w:rsid w:val="00A85D9B"/>
    <w:rsid w:val="00A86B2C"/>
    <w:rsid w:val="00A91E9A"/>
    <w:rsid w:val="00A93ED9"/>
    <w:rsid w:val="00A94417"/>
    <w:rsid w:val="00A94AAE"/>
    <w:rsid w:val="00A96221"/>
    <w:rsid w:val="00AA6F1C"/>
    <w:rsid w:val="00AB1E14"/>
    <w:rsid w:val="00AB426C"/>
    <w:rsid w:val="00AC25CC"/>
    <w:rsid w:val="00AC2DBB"/>
    <w:rsid w:val="00AC32B0"/>
    <w:rsid w:val="00AC3694"/>
    <w:rsid w:val="00AC6A99"/>
    <w:rsid w:val="00AD2B2C"/>
    <w:rsid w:val="00AD6048"/>
    <w:rsid w:val="00AE0CFD"/>
    <w:rsid w:val="00AF2756"/>
    <w:rsid w:val="00AF4650"/>
    <w:rsid w:val="00AF50B4"/>
    <w:rsid w:val="00AF7C94"/>
    <w:rsid w:val="00B025C3"/>
    <w:rsid w:val="00B03F13"/>
    <w:rsid w:val="00B055EF"/>
    <w:rsid w:val="00B06B5B"/>
    <w:rsid w:val="00B11463"/>
    <w:rsid w:val="00B14E3C"/>
    <w:rsid w:val="00B16D7E"/>
    <w:rsid w:val="00B178AA"/>
    <w:rsid w:val="00B23769"/>
    <w:rsid w:val="00B309A0"/>
    <w:rsid w:val="00B41789"/>
    <w:rsid w:val="00B41C9B"/>
    <w:rsid w:val="00B45D1E"/>
    <w:rsid w:val="00B517A0"/>
    <w:rsid w:val="00B614C7"/>
    <w:rsid w:val="00B63B0E"/>
    <w:rsid w:val="00B654EB"/>
    <w:rsid w:val="00B65E3B"/>
    <w:rsid w:val="00B81808"/>
    <w:rsid w:val="00B86DFA"/>
    <w:rsid w:val="00B8702A"/>
    <w:rsid w:val="00B936D0"/>
    <w:rsid w:val="00BB15FB"/>
    <w:rsid w:val="00BB7C7B"/>
    <w:rsid w:val="00BC6139"/>
    <w:rsid w:val="00BC6F23"/>
    <w:rsid w:val="00BC7B73"/>
    <w:rsid w:val="00BD2313"/>
    <w:rsid w:val="00BD3D5B"/>
    <w:rsid w:val="00BD41F2"/>
    <w:rsid w:val="00BE09DA"/>
    <w:rsid w:val="00BE3600"/>
    <w:rsid w:val="00BE55B5"/>
    <w:rsid w:val="00BF1D9B"/>
    <w:rsid w:val="00BF52DA"/>
    <w:rsid w:val="00C0019E"/>
    <w:rsid w:val="00C01F6F"/>
    <w:rsid w:val="00C041EA"/>
    <w:rsid w:val="00C13BBD"/>
    <w:rsid w:val="00C149AB"/>
    <w:rsid w:val="00C16929"/>
    <w:rsid w:val="00C20690"/>
    <w:rsid w:val="00C277E9"/>
    <w:rsid w:val="00C27ED9"/>
    <w:rsid w:val="00C36020"/>
    <w:rsid w:val="00C40694"/>
    <w:rsid w:val="00C479BF"/>
    <w:rsid w:val="00C5124B"/>
    <w:rsid w:val="00C666AC"/>
    <w:rsid w:val="00C70542"/>
    <w:rsid w:val="00C75CBF"/>
    <w:rsid w:val="00C85409"/>
    <w:rsid w:val="00C920D1"/>
    <w:rsid w:val="00C97E9A"/>
    <w:rsid w:val="00CA5F56"/>
    <w:rsid w:val="00CB0128"/>
    <w:rsid w:val="00CB5EC1"/>
    <w:rsid w:val="00CC10F7"/>
    <w:rsid w:val="00CC2894"/>
    <w:rsid w:val="00CC37C0"/>
    <w:rsid w:val="00CC45FF"/>
    <w:rsid w:val="00CC51BA"/>
    <w:rsid w:val="00CD37C6"/>
    <w:rsid w:val="00CD77C3"/>
    <w:rsid w:val="00CE112C"/>
    <w:rsid w:val="00CF55D4"/>
    <w:rsid w:val="00CF6504"/>
    <w:rsid w:val="00D03623"/>
    <w:rsid w:val="00D10DAA"/>
    <w:rsid w:val="00D11175"/>
    <w:rsid w:val="00D16B87"/>
    <w:rsid w:val="00D16FE2"/>
    <w:rsid w:val="00D41ED6"/>
    <w:rsid w:val="00D51FD0"/>
    <w:rsid w:val="00D608DA"/>
    <w:rsid w:val="00D63EC2"/>
    <w:rsid w:val="00D726D4"/>
    <w:rsid w:val="00D730BF"/>
    <w:rsid w:val="00D852F4"/>
    <w:rsid w:val="00DA1926"/>
    <w:rsid w:val="00DB018C"/>
    <w:rsid w:val="00DB01AD"/>
    <w:rsid w:val="00DB1110"/>
    <w:rsid w:val="00DB2F64"/>
    <w:rsid w:val="00DB3730"/>
    <w:rsid w:val="00DC371B"/>
    <w:rsid w:val="00DC3788"/>
    <w:rsid w:val="00DC76C7"/>
    <w:rsid w:val="00DD09F5"/>
    <w:rsid w:val="00DD0E02"/>
    <w:rsid w:val="00DD4201"/>
    <w:rsid w:val="00DD5E9F"/>
    <w:rsid w:val="00DE437D"/>
    <w:rsid w:val="00DE5711"/>
    <w:rsid w:val="00DF1C32"/>
    <w:rsid w:val="00E00EA0"/>
    <w:rsid w:val="00E021CB"/>
    <w:rsid w:val="00E138F1"/>
    <w:rsid w:val="00E13F5A"/>
    <w:rsid w:val="00E214A3"/>
    <w:rsid w:val="00E2309D"/>
    <w:rsid w:val="00E26758"/>
    <w:rsid w:val="00E40206"/>
    <w:rsid w:val="00E4357B"/>
    <w:rsid w:val="00E443A7"/>
    <w:rsid w:val="00E45904"/>
    <w:rsid w:val="00E471F3"/>
    <w:rsid w:val="00E52784"/>
    <w:rsid w:val="00E53B3B"/>
    <w:rsid w:val="00E54C66"/>
    <w:rsid w:val="00E61258"/>
    <w:rsid w:val="00E63DE5"/>
    <w:rsid w:val="00E63EF6"/>
    <w:rsid w:val="00E647AF"/>
    <w:rsid w:val="00E647C7"/>
    <w:rsid w:val="00E65A37"/>
    <w:rsid w:val="00E65EF7"/>
    <w:rsid w:val="00E76CE5"/>
    <w:rsid w:val="00E773DB"/>
    <w:rsid w:val="00E77B48"/>
    <w:rsid w:val="00E82EE5"/>
    <w:rsid w:val="00E857FB"/>
    <w:rsid w:val="00E86403"/>
    <w:rsid w:val="00E9036E"/>
    <w:rsid w:val="00E91799"/>
    <w:rsid w:val="00E94D27"/>
    <w:rsid w:val="00E97DF8"/>
    <w:rsid w:val="00EA21FE"/>
    <w:rsid w:val="00EA34E3"/>
    <w:rsid w:val="00EB54E4"/>
    <w:rsid w:val="00EB7538"/>
    <w:rsid w:val="00EC1868"/>
    <w:rsid w:val="00EC66C9"/>
    <w:rsid w:val="00ED53D6"/>
    <w:rsid w:val="00EE29C2"/>
    <w:rsid w:val="00EE6468"/>
    <w:rsid w:val="00EF4DF1"/>
    <w:rsid w:val="00EF4EC8"/>
    <w:rsid w:val="00EF6E7D"/>
    <w:rsid w:val="00F1299B"/>
    <w:rsid w:val="00F12AA2"/>
    <w:rsid w:val="00F207A4"/>
    <w:rsid w:val="00F235F1"/>
    <w:rsid w:val="00F2407A"/>
    <w:rsid w:val="00F25173"/>
    <w:rsid w:val="00F355AC"/>
    <w:rsid w:val="00F35A4E"/>
    <w:rsid w:val="00F40CF7"/>
    <w:rsid w:val="00F44194"/>
    <w:rsid w:val="00F45AE2"/>
    <w:rsid w:val="00F52CF4"/>
    <w:rsid w:val="00F53F2F"/>
    <w:rsid w:val="00F62155"/>
    <w:rsid w:val="00F63EDA"/>
    <w:rsid w:val="00F67E43"/>
    <w:rsid w:val="00F71A5A"/>
    <w:rsid w:val="00F73A1A"/>
    <w:rsid w:val="00F769E0"/>
    <w:rsid w:val="00F8193A"/>
    <w:rsid w:val="00F82D25"/>
    <w:rsid w:val="00F84317"/>
    <w:rsid w:val="00F9056B"/>
    <w:rsid w:val="00F95E7B"/>
    <w:rsid w:val="00F9711C"/>
    <w:rsid w:val="00FA2084"/>
    <w:rsid w:val="00FA4A46"/>
    <w:rsid w:val="00FA628D"/>
    <w:rsid w:val="00FA66DE"/>
    <w:rsid w:val="00FA75FE"/>
    <w:rsid w:val="00FB1032"/>
    <w:rsid w:val="00FB39BC"/>
    <w:rsid w:val="00FB3CD3"/>
    <w:rsid w:val="00FB6860"/>
    <w:rsid w:val="00FB6A53"/>
    <w:rsid w:val="00FC11CA"/>
    <w:rsid w:val="00FC6BDE"/>
    <w:rsid w:val="00FD2072"/>
    <w:rsid w:val="00FD711C"/>
    <w:rsid w:val="00FE04D0"/>
    <w:rsid w:val="00FE232A"/>
    <w:rsid w:val="00FF0D7F"/>
    <w:rsid w:val="00FF1ED4"/>
    <w:rsid w:val="00FF6138"/>
    <w:rsid w:val="00FF71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0413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BB7C7B"/>
    <w:rPr>
      <w:sz w:val="24"/>
      <w:szCs w:val="24"/>
    </w:rPr>
  </w:style>
  <w:style w:type="character" w:styleId="CommentReference">
    <w:name w:val="annotation reference"/>
    <w:basedOn w:val="DefaultParagraphFont"/>
    <w:rsid w:val="00E214A3"/>
    <w:rPr>
      <w:sz w:val="16"/>
      <w:szCs w:val="16"/>
    </w:rPr>
  </w:style>
  <w:style w:type="paragraph" w:styleId="CommentText">
    <w:name w:val="annotation text"/>
    <w:basedOn w:val="Normal"/>
    <w:link w:val="CommentTextChar"/>
    <w:rsid w:val="00E214A3"/>
    <w:rPr>
      <w:sz w:val="20"/>
      <w:szCs w:val="20"/>
    </w:rPr>
  </w:style>
  <w:style w:type="character" w:customStyle="1" w:styleId="CommentTextChar">
    <w:name w:val="Comment Text Char"/>
    <w:basedOn w:val="DefaultParagraphFont"/>
    <w:link w:val="CommentText"/>
    <w:rsid w:val="00E214A3"/>
  </w:style>
  <w:style w:type="paragraph" w:styleId="CommentSubject">
    <w:name w:val="annotation subject"/>
    <w:basedOn w:val="CommentText"/>
    <w:next w:val="CommentText"/>
    <w:link w:val="CommentSubjectChar"/>
    <w:rsid w:val="00E214A3"/>
    <w:rPr>
      <w:b/>
      <w:bCs/>
    </w:rPr>
  </w:style>
  <w:style w:type="character" w:customStyle="1" w:styleId="CommentSubjectChar">
    <w:name w:val="Comment Subject Char"/>
    <w:basedOn w:val="CommentTextChar"/>
    <w:link w:val="CommentSubject"/>
    <w:rsid w:val="00E21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industry/small-business-assistance/" TargetMode="External" /><Relationship Id="rId5" Type="http://schemas.openxmlformats.org/officeDocument/2006/relationships/hyperlink" Target="https://www.fda.gov/about-fda/reports/economic-impact-analyses-fda-regulations"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1699</Words>
  <Characters>9869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2025-01-16T21:37:00Z</dcterms:created>
  <dcterms:modified xsi:type="dcterms:W3CDTF">2025-01-16T21:37:00Z</dcterms:modified>
</cp:coreProperties>
</file>