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E47" w:rsidRPr="00E1609F" w:rsidP="00A87C35" w14:paraId="5E9F8C1E" w14:textId="77777777">
      <w:pPr>
        <w:pStyle w:val="BodyText"/>
        <w:jc w:val="center"/>
        <w:rPr>
          <w:spacing w:val="-2"/>
        </w:rPr>
      </w:pPr>
      <w:r>
        <w:t>UNITED</w:t>
      </w:r>
      <w:r>
        <w:rPr>
          <w:spacing w:val="-9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:rsidR="0067194A" w:rsidRPr="00E1609F" w:rsidP="00A87C35" w14:paraId="0E662CB0" w14:textId="77777777">
      <w:pPr>
        <w:pStyle w:val="BodyText"/>
        <w:jc w:val="center"/>
        <w:rPr>
          <w:spacing w:val="-2"/>
        </w:rPr>
      </w:pPr>
    </w:p>
    <w:p w:rsidR="0067194A" w:rsidP="00A87C35" w14:paraId="4CE52E45" w14:textId="12A96892">
      <w:pPr>
        <w:pStyle w:val="BodyText"/>
      </w:pPr>
      <w:r>
        <w:t xml:space="preserve">                                       </w:t>
      </w:r>
      <w:r w:rsidR="00227A59">
        <w:t>Tropical</w:t>
      </w:r>
      <w:r w:rsidR="00227A59">
        <w:rPr>
          <w:spacing w:val="-15"/>
        </w:rPr>
        <w:t xml:space="preserve"> </w:t>
      </w:r>
      <w:r w:rsidR="00227A59">
        <w:t>Disease</w:t>
      </w:r>
      <w:r w:rsidR="00227A59">
        <w:rPr>
          <w:spacing w:val="-15"/>
        </w:rPr>
        <w:t xml:space="preserve"> </w:t>
      </w:r>
      <w:r w:rsidR="00227A59">
        <w:t>Priority</w:t>
      </w:r>
      <w:r w:rsidR="00227A59">
        <w:rPr>
          <w:spacing w:val="-15"/>
        </w:rPr>
        <w:t xml:space="preserve"> </w:t>
      </w:r>
      <w:r w:rsidR="00227A59">
        <w:t>Review</w:t>
      </w:r>
      <w:r w:rsidR="00227A59">
        <w:rPr>
          <w:spacing w:val="-15"/>
        </w:rPr>
        <w:t xml:space="preserve"> </w:t>
      </w:r>
      <w:r w:rsidR="00227A59">
        <w:t>Vouchers</w:t>
      </w:r>
    </w:p>
    <w:p w:rsidR="00A87C35" w:rsidP="00A87C35" w14:paraId="34D435A5" w14:textId="77777777">
      <w:pPr>
        <w:pStyle w:val="BodyText"/>
      </w:pPr>
    </w:p>
    <w:p w:rsidR="00DF5E47" w:rsidRPr="00A87C35" w:rsidP="00A87C35" w14:paraId="5E9F8C20" w14:textId="5D3FFE80">
      <w:pPr>
        <w:pStyle w:val="BodyText"/>
        <w:rPr>
          <w:u w:val="single"/>
        </w:rPr>
      </w:pPr>
      <w:r>
        <w:t xml:space="preserve">                                   </w:t>
      </w:r>
      <w:r w:rsidRPr="00A87C35" w:rsidR="00227A59">
        <w:rPr>
          <w:u w:val="single"/>
        </w:rPr>
        <w:t>OMB Control No. 0910-0822</w:t>
      </w:r>
      <w:r w:rsidRPr="00A87C35">
        <w:rPr>
          <w:u w:val="single"/>
        </w:rPr>
        <w:t xml:space="preserve"> – EXTENSION</w:t>
      </w:r>
    </w:p>
    <w:p w:rsidR="00A87C35" w:rsidP="00A87C35" w14:paraId="5D6E611C" w14:textId="77777777">
      <w:pPr>
        <w:pStyle w:val="BodyText"/>
        <w:jc w:val="center"/>
      </w:pPr>
      <w:r>
        <w:t xml:space="preserve">                                 </w:t>
      </w:r>
    </w:p>
    <w:p w:rsidR="00DF5E47" w:rsidRPr="000014C9" w:rsidP="00A87C35" w14:paraId="5E9F8C23" w14:textId="4FA3E3FE">
      <w:pPr>
        <w:pStyle w:val="BodyText"/>
        <w:jc w:val="center"/>
      </w:pPr>
      <w:r>
        <w:t>SUPPORTING STATEMENT</w:t>
      </w:r>
    </w:p>
    <w:p w:rsidR="00DF5E47" w:rsidP="00A87C35" w14:paraId="5E9F8C24" w14:textId="77777777">
      <w:pPr>
        <w:pStyle w:val="BodyText"/>
        <w:rPr>
          <w:b/>
          <w:i/>
        </w:rPr>
      </w:pPr>
    </w:p>
    <w:p w:rsidR="00DF5E47" w:rsidP="00A87C35" w14:paraId="5E9F8C25" w14:textId="1438017E">
      <w:pPr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pacing w:val="50"/>
          <w:sz w:val="24"/>
        </w:rPr>
        <w:t xml:space="preserve"> </w:t>
      </w:r>
      <w:r>
        <w:rPr>
          <w:b/>
          <w:spacing w:val="-2"/>
          <w:sz w:val="24"/>
        </w:rPr>
        <w:t>Justification</w:t>
      </w:r>
    </w:p>
    <w:p w:rsidR="00DF5E47" w:rsidP="00A87C35" w14:paraId="5E9F8C26" w14:textId="77777777">
      <w:pPr>
        <w:pStyle w:val="BodyText"/>
        <w:rPr>
          <w:b/>
        </w:rPr>
      </w:pPr>
    </w:p>
    <w:p w:rsidR="00DF5E47" w:rsidP="00903CB1" w14:paraId="5E9F8C27" w14:textId="77777777">
      <w:pPr>
        <w:pStyle w:val="ListParagraph"/>
        <w:numPr>
          <w:ilvl w:val="0"/>
          <w:numId w:val="1"/>
        </w:numPr>
        <w:ind w:left="0" w:hanging="86"/>
        <w:rPr>
          <w:sz w:val="24"/>
          <w:u w:val="none"/>
        </w:rPr>
      </w:pPr>
      <w:r>
        <w:rPr>
          <w:sz w:val="24"/>
        </w:rPr>
        <w:t>Circumstances</w:t>
      </w:r>
      <w:r>
        <w:rPr>
          <w:spacing w:val="-11"/>
          <w:sz w:val="24"/>
        </w:rPr>
        <w:t xml:space="preserve"> </w:t>
      </w:r>
      <w:r>
        <w:rPr>
          <w:sz w:val="24"/>
        </w:rPr>
        <w:t>Making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Collection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Necessary</w:t>
      </w:r>
    </w:p>
    <w:p w:rsidR="00DF5E47" w:rsidP="00A87C35" w14:paraId="5E9F8C28" w14:textId="77777777">
      <w:pPr>
        <w:pStyle w:val="BodyText"/>
      </w:pPr>
    </w:p>
    <w:p w:rsidR="00146B17" w:rsidRPr="00146B17" w:rsidP="00A87C35" w14:paraId="4A85F321" w14:textId="6770F585">
      <w:pPr>
        <w:pStyle w:val="BodyText"/>
      </w:pPr>
      <w:r>
        <w:t xml:space="preserve">This information collection supports </w:t>
      </w:r>
      <w:r w:rsidR="000014C9">
        <w:t xml:space="preserve">implementation of </w:t>
      </w:r>
      <w:r>
        <w:t>Food and Drug Administration (FDA) guidance.</w:t>
      </w:r>
      <w:r w:rsidR="000014C9">
        <w:t xml:space="preserve">  </w:t>
      </w:r>
      <w:r>
        <w:t>Section 1102 of the Food and Drug Administration Amendments Act (FDAAA) added section</w:t>
      </w:r>
      <w:r w:rsidR="000014C9">
        <w:rPr>
          <w:spacing w:val="40"/>
        </w:rPr>
        <w:t xml:space="preserve"> </w:t>
      </w:r>
      <w:r>
        <w:t>524 to the Federal Food, Drug, and Cosmetic Act (the FD&amp;C Act)</w:t>
      </w:r>
      <w:r w:rsidR="000014C9">
        <w:t xml:space="preserve"> </w:t>
      </w:r>
      <w:r>
        <w:t>to encourage development of new drug or biological products for the prevention</w:t>
      </w:r>
      <w:r>
        <w:rPr>
          <w:spacing w:val="-8"/>
        </w:rPr>
        <w:t xml:space="preserve"> </w:t>
      </w:r>
      <w:r w:rsidR="003A215E">
        <w:t>or</w:t>
      </w:r>
      <w:r>
        <w:rPr>
          <w:spacing w:val="-8"/>
        </w:rPr>
        <w:t xml:space="preserve"> </w:t>
      </w:r>
      <w:r>
        <w:t>treatment</w:t>
      </w:r>
      <w:r>
        <w:rPr>
          <w:spacing w:val="2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tropical</w:t>
      </w:r>
      <w:r>
        <w:rPr>
          <w:spacing w:val="-8"/>
        </w:rPr>
        <w:t xml:space="preserve"> </w:t>
      </w:r>
      <w:r>
        <w:t>diseases</w:t>
      </w:r>
      <w:r>
        <w:rPr>
          <w:spacing w:val="-8"/>
        </w:rPr>
        <w:t xml:space="preserve"> </w:t>
      </w:r>
      <w:r>
        <w:t>affecting</w:t>
      </w:r>
      <w:r>
        <w:rPr>
          <w:spacing w:val="-10"/>
        </w:rPr>
        <w:t xml:space="preserve"> </w:t>
      </w:r>
      <w:r>
        <w:t>millions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throughout the world.</w:t>
      </w:r>
      <w:r w:rsidR="000014C9">
        <w:rPr>
          <w:spacing w:val="40"/>
        </w:rPr>
        <w:t xml:space="preserve">  </w:t>
      </w:r>
      <w:r>
        <w:t>Section 524</w:t>
      </w:r>
      <w:r>
        <w:rPr>
          <w:spacing w:val="40"/>
        </w:rPr>
        <w:t xml:space="preserve"> </w:t>
      </w:r>
      <w:r>
        <w:t xml:space="preserve">makes provisions for awarding </w:t>
      </w:r>
      <w:r w:rsidR="000F6B3E">
        <w:t xml:space="preserve">a </w:t>
      </w:r>
      <w:r>
        <w:t>priority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voucher</w:t>
      </w:r>
      <w:r>
        <w:rPr>
          <w:spacing w:val="-2"/>
        </w:rPr>
        <w:t xml:space="preserve"> </w:t>
      </w:r>
      <w:r>
        <w:t>(PRV)</w:t>
      </w:r>
      <w:r>
        <w:rPr>
          <w:spacing w:val="-3"/>
        </w:rPr>
        <w:t xml:space="preserve"> </w:t>
      </w:r>
      <w:r w:rsidRPr="000014C9" w:rsidR="0059528C">
        <w:rPr>
          <w:spacing w:val="-3"/>
        </w:rPr>
        <w:t xml:space="preserve">to sponsors of </w:t>
      </w:r>
      <w:r w:rsidR="00EF6FE7">
        <w:rPr>
          <w:spacing w:val="-3"/>
        </w:rPr>
        <w:t xml:space="preserve">product </w:t>
      </w:r>
      <w:r>
        <w:t xml:space="preserve">applications </w:t>
      </w:r>
      <w:r w:rsidR="00EF6FE7">
        <w:t xml:space="preserve">for the prevention </w:t>
      </w:r>
      <w:r w:rsidR="00AD0EB2">
        <w:t>or</w:t>
      </w:r>
      <w:r w:rsidR="00EF6FE7">
        <w:t xml:space="preserve"> treatment of certain </w:t>
      </w:r>
      <w:r>
        <w:t>tropical disease</w:t>
      </w:r>
      <w:r w:rsidR="00EF6FE7">
        <w:t>s</w:t>
      </w:r>
      <w:r>
        <w:t>.</w:t>
      </w:r>
      <w:r w:rsidR="000014C9">
        <w:t xml:space="preserve">  </w:t>
      </w:r>
      <w:r w:rsidRPr="00146B17">
        <w:t>Section 524 of the FD&amp;C Act serves</w:t>
      </w:r>
      <w:r w:rsidRPr="000014C9">
        <w:t xml:space="preserve"> </w:t>
      </w:r>
      <w:r w:rsidRPr="00146B17">
        <w:t>to</w:t>
      </w:r>
      <w:r w:rsidRPr="000014C9">
        <w:t xml:space="preserve"> </w:t>
      </w:r>
      <w:r w:rsidRPr="00146B17">
        <w:t>stimulate</w:t>
      </w:r>
      <w:r w:rsidRPr="000014C9">
        <w:t xml:space="preserve"> </w:t>
      </w:r>
      <w:r w:rsidRPr="00146B17">
        <w:t>new</w:t>
      </w:r>
      <w:r w:rsidRPr="000014C9">
        <w:t xml:space="preserve"> </w:t>
      </w:r>
      <w:r w:rsidRPr="00146B17">
        <w:t>drug</w:t>
      </w:r>
      <w:r w:rsidRPr="000014C9">
        <w:t xml:space="preserve"> </w:t>
      </w:r>
      <w:r w:rsidRPr="00146B17">
        <w:t>development</w:t>
      </w:r>
      <w:r w:rsidRPr="000014C9">
        <w:t xml:space="preserve"> </w:t>
      </w:r>
      <w:r w:rsidRPr="00146B17">
        <w:t>for</w:t>
      </w:r>
      <w:r w:rsidRPr="000014C9">
        <w:t xml:space="preserve"> </w:t>
      </w:r>
      <w:r w:rsidRPr="00146B17">
        <w:t>drugs</w:t>
      </w:r>
      <w:r w:rsidRPr="000014C9">
        <w:t xml:space="preserve"> </w:t>
      </w:r>
      <w:r w:rsidRPr="00146B17">
        <w:t xml:space="preserve">to </w:t>
      </w:r>
      <w:r w:rsidR="00EF0075">
        <w:t xml:space="preserve">prevent or </w:t>
      </w:r>
      <w:r w:rsidRPr="00146B17">
        <w:t>treat a “</w:t>
      </w:r>
      <w:r w:rsidRPr="000014C9">
        <w:rPr>
          <w:i/>
          <w:iCs/>
        </w:rPr>
        <w:t>tropical disease</w:t>
      </w:r>
      <w:r w:rsidRPr="00146B17">
        <w:t>” (as defined in section 524(a)(3)) by offering additional incentives for obtaining FDA approval for pharmaceutical treatments for these diseases.</w:t>
      </w:r>
      <w:r w:rsidR="000014C9">
        <w:t xml:space="preserve">  </w:t>
      </w:r>
      <w:r w:rsidRPr="00146B17">
        <w:t>Under section 524 of the FD&amp;C Act, a sponsor</w:t>
      </w:r>
      <w:r w:rsidRPr="000014C9">
        <w:t xml:space="preserve"> </w:t>
      </w:r>
      <w:r w:rsidRPr="00146B17">
        <w:t>of a “</w:t>
      </w:r>
      <w:r w:rsidRPr="000014C9">
        <w:rPr>
          <w:i/>
          <w:iCs/>
        </w:rPr>
        <w:t>tropical disease product application</w:t>
      </w:r>
      <w:r w:rsidRPr="00146B17">
        <w:t>,” as defined in section 524(a)(4), may be eligible for a voucher that</w:t>
      </w:r>
      <w:r w:rsidRPr="000014C9">
        <w:t xml:space="preserve"> </w:t>
      </w:r>
      <w:r w:rsidRPr="00146B17">
        <w:t>can be used to obtain a priority review for any other application</w:t>
      </w:r>
      <w:r w:rsidRPr="000014C9">
        <w:t xml:space="preserve"> </w:t>
      </w:r>
      <w:r w:rsidRPr="00146B17">
        <w:t>submitted</w:t>
      </w:r>
      <w:r w:rsidRPr="000014C9">
        <w:t xml:space="preserve"> </w:t>
      </w:r>
      <w:r w:rsidRPr="00146B17">
        <w:t>under</w:t>
      </w:r>
      <w:r w:rsidRPr="000014C9">
        <w:t xml:space="preserve"> </w:t>
      </w:r>
      <w:r w:rsidRPr="00146B17">
        <w:t>section</w:t>
      </w:r>
      <w:r w:rsidRPr="000014C9">
        <w:t xml:space="preserve"> </w:t>
      </w:r>
      <w:r w:rsidRPr="00146B17">
        <w:t>505(b)(1)</w:t>
      </w:r>
      <w:r w:rsidRPr="000014C9">
        <w:t xml:space="preserve"> </w:t>
      </w:r>
      <w:r w:rsidRPr="00146B17">
        <w:t>of</w:t>
      </w:r>
      <w:r w:rsidRPr="000014C9">
        <w:t xml:space="preserve"> </w:t>
      </w:r>
      <w:r w:rsidRPr="00146B17">
        <w:t>the</w:t>
      </w:r>
      <w:r w:rsidRPr="000014C9">
        <w:t xml:space="preserve"> </w:t>
      </w:r>
      <w:r w:rsidRPr="00146B17">
        <w:t>FD&amp;C</w:t>
      </w:r>
      <w:r w:rsidRPr="000014C9">
        <w:t xml:space="preserve"> </w:t>
      </w:r>
      <w:r w:rsidRPr="00146B17">
        <w:t>Act</w:t>
      </w:r>
      <w:r w:rsidRPr="000014C9">
        <w:t xml:space="preserve"> </w:t>
      </w:r>
      <w:r w:rsidRPr="00146B17">
        <w:t>(21 U.S.C. 355(b)(1)) or</w:t>
      </w:r>
      <w:r w:rsidRPr="000014C9">
        <w:t xml:space="preserve"> </w:t>
      </w:r>
      <w:r w:rsidRPr="00146B17">
        <w:t>section</w:t>
      </w:r>
      <w:r w:rsidRPr="000014C9">
        <w:t xml:space="preserve"> </w:t>
      </w:r>
      <w:r w:rsidRPr="00146B17">
        <w:t>351</w:t>
      </w:r>
      <w:r w:rsidRPr="000014C9">
        <w:t xml:space="preserve"> </w:t>
      </w:r>
      <w:r w:rsidRPr="00146B17">
        <w:t>of</w:t>
      </w:r>
      <w:r w:rsidRPr="000014C9">
        <w:t xml:space="preserve"> </w:t>
      </w:r>
      <w:r w:rsidRPr="00146B17">
        <w:t>the</w:t>
      </w:r>
      <w:r w:rsidRPr="000014C9">
        <w:t xml:space="preserve"> </w:t>
      </w:r>
      <w:r w:rsidRPr="00146B17">
        <w:t>Public Health Service Act (PHS Act).</w:t>
      </w:r>
    </w:p>
    <w:p w:rsidR="00146B17" w:rsidP="00A87C35" w14:paraId="2F05DFF7" w14:textId="691539FB">
      <w:pPr>
        <w:pStyle w:val="BodyText"/>
      </w:pPr>
    </w:p>
    <w:p w:rsidR="00146B17" w:rsidP="00A87C35" w14:paraId="0C3E3F6F" w14:textId="4F5C090E">
      <w:pPr>
        <w:pStyle w:val="BodyText"/>
      </w:pPr>
      <w:r w:rsidRPr="00146B17">
        <w:t xml:space="preserve">Accordingly, we have developed the </w:t>
      </w:r>
      <w:r w:rsidR="000014C9">
        <w:t xml:space="preserve">procedural </w:t>
      </w:r>
      <w:r w:rsidRPr="00146B17">
        <w:t xml:space="preserve">guidance </w:t>
      </w:r>
      <w:r w:rsidR="000014C9">
        <w:t xml:space="preserve">document </w:t>
      </w:r>
      <w:r w:rsidRPr="00146B17">
        <w:t>entitled “</w:t>
      </w:r>
      <w:r w:rsidRPr="000014C9">
        <w:rPr>
          <w:i/>
          <w:iCs/>
        </w:rPr>
        <w:t xml:space="preserve">Tropical Disease Priority Review Vouchers” </w:t>
      </w:r>
      <w:r w:rsidRPr="00146B17">
        <w:t>(</w:t>
      </w:r>
      <w:r w:rsidR="000014C9">
        <w:t xml:space="preserve">October 2016), </w:t>
      </w:r>
      <w:r w:rsidRPr="00146B17">
        <w:t xml:space="preserve">available </w:t>
      </w:r>
      <w:r w:rsidR="00B1734A">
        <w:t xml:space="preserve">for download from our website </w:t>
      </w:r>
      <w:r w:rsidRPr="00146B17">
        <w:t>at</w:t>
      </w:r>
      <w:r w:rsidR="000014C9">
        <w:t xml:space="preserve"> </w:t>
      </w:r>
      <w:hyperlink r:id="rId4" w:history="1">
        <w:r w:rsidRPr="007A2B36" w:rsidR="000014C9">
          <w:rPr>
            <w:rStyle w:val="Hyperlink"/>
          </w:rPr>
          <w:t>https://www.fda.gov/media/72569/download</w:t>
        </w:r>
      </w:hyperlink>
      <w:r w:rsidRPr="00146B17">
        <w:t xml:space="preserve">). </w:t>
      </w:r>
      <w:r w:rsidRPr="000014C9">
        <w:t xml:space="preserve"> </w:t>
      </w:r>
      <w:r w:rsidRPr="00146B17">
        <w:t xml:space="preserve">The guidance </w:t>
      </w:r>
      <w:r w:rsidR="00903CB1">
        <w:t xml:space="preserve">document </w:t>
      </w:r>
      <w:r w:rsidRPr="00146B17">
        <w:t>explains</w:t>
      </w:r>
      <w:r w:rsidRPr="000014C9">
        <w:t xml:space="preserve"> </w:t>
      </w:r>
      <w:r w:rsidRPr="00146B17">
        <w:t xml:space="preserve">how FDA implements provisions of section 524 of the FD&amp;C Act and how sponsors may qualify for a </w:t>
      </w:r>
      <w:r w:rsidR="001F536B">
        <w:t xml:space="preserve">tropical disease </w:t>
      </w:r>
      <w:r w:rsidR="000F6B3E">
        <w:t>PRV</w:t>
      </w:r>
      <w:r w:rsidRPr="00146B17">
        <w:t xml:space="preserve"> based on eligibility criteria set forth in the statute, how to use </w:t>
      </w:r>
      <w:r w:rsidR="000F6B3E">
        <w:t>PRVs</w:t>
      </w:r>
      <w:r w:rsidRPr="00146B17">
        <w:t xml:space="preserve">, and how </w:t>
      </w:r>
      <w:r w:rsidR="00E14C51">
        <w:t xml:space="preserve">PRVs </w:t>
      </w:r>
      <w:r w:rsidRPr="00146B17">
        <w:t>may be transferred to other sponsors</w:t>
      </w:r>
      <w:bookmarkStart w:id="0" w:name="_Hlk78297815"/>
      <w:r w:rsidR="000014C9">
        <w:t xml:space="preserve">.  </w:t>
      </w:r>
      <w:r w:rsidRPr="00146B17">
        <w:t>The guidance</w:t>
      </w:r>
      <w:r w:rsidR="00903CB1">
        <w:t xml:space="preserve"> document</w:t>
      </w:r>
      <w:r w:rsidRPr="00146B17">
        <w:t xml:space="preserve"> also communicates that</w:t>
      </w:r>
      <w:r w:rsidR="000014C9">
        <w:t xml:space="preserve"> </w:t>
      </w:r>
      <w:r w:rsidR="00903CB1">
        <w:t xml:space="preserve">section </w:t>
      </w:r>
      <w:r w:rsidRPr="00146B17">
        <w:t xml:space="preserve">524 requires attestation by the sponsor of eligibility for a </w:t>
      </w:r>
      <w:r w:rsidR="00E14C51">
        <w:t xml:space="preserve">PRV </w:t>
      </w:r>
      <w:r w:rsidRPr="00146B17">
        <w:t>upon submission of the marketing application.</w:t>
      </w:r>
    </w:p>
    <w:p w:rsidR="00B4162C" w:rsidRPr="00146B17" w:rsidP="00A87C35" w14:paraId="518963B5" w14:textId="77777777">
      <w:pPr>
        <w:pStyle w:val="BodyText"/>
        <w:ind w:right="466"/>
      </w:pPr>
    </w:p>
    <w:bookmarkEnd w:id="0"/>
    <w:p w:rsidR="00DF5E47" w:rsidP="00A87C35" w14:paraId="5E9F8C30" w14:textId="4845FA3F">
      <w:pPr>
        <w:pStyle w:val="BodyText"/>
        <w:spacing w:before="79"/>
        <w:ind w:right="565"/>
      </w:pPr>
      <w:r>
        <w:t xml:space="preserve">We therefore </w:t>
      </w:r>
      <w:r w:rsidR="00E90021">
        <w:t>request</w:t>
      </w:r>
      <w:r w:rsidRPr="000014C9" w:rsidR="00E90021">
        <w:t xml:space="preserve"> </w:t>
      </w:r>
      <w:r w:rsidR="00227A59">
        <w:t>approval</w:t>
      </w:r>
      <w:r w:rsidR="00227A59">
        <w:rPr>
          <w:spacing w:val="-8"/>
        </w:rPr>
        <w:t xml:space="preserve"> </w:t>
      </w:r>
      <w:r>
        <w:rPr>
          <w:spacing w:val="-8"/>
        </w:rPr>
        <w:t>of</w:t>
      </w:r>
      <w:r w:rsidR="00227A59">
        <w:rPr>
          <w:spacing w:val="-10"/>
        </w:rPr>
        <w:t xml:space="preserve"> </w:t>
      </w:r>
      <w:r w:rsidR="00227A59">
        <w:t>the</w:t>
      </w:r>
      <w:r w:rsidR="00227A59">
        <w:rPr>
          <w:spacing w:val="-10"/>
        </w:rPr>
        <w:t xml:space="preserve"> </w:t>
      </w:r>
      <w:r w:rsidR="00227A59">
        <w:t>information</w:t>
      </w:r>
      <w:r w:rsidR="00227A59">
        <w:rPr>
          <w:spacing w:val="-6"/>
        </w:rPr>
        <w:t xml:space="preserve"> </w:t>
      </w:r>
      <w:r w:rsidR="00227A59">
        <w:t>collection</w:t>
      </w:r>
      <w:r w:rsidR="00227A59">
        <w:rPr>
          <w:spacing w:val="-6"/>
        </w:rPr>
        <w:t xml:space="preserve"> </w:t>
      </w:r>
      <w:r w:rsidR="00227A59">
        <w:t xml:space="preserve">provisions </w:t>
      </w:r>
      <w:r w:rsidR="000014C9">
        <w:t xml:space="preserve">established in </w:t>
      </w:r>
      <w:r w:rsidR="00227A59">
        <w:t>section 524 of the FD&amp;C Act</w:t>
      </w:r>
      <w:r w:rsidR="000014C9">
        <w:t xml:space="preserve">, as </w:t>
      </w:r>
      <w:r>
        <w:t xml:space="preserve">discussed and implemented in </w:t>
      </w:r>
      <w:r w:rsidR="00227A59">
        <w:t>the associated agency guidance.</w:t>
      </w:r>
    </w:p>
    <w:p w:rsidR="00DF5E47" w:rsidP="00A87C35" w14:paraId="5E9F8C31" w14:textId="77777777">
      <w:pPr>
        <w:pStyle w:val="BodyText"/>
      </w:pPr>
    </w:p>
    <w:p w:rsidR="00DF5E47" w:rsidP="00A87C35" w14:paraId="5E9F8C32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Collection</w:t>
      </w:r>
    </w:p>
    <w:p w:rsidR="00DF5E47" w:rsidP="00A87C35" w14:paraId="5E9F8C33" w14:textId="77777777">
      <w:pPr>
        <w:pStyle w:val="BodyText"/>
      </w:pPr>
    </w:p>
    <w:p w:rsidR="000014C9" w:rsidP="00A87C35" w14:paraId="775BA5E9" w14:textId="77777777">
      <w:pPr>
        <w:pStyle w:val="BodyText"/>
        <w:ind w:right="565"/>
      </w:pPr>
      <w:r w:rsidRPr="000014C9">
        <w:rPr>
          <w:i/>
        </w:rPr>
        <w:t>Description of Respondents</w:t>
      </w:r>
      <w:r w:rsidRPr="000014C9">
        <w:t>: Sponsors submitting certain eligible tropical disease product applications under section 505(b)(1) of the FD&amp;C Act or section 351 of the PHS Act.</w:t>
      </w:r>
    </w:p>
    <w:p w:rsidR="000014C9" w:rsidP="00A87C35" w14:paraId="12B809ED" w14:textId="77777777">
      <w:pPr>
        <w:pStyle w:val="BodyText"/>
        <w:ind w:right="565"/>
      </w:pPr>
    </w:p>
    <w:p w:rsidR="00DF5E47" w:rsidP="00A87C35" w14:paraId="5E9F8C34" w14:textId="11F8D961">
      <w:pPr>
        <w:pStyle w:val="BodyText"/>
        <w:ind w:right="565"/>
      </w:pPr>
      <w:r>
        <w:t>The</w:t>
      </w:r>
      <w:r>
        <w:rPr>
          <w:spacing w:val="-8"/>
        </w:rPr>
        <w:t xml:space="preserve"> </w:t>
      </w:r>
      <w:r w:rsidR="00F875F6">
        <w:t>PRV</w:t>
      </w:r>
      <w:r w:rsidRPr="000014C9" w:rsidR="00F875F6">
        <w:t xml:space="preserve"> </w:t>
      </w:r>
      <w:r>
        <w:t>program</w:t>
      </w:r>
      <w:r>
        <w:rPr>
          <w:spacing w:val="-9"/>
        </w:rPr>
        <w:t xml:space="preserve"> </w:t>
      </w:r>
      <w:r>
        <w:t>enables</w:t>
      </w:r>
      <w:r>
        <w:rPr>
          <w:spacing w:val="-7"/>
        </w:rPr>
        <w:t xml:space="preserve"> </w:t>
      </w:r>
      <w:r>
        <w:t>sponsors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FDA-regulated</w:t>
      </w:r>
      <w:r>
        <w:rPr>
          <w:spacing w:val="-10"/>
        </w:rPr>
        <w:t xml:space="preserve"> </w:t>
      </w:r>
      <w:r>
        <w:t>tropical</w:t>
      </w:r>
      <w:r>
        <w:rPr>
          <w:spacing w:val="-9"/>
        </w:rPr>
        <w:t xml:space="preserve"> </w:t>
      </w:r>
      <w:r>
        <w:t>disease product applications to seek</w:t>
      </w:r>
      <w:r>
        <w:rPr>
          <w:spacing w:val="40"/>
        </w:rPr>
        <w:t xml:space="preserve"> </w:t>
      </w:r>
      <w:r>
        <w:t xml:space="preserve">expedited or priority review of applications submitted in accordance </w:t>
      </w:r>
      <w:r>
        <w:t>with the statute.</w:t>
      </w:r>
    </w:p>
    <w:p w:rsidR="00DF5E47" w:rsidP="00A87C35" w14:paraId="5E9F8C35" w14:textId="1494716E">
      <w:pPr>
        <w:pStyle w:val="BodyText"/>
      </w:pPr>
    </w:p>
    <w:p w:rsidR="00DF5E47" w:rsidP="00A87C35" w14:paraId="5E9F8C38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Improved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Reduction</w:t>
      </w:r>
    </w:p>
    <w:p w:rsidR="00DF5E47" w:rsidP="00A87C35" w14:paraId="5E9F8C39" w14:textId="344D1074">
      <w:pPr>
        <w:pStyle w:val="BodyText"/>
        <w:spacing w:before="274"/>
        <w:ind w:right="565"/>
      </w:pPr>
      <w:r>
        <w:t xml:space="preserve">To assist respondents with requests for </w:t>
      </w:r>
      <w:r w:rsidR="00E461B6">
        <w:t>PRVs</w:t>
      </w:r>
      <w:r>
        <w:t xml:space="preserve">, we have provided </w:t>
      </w:r>
      <w:r w:rsidR="00DF3D6F">
        <w:t xml:space="preserve">procedural </w:t>
      </w:r>
      <w:r>
        <w:t xml:space="preserve">agency guidance. </w:t>
      </w:r>
      <w:r w:rsidR="00B4162C">
        <w:t xml:space="preserve"> </w:t>
      </w:r>
      <w:r w:rsidR="00DF3D6F">
        <w:t xml:space="preserve">Information is submitted electronically in conjunction with drug product marketing applications.  </w:t>
      </w:r>
      <w:r>
        <w:t>Our guidance documents, along with other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website,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 xml:space="preserve">application-related </w:t>
      </w:r>
      <w:r>
        <w:rPr>
          <w:spacing w:val="-2"/>
        </w:rPr>
        <w:t>submissions.</w:t>
      </w:r>
    </w:p>
    <w:p w:rsidR="00DF5E47" w:rsidP="00A87C35" w14:paraId="5E9F8C3A" w14:textId="77777777">
      <w:pPr>
        <w:pStyle w:val="BodyText"/>
      </w:pPr>
    </w:p>
    <w:p w:rsidR="00DF5E47" w:rsidP="00A87C35" w14:paraId="5E9F8C3B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Duplication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Similar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Information</w:t>
      </w:r>
    </w:p>
    <w:p w:rsidR="00DF5E47" w:rsidP="00A87C35" w14:paraId="5E9F8C3C" w14:textId="77777777">
      <w:pPr>
        <w:pStyle w:val="BodyText"/>
      </w:pPr>
    </w:p>
    <w:p w:rsidR="00DF5E47" w:rsidP="00A87C35" w14:paraId="5E9F8C3D" w14:textId="77777777">
      <w:pPr>
        <w:pStyle w:val="BodyText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duplicative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collection.</w:t>
      </w:r>
    </w:p>
    <w:p w:rsidR="00DF5E47" w:rsidP="00A87C35" w14:paraId="5E9F8C3E" w14:textId="77777777">
      <w:pPr>
        <w:pStyle w:val="BodyText"/>
      </w:pPr>
    </w:p>
    <w:p w:rsidR="00DF5E47" w:rsidP="00A87C35" w14:paraId="5E9F8C3F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Entities</w:t>
      </w:r>
    </w:p>
    <w:p w:rsidR="00DF5E47" w:rsidP="00A87C35" w14:paraId="5E9F8C40" w14:textId="36D0FF3E">
      <w:pPr>
        <w:pStyle w:val="BodyText"/>
        <w:spacing w:before="274"/>
        <w:ind w:right="565"/>
      </w:pPr>
      <w:r>
        <w:t xml:space="preserve">FDA believes the </w:t>
      </w:r>
      <w:r w:rsidR="00227A59">
        <w:t>information collection poses no undue burden on small entities.</w:t>
      </w:r>
      <w:r w:rsidR="00227A59">
        <w:rPr>
          <w:spacing w:val="40"/>
        </w:rPr>
        <w:t xml:space="preserve"> </w:t>
      </w:r>
      <w:r w:rsidR="00227A59">
        <w:t>Rather, it provides a pathway</w:t>
      </w:r>
      <w:r w:rsidR="00227A59">
        <w:rPr>
          <w:spacing w:val="-4"/>
        </w:rPr>
        <w:t xml:space="preserve"> </w:t>
      </w:r>
      <w:r w:rsidR="00227A59">
        <w:t>for</w:t>
      </w:r>
      <w:r w:rsidR="00227A59">
        <w:rPr>
          <w:spacing w:val="-5"/>
        </w:rPr>
        <w:t xml:space="preserve"> </w:t>
      </w:r>
      <w:r w:rsidR="00227A59">
        <w:t>sponsors</w:t>
      </w:r>
      <w:r w:rsidR="00227A59">
        <w:rPr>
          <w:spacing w:val="-4"/>
        </w:rPr>
        <w:t xml:space="preserve"> </w:t>
      </w:r>
      <w:r w:rsidR="00227A59">
        <w:t>of</w:t>
      </w:r>
      <w:r w:rsidR="00227A59">
        <w:rPr>
          <w:spacing w:val="-3"/>
        </w:rPr>
        <w:t xml:space="preserve"> </w:t>
      </w:r>
      <w:r w:rsidR="00227A59">
        <w:t>certain</w:t>
      </w:r>
      <w:r w:rsidR="00227A59">
        <w:rPr>
          <w:spacing w:val="-4"/>
        </w:rPr>
        <w:t xml:space="preserve"> </w:t>
      </w:r>
      <w:r w:rsidR="00227A59">
        <w:t>products</w:t>
      </w:r>
      <w:r w:rsidR="00227A59">
        <w:rPr>
          <w:spacing w:val="-4"/>
        </w:rPr>
        <w:t xml:space="preserve"> </w:t>
      </w:r>
      <w:r w:rsidR="00227A59">
        <w:t>to</w:t>
      </w:r>
      <w:r w:rsidR="00227A59">
        <w:rPr>
          <w:spacing w:val="-4"/>
        </w:rPr>
        <w:t xml:space="preserve"> </w:t>
      </w:r>
      <w:r w:rsidR="00227A59">
        <w:t>request</w:t>
      </w:r>
      <w:r w:rsidR="00227A59">
        <w:rPr>
          <w:spacing w:val="-4"/>
        </w:rPr>
        <w:t xml:space="preserve"> </w:t>
      </w:r>
      <w:r w:rsidR="00227A59">
        <w:t>expedited</w:t>
      </w:r>
      <w:r w:rsidR="00227A59">
        <w:rPr>
          <w:spacing w:val="-4"/>
        </w:rPr>
        <w:t xml:space="preserve"> </w:t>
      </w:r>
      <w:r w:rsidR="00227A59">
        <w:t>FDA</w:t>
      </w:r>
      <w:r w:rsidR="00227A59">
        <w:rPr>
          <w:spacing w:val="-5"/>
        </w:rPr>
        <w:t xml:space="preserve"> </w:t>
      </w:r>
      <w:r w:rsidR="00227A59">
        <w:t>review.</w:t>
      </w:r>
      <w:r w:rsidR="00227A59">
        <w:rPr>
          <w:spacing w:val="40"/>
        </w:rPr>
        <w:t xml:space="preserve"> </w:t>
      </w:r>
      <w:r w:rsidR="00227A59">
        <w:t>In</w:t>
      </w:r>
      <w:r w:rsidR="00227A59">
        <w:rPr>
          <w:spacing w:val="-2"/>
        </w:rPr>
        <w:t xml:space="preserve"> </w:t>
      </w:r>
      <w:r w:rsidR="00227A59">
        <w:t>addition,</w:t>
      </w:r>
      <w:r w:rsidR="00227A59">
        <w:rPr>
          <w:spacing w:val="-4"/>
        </w:rPr>
        <w:t xml:space="preserve"> </w:t>
      </w:r>
      <w:r w:rsidR="00227A59">
        <w:t>we provide assistance to respondents of the information collection through resources available from our website, along with small business assistant staffs throughout the agency.</w:t>
      </w:r>
    </w:p>
    <w:p w:rsidR="00DF5E47" w:rsidP="00A87C35" w14:paraId="5E9F8C41" w14:textId="77777777">
      <w:pPr>
        <w:pStyle w:val="BodyText"/>
      </w:pPr>
    </w:p>
    <w:p w:rsidR="00DF5E47" w:rsidP="00A87C35" w14:paraId="5E9F8C42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Consequences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Collecting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Less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Frequently</w:t>
      </w:r>
    </w:p>
    <w:p w:rsidR="00DF5E47" w:rsidP="00A87C35" w14:paraId="5E9F8C43" w14:textId="77777777">
      <w:pPr>
        <w:pStyle w:val="BodyText"/>
      </w:pPr>
    </w:p>
    <w:p w:rsidR="00DF5E47" w:rsidP="00A87C35" w14:paraId="5E9F8C44" w14:textId="02D5CDC0">
      <w:pPr>
        <w:pStyle w:val="BodyText"/>
        <w:ind w:right="642"/>
      </w:pP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consistent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t>requirements.</w:t>
      </w:r>
      <w:r>
        <w:rPr>
          <w:spacing w:val="40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524</w:t>
      </w:r>
      <w:r>
        <w:rPr>
          <w:spacing w:val="-8"/>
        </w:rPr>
        <w:t xml:space="preserve"> </w:t>
      </w:r>
      <w:r>
        <w:t xml:space="preserve">of the FD&amp;C Act authorizes FDA to award </w:t>
      </w:r>
      <w:r w:rsidR="00FD77BA">
        <w:t>PRVs</w:t>
      </w:r>
      <w:r>
        <w:t xml:space="preserve"> to sponsors of certain tropical disease product applications that meet </w:t>
      </w:r>
      <w:r w:rsidR="00FD77BA">
        <w:t xml:space="preserve">the </w:t>
      </w:r>
      <w:r>
        <w:t xml:space="preserve">specified </w:t>
      </w:r>
      <w:r w:rsidR="00FD77BA">
        <w:t xml:space="preserve">statutory </w:t>
      </w:r>
      <w:r>
        <w:t>criteria.</w:t>
      </w:r>
      <w:r>
        <w:rPr>
          <w:spacing w:val="40"/>
        </w:rPr>
        <w:t xml:space="preserve"> </w:t>
      </w:r>
      <w:r>
        <w:t>Additionally, review and approval of safety and effectiveness of human drug applications establishes a reporting frequency that is dictated by the need to focus on potential problems concerning the safety and effectiveness of</w:t>
      </w:r>
      <w:r>
        <w:rPr>
          <w:spacing w:val="-1"/>
        </w:rPr>
        <w:t xml:space="preserve"> </w:t>
      </w:r>
      <w:r>
        <w:t>human drugs.</w:t>
      </w:r>
      <w:r>
        <w:rPr>
          <w:spacing w:val="40"/>
        </w:rPr>
        <w:t xml:space="preserve"> </w:t>
      </w:r>
      <w:r>
        <w:t>Less frequent data</w:t>
      </w:r>
      <w:r>
        <w:rPr>
          <w:spacing w:val="-1"/>
        </w:rPr>
        <w:t xml:space="preserve"> </w:t>
      </w:r>
      <w:r>
        <w:t>collection would hinder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incentives offered under the PRV program.</w:t>
      </w:r>
    </w:p>
    <w:p w:rsidR="00DF5E47" w:rsidP="00A87C35" w14:paraId="5E9F8C45" w14:textId="77777777">
      <w:pPr>
        <w:pStyle w:val="BodyText"/>
      </w:pPr>
    </w:p>
    <w:p w:rsidR="00DF5E47" w:rsidP="00A87C35" w14:paraId="5E9F8C46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1320.5</w:t>
      </w:r>
    </w:p>
    <w:p w:rsidR="00DF5E47" w:rsidP="00A87C35" w14:paraId="5E9F8C47" w14:textId="77777777">
      <w:pPr>
        <w:pStyle w:val="BodyText"/>
      </w:pPr>
    </w:p>
    <w:p w:rsidR="00DF5E47" w:rsidP="00A87C35" w14:paraId="5E9F8C49" w14:textId="37D9DCC6">
      <w:pPr>
        <w:pStyle w:val="BodyText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:rsidR="0067194A" w:rsidP="00A87C35" w14:paraId="3DBB55E1" w14:textId="77777777">
      <w:pPr>
        <w:jc w:val="center"/>
      </w:pPr>
    </w:p>
    <w:p w:rsidR="00DF5E47" w:rsidP="00A87C35" w14:paraId="5E9F8C4B" w14:textId="77777777">
      <w:pPr>
        <w:pStyle w:val="ListParagraph"/>
        <w:numPr>
          <w:ilvl w:val="0"/>
          <w:numId w:val="1"/>
        </w:numPr>
        <w:spacing w:before="70"/>
        <w:ind w:left="0" w:right="760" w:firstLine="0"/>
        <w:rPr>
          <w:sz w:val="24"/>
          <w:u w:val="none"/>
        </w:rPr>
      </w:pPr>
      <w:r>
        <w:rPr>
          <w:sz w:val="24"/>
        </w:rPr>
        <w:t>Comments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Register</w:t>
      </w:r>
      <w:r>
        <w:rPr>
          <w:spacing w:val="-9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Consult</w:t>
      </w:r>
      <w:r>
        <w:rPr>
          <w:spacing w:val="-5"/>
          <w:sz w:val="24"/>
        </w:rPr>
        <w:t xml:space="preserve"> </w:t>
      </w:r>
      <w:r>
        <w:rPr>
          <w:sz w:val="24"/>
        </w:rPr>
        <w:t>Outside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  <w:u w:val="none"/>
        </w:rPr>
        <w:t xml:space="preserve"> </w:t>
      </w:r>
      <w:r>
        <w:rPr>
          <w:spacing w:val="-2"/>
          <w:sz w:val="24"/>
        </w:rPr>
        <w:t>Agency</w:t>
      </w:r>
    </w:p>
    <w:p w:rsidR="00DF5E47" w:rsidRPr="00FD77BA" w:rsidP="00A87C35" w14:paraId="5E9F8C4C" w14:textId="77777777">
      <w:pPr>
        <w:pStyle w:val="BodyText"/>
      </w:pPr>
    </w:p>
    <w:p w:rsidR="00F97ABA" w:rsidRPr="00E82D5B" w:rsidP="00A87C35" w14:paraId="4A30C3B2" w14:textId="032D064D">
      <w:pPr>
        <w:pStyle w:val="BodyText"/>
        <w:ind w:right="642"/>
      </w:pPr>
      <w:r w:rsidRPr="00E82D5B">
        <w:t>I</w:t>
      </w:r>
      <w:r w:rsidRPr="00E82D5B" w:rsidR="00227A59">
        <w:t>n</w:t>
      </w:r>
      <w:r w:rsidRPr="00E82D5B" w:rsidR="00227A59">
        <w:rPr>
          <w:spacing w:val="-7"/>
        </w:rPr>
        <w:t xml:space="preserve"> </w:t>
      </w:r>
      <w:r w:rsidRPr="00E82D5B" w:rsidR="00227A59">
        <w:t>the</w:t>
      </w:r>
      <w:r w:rsidRPr="00E82D5B" w:rsidR="00227A59">
        <w:rPr>
          <w:spacing w:val="-8"/>
        </w:rPr>
        <w:t xml:space="preserve"> </w:t>
      </w:r>
      <w:r w:rsidRPr="000014C9" w:rsidR="00227A59">
        <w:rPr>
          <w:i/>
        </w:rPr>
        <w:t>Federal</w:t>
      </w:r>
      <w:r w:rsidRPr="000014C9" w:rsidR="00227A59">
        <w:rPr>
          <w:i/>
          <w:spacing w:val="-7"/>
        </w:rPr>
        <w:t xml:space="preserve"> </w:t>
      </w:r>
      <w:r w:rsidRPr="000014C9" w:rsidR="00227A59">
        <w:rPr>
          <w:i/>
        </w:rPr>
        <w:t>Register</w:t>
      </w:r>
      <w:r w:rsidRPr="000014C9" w:rsidR="00227A59">
        <w:rPr>
          <w:i/>
          <w:spacing w:val="-8"/>
        </w:rPr>
        <w:t xml:space="preserve"> </w:t>
      </w:r>
      <w:r w:rsidRPr="00E82D5B" w:rsidR="00227A59">
        <w:t>of</w:t>
      </w:r>
      <w:r w:rsidRPr="000014C9">
        <w:t xml:space="preserve"> </w:t>
      </w:r>
      <w:r w:rsidRPr="00E82D5B" w:rsidR="00A608EE">
        <w:t>May 1</w:t>
      </w:r>
      <w:r w:rsidRPr="00E82D5B" w:rsidR="00B4162C">
        <w:t>,</w:t>
      </w:r>
      <w:r w:rsidRPr="00E82D5B" w:rsidR="00227A59">
        <w:rPr>
          <w:spacing w:val="-11"/>
        </w:rPr>
        <w:t xml:space="preserve"> </w:t>
      </w:r>
      <w:r w:rsidRPr="00E82D5B" w:rsidR="00227A59">
        <w:t>202</w:t>
      </w:r>
      <w:r w:rsidRPr="00E82D5B" w:rsidR="00A608EE">
        <w:t>5</w:t>
      </w:r>
      <w:r w:rsidRPr="00E82D5B" w:rsidR="00227A59">
        <w:t>,</w:t>
      </w:r>
      <w:r w:rsidRPr="00E82D5B" w:rsidR="00227A59">
        <w:rPr>
          <w:spacing w:val="-7"/>
        </w:rPr>
        <w:t xml:space="preserve"> </w:t>
      </w:r>
      <w:r w:rsidRPr="00E82D5B" w:rsidR="00227A59">
        <w:t>(</w:t>
      </w:r>
      <w:r w:rsidRPr="00E82D5B" w:rsidR="00B4162C">
        <w:t>9</w:t>
      </w:r>
      <w:r w:rsidRPr="00E82D5B" w:rsidR="00A608EE">
        <w:t>0</w:t>
      </w:r>
      <w:r w:rsidRPr="00E82D5B" w:rsidR="00227A59">
        <w:rPr>
          <w:spacing w:val="-7"/>
        </w:rPr>
        <w:t xml:space="preserve"> </w:t>
      </w:r>
      <w:r w:rsidRPr="00E82D5B" w:rsidR="00227A59">
        <w:t>FR</w:t>
      </w:r>
      <w:r w:rsidRPr="00E82D5B" w:rsidR="00227A59">
        <w:rPr>
          <w:spacing w:val="-7"/>
        </w:rPr>
        <w:t xml:space="preserve"> </w:t>
      </w:r>
      <w:r w:rsidRPr="00E82D5B" w:rsidR="00A608EE">
        <w:rPr>
          <w:spacing w:val="-7"/>
        </w:rPr>
        <w:t>18680)</w:t>
      </w:r>
      <w:r w:rsidRPr="00E82D5B" w:rsidR="00227A59">
        <w:t xml:space="preserve">, </w:t>
      </w:r>
      <w:r w:rsidRPr="00E82D5B">
        <w:t>FDA</w:t>
      </w:r>
      <w:r w:rsidRPr="00E82D5B" w:rsidR="00227A59">
        <w:t xml:space="preserve"> published a 60-day notice requesting public comment on the proposed collection</w:t>
      </w:r>
      <w:r w:rsidRPr="00E82D5B" w:rsidR="00227A59">
        <w:rPr>
          <w:spacing w:val="38"/>
        </w:rPr>
        <w:t xml:space="preserve"> </w:t>
      </w:r>
      <w:r w:rsidRPr="00E82D5B" w:rsidR="00227A59">
        <w:t>of information.</w:t>
      </w:r>
      <w:r w:rsidRPr="000014C9" w:rsidR="00A608EE">
        <w:t xml:space="preserve"> </w:t>
      </w:r>
      <w:r w:rsidRPr="00E82D5B" w:rsidR="00A608EE">
        <w:t xml:space="preserve"> </w:t>
      </w:r>
      <w:r w:rsidR="00DF3D6F">
        <w:t>C</w:t>
      </w:r>
      <w:r w:rsidRPr="00E82D5B" w:rsidR="00D86DFF">
        <w:t>omments</w:t>
      </w:r>
      <w:r w:rsidR="00DF3D6F">
        <w:t xml:space="preserve"> were posted to the docket (FDA-2025-N-0418), as detailed below, which were</w:t>
      </w:r>
      <w:r w:rsidR="00D36EAF">
        <w:t xml:space="preserve"> summarized</w:t>
      </w:r>
      <w:r w:rsidR="00DF3D6F">
        <w:t xml:space="preserve"> in our 30-day </w:t>
      </w:r>
      <w:r w:rsidRPr="00DF3D6F" w:rsidR="00DF3D6F">
        <w:rPr>
          <w:i/>
          <w:iCs/>
        </w:rPr>
        <w:t>Federal Register</w:t>
      </w:r>
      <w:r w:rsidR="00DF3D6F">
        <w:t xml:space="preserve"> notice of </w:t>
      </w:r>
      <w:r w:rsidR="002107D9">
        <w:t xml:space="preserve">July 29, 2025 (90 FR </w:t>
      </w:r>
      <w:r w:rsidR="00767661">
        <w:t>35684):</w:t>
      </w:r>
    </w:p>
    <w:p w:rsidR="0098764F" w:rsidRPr="00FD77BA" w:rsidP="00A87C35" w14:paraId="0E053A5E" w14:textId="77777777">
      <w:pPr>
        <w:contextualSpacing/>
        <w:rPr>
          <w:sz w:val="24"/>
          <w:szCs w:val="24"/>
        </w:rPr>
      </w:pPr>
    </w:p>
    <w:p w:rsidR="0098764F" w:rsidP="00A87C35" w14:paraId="322013CF" w14:textId="64B1EF42">
      <w:pPr>
        <w:pStyle w:val="BodyText"/>
        <w:ind w:left="720" w:right="642"/>
      </w:pPr>
      <w:r>
        <w:t>(Comment 1)</w:t>
      </w:r>
      <w:r w:rsidR="00DF3D6F">
        <w:t xml:space="preserve">  Communicated </w:t>
      </w:r>
      <w:r w:rsidR="00AF1267">
        <w:t xml:space="preserve">general </w:t>
      </w:r>
      <w:r>
        <w:t>support</w:t>
      </w:r>
      <w:r w:rsidR="00DF3D6F">
        <w:t xml:space="preserve"> for </w:t>
      </w:r>
      <w:r w:rsidR="00E92DB1">
        <w:t xml:space="preserve">the proposed collection of information, noting that the PRV program </w:t>
      </w:r>
      <w:r w:rsidR="0058770A">
        <w:t>can help incentivize investment and development of</w:t>
      </w:r>
      <w:r w:rsidR="00384E9F">
        <w:t xml:space="preserve"> treatment</w:t>
      </w:r>
      <w:r w:rsidR="00922DD0">
        <w:t>s</w:t>
      </w:r>
      <w:r w:rsidR="00384E9F">
        <w:t xml:space="preserve"> for</w:t>
      </w:r>
      <w:r w:rsidR="0058770A">
        <w:t xml:space="preserve"> tropical diseases</w:t>
      </w:r>
      <w:r w:rsidR="004D66CD">
        <w:t>.</w:t>
      </w:r>
      <w:r w:rsidR="00DF3D6F">
        <w:t xml:space="preserve">  </w:t>
      </w:r>
      <w:r w:rsidR="00AE0208">
        <w:t xml:space="preserve">One comment </w:t>
      </w:r>
      <w:r w:rsidR="00A403C1">
        <w:t xml:space="preserve">also </w:t>
      </w:r>
      <w:r w:rsidR="00AE0208">
        <w:t>noted that t</w:t>
      </w:r>
      <w:r w:rsidRPr="003866EA" w:rsidR="00AE0208">
        <w:t xml:space="preserve">he information collected </w:t>
      </w:r>
      <w:r w:rsidR="00AF1267">
        <w:t xml:space="preserve">can help ensure </w:t>
      </w:r>
      <w:r w:rsidRPr="003866EA" w:rsidR="00AE0208">
        <w:t xml:space="preserve">transparency, accountability, and proper </w:t>
      </w:r>
      <w:r w:rsidRPr="003866EA" w:rsidR="00AE0208">
        <w:t xml:space="preserve">administration of the </w:t>
      </w:r>
      <w:r w:rsidR="00AE0208">
        <w:t xml:space="preserve">PRV </w:t>
      </w:r>
      <w:r w:rsidRPr="003866EA" w:rsidR="00AE0208">
        <w:t>program.</w:t>
      </w:r>
      <w:r w:rsidR="00BA601D">
        <w:t xml:space="preserve"> </w:t>
      </w:r>
    </w:p>
    <w:p w:rsidR="00A422F7" w:rsidP="00A87C35" w14:paraId="2261F4BC" w14:textId="77777777">
      <w:pPr>
        <w:ind w:left="720"/>
        <w:contextualSpacing/>
        <w:rPr>
          <w:sz w:val="24"/>
          <w:szCs w:val="24"/>
        </w:rPr>
      </w:pPr>
    </w:p>
    <w:p w:rsidR="00A422F7" w:rsidP="00A87C35" w14:paraId="661035C3" w14:textId="605C5ABA">
      <w:pPr>
        <w:pStyle w:val="BodyText"/>
        <w:ind w:left="720" w:right="642"/>
      </w:pPr>
      <w:r>
        <w:t>(Response 1)</w:t>
      </w:r>
      <w:r w:rsidR="00DF3D6F">
        <w:t xml:space="preserve">  </w:t>
      </w:r>
      <w:r w:rsidR="007D570F">
        <w:t>We agree that the information being collected has utility</w:t>
      </w:r>
      <w:r w:rsidR="007B251A">
        <w:t xml:space="preserve"> </w:t>
      </w:r>
      <w:r w:rsidR="00AF1267">
        <w:t xml:space="preserve">and can help </w:t>
      </w:r>
      <w:r w:rsidR="00F40C13">
        <w:t xml:space="preserve">ensure transparency, accountability, and administration of the </w:t>
      </w:r>
      <w:r w:rsidR="000C3C63">
        <w:t xml:space="preserve">tropical disease </w:t>
      </w:r>
      <w:r w:rsidR="00F40C13">
        <w:t xml:space="preserve">PRV program. </w:t>
      </w:r>
    </w:p>
    <w:p w:rsidR="00F40C13" w:rsidP="00A87C35" w14:paraId="343DD31A" w14:textId="77777777">
      <w:pPr>
        <w:pStyle w:val="BodyText"/>
        <w:ind w:left="720" w:right="642"/>
      </w:pPr>
    </w:p>
    <w:p w:rsidR="00F40C13" w:rsidP="00A87C35" w14:paraId="7F8E9615" w14:textId="50A5984F">
      <w:pPr>
        <w:pStyle w:val="BodyText"/>
        <w:ind w:left="720" w:right="642"/>
      </w:pPr>
      <w:r>
        <w:t xml:space="preserve">(Comment 2) </w:t>
      </w:r>
      <w:r w:rsidR="00DF3D6F">
        <w:t xml:space="preserve"> </w:t>
      </w:r>
      <w:r w:rsidR="00194E7C">
        <w:t>One comment noted that t</w:t>
      </w:r>
      <w:r w:rsidRPr="00194E7C" w:rsidR="00194E7C">
        <w:t>he estimated annual burden appear</w:t>
      </w:r>
      <w:r w:rsidR="00194E7C">
        <w:t>ed</w:t>
      </w:r>
      <w:r w:rsidRPr="00194E7C" w:rsidR="00194E7C">
        <w:t xml:space="preserve"> reasonable given the limited number of PRVs issued each year.</w:t>
      </w:r>
      <w:r w:rsidR="00DF3D6F">
        <w:t xml:space="preserve">  Another comment </w:t>
      </w:r>
      <w:r w:rsidR="001E3A60">
        <w:t xml:space="preserve">supported FDA’s efforts to </w:t>
      </w:r>
      <w:r w:rsidR="00482A96">
        <w:t>streamline the administrative burden</w:t>
      </w:r>
      <w:r w:rsidR="001C6D08">
        <w:t xml:space="preserve"> of the </w:t>
      </w:r>
      <w:r w:rsidR="00C06ADB">
        <w:t xml:space="preserve">tropical disease </w:t>
      </w:r>
      <w:r w:rsidR="001C6D08">
        <w:t>PRV program</w:t>
      </w:r>
      <w:r w:rsidR="00482A96">
        <w:t>.</w:t>
      </w:r>
      <w:r w:rsidR="00DF3D6F">
        <w:t xml:space="preserve">  </w:t>
      </w:r>
      <w:r w:rsidR="001E3A60">
        <w:t>One</w:t>
      </w:r>
      <w:r w:rsidR="00194E7C">
        <w:t xml:space="preserve"> comment</w:t>
      </w:r>
      <w:r w:rsidR="00DF3D6F">
        <w:t xml:space="preserve"> </w:t>
      </w:r>
      <w:r w:rsidR="00194E7C">
        <w:t xml:space="preserve">recommended </w:t>
      </w:r>
      <w:r w:rsidRPr="00194E7C" w:rsidR="00194E7C">
        <w:t>that FDA continue to monitor the administrative burden, especially for first-time applicants, and consider providing templates</w:t>
      </w:r>
      <w:r w:rsidR="0047109D">
        <w:t xml:space="preserve">, </w:t>
      </w:r>
      <w:r w:rsidRPr="00194E7C" w:rsidR="00194E7C">
        <w:t>guidance</w:t>
      </w:r>
      <w:r w:rsidR="0047109D">
        <w:t>, and case studies</w:t>
      </w:r>
      <w:r w:rsidRPr="00194E7C" w:rsidR="00194E7C">
        <w:t xml:space="preserve"> to </w:t>
      </w:r>
      <w:r w:rsidR="007E6391">
        <w:t xml:space="preserve">help </w:t>
      </w:r>
      <w:r w:rsidRPr="00194E7C" w:rsidR="00194E7C">
        <w:t>streamline submissions.</w:t>
      </w:r>
      <w:r w:rsidR="00962877">
        <w:t xml:space="preserve"> </w:t>
      </w:r>
    </w:p>
    <w:p w:rsidR="00AA3EB2" w:rsidP="00A87C35" w14:paraId="374000E5" w14:textId="77777777">
      <w:pPr>
        <w:pStyle w:val="BodyText"/>
        <w:ind w:left="720" w:right="642"/>
      </w:pPr>
    </w:p>
    <w:p w:rsidR="002C70C4" w:rsidP="00A87C35" w14:paraId="190BF8BA" w14:textId="1218465F">
      <w:pPr>
        <w:pStyle w:val="BodyText"/>
        <w:ind w:left="720" w:right="642"/>
      </w:pPr>
      <w:r>
        <w:t>(Response 2)</w:t>
      </w:r>
      <w:r w:rsidR="00DF3D6F">
        <w:t xml:space="preserve">  </w:t>
      </w:r>
      <w:r w:rsidR="00455CDD">
        <w:t xml:space="preserve">We </w:t>
      </w:r>
      <w:r w:rsidR="008975B5">
        <w:t>appreciate the commenter’s support of FDA’s efforts to streamline the administrative burden</w:t>
      </w:r>
      <w:r w:rsidR="001C6D08">
        <w:t xml:space="preserve"> of the PRV program</w:t>
      </w:r>
      <w:r w:rsidR="00DF3D6F">
        <w:t xml:space="preserve"> and agree </w:t>
      </w:r>
      <w:r w:rsidR="00DD7A01">
        <w:t xml:space="preserve">will consider </w:t>
      </w:r>
      <w:r>
        <w:t xml:space="preserve">developing </w:t>
      </w:r>
      <w:r w:rsidR="00DD7A01">
        <w:t>template</w:t>
      </w:r>
      <w:r>
        <w:t>s</w:t>
      </w:r>
      <w:r w:rsidR="00566F4F">
        <w:t xml:space="preserve">, </w:t>
      </w:r>
      <w:r>
        <w:t xml:space="preserve">additional </w:t>
      </w:r>
      <w:r w:rsidR="00DD7A01">
        <w:t>guidance</w:t>
      </w:r>
      <w:r w:rsidR="00566F4F">
        <w:t>, or case studies</w:t>
      </w:r>
      <w:r w:rsidR="00DD7A01">
        <w:t xml:space="preserve"> to help streamline submission</w:t>
      </w:r>
      <w:r>
        <w:t>s</w:t>
      </w:r>
      <w:r w:rsidR="00DF3D6F">
        <w:t xml:space="preserve"> as our limited resources will allow</w:t>
      </w:r>
      <w:r w:rsidR="00DD7A01">
        <w:t>.</w:t>
      </w:r>
    </w:p>
    <w:p w:rsidR="002C70C4" w:rsidP="00A87C35" w14:paraId="0A54B7EB" w14:textId="77777777">
      <w:pPr>
        <w:pStyle w:val="BodyText"/>
        <w:ind w:left="720" w:right="642"/>
      </w:pPr>
    </w:p>
    <w:p w:rsidR="00AA3EB2" w:rsidP="00A87C35" w14:paraId="19070F4B" w14:textId="29F6471E">
      <w:pPr>
        <w:pStyle w:val="BodyText"/>
        <w:ind w:left="720" w:right="642"/>
      </w:pPr>
      <w:r>
        <w:t>(Comment 3)</w:t>
      </w:r>
      <w:r w:rsidR="00DF3D6F">
        <w:t xml:space="preserve">  </w:t>
      </w:r>
      <w:r w:rsidR="00F21286">
        <w:t xml:space="preserve">One comment </w:t>
      </w:r>
      <w:r w:rsidR="00DF3D6F">
        <w:t xml:space="preserve">included </w:t>
      </w:r>
      <w:r w:rsidR="00F21286">
        <w:t>recommendations for FDA to</w:t>
      </w:r>
      <w:r w:rsidR="00DF3D6F">
        <w:t xml:space="preserve">ward enhancing </w:t>
      </w:r>
      <w:r w:rsidR="004B6544">
        <w:t xml:space="preserve">digital submission portals, automated acknowledgement systems for PRV transfers and redemption, </w:t>
      </w:r>
      <w:r w:rsidR="009C4049">
        <w:t>and integration</w:t>
      </w:r>
      <w:r w:rsidR="007E6391">
        <w:t xml:space="preserve"> of PRV-related submissions with existing regulatory submission platforms. </w:t>
      </w:r>
    </w:p>
    <w:p w:rsidR="007E6391" w:rsidP="00A87C35" w14:paraId="6FAA77B9" w14:textId="77777777">
      <w:pPr>
        <w:pStyle w:val="BodyText"/>
        <w:ind w:left="720" w:right="642"/>
      </w:pPr>
    </w:p>
    <w:p w:rsidR="007E6391" w:rsidP="00A87C35" w14:paraId="50D45723" w14:textId="4F837390">
      <w:pPr>
        <w:pStyle w:val="BodyText"/>
        <w:ind w:left="720" w:right="642"/>
      </w:pPr>
      <w:r>
        <w:t>(Response 3</w:t>
      </w:r>
      <w:r w:rsidR="00DF3D6F">
        <w:t xml:space="preserve">)  We appreciate and </w:t>
      </w:r>
      <w:r>
        <w:t>will consider these recommendations</w:t>
      </w:r>
      <w:r w:rsidR="00DF3D6F">
        <w:t>, intending continued enhancements to submission mechanisms as our limited resources will allow.</w:t>
      </w:r>
    </w:p>
    <w:p w:rsidR="0098764F" w:rsidP="00A87C35" w14:paraId="241A79FB" w14:textId="77777777">
      <w:pPr>
        <w:contextualSpacing/>
        <w:rPr>
          <w:sz w:val="24"/>
        </w:rPr>
      </w:pPr>
    </w:p>
    <w:p w:rsidR="00DF3D6F" w:rsidP="00A87C35" w14:paraId="4C715D30" w14:textId="3EBB777B">
      <w:pPr>
        <w:contextualSpacing/>
        <w:rPr>
          <w:sz w:val="24"/>
        </w:rPr>
      </w:pPr>
      <w:r>
        <w:rPr>
          <w:sz w:val="24"/>
        </w:rPr>
        <w:t>We made no adjustment to our burden estimate as a result of the public comments.</w:t>
      </w:r>
    </w:p>
    <w:p w:rsidR="00DF3D6F" w:rsidRPr="000014C9" w:rsidP="00A87C35" w14:paraId="07167DAA" w14:textId="77777777">
      <w:pPr>
        <w:contextualSpacing/>
        <w:rPr>
          <w:sz w:val="24"/>
        </w:rPr>
      </w:pPr>
    </w:p>
    <w:p w:rsidR="00DF5E47" w:rsidP="00A87C35" w14:paraId="5E9F8C4F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Explanation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Gift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Respondents</w:t>
      </w:r>
    </w:p>
    <w:p w:rsidR="00DF5E47" w:rsidP="00A87C35" w14:paraId="5E9F8C50" w14:textId="77777777">
      <w:pPr>
        <w:pStyle w:val="BodyText"/>
      </w:pPr>
    </w:p>
    <w:p w:rsidR="00DF5E47" w:rsidP="00A87C35" w14:paraId="5E9F8C51" w14:textId="08DDD0EF">
      <w:pPr>
        <w:pStyle w:val="BodyText"/>
        <w:ind w:right="245"/>
      </w:pPr>
      <w:r>
        <w:t>No remuneration is provided to respondents to the information collection.</w:t>
      </w:r>
      <w:r>
        <w:rPr>
          <w:spacing w:val="40"/>
        </w:rPr>
        <w:t xml:space="preserve"> </w:t>
      </w:r>
      <w:r w:rsidR="00B4162C">
        <w:rPr>
          <w:spacing w:val="40"/>
        </w:rPr>
        <w:t xml:space="preserve"> </w:t>
      </w:r>
      <w:r>
        <w:t xml:space="preserve">However, the </w:t>
      </w:r>
      <w:r w:rsidR="00CD7B93">
        <w:t xml:space="preserve">tropical disease </w:t>
      </w:r>
      <w:r>
        <w:t>PRV program</w:t>
      </w:r>
      <w:r>
        <w:rPr>
          <w:spacing w:val="32"/>
        </w:rPr>
        <w:t xml:space="preserve"> </w:t>
      </w:r>
      <w:r>
        <w:t>provide</w:t>
      </w:r>
      <w:r w:rsidR="000523A0">
        <w:t>s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treatments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diseases in the</w:t>
      </w:r>
      <w:r w:rsidR="0059528C">
        <w:rPr>
          <w:spacing w:val="40"/>
        </w:rPr>
        <w:t xml:space="preserve"> </w:t>
      </w:r>
      <w:r>
        <w:t xml:space="preserve">form of an award of a </w:t>
      </w:r>
      <w:r w:rsidR="00CD7B93">
        <w:t xml:space="preserve">PRV </w:t>
      </w:r>
      <w:r>
        <w:t xml:space="preserve">upon approval of the tropical disease </w:t>
      </w:r>
      <w:r w:rsidR="00CD7B93">
        <w:t xml:space="preserve">product </w:t>
      </w:r>
      <w:r>
        <w:t xml:space="preserve">application for use when submitting another future marketing application (not necessarily for </w:t>
      </w:r>
      <w:r w:rsidR="00B33EC1">
        <w:t xml:space="preserve">a </w:t>
      </w:r>
      <w:r>
        <w:t>tropical disease indication).</w:t>
      </w:r>
    </w:p>
    <w:p w:rsidR="00DF5E47" w:rsidP="00A87C35" w14:paraId="5E9F8C52" w14:textId="77777777">
      <w:pPr>
        <w:pStyle w:val="BodyText"/>
      </w:pPr>
    </w:p>
    <w:p w:rsidR="00DF5E47" w:rsidRPr="00274564" w:rsidP="00A87C35" w14:paraId="5E9F8C53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Assurance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Respondents</w:t>
      </w:r>
    </w:p>
    <w:p w:rsidR="00274564" w:rsidRPr="000014C9" w:rsidP="00A87C35" w14:paraId="61DFC4DC" w14:textId="77777777">
      <w:pPr>
        <w:pStyle w:val="ListParagraph"/>
        <w:ind w:left="0" w:firstLine="0"/>
        <w:rPr>
          <w:spacing w:val="-2"/>
          <w:sz w:val="24"/>
        </w:rPr>
      </w:pPr>
    </w:p>
    <w:p w:rsidR="00D36EAF" w:rsidRPr="00D36EAF" w:rsidP="00A87C35" w14:paraId="1AC1FAE0" w14:textId="77777777">
      <w:pPr>
        <w:rPr>
          <w:i/>
          <w:iCs/>
          <w:sz w:val="24"/>
        </w:rPr>
      </w:pPr>
      <w:r w:rsidRPr="00D36EAF">
        <w:rPr>
          <w:i/>
          <w:iCs/>
          <w:sz w:val="24"/>
        </w:rPr>
        <w:t>The Privacy Act of 1974</w:t>
      </w:r>
    </w:p>
    <w:p w:rsidR="00D36EAF" w:rsidP="00A87C35" w14:paraId="1B3D8978" w14:textId="77777777">
      <w:pPr>
        <w:rPr>
          <w:sz w:val="24"/>
        </w:rPr>
      </w:pPr>
    </w:p>
    <w:p w:rsidR="00274564" w:rsidRPr="000014C9" w:rsidP="00A87C35" w14:paraId="7D49C22E" w14:textId="778D4FDA">
      <w:pPr>
        <w:rPr>
          <w:sz w:val="24"/>
        </w:rPr>
      </w:pPr>
      <w:r w:rsidRPr="000014C9">
        <w:rPr>
          <w:sz w:val="24"/>
        </w:rPr>
        <w:t xml:space="preserve">In preparing this </w:t>
      </w:r>
      <w:r w:rsidR="00D36EAF">
        <w:rPr>
          <w:sz w:val="24"/>
        </w:rPr>
        <w:t>s</w:t>
      </w:r>
      <w:r w:rsidRPr="000014C9">
        <w:rPr>
          <w:sz w:val="24"/>
        </w:rPr>
        <w:t xml:space="preserve">upporting </w:t>
      </w:r>
      <w:r w:rsidR="00D36EAF">
        <w:rPr>
          <w:sz w:val="24"/>
        </w:rPr>
        <w:t>s</w:t>
      </w:r>
      <w:r w:rsidRPr="000014C9">
        <w:rPr>
          <w:sz w:val="24"/>
        </w:rPr>
        <w:t>tatement, we consulted our Privacy Office to ensure appropriate identification and handling of information collected.</w:t>
      </w:r>
      <w:r w:rsidR="00D36EAF">
        <w:rPr>
          <w:sz w:val="24"/>
        </w:rPr>
        <w:t xml:space="preserve">  Although t</w:t>
      </w:r>
      <w:r w:rsidRPr="000014C9">
        <w:rPr>
          <w:sz w:val="24"/>
        </w:rPr>
        <w:t>his ICR collects personally identifiable information (PII)</w:t>
      </w:r>
      <w:r w:rsidR="00D36EAF">
        <w:rPr>
          <w:sz w:val="24"/>
        </w:rPr>
        <w:t>, it</w:t>
      </w:r>
      <w:r w:rsidRPr="000014C9">
        <w:rPr>
          <w:sz w:val="24"/>
        </w:rPr>
        <w:t xml:space="preserve"> is collected in the context of the subject individuals’ professional capacity and the FDA-related</w:t>
      </w:r>
      <w:r w:rsidR="00D36EAF">
        <w:rPr>
          <w:sz w:val="24"/>
        </w:rPr>
        <w:t xml:space="preserve"> work</w:t>
      </w:r>
      <w:r w:rsidRPr="000014C9">
        <w:rPr>
          <w:sz w:val="24"/>
        </w:rPr>
        <w:t xml:space="preserve"> perform</w:t>
      </w:r>
      <w:r w:rsidR="00D36EAF">
        <w:rPr>
          <w:sz w:val="24"/>
        </w:rPr>
        <w:t>ed</w:t>
      </w:r>
      <w:r w:rsidRPr="000014C9">
        <w:rPr>
          <w:sz w:val="24"/>
        </w:rPr>
        <w:t xml:space="preserve"> for their employer (e.g., point of contact at a regulated entity). </w:t>
      </w:r>
      <w:r w:rsidRPr="00A608EE">
        <w:rPr>
          <w:sz w:val="24"/>
          <w:szCs w:val="24"/>
        </w:rPr>
        <w:t xml:space="preserve"> </w:t>
      </w:r>
      <w:r w:rsidRPr="000014C9">
        <w:rPr>
          <w:sz w:val="24"/>
        </w:rPr>
        <w:t xml:space="preserve">The PII submitted </w:t>
      </w:r>
      <w:r w:rsidRPr="00A608EE" w:rsidR="000D5A78">
        <w:rPr>
          <w:sz w:val="24"/>
          <w:szCs w:val="24"/>
        </w:rPr>
        <w:t>may</w:t>
      </w:r>
      <w:r w:rsidRPr="00A608EE">
        <w:rPr>
          <w:sz w:val="24"/>
          <w:szCs w:val="24"/>
        </w:rPr>
        <w:t xml:space="preserve"> include </w:t>
      </w:r>
      <w:r w:rsidRPr="00D36EAF">
        <w:rPr>
          <w:i/>
          <w:iCs/>
          <w:sz w:val="24"/>
          <w:szCs w:val="24"/>
        </w:rPr>
        <w:t>point of</w:t>
      </w:r>
      <w:r w:rsidRPr="00D36EAF">
        <w:rPr>
          <w:i/>
          <w:iCs/>
          <w:sz w:val="24"/>
        </w:rPr>
        <w:t xml:space="preserve"> contact</w:t>
      </w:r>
      <w:r w:rsidRPr="000014C9">
        <w:rPr>
          <w:sz w:val="24"/>
        </w:rPr>
        <w:t xml:space="preserve"> </w:t>
      </w:r>
      <w:r w:rsidRPr="00D36EAF">
        <w:rPr>
          <w:i/>
          <w:iCs/>
          <w:sz w:val="24"/>
        </w:rPr>
        <w:t>name</w:t>
      </w:r>
      <w:r w:rsidRPr="000014C9">
        <w:rPr>
          <w:sz w:val="24"/>
        </w:rPr>
        <w:t xml:space="preserve">, </w:t>
      </w:r>
      <w:r w:rsidRPr="00D36EAF">
        <w:rPr>
          <w:i/>
          <w:iCs/>
          <w:sz w:val="24"/>
        </w:rPr>
        <w:t>email address</w:t>
      </w:r>
      <w:r w:rsidRPr="000014C9">
        <w:rPr>
          <w:sz w:val="24"/>
        </w:rPr>
        <w:t xml:space="preserve">, </w:t>
      </w:r>
      <w:r w:rsidRPr="00D36EAF">
        <w:rPr>
          <w:i/>
          <w:iCs/>
          <w:sz w:val="24"/>
          <w:szCs w:val="24"/>
        </w:rPr>
        <w:t>phone</w:t>
      </w:r>
      <w:r w:rsidRPr="00D36EAF">
        <w:rPr>
          <w:i/>
          <w:iCs/>
          <w:sz w:val="24"/>
        </w:rPr>
        <w:t xml:space="preserve"> number</w:t>
      </w:r>
      <w:r w:rsidRPr="00A608EE">
        <w:rPr>
          <w:sz w:val="24"/>
          <w:szCs w:val="24"/>
        </w:rPr>
        <w:t xml:space="preserve">, </w:t>
      </w:r>
      <w:r w:rsidRPr="00D36EAF">
        <w:rPr>
          <w:i/>
          <w:iCs/>
          <w:sz w:val="24"/>
          <w:szCs w:val="24"/>
        </w:rPr>
        <w:t>fax number</w:t>
      </w:r>
      <w:r w:rsidRPr="00A608EE">
        <w:rPr>
          <w:sz w:val="24"/>
          <w:szCs w:val="24"/>
        </w:rPr>
        <w:t xml:space="preserve">, and </w:t>
      </w:r>
      <w:r w:rsidRPr="00D36EAF">
        <w:rPr>
          <w:i/>
          <w:iCs/>
          <w:sz w:val="24"/>
          <w:szCs w:val="24"/>
        </w:rPr>
        <w:t>mailing address</w:t>
      </w:r>
      <w:r w:rsidRPr="00A608EE">
        <w:rPr>
          <w:sz w:val="24"/>
          <w:szCs w:val="24"/>
        </w:rPr>
        <w:t>.</w:t>
      </w:r>
      <w:r w:rsidR="00D36EAF">
        <w:rPr>
          <w:sz w:val="24"/>
        </w:rPr>
        <w:t xml:space="preserve">  We have </w:t>
      </w:r>
      <w:r w:rsidRPr="000014C9">
        <w:rPr>
          <w:sz w:val="24"/>
        </w:rPr>
        <w:t>determined that although PII is collected</w:t>
      </w:r>
      <w:r w:rsidRPr="00A608EE">
        <w:rPr>
          <w:sz w:val="24"/>
          <w:szCs w:val="24"/>
        </w:rPr>
        <w:t>, the collection</w:t>
      </w:r>
      <w:r w:rsidRPr="000014C9">
        <w:rPr>
          <w:sz w:val="24"/>
        </w:rPr>
        <w:t xml:space="preserve"> is not subject to the Privacy Act of 1974 and the particular notice and other </w:t>
      </w:r>
      <w:r w:rsidRPr="000014C9">
        <w:rPr>
          <w:sz w:val="24"/>
        </w:rPr>
        <w:t xml:space="preserve">requirements of the </w:t>
      </w:r>
      <w:r w:rsidR="00D36EAF">
        <w:rPr>
          <w:sz w:val="24"/>
        </w:rPr>
        <w:t xml:space="preserve">Privacy </w:t>
      </w:r>
      <w:r w:rsidRPr="000014C9">
        <w:rPr>
          <w:sz w:val="24"/>
        </w:rPr>
        <w:t>Act do not apply.</w:t>
      </w:r>
      <w:r w:rsidR="00D36EAF">
        <w:rPr>
          <w:sz w:val="24"/>
        </w:rPr>
        <w:t xml:space="preserve">  </w:t>
      </w:r>
      <w:r w:rsidRPr="000014C9">
        <w:rPr>
          <w:sz w:val="24"/>
        </w:rPr>
        <w:t xml:space="preserve">Specifically, </w:t>
      </w:r>
      <w:r w:rsidR="00D36EAF">
        <w:rPr>
          <w:sz w:val="24"/>
        </w:rPr>
        <w:t xml:space="preserve">neither </w:t>
      </w:r>
      <w:r w:rsidRPr="00A608EE">
        <w:rPr>
          <w:sz w:val="24"/>
          <w:szCs w:val="24"/>
        </w:rPr>
        <w:t xml:space="preserve">the contractor </w:t>
      </w:r>
      <w:r w:rsidR="00D36EAF">
        <w:rPr>
          <w:sz w:val="24"/>
          <w:szCs w:val="24"/>
        </w:rPr>
        <w:t>n</w:t>
      </w:r>
      <w:r w:rsidRPr="00A608EE">
        <w:rPr>
          <w:sz w:val="24"/>
          <w:szCs w:val="24"/>
        </w:rPr>
        <w:t xml:space="preserve">or </w:t>
      </w:r>
      <w:r w:rsidRPr="000014C9">
        <w:rPr>
          <w:sz w:val="24"/>
        </w:rPr>
        <w:t>FDA</w:t>
      </w:r>
      <w:r w:rsidRPr="00A608EE">
        <w:rPr>
          <w:sz w:val="24"/>
          <w:szCs w:val="24"/>
        </w:rPr>
        <w:t> </w:t>
      </w:r>
      <w:r w:rsidRPr="000014C9">
        <w:rPr>
          <w:sz w:val="24"/>
        </w:rPr>
        <w:t>use</w:t>
      </w:r>
      <w:r w:rsidR="00D36EAF">
        <w:rPr>
          <w:sz w:val="24"/>
        </w:rPr>
        <w:t>s</w:t>
      </w:r>
      <w:r w:rsidRPr="000014C9">
        <w:rPr>
          <w:sz w:val="24"/>
        </w:rPr>
        <w:t xml:space="preserve"> </w:t>
      </w:r>
      <w:r w:rsidRPr="00D36EAF">
        <w:rPr>
          <w:i/>
          <w:iCs/>
          <w:sz w:val="24"/>
        </w:rPr>
        <w:t>name</w:t>
      </w:r>
      <w:r w:rsidRPr="000014C9">
        <w:rPr>
          <w:sz w:val="24"/>
        </w:rPr>
        <w:t xml:space="preserve"> or any other personal identifier to retrieve records from the information collected.</w:t>
      </w:r>
      <w:r w:rsidR="00D36EAF">
        <w:rPr>
          <w:sz w:val="24"/>
        </w:rPr>
        <w:t xml:space="preserve">  </w:t>
      </w:r>
      <w:r w:rsidRPr="000014C9">
        <w:rPr>
          <w:sz w:val="24"/>
        </w:rPr>
        <w:t xml:space="preserve">Through appropriate </w:t>
      </w:r>
      <w:r w:rsidRPr="00A608EE">
        <w:rPr>
          <w:sz w:val="24"/>
          <w:szCs w:val="24"/>
        </w:rPr>
        <w:t>form and webpage design</w:t>
      </w:r>
      <w:r w:rsidRPr="000014C9">
        <w:rPr>
          <w:sz w:val="24"/>
        </w:rPr>
        <w:t>, FDA limited submission fields and minimized the PII collected to protect the privacy of the individuals.</w:t>
      </w:r>
      <w:r w:rsidR="00197C3F">
        <w:rPr>
          <w:sz w:val="24"/>
          <w:szCs w:val="24"/>
        </w:rPr>
        <w:t xml:space="preserve"> </w:t>
      </w:r>
    </w:p>
    <w:p w:rsidR="00274564" w:rsidRPr="000014C9" w:rsidP="00A87C35" w14:paraId="11AB4F7C" w14:textId="77777777">
      <w:pPr>
        <w:rPr>
          <w:sz w:val="24"/>
        </w:rPr>
      </w:pPr>
    </w:p>
    <w:p w:rsidR="00D36EAF" w:rsidRPr="00D36EAF" w:rsidP="00A87C35" w14:paraId="29FA6725" w14:textId="77777777">
      <w:pPr>
        <w:rPr>
          <w:i/>
          <w:iCs/>
          <w:sz w:val="24"/>
          <w:szCs w:val="24"/>
        </w:rPr>
      </w:pPr>
      <w:r w:rsidRPr="00D36EAF">
        <w:rPr>
          <w:i/>
          <w:iCs/>
          <w:sz w:val="24"/>
          <w:szCs w:val="24"/>
        </w:rPr>
        <w:t xml:space="preserve">The </w:t>
      </w:r>
      <w:r w:rsidRPr="00D36EAF" w:rsidR="00274564">
        <w:rPr>
          <w:i/>
          <w:iCs/>
          <w:sz w:val="24"/>
          <w:szCs w:val="24"/>
        </w:rPr>
        <w:t xml:space="preserve">Freedom of Information Act (FOIA) </w:t>
      </w:r>
    </w:p>
    <w:p w:rsidR="00D36EAF" w:rsidP="00A87C35" w14:paraId="58A3A93E" w14:textId="77777777">
      <w:pPr>
        <w:rPr>
          <w:sz w:val="24"/>
          <w:szCs w:val="24"/>
        </w:rPr>
      </w:pPr>
    </w:p>
    <w:p w:rsidR="00274564" w:rsidRPr="00A608EE" w:rsidP="00A87C35" w14:paraId="6609FE6A" w14:textId="55EF91F0">
      <w:pPr>
        <w:rPr>
          <w:sz w:val="24"/>
          <w:szCs w:val="24"/>
        </w:rPr>
      </w:pPr>
      <w:r>
        <w:rPr>
          <w:sz w:val="24"/>
          <w:szCs w:val="24"/>
        </w:rPr>
        <w:t xml:space="preserve">Under FOIA </w:t>
      </w:r>
      <w:r w:rsidRPr="00A608EE">
        <w:rPr>
          <w:sz w:val="24"/>
          <w:szCs w:val="24"/>
        </w:rPr>
        <w:t>(5 U.S.C. 552), the public has broad access to government documents.</w:t>
      </w:r>
      <w:r>
        <w:rPr>
          <w:sz w:val="24"/>
          <w:szCs w:val="24"/>
        </w:rPr>
        <w:t xml:space="preserve">  </w:t>
      </w:r>
      <w:r w:rsidRPr="00A608EE">
        <w:rPr>
          <w:sz w:val="24"/>
          <w:szCs w:val="24"/>
        </w:rPr>
        <w:t>However, FOIA provides certain exemptions from mandatory public disclosure of government records (5 U.S.C. 552(b)(1-9)).</w:t>
      </w:r>
      <w:r>
        <w:rPr>
          <w:sz w:val="24"/>
          <w:szCs w:val="24"/>
        </w:rPr>
        <w:t xml:space="preserve">  </w:t>
      </w:r>
      <w:r w:rsidRPr="00A608EE">
        <w:rPr>
          <w:sz w:val="24"/>
          <w:szCs w:val="24"/>
        </w:rPr>
        <w:t>FDA will make the fullest possible disclosure of records to the public, consistent with the rights of individuals to privacy,</w:t>
      </w:r>
      <w:r w:rsidR="004A51F6">
        <w:rPr>
          <w:sz w:val="24"/>
          <w:szCs w:val="24"/>
        </w:rPr>
        <w:t xml:space="preserve"> and</w:t>
      </w:r>
      <w:r w:rsidRPr="00A608EE">
        <w:rPr>
          <w:sz w:val="24"/>
          <w:szCs w:val="24"/>
        </w:rPr>
        <w:t xml:space="preserve"> the</w:t>
      </w:r>
      <w:r w:rsidR="004A51F6">
        <w:rPr>
          <w:sz w:val="24"/>
          <w:szCs w:val="24"/>
        </w:rPr>
        <w:t>ir</w:t>
      </w:r>
      <w:r w:rsidRPr="00A608EE">
        <w:rPr>
          <w:sz w:val="24"/>
          <w:szCs w:val="24"/>
        </w:rPr>
        <w:t xml:space="preserve"> property rights in trade and confidential commercial or financial information. </w:t>
      </w:r>
    </w:p>
    <w:p w:rsidR="00DF5E47" w:rsidP="00A87C35" w14:paraId="5E9F8C5B" w14:textId="77777777">
      <w:pPr>
        <w:pStyle w:val="ListParagraph"/>
        <w:numPr>
          <w:ilvl w:val="0"/>
          <w:numId w:val="1"/>
        </w:numPr>
        <w:spacing w:before="276"/>
        <w:ind w:left="0" w:firstLine="0"/>
        <w:rPr>
          <w:sz w:val="24"/>
          <w:u w:val="none"/>
        </w:rPr>
      </w:pPr>
      <w:r>
        <w:rPr>
          <w:sz w:val="24"/>
        </w:rPr>
        <w:t>Justification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Sensitive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Questions</w:t>
      </w:r>
    </w:p>
    <w:p w:rsidR="004C674B" w:rsidRPr="000014C9" w:rsidP="00A87C35" w14:paraId="412A9BBE" w14:textId="77777777">
      <w:pPr>
        <w:pStyle w:val="BodyText"/>
        <w:spacing w:before="276"/>
        <w:rPr>
          <w:spacing w:val="-2"/>
        </w:rPr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collection.</w:t>
      </w:r>
    </w:p>
    <w:p w:rsidR="00FA5151" w:rsidRPr="00050D8C" w:rsidP="00A87C35" w14:paraId="51A34499" w14:textId="77777777">
      <w:pPr>
        <w:pStyle w:val="BodyText"/>
        <w:numPr>
          <w:ilvl w:val="0"/>
          <w:numId w:val="1"/>
        </w:numPr>
        <w:spacing w:before="276"/>
        <w:ind w:left="0" w:firstLine="0"/>
        <w:rPr>
          <w:spacing w:val="-2"/>
        </w:rPr>
      </w:pPr>
      <w:r>
        <w:rPr>
          <w:spacing w:val="-4"/>
        </w:rPr>
        <w:t xml:space="preserve"> </w:t>
      </w:r>
      <w:r w:rsidRPr="000014C9">
        <w:rPr>
          <w:spacing w:val="-4"/>
          <w:u w:val="single"/>
        </w:rPr>
        <w:t xml:space="preserve">Estimates of Annualized Burden </w:t>
      </w:r>
      <w:r>
        <w:rPr>
          <w:spacing w:val="-4"/>
          <w:u w:val="single"/>
        </w:rPr>
        <w:t>Hours</w:t>
      </w:r>
      <w:r w:rsidRPr="000014C9">
        <w:rPr>
          <w:spacing w:val="-4"/>
          <w:u w:val="single"/>
        </w:rPr>
        <w:t xml:space="preserve"> and </w:t>
      </w:r>
      <w:r>
        <w:rPr>
          <w:spacing w:val="-4"/>
          <w:u w:val="single"/>
        </w:rPr>
        <w:t>Cost</w:t>
      </w:r>
    </w:p>
    <w:p w:rsidR="00050D8C" w:rsidP="003323B4" w14:paraId="300A3A7B" w14:textId="77777777">
      <w:pPr>
        <w:widowControl/>
        <w:autoSpaceDE/>
        <w:autoSpaceDN/>
        <w:ind w:firstLine="720"/>
        <w:contextualSpacing/>
        <w:jc w:val="center"/>
        <w:rPr>
          <w:sz w:val="24"/>
          <w:szCs w:val="24"/>
        </w:rPr>
      </w:pPr>
    </w:p>
    <w:p w:rsidR="00050D8C" w:rsidP="003323B4" w14:paraId="792C509F" w14:textId="0E7B81DB">
      <w:pPr>
        <w:widowControl/>
        <w:autoSpaceDE/>
        <w:autoSpaceDN/>
        <w:ind w:firstLine="720"/>
        <w:contextualSpacing/>
        <w:rPr>
          <w:sz w:val="24"/>
          <w:szCs w:val="24"/>
        </w:rPr>
      </w:pPr>
      <w:r w:rsidRPr="00C43E7F">
        <w:rPr>
          <w:i/>
          <w:iCs/>
          <w:sz w:val="24"/>
          <w:szCs w:val="24"/>
        </w:rPr>
        <w:t xml:space="preserve">12a.  </w:t>
      </w:r>
      <w:r w:rsidRPr="00C43E7F" w:rsidR="00C43E7F">
        <w:rPr>
          <w:i/>
          <w:iCs/>
          <w:sz w:val="24"/>
          <w:szCs w:val="24"/>
        </w:rPr>
        <w:t xml:space="preserve">Estimated </w:t>
      </w:r>
      <w:r w:rsidR="00C73C7F">
        <w:rPr>
          <w:i/>
          <w:iCs/>
          <w:sz w:val="24"/>
          <w:szCs w:val="24"/>
        </w:rPr>
        <w:t xml:space="preserve">Annual </w:t>
      </w:r>
      <w:r w:rsidRPr="00C43E7F" w:rsidR="00C43E7F">
        <w:rPr>
          <w:i/>
          <w:iCs/>
          <w:sz w:val="24"/>
          <w:szCs w:val="24"/>
        </w:rPr>
        <w:t>Hourly Burden</w:t>
      </w:r>
      <w:r w:rsidR="00C43E7F">
        <w:rPr>
          <w:sz w:val="24"/>
          <w:szCs w:val="24"/>
        </w:rPr>
        <w:t>.</w:t>
      </w:r>
    </w:p>
    <w:p w:rsidR="00050D8C" w:rsidP="003323B4" w14:paraId="7694B0F2" w14:textId="77777777">
      <w:pPr>
        <w:widowControl/>
        <w:autoSpaceDE/>
        <w:autoSpaceDN/>
        <w:ind w:firstLine="720"/>
        <w:contextualSpacing/>
        <w:jc w:val="center"/>
        <w:rPr>
          <w:sz w:val="24"/>
          <w:szCs w:val="24"/>
        </w:rPr>
      </w:pPr>
    </w:p>
    <w:p w:rsidR="00050D8C" w:rsidRPr="00050D8C" w:rsidP="003323B4" w14:paraId="5FF6F31A" w14:textId="341DCED6">
      <w:pPr>
        <w:widowControl/>
        <w:autoSpaceDE/>
        <w:autoSpaceDN/>
        <w:ind w:firstLine="720"/>
        <w:contextualSpacing/>
        <w:jc w:val="center"/>
        <w:rPr>
          <w:sz w:val="24"/>
          <w:szCs w:val="24"/>
          <w:vertAlign w:val="superscript"/>
        </w:rPr>
      </w:pPr>
      <w:r w:rsidRPr="00050D8C">
        <w:rPr>
          <w:sz w:val="24"/>
          <w:szCs w:val="24"/>
        </w:rPr>
        <w:t>Table 1--Estimated Annual Reporting Burden</w:t>
      </w:r>
      <w:r w:rsidRPr="00050D8C">
        <w:rPr>
          <w:sz w:val="24"/>
          <w:szCs w:val="24"/>
          <w:vertAlign w:val="superscript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1239"/>
        <w:gridCol w:w="1161"/>
        <w:gridCol w:w="1061"/>
        <w:gridCol w:w="983"/>
        <w:gridCol w:w="1318"/>
      </w:tblGrid>
      <w:tr w14:paraId="050A39F5" w14:textId="77777777" w:rsidTr="00047B0F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1FD9278E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Reporting Under Section 524 of the FD&amp;C Act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68CF36C5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No. of Respondents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707508A4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54D97D0E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Total Annual Responses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369F5721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bCs/>
                <w:sz w:val="20"/>
                <w:szCs w:val="20"/>
              </w:rPr>
              <w:t>Average Burden per Response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19DE6D0D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Total Hours</w:t>
            </w:r>
          </w:p>
        </w:tc>
      </w:tr>
      <w:tr w14:paraId="321FA858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745E224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Priority Review Voucher Request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5A54DE9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04EB617B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5507686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183C09A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524B699E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5"/>
                <w:sz w:val="20"/>
                <w:szCs w:val="20"/>
              </w:rPr>
              <w:t>8</w:t>
            </w:r>
          </w:p>
        </w:tc>
      </w:tr>
      <w:tr w14:paraId="61010168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0389F89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Notifications of Intent To Use a Voucher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5F114F7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3621F64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4FF0B84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60DB9E57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6456622B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5"/>
                <w:sz w:val="20"/>
                <w:szCs w:val="20"/>
              </w:rPr>
              <w:t>16</w:t>
            </w:r>
          </w:p>
        </w:tc>
      </w:tr>
      <w:tr w14:paraId="21EB0D25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7E9FE14C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Letters Indicating the Transfer of a Voucher Letter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56931DBD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64E8C2A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5081AA6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19735B2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797BEAC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8</w:t>
            </w:r>
          </w:p>
        </w:tc>
      </w:tr>
      <w:tr w14:paraId="55A636D8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5163FC1D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Acknowledging the Receipt of a Transferred Voucher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03CBBCCE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3A16DD4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1A33368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39C05F38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2411B05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8</w:t>
            </w:r>
          </w:p>
        </w:tc>
      </w:tr>
      <w:tr w14:paraId="0F7E92E1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6492DC6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Attestation of Eligibility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711D3BE5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1</w:t>
            </w: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098FA50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1</w:t>
            </w: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66BB83B7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42B8F2D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2</w:t>
            </w: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4C485F58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2</w:t>
            </w:r>
          </w:p>
        </w:tc>
      </w:tr>
      <w:tr w14:paraId="7E87A25B" w14:textId="77777777" w:rsidTr="00047B0F">
        <w:tblPrEx>
          <w:tblW w:w="5000" w:type="pct"/>
          <w:jc w:val="center"/>
          <w:tblLook w:val="01E0"/>
        </w:tblPrEx>
        <w:trPr>
          <w:cantSplit/>
          <w:trHeight w:val="20"/>
          <w:jc w:val="center"/>
        </w:trPr>
        <w:tc>
          <w:tcPr>
            <w:tcW w:w="1920" w:type="pct"/>
            <w:shd w:val="clear" w:color="auto" w:fill="auto"/>
          </w:tcPr>
          <w:p w:rsidR="00050D8C" w:rsidRPr="00050D8C" w:rsidP="003323B4" w14:paraId="05D58866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Total</w:t>
            </w:r>
          </w:p>
        </w:tc>
        <w:tc>
          <w:tcPr>
            <w:tcW w:w="662" w:type="pct"/>
            <w:shd w:val="clear" w:color="auto" w:fill="auto"/>
          </w:tcPr>
          <w:p w:rsidR="00050D8C" w:rsidRPr="00050D8C" w:rsidP="003323B4" w14:paraId="6BDE6F8B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050D8C" w:rsidRPr="00050D8C" w:rsidP="003323B4" w14:paraId="4F6A1411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auto"/>
          </w:tcPr>
          <w:p w:rsidR="00050D8C" w:rsidRPr="00050D8C" w:rsidP="003323B4" w14:paraId="3390B1A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</w:tcPr>
          <w:p w:rsidR="00050D8C" w:rsidRPr="00050D8C" w:rsidP="003323B4" w14:paraId="50FC5FE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:rsidR="00050D8C" w:rsidRPr="00050D8C" w:rsidP="003323B4" w14:paraId="7CF92ED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50D8C">
              <w:rPr>
                <w:sz w:val="20"/>
                <w:szCs w:val="20"/>
              </w:rPr>
              <w:t>42</w:t>
            </w:r>
          </w:p>
        </w:tc>
      </w:tr>
    </w:tbl>
    <w:p w:rsidR="00050D8C" w:rsidRPr="00050D8C" w:rsidP="003323B4" w14:paraId="346C87C0" w14:textId="77777777">
      <w:pPr>
        <w:widowControl/>
        <w:autoSpaceDE/>
        <w:autoSpaceDN/>
        <w:rPr>
          <w:sz w:val="20"/>
          <w:szCs w:val="20"/>
        </w:rPr>
      </w:pPr>
      <w:r w:rsidRPr="00050D8C">
        <w:rPr>
          <w:sz w:val="20"/>
          <w:szCs w:val="20"/>
          <w:vertAlign w:val="superscript"/>
        </w:rPr>
        <w:t xml:space="preserve">1 </w:t>
      </w:r>
      <w:r w:rsidRPr="00050D8C">
        <w:rPr>
          <w:sz w:val="20"/>
          <w:szCs w:val="20"/>
        </w:rPr>
        <w:t>There are no capital costs or operating and maintenance costs associated with this collection of information.</w:t>
      </w:r>
    </w:p>
    <w:p w:rsidR="00050D8C" w:rsidRPr="00050D8C" w:rsidP="003323B4" w14:paraId="42A0B2FB" w14:textId="77777777">
      <w:pPr>
        <w:widowControl/>
        <w:autoSpaceDE/>
        <w:autoSpaceDN/>
        <w:rPr>
          <w:sz w:val="24"/>
          <w:szCs w:val="24"/>
        </w:rPr>
      </w:pPr>
    </w:p>
    <w:p w:rsidR="00FA5151" w:rsidRPr="003323B4" w:rsidP="003323B4" w14:paraId="1FD5AECE" w14:textId="0EFD3EA2">
      <w:pPr>
        <w:widowControl/>
        <w:autoSpaceDE/>
        <w:autoSpaceDN/>
        <w:ind w:firstLine="720"/>
        <w:rPr>
          <w:sz w:val="24"/>
          <w:szCs w:val="24"/>
        </w:rPr>
      </w:pPr>
      <w:r w:rsidRPr="004708F6">
        <w:rPr>
          <w:sz w:val="24"/>
          <w:szCs w:val="24"/>
        </w:rPr>
        <w:t>During the last 3 years, we have not received any new Priority Review Voucher requests or Attestations of eligibility; therefore, we estimate we will receive one or fewer of each of these submissions annually. Although we have not received any of these submissions in the last 3 years, these information collection provisions should be extended to provide for the potential future need of respondents to submit them</w:t>
      </w:r>
      <w:r>
        <w:rPr>
          <w:sz w:val="24"/>
          <w:szCs w:val="24"/>
        </w:rPr>
        <w:t>.</w:t>
      </w:r>
    </w:p>
    <w:p w:rsidR="005B4A94" w:rsidP="003323B4" w14:paraId="19A93E9D" w14:textId="065256B9">
      <w:pPr>
        <w:pStyle w:val="BodyText"/>
        <w:spacing w:before="276"/>
        <w:ind w:firstLine="450"/>
        <w:rPr>
          <w:spacing w:val="-2"/>
        </w:rPr>
      </w:pPr>
      <w:r w:rsidRPr="00D36EAF">
        <w:rPr>
          <w:i/>
          <w:iCs/>
        </w:rPr>
        <w:t>12b.</w:t>
      </w:r>
      <w:r w:rsidRPr="00D36EAF">
        <w:rPr>
          <w:i/>
          <w:iCs/>
          <w:spacing w:val="57"/>
        </w:rPr>
        <w:t xml:space="preserve"> </w:t>
      </w:r>
      <w:r w:rsidRPr="00D36EAF">
        <w:rPr>
          <w:i/>
          <w:iCs/>
        </w:rPr>
        <w:t>Annualized</w:t>
      </w:r>
      <w:r w:rsidRPr="00D36EAF">
        <w:rPr>
          <w:i/>
          <w:iCs/>
          <w:spacing w:val="-1"/>
        </w:rPr>
        <w:t xml:space="preserve"> </w:t>
      </w:r>
      <w:r w:rsidRPr="00D36EAF">
        <w:rPr>
          <w:i/>
          <w:iCs/>
        </w:rPr>
        <w:t>Cost</w:t>
      </w:r>
      <w:r w:rsidRPr="00D36EAF">
        <w:rPr>
          <w:i/>
          <w:iCs/>
          <w:spacing w:val="-1"/>
        </w:rPr>
        <w:t xml:space="preserve"> </w:t>
      </w:r>
      <w:r w:rsidRPr="00D36EAF">
        <w:rPr>
          <w:i/>
          <w:iCs/>
        </w:rPr>
        <w:t>Burden</w:t>
      </w:r>
      <w:r w:rsidRPr="00D36EAF">
        <w:rPr>
          <w:i/>
          <w:iCs/>
          <w:spacing w:val="-1"/>
        </w:rPr>
        <w:t xml:space="preserve"> </w:t>
      </w:r>
      <w:r w:rsidRPr="00D36EAF">
        <w:rPr>
          <w:i/>
          <w:iCs/>
          <w:spacing w:val="-2"/>
        </w:rPr>
        <w:t>Estimat</w:t>
      </w:r>
      <w:r w:rsidR="00D36EAF">
        <w:rPr>
          <w:spacing w:val="-2"/>
        </w:rPr>
        <w:t>e.</w:t>
      </w:r>
    </w:p>
    <w:p w:rsidR="005B4A94" w:rsidP="003323B4" w14:paraId="32FA6E59" w14:textId="77777777">
      <w:pPr>
        <w:ind w:firstLine="450"/>
      </w:pPr>
    </w:p>
    <w:p w:rsidR="00DF5E47" w:rsidRPr="005B4A94" w:rsidP="003323B4" w14:paraId="5E9F8C75" w14:textId="0CD3C35D">
      <w:pPr>
        <w:ind w:firstLine="450"/>
        <w:rPr>
          <w:spacing w:val="-2"/>
          <w:sz w:val="24"/>
        </w:rPr>
      </w:pPr>
      <w:r>
        <w:t>We</w:t>
      </w:r>
      <w:r>
        <w:rPr>
          <w:spacing w:val="-9"/>
        </w:rPr>
        <w:t xml:space="preserve"> </w:t>
      </w:r>
      <w:r w:rsidR="00D36EAF">
        <w:rPr>
          <w:spacing w:val="-9"/>
        </w:rPr>
        <w:t xml:space="preserve">assume </w:t>
      </w:r>
      <w:r>
        <w:t>an</w:t>
      </w:r>
      <w:r>
        <w:rPr>
          <w:spacing w:val="-8"/>
        </w:rPr>
        <w:t xml:space="preserve"> </w:t>
      </w:r>
      <w:r>
        <w:t>average</w:t>
      </w:r>
      <w:r>
        <w:rPr>
          <w:spacing w:val="-12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industry</w:t>
      </w:r>
      <w:r>
        <w:rPr>
          <w:spacing w:val="-11"/>
        </w:rPr>
        <w:t xml:space="preserve"> </w:t>
      </w:r>
      <w:r>
        <w:t>wage</w:t>
      </w:r>
      <w:r>
        <w:rPr>
          <w:spacing w:val="-9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$85.00</w:t>
      </w:r>
      <w:r>
        <w:rPr>
          <w:spacing w:val="-8"/>
        </w:rPr>
        <w:t xml:space="preserve"> </w:t>
      </w:r>
      <w:r>
        <w:t>per hour for preparing and submitting the information collection under the guidance</w:t>
      </w:r>
      <w:r w:rsidR="00D36EAF">
        <w:t xml:space="preserve">.  We calculate the </w:t>
      </w:r>
      <w:r>
        <w:t xml:space="preserve">total hours </w:t>
      </w:r>
      <w:r w:rsidR="00D36EAF">
        <w:t xml:space="preserve">by multiplying the industry wage rate by the total burden hours for an </w:t>
      </w:r>
      <w:r>
        <w:t xml:space="preserve">estimated </w:t>
      </w:r>
      <w:r w:rsidR="00D36EAF">
        <w:t xml:space="preserve">costs to respondents </w:t>
      </w:r>
      <w:r>
        <w:t xml:space="preserve">of </w:t>
      </w:r>
      <w:r w:rsidR="00D36EAF">
        <w:t xml:space="preserve"> </w:t>
      </w:r>
      <w:r>
        <w:t>$</w:t>
      </w:r>
      <w:r w:rsidR="009B6888">
        <w:t>3570</w:t>
      </w:r>
      <w:r w:rsidR="00D36EAF">
        <w:t xml:space="preserve"> annually</w:t>
      </w:r>
      <w:r>
        <w:t>.</w:t>
      </w:r>
    </w:p>
    <w:p w:rsidR="00DF5E47" w:rsidP="003323B4" w14:paraId="5E9F8C76" w14:textId="77777777">
      <w:pPr>
        <w:pStyle w:val="BodyText"/>
        <w:spacing w:before="33"/>
      </w:pPr>
    </w:p>
    <w:p w:rsidR="004708F6" w14:paraId="73F1F4A8" w14:textId="77777777">
      <w:pPr>
        <w:rPr>
          <w:sz w:val="24"/>
          <w:u w:val="single" w:color="000000"/>
        </w:rPr>
      </w:pPr>
      <w:r>
        <w:rPr>
          <w:sz w:val="24"/>
        </w:rPr>
        <w:br w:type="page"/>
      </w:r>
    </w:p>
    <w:p w:rsidR="00DF5E47" w:rsidP="00387A10" w14:paraId="5E9F8C77" w14:textId="24588BA5">
      <w:pPr>
        <w:pStyle w:val="ListParagraph"/>
        <w:numPr>
          <w:ilvl w:val="0"/>
          <w:numId w:val="1"/>
        </w:numPr>
        <w:spacing w:before="1"/>
        <w:ind w:left="0" w:right="90" w:firstLine="0"/>
        <w:rPr>
          <w:sz w:val="24"/>
          <w:u w:val="none"/>
        </w:rPr>
      </w:pPr>
      <w:r>
        <w:rPr>
          <w:sz w:val="24"/>
        </w:rPr>
        <w:t>Estimates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Burden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 w:rsidR="00387A10">
        <w:rPr>
          <w:sz w:val="24"/>
        </w:rPr>
        <w:t xml:space="preserve"> </w:t>
      </w:r>
      <w:r w:rsidR="002F6C3E">
        <w:rPr>
          <w:sz w:val="24"/>
        </w:rPr>
        <w:t xml:space="preserve">Respondents/Recordkeepers or </w:t>
      </w:r>
      <w:r>
        <w:rPr>
          <w:sz w:val="24"/>
        </w:rPr>
        <w:t>Capital Costs</w:t>
      </w:r>
    </w:p>
    <w:p w:rsidR="00DF5E47" w:rsidP="003323B4" w14:paraId="5E9F8C78" w14:textId="77777777">
      <w:pPr>
        <w:pStyle w:val="BodyText"/>
        <w:spacing w:before="276"/>
        <w:ind w:right="642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costs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collection of information.</w:t>
      </w:r>
    </w:p>
    <w:p w:rsidR="00DF5E47" w:rsidP="003323B4" w14:paraId="5E9F8C79" w14:textId="441F6EF7">
      <w:pPr>
        <w:pStyle w:val="ListParagraph"/>
        <w:numPr>
          <w:ilvl w:val="0"/>
          <w:numId w:val="1"/>
        </w:numPr>
        <w:spacing w:before="276"/>
        <w:ind w:left="0" w:firstLine="0"/>
        <w:rPr>
          <w:sz w:val="24"/>
          <w:u w:val="none"/>
        </w:rPr>
      </w:pPr>
      <w:r>
        <w:rPr>
          <w:sz w:val="24"/>
        </w:rPr>
        <w:t>Annualized</w:t>
      </w:r>
      <w:r>
        <w:rPr>
          <w:spacing w:val="-8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Government</w:t>
      </w:r>
    </w:p>
    <w:p w:rsidR="00DF5E47" w:rsidP="003323B4" w14:paraId="5E9F8C7A" w14:textId="5FE44872">
      <w:pPr>
        <w:pStyle w:val="BodyText"/>
        <w:spacing w:before="273"/>
        <w:ind w:right="565"/>
      </w:pPr>
      <w:r>
        <w:t>The total cost to Federal government is $</w:t>
      </w:r>
      <w:r w:rsidR="008E2980">
        <w:t>2</w:t>
      </w:r>
      <w:r w:rsidR="00A446F4">
        <w:t>,</w:t>
      </w:r>
      <w:r w:rsidR="008E2980">
        <w:t>220</w:t>
      </w:r>
      <w:r>
        <w:t xml:space="preserve"> (rounded to the nearest dollar).</w:t>
      </w:r>
      <w:r>
        <w:rPr>
          <w:spacing w:val="40"/>
        </w:rPr>
        <w:t xml:space="preserve"> </w:t>
      </w:r>
      <w:r>
        <w:t>This is calculated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multiplying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FDA</w:t>
      </w:r>
      <w:r>
        <w:rPr>
          <w:spacing w:val="-7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</w:t>
      </w:r>
      <w:r w:rsidRPr="00B02126" w:rsidR="00976DC6">
        <w:t>37</w:t>
      </w:r>
      <w:r w:rsidRPr="00646900">
        <w:t>)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hourly</w:t>
      </w:r>
      <w:r>
        <w:rPr>
          <w:spacing w:val="-9"/>
        </w:rPr>
        <w:t xml:space="preserve"> </w:t>
      </w:r>
      <w:r>
        <w:t>wage</w:t>
      </w:r>
      <w:r>
        <w:rPr>
          <w:spacing w:val="-9"/>
        </w:rPr>
        <w:t xml:space="preserve"> </w:t>
      </w:r>
      <w:r>
        <w:t>of</w:t>
      </w:r>
    </w:p>
    <w:p w:rsidR="00DF5E47" w:rsidP="003323B4" w14:paraId="5E9F8C7B" w14:textId="77777777">
      <w:pPr>
        <w:pStyle w:val="BodyText"/>
      </w:pPr>
      <w:r>
        <w:t>$60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voucher.</w:t>
      </w:r>
    </w:p>
    <w:p w:rsidR="00DF5E47" w:rsidP="003323B4" w14:paraId="5E9F8C7C" w14:textId="77777777">
      <w:pPr>
        <w:pStyle w:val="BodyText"/>
        <w:spacing w:before="47"/>
        <w:rPr>
          <w:sz w:val="20"/>
        </w:rPr>
      </w:pPr>
    </w:p>
    <w:tbl>
      <w:tblPr>
        <w:tblW w:w="9672" w:type="dxa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93"/>
        <w:gridCol w:w="1711"/>
        <w:gridCol w:w="1709"/>
        <w:gridCol w:w="1260"/>
        <w:gridCol w:w="899"/>
      </w:tblGrid>
      <w:tr w14:paraId="5E9F8C84" w14:textId="77777777" w:rsidTr="00C63FF3">
        <w:tblPrEx>
          <w:tblW w:w="9672" w:type="dxa"/>
          <w:tblInd w:w="-1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7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DF5E47" w:rsidP="003323B4" w14:paraId="5E9F8C7D" w14:textId="77777777">
            <w:pPr>
              <w:pStyle w:val="TableParagraph"/>
              <w:spacing w:line="240" w:lineRule="auto"/>
              <w:ind w:right="114"/>
            </w:pPr>
            <w:r>
              <w:t>Guidance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Industry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Tropical </w:t>
            </w:r>
            <w:r>
              <w:rPr>
                <w:spacing w:val="-2"/>
              </w:rPr>
              <w:t>Disease</w:t>
            </w:r>
            <w:r>
              <w:t xml:space="preserve"> </w:t>
            </w:r>
            <w:r>
              <w:rPr>
                <w:spacing w:val="-2"/>
              </w:rPr>
              <w:t>Priority</w:t>
            </w:r>
            <w:r>
              <w:t xml:space="preserve"> </w:t>
            </w:r>
            <w:r>
              <w:rPr>
                <w:spacing w:val="-2"/>
              </w:rPr>
              <w:t>Review</w:t>
            </w:r>
            <w:r>
              <w:t xml:space="preserve"> </w:t>
            </w:r>
            <w:r>
              <w:rPr>
                <w:spacing w:val="-2"/>
              </w:rPr>
              <w:t>Vouchers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DF5E47" w:rsidP="003323B4" w14:paraId="5E9F8C7E" w14:textId="77777777">
            <w:pPr>
              <w:pStyle w:val="TableParagraph"/>
              <w:spacing w:line="240" w:lineRule="auto"/>
            </w:pPr>
            <w:r>
              <w:rPr>
                <w:spacing w:val="-2"/>
              </w:rP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Annual Industry</w:t>
            </w:r>
          </w:p>
          <w:p w:rsidR="00DF5E47" w:rsidP="003323B4" w14:paraId="5E9F8C7F" w14:textId="77777777">
            <w:pPr>
              <w:pStyle w:val="TableParagraph"/>
              <w:spacing w:line="227" w:lineRule="exact"/>
            </w:pPr>
            <w:r>
              <w:rPr>
                <w:spacing w:val="-2"/>
              </w:rPr>
              <w:t>Submissions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DF5E47" w:rsidP="003323B4" w14:paraId="5E9F8C80" w14:textId="77777777">
            <w:pPr>
              <w:pStyle w:val="TableParagraph"/>
              <w:spacing w:line="240" w:lineRule="auto"/>
            </w:pPr>
            <w:r>
              <w:t>FDA</w:t>
            </w:r>
            <w:r>
              <w:rPr>
                <w:spacing w:val="-14"/>
              </w:rPr>
              <w:t xml:space="preserve"> </w:t>
            </w:r>
            <w:r>
              <w:t>Hours</w:t>
            </w:r>
            <w:r>
              <w:rPr>
                <w:spacing w:val="-14"/>
              </w:rPr>
              <w:t xml:space="preserve"> </w:t>
            </w:r>
            <w:r>
              <w:t>to Review</w:t>
            </w:r>
            <w:r>
              <w:rPr>
                <w:spacing w:val="-12"/>
              </w:rPr>
              <w:t xml:space="preserve"> </w:t>
            </w:r>
            <w:r>
              <w:t>Each</w:t>
            </w:r>
          </w:p>
          <w:p w:rsidR="00DF5E47" w:rsidP="003323B4" w14:paraId="5E9F8C81" w14:textId="77777777">
            <w:pPr>
              <w:pStyle w:val="TableParagraph"/>
              <w:spacing w:line="227" w:lineRule="exact"/>
            </w:pPr>
            <w:r>
              <w:rPr>
                <w:spacing w:val="-2"/>
              </w:rPr>
              <w:t>Submission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DF5E47" w:rsidP="003323B4" w14:paraId="5E9F8C82" w14:textId="77777777">
            <w:pPr>
              <w:pStyle w:val="TableParagraph"/>
              <w:spacing w:line="240" w:lineRule="auto"/>
              <w:ind w:right="618"/>
            </w:pPr>
            <w:r>
              <w:rPr>
                <w:spacing w:val="-2"/>
              </w:rPr>
              <w:t xml:space="preserve">Total </w:t>
            </w:r>
            <w:r>
              <w:rPr>
                <w:spacing w:val="-8"/>
              </w:rPr>
              <w:t>Hours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DF5E47" w:rsidP="003323B4" w14:paraId="5E9F8C83" w14:textId="77777777">
            <w:pPr>
              <w:pStyle w:val="TableParagraph"/>
              <w:spacing w:line="240" w:lineRule="auto"/>
              <w:ind w:right="428"/>
            </w:pPr>
            <w:r>
              <w:rPr>
                <w:spacing w:val="-6"/>
              </w:rPr>
              <w:t xml:space="preserve">Total </w:t>
            </w:r>
            <w:r>
              <w:rPr>
                <w:spacing w:val="-4"/>
              </w:rPr>
              <w:t>Cost</w:t>
            </w:r>
          </w:p>
        </w:tc>
      </w:tr>
      <w:tr w14:paraId="5E9F8C8A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5" w14:textId="77777777">
            <w:pPr>
              <w:pStyle w:val="TableParagraph"/>
              <w:spacing w:line="224" w:lineRule="exact"/>
            </w:pPr>
            <w:r>
              <w:rPr>
                <w:spacing w:val="-2"/>
              </w:rPr>
              <w:t>Priority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Voucher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6" w14:textId="53BC1C7F">
            <w:pPr>
              <w:pStyle w:val="TableParagraph"/>
              <w:spacing w:line="224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7" w14:textId="10730026">
            <w:pPr>
              <w:pStyle w:val="TableParagraph"/>
              <w:spacing w:line="224" w:lineRule="exact"/>
              <w:ind w:right="79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8" w14:textId="729E213B">
            <w:pPr>
              <w:pStyle w:val="TableParagraph"/>
              <w:spacing w:line="224" w:lineRule="exact"/>
              <w:ind w:right="8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9" w14:textId="376DC042">
            <w:pPr>
              <w:pStyle w:val="TableParagraph"/>
              <w:spacing w:line="224" w:lineRule="exact"/>
              <w:ind w:right="-15"/>
            </w:pPr>
            <w:r>
              <w:rPr>
                <w:spacing w:val="-2"/>
              </w:rPr>
              <w:t>$</w:t>
            </w:r>
            <w:r w:rsidR="0098537B">
              <w:rPr>
                <w:spacing w:val="-2"/>
              </w:rPr>
              <w:t xml:space="preserve"> </w:t>
            </w:r>
            <w:r w:rsidR="00D8647B">
              <w:rPr>
                <w:spacing w:val="-2"/>
              </w:rPr>
              <w:t>960</w:t>
            </w:r>
          </w:p>
        </w:tc>
      </w:tr>
      <w:tr w14:paraId="5E9F8C91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C" w14:textId="65A76CB4">
            <w:pPr>
              <w:pStyle w:val="TableParagraph"/>
              <w:spacing w:line="226" w:lineRule="exact"/>
            </w:pPr>
            <w:r>
              <w:t>Notifications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Intent</w:t>
            </w:r>
            <w:r>
              <w:rPr>
                <w:spacing w:val="-6"/>
              </w:rPr>
              <w:t xml:space="preserve"> </w:t>
            </w:r>
            <w:r w:rsidR="006F602A">
              <w:t>to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Voucher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D" w14:textId="208B2784">
            <w:pPr>
              <w:pStyle w:val="TableParagraph"/>
              <w:spacing w:line="226" w:lineRule="exact"/>
              <w:ind w:right="86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E" w14:textId="77777777">
            <w:pPr>
              <w:pStyle w:val="TableParagraph"/>
              <w:spacing w:line="226" w:lineRule="exact"/>
              <w:ind w:right="8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8F" w14:textId="77777777">
            <w:pPr>
              <w:pStyle w:val="TableParagraph"/>
              <w:spacing w:line="226" w:lineRule="exact"/>
              <w:ind w:right="82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0" w14:textId="1577B1D2">
            <w:pPr>
              <w:pStyle w:val="TableParagraph"/>
              <w:spacing w:line="226" w:lineRule="exact"/>
            </w:pPr>
            <w:r>
              <w:t>$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960</w:t>
            </w:r>
          </w:p>
        </w:tc>
      </w:tr>
      <w:tr w14:paraId="5E9F8C98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2" w14:textId="77777777">
            <w:pPr>
              <w:pStyle w:val="TableParagraph"/>
              <w:spacing w:line="247" w:lineRule="exact"/>
            </w:pPr>
            <w:r>
              <w:t>Letters</w:t>
            </w:r>
            <w:r>
              <w:rPr>
                <w:spacing w:val="-11"/>
              </w:rPr>
              <w:t xml:space="preserve"> </w:t>
            </w:r>
            <w:r>
              <w:t>Indicating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Transfer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DF5E47" w:rsidP="003323B4" w14:paraId="5E9F8C93" w14:textId="77777777">
            <w:pPr>
              <w:pStyle w:val="TableParagraph"/>
              <w:spacing w:line="229" w:lineRule="exact"/>
            </w:pPr>
            <w:r>
              <w:rPr>
                <w:spacing w:val="-2"/>
              </w:rPr>
              <w:t>Voucher Letter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4" w14:textId="2BED87FA">
            <w:pPr>
              <w:pStyle w:val="TableParagraph"/>
              <w:spacing w:line="243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5" w14:textId="5F18D76C">
            <w:pPr>
              <w:pStyle w:val="TableParagraph"/>
              <w:spacing w:line="243" w:lineRule="exact"/>
              <w:ind w:right="8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6" w14:textId="52864E9F">
            <w:pPr>
              <w:pStyle w:val="TableParagraph"/>
              <w:spacing w:line="243" w:lineRule="exact"/>
              <w:ind w:right="8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7" w14:textId="2F33C077">
            <w:pPr>
              <w:pStyle w:val="TableParagraph"/>
              <w:spacing w:line="243" w:lineRule="exact"/>
            </w:pPr>
            <w:r>
              <w:t xml:space="preserve">$ </w:t>
            </w:r>
            <w:r w:rsidR="004B588C">
              <w:rPr>
                <w:spacing w:val="-5"/>
              </w:rPr>
              <w:t>120</w:t>
            </w:r>
          </w:p>
        </w:tc>
      </w:tr>
      <w:tr w14:paraId="5E9F8C9F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9" w14:textId="77777777">
            <w:pPr>
              <w:pStyle w:val="TableParagraph"/>
              <w:spacing w:line="247" w:lineRule="exact"/>
            </w:pPr>
            <w:r>
              <w:t>Acknowledging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Receipt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a</w:t>
            </w:r>
          </w:p>
          <w:p w:rsidR="00DF5E47" w:rsidP="003323B4" w14:paraId="5E9F8C9A" w14:textId="77777777">
            <w:pPr>
              <w:pStyle w:val="TableParagraph"/>
              <w:spacing w:line="229" w:lineRule="exact"/>
            </w:pPr>
            <w:r>
              <w:rPr>
                <w:spacing w:val="-2"/>
              </w:rPr>
              <w:t>Transferred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Voucher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B" w14:textId="6F6B72BD">
            <w:pPr>
              <w:pStyle w:val="TableParagraph"/>
              <w:spacing w:line="245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C" w14:textId="6F684911">
            <w:pPr>
              <w:pStyle w:val="TableParagraph"/>
              <w:spacing w:line="245" w:lineRule="exact"/>
              <w:ind w:right="8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D" w14:textId="081DB0E1">
            <w:pPr>
              <w:pStyle w:val="TableParagraph"/>
              <w:spacing w:line="245" w:lineRule="exact"/>
              <w:ind w:right="8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9E" w14:textId="761750B9">
            <w:pPr>
              <w:pStyle w:val="TableParagraph"/>
              <w:spacing w:line="245" w:lineRule="exact"/>
            </w:pPr>
            <w:r>
              <w:t xml:space="preserve">$ </w:t>
            </w:r>
            <w:r w:rsidR="005E294B">
              <w:rPr>
                <w:spacing w:val="-5"/>
              </w:rPr>
              <w:t>120</w:t>
            </w:r>
          </w:p>
        </w:tc>
      </w:tr>
      <w:tr w14:paraId="5E9F8CA5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4093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A0" w14:textId="77777777">
            <w:pPr>
              <w:pStyle w:val="TableParagraph"/>
              <w:spacing w:line="247" w:lineRule="exact"/>
            </w:pPr>
            <w:r>
              <w:t>Attestation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eligibility</w:t>
            </w:r>
          </w:p>
        </w:tc>
        <w:tc>
          <w:tcPr>
            <w:tcW w:w="1711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A1" w14:textId="7780B0C1">
            <w:pPr>
              <w:pStyle w:val="TableParagraph"/>
              <w:spacing w:line="245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A2" w14:textId="4C665AC9">
            <w:pPr>
              <w:pStyle w:val="TableParagraph"/>
              <w:spacing w:line="245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A3" w14:textId="1F09DD84">
            <w:pPr>
              <w:pStyle w:val="TableParagraph"/>
              <w:spacing w:line="245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99" w:type="dxa"/>
            <w:tcBorders>
              <w:left w:val="single" w:sz="8" w:space="0" w:color="000000"/>
              <w:right w:val="single" w:sz="8" w:space="0" w:color="000000"/>
            </w:tcBorders>
          </w:tcPr>
          <w:p w:rsidR="00DF5E47" w:rsidP="003323B4" w14:paraId="5E9F8CA4" w14:textId="5883DF1A">
            <w:pPr>
              <w:pStyle w:val="TableParagraph"/>
              <w:spacing w:line="245" w:lineRule="exact"/>
              <w:ind w:right="16"/>
            </w:pPr>
            <w:r>
              <w:t>$</w:t>
            </w:r>
            <w:r>
              <w:rPr>
                <w:spacing w:val="55"/>
              </w:rPr>
              <w:t xml:space="preserve"> </w:t>
            </w:r>
            <w:r w:rsidR="005F0C17">
              <w:rPr>
                <w:spacing w:val="-5"/>
              </w:rPr>
              <w:t>60</w:t>
            </w:r>
          </w:p>
        </w:tc>
      </w:tr>
      <w:tr w14:paraId="5E9F8CAB" w14:textId="77777777" w:rsidTr="003323B4">
        <w:tblPrEx>
          <w:tblW w:w="9672" w:type="dxa"/>
          <w:tblInd w:w="-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7"/>
        </w:trPr>
        <w:tc>
          <w:tcPr>
            <w:tcW w:w="40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E47" w:rsidP="003323B4" w14:paraId="5E9F8CA6" w14:textId="5364ACDB">
            <w:pPr>
              <w:pStyle w:val="TableParagraph"/>
              <w:spacing w:line="227" w:lineRule="exact"/>
            </w:pPr>
            <w:r>
              <w:rPr>
                <w:spacing w:val="-2"/>
              </w:rPr>
              <w:t>T</w:t>
            </w:r>
            <w:r w:rsidR="00BA3483">
              <w:rPr>
                <w:spacing w:val="-2"/>
              </w:rPr>
              <w:t>otal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E47" w:rsidP="003323B4" w14:paraId="5E9F8CA7" w14:textId="7968FF9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E47" w:rsidP="003323B4" w14:paraId="5E9F8CA8" w14:textId="4CE466A5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E47" w:rsidP="003323B4" w14:paraId="5E9F8CA9" w14:textId="09FA0D49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E47" w:rsidP="003323B4" w14:paraId="5E9F8CAA" w14:textId="5612D397">
            <w:pPr>
              <w:pStyle w:val="TableParagraph"/>
              <w:spacing w:line="227" w:lineRule="exact"/>
            </w:pPr>
            <w:r>
              <w:rPr>
                <w:spacing w:val="-2"/>
              </w:rPr>
              <w:t>$</w:t>
            </w:r>
            <w:r w:rsidR="00841E99">
              <w:rPr>
                <w:spacing w:val="-2"/>
              </w:rPr>
              <w:t>2220</w:t>
            </w:r>
          </w:p>
        </w:tc>
      </w:tr>
    </w:tbl>
    <w:p w:rsidR="00DF5E47" w:rsidP="003323B4" w14:paraId="5E9F8CAC" w14:textId="77777777">
      <w:pPr>
        <w:pStyle w:val="BodyText"/>
        <w:spacing w:before="16"/>
      </w:pPr>
    </w:p>
    <w:p w:rsidR="00DF5E47" w:rsidP="003323B4" w14:paraId="5E9F8CAD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Adjustments</w:t>
      </w:r>
    </w:p>
    <w:p w:rsidR="00121C1B" w:rsidP="003323B4" w14:paraId="490E8F0E" w14:textId="77777777">
      <w:pPr>
        <w:pStyle w:val="BodyText"/>
      </w:pPr>
    </w:p>
    <w:p w:rsidR="00DF5E47" w:rsidP="003323B4" w14:paraId="5E9F8CAF" w14:textId="08756624">
      <w:pPr>
        <w:pStyle w:val="BodyText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approval,</w:t>
      </w:r>
      <w:r>
        <w:rPr>
          <w:spacing w:val="-3"/>
        </w:rPr>
        <w:t xml:space="preserve"> </w:t>
      </w:r>
      <w:r>
        <w:t xml:space="preserve">the burden estimate decreased by </w:t>
      </w:r>
      <w:r w:rsidR="00AD4EA1">
        <w:t>46</w:t>
      </w:r>
      <w:r w:rsidR="000D275C">
        <w:t xml:space="preserve"> </w:t>
      </w:r>
      <w:r>
        <w:t>hours based on receipt of fewer vouchers request and other information collection activities.</w:t>
      </w:r>
    </w:p>
    <w:p w:rsidR="00197C3F" w:rsidP="003323B4" w14:paraId="3FB3DA93" w14:textId="77777777">
      <w:pPr>
        <w:pStyle w:val="BodyText"/>
      </w:pPr>
    </w:p>
    <w:p w:rsidR="00DF5E47" w:rsidP="003323B4" w14:paraId="5E9F8CB1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Tabulation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Schedule</w:t>
      </w:r>
    </w:p>
    <w:p w:rsidR="00DF5E47" w:rsidP="003323B4" w14:paraId="5E9F8CB2" w14:textId="77777777">
      <w:pPr>
        <w:pStyle w:val="BodyText"/>
      </w:pPr>
    </w:p>
    <w:p w:rsidR="00DF5E47" w:rsidRPr="000014C9" w:rsidP="003323B4" w14:paraId="5E9F8CB3" w14:textId="77777777">
      <w:pPr>
        <w:pStyle w:val="BodyText"/>
        <w:rPr>
          <w:spacing w:val="-2"/>
        </w:rPr>
      </w:pPr>
      <w:r>
        <w:t>No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tabulation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2"/>
        </w:rPr>
        <w:t xml:space="preserve"> collection.</w:t>
      </w:r>
    </w:p>
    <w:p w:rsidR="00DF5E47" w:rsidP="003323B4" w14:paraId="5E9F8CB4" w14:textId="77777777">
      <w:pPr>
        <w:pStyle w:val="BodyText"/>
      </w:pPr>
    </w:p>
    <w:p w:rsidR="00DF5E47" w:rsidP="003323B4" w14:paraId="5E9F8CB5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Reason(s)</w:t>
      </w:r>
      <w:r>
        <w:rPr>
          <w:spacing w:val="-7"/>
          <w:sz w:val="24"/>
        </w:rPr>
        <w:t xml:space="preserve"> </w:t>
      </w:r>
      <w:r>
        <w:rPr>
          <w:sz w:val="24"/>
        </w:rPr>
        <w:t>Display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OMB</w:t>
      </w:r>
      <w:r>
        <w:rPr>
          <w:spacing w:val="-6"/>
          <w:sz w:val="24"/>
        </w:rPr>
        <w:t xml:space="preserve"> </w:t>
      </w:r>
      <w:r>
        <w:rPr>
          <w:sz w:val="24"/>
        </w:rPr>
        <w:t>Expiration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Inappropriate</w:t>
      </w:r>
    </w:p>
    <w:p w:rsidR="00DF5E47" w:rsidP="003323B4" w14:paraId="5E9F8CB6" w14:textId="77777777">
      <w:pPr>
        <w:pStyle w:val="BodyText"/>
      </w:pPr>
    </w:p>
    <w:p w:rsidR="00DF5E47" w:rsidP="003323B4" w14:paraId="5E9F8CB8" w14:textId="4E788FF0">
      <w:pPr>
        <w:pStyle w:val="BodyText"/>
      </w:pPr>
      <w:r>
        <w:t xml:space="preserve">Display of the OMB </w:t>
      </w:r>
      <w:r w:rsidR="008C06D1">
        <w:t xml:space="preserve">expiration date is appropriate.  </w:t>
      </w:r>
      <w:r w:rsidR="00227A59">
        <w:t>Consistent</w:t>
      </w:r>
      <w:r w:rsidR="00227A59">
        <w:rPr>
          <w:spacing w:val="-3"/>
        </w:rPr>
        <w:t xml:space="preserve"> </w:t>
      </w:r>
      <w:r w:rsidR="00227A59">
        <w:t>with</w:t>
      </w:r>
      <w:r w:rsidR="00227A59">
        <w:rPr>
          <w:spacing w:val="-3"/>
        </w:rPr>
        <w:t xml:space="preserve"> </w:t>
      </w:r>
      <w:r w:rsidR="00227A59">
        <w:t>established</w:t>
      </w:r>
      <w:r w:rsidR="00227A59">
        <w:rPr>
          <w:spacing w:val="-3"/>
        </w:rPr>
        <w:t xml:space="preserve"> </w:t>
      </w:r>
      <w:r w:rsidR="00227A59">
        <w:t>practice</w:t>
      </w:r>
      <w:r w:rsidR="00636870">
        <w:t>,</w:t>
      </w:r>
      <w:r w:rsidR="00227A59">
        <w:rPr>
          <w:spacing w:val="-4"/>
        </w:rPr>
        <w:t xml:space="preserve"> </w:t>
      </w:r>
      <w:r w:rsidR="00227A59">
        <w:t>FDA</w:t>
      </w:r>
      <w:r w:rsidR="00227A59">
        <w:rPr>
          <w:spacing w:val="-4"/>
        </w:rPr>
        <w:t xml:space="preserve"> </w:t>
      </w:r>
      <w:r w:rsidR="00227A59">
        <w:t>will</w:t>
      </w:r>
      <w:r w:rsidR="00227A59">
        <w:rPr>
          <w:spacing w:val="-3"/>
        </w:rPr>
        <w:t xml:space="preserve"> </w:t>
      </w:r>
      <w:r w:rsidR="00227A59">
        <w:t>publish</w:t>
      </w:r>
      <w:r w:rsidR="00227A59">
        <w:rPr>
          <w:spacing w:val="-4"/>
        </w:rPr>
        <w:t xml:space="preserve"> </w:t>
      </w:r>
      <w:r w:rsidR="00227A59">
        <w:t>a</w:t>
      </w:r>
      <w:r w:rsidR="00227A59">
        <w:rPr>
          <w:spacing w:val="-4"/>
        </w:rPr>
        <w:t xml:space="preserve"> </w:t>
      </w:r>
      <w:r w:rsidR="00227A59">
        <w:rPr>
          <w:i/>
        </w:rPr>
        <w:t>Federal</w:t>
      </w:r>
      <w:r w:rsidR="00227A59">
        <w:rPr>
          <w:i/>
          <w:spacing w:val="-3"/>
        </w:rPr>
        <w:t xml:space="preserve"> </w:t>
      </w:r>
      <w:r w:rsidR="00227A59">
        <w:rPr>
          <w:i/>
        </w:rPr>
        <w:t>Register</w:t>
      </w:r>
      <w:r w:rsidR="00227A59">
        <w:rPr>
          <w:i/>
          <w:spacing w:val="-3"/>
        </w:rPr>
        <w:t xml:space="preserve"> </w:t>
      </w:r>
      <w:r w:rsidR="00227A59">
        <w:t>notice</w:t>
      </w:r>
      <w:r w:rsidR="00227A59">
        <w:rPr>
          <w:spacing w:val="-4"/>
        </w:rPr>
        <w:t xml:space="preserve"> </w:t>
      </w:r>
      <w:r w:rsidR="00227A59">
        <w:t>announcing</w:t>
      </w:r>
      <w:r w:rsidR="00227A59">
        <w:rPr>
          <w:spacing w:val="-3"/>
        </w:rPr>
        <w:t xml:space="preserve"> </w:t>
      </w:r>
      <w:r w:rsidR="00227A59">
        <w:t xml:space="preserve">OMB approval of the information collection associated with this guidance document and will display in that notice both the OMB control number and its current expiration date. </w:t>
      </w:r>
      <w:r w:rsidR="002F6C3E">
        <w:t xml:space="preserve"> </w:t>
      </w:r>
      <w:r w:rsidR="00227A59">
        <w:t xml:space="preserve">In addition, the OMB control number will be displayed on the guidance document cover page </w:t>
      </w:r>
      <w:r w:rsidR="004A51F6">
        <w:t xml:space="preserve">which will </w:t>
      </w:r>
      <w:r w:rsidR="00227A59">
        <w:t>include a link</w:t>
      </w:r>
      <w:r w:rsidR="00327254">
        <w:t xml:space="preserve"> to OMB’s website that will identify the current expiration date</w:t>
      </w:r>
      <w:r w:rsidR="00227A59">
        <w:t>.</w:t>
      </w:r>
    </w:p>
    <w:p w:rsidR="00121C1B" w:rsidP="003323B4" w14:paraId="76D8CC41" w14:textId="77777777">
      <w:pPr>
        <w:pStyle w:val="BodyText"/>
      </w:pPr>
    </w:p>
    <w:p w:rsidR="00DF5E47" w:rsidP="003323B4" w14:paraId="5E9F8CB9" w14:textId="77777777">
      <w:pPr>
        <w:pStyle w:val="ListParagraph"/>
        <w:numPr>
          <w:ilvl w:val="0"/>
          <w:numId w:val="1"/>
        </w:numPr>
        <w:ind w:left="0" w:firstLine="0"/>
        <w:rPr>
          <w:sz w:val="24"/>
          <w:u w:val="none"/>
        </w:rPr>
      </w:pPr>
      <w:r>
        <w:rPr>
          <w:sz w:val="24"/>
        </w:rPr>
        <w:t>Exceptions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Paperwork</w:t>
      </w:r>
      <w:r>
        <w:rPr>
          <w:spacing w:val="-2"/>
          <w:sz w:val="24"/>
        </w:rPr>
        <w:t xml:space="preserve"> </w:t>
      </w:r>
      <w:r>
        <w:rPr>
          <w:sz w:val="24"/>
        </w:rPr>
        <w:t>Reduction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Submissions</w:t>
      </w:r>
    </w:p>
    <w:p w:rsidR="003323B4" w:rsidP="003323B4" w14:paraId="1490262E" w14:textId="77777777">
      <w:pPr>
        <w:pStyle w:val="BodyText"/>
      </w:pPr>
    </w:p>
    <w:p w:rsidR="00DF5E47" w:rsidP="003323B4" w14:paraId="5E9F8CBA" w14:textId="521BEE41">
      <w:pPr>
        <w:pStyle w:val="BodyText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certification.</w:t>
      </w:r>
    </w:p>
    <w:sectPr w:rsidSect="00A87C35">
      <w:footerReference w:type="default" r:id="rId5"/>
      <w:type w:val="continuous"/>
      <w:pgSz w:w="12240" w:h="15840"/>
      <w:pgMar w:top="1296" w:right="1440" w:bottom="1296" w:left="1440" w:header="0" w:footer="576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16004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3595" w14:paraId="1A0AD820" w14:textId="258E51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E47" w14:paraId="5E9F8CBD" w14:textId="13363428">
    <w:pPr>
      <w:pStyle w:val="BodyText"/>
      <w:spacing w:line="14" w:lineRule="auto"/>
      <w:rPr>
        <w:sz w:val="17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228D5"/>
    <w:multiLevelType w:val="multilevel"/>
    <w:tmpl w:val="53E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CE0F1B"/>
    <w:multiLevelType w:val="hybridMultilevel"/>
    <w:tmpl w:val="42A63424"/>
    <w:lvl w:ilvl="0">
      <w:start w:val="1"/>
      <w:numFmt w:val="decimal"/>
      <w:lvlText w:val="%1."/>
      <w:lvlJc w:val="left"/>
      <w:pPr>
        <w:ind w:left="50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8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4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303"/>
      </w:pPr>
      <w:rPr>
        <w:rFonts w:hint="default"/>
        <w:lang w:val="en-US" w:eastAsia="en-US" w:bidi="ar-SA"/>
      </w:rPr>
    </w:lvl>
  </w:abstractNum>
  <w:abstractNum w:abstractNumId="2">
    <w:nsid w:val="4A9C79A8"/>
    <w:multiLevelType w:val="hybridMultilevel"/>
    <w:tmpl w:val="EB6AFBC2"/>
    <w:lvl w:ilvl="0">
      <w:start w:val="1"/>
      <w:numFmt w:val="decimal"/>
      <w:lvlText w:val="%1."/>
      <w:lvlJc w:val="left"/>
      <w:pPr>
        <w:ind w:left="44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6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03"/>
      </w:pPr>
      <w:rPr>
        <w:rFonts w:hint="default"/>
        <w:lang w:val="en-US" w:eastAsia="en-US" w:bidi="ar-SA"/>
      </w:rPr>
    </w:lvl>
  </w:abstractNum>
  <w:num w:numId="1" w16cid:durableId="1929263111">
    <w:abstractNumId w:val="1"/>
  </w:num>
  <w:num w:numId="2" w16cid:durableId="396242508">
    <w:abstractNumId w:val="0"/>
  </w:num>
  <w:num w:numId="3" w16cid:durableId="21104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efaultTabStop w:val="288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7"/>
    <w:rsid w:val="000014C9"/>
    <w:rsid w:val="00025B16"/>
    <w:rsid w:val="00037D65"/>
    <w:rsid w:val="00050D8C"/>
    <w:rsid w:val="000523A0"/>
    <w:rsid w:val="00052708"/>
    <w:rsid w:val="000631E4"/>
    <w:rsid w:val="00070027"/>
    <w:rsid w:val="000770E8"/>
    <w:rsid w:val="0009102C"/>
    <w:rsid w:val="0009454B"/>
    <w:rsid w:val="000A5FA1"/>
    <w:rsid w:val="000C3C63"/>
    <w:rsid w:val="000C3F42"/>
    <w:rsid w:val="000D275C"/>
    <w:rsid w:val="000D5A78"/>
    <w:rsid w:val="000E28B4"/>
    <w:rsid w:val="000E568F"/>
    <w:rsid w:val="000F08C0"/>
    <w:rsid w:val="000F6302"/>
    <w:rsid w:val="000F6B3E"/>
    <w:rsid w:val="00121C1B"/>
    <w:rsid w:val="00122A95"/>
    <w:rsid w:val="0012540D"/>
    <w:rsid w:val="00132FBD"/>
    <w:rsid w:val="00146B17"/>
    <w:rsid w:val="00194E7C"/>
    <w:rsid w:val="00197C3F"/>
    <w:rsid w:val="001A5014"/>
    <w:rsid w:val="001C6D08"/>
    <w:rsid w:val="001D1FCF"/>
    <w:rsid w:val="001D317B"/>
    <w:rsid w:val="001D3BF7"/>
    <w:rsid w:val="001E3A60"/>
    <w:rsid w:val="001F15EB"/>
    <w:rsid w:val="001F536B"/>
    <w:rsid w:val="00200A18"/>
    <w:rsid w:val="002107D9"/>
    <w:rsid w:val="00210C2C"/>
    <w:rsid w:val="00210E37"/>
    <w:rsid w:val="002216F5"/>
    <w:rsid w:val="00227A59"/>
    <w:rsid w:val="002334FE"/>
    <w:rsid w:val="00237E73"/>
    <w:rsid w:val="00266446"/>
    <w:rsid w:val="0026689B"/>
    <w:rsid w:val="00272F4A"/>
    <w:rsid w:val="00274564"/>
    <w:rsid w:val="002776B0"/>
    <w:rsid w:val="00286A1B"/>
    <w:rsid w:val="002A45E2"/>
    <w:rsid w:val="002B4748"/>
    <w:rsid w:val="002C6883"/>
    <w:rsid w:val="002C70C4"/>
    <w:rsid w:val="002D3D81"/>
    <w:rsid w:val="002D53C1"/>
    <w:rsid w:val="002E1C0F"/>
    <w:rsid w:val="002F4D93"/>
    <w:rsid w:val="002F6C3E"/>
    <w:rsid w:val="00311733"/>
    <w:rsid w:val="00327254"/>
    <w:rsid w:val="003323B4"/>
    <w:rsid w:val="00345E1A"/>
    <w:rsid w:val="00365502"/>
    <w:rsid w:val="00384E9F"/>
    <w:rsid w:val="003866EA"/>
    <w:rsid w:val="00387A10"/>
    <w:rsid w:val="003942BC"/>
    <w:rsid w:val="003A215E"/>
    <w:rsid w:val="003A2889"/>
    <w:rsid w:val="003A5F11"/>
    <w:rsid w:val="003A674F"/>
    <w:rsid w:val="003B0B79"/>
    <w:rsid w:val="003B6602"/>
    <w:rsid w:val="00404B98"/>
    <w:rsid w:val="00417D07"/>
    <w:rsid w:val="00421B45"/>
    <w:rsid w:val="00455CDD"/>
    <w:rsid w:val="004673CF"/>
    <w:rsid w:val="004708F6"/>
    <w:rsid w:val="0047109D"/>
    <w:rsid w:val="004710AD"/>
    <w:rsid w:val="00482A96"/>
    <w:rsid w:val="0049784D"/>
    <w:rsid w:val="00497D9F"/>
    <w:rsid w:val="004A51F6"/>
    <w:rsid w:val="004B2274"/>
    <w:rsid w:val="004B588C"/>
    <w:rsid w:val="004B6544"/>
    <w:rsid w:val="004C06A4"/>
    <w:rsid w:val="004C3E86"/>
    <w:rsid w:val="004C674B"/>
    <w:rsid w:val="004D66CD"/>
    <w:rsid w:val="004E00BF"/>
    <w:rsid w:val="004E0E95"/>
    <w:rsid w:val="004F79CE"/>
    <w:rsid w:val="00511911"/>
    <w:rsid w:val="00523BCB"/>
    <w:rsid w:val="00532327"/>
    <w:rsid w:val="0053275A"/>
    <w:rsid w:val="0055209B"/>
    <w:rsid w:val="00560E8A"/>
    <w:rsid w:val="00566F4F"/>
    <w:rsid w:val="005707C8"/>
    <w:rsid w:val="0058770A"/>
    <w:rsid w:val="005927A6"/>
    <w:rsid w:val="0059528C"/>
    <w:rsid w:val="005B4A94"/>
    <w:rsid w:val="005C7AE7"/>
    <w:rsid w:val="005D4612"/>
    <w:rsid w:val="005E294B"/>
    <w:rsid w:val="005F06BE"/>
    <w:rsid w:val="005F0C17"/>
    <w:rsid w:val="00624ACC"/>
    <w:rsid w:val="00632B71"/>
    <w:rsid w:val="00636870"/>
    <w:rsid w:val="00643CAC"/>
    <w:rsid w:val="00646900"/>
    <w:rsid w:val="006613AB"/>
    <w:rsid w:val="0067194A"/>
    <w:rsid w:val="00674BCC"/>
    <w:rsid w:val="00677563"/>
    <w:rsid w:val="00677D26"/>
    <w:rsid w:val="006808F9"/>
    <w:rsid w:val="006A5267"/>
    <w:rsid w:val="006A5300"/>
    <w:rsid w:val="006B11D9"/>
    <w:rsid w:val="006C2151"/>
    <w:rsid w:val="006D7B99"/>
    <w:rsid w:val="006F602A"/>
    <w:rsid w:val="00712F8E"/>
    <w:rsid w:val="00724963"/>
    <w:rsid w:val="00724D86"/>
    <w:rsid w:val="00727A19"/>
    <w:rsid w:val="0074494E"/>
    <w:rsid w:val="007462E5"/>
    <w:rsid w:val="00751C8B"/>
    <w:rsid w:val="00764570"/>
    <w:rsid w:val="00767661"/>
    <w:rsid w:val="007713EF"/>
    <w:rsid w:val="00774252"/>
    <w:rsid w:val="007931CF"/>
    <w:rsid w:val="007A033F"/>
    <w:rsid w:val="007A2B36"/>
    <w:rsid w:val="007B251A"/>
    <w:rsid w:val="007B7FC6"/>
    <w:rsid w:val="007D570F"/>
    <w:rsid w:val="007D6B38"/>
    <w:rsid w:val="007E6391"/>
    <w:rsid w:val="007F6C2D"/>
    <w:rsid w:val="00821311"/>
    <w:rsid w:val="00833B79"/>
    <w:rsid w:val="00841E99"/>
    <w:rsid w:val="00850E9A"/>
    <w:rsid w:val="00876262"/>
    <w:rsid w:val="00880345"/>
    <w:rsid w:val="008810D8"/>
    <w:rsid w:val="00883BDE"/>
    <w:rsid w:val="008975B5"/>
    <w:rsid w:val="008A0A91"/>
    <w:rsid w:val="008C06D1"/>
    <w:rsid w:val="008C4E47"/>
    <w:rsid w:val="008E2980"/>
    <w:rsid w:val="008F537E"/>
    <w:rsid w:val="008F6411"/>
    <w:rsid w:val="00903CB1"/>
    <w:rsid w:val="009219E2"/>
    <w:rsid w:val="00922DD0"/>
    <w:rsid w:val="00954A15"/>
    <w:rsid w:val="00962877"/>
    <w:rsid w:val="0097299A"/>
    <w:rsid w:val="0097402A"/>
    <w:rsid w:val="00976DC6"/>
    <w:rsid w:val="009834E3"/>
    <w:rsid w:val="0098537B"/>
    <w:rsid w:val="0098764F"/>
    <w:rsid w:val="009B6888"/>
    <w:rsid w:val="009C2D9D"/>
    <w:rsid w:val="009C4049"/>
    <w:rsid w:val="009D4F55"/>
    <w:rsid w:val="009F3259"/>
    <w:rsid w:val="00A329F0"/>
    <w:rsid w:val="00A35FF9"/>
    <w:rsid w:val="00A403C1"/>
    <w:rsid w:val="00A422F7"/>
    <w:rsid w:val="00A446F4"/>
    <w:rsid w:val="00A50ED7"/>
    <w:rsid w:val="00A5601B"/>
    <w:rsid w:val="00A608EE"/>
    <w:rsid w:val="00A6642A"/>
    <w:rsid w:val="00A704B9"/>
    <w:rsid w:val="00A76080"/>
    <w:rsid w:val="00A87C35"/>
    <w:rsid w:val="00AA3EB2"/>
    <w:rsid w:val="00AB7B20"/>
    <w:rsid w:val="00AC7D99"/>
    <w:rsid w:val="00AD0EB2"/>
    <w:rsid w:val="00AD4EA1"/>
    <w:rsid w:val="00AE0208"/>
    <w:rsid w:val="00AE77BF"/>
    <w:rsid w:val="00AF017C"/>
    <w:rsid w:val="00AF1267"/>
    <w:rsid w:val="00B02126"/>
    <w:rsid w:val="00B1734A"/>
    <w:rsid w:val="00B31915"/>
    <w:rsid w:val="00B33EC1"/>
    <w:rsid w:val="00B4162C"/>
    <w:rsid w:val="00B56956"/>
    <w:rsid w:val="00B6155D"/>
    <w:rsid w:val="00B618D4"/>
    <w:rsid w:val="00B92B52"/>
    <w:rsid w:val="00B92FD1"/>
    <w:rsid w:val="00BA2415"/>
    <w:rsid w:val="00BA3483"/>
    <w:rsid w:val="00BA3AF6"/>
    <w:rsid w:val="00BA601D"/>
    <w:rsid w:val="00BB1E91"/>
    <w:rsid w:val="00BB791C"/>
    <w:rsid w:val="00BC026F"/>
    <w:rsid w:val="00BC3DFD"/>
    <w:rsid w:val="00BD3978"/>
    <w:rsid w:val="00BE7040"/>
    <w:rsid w:val="00BF67C0"/>
    <w:rsid w:val="00C06ADB"/>
    <w:rsid w:val="00C20EA3"/>
    <w:rsid w:val="00C24857"/>
    <w:rsid w:val="00C42D1E"/>
    <w:rsid w:val="00C43E7F"/>
    <w:rsid w:val="00C63FF3"/>
    <w:rsid w:val="00C65230"/>
    <w:rsid w:val="00C73C7F"/>
    <w:rsid w:val="00C77637"/>
    <w:rsid w:val="00C82252"/>
    <w:rsid w:val="00C8549B"/>
    <w:rsid w:val="00C91187"/>
    <w:rsid w:val="00CA30BA"/>
    <w:rsid w:val="00CA7EE5"/>
    <w:rsid w:val="00CD7B93"/>
    <w:rsid w:val="00D04221"/>
    <w:rsid w:val="00D05411"/>
    <w:rsid w:val="00D10E8C"/>
    <w:rsid w:val="00D11670"/>
    <w:rsid w:val="00D1330F"/>
    <w:rsid w:val="00D14AE9"/>
    <w:rsid w:val="00D17B7D"/>
    <w:rsid w:val="00D2145D"/>
    <w:rsid w:val="00D36EAF"/>
    <w:rsid w:val="00D44332"/>
    <w:rsid w:val="00D4580A"/>
    <w:rsid w:val="00D6523B"/>
    <w:rsid w:val="00D831E8"/>
    <w:rsid w:val="00D8647B"/>
    <w:rsid w:val="00D86DFF"/>
    <w:rsid w:val="00D9408F"/>
    <w:rsid w:val="00D94F8D"/>
    <w:rsid w:val="00DA3595"/>
    <w:rsid w:val="00DA53D9"/>
    <w:rsid w:val="00DB1E04"/>
    <w:rsid w:val="00DD7A01"/>
    <w:rsid w:val="00DE1745"/>
    <w:rsid w:val="00DF3D6F"/>
    <w:rsid w:val="00DF58B4"/>
    <w:rsid w:val="00DF5E47"/>
    <w:rsid w:val="00E0643C"/>
    <w:rsid w:val="00E1343E"/>
    <w:rsid w:val="00E14C51"/>
    <w:rsid w:val="00E1609F"/>
    <w:rsid w:val="00E461B6"/>
    <w:rsid w:val="00E6481E"/>
    <w:rsid w:val="00E65F89"/>
    <w:rsid w:val="00E672C7"/>
    <w:rsid w:val="00E82D5B"/>
    <w:rsid w:val="00E90021"/>
    <w:rsid w:val="00E91808"/>
    <w:rsid w:val="00E92DB1"/>
    <w:rsid w:val="00EB5DCB"/>
    <w:rsid w:val="00EC34CF"/>
    <w:rsid w:val="00ED6C87"/>
    <w:rsid w:val="00EF0075"/>
    <w:rsid w:val="00EF2A58"/>
    <w:rsid w:val="00EF6FE7"/>
    <w:rsid w:val="00F10D7D"/>
    <w:rsid w:val="00F21286"/>
    <w:rsid w:val="00F40C13"/>
    <w:rsid w:val="00F41332"/>
    <w:rsid w:val="00F4433E"/>
    <w:rsid w:val="00F80423"/>
    <w:rsid w:val="00F81684"/>
    <w:rsid w:val="00F875F6"/>
    <w:rsid w:val="00F9041C"/>
    <w:rsid w:val="00F969D5"/>
    <w:rsid w:val="00F97ABA"/>
    <w:rsid w:val="00FA4776"/>
    <w:rsid w:val="00FA5151"/>
    <w:rsid w:val="00FB73AD"/>
    <w:rsid w:val="00FB7B1E"/>
    <w:rsid w:val="00FD0F00"/>
    <w:rsid w:val="00FD77BA"/>
    <w:rsid w:val="00FE50EE"/>
    <w:rsid w:val="00FE7C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9F8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481E"/>
    <w:rPr>
      <w:sz w:val="24"/>
      <w:szCs w:val="24"/>
    </w:rPr>
  </w:style>
  <w:style w:type="paragraph" w:styleId="Title">
    <w:name w:val="Title"/>
    <w:basedOn w:val="Normal"/>
    <w:uiPriority w:val="10"/>
    <w:qFormat/>
    <w:rsid w:val="00E6481E"/>
    <w:pPr>
      <w:ind w:left="100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E6481E"/>
    <w:pPr>
      <w:ind w:left="624" w:hanging="42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E6481E"/>
    <w:pPr>
      <w:spacing w:line="248" w:lineRule="exact"/>
    </w:pPr>
  </w:style>
  <w:style w:type="paragraph" w:styleId="Revision">
    <w:name w:val="Revision"/>
    <w:hidden/>
    <w:uiPriority w:val="99"/>
    <w:semiHidden/>
    <w:rsid w:val="00146B1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6B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46B1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B4162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1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6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6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0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0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21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6D7B9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4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da.gov/media/72569/download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2025-07-04T16:38:00Z</dcterms:created>
  <dcterms:modified xsi:type="dcterms:W3CDTF">2025-07-30T11:30:00Z</dcterms:modified>
</cp:coreProperties>
</file>