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2FC4" w:rsidRPr="0064224D" w:rsidP="00712FC4" w14:paraId="6173ABDC" w14:textId="77777777">
      <w:pPr>
        <w:ind w:left="2880" w:firstLine="720"/>
        <w:rPr>
          <w:rFonts w:ascii="Times New Roman" w:eastAsia="Times New Roman" w:hAnsi="Times New Roman" w:cs="Times New Roman"/>
        </w:rPr>
      </w:pPr>
      <w:r w:rsidRPr="0064224D">
        <w:rPr>
          <w:rFonts w:ascii="Times New Roman" w:hAnsi="Times New Roman" w:cs="Times New Roman"/>
        </w:rPr>
        <w:t xml:space="preserve">Supporting </w:t>
      </w:r>
      <w:r w:rsidRPr="0064224D">
        <w:rPr>
          <w:rFonts w:ascii="Times New Roman" w:hAnsi="Times New Roman" w:cs="Times New Roman"/>
        </w:rPr>
        <w:t>Statement</w:t>
      </w:r>
      <w:r w:rsidRPr="0064224D">
        <w:rPr>
          <w:rFonts w:ascii="Times New Roman" w:hAnsi="Times New Roman" w:cs="Times New Roman"/>
        </w:rPr>
        <w:t xml:space="preserve"> A for</w:t>
      </w:r>
    </w:p>
    <w:p w:rsidR="00712FC4" w:rsidRPr="0064224D" w:rsidP="00712FC4" w14:paraId="2D950C30" w14:textId="77777777">
      <w:pPr>
        <w:pStyle w:val="P1-StandPara"/>
        <w:tabs>
          <w:tab w:val="left" w:pos="720"/>
          <w:tab w:val="right" w:leader="dot" w:pos="9504"/>
        </w:tabs>
        <w:spacing w:before="120" w:after="120"/>
        <w:ind w:firstLine="0"/>
        <w:rPr>
          <w:szCs w:val="22"/>
        </w:rPr>
      </w:pPr>
      <w:r w:rsidRPr="0064224D">
        <w:rPr>
          <w:szCs w:val="22"/>
        </w:rPr>
        <w:t xml:space="preserve">                    </w:t>
      </w:r>
    </w:p>
    <w:p w:rsidR="00712FC4" w:rsidRPr="0064224D" w:rsidP="00712FC4" w14:paraId="46A8C3BE" w14:textId="77777777">
      <w:pPr>
        <w:pStyle w:val="P1-StandPara"/>
        <w:tabs>
          <w:tab w:val="left" w:pos="720"/>
          <w:tab w:val="right" w:leader="dot" w:pos="9504"/>
        </w:tabs>
        <w:spacing w:before="120" w:after="120"/>
        <w:ind w:firstLine="0"/>
        <w:jc w:val="center"/>
        <w:rPr>
          <w:szCs w:val="22"/>
        </w:rPr>
      </w:pPr>
      <w:r w:rsidRPr="0064224D">
        <w:rPr>
          <w:szCs w:val="22"/>
        </w:rPr>
        <w:t>NIH Information Collection Forms to Support Genomic Data Sharing for Research Purposes (OD)</w:t>
      </w:r>
    </w:p>
    <w:p w:rsidR="00712FC4" w:rsidRPr="0064224D" w:rsidP="00712FC4" w14:paraId="2EADF0F7" w14:textId="36090259">
      <w:pPr>
        <w:pStyle w:val="P1-StandPara"/>
        <w:tabs>
          <w:tab w:val="left" w:pos="720"/>
          <w:tab w:val="right" w:leader="dot" w:pos="9504"/>
        </w:tabs>
        <w:spacing w:before="120" w:after="120"/>
        <w:ind w:firstLine="0"/>
        <w:jc w:val="center"/>
        <w:rPr>
          <w:szCs w:val="22"/>
        </w:rPr>
      </w:pPr>
      <w:r w:rsidRPr="0064224D">
        <w:rPr>
          <w:szCs w:val="22"/>
        </w:rPr>
        <w:t xml:space="preserve">OMB# 0925-0670 and expiration date, </w:t>
      </w:r>
      <w:r w:rsidRPr="0064224D" w:rsidR="00253D9A">
        <w:rPr>
          <w:szCs w:val="22"/>
        </w:rPr>
        <w:t>11</w:t>
      </w:r>
      <w:r w:rsidRPr="0064224D">
        <w:rPr>
          <w:szCs w:val="22"/>
        </w:rPr>
        <w:t>/31/</w:t>
      </w:r>
      <w:r w:rsidRPr="0064224D" w:rsidR="00253D9A">
        <w:rPr>
          <w:szCs w:val="22"/>
        </w:rPr>
        <w:t>2022</w:t>
      </w:r>
    </w:p>
    <w:p w:rsidR="00712FC4" w:rsidRPr="0064224D" w:rsidP="00712FC4" w14:paraId="6201F19F" w14:textId="77777777">
      <w:pPr>
        <w:pStyle w:val="P1-StandPara"/>
        <w:tabs>
          <w:tab w:val="left" w:pos="720"/>
          <w:tab w:val="right" w:leader="dot" w:pos="9504"/>
        </w:tabs>
        <w:spacing w:before="120" w:after="120"/>
        <w:ind w:firstLine="0"/>
        <w:rPr>
          <w:szCs w:val="22"/>
        </w:rPr>
      </w:pPr>
    </w:p>
    <w:p w:rsidR="00712FC4" w:rsidRPr="0064224D" w:rsidP="00E42C50" w14:paraId="13F6B3D3" w14:textId="23181895">
      <w:pPr>
        <w:pStyle w:val="P1-StandPara"/>
        <w:tabs>
          <w:tab w:val="left" w:pos="720"/>
          <w:tab w:val="right" w:leader="dot" w:pos="9504"/>
        </w:tabs>
        <w:spacing w:line="240" w:lineRule="auto"/>
        <w:ind w:firstLine="0"/>
        <w:rPr>
          <w:szCs w:val="22"/>
        </w:rPr>
      </w:pPr>
      <w:r w:rsidRPr="0064224D">
        <w:rPr>
          <w:szCs w:val="22"/>
        </w:rPr>
        <w:t xml:space="preserve"> Date: </w:t>
      </w:r>
      <w:r w:rsidRPr="0064224D" w:rsidR="00CA1BB3">
        <w:rPr>
          <w:szCs w:val="22"/>
        </w:rPr>
        <w:t>November</w:t>
      </w:r>
      <w:r w:rsidRPr="0064224D" w:rsidR="0086670D">
        <w:rPr>
          <w:szCs w:val="22"/>
        </w:rPr>
        <w:t xml:space="preserve"> </w:t>
      </w:r>
      <w:r w:rsidR="0065783A">
        <w:rPr>
          <w:szCs w:val="22"/>
        </w:rPr>
        <w:t>18</w:t>
      </w:r>
      <w:r w:rsidRPr="0064224D" w:rsidR="009637F1">
        <w:rPr>
          <w:szCs w:val="22"/>
        </w:rPr>
        <w:t xml:space="preserve">, </w:t>
      </w:r>
      <w:r w:rsidRPr="0064224D" w:rsidR="00253D9A">
        <w:rPr>
          <w:szCs w:val="22"/>
        </w:rPr>
        <w:t>2022</w:t>
      </w:r>
    </w:p>
    <w:p w:rsidR="00E42C50" w:rsidRPr="0064224D" w:rsidP="00712FC4" w14:paraId="31785FFB" w14:textId="77777777">
      <w:pPr>
        <w:pStyle w:val="P1-StandPara"/>
        <w:tabs>
          <w:tab w:val="left" w:pos="720"/>
          <w:tab w:val="right" w:leader="dot" w:pos="9504"/>
        </w:tabs>
        <w:spacing w:before="120" w:line="240" w:lineRule="auto"/>
        <w:ind w:firstLine="0"/>
        <w:rPr>
          <w:szCs w:val="22"/>
        </w:rPr>
      </w:pPr>
    </w:p>
    <w:p w:rsidR="00712FC4" w:rsidRPr="0064224D" w:rsidP="00712FC4" w14:paraId="7A5D5441" w14:textId="77777777">
      <w:pPr>
        <w:pStyle w:val="P1-StandPara"/>
        <w:tabs>
          <w:tab w:val="left" w:pos="720"/>
          <w:tab w:val="right" w:leader="dot" w:pos="9504"/>
        </w:tabs>
        <w:spacing w:before="120" w:line="240" w:lineRule="auto"/>
        <w:ind w:firstLine="0"/>
        <w:rPr>
          <w:szCs w:val="22"/>
        </w:rPr>
      </w:pPr>
      <w:r w:rsidRPr="0064224D">
        <w:rPr>
          <w:szCs w:val="22"/>
        </w:rPr>
        <w:t>Check off which applies:</w:t>
      </w:r>
    </w:p>
    <w:p w:rsidR="00712FC4" w:rsidRPr="0064224D" w:rsidP="00712FC4" w14:paraId="69764110" w14:textId="77777777">
      <w:pPr>
        <w:pStyle w:val="ListParagraph"/>
        <w:numPr>
          <w:ilvl w:val="0"/>
          <w:numId w:val="1"/>
        </w:numPr>
        <w:spacing w:after="0" w:line="240" w:lineRule="auto"/>
        <w:rPr>
          <w:rFonts w:ascii="Times New Roman" w:hAnsi="Times New Roman" w:cs="Times New Roman"/>
        </w:rPr>
      </w:pPr>
      <w:r w:rsidRPr="0064224D">
        <w:rPr>
          <w:rFonts w:ascii="Times New Roman" w:hAnsi="Times New Roman" w:cs="Times New Roman"/>
        </w:rPr>
        <w:t xml:space="preserve">New </w:t>
      </w:r>
    </w:p>
    <w:p w:rsidR="00712FC4" w:rsidRPr="0064224D" w:rsidP="003D7B18" w14:paraId="78AB01F6" w14:textId="6D34ABAC">
      <w:pPr>
        <w:spacing w:after="0" w:line="240" w:lineRule="auto"/>
        <w:ind w:left="360"/>
        <w:rPr>
          <w:rFonts w:ascii="Times New Roman" w:hAnsi="Times New Roman" w:cs="Times New Roman"/>
        </w:rPr>
      </w:pPr>
      <w:r w:rsidRPr="0064224D">
        <w:rPr>
          <w:rFonts w:ascii="Times New Roman" w:hAnsi="Times New Roman" w:cs="Times New Roman"/>
        </w:rPr>
        <w:t>X   Revision</w:t>
      </w:r>
      <w:r w:rsidRPr="0064224D">
        <w:rPr>
          <w:rFonts w:ascii="Times New Roman" w:hAnsi="Times New Roman" w:cs="Times New Roman"/>
        </w:rPr>
        <w:tab/>
      </w:r>
      <w:r w:rsidRPr="0064224D">
        <w:rPr>
          <w:rFonts w:ascii="Times New Roman" w:hAnsi="Times New Roman" w:cs="Times New Roman"/>
        </w:rPr>
        <w:tab/>
      </w:r>
      <w:r w:rsidRPr="0064224D">
        <w:rPr>
          <w:rFonts w:ascii="Times New Roman" w:hAnsi="Times New Roman" w:cs="Times New Roman"/>
        </w:rPr>
        <w:tab/>
      </w:r>
    </w:p>
    <w:p w:rsidR="00712FC4" w:rsidRPr="0064224D" w:rsidP="00712FC4" w14:paraId="537743EF" w14:textId="77777777">
      <w:pPr>
        <w:numPr>
          <w:ilvl w:val="0"/>
          <w:numId w:val="1"/>
        </w:numPr>
        <w:spacing w:after="0" w:line="240" w:lineRule="auto"/>
        <w:rPr>
          <w:rFonts w:ascii="Times New Roman" w:hAnsi="Times New Roman" w:cs="Times New Roman"/>
        </w:rPr>
      </w:pPr>
      <w:r w:rsidRPr="0064224D">
        <w:rPr>
          <w:rFonts w:ascii="Times New Roman" w:hAnsi="Times New Roman" w:cs="Times New Roman"/>
        </w:rPr>
        <w:t>Reinstatement with Change</w:t>
      </w:r>
    </w:p>
    <w:p w:rsidR="003D7B18" w:rsidRPr="0064224D" w:rsidP="003D7B18" w14:paraId="4A24F512" w14:textId="77777777">
      <w:pPr>
        <w:numPr>
          <w:ilvl w:val="0"/>
          <w:numId w:val="1"/>
        </w:numPr>
        <w:spacing w:after="0" w:line="240" w:lineRule="auto"/>
        <w:rPr>
          <w:rFonts w:ascii="Times New Roman" w:hAnsi="Times New Roman" w:cs="Times New Roman"/>
        </w:rPr>
      </w:pPr>
      <w:r w:rsidRPr="0064224D">
        <w:rPr>
          <w:rFonts w:ascii="Times New Roman" w:hAnsi="Times New Roman" w:cs="Times New Roman"/>
        </w:rPr>
        <w:t>Reinstatement without Change</w:t>
      </w:r>
    </w:p>
    <w:p w:rsidR="00712FC4" w:rsidRPr="0064224D" w:rsidP="003D7B18" w14:paraId="49FF07D7" w14:textId="3E230DFA">
      <w:pPr>
        <w:numPr>
          <w:ilvl w:val="0"/>
          <w:numId w:val="1"/>
        </w:numPr>
        <w:spacing w:after="0" w:line="240" w:lineRule="auto"/>
        <w:rPr>
          <w:rFonts w:ascii="Times New Roman" w:hAnsi="Times New Roman" w:cs="Times New Roman"/>
        </w:rPr>
      </w:pPr>
      <w:r w:rsidRPr="0064224D">
        <w:rPr>
          <w:rFonts w:ascii="Times New Roman" w:hAnsi="Times New Roman" w:cs="Times New Roman"/>
        </w:rPr>
        <w:t>Extension</w:t>
      </w:r>
    </w:p>
    <w:p w:rsidR="00712FC4" w:rsidRPr="0064224D" w:rsidP="00712FC4" w14:paraId="57DC99CC" w14:textId="77777777">
      <w:pPr>
        <w:numPr>
          <w:ilvl w:val="0"/>
          <w:numId w:val="1"/>
        </w:numPr>
        <w:spacing w:after="0" w:line="240" w:lineRule="auto"/>
        <w:rPr>
          <w:rFonts w:ascii="Times New Roman" w:hAnsi="Times New Roman" w:cs="Times New Roman"/>
        </w:rPr>
      </w:pPr>
      <w:r w:rsidRPr="0064224D">
        <w:rPr>
          <w:rFonts w:ascii="Times New Roman" w:hAnsi="Times New Roman" w:cs="Times New Roman"/>
        </w:rPr>
        <w:t>Emergency</w:t>
      </w:r>
    </w:p>
    <w:p w:rsidR="00712FC4" w:rsidRPr="0064224D" w:rsidP="00712FC4" w14:paraId="45050705" w14:textId="77777777">
      <w:pPr>
        <w:numPr>
          <w:ilvl w:val="0"/>
          <w:numId w:val="1"/>
        </w:numPr>
        <w:spacing w:after="0" w:line="240" w:lineRule="auto"/>
        <w:rPr>
          <w:rFonts w:ascii="Times New Roman" w:hAnsi="Times New Roman" w:cs="Times New Roman"/>
        </w:rPr>
      </w:pPr>
      <w:r w:rsidRPr="0064224D">
        <w:rPr>
          <w:rFonts w:ascii="Times New Roman" w:hAnsi="Times New Roman" w:cs="Times New Roman"/>
        </w:rPr>
        <w:t>Existing</w:t>
      </w:r>
    </w:p>
    <w:p w:rsidR="00712FC4" w:rsidRPr="0064224D" w:rsidP="00712FC4" w14:paraId="6CEB1179" w14:textId="77777777">
      <w:pPr>
        <w:pStyle w:val="P1-StandPara"/>
        <w:tabs>
          <w:tab w:val="left" w:pos="720"/>
          <w:tab w:val="right" w:leader="dot" w:pos="9504"/>
        </w:tabs>
        <w:spacing w:before="120" w:after="120"/>
        <w:rPr>
          <w:szCs w:val="22"/>
        </w:rPr>
      </w:pPr>
      <w:r w:rsidRPr="0064224D">
        <w:rPr>
          <w:szCs w:val="22"/>
        </w:rPr>
        <w:t xml:space="preserve">                        </w:t>
      </w:r>
    </w:p>
    <w:p w:rsidR="00712FC4" w:rsidRPr="0064224D" w:rsidP="00712FC4" w14:paraId="4F7278EB" w14:textId="556EEE5F">
      <w:pPr>
        <w:pStyle w:val="P1-StandPara"/>
        <w:tabs>
          <w:tab w:val="left" w:pos="720"/>
          <w:tab w:val="right" w:leader="dot" w:pos="9504"/>
        </w:tabs>
        <w:spacing w:before="120" w:after="120" w:line="240" w:lineRule="auto"/>
        <w:ind w:firstLine="0"/>
        <w:rPr>
          <w:szCs w:val="22"/>
        </w:rPr>
      </w:pPr>
    </w:p>
    <w:p w:rsidR="00EE3E14" w:rsidRPr="0064224D" w:rsidP="00712FC4" w14:paraId="1BBB8DED" w14:textId="77777777">
      <w:pPr>
        <w:pStyle w:val="P1-StandPara"/>
        <w:tabs>
          <w:tab w:val="left" w:pos="720"/>
          <w:tab w:val="right" w:leader="dot" w:pos="9504"/>
        </w:tabs>
        <w:spacing w:before="120" w:after="120" w:line="240" w:lineRule="auto"/>
        <w:ind w:firstLine="0"/>
        <w:rPr>
          <w:szCs w:val="22"/>
        </w:rPr>
      </w:pPr>
    </w:p>
    <w:p w:rsidR="00712FC4" w:rsidRPr="0064224D" w:rsidP="00712FC4" w14:paraId="7595BEB6" w14:textId="3A22F6B4">
      <w:pPr>
        <w:pStyle w:val="P1-StandPara"/>
        <w:tabs>
          <w:tab w:val="left" w:pos="720"/>
          <w:tab w:val="right" w:leader="dot" w:pos="9504"/>
        </w:tabs>
        <w:spacing w:before="120" w:line="240" w:lineRule="auto"/>
        <w:ind w:firstLine="0"/>
        <w:rPr>
          <w:szCs w:val="22"/>
        </w:rPr>
      </w:pPr>
      <w:r w:rsidRPr="0064224D">
        <w:rPr>
          <w:szCs w:val="22"/>
        </w:rPr>
        <w:t xml:space="preserve">Name: </w:t>
      </w:r>
      <w:r w:rsidRPr="0064224D" w:rsidR="00EE3E14">
        <w:rPr>
          <w:szCs w:val="22"/>
        </w:rPr>
        <w:tab/>
      </w:r>
      <w:r w:rsidRPr="0064224D" w:rsidR="001C6545">
        <w:rPr>
          <w:szCs w:val="22"/>
        </w:rPr>
        <w:t>Julia Slutsman</w:t>
      </w:r>
      <w:r w:rsidRPr="0064224D" w:rsidR="00EE3E14">
        <w:rPr>
          <w:szCs w:val="22"/>
        </w:rPr>
        <w:t>, Ph.D.</w:t>
      </w:r>
    </w:p>
    <w:p w:rsidR="001C6545" w:rsidRPr="0064224D" w:rsidP="001C6545" w14:paraId="0EFE66B6" w14:textId="6A5F30A1">
      <w:pPr>
        <w:pStyle w:val="P1-StandPara"/>
        <w:tabs>
          <w:tab w:val="left" w:pos="720"/>
          <w:tab w:val="right" w:leader="dot" w:pos="9504"/>
        </w:tabs>
        <w:spacing w:before="120" w:line="240" w:lineRule="auto"/>
        <w:ind w:firstLine="0"/>
        <w:rPr>
          <w:szCs w:val="22"/>
        </w:rPr>
      </w:pPr>
      <w:r w:rsidRPr="0064224D">
        <w:rPr>
          <w:szCs w:val="22"/>
        </w:rPr>
        <w:t>Director, Genomic Data Sharing Policy Implementation</w:t>
      </w:r>
    </w:p>
    <w:p w:rsidR="00EE3E14" w:rsidRPr="0064224D" w:rsidP="001C6545" w14:paraId="3C9C1C9E" w14:textId="05BDC822">
      <w:pPr>
        <w:pStyle w:val="P1-StandPara"/>
        <w:tabs>
          <w:tab w:val="left" w:pos="720"/>
          <w:tab w:val="right" w:leader="dot" w:pos="9504"/>
        </w:tabs>
        <w:spacing w:before="120" w:line="240" w:lineRule="auto"/>
        <w:ind w:firstLine="0"/>
        <w:rPr>
          <w:szCs w:val="22"/>
        </w:rPr>
      </w:pPr>
      <w:r w:rsidRPr="0064224D">
        <w:rPr>
          <w:szCs w:val="22"/>
        </w:rPr>
        <w:t>Office of Extramural Research, NIH</w:t>
      </w:r>
    </w:p>
    <w:p w:rsidR="00712FC4" w:rsidRPr="0064224D" w:rsidP="00712FC4" w14:paraId="0CC2492D" w14:textId="58101C81">
      <w:pPr>
        <w:pStyle w:val="P1-StandPara"/>
        <w:tabs>
          <w:tab w:val="left" w:pos="720"/>
          <w:tab w:val="right" w:leader="dot" w:pos="9504"/>
        </w:tabs>
        <w:spacing w:before="120" w:line="240" w:lineRule="auto"/>
        <w:ind w:firstLine="0"/>
        <w:rPr>
          <w:szCs w:val="22"/>
        </w:rPr>
      </w:pPr>
      <w:r w:rsidRPr="0064224D">
        <w:rPr>
          <w:szCs w:val="22"/>
        </w:rPr>
        <w:t>Address: 6705 Rockledge Dr., Suite 750, Bethesda, MD 20892</w:t>
      </w:r>
    </w:p>
    <w:p w:rsidR="00712FC4" w:rsidRPr="0064224D" w:rsidP="00712FC4" w14:paraId="147DFCF8" w14:textId="5CB381EA">
      <w:pPr>
        <w:pStyle w:val="P1-StandPara"/>
        <w:tabs>
          <w:tab w:val="left" w:pos="720"/>
          <w:tab w:val="right" w:leader="dot" w:pos="9504"/>
        </w:tabs>
        <w:spacing w:before="120" w:line="240" w:lineRule="auto"/>
        <w:ind w:firstLine="0"/>
        <w:rPr>
          <w:szCs w:val="22"/>
        </w:rPr>
      </w:pPr>
      <w:r w:rsidRPr="0064224D">
        <w:rPr>
          <w:szCs w:val="22"/>
        </w:rPr>
        <w:t xml:space="preserve">Telephone: </w:t>
      </w:r>
      <w:r w:rsidRPr="0064224D" w:rsidR="001C6545">
        <w:rPr>
          <w:szCs w:val="22"/>
        </w:rPr>
        <w:t>301-594-7783</w:t>
      </w:r>
    </w:p>
    <w:p w:rsidR="00712FC4" w:rsidRPr="0064224D" w:rsidP="00712FC4" w14:paraId="04F00A95" w14:textId="6D8BC55F">
      <w:pPr>
        <w:pStyle w:val="P1-StandPara"/>
        <w:tabs>
          <w:tab w:val="left" w:pos="720"/>
          <w:tab w:val="right" w:leader="dot" w:pos="9504"/>
        </w:tabs>
        <w:spacing w:before="120" w:line="240" w:lineRule="auto"/>
        <w:ind w:firstLine="0"/>
        <w:rPr>
          <w:szCs w:val="22"/>
        </w:rPr>
      </w:pPr>
      <w:r w:rsidRPr="0064224D">
        <w:rPr>
          <w:szCs w:val="22"/>
        </w:rPr>
        <w:t xml:space="preserve">Email: </w:t>
      </w:r>
      <w:r w:rsidRPr="0064224D" w:rsidR="001C6545">
        <w:rPr>
          <w:szCs w:val="22"/>
        </w:rPr>
        <w:t>slutsmaj@mail.nih.gov</w:t>
      </w:r>
    </w:p>
    <w:p w:rsidR="00712FC4" w:rsidRPr="0064224D" w:rsidP="00E9482B" w14:paraId="0CE655C5" w14:textId="77777777">
      <w:pPr>
        <w:rPr>
          <w:rFonts w:ascii="Times New Roman" w:hAnsi="Times New Roman" w:cs="Times New Roman"/>
        </w:rPr>
      </w:pPr>
    </w:p>
    <w:p w:rsidR="007E3D11" w:rsidRPr="0064224D" w:rsidP="00712FC4" w14:paraId="78AE596A" w14:textId="5AE393C9">
      <w:pPr>
        <w:rPr>
          <w:rFonts w:ascii="Times New Roman" w:hAnsi="Times New Roman" w:cs="Times New Roman"/>
        </w:rPr>
      </w:pPr>
      <w:r w:rsidRPr="0064224D">
        <w:rPr>
          <w:rFonts w:ascii="Times New Roman" w:hAnsi="Times New Roman" w:cs="Times New Roman"/>
        </w:rPr>
        <w:br w:type="page"/>
      </w:r>
    </w:p>
    <w:p w:rsidR="003E6990" w:rsidRPr="0064224D" w:rsidP="003E6990" w14:paraId="4C6D69D1" w14:textId="1C8160F4">
      <w:pPr>
        <w:pStyle w:val="P1-StandPara"/>
        <w:tabs>
          <w:tab w:val="left" w:pos="720"/>
        </w:tabs>
        <w:ind w:firstLine="0"/>
        <w:rPr>
          <w:rFonts w:asciiTheme="minorHAnsi" w:hAnsiTheme="minorHAnsi" w:cstheme="minorHAnsi"/>
          <w:b/>
          <w:szCs w:val="22"/>
          <w:u w:val="single"/>
        </w:rPr>
      </w:pPr>
      <w:r w:rsidRPr="0064224D">
        <w:rPr>
          <w:rFonts w:asciiTheme="minorHAnsi" w:hAnsiTheme="minorHAnsi" w:cstheme="minorHAnsi"/>
          <w:b/>
          <w:szCs w:val="22"/>
          <w:u w:val="single"/>
        </w:rPr>
        <w:t>Table of Contents</w:t>
      </w:r>
    </w:p>
    <w:p w:rsidR="003E6990" w:rsidRPr="0064224D" w:rsidP="003E6990" w14:paraId="466EB97C" w14:textId="77777777">
      <w:pPr>
        <w:pStyle w:val="P1-StandPara"/>
        <w:tabs>
          <w:tab w:val="left" w:pos="720"/>
        </w:tabs>
        <w:ind w:firstLine="0"/>
        <w:rPr>
          <w:rFonts w:asciiTheme="minorHAnsi" w:hAnsiTheme="minorHAnsi" w:cstheme="minorHAnsi"/>
          <w:szCs w:val="22"/>
        </w:rPr>
      </w:pPr>
      <w:r w:rsidRPr="0064224D">
        <w:rPr>
          <w:rFonts w:asciiTheme="minorHAnsi" w:hAnsiTheme="minorHAnsi" w:cstheme="minorHAnsi"/>
          <w:szCs w:val="22"/>
        </w:rPr>
        <w:t>A.</w:t>
      </w:r>
      <w:r w:rsidRPr="0064224D">
        <w:rPr>
          <w:rFonts w:asciiTheme="minorHAnsi" w:hAnsiTheme="minorHAnsi" w:cstheme="minorHAnsi"/>
          <w:szCs w:val="22"/>
        </w:rPr>
        <w:tab/>
        <w:t>ABSTRACT</w:t>
      </w:r>
      <w:r w:rsidRPr="0064224D">
        <w:rPr>
          <w:rFonts w:asciiTheme="minorHAnsi" w:hAnsiTheme="minorHAnsi" w:cstheme="minorHAnsi"/>
          <w:szCs w:val="22"/>
        </w:rPr>
        <w:tab/>
      </w:r>
    </w:p>
    <w:p w:rsidR="003E6990" w:rsidRPr="0064224D" w:rsidP="003E6990" w14:paraId="20CEA024"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w:t>
      </w:r>
      <w:r w:rsidRPr="0064224D">
        <w:rPr>
          <w:rFonts w:asciiTheme="minorHAnsi" w:hAnsiTheme="minorHAnsi" w:cstheme="minorHAnsi"/>
          <w:szCs w:val="22"/>
        </w:rPr>
        <w:tab/>
        <w:t>Circumstances Making the Collection of Information Necessary</w:t>
      </w:r>
      <w:r w:rsidRPr="0064224D">
        <w:rPr>
          <w:rFonts w:asciiTheme="minorHAnsi" w:hAnsiTheme="minorHAnsi" w:cstheme="minorHAnsi"/>
          <w:szCs w:val="22"/>
        </w:rPr>
        <w:tab/>
      </w:r>
    </w:p>
    <w:p w:rsidR="003E6990" w:rsidRPr="0064224D" w:rsidP="003E6990" w14:paraId="31E2539B"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A.2.</w:t>
      </w:r>
      <w:r w:rsidRPr="0064224D">
        <w:rPr>
          <w:rFonts w:asciiTheme="minorHAnsi" w:hAnsiTheme="minorHAnsi" w:cstheme="minorHAnsi"/>
          <w:szCs w:val="22"/>
        </w:rPr>
        <w:tab/>
        <w:t>Purpose and Use of the Information COLLECTION</w:t>
      </w:r>
      <w:r w:rsidRPr="0064224D">
        <w:rPr>
          <w:rFonts w:asciiTheme="minorHAnsi" w:hAnsiTheme="minorHAnsi" w:cstheme="minorHAnsi"/>
          <w:szCs w:val="22"/>
        </w:rPr>
        <w:tab/>
      </w:r>
    </w:p>
    <w:p w:rsidR="003E6990" w:rsidRPr="0064224D" w:rsidP="003E6990" w14:paraId="52AE2292"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A.3</w:t>
      </w:r>
      <w:r w:rsidRPr="0064224D">
        <w:rPr>
          <w:rFonts w:asciiTheme="minorHAnsi" w:hAnsiTheme="minorHAnsi" w:cstheme="minorHAnsi"/>
          <w:szCs w:val="22"/>
        </w:rPr>
        <w:tab/>
        <w:t>Use of Information Technology and Burden Reduction</w:t>
      </w:r>
      <w:r w:rsidRPr="0064224D">
        <w:rPr>
          <w:rFonts w:asciiTheme="minorHAnsi" w:hAnsiTheme="minorHAnsi" w:cstheme="minorHAnsi"/>
          <w:szCs w:val="22"/>
        </w:rPr>
        <w:tab/>
      </w:r>
    </w:p>
    <w:p w:rsidR="003E6990" w:rsidRPr="0064224D" w:rsidP="003E6990" w14:paraId="7D711CE4"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A.4</w:t>
      </w:r>
      <w:r w:rsidRPr="0064224D">
        <w:rPr>
          <w:rFonts w:asciiTheme="minorHAnsi" w:hAnsiTheme="minorHAnsi" w:cstheme="minorHAnsi"/>
          <w:szCs w:val="22"/>
        </w:rPr>
        <w:tab/>
        <w:t>Efforts to Identify Duplication and Use of Similar Information</w:t>
      </w:r>
      <w:r w:rsidRPr="0064224D">
        <w:rPr>
          <w:rFonts w:asciiTheme="minorHAnsi" w:hAnsiTheme="minorHAnsi" w:cstheme="minorHAnsi"/>
          <w:szCs w:val="22"/>
        </w:rPr>
        <w:tab/>
      </w:r>
    </w:p>
    <w:p w:rsidR="003E6990" w:rsidRPr="0064224D" w:rsidP="003E6990" w14:paraId="776E5F92"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A.5</w:t>
      </w:r>
      <w:r w:rsidRPr="0064224D">
        <w:rPr>
          <w:rFonts w:asciiTheme="minorHAnsi" w:hAnsiTheme="minorHAnsi" w:cstheme="minorHAnsi"/>
          <w:szCs w:val="22"/>
        </w:rPr>
        <w:tab/>
        <w:t>Impact on Small Businesses or Other Small Entities</w:t>
      </w:r>
      <w:r w:rsidRPr="0064224D">
        <w:rPr>
          <w:rFonts w:asciiTheme="minorHAnsi" w:hAnsiTheme="minorHAnsi" w:cstheme="minorHAnsi"/>
          <w:szCs w:val="22"/>
        </w:rPr>
        <w:tab/>
      </w:r>
    </w:p>
    <w:p w:rsidR="003E6990" w:rsidRPr="0064224D" w:rsidP="003E6990" w14:paraId="605550E9"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A.6</w:t>
      </w:r>
      <w:r w:rsidRPr="0064224D">
        <w:rPr>
          <w:rFonts w:asciiTheme="minorHAnsi" w:hAnsiTheme="minorHAnsi" w:cstheme="minorHAnsi"/>
          <w:szCs w:val="22"/>
        </w:rPr>
        <w:tab/>
        <w:t>Consequences of Collecting the Information Less Frequently</w:t>
      </w:r>
      <w:r w:rsidRPr="0064224D">
        <w:rPr>
          <w:rFonts w:asciiTheme="minorHAnsi" w:hAnsiTheme="minorHAnsi" w:cstheme="minorHAnsi"/>
          <w:szCs w:val="22"/>
        </w:rPr>
        <w:tab/>
      </w:r>
    </w:p>
    <w:p w:rsidR="003E6990" w:rsidRPr="0064224D" w:rsidP="003E6990" w14:paraId="440DD1A3"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A.7</w:t>
      </w:r>
      <w:r w:rsidRPr="0064224D">
        <w:rPr>
          <w:rFonts w:asciiTheme="minorHAnsi" w:hAnsiTheme="minorHAnsi" w:cstheme="minorHAnsi"/>
          <w:szCs w:val="22"/>
        </w:rPr>
        <w:tab/>
        <w:t>Special Circumstances Relating to the Guidelines of 5 CFR 1320.5</w:t>
      </w:r>
      <w:r w:rsidRPr="0064224D">
        <w:rPr>
          <w:rFonts w:asciiTheme="minorHAnsi" w:hAnsiTheme="minorHAnsi" w:cstheme="minorHAnsi"/>
          <w:szCs w:val="22"/>
        </w:rPr>
        <w:tab/>
      </w:r>
    </w:p>
    <w:p w:rsidR="003E6990" w:rsidRPr="0064224D" w:rsidP="003E6990" w14:paraId="51A30326"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A.8.1</w:t>
      </w:r>
      <w:r w:rsidRPr="0064224D">
        <w:rPr>
          <w:rFonts w:asciiTheme="minorHAnsi" w:hAnsiTheme="minorHAnsi" w:cstheme="minorHAnsi"/>
          <w:szCs w:val="22"/>
        </w:rPr>
        <w:tab/>
        <w:t>Comments in Response to the Federal Register Notice and Efforts to Consult Outside Agency</w:t>
      </w:r>
    </w:p>
    <w:p w:rsidR="003E6990" w:rsidRPr="0064224D" w:rsidP="003E6990" w14:paraId="61302FA2" w14:textId="5F9BD26A">
      <w:pPr>
        <w:pStyle w:val="P1-StandPara"/>
        <w:ind w:firstLine="0"/>
        <w:rPr>
          <w:rFonts w:asciiTheme="minorHAnsi" w:hAnsiTheme="minorHAnsi" w:cstheme="minorHAnsi"/>
          <w:szCs w:val="22"/>
        </w:rPr>
      </w:pPr>
      <w:r w:rsidRPr="0064224D">
        <w:rPr>
          <w:rFonts w:asciiTheme="minorHAnsi" w:hAnsiTheme="minorHAnsi" w:cstheme="minorHAnsi"/>
          <w:szCs w:val="22"/>
        </w:rPr>
        <w:t>A.8.2</w:t>
      </w:r>
      <w:r w:rsidRPr="0064224D">
        <w:rPr>
          <w:rFonts w:asciiTheme="minorHAnsi" w:hAnsiTheme="minorHAnsi" w:cstheme="minorHAnsi"/>
          <w:szCs w:val="22"/>
        </w:rPr>
        <w:tab/>
        <w:t>Efforts to Consult Outside Agency</w:t>
      </w:r>
      <w:r w:rsidRPr="0064224D">
        <w:rPr>
          <w:rFonts w:asciiTheme="minorHAnsi" w:hAnsiTheme="minorHAnsi" w:cstheme="minorHAnsi"/>
          <w:szCs w:val="22"/>
        </w:rPr>
        <w:tab/>
      </w:r>
    </w:p>
    <w:p w:rsidR="003E6990" w:rsidRPr="0064224D" w:rsidP="003E6990" w14:paraId="10A03664"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A.9</w:t>
      </w:r>
      <w:r w:rsidRPr="0064224D">
        <w:rPr>
          <w:rFonts w:asciiTheme="minorHAnsi" w:hAnsiTheme="minorHAnsi" w:cstheme="minorHAnsi"/>
          <w:szCs w:val="22"/>
        </w:rPr>
        <w:tab/>
        <w:t>Explanation of Any Payment of Gift to Respondents</w:t>
      </w:r>
      <w:r w:rsidRPr="0064224D">
        <w:rPr>
          <w:rFonts w:asciiTheme="minorHAnsi" w:hAnsiTheme="minorHAnsi" w:cstheme="minorHAnsi"/>
          <w:szCs w:val="22"/>
        </w:rPr>
        <w:tab/>
      </w:r>
    </w:p>
    <w:p w:rsidR="003E6990" w:rsidRPr="0064224D" w:rsidP="003E6990" w14:paraId="6D535A50"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A.10</w:t>
      </w:r>
      <w:r w:rsidRPr="0064224D">
        <w:rPr>
          <w:rFonts w:asciiTheme="minorHAnsi" w:hAnsiTheme="minorHAnsi" w:cstheme="minorHAnsi"/>
          <w:szCs w:val="22"/>
        </w:rPr>
        <w:tab/>
        <w:t>Assurance of Confidentiality Provided to Respondents</w:t>
      </w:r>
      <w:r w:rsidRPr="0064224D">
        <w:rPr>
          <w:rFonts w:asciiTheme="minorHAnsi" w:hAnsiTheme="minorHAnsi" w:cstheme="minorHAnsi"/>
          <w:szCs w:val="22"/>
        </w:rPr>
        <w:tab/>
      </w:r>
    </w:p>
    <w:p w:rsidR="003E6990" w:rsidRPr="0064224D" w:rsidP="003E6990" w14:paraId="31BCB3E9"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A.11</w:t>
      </w:r>
      <w:r w:rsidRPr="0064224D">
        <w:rPr>
          <w:rFonts w:asciiTheme="minorHAnsi" w:hAnsiTheme="minorHAnsi" w:cstheme="minorHAnsi"/>
          <w:szCs w:val="22"/>
        </w:rPr>
        <w:tab/>
        <w:t>Justification for Sensitive Questions</w:t>
      </w:r>
      <w:r w:rsidRPr="0064224D">
        <w:rPr>
          <w:rFonts w:asciiTheme="minorHAnsi" w:hAnsiTheme="minorHAnsi" w:cstheme="minorHAnsi"/>
          <w:szCs w:val="22"/>
        </w:rPr>
        <w:tab/>
      </w:r>
    </w:p>
    <w:p w:rsidR="003E6990" w:rsidRPr="0064224D" w:rsidP="003E6990" w14:paraId="5EAC381C"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A.12</w:t>
      </w:r>
      <w:r w:rsidRPr="0064224D">
        <w:rPr>
          <w:rFonts w:asciiTheme="minorHAnsi" w:hAnsiTheme="minorHAnsi" w:cstheme="minorHAnsi"/>
          <w:szCs w:val="22"/>
        </w:rPr>
        <w:tab/>
        <w:t xml:space="preserve">Estimated Annualized Burden Hours </w:t>
      </w:r>
    </w:p>
    <w:p w:rsidR="0072770B" w:rsidRPr="0064224D" w:rsidP="003E6990" w14:paraId="5AA4D0BE" w14:textId="54505CC7">
      <w:pPr>
        <w:pStyle w:val="P1-StandPara"/>
        <w:ind w:firstLine="0"/>
        <w:rPr>
          <w:rFonts w:asciiTheme="minorHAnsi" w:hAnsiTheme="minorHAnsi" w:cstheme="minorHAnsi"/>
          <w:szCs w:val="22"/>
        </w:rPr>
      </w:pPr>
      <w:r w:rsidRPr="0064224D">
        <w:rPr>
          <w:rFonts w:asciiTheme="minorHAnsi" w:hAnsiTheme="minorHAnsi" w:cstheme="minorHAnsi"/>
          <w:szCs w:val="22"/>
        </w:rPr>
        <w:t>A12-1</w:t>
      </w:r>
      <w:r w:rsidRPr="0064224D">
        <w:rPr>
          <w:rFonts w:asciiTheme="minorHAnsi" w:hAnsiTheme="minorHAnsi" w:cstheme="minorHAnsi"/>
          <w:szCs w:val="22"/>
        </w:rPr>
        <w:tab/>
        <w:t xml:space="preserve">Estimated Annualized Burden Hours </w:t>
      </w:r>
      <w:r w:rsidRPr="0064224D" w:rsidR="00ED0843">
        <w:rPr>
          <w:rFonts w:asciiTheme="minorHAnsi" w:hAnsiTheme="minorHAnsi" w:cstheme="minorHAnsi"/>
          <w:szCs w:val="22"/>
        </w:rPr>
        <w:t>(data table)</w:t>
      </w:r>
    </w:p>
    <w:p w:rsidR="003E6990" w:rsidRPr="0064224D" w:rsidP="003E6990" w14:paraId="2F4ECD6F" w14:textId="17C74FE2">
      <w:pPr>
        <w:pStyle w:val="P1-StandPara"/>
        <w:ind w:firstLine="0"/>
        <w:rPr>
          <w:rFonts w:asciiTheme="minorHAnsi" w:hAnsiTheme="minorHAnsi" w:cstheme="minorHAnsi"/>
          <w:szCs w:val="22"/>
        </w:rPr>
      </w:pPr>
      <w:r w:rsidRPr="0064224D">
        <w:rPr>
          <w:rFonts w:asciiTheme="minorHAnsi" w:hAnsiTheme="minorHAnsi" w:cstheme="minorHAnsi"/>
          <w:szCs w:val="22"/>
        </w:rPr>
        <w:t>A12-2</w:t>
      </w:r>
      <w:r w:rsidRPr="0064224D">
        <w:rPr>
          <w:rFonts w:asciiTheme="minorHAnsi" w:hAnsiTheme="minorHAnsi" w:cstheme="minorHAnsi"/>
          <w:szCs w:val="22"/>
        </w:rPr>
        <w:tab/>
        <w:t>Annualized Cost to Respondents</w:t>
      </w:r>
      <w:r w:rsidRPr="0064224D" w:rsidR="00ED0843">
        <w:rPr>
          <w:rFonts w:asciiTheme="minorHAnsi" w:hAnsiTheme="minorHAnsi" w:cstheme="minorHAnsi"/>
          <w:szCs w:val="22"/>
        </w:rPr>
        <w:t xml:space="preserve"> summary </w:t>
      </w:r>
      <w:r w:rsidRPr="0064224D">
        <w:rPr>
          <w:rFonts w:asciiTheme="minorHAnsi" w:hAnsiTheme="minorHAnsi" w:cstheme="minorHAnsi"/>
          <w:szCs w:val="22"/>
        </w:rPr>
        <w:tab/>
      </w:r>
    </w:p>
    <w:p w:rsidR="003E6990" w:rsidRPr="0064224D" w:rsidP="003E6990" w14:paraId="7D2BE25A" w14:textId="2BEA6802">
      <w:pPr>
        <w:pStyle w:val="P1-StandPara"/>
        <w:ind w:firstLine="0"/>
        <w:rPr>
          <w:rFonts w:asciiTheme="minorHAnsi" w:hAnsiTheme="minorHAnsi" w:cstheme="minorHAnsi"/>
          <w:szCs w:val="22"/>
        </w:rPr>
      </w:pPr>
      <w:r w:rsidRPr="0064224D">
        <w:rPr>
          <w:rFonts w:asciiTheme="minorHAnsi" w:hAnsiTheme="minorHAnsi" w:cstheme="minorHAnsi"/>
          <w:szCs w:val="22"/>
        </w:rPr>
        <w:t>A.13</w:t>
      </w:r>
      <w:r w:rsidRPr="0064224D">
        <w:rPr>
          <w:rFonts w:asciiTheme="minorHAnsi" w:hAnsiTheme="minorHAnsi" w:cstheme="minorHAnsi"/>
          <w:szCs w:val="22"/>
        </w:rPr>
        <w:tab/>
        <w:t>Estimate of Other Total Annual Cost Burden to Respondents or Record keepers</w:t>
      </w:r>
      <w:r w:rsidRPr="0064224D">
        <w:rPr>
          <w:rFonts w:asciiTheme="minorHAnsi" w:hAnsiTheme="minorHAnsi" w:cstheme="minorHAnsi"/>
          <w:szCs w:val="22"/>
        </w:rPr>
        <w:tab/>
      </w:r>
    </w:p>
    <w:p w:rsidR="003E6990" w:rsidRPr="0064224D" w:rsidP="003E6990" w14:paraId="17979E65" w14:textId="04D87E47">
      <w:pPr>
        <w:pStyle w:val="P1-StandPara"/>
        <w:ind w:firstLine="0"/>
        <w:rPr>
          <w:rFonts w:asciiTheme="minorHAnsi" w:hAnsiTheme="minorHAnsi" w:cstheme="minorHAnsi"/>
          <w:szCs w:val="22"/>
        </w:rPr>
      </w:pPr>
      <w:r w:rsidRPr="0064224D">
        <w:rPr>
          <w:rFonts w:asciiTheme="minorHAnsi" w:hAnsiTheme="minorHAnsi" w:cstheme="minorHAnsi"/>
          <w:szCs w:val="22"/>
        </w:rPr>
        <w:t>A.14</w:t>
      </w:r>
      <w:r w:rsidRPr="0064224D">
        <w:rPr>
          <w:rFonts w:asciiTheme="minorHAnsi" w:hAnsiTheme="minorHAnsi" w:cstheme="minorHAnsi"/>
          <w:szCs w:val="22"/>
        </w:rPr>
        <w:tab/>
        <w:t>Annualized</w:t>
      </w:r>
      <w:r w:rsidRPr="0064224D" w:rsidR="0072770B">
        <w:rPr>
          <w:rFonts w:asciiTheme="minorHAnsi" w:hAnsiTheme="minorHAnsi" w:cstheme="minorHAnsi"/>
          <w:szCs w:val="22"/>
        </w:rPr>
        <w:t xml:space="preserve"> Cost to the Federal Government</w:t>
      </w:r>
    </w:p>
    <w:p w:rsidR="003E6990" w:rsidRPr="0064224D" w:rsidP="003E6990" w14:paraId="2EA43A5F"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A.15</w:t>
      </w:r>
      <w:r w:rsidRPr="0064224D">
        <w:rPr>
          <w:rFonts w:asciiTheme="minorHAnsi" w:hAnsiTheme="minorHAnsi" w:cstheme="minorHAnsi"/>
          <w:szCs w:val="22"/>
        </w:rPr>
        <w:tab/>
        <w:t>Explanation for Program Changes or Adjustments</w:t>
      </w:r>
      <w:r w:rsidRPr="0064224D">
        <w:rPr>
          <w:rFonts w:asciiTheme="minorHAnsi" w:hAnsiTheme="minorHAnsi" w:cstheme="minorHAnsi"/>
          <w:szCs w:val="22"/>
        </w:rPr>
        <w:tab/>
      </w:r>
    </w:p>
    <w:p w:rsidR="003E6990" w:rsidRPr="0064224D" w:rsidP="003E6990" w14:paraId="6D601265"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A.16</w:t>
      </w:r>
      <w:r w:rsidRPr="0064224D">
        <w:rPr>
          <w:rFonts w:asciiTheme="minorHAnsi" w:hAnsiTheme="minorHAnsi" w:cstheme="minorHAnsi"/>
          <w:szCs w:val="22"/>
        </w:rPr>
        <w:tab/>
        <w:t>Plans for Tabulation and Publication and Project Time Schedule</w:t>
      </w:r>
      <w:r w:rsidRPr="0064224D">
        <w:rPr>
          <w:rFonts w:asciiTheme="minorHAnsi" w:hAnsiTheme="minorHAnsi" w:cstheme="minorHAnsi"/>
          <w:szCs w:val="22"/>
        </w:rPr>
        <w:tab/>
      </w:r>
    </w:p>
    <w:p w:rsidR="003E6990" w:rsidRPr="0064224D" w:rsidP="003E6990" w14:paraId="19AE9C43"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A.17</w:t>
      </w:r>
      <w:r w:rsidRPr="0064224D">
        <w:rPr>
          <w:rFonts w:asciiTheme="minorHAnsi" w:hAnsiTheme="minorHAnsi" w:cstheme="minorHAnsi"/>
          <w:szCs w:val="22"/>
        </w:rPr>
        <w:tab/>
        <w:t>Reason(s) Display of OMB Expiration Date is Inappropriate</w:t>
      </w:r>
      <w:r w:rsidRPr="0064224D">
        <w:rPr>
          <w:rFonts w:asciiTheme="minorHAnsi" w:hAnsiTheme="minorHAnsi" w:cstheme="minorHAnsi"/>
          <w:szCs w:val="22"/>
        </w:rPr>
        <w:tab/>
      </w:r>
    </w:p>
    <w:p w:rsidR="003E6990" w:rsidRPr="0064224D" w:rsidP="003E6990" w14:paraId="5AAD7BA6" w14:textId="77777777">
      <w:pPr>
        <w:pStyle w:val="P1-StandPara"/>
        <w:ind w:firstLine="0"/>
        <w:rPr>
          <w:rFonts w:asciiTheme="minorHAnsi" w:hAnsiTheme="minorHAnsi" w:cstheme="minorHAnsi"/>
          <w:szCs w:val="22"/>
        </w:rPr>
      </w:pPr>
      <w:r w:rsidRPr="0064224D">
        <w:rPr>
          <w:rFonts w:asciiTheme="minorHAnsi" w:hAnsiTheme="minorHAnsi" w:cstheme="minorHAnsi"/>
          <w:szCs w:val="22"/>
        </w:rPr>
        <w:t>A.18</w:t>
      </w:r>
      <w:r w:rsidRPr="0064224D">
        <w:rPr>
          <w:rFonts w:asciiTheme="minorHAnsi" w:hAnsiTheme="minorHAnsi" w:cstheme="minorHAnsi"/>
          <w:szCs w:val="22"/>
        </w:rPr>
        <w:tab/>
        <w:t>Exceptions to Certification for Paperwork Reduction Act Submissions</w:t>
      </w:r>
      <w:r w:rsidRPr="0064224D">
        <w:rPr>
          <w:rFonts w:asciiTheme="minorHAnsi" w:hAnsiTheme="minorHAnsi" w:cstheme="minorHAnsi"/>
          <w:szCs w:val="22"/>
        </w:rPr>
        <w:tab/>
      </w:r>
    </w:p>
    <w:p w:rsidR="00084812" w:rsidRPr="0064224D" w:rsidP="00712FC4" w14:paraId="08BB9294" w14:textId="056C5DB2">
      <w:pPr>
        <w:pStyle w:val="P1-StandPara"/>
        <w:tabs>
          <w:tab w:val="left" w:pos="720"/>
          <w:tab w:val="right" w:leader="dot" w:pos="9504"/>
        </w:tabs>
        <w:spacing w:before="120" w:after="120" w:line="240" w:lineRule="auto"/>
        <w:ind w:firstLine="0"/>
        <w:rPr>
          <w:rFonts w:asciiTheme="minorHAnsi" w:hAnsiTheme="minorHAnsi" w:cstheme="minorHAnsi"/>
          <w:b/>
          <w:szCs w:val="22"/>
        </w:rPr>
      </w:pPr>
    </w:p>
    <w:p w:rsidR="00EC6EAC" w:rsidRPr="0064224D" w:rsidP="00712FC4" w14:paraId="295336EE" w14:textId="479B0A51">
      <w:pPr>
        <w:pStyle w:val="P1-StandPara"/>
        <w:tabs>
          <w:tab w:val="left" w:pos="720"/>
          <w:tab w:val="right" w:leader="dot" w:pos="9504"/>
        </w:tabs>
        <w:spacing w:before="120" w:after="120" w:line="240" w:lineRule="auto"/>
        <w:ind w:firstLine="0"/>
        <w:rPr>
          <w:rFonts w:asciiTheme="minorHAnsi" w:hAnsiTheme="minorHAnsi" w:cstheme="minorHAnsi"/>
          <w:b/>
          <w:szCs w:val="22"/>
          <w:u w:val="single"/>
        </w:rPr>
      </w:pPr>
      <w:r w:rsidRPr="0064224D">
        <w:rPr>
          <w:rFonts w:asciiTheme="minorHAnsi" w:hAnsiTheme="minorHAnsi" w:cstheme="minorHAnsi"/>
          <w:b/>
          <w:szCs w:val="22"/>
          <w:u w:val="single"/>
        </w:rPr>
        <w:t xml:space="preserve">Attachments </w:t>
      </w:r>
    </w:p>
    <w:p w:rsidR="00EC6EAC" w:rsidRPr="0064224D" w:rsidP="00712FC4" w14:paraId="21E7A197" w14:textId="50A847B5">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64224D">
        <w:rPr>
          <w:rFonts w:asciiTheme="minorHAnsi" w:hAnsiTheme="minorHAnsi" w:cstheme="minorHAnsi"/>
          <w:szCs w:val="22"/>
        </w:rPr>
        <w:t xml:space="preserve">Attachment 1 – Study Registration </w:t>
      </w:r>
      <w:r w:rsidRPr="0064224D" w:rsidR="00A9088C">
        <w:rPr>
          <w:rFonts w:asciiTheme="minorHAnsi" w:hAnsiTheme="minorHAnsi" w:cstheme="minorHAnsi"/>
          <w:szCs w:val="22"/>
        </w:rPr>
        <w:t>Data Access Request, Renewal and Close-out forms</w:t>
      </w:r>
    </w:p>
    <w:p w:rsidR="00EC6EAC" w:rsidRPr="0064224D" w:rsidP="00712FC4" w14:paraId="413B23E4" w14:textId="03911DD5">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64224D">
        <w:rPr>
          <w:rFonts w:asciiTheme="minorHAnsi" w:hAnsiTheme="minorHAnsi" w:cstheme="minorHAnsi"/>
          <w:szCs w:val="22"/>
        </w:rPr>
        <w:t>Attachment 2</w:t>
      </w:r>
      <w:r w:rsidRPr="0064224D" w:rsidR="00200DDB">
        <w:rPr>
          <w:rFonts w:asciiTheme="minorHAnsi" w:hAnsiTheme="minorHAnsi" w:cstheme="minorHAnsi"/>
          <w:szCs w:val="22"/>
        </w:rPr>
        <w:t xml:space="preserve"> – </w:t>
      </w:r>
      <w:r w:rsidRPr="0064224D" w:rsidR="00BA5ED2">
        <w:rPr>
          <w:rFonts w:asciiTheme="minorHAnsi" w:hAnsiTheme="minorHAnsi" w:cstheme="minorHAnsi"/>
          <w:szCs w:val="22"/>
        </w:rPr>
        <w:t xml:space="preserve">Institutional Certification </w:t>
      </w:r>
    </w:p>
    <w:p w:rsidR="00DE46AC" w:rsidRPr="0064224D" w:rsidP="00712FC4" w14:paraId="7132277A" w14:textId="6DD15B51">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64224D">
        <w:rPr>
          <w:rFonts w:asciiTheme="minorHAnsi" w:hAnsiTheme="minorHAnsi" w:cstheme="minorHAnsi"/>
          <w:szCs w:val="22"/>
        </w:rPr>
        <w:t>Attachment 3 – Privacy Impact Assessment</w:t>
      </w:r>
    </w:p>
    <w:p w:rsidR="00200DDB" w:rsidRPr="0064224D" w:rsidP="00712FC4" w14:paraId="5EBEDFAA" w14:textId="5B9753C0">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5774C22B" w14:textId="3549C829">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6A908CE2" w14:textId="46799896">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41DF8E34" w14:textId="385F4752">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3A3FD3E1" w14:textId="3DB03654">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2C211B52" w14:textId="0D21D45C">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65DC9068" w14:textId="599CCE74">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6FA92ED3" w14:textId="48764A11">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7D0439ED" w14:textId="262F2B71">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7AA248B7" w14:textId="3ECC9D4D">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4ABB6086" w14:textId="1172CE72">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7C66B61D" w14:textId="0B657A6A">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4F15DBFF" w14:textId="14A594EA">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2F4E8F3A" w14:textId="73D98314">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7A867C64" w14:textId="145EF859">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1A6A3717" w14:textId="77D02F24">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08AD645A" w14:textId="7EEF964D">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4865FE5C" w14:textId="0BDBE8F7">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0E850188" w14:textId="1F9881EB">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38BCE119" w14:textId="411455EC">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44311068" w14:textId="294F3F2C">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60374935" w14:textId="4400685F">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5EB0D07D" w14:textId="403B2C4B">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391F0DC4" w14:textId="775FEDD8">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363468E9" w14:textId="13A98CC9">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6A8AC233" w14:textId="68490DCB">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55A31AD5" w14:textId="6D494168">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2E5F1F6E" w14:textId="12458120">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200DDB" w:rsidRPr="0064224D" w:rsidP="00712FC4" w14:paraId="0F776B04" w14:textId="77777777">
      <w:pPr>
        <w:pStyle w:val="P1-StandPara"/>
        <w:tabs>
          <w:tab w:val="left" w:pos="720"/>
          <w:tab w:val="right" w:leader="dot" w:pos="9504"/>
        </w:tabs>
        <w:spacing w:before="120" w:after="120" w:line="240" w:lineRule="auto"/>
        <w:ind w:firstLine="0"/>
        <w:rPr>
          <w:rFonts w:asciiTheme="minorHAnsi" w:hAnsiTheme="minorHAnsi" w:cstheme="minorHAnsi"/>
          <w:szCs w:val="22"/>
        </w:rPr>
      </w:pPr>
    </w:p>
    <w:p w:rsidR="00712FC4" w:rsidRPr="0064224D" w:rsidP="00712FC4" w14:paraId="79D63F61" w14:textId="365E327C">
      <w:pPr>
        <w:pStyle w:val="P1-StandPara"/>
        <w:tabs>
          <w:tab w:val="left" w:pos="720"/>
          <w:tab w:val="right" w:leader="dot" w:pos="9504"/>
        </w:tabs>
        <w:spacing w:before="120" w:after="120" w:line="240" w:lineRule="auto"/>
        <w:ind w:firstLine="0"/>
        <w:rPr>
          <w:rFonts w:asciiTheme="minorHAnsi" w:hAnsiTheme="minorHAnsi" w:cstheme="minorHAnsi"/>
          <w:szCs w:val="22"/>
        </w:rPr>
      </w:pPr>
      <w:r w:rsidRPr="0064224D">
        <w:rPr>
          <w:rFonts w:asciiTheme="minorHAnsi" w:hAnsiTheme="minorHAnsi" w:cstheme="minorHAnsi"/>
          <w:b/>
          <w:szCs w:val="22"/>
        </w:rPr>
        <w:t xml:space="preserve">A. </w:t>
      </w:r>
      <w:r w:rsidRPr="0064224D" w:rsidR="00E42C50">
        <w:rPr>
          <w:rFonts w:asciiTheme="minorHAnsi" w:hAnsiTheme="minorHAnsi" w:cstheme="minorHAnsi"/>
          <w:b/>
          <w:szCs w:val="22"/>
        </w:rPr>
        <w:t>ABSTRACT</w:t>
      </w:r>
    </w:p>
    <w:p w:rsidR="007B0FD6" w:rsidRPr="0064224D" w:rsidP="007E3D11" w14:paraId="7E98FD81" w14:textId="21944817">
      <w:pPr>
        <w:rPr>
          <w:rFonts w:cstheme="minorHAnsi"/>
        </w:rPr>
      </w:pPr>
      <w:r w:rsidRPr="0064224D">
        <w:rPr>
          <w:rFonts w:cstheme="minorHAnsi"/>
          <w:highlight w:val="yellow"/>
        </w:rPr>
        <w:t>This application is for a revision to an existing Office of Management and Budget (OMB) approved collection of information, 0925-0670, to continue supporting NIH’s goals for sharing of genomic data and HHS goals of enhancing data sharing. The online forms described in the rest of this document reduce burden for investigators who submit data and for requesters who wish to access the data for secondary research.</w:t>
      </w:r>
      <w:r w:rsidRPr="0064224D">
        <w:rPr>
          <w:rFonts w:cstheme="minorHAnsi"/>
        </w:rPr>
        <w:t xml:space="preserve"> </w:t>
      </w:r>
    </w:p>
    <w:p w:rsidR="007E3D11" w:rsidRPr="0064224D" w:rsidP="007E3D11" w14:paraId="1A0DDE02" w14:textId="129BD076">
      <w:pPr>
        <w:rPr>
          <w:rFonts w:cstheme="minorHAnsi"/>
        </w:rPr>
      </w:pPr>
      <w:r w:rsidRPr="0064224D">
        <w:rPr>
          <w:rFonts w:cstheme="minorHAnsi"/>
        </w:rPr>
        <w:t>Sharing research data is integral to the mission of the National Institutes of Health (NIH), as it advances our understanding of factors that influence health and disease, while also providing opportunities to accelerate research through t</w:t>
      </w:r>
      <w:r w:rsidRPr="0064224D" w:rsidR="00E151AA">
        <w:rPr>
          <w:rFonts w:cstheme="minorHAnsi"/>
        </w:rPr>
        <w:t xml:space="preserve">he power of combining large, </w:t>
      </w:r>
      <w:r w:rsidRPr="0064224D">
        <w:rPr>
          <w:rFonts w:cstheme="minorHAnsi"/>
        </w:rPr>
        <w:t>information-rich datasets. To promote robust sharing of human and non-human genomic data from a wide range of large-scale genomic research, and to provide appropriate protections for research involving human data, the NIH issue</w:t>
      </w:r>
      <w:r w:rsidRPr="0064224D" w:rsidR="00C90D95">
        <w:rPr>
          <w:rFonts w:cstheme="minorHAnsi"/>
        </w:rPr>
        <w:t xml:space="preserve">d the </w:t>
      </w:r>
      <w:r w:rsidRPr="0064224D">
        <w:rPr>
          <w:rFonts w:cstheme="minorHAnsi"/>
        </w:rPr>
        <w:t xml:space="preserve">Genomic </w:t>
      </w:r>
      <w:r w:rsidRPr="0064224D" w:rsidR="00C90D95">
        <w:rPr>
          <w:rFonts w:cstheme="minorHAnsi"/>
        </w:rPr>
        <w:t>Data Sharing (GDS) Policy</w:t>
      </w:r>
      <w:r w:rsidRPr="0064224D">
        <w:rPr>
          <w:rFonts w:cstheme="minorHAnsi"/>
        </w:rPr>
        <w:t>.  The</w:t>
      </w:r>
      <w:r w:rsidRPr="0064224D" w:rsidR="00C90D95">
        <w:rPr>
          <w:rFonts w:cstheme="minorHAnsi"/>
        </w:rPr>
        <w:t xml:space="preserve"> NIH</w:t>
      </w:r>
      <w:r w:rsidRPr="0064224D" w:rsidR="00D63DE0">
        <w:rPr>
          <w:rFonts w:cstheme="minorHAnsi"/>
        </w:rPr>
        <w:t xml:space="preserve"> GDS Policy</w:t>
      </w:r>
      <w:r w:rsidRPr="0064224D" w:rsidR="00243D89">
        <w:rPr>
          <w:rFonts w:cstheme="minorHAnsi"/>
        </w:rPr>
        <w:t xml:space="preserve"> </w:t>
      </w:r>
      <w:r w:rsidRPr="0064224D" w:rsidR="004653AC">
        <w:rPr>
          <w:rFonts w:cstheme="minorHAnsi"/>
        </w:rPr>
        <w:t xml:space="preserve">applies to </w:t>
      </w:r>
      <w:r w:rsidRPr="0064224D">
        <w:rPr>
          <w:rFonts w:cstheme="minorHAnsi"/>
        </w:rPr>
        <w:t xml:space="preserve">NIH-funded research that generates large-scale human or non-human genomic data as well as the use of these data for subsequent research. </w:t>
      </w:r>
    </w:p>
    <w:p w:rsidR="007E3D11" w:rsidRPr="0064224D" w:rsidP="007E3D11" w14:paraId="210AAAED" w14:textId="45F1D063">
      <w:pPr>
        <w:rPr>
          <w:rFonts w:cstheme="minorHAnsi"/>
        </w:rPr>
      </w:pPr>
      <w:r w:rsidRPr="0064224D">
        <w:rPr>
          <w:rFonts w:cstheme="minorHAnsi"/>
        </w:rPr>
        <w:t xml:space="preserve">The </w:t>
      </w:r>
      <w:r w:rsidRPr="0064224D" w:rsidR="00C90D95">
        <w:rPr>
          <w:rFonts w:cstheme="minorHAnsi"/>
        </w:rPr>
        <w:t xml:space="preserve">NIH </w:t>
      </w:r>
      <w:r w:rsidRPr="0064224D">
        <w:rPr>
          <w:rFonts w:cstheme="minorHAnsi"/>
        </w:rPr>
        <w:t xml:space="preserve">GDS Policy </w:t>
      </w:r>
      <w:r w:rsidRPr="0064224D" w:rsidR="004653AC">
        <w:rPr>
          <w:rFonts w:cstheme="minorHAnsi"/>
        </w:rPr>
        <w:t xml:space="preserve">addresses data submission, maintenance, and </w:t>
      </w:r>
      <w:r w:rsidRPr="0064224D">
        <w:rPr>
          <w:rFonts w:cstheme="minorHAnsi"/>
        </w:rPr>
        <w:t>access. Under the Policy, NIH-funded investigators generating large-scale genomic data are expected to submit these data and associated phenotypic</w:t>
      </w:r>
      <w:r w:rsidRPr="0064224D" w:rsidR="00E151AA">
        <w:rPr>
          <w:rFonts w:cstheme="minorHAnsi"/>
        </w:rPr>
        <w:t xml:space="preserve"> data to </w:t>
      </w:r>
      <w:r w:rsidRPr="0064224D" w:rsidR="008A67F5">
        <w:rPr>
          <w:rFonts w:cstheme="minorHAnsi"/>
        </w:rPr>
        <w:t>a repository acceptable under the Genomic Data Sharing Policy</w:t>
      </w:r>
      <w:r w:rsidRPr="0064224D">
        <w:rPr>
          <w:rFonts w:cstheme="minorHAnsi"/>
        </w:rPr>
        <w:t>. Human genomic data submission and acce</w:t>
      </w:r>
      <w:r w:rsidRPr="0064224D" w:rsidR="00C90D95">
        <w:rPr>
          <w:rFonts w:cstheme="minorHAnsi"/>
        </w:rPr>
        <w:t xml:space="preserve">ss, </w:t>
      </w:r>
      <w:r w:rsidRPr="0064224D" w:rsidR="000552B6">
        <w:rPr>
          <w:rFonts w:cstheme="minorHAnsi"/>
        </w:rPr>
        <w:t xml:space="preserve">is </w:t>
      </w:r>
      <w:r w:rsidRPr="0064224D">
        <w:rPr>
          <w:rFonts w:cstheme="minorHAnsi"/>
        </w:rPr>
        <w:t>managed through</w:t>
      </w:r>
      <w:r w:rsidRPr="0064224D" w:rsidR="00E151AA">
        <w:rPr>
          <w:rFonts w:cstheme="minorHAnsi"/>
        </w:rPr>
        <w:t xml:space="preserve"> </w:t>
      </w:r>
      <w:r w:rsidRPr="0064224D">
        <w:rPr>
          <w:rFonts w:cstheme="minorHAnsi"/>
        </w:rPr>
        <w:t>the database of Genotypes and Phenotypes (</w:t>
      </w:r>
      <w:r w:rsidRPr="0064224D">
        <w:rPr>
          <w:rFonts w:cstheme="minorHAnsi"/>
        </w:rPr>
        <w:t>dbGaP</w:t>
      </w:r>
      <w:r w:rsidRPr="0064224D">
        <w:rPr>
          <w:rFonts w:cstheme="minorHAnsi"/>
        </w:rPr>
        <w:t>), administered by the National Center for Biotechnology Information (NCBI), part of the National Library of Medicine at NIH.</w:t>
      </w:r>
    </w:p>
    <w:p w:rsidR="00D63DE0" w:rsidRPr="0064224D" w:rsidP="007E3D11" w14:paraId="04480A03" w14:textId="4BD4F522">
      <w:pPr>
        <w:rPr>
          <w:rFonts w:cstheme="minorHAnsi"/>
        </w:rPr>
      </w:pPr>
      <w:r w:rsidRPr="0064224D">
        <w:rPr>
          <w:rFonts w:cstheme="minorHAnsi"/>
        </w:rPr>
        <w:t>Controlled-access data in</w:t>
      </w:r>
      <w:r w:rsidRPr="0064224D" w:rsidR="001B7EF9">
        <w:rPr>
          <w:rFonts w:cstheme="minorHAnsi"/>
        </w:rPr>
        <w:t xml:space="preserve"> </w:t>
      </w:r>
      <w:bookmarkStart w:id="0" w:name="_Hlk107224186"/>
      <w:r w:rsidRPr="0064224D" w:rsidR="006A39E0">
        <w:rPr>
          <w:rFonts w:cstheme="minorHAnsi"/>
        </w:rPr>
        <w:t xml:space="preserve">repositories acceptable under the Genomic Data Sharing Policy </w:t>
      </w:r>
      <w:bookmarkEnd w:id="0"/>
      <w:r w:rsidRPr="0064224D" w:rsidR="004653AC">
        <w:rPr>
          <w:rFonts w:cstheme="minorHAnsi"/>
        </w:rPr>
        <w:t xml:space="preserve">(e.g., </w:t>
      </w:r>
      <w:r w:rsidRPr="0064224D" w:rsidR="004653AC">
        <w:rPr>
          <w:rFonts w:cstheme="minorHAnsi"/>
        </w:rPr>
        <w:t>dbGaP</w:t>
      </w:r>
      <w:r w:rsidRPr="0064224D" w:rsidR="004653AC">
        <w:rPr>
          <w:rFonts w:cstheme="minorHAnsi"/>
        </w:rPr>
        <w:t xml:space="preserve">) </w:t>
      </w:r>
      <w:r w:rsidRPr="0064224D">
        <w:rPr>
          <w:rFonts w:cstheme="minorHAnsi"/>
        </w:rPr>
        <w:t>are made avail</w:t>
      </w:r>
      <w:r w:rsidRPr="0064224D" w:rsidR="004653AC">
        <w:rPr>
          <w:rFonts w:cstheme="minorHAnsi"/>
        </w:rPr>
        <w:t>able for secondary research</w:t>
      </w:r>
      <w:r w:rsidRPr="0064224D">
        <w:rPr>
          <w:rFonts w:cstheme="minorHAnsi"/>
        </w:rPr>
        <w:t xml:space="preserve"> after</w:t>
      </w:r>
      <w:r w:rsidRPr="0064224D" w:rsidR="00C90D95">
        <w:rPr>
          <w:rFonts w:cstheme="minorHAnsi"/>
        </w:rPr>
        <w:t xml:space="preserve"> requesters</w:t>
      </w:r>
      <w:r w:rsidRPr="0064224D">
        <w:rPr>
          <w:rFonts w:cstheme="minorHAnsi"/>
        </w:rPr>
        <w:t xml:space="preserve"> have submitted a request and obtained approval from a</w:t>
      </w:r>
      <w:r w:rsidRPr="0064224D" w:rsidR="00C90D95">
        <w:rPr>
          <w:rFonts w:cstheme="minorHAnsi"/>
        </w:rPr>
        <w:t>n</w:t>
      </w:r>
      <w:r w:rsidRPr="0064224D">
        <w:rPr>
          <w:rFonts w:cstheme="minorHAnsi"/>
        </w:rPr>
        <w:t xml:space="preserve"> NIH Data Access Committee (DAC) for </w:t>
      </w:r>
      <w:r w:rsidRPr="0064224D" w:rsidR="00C90D95">
        <w:rPr>
          <w:rFonts w:cstheme="minorHAnsi"/>
        </w:rPr>
        <w:t>a particular project. Approved requesters</w:t>
      </w:r>
      <w:r w:rsidRPr="0064224D">
        <w:rPr>
          <w:rFonts w:cstheme="minorHAnsi"/>
        </w:rPr>
        <w:t xml:space="preserve"> are granted access to millions of dollars of genomic research data </w:t>
      </w:r>
      <w:r w:rsidRPr="0064224D" w:rsidR="00243D89">
        <w:rPr>
          <w:rFonts w:cstheme="minorHAnsi"/>
        </w:rPr>
        <w:t>without</w:t>
      </w:r>
      <w:r w:rsidRPr="0064224D">
        <w:rPr>
          <w:rFonts w:cstheme="minorHAnsi"/>
        </w:rPr>
        <w:t xml:space="preserve"> charge.</w:t>
      </w:r>
    </w:p>
    <w:p w:rsidR="00CF1354" w:rsidRPr="0064224D" w:rsidP="00CF1354" w14:paraId="4C057ED0" w14:textId="77777777">
      <w:pPr>
        <w:pStyle w:val="P1-StandPara"/>
        <w:tabs>
          <w:tab w:val="left" w:pos="720"/>
          <w:tab w:val="right" w:leader="dot" w:pos="9504"/>
        </w:tabs>
        <w:spacing w:after="200" w:line="276" w:lineRule="auto"/>
        <w:ind w:firstLine="0"/>
        <w:rPr>
          <w:rFonts w:asciiTheme="minorHAnsi" w:hAnsiTheme="minorHAnsi" w:cstheme="minorHAnsi"/>
          <w:b/>
          <w:szCs w:val="22"/>
        </w:rPr>
      </w:pPr>
      <w:r w:rsidRPr="0064224D">
        <w:rPr>
          <w:rFonts w:asciiTheme="minorHAnsi" w:hAnsiTheme="minorHAnsi" w:cstheme="minorHAnsi"/>
          <w:b/>
          <w:szCs w:val="22"/>
        </w:rPr>
        <w:t>A.1</w:t>
      </w:r>
      <w:r w:rsidRPr="0064224D">
        <w:rPr>
          <w:rFonts w:asciiTheme="minorHAnsi" w:hAnsiTheme="minorHAnsi" w:cstheme="minorHAnsi"/>
          <w:b/>
          <w:szCs w:val="22"/>
        </w:rPr>
        <w:tab/>
        <w:t>Circumstances Making the Collection of Information Necessary</w:t>
      </w:r>
    </w:p>
    <w:p w:rsidR="00CF1354" w:rsidRPr="0064224D" w:rsidP="00CF1354" w14:paraId="09DED765" w14:textId="77777777">
      <w:pPr>
        <w:autoSpaceDE w:val="0"/>
        <w:autoSpaceDN w:val="0"/>
        <w:adjustRightInd w:val="0"/>
        <w:rPr>
          <w:rFonts w:cstheme="minorHAnsi"/>
          <w:bCs/>
          <w:color w:val="000000"/>
        </w:rPr>
      </w:pPr>
      <w:r w:rsidRPr="0064224D">
        <w:rPr>
          <w:rFonts w:cstheme="minorHAnsi"/>
        </w:rPr>
        <w:t>The collection of information activities set forth herein would be conducted under the authorities granted in Section 301 of the Public Health Service Act, 42 USC 241 and in accordance with the policies and procedures set forth in the NIH GDS Policy</w:t>
      </w:r>
      <w:r w:rsidRPr="0064224D">
        <w:rPr>
          <w:rFonts w:cstheme="minorHAnsi"/>
          <w:bCs/>
          <w:color w:val="000000"/>
        </w:rPr>
        <w:t>.</w:t>
      </w:r>
    </w:p>
    <w:p w:rsidR="00CF1354" w:rsidRPr="0064224D" w:rsidP="00CF1354" w14:paraId="44F9EB66" w14:textId="2173BE54">
      <w:pPr>
        <w:rPr>
          <w:rFonts w:cstheme="minorHAnsi"/>
        </w:rPr>
      </w:pPr>
      <w:r w:rsidRPr="0064224D">
        <w:rPr>
          <w:rFonts w:cstheme="minorHAnsi"/>
        </w:rPr>
        <w:t xml:space="preserve">Under the </w:t>
      </w:r>
      <w:r w:rsidRPr="0064224D" w:rsidR="00D63DE0">
        <w:rPr>
          <w:rFonts w:cstheme="minorHAnsi"/>
        </w:rPr>
        <w:t xml:space="preserve">NIH </w:t>
      </w:r>
      <w:r w:rsidRPr="0064224D">
        <w:rPr>
          <w:rFonts w:cstheme="minorHAnsi"/>
        </w:rPr>
        <w:t>GDS Policy, all investigators who receive NIH funding to conduct research studies generating large-scale human genomic data maintained in controlled</w:t>
      </w:r>
      <w:r w:rsidRPr="0064224D" w:rsidR="000552B6">
        <w:rPr>
          <w:rFonts w:cstheme="minorHAnsi"/>
        </w:rPr>
        <w:t xml:space="preserve"> </w:t>
      </w:r>
      <w:r w:rsidRPr="0064224D">
        <w:rPr>
          <w:rFonts w:cstheme="minorHAnsi"/>
        </w:rPr>
        <w:t xml:space="preserve">access are expected to register the studies in </w:t>
      </w:r>
      <w:r w:rsidRPr="0064224D">
        <w:rPr>
          <w:rFonts w:cstheme="minorHAnsi"/>
        </w:rPr>
        <w:t>dbGaP</w:t>
      </w:r>
      <w:r w:rsidRPr="0064224D">
        <w:rPr>
          <w:rFonts w:cstheme="minorHAnsi"/>
        </w:rPr>
        <w:t xml:space="preserve">, no matter which </w:t>
      </w:r>
      <w:r w:rsidRPr="0064224D" w:rsidR="000552B6">
        <w:rPr>
          <w:rFonts w:cstheme="minorHAnsi"/>
        </w:rPr>
        <w:t xml:space="preserve">repository acceptable under the Genomic Data Sharing Policy </w:t>
      </w:r>
      <w:r w:rsidRPr="0064224D">
        <w:rPr>
          <w:rFonts w:cstheme="minorHAnsi"/>
        </w:rPr>
        <w:t>will maintain the data. As part of the registration process, investigators must provide basic study information such as the type of data that will be submitted (e.g., individual-level genotype data, aggregate-level association data)</w:t>
      </w:r>
      <w:r w:rsidRPr="0064224D" w:rsidR="00BA5ED2">
        <w:rPr>
          <w:rFonts w:cstheme="minorHAnsi"/>
        </w:rPr>
        <w:t xml:space="preserve"> </w:t>
      </w:r>
      <w:r w:rsidRPr="0064224D" w:rsidR="00DC39DB">
        <w:rPr>
          <w:rFonts w:cstheme="minorHAnsi"/>
        </w:rPr>
        <w:t xml:space="preserve">as documented in </w:t>
      </w:r>
      <w:r w:rsidRPr="0064224D" w:rsidR="00BA5ED2">
        <w:rPr>
          <w:rFonts w:cstheme="minorHAnsi"/>
        </w:rPr>
        <w:t xml:space="preserve">see attachment </w:t>
      </w:r>
      <w:r w:rsidRPr="0064224D" w:rsidR="00DC39DB">
        <w:rPr>
          <w:rFonts w:cstheme="minorHAnsi"/>
        </w:rPr>
        <w:t xml:space="preserve">2. They must also provide </w:t>
      </w:r>
      <w:r w:rsidRPr="0064224D">
        <w:rPr>
          <w:rFonts w:cstheme="minorHAnsi"/>
        </w:rPr>
        <w:t>a description of the study and an institutional assurance of the data submission (i.e., an Institutional Certification)</w:t>
      </w:r>
      <w:r w:rsidRPr="0064224D" w:rsidR="00DC39DB">
        <w:rPr>
          <w:rFonts w:cstheme="minorHAnsi"/>
        </w:rPr>
        <w:t xml:space="preserve"> as documented in </w:t>
      </w:r>
      <w:r w:rsidRPr="0064224D" w:rsidR="00BA5ED2">
        <w:rPr>
          <w:rFonts w:cstheme="minorHAnsi"/>
        </w:rPr>
        <w:t xml:space="preserve">attachment </w:t>
      </w:r>
      <w:r w:rsidRPr="0064224D" w:rsidR="00DC39DB">
        <w:rPr>
          <w:rFonts w:cstheme="minorHAnsi"/>
        </w:rPr>
        <w:t xml:space="preserve">1, </w:t>
      </w:r>
      <w:r w:rsidRPr="0064224D">
        <w:rPr>
          <w:rFonts w:cstheme="minorHAnsi"/>
        </w:rPr>
        <w:t xml:space="preserve">which delineates any limitations on the use of the data for secondary research (e.g., data can be used only for research </w:t>
      </w:r>
      <w:r w:rsidRPr="0064224D" w:rsidR="00BE5828">
        <w:rPr>
          <w:rFonts w:cstheme="minorHAnsi"/>
        </w:rPr>
        <w:t xml:space="preserve">on </w:t>
      </w:r>
      <w:r w:rsidRPr="0064224D">
        <w:rPr>
          <w:rFonts w:cstheme="minorHAnsi"/>
        </w:rPr>
        <w:t>particular diseases</w:t>
      </w:r>
      <w:r w:rsidRPr="0064224D">
        <w:rPr>
          <w:rFonts w:cstheme="minorHAnsi"/>
        </w:rPr>
        <w:t xml:space="preserve">). </w:t>
      </w:r>
    </w:p>
    <w:p w:rsidR="00CF1354" w:rsidRPr="0064224D" w:rsidP="00CF1354" w14:paraId="42C87A40" w14:textId="0592E222">
      <w:pPr>
        <w:rPr>
          <w:rFonts w:cstheme="minorHAnsi"/>
        </w:rPr>
      </w:pPr>
      <w:r w:rsidRPr="0064224D">
        <w:rPr>
          <w:rFonts w:cstheme="minorHAnsi"/>
        </w:rPr>
        <w:t xml:space="preserve">Although NIH encourages genomic data sharing through this Policy, circumstances beyond the control of investigators may preclude submission of human genomic data to </w:t>
      </w:r>
      <w:r w:rsidRPr="0064224D" w:rsidR="000552B6">
        <w:rPr>
          <w:rFonts w:cstheme="minorHAnsi"/>
        </w:rPr>
        <w:t xml:space="preserve">a repository acceptable under the Genomic Data Sharing </w:t>
      </w:r>
      <w:r w:rsidRPr="0064224D" w:rsidR="00DF0DCD">
        <w:rPr>
          <w:rFonts w:cstheme="minorHAnsi"/>
        </w:rPr>
        <w:t>Policy (</w:t>
      </w:r>
      <w:r w:rsidRPr="0064224D">
        <w:rPr>
          <w:rFonts w:cstheme="minorHAnsi"/>
        </w:rPr>
        <w:t xml:space="preserve">e.g., country or state laws that prohibit data deposition in a U.S. database). In such cases, an exception to submit genomic </w:t>
      </w:r>
      <w:r w:rsidRPr="0064224D" w:rsidR="001B7EF9">
        <w:rPr>
          <w:rFonts w:cstheme="minorHAnsi"/>
        </w:rPr>
        <w:t>data to</w:t>
      </w:r>
      <w:r w:rsidRPr="0064224D">
        <w:rPr>
          <w:rFonts w:cstheme="minorHAnsi"/>
        </w:rPr>
        <w:t xml:space="preserve"> </w:t>
      </w:r>
      <w:r w:rsidRPr="0064224D" w:rsidR="00416D43">
        <w:rPr>
          <w:rFonts w:cstheme="minorHAnsi"/>
        </w:rPr>
        <w:t xml:space="preserve">a repository acceptable under the </w:t>
      </w:r>
      <w:r w:rsidRPr="0064224D" w:rsidR="00416D43">
        <w:rPr>
          <w:rFonts w:cstheme="minorHAnsi"/>
        </w:rPr>
        <w:t xml:space="preserve">Genomic Data Sharing Policy </w:t>
      </w:r>
      <w:r w:rsidRPr="0064224D">
        <w:rPr>
          <w:rFonts w:cstheme="minorHAnsi"/>
        </w:rPr>
        <w:t xml:space="preserve">may be granted. For transparency purposes, when exceptions are granted, studies will still be registered in </w:t>
      </w:r>
      <w:r w:rsidRPr="0064224D">
        <w:rPr>
          <w:rFonts w:cstheme="minorHAnsi"/>
        </w:rPr>
        <w:t>dbGaP</w:t>
      </w:r>
      <w:r w:rsidRPr="0064224D">
        <w:rPr>
          <w:rFonts w:cstheme="minorHAnsi"/>
        </w:rPr>
        <w:t>, the reason for the exception will be included in the registration record, and a reference will be provided to an alternative data-sharing plan or resource, if available.</w:t>
      </w:r>
    </w:p>
    <w:p w:rsidR="00CF1354" w:rsidRPr="0064224D" w:rsidP="00CF1354" w14:paraId="2006CD0F" w14:textId="1376855F">
      <w:pPr>
        <w:rPr>
          <w:rFonts w:cstheme="minorHAnsi"/>
        </w:rPr>
      </w:pPr>
      <w:r w:rsidRPr="0064224D">
        <w:rPr>
          <w:rFonts w:cstheme="minorHAnsi"/>
        </w:rPr>
        <w:t>Requesters interested in using controlled</w:t>
      </w:r>
      <w:r w:rsidRPr="0064224D" w:rsidR="00171E18">
        <w:rPr>
          <w:rFonts w:cstheme="minorHAnsi"/>
        </w:rPr>
        <w:t xml:space="preserve"> </w:t>
      </w:r>
      <w:r w:rsidRPr="0064224D">
        <w:rPr>
          <w:rFonts w:cstheme="minorHAnsi"/>
        </w:rPr>
        <w:t xml:space="preserve">access human data for secondary research must apply </w:t>
      </w:r>
      <w:r w:rsidRPr="0064224D" w:rsidR="00BE5828">
        <w:rPr>
          <w:rFonts w:cstheme="minorHAnsi"/>
        </w:rPr>
        <w:t xml:space="preserve">for access </w:t>
      </w:r>
      <w:r w:rsidRPr="0064224D">
        <w:rPr>
          <w:rFonts w:cstheme="minorHAnsi"/>
        </w:rPr>
        <w:t xml:space="preserve">through </w:t>
      </w:r>
      <w:r w:rsidRPr="0064224D">
        <w:rPr>
          <w:rFonts w:cstheme="minorHAnsi"/>
        </w:rPr>
        <w:t>dbGaP</w:t>
      </w:r>
      <w:r w:rsidRPr="0064224D">
        <w:rPr>
          <w:rFonts w:cstheme="minorHAnsi"/>
        </w:rPr>
        <w:t xml:space="preserve"> and be granted permission to use the data from </w:t>
      </w:r>
      <w:r w:rsidRPr="0064224D" w:rsidR="00BE5828">
        <w:rPr>
          <w:rFonts w:cstheme="minorHAnsi"/>
        </w:rPr>
        <w:t>the appropriate</w:t>
      </w:r>
      <w:r w:rsidRPr="0064224D" w:rsidR="001B7EF9">
        <w:rPr>
          <w:rFonts w:cstheme="minorHAnsi"/>
        </w:rPr>
        <w:t xml:space="preserve"> NIH DAC</w:t>
      </w:r>
      <w:r w:rsidRPr="0064224D">
        <w:rPr>
          <w:rFonts w:cstheme="minorHAnsi"/>
        </w:rPr>
        <w:t xml:space="preserve">. As part of the application process, requesters and their institution must provide information such as a description of the proposed research use of the data that conforms to the data use limitations, agree to </w:t>
      </w:r>
      <w:r w:rsidRPr="0064224D" w:rsidR="00171E18">
        <w:rPr>
          <w:rFonts w:cstheme="minorHAnsi"/>
        </w:rPr>
        <w:t xml:space="preserve">secure the data according to the NIH Security Best Practices for Controlled Access Data </w:t>
      </w:r>
      <w:r w:rsidRPr="0064224D" w:rsidR="001F0E1C">
        <w:rPr>
          <w:rFonts w:cstheme="minorHAnsi"/>
        </w:rPr>
        <w:t>Subject to</w:t>
      </w:r>
      <w:r w:rsidRPr="0064224D" w:rsidR="00171E18">
        <w:rPr>
          <w:rFonts w:cstheme="minorHAnsi"/>
        </w:rPr>
        <w:t xml:space="preserve"> the Genomic Data Sharing Policy and to </w:t>
      </w:r>
      <w:r w:rsidRPr="0064224D">
        <w:rPr>
          <w:rFonts w:cstheme="minorHAnsi"/>
        </w:rPr>
        <w:t>the Genomic Data User Code of Conduct</w:t>
      </w:r>
      <w:r w:rsidRPr="0064224D" w:rsidR="00171E18">
        <w:rPr>
          <w:rFonts w:cstheme="minorHAnsi"/>
        </w:rPr>
        <w:t xml:space="preserve"> through the terms of access described in the Data Use Certification agreement</w:t>
      </w:r>
      <w:r w:rsidRPr="0064224D">
        <w:rPr>
          <w:rFonts w:cstheme="minorHAnsi"/>
        </w:rPr>
        <w:t>.</w:t>
      </w:r>
    </w:p>
    <w:p w:rsidR="00CF1354" w:rsidRPr="0064224D" w:rsidP="00CF1354" w14:paraId="44E9B864" w14:textId="77777777">
      <w:pPr>
        <w:pStyle w:val="Heading2"/>
        <w:tabs>
          <w:tab w:val="left" w:pos="720"/>
          <w:tab w:val="clear" w:pos="1152"/>
        </w:tabs>
        <w:spacing w:after="200" w:line="276" w:lineRule="auto"/>
        <w:ind w:left="1260" w:hanging="1260"/>
        <w:rPr>
          <w:rFonts w:asciiTheme="minorHAnsi" w:hAnsiTheme="minorHAnsi" w:cstheme="minorHAnsi"/>
          <w:szCs w:val="22"/>
        </w:rPr>
      </w:pPr>
      <w:r w:rsidRPr="0064224D">
        <w:rPr>
          <w:rFonts w:asciiTheme="minorHAnsi" w:hAnsiTheme="minorHAnsi" w:cstheme="minorHAnsi"/>
          <w:szCs w:val="22"/>
        </w:rPr>
        <w:t>A.2</w:t>
      </w:r>
      <w:r w:rsidRPr="0064224D">
        <w:rPr>
          <w:rFonts w:asciiTheme="minorHAnsi" w:hAnsiTheme="minorHAnsi" w:cstheme="minorHAnsi"/>
          <w:szCs w:val="22"/>
        </w:rPr>
        <w:tab/>
        <w:t>Purpose and Use of the Information Collection</w:t>
      </w:r>
    </w:p>
    <w:p w:rsidR="004868B5" w:rsidRPr="00EF3D1A" w:rsidP="00FD08C5" w14:paraId="3A62FB94" w14:textId="7C22E4CE">
      <w:pPr>
        <w:rPr>
          <w:rFonts w:cstheme="minorHAnsi"/>
          <w:highlight w:val="yellow"/>
        </w:rPr>
      </w:pPr>
      <w:r w:rsidRPr="00C31467">
        <w:rPr>
          <w:rFonts w:cstheme="minorHAnsi"/>
          <w:highlight w:val="yellow"/>
        </w:rPr>
        <w:t xml:space="preserve">Since the last approved PRA, minor changes have been made that focus </w:t>
      </w:r>
      <w:r w:rsidRPr="00C31467" w:rsidR="00552A07">
        <w:rPr>
          <w:rFonts w:cstheme="minorHAnsi"/>
          <w:highlight w:val="yellow"/>
        </w:rPr>
        <w:t>on</w:t>
      </w:r>
      <w:r w:rsidRPr="00C31467" w:rsidR="004A6350">
        <w:rPr>
          <w:rFonts w:cstheme="minorHAnsi"/>
          <w:highlight w:val="yellow"/>
        </w:rPr>
        <w:t xml:space="preserve"> </w:t>
      </w:r>
      <w:r w:rsidRPr="00C31467" w:rsidR="00CF0D99">
        <w:rPr>
          <w:rFonts w:cstheme="minorHAnsi"/>
          <w:highlight w:val="yellow"/>
        </w:rPr>
        <w:t>updating the systems and/or forms</w:t>
      </w:r>
      <w:r w:rsidRPr="00C31467" w:rsidR="00491004">
        <w:rPr>
          <w:rFonts w:cstheme="minorHAnsi"/>
          <w:highlight w:val="yellow"/>
        </w:rPr>
        <w:t>, which are described below</w:t>
      </w:r>
      <w:r w:rsidRPr="00C31467" w:rsidR="00DD2738">
        <w:rPr>
          <w:rFonts w:cstheme="minorHAnsi"/>
          <w:highlight w:val="yellow"/>
        </w:rPr>
        <w:t xml:space="preserve">. </w:t>
      </w:r>
      <w:r w:rsidRPr="00C31467">
        <w:rPr>
          <w:rFonts w:cstheme="minorHAnsi"/>
          <w:highlight w:val="yellow"/>
        </w:rPr>
        <w:t xml:space="preserve">Changes have also </w:t>
      </w:r>
      <w:r w:rsidRPr="00C31467" w:rsidR="002C703F">
        <w:rPr>
          <w:rFonts w:cstheme="minorHAnsi"/>
          <w:highlight w:val="yellow"/>
        </w:rPr>
        <w:t xml:space="preserve">been </w:t>
      </w:r>
      <w:r w:rsidRPr="00C31467">
        <w:rPr>
          <w:rFonts w:cstheme="minorHAnsi"/>
          <w:highlight w:val="yellow"/>
        </w:rPr>
        <w:t xml:space="preserve">made to the Institutional Certification to clarify issues related to confidentiality and to update language. In addition, to address a need identified by NIH Institutes, Centers, and Offices, a provisional Institutional Certification form was created for </w:t>
      </w:r>
      <w:r w:rsidRPr="00C31467">
        <w:rPr>
          <w:rFonts w:cstheme="minorHAnsi"/>
          <w:highlight w:val="yellow"/>
        </w:rPr>
        <w:t xml:space="preserve">NIH funding applicants </w:t>
      </w:r>
      <w:r w:rsidRPr="00C31467">
        <w:rPr>
          <w:rFonts w:cstheme="minorHAnsi"/>
          <w:highlight w:val="yellow"/>
        </w:rPr>
        <w:t>in the process of obtaining IRB approval when the Institutional Certification Form is due</w:t>
      </w:r>
      <w:r w:rsidRPr="00EF3D1A">
        <w:rPr>
          <w:rFonts w:cstheme="minorHAnsi"/>
          <w:highlight w:val="yellow"/>
        </w:rPr>
        <w:t>.</w:t>
      </w:r>
      <w:r w:rsidRPr="00EF3D1A">
        <w:rPr>
          <w:rFonts w:cstheme="minorHAnsi"/>
          <w:highlight w:val="yellow"/>
        </w:rPr>
        <w:t xml:space="preserve">  This need arises when applicants for NIH funding have received a score that indicates that they will receive funding pending changes requested by peer reviewers or NIH Program Officials. If those changes involve modifications to </w:t>
      </w:r>
      <w:r w:rsidRPr="00EF3D1A" w:rsidR="00931E2E">
        <w:rPr>
          <w:rFonts w:cstheme="minorHAnsi"/>
          <w:highlight w:val="yellow"/>
        </w:rPr>
        <w:t xml:space="preserve">provisions related to data sharing </w:t>
      </w:r>
      <w:r w:rsidRPr="00EF3D1A" w:rsidR="008171D0">
        <w:rPr>
          <w:rFonts w:cstheme="minorHAnsi"/>
          <w:highlight w:val="yellow"/>
        </w:rPr>
        <w:t xml:space="preserve">to </w:t>
      </w:r>
      <w:r w:rsidRPr="00EF3D1A">
        <w:rPr>
          <w:rFonts w:cstheme="minorHAnsi"/>
          <w:highlight w:val="yellow"/>
        </w:rPr>
        <w:t>an IRB approved protocol the timing of submitting a protocol amendment for IRB review may not align with the grant cycle</w:t>
      </w:r>
      <w:r w:rsidRPr="00EF3D1A" w:rsidR="00EF415F">
        <w:rPr>
          <w:rFonts w:cstheme="minorHAnsi"/>
          <w:highlight w:val="yellow"/>
        </w:rPr>
        <w:t xml:space="preserve"> date</w:t>
      </w:r>
      <w:r w:rsidRPr="00EF3D1A">
        <w:rPr>
          <w:rFonts w:cstheme="minorHAnsi"/>
          <w:highlight w:val="yellow"/>
        </w:rPr>
        <w:t xml:space="preserve">, for making the award.  In those cases, restricted awards are issued to allow for funding of research activities </w:t>
      </w:r>
      <w:r w:rsidRPr="00EF3D1A" w:rsidR="00EF415F">
        <w:rPr>
          <w:rFonts w:cstheme="minorHAnsi"/>
          <w:highlight w:val="yellow"/>
        </w:rPr>
        <w:t>have already been approved by the IRB (</w:t>
      </w:r>
      <w:r w:rsidRPr="00EF3D1A" w:rsidR="00EF415F">
        <w:rPr>
          <w:rFonts w:cstheme="minorHAnsi"/>
          <w:highlight w:val="yellow"/>
        </w:rPr>
        <w:t>e.g.</w:t>
      </w:r>
      <w:r w:rsidRPr="00EF3D1A" w:rsidR="00EF415F">
        <w:rPr>
          <w:rFonts w:cstheme="minorHAnsi"/>
          <w:highlight w:val="yellow"/>
        </w:rPr>
        <w:t xml:space="preserve"> participant recruitment) or do not require IRB approval to go forward, but funds will not be released for activities that have not yet received IRB approval. The submission of a provisional Institutional Certification to NIH allows NIH repositories and program staff to plan for and prepare for receiving data but not to register a study in </w:t>
      </w:r>
      <w:r w:rsidRPr="00EF3D1A" w:rsidR="00EF415F">
        <w:rPr>
          <w:rFonts w:cstheme="minorHAnsi"/>
          <w:highlight w:val="yellow"/>
        </w:rPr>
        <w:t>dbGaP</w:t>
      </w:r>
      <w:r w:rsidRPr="00EF3D1A" w:rsidR="00EF415F">
        <w:rPr>
          <w:rFonts w:cstheme="minorHAnsi"/>
          <w:highlight w:val="yellow"/>
        </w:rPr>
        <w:t xml:space="preserve">. Once any needed IRB approval is received and all requested changes are made, previously restricted funds can be </w:t>
      </w:r>
      <w:r w:rsidRPr="00EF3D1A" w:rsidR="00EF415F">
        <w:rPr>
          <w:rFonts w:cstheme="minorHAnsi"/>
          <w:highlight w:val="yellow"/>
        </w:rPr>
        <w:t>released</w:t>
      </w:r>
      <w:r w:rsidRPr="00EF3D1A" w:rsidR="00EF415F">
        <w:rPr>
          <w:rFonts w:cstheme="minorHAnsi"/>
          <w:highlight w:val="yellow"/>
        </w:rPr>
        <w:t xml:space="preserve"> and awardees must submit a completed Institutional Certification so that registration in </w:t>
      </w:r>
      <w:r w:rsidRPr="00EF3D1A" w:rsidR="00EF415F">
        <w:rPr>
          <w:rFonts w:cstheme="minorHAnsi"/>
          <w:highlight w:val="yellow"/>
        </w:rPr>
        <w:t>dbGaP</w:t>
      </w:r>
      <w:r w:rsidRPr="00EF3D1A" w:rsidR="00EF415F">
        <w:rPr>
          <w:rFonts w:cstheme="minorHAnsi"/>
          <w:highlight w:val="yellow"/>
        </w:rPr>
        <w:t xml:space="preserve"> can be completed. </w:t>
      </w:r>
    </w:p>
    <w:p w:rsidR="002A0EA0" w:rsidRPr="00EF3D1A" w:rsidP="00FD08C5" w14:paraId="0C29DE0C" w14:textId="0E43622D">
      <w:pPr>
        <w:rPr>
          <w:rFonts w:cstheme="minorHAnsi"/>
          <w:highlight w:val="yellow"/>
        </w:rPr>
      </w:pPr>
      <w:r w:rsidRPr="00EF3D1A">
        <w:rPr>
          <w:rFonts w:cstheme="minorHAnsi"/>
          <w:highlight w:val="yellow"/>
        </w:rPr>
        <w:t xml:space="preserve">In instances where </w:t>
      </w:r>
      <w:r w:rsidRPr="00EF3D1A" w:rsidR="00143F8C">
        <w:rPr>
          <w:rFonts w:cstheme="minorHAnsi"/>
          <w:highlight w:val="yellow"/>
        </w:rPr>
        <w:t xml:space="preserve">the </w:t>
      </w:r>
      <w:r w:rsidRPr="00EF3D1A">
        <w:rPr>
          <w:rFonts w:cstheme="minorHAnsi"/>
          <w:highlight w:val="yellow"/>
        </w:rPr>
        <w:t xml:space="preserve">IRB </w:t>
      </w:r>
      <w:r w:rsidRPr="00EF3D1A" w:rsidR="00143F8C">
        <w:rPr>
          <w:rFonts w:cstheme="minorHAnsi"/>
          <w:highlight w:val="yellow"/>
        </w:rPr>
        <w:t xml:space="preserve">disapproves </w:t>
      </w:r>
      <w:r w:rsidRPr="00EF3D1A">
        <w:rPr>
          <w:rFonts w:cstheme="minorHAnsi"/>
          <w:highlight w:val="yellow"/>
        </w:rPr>
        <w:t xml:space="preserve">provisions related to </w:t>
      </w:r>
      <w:r w:rsidRPr="00EF3D1A" w:rsidR="0001114E">
        <w:rPr>
          <w:rFonts w:cstheme="minorHAnsi"/>
          <w:highlight w:val="yellow"/>
        </w:rPr>
        <w:t xml:space="preserve">genomic </w:t>
      </w:r>
      <w:r w:rsidRPr="00EF3D1A">
        <w:rPr>
          <w:rFonts w:cstheme="minorHAnsi"/>
          <w:highlight w:val="yellow"/>
        </w:rPr>
        <w:t xml:space="preserve">data sharing as described in </w:t>
      </w:r>
      <w:r w:rsidRPr="00EF3D1A" w:rsidR="00143F8C">
        <w:rPr>
          <w:rFonts w:cstheme="minorHAnsi"/>
          <w:highlight w:val="yellow"/>
        </w:rPr>
        <w:t xml:space="preserve">the </w:t>
      </w:r>
      <w:r w:rsidRPr="00EF3D1A" w:rsidR="00651025">
        <w:rPr>
          <w:rFonts w:cstheme="minorHAnsi"/>
          <w:highlight w:val="yellow"/>
        </w:rPr>
        <w:t>application</w:t>
      </w:r>
      <w:r w:rsidRPr="00EF3D1A" w:rsidR="002F5F5C">
        <w:rPr>
          <w:rFonts w:cstheme="minorHAnsi"/>
          <w:highlight w:val="yellow"/>
        </w:rPr>
        <w:t>, investigators would need to</w:t>
      </w:r>
      <w:r w:rsidRPr="00EF3D1A" w:rsidR="00143F8C">
        <w:rPr>
          <w:rFonts w:cstheme="minorHAnsi"/>
          <w:highlight w:val="yellow"/>
        </w:rPr>
        <w:t xml:space="preserve"> </w:t>
      </w:r>
      <w:r w:rsidRPr="00EF3D1A" w:rsidR="002F5F5C">
        <w:rPr>
          <w:rFonts w:cstheme="minorHAnsi"/>
          <w:highlight w:val="yellow"/>
        </w:rPr>
        <w:t>revise the</w:t>
      </w:r>
      <w:r w:rsidRPr="00EF3D1A" w:rsidR="00143F8C">
        <w:rPr>
          <w:rFonts w:cstheme="minorHAnsi"/>
          <w:highlight w:val="yellow"/>
        </w:rPr>
        <w:t>ir</w:t>
      </w:r>
      <w:r w:rsidRPr="00EF3D1A" w:rsidR="002F5F5C">
        <w:rPr>
          <w:rFonts w:cstheme="minorHAnsi"/>
          <w:highlight w:val="yellow"/>
        </w:rPr>
        <w:t xml:space="preserve"> </w:t>
      </w:r>
      <w:r w:rsidRPr="00EF3D1A" w:rsidR="00651025">
        <w:rPr>
          <w:rFonts w:cstheme="minorHAnsi"/>
          <w:highlight w:val="yellow"/>
        </w:rPr>
        <w:t>application</w:t>
      </w:r>
      <w:r w:rsidRPr="00EF3D1A" w:rsidR="002F5F5C">
        <w:rPr>
          <w:rFonts w:cstheme="minorHAnsi"/>
          <w:highlight w:val="yellow"/>
        </w:rPr>
        <w:t xml:space="preserve"> to indicate th</w:t>
      </w:r>
      <w:r w:rsidRPr="00EF3D1A" w:rsidR="00143F8C">
        <w:rPr>
          <w:rFonts w:cstheme="minorHAnsi"/>
          <w:highlight w:val="yellow"/>
        </w:rPr>
        <w:t>e IRB determination</w:t>
      </w:r>
      <w:r w:rsidRPr="00EF3D1A" w:rsidR="002F5F5C">
        <w:rPr>
          <w:rFonts w:cstheme="minorHAnsi"/>
          <w:highlight w:val="yellow"/>
        </w:rPr>
        <w:t xml:space="preserve"> </w:t>
      </w:r>
      <w:r w:rsidRPr="00EF3D1A" w:rsidR="00143F8C">
        <w:rPr>
          <w:rFonts w:cstheme="minorHAnsi"/>
          <w:highlight w:val="yellow"/>
        </w:rPr>
        <w:t xml:space="preserve">and provide justification for requesting approval of the needed limitations on data submission. If possible, investigators should </w:t>
      </w:r>
      <w:r w:rsidRPr="00EF3D1A" w:rsidR="002F5F5C">
        <w:rPr>
          <w:rFonts w:cstheme="minorHAnsi"/>
          <w:highlight w:val="yellow"/>
        </w:rPr>
        <w:t xml:space="preserve">identify another approach to sharing data </w:t>
      </w:r>
      <w:r w:rsidRPr="00EF3D1A" w:rsidR="00143F8C">
        <w:rPr>
          <w:rFonts w:cstheme="minorHAnsi"/>
          <w:highlight w:val="yellow"/>
        </w:rPr>
        <w:t xml:space="preserve">to the maximum extent possible </w:t>
      </w:r>
      <w:r w:rsidRPr="00EF3D1A" w:rsidR="002F5F5C">
        <w:rPr>
          <w:rFonts w:cstheme="minorHAnsi"/>
          <w:highlight w:val="yellow"/>
        </w:rPr>
        <w:t>(</w:t>
      </w:r>
      <w:r w:rsidRPr="00EF3D1A" w:rsidR="00143F8C">
        <w:rPr>
          <w:rFonts w:cstheme="minorHAnsi"/>
          <w:highlight w:val="yellow"/>
        </w:rPr>
        <w:t>for instance,</w:t>
      </w:r>
      <w:r w:rsidRPr="00EF3D1A" w:rsidR="002F5F5C">
        <w:rPr>
          <w:rFonts w:cstheme="minorHAnsi"/>
          <w:highlight w:val="yellow"/>
        </w:rPr>
        <w:t xml:space="preserve"> sharing aggregate data</w:t>
      </w:r>
      <w:r w:rsidRPr="00EF3D1A" w:rsidR="00143F8C">
        <w:rPr>
          <w:rFonts w:cstheme="minorHAnsi"/>
          <w:highlight w:val="yellow"/>
        </w:rPr>
        <w:t xml:space="preserve"> as opposed to individual level data)</w:t>
      </w:r>
      <w:r w:rsidRPr="00EF3D1A" w:rsidR="005F650D">
        <w:rPr>
          <w:rFonts w:cstheme="minorHAnsi"/>
          <w:highlight w:val="yellow"/>
        </w:rPr>
        <w:t xml:space="preserve"> that </w:t>
      </w:r>
      <w:r w:rsidRPr="00EF3D1A" w:rsidR="00143F8C">
        <w:rPr>
          <w:rFonts w:cstheme="minorHAnsi"/>
          <w:highlight w:val="yellow"/>
        </w:rPr>
        <w:t xml:space="preserve">can be </w:t>
      </w:r>
      <w:r w:rsidRPr="00EF3D1A" w:rsidR="005F650D">
        <w:rPr>
          <w:rFonts w:cstheme="minorHAnsi"/>
          <w:highlight w:val="yellow"/>
        </w:rPr>
        <w:t>approved by the IRB.</w:t>
      </w:r>
    </w:p>
    <w:p w:rsidR="00623817" w:rsidRPr="00143F8C" w:rsidP="00FD08C5" w14:paraId="484029FA" w14:textId="1B108930">
      <w:pPr>
        <w:rPr>
          <w:rFonts w:cstheme="minorHAnsi"/>
        </w:rPr>
      </w:pPr>
      <w:r w:rsidRPr="00EF3D1A">
        <w:rPr>
          <w:rFonts w:cstheme="minorHAnsi"/>
          <w:highlight w:val="yellow"/>
        </w:rPr>
        <w:t>Note that</w:t>
      </w:r>
      <w:r w:rsidRPr="00EF3D1A" w:rsidR="004868B5">
        <w:rPr>
          <w:rFonts w:cstheme="minorHAnsi"/>
          <w:highlight w:val="yellow"/>
        </w:rPr>
        <w:t>, at any given time,</w:t>
      </w:r>
      <w:r w:rsidRPr="00EF3D1A">
        <w:rPr>
          <w:rFonts w:cstheme="minorHAnsi"/>
          <w:highlight w:val="yellow"/>
        </w:rPr>
        <w:t xml:space="preserve"> a user would only need to </w:t>
      </w:r>
      <w:r w:rsidRPr="00EF3D1A" w:rsidR="004868B5">
        <w:rPr>
          <w:rFonts w:cstheme="minorHAnsi"/>
          <w:highlight w:val="yellow"/>
        </w:rPr>
        <w:t>submit</w:t>
      </w:r>
      <w:r w:rsidRPr="00EF3D1A" w:rsidR="005F59E4">
        <w:rPr>
          <w:rFonts w:cstheme="minorHAnsi"/>
          <w:highlight w:val="yellow"/>
        </w:rPr>
        <w:t xml:space="preserve"> </w:t>
      </w:r>
      <w:r w:rsidRPr="00EF3D1A">
        <w:rPr>
          <w:rFonts w:cstheme="minorHAnsi"/>
          <w:highlight w:val="yellow"/>
        </w:rPr>
        <w:t xml:space="preserve">either a </w:t>
      </w:r>
      <w:r w:rsidRPr="00EF3D1A" w:rsidR="004868B5">
        <w:rPr>
          <w:rFonts w:cstheme="minorHAnsi"/>
          <w:highlight w:val="yellow"/>
        </w:rPr>
        <w:t xml:space="preserve">completed </w:t>
      </w:r>
      <w:r w:rsidRPr="00EF3D1A">
        <w:rPr>
          <w:rFonts w:cstheme="minorHAnsi"/>
          <w:highlight w:val="yellow"/>
        </w:rPr>
        <w:t>Institutional Certification or a Provisional Institutional Certification</w:t>
      </w:r>
      <w:r w:rsidRPr="00EF3D1A" w:rsidR="001C61EB">
        <w:rPr>
          <w:rFonts w:cstheme="minorHAnsi"/>
          <w:highlight w:val="yellow"/>
        </w:rPr>
        <w:t xml:space="preserve"> </w:t>
      </w:r>
      <w:r w:rsidRPr="00EF3D1A" w:rsidR="004F41E1">
        <w:rPr>
          <w:rFonts w:cstheme="minorHAnsi"/>
          <w:highlight w:val="yellow"/>
        </w:rPr>
        <w:t xml:space="preserve">to </w:t>
      </w:r>
      <w:r w:rsidRPr="00EF3D1A" w:rsidR="001C61EB">
        <w:rPr>
          <w:rFonts w:cstheme="minorHAnsi"/>
          <w:highlight w:val="yellow"/>
        </w:rPr>
        <w:t>NIH staff</w:t>
      </w:r>
      <w:r w:rsidRPr="00EF3D1A">
        <w:rPr>
          <w:rFonts w:cstheme="minorHAnsi"/>
          <w:highlight w:val="yellow"/>
        </w:rPr>
        <w:t>. These changes are documented in Attachment 1</w:t>
      </w:r>
      <w:r w:rsidRPr="00EF3D1A" w:rsidR="002E673B">
        <w:rPr>
          <w:rFonts w:cstheme="minorHAnsi"/>
          <w:highlight w:val="yellow"/>
        </w:rPr>
        <w:t>.</w:t>
      </w:r>
    </w:p>
    <w:p w:rsidR="00FD08C5" w:rsidRPr="00143F8C" w:rsidP="00FD08C5" w14:paraId="5954C667" w14:textId="274EE330">
      <w:pPr>
        <w:rPr>
          <w:rFonts w:cstheme="minorHAnsi"/>
        </w:rPr>
      </w:pPr>
      <w:r w:rsidRPr="00143F8C">
        <w:rPr>
          <w:rFonts w:cstheme="minorHAnsi"/>
        </w:rPr>
        <w:t xml:space="preserve">Changes to the online registration system were </w:t>
      </w:r>
      <w:r w:rsidRPr="00143F8C" w:rsidR="002E673B">
        <w:rPr>
          <w:rFonts w:cstheme="minorHAnsi"/>
        </w:rPr>
        <w:t>made to reflect system updates and to accommodate modern workflows</w:t>
      </w:r>
      <w:r w:rsidRPr="00143F8C">
        <w:rPr>
          <w:rFonts w:cstheme="minorHAnsi"/>
        </w:rPr>
        <w:t xml:space="preserve">. </w:t>
      </w:r>
      <w:r w:rsidRPr="00143F8C" w:rsidR="002E673B">
        <w:rPr>
          <w:rFonts w:cstheme="minorHAnsi"/>
        </w:rPr>
        <w:t>For example, the system now accommodates users who wish to use</w:t>
      </w:r>
      <w:r w:rsidRPr="00143F8C" w:rsidR="005615E5">
        <w:rPr>
          <w:rFonts w:cstheme="minorHAnsi"/>
        </w:rPr>
        <w:t xml:space="preserve"> cloud computing to perform research. </w:t>
      </w:r>
      <w:r w:rsidRPr="00143F8C" w:rsidR="00216E33">
        <w:rPr>
          <w:rFonts w:cstheme="minorHAnsi"/>
        </w:rPr>
        <w:t xml:space="preserve">These changes are documented in </w:t>
      </w:r>
      <w:r w:rsidRPr="00143F8C" w:rsidR="003A569C">
        <w:rPr>
          <w:rFonts w:cstheme="minorHAnsi"/>
        </w:rPr>
        <w:t>Attachment</w:t>
      </w:r>
      <w:r w:rsidRPr="00143F8C" w:rsidR="00216E33">
        <w:rPr>
          <w:rFonts w:cstheme="minorHAnsi"/>
        </w:rPr>
        <w:t xml:space="preserve"> </w:t>
      </w:r>
      <w:r w:rsidRPr="00143F8C" w:rsidR="00EA5F60">
        <w:rPr>
          <w:rFonts w:cstheme="minorHAnsi"/>
        </w:rPr>
        <w:t>2</w:t>
      </w:r>
      <w:r w:rsidRPr="00143F8C" w:rsidR="00216E33">
        <w:rPr>
          <w:rFonts w:cstheme="minorHAnsi"/>
        </w:rPr>
        <w:t xml:space="preserve">. </w:t>
      </w:r>
    </w:p>
    <w:p w:rsidR="00CF1354" w:rsidRPr="0064224D" w:rsidP="00FD08C5" w14:paraId="5553AE04" w14:textId="3A4CFA4C">
      <w:pPr>
        <w:rPr>
          <w:rFonts w:cstheme="minorHAnsi"/>
        </w:rPr>
      </w:pPr>
      <w:r w:rsidRPr="00143F8C">
        <w:rPr>
          <w:rFonts w:cstheme="minorHAnsi"/>
        </w:rPr>
        <w:t>In addition, we note that the</w:t>
      </w:r>
      <w:r w:rsidRPr="00143F8C" w:rsidR="00092332">
        <w:rPr>
          <w:rFonts w:cstheme="minorHAnsi"/>
        </w:rPr>
        <w:t xml:space="preserve"> numbe</w:t>
      </w:r>
      <w:r w:rsidRPr="00143F8C" w:rsidR="00801F1F">
        <w:rPr>
          <w:rFonts w:cstheme="minorHAnsi"/>
        </w:rPr>
        <w:t>r</w:t>
      </w:r>
      <w:r w:rsidRPr="00143F8C" w:rsidR="00092332">
        <w:rPr>
          <w:rFonts w:cstheme="minorHAnsi"/>
        </w:rPr>
        <w:t xml:space="preserve"> of data access requests has increased on an annual basis, </w:t>
      </w:r>
      <w:r w:rsidRPr="00143F8C" w:rsidR="00DF0DCD">
        <w:rPr>
          <w:rFonts w:cstheme="minorHAnsi"/>
        </w:rPr>
        <w:t>leading to an increased</w:t>
      </w:r>
      <w:r w:rsidRPr="00143F8C" w:rsidR="00525156">
        <w:rPr>
          <w:rFonts w:cstheme="minorHAnsi"/>
        </w:rPr>
        <w:t xml:space="preserve"> annual</w:t>
      </w:r>
      <w:r w:rsidRPr="00143F8C" w:rsidR="00DF0DCD">
        <w:rPr>
          <w:rFonts w:cstheme="minorHAnsi"/>
        </w:rPr>
        <w:t xml:space="preserve"> response burden per respondent</w:t>
      </w:r>
      <w:r w:rsidRPr="00143F8C" w:rsidR="00335C6A">
        <w:rPr>
          <w:rFonts w:cstheme="minorHAnsi"/>
        </w:rPr>
        <w:t xml:space="preserve"> </w:t>
      </w:r>
      <w:r w:rsidRPr="00143F8C" w:rsidR="00DF0DCD">
        <w:rPr>
          <w:rFonts w:cstheme="minorHAnsi"/>
        </w:rPr>
        <w:t>(from 2 to 10)</w:t>
      </w:r>
      <w:r w:rsidRPr="00143F8C" w:rsidR="00092332">
        <w:rPr>
          <w:rFonts w:cstheme="minorHAnsi"/>
        </w:rPr>
        <w:t xml:space="preserve">.  </w:t>
      </w:r>
    </w:p>
    <w:p w:rsidR="00CF1354" w:rsidRPr="0064224D" w:rsidP="00CF1354" w14:paraId="0647B98E" w14:textId="77777777">
      <w:pPr>
        <w:rPr>
          <w:rFonts w:cstheme="minorHAnsi"/>
          <w:i/>
        </w:rPr>
      </w:pPr>
      <w:r w:rsidRPr="0064224D">
        <w:rPr>
          <w:rFonts w:cstheme="minorHAnsi"/>
          <w:i/>
        </w:rPr>
        <w:t>Study Registration and Data Submission</w:t>
      </w:r>
    </w:p>
    <w:p w:rsidR="00CF1354" w:rsidRPr="0064224D" w:rsidP="00CF1354" w14:paraId="08A637DC" w14:textId="00F29230">
      <w:pPr>
        <w:rPr>
          <w:rFonts w:cstheme="minorHAnsi"/>
        </w:rPr>
      </w:pPr>
      <w:r w:rsidRPr="0064224D">
        <w:rPr>
          <w:rFonts w:cstheme="minorHAnsi"/>
        </w:rPr>
        <w:t xml:space="preserve">The required elements for study registration in </w:t>
      </w:r>
      <w:r w:rsidRPr="0064224D">
        <w:rPr>
          <w:rFonts w:cstheme="minorHAnsi"/>
        </w:rPr>
        <w:t>dbGaP</w:t>
      </w:r>
      <w:r w:rsidRPr="0064224D">
        <w:rPr>
          <w:rFonts w:cstheme="minorHAnsi"/>
        </w:rPr>
        <w:t xml:space="preserve"> include basic study information and </w:t>
      </w:r>
      <w:r w:rsidRPr="0064224D" w:rsidR="002D0EF7">
        <w:rPr>
          <w:rFonts w:cstheme="minorHAnsi"/>
        </w:rPr>
        <w:t xml:space="preserve">the </w:t>
      </w:r>
      <w:r w:rsidRPr="0064224D" w:rsidR="00371787">
        <w:rPr>
          <w:rFonts w:cstheme="minorHAnsi"/>
        </w:rPr>
        <w:t xml:space="preserve">appropriate </w:t>
      </w:r>
      <w:r w:rsidRPr="0064224D">
        <w:rPr>
          <w:rFonts w:cstheme="minorHAnsi"/>
        </w:rPr>
        <w:t xml:space="preserve">Institutional Certification </w:t>
      </w:r>
      <w:r w:rsidRPr="0064224D" w:rsidR="00BE5828">
        <w:rPr>
          <w:rFonts w:cstheme="minorHAnsi"/>
        </w:rPr>
        <w:t xml:space="preserve">submitted by an investigator and </w:t>
      </w:r>
      <w:r w:rsidRPr="0064224D">
        <w:rPr>
          <w:rFonts w:cstheme="minorHAnsi"/>
        </w:rPr>
        <w:t>approved by the Institutional Official. Basic study information includes the name of the investigators, funding information, a description of the study and data, and a statement that secondary researchers can use to acknowledge the original data collection. Through the Institutional Certification</w:t>
      </w:r>
      <w:r w:rsidRPr="0064224D" w:rsidR="00BE5828">
        <w:rPr>
          <w:rFonts w:cstheme="minorHAnsi"/>
        </w:rPr>
        <w:t xml:space="preserve"> form</w:t>
      </w:r>
      <w:r w:rsidRPr="0064224D">
        <w:rPr>
          <w:rFonts w:cstheme="minorHAnsi"/>
        </w:rPr>
        <w:t>, the institution assures that study data submission is consistent with all applicable laws, regulations, and institutional policies; outlines data use limitations, if any</w:t>
      </w:r>
      <w:r w:rsidRPr="0064224D" w:rsidR="00BE5828">
        <w:rPr>
          <w:rFonts w:cstheme="minorHAnsi"/>
        </w:rPr>
        <w:t>, and</w:t>
      </w:r>
      <w:r w:rsidRPr="0064224D">
        <w:rPr>
          <w:rFonts w:cstheme="minorHAnsi"/>
        </w:rPr>
        <w:t xml:space="preserve"> certifies that the identities of research participants will not be disclosed to </w:t>
      </w:r>
      <w:r w:rsidRPr="0064224D">
        <w:rPr>
          <w:rFonts w:cstheme="minorHAnsi"/>
        </w:rPr>
        <w:t>dbGaP</w:t>
      </w:r>
      <w:r w:rsidRPr="0064224D">
        <w:rPr>
          <w:rFonts w:cstheme="minorHAnsi"/>
        </w:rPr>
        <w:t xml:space="preserve">; and documents that an Institutional Review Board (IRB) and/or Privacy Board reviewed and approved the plan to submit the data to </w:t>
      </w:r>
      <w:r w:rsidRPr="0064224D">
        <w:rPr>
          <w:rFonts w:cstheme="minorHAnsi"/>
        </w:rPr>
        <w:t>dbGaP</w:t>
      </w:r>
      <w:r w:rsidRPr="0064224D">
        <w:rPr>
          <w:rFonts w:cstheme="minorHAnsi"/>
        </w:rPr>
        <w:t>. Data files are submitted prior to r</w:t>
      </w:r>
      <w:r w:rsidRPr="0064224D" w:rsidR="004C2607">
        <w:rPr>
          <w:rFonts w:cstheme="minorHAnsi"/>
        </w:rPr>
        <w:t xml:space="preserve">egistration. Attachment </w:t>
      </w:r>
      <w:r w:rsidRPr="0064224D" w:rsidR="00E732E1">
        <w:rPr>
          <w:rFonts w:cstheme="minorHAnsi"/>
        </w:rPr>
        <w:t>2</w:t>
      </w:r>
      <w:r w:rsidRPr="0064224D" w:rsidR="00B540F9">
        <w:rPr>
          <w:rFonts w:cstheme="minorHAnsi"/>
        </w:rPr>
        <w:t xml:space="preserve"> </w:t>
      </w:r>
      <w:r w:rsidRPr="0064224D">
        <w:rPr>
          <w:rFonts w:cstheme="minorHAnsi"/>
        </w:rPr>
        <w:t>illustrate</w:t>
      </w:r>
      <w:r w:rsidRPr="0064224D" w:rsidR="004C2607">
        <w:rPr>
          <w:rFonts w:cstheme="minorHAnsi"/>
        </w:rPr>
        <w:t>s</w:t>
      </w:r>
      <w:r w:rsidRPr="0064224D">
        <w:rPr>
          <w:rFonts w:cstheme="minorHAnsi"/>
        </w:rPr>
        <w:t xml:space="preserve"> the information that will be collected for </w:t>
      </w:r>
      <w:r w:rsidRPr="0064224D">
        <w:rPr>
          <w:rFonts w:cstheme="minorHAnsi"/>
        </w:rPr>
        <w:t>dbGaP</w:t>
      </w:r>
      <w:r w:rsidRPr="0064224D">
        <w:rPr>
          <w:rFonts w:cstheme="minorHAnsi"/>
        </w:rPr>
        <w:t xml:space="preserve"> study registration and data submission</w:t>
      </w:r>
      <w:r w:rsidRPr="0064224D" w:rsidR="005B605A">
        <w:rPr>
          <w:rFonts w:cstheme="minorHAnsi"/>
        </w:rPr>
        <w:t>.</w:t>
      </w:r>
    </w:p>
    <w:p w:rsidR="00CF1354" w:rsidRPr="0064224D" w:rsidP="004C2607" w14:paraId="6BB99A08" w14:textId="77777777">
      <w:pPr>
        <w:rPr>
          <w:rFonts w:cstheme="minorHAnsi"/>
          <w:i/>
        </w:rPr>
      </w:pPr>
      <w:r w:rsidRPr="0064224D">
        <w:rPr>
          <w:rFonts w:cstheme="minorHAnsi"/>
          <w:i/>
        </w:rPr>
        <w:t xml:space="preserve">Data Access </w:t>
      </w:r>
    </w:p>
    <w:p w:rsidR="00CF1354" w:rsidRPr="0064224D" w:rsidP="00CF1354" w14:paraId="4A571E11" w14:textId="0F47D81E">
      <w:pPr>
        <w:rPr>
          <w:rFonts w:cstheme="minorHAnsi"/>
        </w:rPr>
      </w:pPr>
      <w:r w:rsidRPr="0064224D">
        <w:rPr>
          <w:rFonts w:cstheme="minorHAnsi"/>
        </w:rPr>
        <w:t xml:space="preserve">The </w:t>
      </w:r>
      <w:r w:rsidRPr="0064224D" w:rsidR="004C2607">
        <w:rPr>
          <w:rFonts w:cstheme="minorHAnsi"/>
        </w:rPr>
        <w:t xml:space="preserve">initial data access request (DAR) </w:t>
      </w:r>
      <w:r w:rsidRPr="0064224D">
        <w:rPr>
          <w:rFonts w:cstheme="minorHAnsi"/>
        </w:rPr>
        <w:t xml:space="preserve">application to request controlled-access </w:t>
      </w:r>
      <w:r w:rsidRPr="0064224D">
        <w:rPr>
          <w:rFonts w:cstheme="minorHAnsi"/>
        </w:rPr>
        <w:t>dbGaP</w:t>
      </w:r>
      <w:r w:rsidRPr="0064224D">
        <w:rPr>
          <w:rFonts w:cstheme="minorHAnsi"/>
        </w:rPr>
        <w:t xml:space="preserve"> data includes information about the requesting investigator’s credentials; the proposed use of the data; an agreement to c</w:t>
      </w:r>
      <w:r w:rsidRPr="0064224D" w:rsidR="005B605A">
        <w:rPr>
          <w:rFonts w:cstheme="minorHAnsi"/>
        </w:rPr>
        <w:t>omply with NIH policies</w:t>
      </w:r>
      <w:r w:rsidRPr="0064224D" w:rsidR="001F0E1C">
        <w:rPr>
          <w:rFonts w:cstheme="minorHAnsi"/>
        </w:rPr>
        <w:t xml:space="preserve">, the NIH Security Best Practices for Controlled Access Data Subject to the Genomic Data Sharing Policy, </w:t>
      </w:r>
      <w:r w:rsidRPr="0064224D" w:rsidR="005B605A">
        <w:rPr>
          <w:rFonts w:cstheme="minorHAnsi"/>
        </w:rPr>
        <w:t>the</w:t>
      </w:r>
      <w:r w:rsidRPr="0064224D">
        <w:rPr>
          <w:rFonts w:cstheme="minorHAnsi"/>
          <w:spacing w:val="3"/>
        </w:rPr>
        <w:t xml:space="preserve"> Genomic Data User Code of Conduct</w:t>
      </w:r>
      <w:r w:rsidRPr="0064224D">
        <w:rPr>
          <w:rFonts w:cstheme="minorHAnsi"/>
        </w:rPr>
        <w:t>;</w:t>
      </w:r>
      <w:r>
        <w:rPr>
          <w:rStyle w:val="FootnoteReference"/>
          <w:rFonts w:cstheme="minorHAnsi"/>
        </w:rPr>
        <w:footnoteReference w:id="2"/>
      </w:r>
      <w:r w:rsidRPr="0064224D">
        <w:rPr>
          <w:rFonts w:cstheme="minorHAnsi"/>
        </w:rPr>
        <w:t xml:space="preserve"> and certification by </w:t>
      </w:r>
      <w:r w:rsidRPr="0064224D" w:rsidR="004C2607">
        <w:rPr>
          <w:rFonts w:cstheme="minorHAnsi"/>
        </w:rPr>
        <w:t>the requester</w:t>
      </w:r>
      <w:r w:rsidRPr="0064224D">
        <w:rPr>
          <w:rFonts w:cstheme="minorHAnsi"/>
        </w:rPr>
        <w:t xml:space="preserve"> and a</w:t>
      </w:r>
      <w:r w:rsidRPr="0064224D" w:rsidR="00AF0FA7">
        <w:rPr>
          <w:rFonts w:cstheme="minorHAnsi"/>
        </w:rPr>
        <w:t>n Institutional</w:t>
      </w:r>
      <w:r w:rsidRPr="0064224D">
        <w:rPr>
          <w:rFonts w:cstheme="minorHAnsi"/>
        </w:rPr>
        <w:t xml:space="preserve"> Signing Official at the </w:t>
      </w:r>
      <w:r w:rsidRPr="0064224D" w:rsidR="00AF0FA7">
        <w:rPr>
          <w:rFonts w:cstheme="minorHAnsi"/>
        </w:rPr>
        <w:t>requeste</w:t>
      </w:r>
      <w:r w:rsidRPr="0064224D">
        <w:rPr>
          <w:rFonts w:cstheme="minorHAnsi"/>
        </w:rPr>
        <w:t xml:space="preserve">r’s institution that data will not be sold, distributed, re-identified, or used by unauthorized users and collaborators not named in the DAR. Requests to renew data access and reports to close out data use are done annually and are </w:t>
      </w:r>
      <w:r w:rsidRPr="0064224D">
        <w:rPr>
          <w:rFonts w:cstheme="minorHAnsi"/>
        </w:rPr>
        <w:t>similar to</w:t>
      </w:r>
      <w:r w:rsidRPr="0064224D">
        <w:rPr>
          <w:rFonts w:cstheme="minorHAnsi"/>
        </w:rPr>
        <w:t xml:space="preserve"> the initial DAR.  Additional information obtained in the </w:t>
      </w:r>
      <w:r w:rsidRPr="0064224D" w:rsidR="00BE5828">
        <w:rPr>
          <w:rFonts w:cstheme="minorHAnsi"/>
        </w:rPr>
        <w:t xml:space="preserve">annual </w:t>
      </w:r>
      <w:r w:rsidRPr="0064224D" w:rsidR="00AF0FA7">
        <w:rPr>
          <w:rFonts w:cstheme="minorHAnsi"/>
        </w:rPr>
        <w:t>Project R</w:t>
      </w:r>
      <w:r w:rsidRPr="0064224D">
        <w:rPr>
          <w:rFonts w:cstheme="minorHAnsi"/>
        </w:rPr>
        <w:t xml:space="preserve">enewal </w:t>
      </w:r>
      <w:r w:rsidRPr="0064224D" w:rsidR="00BE5828">
        <w:rPr>
          <w:rFonts w:cstheme="minorHAnsi"/>
        </w:rPr>
        <w:t xml:space="preserve">form </w:t>
      </w:r>
      <w:r w:rsidRPr="0064224D">
        <w:rPr>
          <w:rFonts w:cstheme="minorHAnsi"/>
        </w:rPr>
        <w:t xml:space="preserve">and </w:t>
      </w:r>
      <w:r w:rsidRPr="0064224D" w:rsidR="00AF0FA7">
        <w:rPr>
          <w:rFonts w:cstheme="minorHAnsi"/>
        </w:rPr>
        <w:t>Project C</w:t>
      </w:r>
      <w:r w:rsidRPr="0064224D">
        <w:rPr>
          <w:rFonts w:cstheme="minorHAnsi"/>
        </w:rPr>
        <w:t>lose</w:t>
      </w:r>
      <w:r w:rsidRPr="0064224D" w:rsidR="00AF0FA7">
        <w:rPr>
          <w:rFonts w:cstheme="minorHAnsi"/>
        </w:rPr>
        <w:t>-</w:t>
      </w:r>
      <w:r w:rsidRPr="0064224D">
        <w:rPr>
          <w:rFonts w:cstheme="minorHAnsi"/>
        </w:rPr>
        <w:t xml:space="preserve">out </w:t>
      </w:r>
      <w:r w:rsidRPr="0064224D" w:rsidR="00AF0FA7">
        <w:rPr>
          <w:rFonts w:cstheme="minorHAnsi"/>
        </w:rPr>
        <w:t>forms</w:t>
      </w:r>
      <w:r w:rsidRPr="0064224D">
        <w:rPr>
          <w:rFonts w:cstheme="minorHAnsi"/>
        </w:rPr>
        <w:t xml:space="preserve"> includes information about publications, presentations, or intellectual property based on the research conducted with the accessed data as well as any data security issues or </w:t>
      </w:r>
      <w:r w:rsidRPr="0064224D" w:rsidR="00BE5828">
        <w:rPr>
          <w:rFonts w:cstheme="minorHAnsi"/>
        </w:rPr>
        <w:t>potential</w:t>
      </w:r>
      <w:r w:rsidRPr="0064224D">
        <w:rPr>
          <w:rFonts w:cstheme="minorHAnsi"/>
        </w:rPr>
        <w:t xml:space="preserve"> data management incidents.  </w:t>
      </w:r>
    </w:p>
    <w:p w:rsidR="00CF1354" w:rsidRPr="0064224D" w:rsidP="00CF1354" w14:paraId="0B294114" w14:textId="2732BC2D">
      <w:pPr>
        <w:rPr>
          <w:rFonts w:cstheme="minorHAnsi"/>
        </w:rPr>
      </w:pPr>
      <w:r w:rsidRPr="0064224D">
        <w:rPr>
          <w:rFonts w:cstheme="minorHAnsi"/>
        </w:rPr>
        <w:t>As a pre</w:t>
      </w:r>
      <w:r w:rsidRPr="0064224D" w:rsidR="001304F4">
        <w:rPr>
          <w:rFonts w:cstheme="minorHAnsi"/>
        </w:rPr>
        <w:t>-</w:t>
      </w:r>
      <w:r w:rsidRPr="0064224D">
        <w:rPr>
          <w:rFonts w:cstheme="minorHAnsi"/>
        </w:rPr>
        <w:t xml:space="preserve">requisite to applying for controlled-access data, the </w:t>
      </w:r>
      <w:r w:rsidRPr="0064224D" w:rsidR="00AF0FA7">
        <w:rPr>
          <w:rFonts w:cstheme="minorHAnsi"/>
        </w:rPr>
        <w:t>requester</w:t>
      </w:r>
      <w:r w:rsidRPr="0064224D">
        <w:rPr>
          <w:rFonts w:cstheme="minorHAnsi"/>
        </w:rPr>
        <w:t xml:space="preserve"> and </w:t>
      </w:r>
      <w:r w:rsidRPr="0064224D" w:rsidR="00AF0FA7">
        <w:rPr>
          <w:rFonts w:cstheme="minorHAnsi"/>
        </w:rPr>
        <w:t xml:space="preserve">an Institutional </w:t>
      </w:r>
      <w:r w:rsidRPr="0064224D">
        <w:rPr>
          <w:rFonts w:cstheme="minorHAnsi"/>
        </w:rPr>
        <w:t>Signing Official must be registered in the NIH electronic Research Administration (</w:t>
      </w:r>
      <w:r w:rsidRPr="0064224D">
        <w:rPr>
          <w:rFonts w:cstheme="minorHAnsi"/>
        </w:rPr>
        <w:t>eRA</w:t>
      </w:r>
      <w:r w:rsidRPr="0064224D">
        <w:rPr>
          <w:rFonts w:cstheme="minorHAnsi"/>
        </w:rPr>
        <w:t>) Commons.</w:t>
      </w:r>
      <w:r>
        <w:rPr>
          <w:rStyle w:val="FootnoteReference"/>
          <w:rFonts w:cstheme="minorHAnsi"/>
        </w:rPr>
        <w:footnoteReference w:id="3"/>
      </w:r>
      <w:r w:rsidRPr="0064224D">
        <w:rPr>
          <w:rFonts w:cstheme="minorHAnsi"/>
        </w:rPr>
        <w:t xml:space="preserve"> </w:t>
      </w:r>
      <w:r w:rsidRPr="0064224D" w:rsidR="00BE5828">
        <w:rPr>
          <w:rFonts w:cstheme="minorHAnsi"/>
        </w:rPr>
        <w:t xml:space="preserve">The vast majority of </w:t>
      </w:r>
      <w:r w:rsidRPr="0064224D" w:rsidR="00AF0FA7">
        <w:rPr>
          <w:rFonts w:cstheme="minorHAnsi"/>
        </w:rPr>
        <w:t>requesters</w:t>
      </w:r>
      <w:r w:rsidRPr="0064224D">
        <w:rPr>
          <w:rFonts w:cstheme="minorHAnsi"/>
        </w:rPr>
        <w:t xml:space="preserve"> seeking access to </w:t>
      </w:r>
      <w:r w:rsidRPr="0064224D">
        <w:rPr>
          <w:rFonts w:cstheme="minorHAnsi"/>
        </w:rPr>
        <w:t>dbGaP</w:t>
      </w:r>
      <w:r w:rsidRPr="0064224D">
        <w:rPr>
          <w:rFonts w:cstheme="minorHAnsi"/>
        </w:rPr>
        <w:t xml:space="preserve"> data have already registered with </w:t>
      </w:r>
      <w:r w:rsidRPr="0064224D">
        <w:rPr>
          <w:rFonts w:cstheme="minorHAnsi"/>
        </w:rPr>
        <w:t>eRA</w:t>
      </w:r>
      <w:r w:rsidRPr="0064224D">
        <w:rPr>
          <w:rFonts w:cstheme="minorHAnsi"/>
        </w:rPr>
        <w:t xml:space="preserve"> Commons when applying for NIH funding. For </w:t>
      </w:r>
      <w:r w:rsidRPr="0064224D" w:rsidR="00AF0FA7">
        <w:rPr>
          <w:rFonts w:cstheme="minorHAnsi"/>
        </w:rPr>
        <w:t>requester</w:t>
      </w:r>
      <w:r w:rsidRPr="0064224D">
        <w:rPr>
          <w:rFonts w:cstheme="minorHAnsi"/>
        </w:rPr>
        <w:t xml:space="preserve">s not previously registered in </w:t>
      </w:r>
      <w:r w:rsidRPr="0064224D">
        <w:rPr>
          <w:rFonts w:cstheme="minorHAnsi"/>
        </w:rPr>
        <w:t>eRA</w:t>
      </w:r>
      <w:r w:rsidRPr="0064224D">
        <w:rPr>
          <w:rFonts w:cstheme="minorHAnsi"/>
        </w:rPr>
        <w:t xml:space="preserve"> Commons, this step is not expected to add significantly to the burden. Several of the mandatory fields in the DAR form will be automatically filled based on </w:t>
      </w:r>
      <w:r w:rsidRPr="0064224D">
        <w:rPr>
          <w:rFonts w:cstheme="minorHAnsi"/>
        </w:rPr>
        <w:t>eRA</w:t>
      </w:r>
      <w:r w:rsidRPr="0064224D">
        <w:rPr>
          <w:rFonts w:cstheme="minorHAnsi"/>
        </w:rPr>
        <w:t xml:space="preserve"> registration information, and most fields in the </w:t>
      </w:r>
      <w:r w:rsidRPr="0064224D" w:rsidR="00AF0FA7">
        <w:rPr>
          <w:rFonts w:cstheme="minorHAnsi"/>
        </w:rPr>
        <w:t>Project R</w:t>
      </w:r>
      <w:r w:rsidRPr="0064224D">
        <w:rPr>
          <w:rFonts w:cstheme="minorHAnsi"/>
        </w:rPr>
        <w:t xml:space="preserve">enewal and </w:t>
      </w:r>
      <w:r w:rsidRPr="0064224D" w:rsidR="00AF0FA7">
        <w:rPr>
          <w:rFonts w:cstheme="minorHAnsi"/>
        </w:rPr>
        <w:t>Project C</w:t>
      </w:r>
      <w:r w:rsidRPr="0064224D">
        <w:rPr>
          <w:rFonts w:cstheme="minorHAnsi"/>
        </w:rPr>
        <w:t xml:space="preserve">lose-out </w:t>
      </w:r>
      <w:r w:rsidRPr="0064224D" w:rsidR="00AF0FA7">
        <w:rPr>
          <w:rFonts w:cstheme="minorHAnsi"/>
        </w:rPr>
        <w:t>forms</w:t>
      </w:r>
      <w:r w:rsidRPr="0064224D">
        <w:rPr>
          <w:rFonts w:cstheme="minorHAnsi"/>
        </w:rPr>
        <w:t xml:space="preserve"> will be automatically filled from th</w:t>
      </w:r>
      <w:r w:rsidRPr="0064224D" w:rsidR="005B605A">
        <w:rPr>
          <w:rFonts w:cstheme="minorHAnsi"/>
        </w:rPr>
        <w:t xml:space="preserve">e initial DAR form. Attachment </w:t>
      </w:r>
      <w:r w:rsidRPr="0064224D" w:rsidR="00E732E1">
        <w:rPr>
          <w:rFonts w:cstheme="minorHAnsi"/>
        </w:rPr>
        <w:t>2</w:t>
      </w:r>
      <w:r w:rsidRPr="0064224D" w:rsidR="00BA5ED2">
        <w:rPr>
          <w:rFonts w:cstheme="minorHAnsi"/>
        </w:rPr>
        <w:t xml:space="preserve"> </w:t>
      </w:r>
      <w:r w:rsidRPr="0064224D">
        <w:rPr>
          <w:rFonts w:cstheme="minorHAnsi"/>
        </w:rPr>
        <w:t>illustrates the investigator and institutional information that will be collected for data access.</w:t>
      </w:r>
    </w:p>
    <w:p w:rsidR="00CF1354" w:rsidRPr="0064224D" w:rsidP="00CF1354" w14:paraId="48B25A02" w14:textId="77777777">
      <w:pPr>
        <w:rPr>
          <w:rFonts w:cstheme="minorHAnsi"/>
          <w:b/>
        </w:rPr>
      </w:pPr>
      <w:r w:rsidRPr="0064224D">
        <w:rPr>
          <w:rFonts w:cstheme="minorHAnsi"/>
          <w:b/>
        </w:rPr>
        <w:t>A.3</w:t>
      </w:r>
      <w:r w:rsidRPr="0064224D">
        <w:rPr>
          <w:rFonts w:cstheme="minorHAnsi"/>
          <w:b/>
        </w:rPr>
        <w:tab/>
        <w:t>Use of Information Technology and Burden Reduction</w:t>
      </w:r>
    </w:p>
    <w:p w:rsidR="00CF1354" w:rsidRPr="0064224D" w:rsidP="00CF1354" w14:paraId="7D33CBF9" w14:textId="792984D3">
      <w:pPr>
        <w:rPr>
          <w:rFonts w:cstheme="minorHAnsi"/>
        </w:rPr>
      </w:pPr>
      <w:r w:rsidRPr="0064224D">
        <w:rPr>
          <w:rFonts w:cstheme="minorHAnsi"/>
        </w:rPr>
        <w:t xml:space="preserve">NCBI </w:t>
      </w:r>
      <w:r w:rsidRPr="0064224D" w:rsidR="00AF0FA7">
        <w:rPr>
          <w:rFonts w:cstheme="minorHAnsi"/>
        </w:rPr>
        <w:t>developed</w:t>
      </w:r>
      <w:r w:rsidRPr="0064224D">
        <w:rPr>
          <w:rFonts w:cstheme="minorHAnsi"/>
        </w:rPr>
        <w:t xml:space="preserve"> an online </w:t>
      </w:r>
      <w:r w:rsidRPr="0064224D" w:rsidR="00AF0FA7">
        <w:rPr>
          <w:rFonts w:cstheme="minorHAnsi"/>
        </w:rPr>
        <w:t>dbGaP</w:t>
      </w:r>
      <w:r w:rsidRPr="0064224D" w:rsidR="00AF0FA7">
        <w:rPr>
          <w:rFonts w:cstheme="minorHAnsi"/>
        </w:rPr>
        <w:t xml:space="preserve"> system</w:t>
      </w:r>
      <w:r w:rsidRPr="0064224D">
        <w:rPr>
          <w:rFonts w:cstheme="minorHAnsi"/>
        </w:rPr>
        <w:t xml:space="preserve"> to register studies, submit data, and request access to data. The online system allows investigators to submit the required information directly to </w:t>
      </w:r>
      <w:r w:rsidRPr="0064224D">
        <w:rPr>
          <w:rFonts w:cstheme="minorHAnsi"/>
        </w:rPr>
        <w:t>dbGaP</w:t>
      </w:r>
      <w:r w:rsidRPr="0064224D">
        <w:rPr>
          <w:rFonts w:cstheme="minorHAnsi"/>
        </w:rPr>
        <w:t xml:space="preserve">, thereby </w:t>
      </w:r>
      <w:r w:rsidRPr="0064224D">
        <w:rPr>
          <w:rFonts w:cstheme="minorHAnsi"/>
        </w:rPr>
        <w:t>minimizing burden not only for investigators and institutions, but also for NIH staff. The online system uses time-saving features, such as the use of pull-down and scrolling menus to fill data fields, “find as you type” (or “type ahead”) functionality, and text fields that allow investigators</w:t>
      </w:r>
      <w:r w:rsidRPr="0064224D" w:rsidR="00AF0FA7">
        <w:rPr>
          <w:rFonts w:cstheme="minorHAnsi"/>
        </w:rPr>
        <w:t xml:space="preserve"> and requesters</w:t>
      </w:r>
      <w:r w:rsidRPr="0064224D">
        <w:rPr>
          <w:rFonts w:cstheme="minorHAnsi"/>
        </w:rPr>
        <w:t xml:space="preserve"> to cut and paste information from other sources. Where possible, data fields are automatically filled with information from other data sources, such as </w:t>
      </w:r>
      <w:r w:rsidRPr="0064224D">
        <w:rPr>
          <w:rFonts w:cstheme="minorHAnsi"/>
        </w:rPr>
        <w:t>eRA</w:t>
      </w:r>
      <w:r w:rsidRPr="0064224D">
        <w:rPr>
          <w:rFonts w:cstheme="minorHAnsi"/>
        </w:rPr>
        <w:t xml:space="preserve"> Commons, which provides the </w:t>
      </w:r>
      <w:r w:rsidRPr="0064224D" w:rsidR="00BA5ED2">
        <w:rPr>
          <w:rFonts w:cstheme="minorHAnsi"/>
        </w:rPr>
        <w:t>investigators</w:t>
      </w:r>
      <w:r w:rsidRPr="0064224D">
        <w:rPr>
          <w:rFonts w:cstheme="minorHAnsi"/>
        </w:rPr>
        <w:t xml:space="preserve"> </w:t>
      </w:r>
      <w:r w:rsidRPr="0064224D" w:rsidR="00AF0FA7">
        <w:rPr>
          <w:rFonts w:cstheme="minorHAnsi"/>
        </w:rPr>
        <w:t xml:space="preserve">or requester’s </w:t>
      </w:r>
      <w:r w:rsidRPr="0064224D" w:rsidR="00BB2A2D">
        <w:rPr>
          <w:rFonts w:cstheme="minorHAnsi"/>
        </w:rPr>
        <w:t xml:space="preserve">name, institution, </w:t>
      </w:r>
      <w:r w:rsidRPr="0064224D" w:rsidR="00F63229">
        <w:rPr>
          <w:rFonts w:cstheme="minorHAnsi"/>
        </w:rPr>
        <w:t xml:space="preserve">Institutional Official, </w:t>
      </w:r>
      <w:r w:rsidRPr="0064224D" w:rsidR="00BB2A2D">
        <w:rPr>
          <w:rFonts w:cstheme="minorHAnsi"/>
        </w:rPr>
        <w:t xml:space="preserve">and </w:t>
      </w:r>
      <w:r w:rsidRPr="0064224D" w:rsidR="00AF0FA7">
        <w:rPr>
          <w:rFonts w:cstheme="minorHAnsi"/>
        </w:rPr>
        <w:t>I</w:t>
      </w:r>
      <w:r w:rsidRPr="0064224D">
        <w:rPr>
          <w:rFonts w:cstheme="minorHAnsi"/>
        </w:rPr>
        <w:t>nstitutional Signing Official. Also, information from one online form can be used to pre-fill data fields on subsequent forms. For example, information from an Institutional Certification will be used to pre-fill many data fields in the study registration system, and likewise, information in a DAR will be used to pre-fi</w:t>
      </w:r>
      <w:r w:rsidRPr="0064224D" w:rsidR="00AF790D">
        <w:rPr>
          <w:rFonts w:cstheme="minorHAnsi"/>
        </w:rPr>
        <w:t>ll many of the data fields on th</w:t>
      </w:r>
      <w:r w:rsidRPr="0064224D">
        <w:rPr>
          <w:rFonts w:cstheme="minorHAnsi"/>
        </w:rPr>
        <w:t xml:space="preserve">e </w:t>
      </w:r>
      <w:r w:rsidRPr="0064224D" w:rsidR="00AF790D">
        <w:rPr>
          <w:rFonts w:cstheme="minorHAnsi"/>
        </w:rPr>
        <w:t>Project R</w:t>
      </w:r>
      <w:r w:rsidRPr="0064224D">
        <w:rPr>
          <w:rFonts w:cstheme="minorHAnsi"/>
        </w:rPr>
        <w:t xml:space="preserve">enewal and </w:t>
      </w:r>
      <w:r w:rsidRPr="0064224D" w:rsidR="00AF790D">
        <w:rPr>
          <w:rFonts w:cstheme="minorHAnsi"/>
        </w:rPr>
        <w:t>Project C</w:t>
      </w:r>
      <w:r w:rsidRPr="0064224D">
        <w:rPr>
          <w:rFonts w:cstheme="minorHAnsi"/>
        </w:rPr>
        <w:t>lose-out forms. In addition, the data submission system has been designed to allow investigators to submit their data in any format based on the genomics platform used.</w:t>
      </w:r>
    </w:p>
    <w:p w:rsidR="00400EA7" w:rsidRPr="0064224D" w:rsidP="00CF1354" w14:paraId="48D98A3D" w14:textId="5C991C1A">
      <w:pPr>
        <w:rPr>
          <w:rFonts w:cstheme="minorHAnsi"/>
        </w:rPr>
      </w:pPr>
      <w:r w:rsidRPr="0064224D">
        <w:rPr>
          <w:rFonts w:cstheme="minorHAnsi"/>
        </w:rPr>
        <w:t xml:space="preserve">A Privacy Impact Assessment has been completed for the online </w:t>
      </w:r>
      <w:r w:rsidRPr="0064224D">
        <w:rPr>
          <w:rFonts w:cstheme="minorHAnsi"/>
        </w:rPr>
        <w:t>dbGaP</w:t>
      </w:r>
      <w:r w:rsidRPr="0064224D">
        <w:rPr>
          <w:rFonts w:cstheme="minorHAnsi"/>
        </w:rPr>
        <w:t xml:space="preserve"> system to register studies, submit data, and request access to data (Attachment 3).</w:t>
      </w:r>
    </w:p>
    <w:p w:rsidR="00CF1354" w:rsidRPr="0064224D" w:rsidP="00CF1354" w14:paraId="47251A13" w14:textId="77777777">
      <w:pPr>
        <w:rPr>
          <w:rFonts w:cstheme="minorHAnsi"/>
        </w:rPr>
      </w:pPr>
      <w:r w:rsidRPr="0064224D">
        <w:rPr>
          <w:rFonts w:cstheme="minorHAnsi"/>
          <w:b/>
        </w:rPr>
        <w:t>A.4</w:t>
      </w:r>
      <w:r w:rsidRPr="0064224D">
        <w:rPr>
          <w:rFonts w:cstheme="minorHAnsi"/>
          <w:b/>
        </w:rPr>
        <w:tab/>
        <w:t>Efforts to Identify Duplication and Use of Similar Information</w:t>
      </w:r>
    </w:p>
    <w:p w:rsidR="00CF1354" w:rsidRPr="0064224D" w:rsidP="00CF1354" w14:paraId="7566263D" w14:textId="63F7B84E">
      <w:pPr>
        <w:rPr>
          <w:rFonts w:cstheme="minorHAnsi"/>
        </w:rPr>
      </w:pPr>
      <w:r w:rsidRPr="0064224D">
        <w:rPr>
          <w:rFonts w:cstheme="minorHAnsi"/>
        </w:rPr>
        <w:t>Currently, no comparable genomic data</w:t>
      </w:r>
      <w:r w:rsidRPr="0064224D" w:rsidR="00BE5828">
        <w:rPr>
          <w:rFonts w:cstheme="minorHAnsi"/>
        </w:rPr>
        <w:t xml:space="preserve"> registry and</w:t>
      </w:r>
      <w:r w:rsidRPr="0064224D">
        <w:rPr>
          <w:rFonts w:cstheme="minorHAnsi"/>
        </w:rPr>
        <w:t xml:space="preserve"> repository exists</w:t>
      </w:r>
      <w:r w:rsidRPr="0064224D" w:rsidR="000E7CF2">
        <w:rPr>
          <w:rFonts w:cstheme="minorHAnsi"/>
        </w:rPr>
        <w:t xml:space="preserve"> for submission and access</w:t>
      </w:r>
      <w:r w:rsidRPr="0064224D">
        <w:rPr>
          <w:rFonts w:cstheme="minorHAnsi"/>
        </w:rPr>
        <w:t xml:space="preserve">. </w:t>
      </w:r>
      <w:r w:rsidRPr="0064224D">
        <w:rPr>
          <w:rFonts w:cstheme="minorHAnsi"/>
        </w:rPr>
        <w:t>dbGaP</w:t>
      </w:r>
      <w:r w:rsidRPr="0064224D">
        <w:rPr>
          <w:rFonts w:cstheme="minorHAnsi"/>
        </w:rPr>
        <w:t xml:space="preserve"> is unique in that it provides a single site </w:t>
      </w:r>
      <w:r w:rsidRPr="0064224D" w:rsidR="00243D27">
        <w:rPr>
          <w:rFonts w:cstheme="minorHAnsi"/>
        </w:rPr>
        <w:t>for NIH</w:t>
      </w:r>
      <w:r w:rsidRPr="0064224D">
        <w:rPr>
          <w:rFonts w:cstheme="minorHAnsi"/>
        </w:rPr>
        <w:t>-funded human genomic research studies, as well as to many non-NIH-funded human genomic research studies.</w:t>
      </w:r>
    </w:p>
    <w:p w:rsidR="00CF1354" w:rsidRPr="0064224D" w:rsidP="00CF1354" w14:paraId="6AD5DC1B" w14:textId="77777777">
      <w:pPr>
        <w:rPr>
          <w:rFonts w:cstheme="minorHAnsi"/>
        </w:rPr>
      </w:pPr>
      <w:r w:rsidRPr="0064224D">
        <w:rPr>
          <w:rFonts w:cstheme="minorHAnsi"/>
          <w:b/>
        </w:rPr>
        <w:t>A.5</w:t>
      </w:r>
      <w:r w:rsidRPr="0064224D">
        <w:rPr>
          <w:rFonts w:cstheme="minorHAnsi"/>
        </w:rPr>
        <w:tab/>
      </w:r>
      <w:r w:rsidRPr="0064224D">
        <w:rPr>
          <w:rFonts w:cstheme="minorHAnsi"/>
          <w:b/>
        </w:rPr>
        <w:t>Impact on Small Businesses or Other Small Entities</w:t>
      </w:r>
    </w:p>
    <w:p w:rsidR="00CF1354" w:rsidRPr="0064224D" w:rsidP="00CF1354" w14:paraId="2969F205" w14:textId="77777777">
      <w:pPr>
        <w:rPr>
          <w:rFonts w:cstheme="minorHAnsi"/>
        </w:rPr>
      </w:pPr>
      <w:r w:rsidRPr="0064224D">
        <w:rPr>
          <w:rFonts w:cstheme="minorHAnsi"/>
        </w:rPr>
        <w:t>The information collection does not have a differential effect on small businesses.</w:t>
      </w:r>
    </w:p>
    <w:p w:rsidR="00A71A53" w:rsidRPr="0064224D" w:rsidP="00A71A53" w14:paraId="6076672E" w14:textId="77777777">
      <w:pPr>
        <w:rPr>
          <w:rFonts w:cstheme="minorHAnsi"/>
          <w:b/>
        </w:rPr>
      </w:pPr>
      <w:r w:rsidRPr="0064224D">
        <w:rPr>
          <w:rFonts w:cstheme="minorHAnsi"/>
          <w:b/>
        </w:rPr>
        <w:t>A.6</w:t>
      </w:r>
      <w:r w:rsidRPr="0064224D">
        <w:rPr>
          <w:rFonts w:cstheme="minorHAnsi"/>
        </w:rPr>
        <w:tab/>
      </w:r>
      <w:r w:rsidRPr="0064224D">
        <w:rPr>
          <w:rFonts w:cstheme="minorHAnsi"/>
          <w:b/>
        </w:rPr>
        <w:t>Consequences of Collecting the Information Less Frequently</w:t>
      </w:r>
    </w:p>
    <w:p w:rsidR="00A71A53" w:rsidRPr="0064224D" w:rsidP="00A71A53" w14:paraId="396146D9" w14:textId="77777777">
      <w:pPr>
        <w:rPr>
          <w:rFonts w:cstheme="minorHAnsi"/>
        </w:rPr>
      </w:pPr>
      <w:r w:rsidRPr="0064224D">
        <w:rPr>
          <w:rFonts w:cstheme="minorHAnsi"/>
        </w:rPr>
        <w:t xml:space="preserve">Delaying submission of the information to </w:t>
      </w:r>
      <w:r w:rsidRPr="0064224D">
        <w:rPr>
          <w:rFonts w:cstheme="minorHAnsi"/>
        </w:rPr>
        <w:t>dbGaP</w:t>
      </w:r>
      <w:r w:rsidRPr="0064224D">
        <w:rPr>
          <w:rFonts w:cstheme="minorHAnsi"/>
        </w:rPr>
        <w:t xml:space="preserve"> would impede secondary research studies of data in </w:t>
      </w:r>
      <w:r w:rsidRPr="0064224D">
        <w:rPr>
          <w:rFonts w:cstheme="minorHAnsi"/>
        </w:rPr>
        <w:t>dbGaP</w:t>
      </w:r>
      <w:r w:rsidRPr="0064224D">
        <w:rPr>
          <w:rFonts w:cstheme="minorHAnsi"/>
        </w:rPr>
        <w:t xml:space="preserve"> and lessen the value of NIH’s investment.</w:t>
      </w:r>
    </w:p>
    <w:p w:rsidR="00A71A53" w:rsidRPr="0064224D" w:rsidP="00A71A53" w14:paraId="63E7C554" w14:textId="0498913B">
      <w:pPr>
        <w:rPr>
          <w:rFonts w:cstheme="minorHAnsi"/>
        </w:rPr>
      </w:pPr>
      <w:r w:rsidRPr="0064224D">
        <w:rPr>
          <w:rFonts w:cstheme="minorHAnsi"/>
        </w:rPr>
        <w:t xml:space="preserve">Following the initial request and approval to use controlled-access data, requesters must provide annual updates on their research progress and renew access to the dataset(s) for another year or close-out access to the dataset(s). The consequence of not submitting the required information annually is a reduction in NIH </w:t>
      </w:r>
      <w:r w:rsidRPr="0064224D" w:rsidR="00BE5828">
        <w:rPr>
          <w:rFonts w:cstheme="minorHAnsi"/>
        </w:rPr>
        <w:t xml:space="preserve">ability to provide </w:t>
      </w:r>
      <w:r w:rsidRPr="0064224D">
        <w:rPr>
          <w:rFonts w:cstheme="minorHAnsi"/>
        </w:rPr>
        <w:t xml:space="preserve">oversight of </w:t>
      </w:r>
      <w:r w:rsidRPr="0064224D">
        <w:rPr>
          <w:rFonts w:cstheme="minorHAnsi"/>
        </w:rPr>
        <w:t>dbGaP</w:t>
      </w:r>
      <w:r w:rsidRPr="0064224D">
        <w:rPr>
          <w:rFonts w:cstheme="minorHAnsi"/>
        </w:rPr>
        <w:t xml:space="preserve"> data, and reduced knowledge of how the data are being used, possibly leading to an increased rate of data management incidents.</w:t>
      </w:r>
    </w:p>
    <w:p w:rsidR="00060901" w:rsidRPr="0064224D" w:rsidP="00060901" w14:paraId="504380B5" w14:textId="77777777">
      <w:pPr>
        <w:tabs>
          <w:tab w:val="left" w:pos="5760"/>
        </w:tabs>
        <w:ind w:left="720" w:hanging="720"/>
        <w:rPr>
          <w:rFonts w:cstheme="minorHAnsi"/>
          <w:b/>
        </w:rPr>
      </w:pPr>
      <w:r w:rsidRPr="0064224D">
        <w:rPr>
          <w:rFonts w:cstheme="minorHAnsi"/>
          <w:b/>
        </w:rPr>
        <w:t>A.7</w:t>
      </w:r>
      <w:r w:rsidRPr="0064224D">
        <w:rPr>
          <w:rFonts w:cstheme="minorHAnsi"/>
        </w:rPr>
        <w:tab/>
      </w:r>
      <w:r w:rsidRPr="0064224D">
        <w:rPr>
          <w:rFonts w:cstheme="minorHAnsi"/>
          <w:b/>
        </w:rPr>
        <w:t xml:space="preserve">Special Circumstances Relating to the Guidelines of 5 </w:t>
      </w:r>
      <w:smartTag w:uri="urn:schemas-microsoft-com:office:smarttags" w:element="stockticker">
        <w:r w:rsidRPr="0064224D">
          <w:rPr>
            <w:rFonts w:cstheme="minorHAnsi"/>
            <w:b/>
          </w:rPr>
          <w:t>CFR</w:t>
        </w:r>
      </w:smartTag>
      <w:r w:rsidRPr="0064224D">
        <w:rPr>
          <w:rFonts w:cstheme="minorHAnsi"/>
          <w:b/>
        </w:rPr>
        <w:t xml:space="preserve"> 1320.5</w:t>
      </w:r>
    </w:p>
    <w:p w:rsidR="00060901" w:rsidRPr="0064224D" w:rsidP="00060901" w14:paraId="032C2992" w14:textId="364A4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64224D">
        <w:rPr>
          <w:rFonts w:cstheme="minorHAnsi"/>
        </w:rPr>
        <w:t xml:space="preserve">This collection fully complies with 5 CFR 1320.5.  </w:t>
      </w:r>
    </w:p>
    <w:p w:rsidR="00A71A53" w:rsidRPr="0064224D" w:rsidP="00A71A53" w14:paraId="4D8A00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64224D">
        <w:rPr>
          <w:rFonts w:cstheme="minorHAnsi"/>
          <w:b/>
        </w:rPr>
        <w:t>A.8.1</w:t>
      </w:r>
      <w:r w:rsidRPr="0064224D">
        <w:rPr>
          <w:rFonts w:cstheme="minorHAnsi"/>
        </w:rPr>
        <w:tab/>
      </w:r>
      <w:r w:rsidRPr="0064224D">
        <w:rPr>
          <w:rFonts w:cstheme="minorHAnsi"/>
          <w:b/>
        </w:rPr>
        <w:t>Comments in Response to the Federal Register Notice</w:t>
      </w:r>
    </w:p>
    <w:p w:rsidR="00A71A53" w:rsidRPr="0064224D" w:rsidP="00060901" w14:paraId="424EB2A3" w14:textId="02D57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4224D">
        <w:rPr>
          <w:rFonts w:cstheme="minorHAnsi"/>
        </w:rPr>
        <w:t xml:space="preserve">In accordance with 5 CFR 1320.8(d), the proposed information collection was published in the </w:t>
      </w:r>
      <w:r w:rsidRPr="0064224D" w:rsidR="00060901">
        <w:rPr>
          <w:rFonts w:cstheme="minorHAnsi"/>
          <w:i/>
        </w:rPr>
        <w:t xml:space="preserve">Federal </w:t>
      </w:r>
      <w:r w:rsidRPr="0064224D">
        <w:rPr>
          <w:rFonts w:cstheme="minorHAnsi"/>
          <w:i/>
        </w:rPr>
        <w:t>Register</w:t>
      </w:r>
      <w:r w:rsidRPr="0064224D">
        <w:rPr>
          <w:rFonts w:cstheme="minorHAnsi"/>
        </w:rPr>
        <w:t xml:space="preserve"> (FR) on </w:t>
      </w:r>
      <w:r w:rsidRPr="0064224D" w:rsidR="00133B14">
        <w:rPr>
          <w:rFonts w:cstheme="minorHAnsi"/>
        </w:rPr>
        <w:t>September 21, 2022</w:t>
      </w:r>
      <w:r w:rsidRPr="0064224D">
        <w:rPr>
          <w:rFonts w:cstheme="minorHAnsi"/>
        </w:rPr>
        <w:t>, (</w:t>
      </w:r>
      <w:r w:rsidRPr="0064224D" w:rsidR="00062ABC">
        <w:rPr>
          <w:rFonts w:cstheme="minorHAnsi"/>
        </w:rPr>
        <w:t>87 FR 57705</w:t>
      </w:r>
      <w:r w:rsidRPr="0064224D">
        <w:rPr>
          <w:rFonts w:cstheme="minorHAnsi"/>
        </w:rPr>
        <w:t xml:space="preserve">) and allowed 60 days for public comment. </w:t>
      </w:r>
      <w:r w:rsidRPr="0064224D" w:rsidR="00375DAA">
        <w:rPr>
          <w:rFonts w:cstheme="minorHAnsi"/>
        </w:rPr>
        <w:t>(COMMENTS IF ANY)</w:t>
      </w:r>
      <w:r w:rsidRPr="0064224D">
        <w:rPr>
          <w:rFonts w:cstheme="minorHAnsi"/>
        </w:rPr>
        <w:t>.</w:t>
      </w:r>
    </w:p>
    <w:p w:rsidR="00A71A53" w:rsidRPr="0064224D" w:rsidP="00A71A53" w14:paraId="6027E716" w14:textId="77777777">
      <w:pPr>
        <w:spacing w:after="200" w:line="276" w:lineRule="auto"/>
        <w:ind w:left="720" w:hanging="720"/>
        <w:rPr>
          <w:rFonts w:eastAsia="Calibri" w:cstheme="minorHAnsi"/>
        </w:rPr>
      </w:pPr>
      <w:r w:rsidRPr="0064224D">
        <w:rPr>
          <w:rFonts w:eastAsia="Calibri" w:cstheme="minorHAnsi"/>
          <w:b/>
        </w:rPr>
        <w:t>A.8.2</w:t>
      </w:r>
      <w:r w:rsidRPr="0064224D">
        <w:rPr>
          <w:rFonts w:eastAsia="Calibri" w:cstheme="minorHAnsi"/>
        </w:rPr>
        <w:tab/>
      </w:r>
      <w:r w:rsidRPr="0064224D">
        <w:rPr>
          <w:rFonts w:eastAsia="Calibri" w:cstheme="minorHAnsi"/>
          <w:b/>
        </w:rPr>
        <w:t>Efforts to Consult Outside Agency</w:t>
      </w:r>
    </w:p>
    <w:p w:rsidR="00EE06CE" w:rsidRPr="0064224D" w:rsidP="00A71A53" w14:paraId="2A3F49C3" w14:textId="6F6B161E">
      <w:pPr>
        <w:rPr>
          <w:rFonts w:eastAsia="Calibri" w:cstheme="minorHAnsi"/>
        </w:rPr>
      </w:pPr>
      <w:r w:rsidRPr="0064224D">
        <w:rPr>
          <w:rFonts w:eastAsia="Calibri" w:cstheme="minorHAnsi"/>
        </w:rPr>
        <w:t>Not applicable at this time.</w:t>
      </w:r>
    </w:p>
    <w:p w:rsidR="00E52124" w:rsidRPr="0064224D" w:rsidP="00E52124" w14:paraId="0B2C35E9" w14:textId="77777777">
      <w:pPr>
        <w:rPr>
          <w:rFonts w:cstheme="minorHAnsi"/>
          <w:b/>
        </w:rPr>
      </w:pPr>
      <w:r w:rsidRPr="0064224D">
        <w:rPr>
          <w:rFonts w:cstheme="minorHAnsi"/>
          <w:b/>
        </w:rPr>
        <w:t>A.9</w:t>
      </w:r>
      <w:r w:rsidRPr="0064224D">
        <w:rPr>
          <w:rFonts w:cstheme="minorHAnsi"/>
          <w:b/>
        </w:rPr>
        <w:tab/>
        <w:t>Explanation of Any Payment of Gift to Respondents</w:t>
      </w:r>
    </w:p>
    <w:p w:rsidR="00E52124" w:rsidRPr="0064224D" w:rsidP="00E52124" w14:paraId="3A1CD90D" w14:textId="77777777">
      <w:pPr>
        <w:rPr>
          <w:rFonts w:cstheme="minorHAnsi"/>
        </w:rPr>
      </w:pPr>
      <w:r w:rsidRPr="0064224D">
        <w:rPr>
          <w:rFonts w:cstheme="minorHAnsi"/>
        </w:rPr>
        <w:t xml:space="preserve">No gifts or payments are to be offered in regard to this information collection. </w:t>
      </w:r>
    </w:p>
    <w:p w:rsidR="00E52124" w:rsidRPr="0064224D" w:rsidP="00E52124" w14:paraId="7FBFA468" w14:textId="77777777">
      <w:pPr>
        <w:rPr>
          <w:rFonts w:cstheme="minorHAnsi"/>
          <w:b/>
        </w:rPr>
      </w:pPr>
      <w:r w:rsidRPr="0064224D">
        <w:rPr>
          <w:rFonts w:cstheme="minorHAnsi"/>
          <w:b/>
        </w:rPr>
        <w:t>A.10</w:t>
      </w:r>
      <w:r w:rsidRPr="0064224D">
        <w:rPr>
          <w:rFonts w:cstheme="minorHAnsi"/>
          <w:b/>
        </w:rPr>
        <w:tab/>
        <w:t>Assurance of Confidentiality Provided to Respondents</w:t>
      </w:r>
    </w:p>
    <w:p w:rsidR="00E52124" w:rsidRPr="0064224D" w:rsidP="00E52124" w14:paraId="76131E11" w14:textId="612016E8">
      <w:pPr>
        <w:rPr>
          <w:rFonts w:cstheme="minorHAnsi"/>
        </w:rPr>
      </w:pPr>
      <w:r w:rsidRPr="0064224D">
        <w:rPr>
          <w:rFonts w:cstheme="minorHAnsi"/>
        </w:rPr>
        <w:t xml:space="preserve">The names and institutional affiliations of the respondents (both data submitters and data requesters) will be posted publicly on the </w:t>
      </w:r>
      <w:r w:rsidRPr="0064224D">
        <w:rPr>
          <w:rFonts w:cstheme="minorHAnsi"/>
        </w:rPr>
        <w:t>dbGaP</w:t>
      </w:r>
      <w:r w:rsidRPr="0064224D">
        <w:rPr>
          <w:rFonts w:cstheme="minorHAnsi"/>
        </w:rPr>
        <w:t xml:space="preserve"> website, and thus there is no assurance of confidentiality afforded to the respondents.  However, it is important to emphasize that no personal information is requested from investigators submitting or accessing data beyond their name and institutional affiliation. Submitters of data to </w:t>
      </w:r>
      <w:r w:rsidRPr="0064224D">
        <w:rPr>
          <w:rFonts w:cstheme="minorHAnsi"/>
        </w:rPr>
        <w:t>dbGaP</w:t>
      </w:r>
      <w:r w:rsidRPr="0064224D">
        <w:rPr>
          <w:rFonts w:cstheme="minorHAnsi"/>
        </w:rPr>
        <w:t xml:space="preserve"> are largely NIH-funded investigators whose names and institutional affiliations are already a matter of public record (see </w:t>
      </w:r>
      <w:hyperlink r:id="rId6" w:history="1">
        <w:r w:rsidRPr="0064224D">
          <w:rPr>
            <w:rStyle w:val="Hyperlink"/>
            <w:rFonts w:cstheme="minorHAnsi"/>
          </w:rPr>
          <w:t>http://projectreporter.nih.gov/reporter.cfm</w:t>
        </w:r>
      </w:hyperlink>
      <w:r w:rsidRPr="0064224D">
        <w:rPr>
          <w:rFonts w:cstheme="minorHAnsi"/>
        </w:rPr>
        <w:t xml:space="preserve">). </w:t>
      </w:r>
      <w:r w:rsidRPr="0064224D" w:rsidR="005C3AE2">
        <w:rPr>
          <w:rFonts w:cstheme="minorHAnsi"/>
        </w:rPr>
        <w:t>Requesters</w:t>
      </w:r>
      <w:r w:rsidRPr="0064224D">
        <w:rPr>
          <w:rFonts w:cstheme="minorHAnsi"/>
        </w:rPr>
        <w:t xml:space="preserve"> of the data are both NIH-funded and non-NIH-funded investigators. Making the names of submitters and </w:t>
      </w:r>
      <w:r w:rsidRPr="0064224D" w:rsidR="005C3AE2">
        <w:rPr>
          <w:rFonts w:cstheme="minorHAnsi"/>
        </w:rPr>
        <w:t>requesters</w:t>
      </w:r>
      <w:r w:rsidRPr="0064224D">
        <w:rPr>
          <w:rFonts w:cstheme="minorHAnsi"/>
        </w:rPr>
        <w:t xml:space="preserve"> of the data publicly available is an important ethical underpinning of the NIH GDS Policy as it allows NIH to be transparent in informing research participants, the scientific community, and the general public on how genomic data are being shared, with whom, and for what research purpose in addition to helping to foster future research collaborations. </w:t>
      </w:r>
    </w:p>
    <w:p w:rsidR="00E52124" w:rsidRPr="0064224D" w:rsidP="00E52124" w14:paraId="56756EC8" w14:textId="3E693527">
      <w:pPr>
        <w:rPr>
          <w:rFonts w:cstheme="minorHAnsi"/>
        </w:rPr>
      </w:pPr>
      <w:r w:rsidRPr="0064224D">
        <w:rPr>
          <w:rFonts w:cstheme="minorHAnsi"/>
        </w:rPr>
        <w:t xml:space="preserve">A System of Records Notice (SORN) 09-25-0036, is in place for </w:t>
      </w:r>
      <w:r w:rsidRPr="0064224D">
        <w:rPr>
          <w:rFonts w:cstheme="minorHAnsi"/>
        </w:rPr>
        <w:t>eRA</w:t>
      </w:r>
      <w:r w:rsidRPr="0064224D">
        <w:rPr>
          <w:rFonts w:cstheme="minorHAnsi"/>
        </w:rPr>
        <w:t xml:space="preserve"> Commons, which </w:t>
      </w:r>
      <w:r w:rsidRPr="0064224D">
        <w:rPr>
          <w:rFonts w:cstheme="minorHAnsi"/>
        </w:rPr>
        <w:t>dbGaP</w:t>
      </w:r>
      <w:r w:rsidRPr="0064224D">
        <w:rPr>
          <w:rFonts w:cstheme="minorHAnsi"/>
        </w:rPr>
        <w:t xml:space="preserve"> uses for credentialing purposes of submitters and data requestors (</w:t>
      </w:r>
      <w:hyperlink r:id="rId7" w:history="1">
        <w:r w:rsidRPr="0064224D" w:rsidR="0071380B">
          <w:rPr>
            <w:rStyle w:val="Hyperlink"/>
            <w:rFonts w:cstheme="minorHAnsi"/>
          </w:rPr>
          <w:t>https://oma.od.nih.gov/forms/Privacy%20Documents/PAfiles/0036.htm</w:t>
        </w:r>
      </w:hyperlink>
      <w:r w:rsidRPr="0064224D">
        <w:rPr>
          <w:rFonts w:cstheme="minorHAnsi"/>
        </w:rPr>
        <w:t>). Federal Register Notice published on September 26, 2002 (Vol. 67, No. 187, page 60751 -</w:t>
      </w:r>
      <w:hyperlink r:id="rId8" w:anchor="h-167" w:history="1">
        <w:r w:rsidRPr="0064224D">
          <w:rPr>
            <w:rStyle w:val="Hyperlink"/>
            <w:rFonts w:cstheme="minorHAnsi"/>
          </w:rPr>
          <w:t>https://www.federalregister.gov/articles/2002/09/26/02-23965/privacy-act-of-1974-annual-publication-of-systems-of-records#h-167</w:t>
        </w:r>
      </w:hyperlink>
      <w:r w:rsidRPr="0064224D">
        <w:rPr>
          <w:rFonts w:cstheme="minorHAnsi"/>
        </w:rPr>
        <w:t>)</w:t>
      </w:r>
      <w:r w:rsidRPr="0064224D" w:rsidR="008A703D">
        <w:rPr>
          <w:rFonts w:cstheme="minorHAnsi"/>
        </w:rPr>
        <w:t>.</w:t>
      </w:r>
      <w:r w:rsidRPr="0064224D">
        <w:rPr>
          <w:rFonts w:cstheme="minorHAnsi"/>
        </w:rPr>
        <w:t xml:space="preserve"> Another SORN</w:t>
      </w:r>
      <w:r w:rsidRPr="0064224D" w:rsidR="00660B9F">
        <w:rPr>
          <w:rFonts w:cstheme="minorHAnsi"/>
        </w:rPr>
        <w:t xml:space="preserve"> 09-90-1401 </w:t>
      </w:r>
      <w:r w:rsidRPr="0064224D">
        <w:rPr>
          <w:rFonts w:cstheme="minorHAnsi"/>
        </w:rPr>
        <w:t xml:space="preserve">expanding the relevant data access enterprise, </w:t>
      </w:r>
      <w:r w:rsidRPr="0064224D" w:rsidR="008A703D">
        <w:rPr>
          <w:rFonts w:cstheme="minorHAnsi"/>
        </w:rPr>
        <w:t>(</w:t>
      </w:r>
      <w:r w:rsidRPr="0064224D">
        <w:rPr>
          <w:rFonts w:cstheme="minorHAnsi"/>
        </w:rPr>
        <w:t>e.g. NIH-designated data repositories and DACs</w:t>
      </w:r>
      <w:r w:rsidRPr="0064224D" w:rsidR="008A703D">
        <w:rPr>
          <w:rFonts w:cstheme="minorHAnsi"/>
        </w:rPr>
        <w:t>) is in place (</w:t>
      </w:r>
      <w:hyperlink r:id="rId9" w:history="1">
        <w:r w:rsidRPr="0064224D" w:rsidR="0071380B">
          <w:rPr>
            <w:rStyle w:val="Hyperlink"/>
            <w:rFonts w:cstheme="minorHAnsi"/>
          </w:rPr>
          <w:t>https://www.federalregister.gov/documents/2018/03/14/2018-05176/privacy-act-of-1974-system-of-records</w:t>
        </w:r>
      </w:hyperlink>
      <w:r w:rsidRPr="0064224D" w:rsidR="008A703D">
        <w:rPr>
          <w:rFonts w:cstheme="minorHAnsi"/>
        </w:rPr>
        <w:t xml:space="preserve">). Federal Register Notice published on March 14, 2018 (Vol. 83, No.50, page 11214 - </w:t>
      </w:r>
      <w:hyperlink r:id="rId10" w:history="1">
        <w:r w:rsidRPr="0064224D" w:rsidR="008A703D">
          <w:rPr>
            <w:rStyle w:val="Hyperlink"/>
            <w:rFonts w:cstheme="minorHAnsi"/>
          </w:rPr>
          <w:t>https://www.govinfo.gov/content/pkg/FR-2018-03-14/pdf/2018-05176.pdf</w:t>
        </w:r>
      </w:hyperlink>
      <w:r w:rsidRPr="0064224D" w:rsidR="008A703D">
        <w:rPr>
          <w:rFonts w:cstheme="minorHAnsi"/>
        </w:rPr>
        <w:t>).</w:t>
      </w:r>
    </w:p>
    <w:p w:rsidR="002B32F9" w:rsidRPr="0064224D" w:rsidP="002B32F9" w14:paraId="36212B1B" w14:textId="77777777">
      <w:pPr>
        <w:rPr>
          <w:rFonts w:cstheme="minorHAnsi"/>
          <w:b/>
        </w:rPr>
      </w:pPr>
      <w:r w:rsidRPr="0064224D">
        <w:rPr>
          <w:rFonts w:cstheme="minorHAnsi"/>
          <w:b/>
        </w:rPr>
        <w:t>A.11</w:t>
      </w:r>
      <w:r w:rsidRPr="0064224D">
        <w:rPr>
          <w:rFonts w:cstheme="minorHAnsi"/>
          <w:b/>
        </w:rPr>
        <w:tab/>
        <w:t>Justification for Sensitive Questions</w:t>
      </w:r>
    </w:p>
    <w:p w:rsidR="002B32F9" w:rsidRPr="0064224D" w:rsidP="002B32F9" w14:paraId="317F7271" w14:textId="77777777">
      <w:pPr>
        <w:rPr>
          <w:rFonts w:cstheme="minorHAnsi"/>
        </w:rPr>
      </w:pPr>
      <w:r w:rsidRPr="0064224D">
        <w:rPr>
          <w:rFonts w:cstheme="minorHAnsi"/>
        </w:rPr>
        <w:t>No questions of a sensitive nature are included in this data collection.</w:t>
      </w:r>
    </w:p>
    <w:p w:rsidR="00562D19" w:rsidRPr="0064224D" w:rsidP="00562D19" w14:paraId="04A00A4C" w14:textId="77777777">
      <w:pPr>
        <w:rPr>
          <w:rFonts w:cstheme="minorHAnsi"/>
          <w:b/>
        </w:rPr>
      </w:pPr>
      <w:r w:rsidRPr="0064224D">
        <w:rPr>
          <w:rFonts w:cstheme="minorHAnsi"/>
          <w:b/>
        </w:rPr>
        <w:t>A.12.1</w:t>
      </w:r>
      <w:r w:rsidRPr="0064224D">
        <w:rPr>
          <w:rFonts w:cstheme="minorHAnsi"/>
          <w:b/>
        </w:rPr>
        <w:tab/>
        <w:t>Estimated Annualized Burden Hours</w:t>
      </w:r>
    </w:p>
    <w:p w:rsidR="00092332" w:rsidRPr="0064224D" w:rsidP="00562D19" w14:paraId="5EBA7895" w14:textId="262D97FC">
      <w:pPr>
        <w:rPr>
          <w:rFonts w:cstheme="minorHAnsi"/>
        </w:rPr>
      </w:pPr>
      <w:r w:rsidRPr="0064224D">
        <w:rPr>
          <w:rFonts w:cstheme="minorHAnsi"/>
        </w:rPr>
        <w:t xml:space="preserve">The burden associated with this information collection is calculated in two parts: the burden associated with registering genomic studies and submitting data to </w:t>
      </w:r>
      <w:r w:rsidRPr="0064224D">
        <w:rPr>
          <w:rFonts w:cstheme="minorHAnsi"/>
        </w:rPr>
        <w:t>dbGaP</w:t>
      </w:r>
      <w:r w:rsidRPr="0064224D">
        <w:rPr>
          <w:rFonts w:cstheme="minorHAnsi"/>
        </w:rPr>
        <w:t xml:space="preserve">; and the burden associated with applying for controlled-access data in </w:t>
      </w:r>
      <w:r w:rsidRPr="0064224D">
        <w:rPr>
          <w:rFonts w:cstheme="minorHAnsi"/>
        </w:rPr>
        <w:t>dbGaP</w:t>
      </w:r>
      <w:r w:rsidRPr="0064224D">
        <w:rPr>
          <w:rFonts w:cstheme="minorHAnsi"/>
        </w:rPr>
        <w:t xml:space="preserve">. Respondents are (1) investigators submitting data to </w:t>
      </w:r>
      <w:r w:rsidRPr="0064224D">
        <w:rPr>
          <w:rFonts w:cstheme="minorHAnsi"/>
        </w:rPr>
        <w:t>dbGaP</w:t>
      </w:r>
      <w:r w:rsidRPr="0064224D">
        <w:rPr>
          <w:rFonts w:cstheme="minorHAnsi"/>
        </w:rPr>
        <w:t>; (2) Institutional Officials who assure the data submission; (3) investigators who request and receive data</w:t>
      </w:r>
      <w:r w:rsidRPr="0064224D" w:rsidR="005C3AE2">
        <w:rPr>
          <w:rFonts w:cstheme="minorHAnsi"/>
        </w:rPr>
        <w:t xml:space="preserve"> (requesters); and (4) I</w:t>
      </w:r>
      <w:r w:rsidRPr="0064224D">
        <w:rPr>
          <w:rFonts w:cstheme="minorHAnsi"/>
        </w:rPr>
        <w:t xml:space="preserve">nstitutional Signing Officials who certify that they will abide by the </w:t>
      </w:r>
      <w:r w:rsidRPr="0064224D" w:rsidR="005C3AE2">
        <w:rPr>
          <w:rFonts w:cstheme="minorHAnsi"/>
        </w:rPr>
        <w:t xml:space="preserve">NIH </w:t>
      </w:r>
      <w:r w:rsidRPr="0064224D">
        <w:rPr>
          <w:rFonts w:cstheme="minorHAnsi"/>
        </w:rPr>
        <w:t xml:space="preserve">GDS Policy. </w:t>
      </w:r>
    </w:p>
    <w:p w:rsidR="00092332" w:rsidRPr="0064224D" w:rsidP="00562D19" w14:paraId="4581ABEB" w14:textId="3E2C6CB3">
      <w:pPr>
        <w:rPr>
          <w:rFonts w:cstheme="minorHAnsi"/>
        </w:rPr>
      </w:pPr>
      <w:r w:rsidRPr="0064224D">
        <w:rPr>
          <w:rFonts w:cstheme="minorHAnsi"/>
        </w:rPr>
        <w:t>Table A. 12-1 shows the estimated burden hours for Study Registration and Data Submission, Data Access Requests, and Project Renewal/Project Close-out forms.</w:t>
      </w:r>
    </w:p>
    <w:p w:rsidR="00562D19" w:rsidRPr="0064224D" w:rsidP="00562D19" w14:paraId="74BA05C8" w14:textId="77777777">
      <w:pPr>
        <w:rPr>
          <w:rFonts w:cstheme="minorHAnsi"/>
          <w:i/>
          <w:u w:val="single"/>
        </w:rPr>
      </w:pPr>
      <w:r w:rsidRPr="0064224D">
        <w:rPr>
          <w:rFonts w:cstheme="minorHAnsi"/>
          <w:i/>
          <w:u w:val="single"/>
        </w:rPr>
        <w:t>Study Registration and Data Submission</w:t>
      </w:r>
    </w:p>
    <w:p w:rsidR="00562D19" w:rsidRPr="0064224D" w:rsidP="00562D19" w14:paraId="1F7CCDC2" w14:textId="77777777">
      <w:pPr>
        <w:rPr>
          <w:rFonts w:cstheme="minorHAnsi"/>
        </w:rPr>
      </w:pPr>
      <w:r w:rsidRPr="0064224D">
        <w:rPr>
          <w:rFonts w:cstheme="minorHAnsi"/>
        </w:rPr>
        <w:t xml:space="preserve">The burden associated with registering genomic studies and submitting data to </w:t>
      </w:r>
      <w:r w:rsidRPr="0064224D">
        <w:rPr>
          <w:rFonts w:cstheme="minorHAnsi"/>
        </w:rPr>
        <w:t>dbGaP</w:t>
      </w:r>
      <w:r w:rsidRPr="0064224D">
        <w:rPr>
          <w:rFonts w:cstheme="minorHAnsi"/>
        </w:rPr>
        <w:t xml:space="preserve"> involves the time and effort necessary for the investigator to complete the online form, and upload the data to </w:t>
      </w:r>
      <w:r w:rsidRPr="0064224D">
        <w:rPr>
          <w:rFonts w:cstheme="minorHAnsi"/>
        </w:rPr>
        <w:t>dbGaP</w:t>
      </w:r>
      <w:r w:rsidRPr="0064224D">
        <w:rPr>
          <w:rFonts w:cstheme="minorHAnsi"/>
        </w:rPr>
        <w:t xml:space="preserve">. The burden for the Institutional Official includes the time and effort to review and approve the registration and data submission, including completion of the Institutional Certification. Because NIH </w:t>
      </w:r>
      <w:r w:rsidRPr="0064224D">
        <w:rPr>
          <w:rFonts w:cstheme="minorHAnsi"/>
        </w:rPr>
        <w:t>makes it possible to submit the information through tailored, user-friendly online forms, the time and effort is considerably reduced. Moreover, some of the</w:t>
      </w:r>
      <w:r w:rsidRPr="00EE3E14">
        <w:rPr>
          <w:rFonts w:ascii="Times New Roman" w:hAnsi="Times New Roman" w:cs="Times New Roman"/>
          <w:sz w:val="24"/>
          <w:szCs w:val="24"/>
        </w:rPr>
        <w:t xml:space="preserve"> </w:t>
      </w:r>
      <w:r w:rsidRPr="0064224D">
        <w:rPr>
          <w:rFonts w:cstheme="minorHAnsi"/>
        </w:rPr>
        <w:t xml:space="preserve">information investigators will need to complete the forms will be automatically provided from </w:t>
      </w:r>
      <w:r w:rsidRPr="0064224D">
        <w:rPr>
          <w:rFonts w:cstheme="minorHAnsi"/>
        </w:rPr>
        <w:t>eRA</w:t>
      </w:r>
      <w:r w:rsidRPr="0064224D">
        <w:rPr>
          <w:rFonts w:cstheme="minorHAnsi"/>
        </w:rPr>
        <w:t xml:space="preserve"> Commons and other information can be retrieved from the investigator’s NIH grant award.</w:t>
      </w:r>
    </w:p>
    <w:p w:rsidR="00562D19" w:rsidRPr="0064224D" w:rsidP="00562D19" w14:paraId="3B6BC155" w14:textId="77777777">
      <w:pPr>
        <w:rPr>
          <w:rFonts w:cstheme="minorHAnsi"/>
          <w:i/>
          <w:u w:val="single"/>
        </w:rPr>
      </w:pPr>
      <w:r w:rsidRPr="0064224D">
        <w:rPr>
          <w:rFonts w:cstheme="minorHAnsi"/>
          <w:i/>
          <w:u w:val="single"/>
        </w:rPr>
        <w:t>Data Access</w:t>
      </w:r>
    </w:p>
    <w:p w:rsidR="00562D19" w:rsidRPr="0064224D" w:rsidP="00562D19" w14:paraId="2FE4AEC6" w14:textId="62CE7644">
      <w:pPr>
        <w:rPr>
          <w:rFonts w:cstheme="minorHAnsi"/>
        </w:rPr>
      </w:pPr>
      <w:r w:rsidRPr="0064224D">
        <w:rPr>
          <w:rFonts w:cstheme="minorHAnsi"/>
        </w:rPr>
        <w:t>On a</w:t>
      </w:r>
      <w:r w:rsidRPr="0064224D" w:rsidR="00DE5AAD">
        <w:rPr>
          <w:rFonts w:cstheme="minorHAnsi"/>
        </w:rPr>
        <w:t>n annual basis, the requester</w:t>
      </w:r>
      <w:r w:rsidRPr="0064224D">
        <w:rPr>
          <w:rFonts w:cstheme="minorHAnsi"/>
        </w:rPr>
        <w:t xml:space="preserve"> completes only one of the three forms for a </w:t>
      </w:r>
      <w:r w:rsidRPr="0064224D" w:rsidR="001A63D6">
        <w:rPr>
          <w:rFonts w:cstheme="minorHAnsi"/>
        </w:rPr>
        <w:t>given project (i.e., initial, Project Renewal,</w:t>
      </w:r>
      <w:r w:rsidRPr="0064224D">
        <w:rPr>
          <w:rFonts w:cstheme="minorHAnsi"/>
        </w:rPr>
        <w:t xml:space="preserve"> or </w:t>
      </w:r>
      <w:r w:rsidRPr="0064224D" w:rsidR="001A63D6">
        <w:rPr>
          <w:rFonts w:cstheme="minorHAnsi"/>
        </w:rPr>
        <w:t>Project Close-out</w:t>
      </w:r>
      <w:r w:rsidRPr="0064224D">
        <w:rPr>
          <w:rFonts w:cstheme="minorHAnsi"/>
        </w:rPr>
        <w:t xml:space="preserve">). In order to request </w:t>
      </w:r>
      <w:r w:rsidRPr="0064224D" w:rsidR="00DE5AAD">
        <w:rPr>
          <w:rFonts w:cstheme="minorHAnsi"/>
        </w:rPr>
        <w:t xml:space="preserve">data from </w:t>
      </w:r>
      <w:r w:rsidRPr="0064224D" w:rsidR="00DE5AAD">
        <w:rPr>
          <w:rFonts w:cstheme="minorHAnsi"/>
        </w:rPr>
        <w:t>dbGaP</w:t>
      </w:r>
      <w:r w:rsidRPr="0064224D" w:rsidR="00DE5AAD">
        <w:rPr>
          <w:rFonts w:cstheme="minorHAnsi"/>
        </w:rPr>
        <w:t>, a requester</w:t>
      </w:r>
      <w:r w:rsidRPr="0064224D">
        <w:rPr>
          <w:rFonts w:cstheme="minorHAnsi"/>
        </w:rPr>
        <w:t xml:space="preserve"> must complete a </w:t>
      </w:r>
      <w:r w:rsidRPr="0064224D" w:rsidR="00D55C32">
        <w:rPr>
          <w:rFonts w:cstheme="minorHAnsi"/>
        </w:rPr>
        <w:t>data access request (</w:t>
      </w:r>
      <w:r w:rsidRPr="0064224D">
        <w:rPr>
          <w:rFonts w:cstheme="minorHAnsi"/>
        </w:rPr>
        <w:t>DAR</w:t>
      </w:r>
      <w:r w:rsidRPr="0064224D" w:rsidR="00D55C32">
        <w:rPr>
          <w:rFonts w:cstheme="minorHAnsi"/>
        </w:rPr>
        <w:t>)</w:t>
      </w:r>
      <w:r w:rsidRPr="0064224D">
        <w:rPr>
          <w:rFonts w:cstheme="minorHAnsi"/>
        </w:rPr>
        <w:t xml:space="preserve"> form</w:t>
      </w:r>
      <w:r w:rsidRPr="0064224D" w:rsidR="001A63D6">
        <w:rPr>
          <w:rFonts w:cstheme="minorHAnsi"/>
        </w:rPr>
        <w:t xml:space="preserve"> of the project request</w:t>
      </w:r>
      <w:r w:rsidRPr="0064224D">
        <w:rPr>
          <w:rFonts w:cstheme="minorHAnsi"/>
        </w:rPr>
        <w:t xml:space="preserve">. This step also requires the </w:t>
      </w:r>
      <w:r w:rsidRPr="0064224D" w:rsidR="00D55C32">
        <w:rPr>
          <w:rFonts w:cstheme="minorHAnsi"/>
        </w:rPr>
        <w:t xml:space="preserve">Institutional </w:t>
      </w:r>
      <w:r w:rsidRPr="0064224D">
        <w:rPr>
          <w:rFonts w:cstheme="minorHAnsi"/>
        </w:rPr>
        <w:t>Signing Official to review th</w:t>
      </w:r>
      <w:r w:rsidRPr="0064224D" w:rsidR="00DE5AAD">
        <w:rPr>
          <w:rFonts w:cstheme="minorHAnsi"/>
        </w:rPr>
        <w:t>e DAR, and both the requester</w:t>
      </w:r>
      <w:r w:rsidRPr="0064224D">
        <w:rPr>
          <w:rFonts w:cstheme="minorHAnsi"/>
        </w:rPr>
        <w:t xml:space="preserve"> and </w:t>
      </w:r>
      <w:r w:rsidRPr="0064224D" w:rsidR="00D55C32">
        <w:rPr>
          <w:rFonts w:cstheme="minorHAnsi"/>
        </w:rPr>
        <w:t xml:space="preserve">Institutional </w:t>
      </w:r>
      <w:r w:rsidRPr="0064224D">
        <w:rPr>
          <w:rFonts w:cstheme="minorHAnsi"/>
        </w:rPr>
        <w:t xml:space="preserve">Signing Official must certify that they agree to the terms and conditions for use of the data and will adhere to the </w:t>
      </w:r>
      <w:r w:rsidRPr="0064224D" w:rsidR="00D55C32">
        <w:rPr>
          <w:rFonts w:cstheme="minorHAnsi"/>
        </w:rPr>
        <w:t xml:space="preserve">NIH </w:t>
      </w:r>
      <w:r w:rsidRPr="0064224D">
        <w:rPr>
          <w:rFonts w:cstheme="minorHAnsi"/>
        </w:rPr>
        <w:t>GDS Policy. Upon approval</w:t>
      </w:r>
      <w:r w:rsidRPr="0064224D" w:rsidR="00DE5AAD">
        <w:rPr>
          <w:rFonts w:cstheme="minorHAnsi"/>
        </w:rPr>
        <w:t xml:space="preserve"> of their request, requesters</w:t>
      </w:r>
      <w:r w:rsidRPr="0064224D">
        <w:rPr>
          <w:rFonts w:cstheme="minorHAnsi"/>
        </w:rPr>
        <w:t xml:space="preserve"> are granted access to the data for one year. At the end of the year, investigators who wish to continue to use the data must complete a </w:t>
      </w:r>
      <w:r w:rsidRPr="0064224D" w:rsidR="001A63D6">
        <w:rPr>
          <w:rFonts w:cstheme="minorHAnsi"/>
        </w:rPr>
        <w:t>Project Renewal</w:t>
      </w:r>
      <w:r w:rsidRPr="0064224D">
        <w:rPr>
          <w:rFonts w:cstheme="minorHAnsi"/>
        </w:rPr>
        <w:t xml:space="preserve"> to extend the access period for another year. Information from the original DAR is automatically i</w:t>
      </w:r>
      <w:r w:rsidRPr="0064224D" w:rsidR="00DE5AAD">
        <w:rPr>
          <w:rFonts w:cstheme="minorHAnsi"/>
        </w:rPr>
        <w:t>ncorporated into the requeste</w:t>
      </w:r>
      <w:r w:rsidRPr="0064224D">
        <w:rPr>
          <w:rFonts w:cstheme="minorHAnsi"/>
        </w:rPr>
        <w:t xml:space="preserve">r’s </w:t>
      </w:r>
      <w:r w:rsidRPr="0064224D" w:rsidR="001A63D6">
        <w:rPr>
          <w:rFonts w:cstheme="minorHAnsi"/>
        </w:rPr>
        <w:t>Project Renewal form</w:t>
      </w:r>
      <w:r w:rsidRPr="0064224D" w:rsidR="00DE5AAD">
        <w:rPr>
          <w:rFonts w:cstheme="minorHAnsi"/>
        </w:rPr>
        <w:t>, and the requester</w:t>
      </w:r>
      <w:r w:rsidRPr="0064224D">
        <w:rPr>
          <w:rFonts w:cstheme="minorHAnsi"/>
        </w:rPr>
        <w:t xml:space="preserve"> provides additional information such as a description of research progress, publications, presentations, and intellectual property that are based on the secondary use of </w:t>
      </w:r>
      <w:r w:rsidRPr="0064224D">
        <w:rPr>
          <w:rFonts w:cstheme="minorHAnsi"/>
        </w:rPr>
        <w:t>dbGaP</w:t>
      </w:r>
      <w:r w:rsidRPr="0064224D">
        <w:rPr>
          <w:rFonts w:cstheme="minorHAnsi"/>
        </w:rPr>
        <w:t xml:space="preserve"> data.</w:t>
      </w:r>
    </w:p>
    <w:p w:rsidR="00562D19" w:rsidRPr="0064224D" w:rsidP="00562D19" w14:paraId="7311B40C" w14:textId="13C49546">
      <w:pPr>
        <w:rPr>
          <w:rFonts w:cstheme="minorHAnsi"/>
        </w:rPr>
      </w:pPr>
      <w:r w:rsidRPr="0064224D">
        <w:rPr>
          <w:rFonts w:cstheme="minorHAnsi"/>
        </w:rPr>
        <w:t xml:space="preserve">Requesters who do not wish to renew their access request are expected to complete a </w:t>
      </w:r>
      <w:r w:rsidRPr="0064224D" w:rsidR="001A63D6">
        <w:rPr>
          <w:rFonts w:cstheme="minorHAnsi"/>
        </w:rPr>
        <w:t>Project Close-out</w:t>
      </w:r>
      <w:r w:rsidRPr="0064224D">
        <w:rPr>
          <w:rFonts w:cstheme="minorHAnsi"/>
        </w:rPr>
        <w:t xml:space="preserve">. Information from the original DAR or </w:t>
      </w:r>
      <w:r w:rsidRPr="0064224D" w:rsidR="001A63D6">
        <w:rPr>
          <w:rFonts w:cstheme="minorHAnsi"/>
        </w:rPr>
        <w:t>Project Renewal</w:t>
      </w:r>
      <w:r w:rsidRPr="0064224D">
        <w:rPr>
          <w:rFonts w:cstheme="minorHAnsi"/>
        </w:rPr>
        <w:t xml:space="preserve"> is automatically incorporated into the </w:t>
      </w:r>
      <w:r w:rsidRPr="0064224D" w:rsidR="001A63D6">
        <w:rPr>
          <w:rFonts w:cstheme="minorHAnsi"/>
        </w:rPr>
        <w:t>Project Close-out form</w:t>
      </w:r>
      <w:r w:rsidRPr="0064224D">
        <w:rPr>
          <w:rFonts w:cstheme="minorHAnsi"/>
        </w:rPr>
        <w:t xml:space="preserve">, and the requester provides additional information such as a description of publications, presentations, and intellectual property that are based on the secondary use of </w:t>
      </w:r>
      <w:r w:rsidRPr="0064224D">
        <w:rPr>
          <w:rFonts w:cstheme="minorHAnsi"/>
        </w:rPr>
        <w:t>dbGaP</w:t>
      </w:r>
      <w:r w:rsidRPr="0064224D">
        <w:rPr>
          <w:rFonts w:cstheme="minorHAnsi"/>
        </w:rPr>
        <w:t xml:space="preserve"> data. Completion of the </w:t>
      </w:r>
      <w:r w:rsidRPr="0064224D" w:rsidR="001A63D6">
        <w:rPr>
          <w:rFonts w:cstheme="minorHAnsi"/>
        </w:rPr>
        <w:t>Project Close-out</w:t>
      </w:r>
      <w:r w:rsidRPr="0064224D">
        <w:rPr>
          <w:rFonts w:cstheme="minorHAnsi"/>
        </w:rPr>
        <w:t xml:space="preserve"> provides NIH with information on final project outcomes, and also provides the oversight mechanism by which the </w:t>
      </w:r>
      <w:r w:rsidRPr="0064224D" w:rsidR="00D55C32">
        <w:rPr>
          <w:rFonts w:cstheme="minorHAnsi"/>
        </w:rPr>
        <w:t xml:space="preserve">Institutional </w:t>
      </w:r>
      <w:r w:rsidRPr="0064224D">
        <w:rPr>
          <w:rFonts w:cstheme="minorHAnsi"/>
        </w:rPr>
        <w:t xml:space="preserve">Signing Official confirms that the project has been discontinued and </w:t>
      </w:r>
      <w:r w:rsidRPr="0064224D" w:rsidR="001A63D6">
        <w:rPr>
          <w:rFonts w:cstheme="minorHAnsi"/>
        </w:rPr>
        <w:t xml:space="preserve">that </w:t>
      </w:r>
      <w:r w:rsidRPr="0064224D" w:rsidR="001A63D6">
        <w:rPr>
          <w:rFonts w:cstheme="minorHAnsi"/>
          <w:color w:val="000000"/>
        </w:rPr>
        <w:t xml:space="preserve">all copies, versions, and </w:t>
      </w:r>
      <w:r w:rsidRPr="0064224D" w:rsidR="001645AD">
        <w:rPr>
          <w:rFonts w:cstheme="minorHAnsi"/>
          <w:color w:val="000000"/>
        </w:rPr>
        <w:t>data d</w:t>
      </w:r>
      <w:r w:rsidRPr="0064224D" w:rsidR="001A63D6">
        <w:rPr>
          <w:rFonts w:cstheme="minorHAnsi"/>
          <w:color w:val="000000"/>
        </w:rPr>
        <w:t xml:space="preserve">erivatives of the dataset(s), on </w:t>
      </w:r>
      <w:r w:rsidRPr="0064224D" w:rsidR="001645AD">
        <w:rPr>
          <w:rFonts w:cstheme="minorHAnsi"/>
          <w:color w:val="000000"/>
        </w:rPr>
        <w:t>both local servers and hardware, have been deleted</w:t>
      </w:r>
      <w:r w:rsidRPr="0064224D" w:rsidR="001D7068">
        <w:rPr>
          <w:rFonts w:cstheme="minorHAnsi"/>
          <w:color w:val="000000"/>
        </w:rPr>
        <w:t xml:space="preserve"> to maintain privacy and assure secure data destruction</w:t>
      </w:r>
      <w:r w:rsidRPr="0064224D">
        <w:rPr>
          <w:rFonts w:cstheme="minorHAnsi"/>
        </w:rPr>
        <w:t>.</w:t>
      </w:r>
    </w:p>
    <w:p w:rsidR="00EC42F9" w:rsidRPr="0064224D" w:rsidP="00EC42F9" w14:paraId="0D299877" w14:textId="6B23FFD7">
      <w:pPr>
        <w:rPr>
          <w:rFonts w:cstheme="minorHAnsi"/>
        </w:rPr>
      </w:pPr>
      <w:r w:rsidRPr="0064224D">
        <w:rPr>
          <w:rFonts w:cstheme="minorHAnsi"/>
          <w:b/>
        </w:rPr>
        <w:t xml:space="preserve">A.12-1 </w:t>
      </w:r>
      <w:bookmarkStart w:id="1" w:name="_Hlk112244857"/>
      <w:r w:rsidRPr="0064224D">
        <w:rPr>
          <w:rFonts w:cstheme="minorHAnsi"/>
          <w:b/>
        </w:rPr>
        <w:t>Estimated Annualized Burden Hours</w:t>
      </w:r>
    </w:p>
    <w:tbl>
      <w:tblPr>
        <w:tblW w:w="4865" w:type="pct"/>
        <w:tblCellMar>
          <w:left w:w="120" w:type="dxa"/>
          <w:right w:w="120" w:type="dxa"/>
        </w:tblCellMar>
        <w:tblLook w:val="0000"/>
      </w:tblPr>
      <w:tblGrid>
        <w:gridCol w:w="1453"/>
        <w:gridCol w:w="1547"/>
        <w:gridCol w:w="2009"/>
        <w:gridCol w:w="1454"/>
        <w:gridCol w:w="1201"/>
        <w:gridCol w:w="1434"/>
      </w:tblGrid>
      <w:tr w14:paraId="1B020C1A" w14:textId="77777777" w:rsidTr="00D15C06">
        <w:tblPrEx>
          <w:tblW w:w="4865" w:type="pct"/>
          <w:tblCellMar>
            <w:left w:w="120" w:type="dxa"/>
            <w:right w:w="120" w:type="dxa"/>
          </w:tblCellMar>
          <w:tblLook w:val="0000"/>
        </w:tblPrEx>
        <w:trPr>
          <w:cantSplit/>
          <w:trHeight w:val="1186"/>
        </w:trPr>
        <w:tc>
          <w:tcPr>
            <w:tcW w:w="799" w:type="pct"/>
            <w:tcBorders>
              <w:top w:val="single" w:sz="6" w:space="0" w:color="auto"/>
              <w:left w:val="single" w:sz="4" w:space="0" w:color="auto"/>
            </w:tcBorders>
            <w:shd w:val="clear" w:color="auto" w:fill="auto"/>
            <w:vAlign w:val="bottom"/>
          </w:tcPr>
          <w:p w:rsidR="00EC42F9" w:rsidRPr="0064224D" w:rsidP="005324F5" w14:paraId="34AD9657" w14:textId="14654EFC">
            <w:pPr>
              <w:jc w:val="center"/>
              <w:rPr>
                <w:rFonts w:cstheme="minorHAnsi"/>
                <w:b/>
                <w:bCs/>
              </w:rPr>
            </w:pPr>
            <w:r w:rsidRPr="0064224D">
              <w:rPr>
                <w:rFonts w:cstheme="minorHAnsi"/>
                <w:b/>
                <w:bCs/>
              </w:rPr>
              <w:t>Form Name</w:t>
            </w:r>
          </w:p>
        </w:tc>
        <w:tc>
          <w:tcPr>
            <w:tcW w:w="850" w:type="pct"/>
            <w:tcBorders>
              <w:top w:val="single" w:sz="6" w:space="0" w:color="auto"/>
              <w:left w:val="single" w:sz="6" w:space="0" w:color="auto"/>
              <w:right w:val="single" w:sz="6" w:space="0" w:color="auto"/>
            </w:tcBorders>
            <w:vAlign w:val="bottom"/>
          </w:tcPr>
          <w:p w:rsidR="00EC42F9" w:rsidRPr="0064224D" w:rsidP="005324F5" w14:paraId="026D53BD" w14:textId="77777777">
            <w:pPr>
              <w:jc w:val="center"/>
              <w:rPr>
                <w:rFonts w:cstheme="minorHAnsi"/>
                <w:b/>
                <w:bCs/>
              </w:rPr>
            </w:pPr>
            <w:r w:rsidRPr="0064224D">
              <w:rPr>
                <w:rFonts w:cstheme="minorHAnsi"/>
                <w:b/>
                <w:bCs/>
              </w:rPr>
              <w:t>Type of Respondents</w:t>
            </w:r>
          </w:p>
        </w:tc>
        <w:tc>
          <w:tcPr>
            <w:tcW w:w="1104" w:type="pct"/>
            <w:tcBorders>
              <w:top w:val="single" w:sz="6" w:space="0" w:color="auto"/>
              <w:left w:val="single" w:sz="6" w:space="0" w:color="auto"/>
            </w:tcBorders>
            <w:shd w:val="clear" w:color="auto" w:fill="auto"/>
            <w:vAlign w:val="bottom"/>
          </w:tcPr>
          <w:p w:rsidR="00EC42F9" w:rsidRPr="0064224D" w:rsidP="005324F5" w14:paraId="37321BC1" w14:textId="77777777">
            <w:pPr>
              <w:jc w:val="center"/>
              <w:rPr>
                <w:rFonts w:cstheme="minorHAnsi"/>
                <w:b/>
                <w:bCs/>
              </w:rPr>
            </w:pPr>
            <w:r w:rsidRPr="0064224D">
              <w:rPr>
                <w:rFonts w:cstheme="minorHAnsi"/>
                <w:b/>
                <w:bCs/>
              </w:rPr>
              <w:t>Number of Respondents</w:t>
            </w:r>
          </w:p>
        </w:tc>
        <w:tc>
          <w:tcPr>
            <w:tcW w:w="799" w:type="pct"/>
            <w:tcBorders>
              <w:top w:val="single" w:sz="6" w:space="0" w:color="auto"/>
              <w:left w:val="single" w:sz="6" w:space="0" w:color="auto"/>
            </w:tcBorders>
            <w:shd w:val="clear" w:color="auto" w:fill="auto"/>
            <w:vAlign w:val="bottom"/>
          </w:tcPr>
          <w:p w:rsidR="00EC42F9" w:rsidRPr="0064224D" w:rsidP="005324F5" w14:paraId="185F8765" w14:textId="77777777">
            <w:pPr>
              <w:jc w:val="center"/>
              <w:rPr>
                <w:rFonts w:cstheme="minorHAnsi"/>
                <w:b/>
                <w:bCs/>
              </w:rPr>
            </w:pPr>
            <w:r w:rsidRPr="0064224D">
              <w:rPr>
                <w:rFonts w:cstheme="minorHAnsi"/>
                <w:b/>
                <w:bCs/>
              </w:rPr>
              <w:t>Number of Responses per Respondent</w:t>
            </w:r>
          </w:p>
        </w:tc>
        <w:tc>
          <w:tcPr>
            <w:tcW w:w="660" w:type="pct"/>
            <w:tcBorders>
              <w:top w:val="single" w:sz="6" w:space="0" w:color="auto"/>
              <w:left w:val="single" w:sz="6" w:space="0" w:color="auto"/>
            </w:tcBorders>
            <w:shd w:val="clear" w:color="auto" w:fill="auto"/>
            <w:vAlign w:val="bottom"/>
          </w:tcPr>
          <w:p w:rsidR="00EC42F9" w:rsidRPr="0064224D" w:rsidP="005324F5" w14:paraId="23D9F4BA" w14:textId="77777777">
            <w:pPr>
              <w:tabs>
                <w:tab w:val="right" w:pos="2361"/>
              </w:tabs>
              <w:jc w:val="center"/>
              <w:rPr>
                <w:rFonts w:cstheme="minorHAnsi"/>
                <w:b/>
                <w:bCs/>
              </w:rPr>
            </w:pPr>
            <w:r w:rsidRPr="0064224D">
              <w:rPr>
                <w:rFonts w:cstheme="minorHAnsi"/>
                <w:b/>
                <w:bCs/>
              </w:rPr>
              <w:t>Average Burden Per  Response (in hours)</w:t>
            </w:r>
          </w:p>
        </w:tc>
        <w:tc>
          <w:tcPr>
            <w:tcW w:w="788" w:type="pct"/>
            <w:tcBorders>
              <w:top w:val="single" w:sz="6" w:space="0" w:color="auto"/>
              <w:left w:val="single" w:sz="6" w:space="0" w:color="auto"/>
              <w:right w:val="single" w:sz="4" w:space="0" w:color="auto"/>
            </w:tcBorders>
            <w:shd w:val="clear" w:color="auto" w:fill="auto"/>
            <w:vAlign w:val="bottom"/>
          </w:tcPr>
          <w:p w:rsidR="00EC42F9" w:rsidRPr="0064224D" w:rsidP="005324F5" w14:paraId="7B8E3E89" w14:textId="0D93D74B">
            <w:pPr>
              <w:jc w:val="center"/>
              <w:rPr>
                <w:rFonts w:cstheme="minorHAnsi"/>
                <w:b/>
                <w:bCs/>
              </w:rPr>
            </w:pPr>
            <w:r w:rsidRPr="0064224D">
              <w:rPr>
                <w:rFonts w:cstheme="minorHAnsi"/>
                <w:b/>
                <w:bCs/>
              </w:rPr>
              <w:t>Total Annual Burden Hours</w:t>
            </w:r>
          </w:p>
        </w:tc>
      </w:tr>
      <w:tr w14:paraId="2918B07F" w14:textId="77777777" w:rsidTr="00D15C06">
        <w:tblPrEx>
          <w:tblW w:w="4865" w:type="pct"/>
          <w:tblCellMar>
            <w:left w:w="120" w:type="dxa"/>
            <w:right w:w="120" w:type="dxa"/>
          </w:tblCellMar>
          <w:tblLook w:val="0000"/>
        </w:tblPrEx>
        <w:trPr>
          <w:cantSplit/>
          <w:trHeight w:val="552"/>
        </w:trPr>
        <w:tc>
          <w:tcPr>
            <w:tcW w:w="5000" w:type="pct"/>
            <w:gridSpan w:val="6"/>
            <w:tcBorders>
              <w:top w:val="single" w:sz="6" w:space="0" w:color="auto"/>
              <w:left w:val="single" w:sz="4" w:space="0" w:color="auto"/>
              <w:right w:val="single" w:sz="4" w:space="0" w:color="auto"/>
            </w:tcBorders>
            <w:shd w:val="clear" w:color="auto" w:fill="auto"/>
            <w:vAlign w:val="bottom"/>
          </w:tcPr>
          <w:p w:rsidR="00EC42F9" w:rsidRPr="0064224D" w:rsidP="000D583C" w14:paraId="212BD1B4" w14:textId="55AE1D17">
            <w:pPr>
              <w:rPr>
                <w:rFonts w:cstheme="minorHAnsi"/>
                <w:b/>
                <w:bCs/>
              </w:rPr>
            </w:pPr>
            <w:r w:rsidRPr="0064224D">
              <w:rPr>
                <w:rFonts w:cstheme="minorHAnsi"/>
                <w:b/>
                <w:bCs/>
              </w:rPr>
              <w:t>Study Registration and Data Submission</w:t>
            </w:r>
          </w:p>
        </w:tc>
      </w:tr>
      <w:tr w14:paraId="328FA6EF" w14:textId="77777777" w:rsidTr="00D15C06">
        <w:tblPrEx>
          <w:tblW w:w="4865" w:type="pct"/>
          <w:tblCellMar>
            <w:left w:w="120" w:type="dxa"/>
            <w:right w:w="120" w:type="dxa"/>
          </w:tblCellMar>
          <w:tblLook w:val="0000"/>
        </w:tblPrEx>
        <w:trPr>
          <w:cantSplit/>
          <w:trHeight w:val="50"/>
        </w:trPr>
        <w:tc>
          <w:tcPr>
            <w:tcW w:w="799" w:type="pct"/>
            <w:tcBorders>
              <w:top w:val="single" w:sz="6" w:space="0" w:color="auto"/>
              <w:left w:val="single" w:sz="4" w:space="0" w:color="auto"/>
            </w:tcBorders>
            <w:shd w:val="clear" w:color="auto" w:fill="auto"/>
            <w:vAlign w:val="bottom"/>
          </w:tcPr>
          <w:p w:rsidR="00AC6A09" w:rsidRPr="0064224D" w:rsidP="00AC6A09" w14:paraId="3896FE83" w14:textId="1C643CA9">
            <w:pPr>
              <w:jc w:val="center"/>
              <w:rPr>
                <w:rFonts w:cstheme="minorHAnsi"/>
              </w:rPr>
            </w:pPr>
            <w:r w:rsidRPr="0064224D">
              <w:rPr>
                <w:rFonts w:cstheme="minorHAnsi"/>
              </w:rPr>
              <w:t>dbGaP</w:t>
            </w:r>
            <w:r w:rsidRPr="0064224D">
              <w:rPr>
                <w:rFonts w:cstheme="minorHAnsi"/>
              </w:rPr>
              <w:t xml:space="preserve"> Registration and Submission</w:t>
            </w:r>
          </w:p>
        </w:tc>
        <w:tc>
          <w:tcPr>
            <w:tcW w:w="850" w:type="pct"/>
            <w:tcBorders>
              <w:top w:val="single" w:sz="6" w:space="0" w:color="auto"/>
              <w:left w:val="single" w:sz="6" w:space="0" w:color="auto"/>
              <w:right w:val="single" w:sz="6" w:space="0" w:color="auto"/>
            </w:tcBorders>
            <w:vAlign w:val="bottom"/>
          </w:tcPr>
          <w:p w:rsidR="006B2516" w:rsidRPr="0064224D" w:rsidP="00AC6A09" w14:paraId="032A4BFE" w14:textId="77777777">
            <w:pPr>
              <w:jc w:val="center"/>
              <w:rPr>
                <w:rFonts w:cstheme="minorHAnsi"/>
              </w:rPr>
            </w:pPr>
            <w:r w:rsidRPr="0064224D">
              <w:rPr>
                <w:rFonts w:cstheme="minorHAnsi"/>
              </w:rPr>
              <w:t>Investigator Submitting Data</w:t>
            </w:r>
          </w:p>
          <w:p w:rsidR="00AC6A09" w:rsidRPr="0064224D" w:rsidP="00AC6A09" w14:paraId="13AEC2DB" w14:textId="2CB7DBD7">
            <w:pPr>
              <w:jc w:val="center"/>
              <w:rPr>
                <w:rFonts w:cstheme="minorHAnsi"/>
              </w:rPr>
            </w:pPr>
            <w:r w:rsidRPr="0064224D">
              <w:rPr>
                <w:rFonts w:cstheme="minorHAnsi"/>
              </w:rPr>
              <w:t xml:space="preserve"> </w:t>
            </w:r>
          </w:p>
        </w:tc>
        <w:tc>
          <w:tcPr>
            <w:tcW w:w="1104" w:type="pct"/>
            <w:tcBorders>
              <w:top w:val="single" w:sz="6" w:space="0" w:color="auto"/>
              <w:left w:val="single" w:sz="6" w:space="0" w:color="auto"/>
            </w:tcBorders>
            <w:shd w:val="clear" w:color="auto" w:fill="auto"/>
            <w:vAlign w:val="center"/>
          </w:tcPr>
          <w:p w:rsidR="00AC6A09" w:rsidRPr="0064224D" w:rsidP="00AC6A09" w14:paraId="3276082D" w14:textId="145530E1">
            <w:pPr>
              <w:jc w:val="center"/>
              <w:rPr>
                <w:rFonts w:cstheme="minorHAnsi"/>
              </w:rPr>
            </w:pPr>
            <w:r w:rsidRPr="0064224D">
              <w:rPr>
                <w:rFonts w:cstheme="minorHAnsi"/>
                <w:color w:val="000000"/>
              </w:rPr>
              <w:t>1,050</w:t>
            </w:r>
          </w:p>
        </w:tc>
        <w:tc>
          <w:tcPr>
            <w:tcW w:w="799" w:type="pct"/>
            <w:tcBorders>
              <w:top w:val="single" w:sz="6" w:space="0" w:color="auto"/>
              <w:left w:val="single" w:sz="6" w:space="0" w:color="auto"/>
            </w:tcBorders>
            <w:shd w:val="clear" w:color="auto" w:fill="auto"/>
            <w:vAlign w:val="center"/>
          </w:tcPr>
          <w:p w:rsidR="00AC6A09" w:rsidRPr="0064224D" w:rsidP="00AC6A09" w14:paraId="75247E29" w14:textId="0968E731">
            <w:pPr>
              <w:jc w:val="center"/>
              <w:rPr>
                <w:rFonts w:cstheme="minorHAnsi"/>
              </w:rPr>
            </w:pPr>
            <w:r w:rsidRPr="0064224D">
              <w:rPr>
                <w:rFonts w:cstheme="minorHAnsi"/>
                <w:color w:val="000000"/>
              </w:rPr>
              <w:t>1</w:t>
            </w:r>
          </w:p>
        </w:tc>
        <w:tc>
          <w:tcPr>
            <w:tcW w:w="660" w:type="pct"/>
            <w:tcBorders>
              <w:top w:val="single" w:sz="6" w:space="0" w:color="auto"/>
              <w:left w:val="single" w:sz="6" w:space="0" w:color="auto"/>
            </w:tcBorders>
            <w:shd w:val="clear" w:color="auto" w:fill="auto"/>
            <w:vAlign w:val="center"/>
          </w:tcPr>
          <w:p w:rsidR="00AC6A09" w:rsidRPr="0064224D" w:rsidP="00AC6A09" w14:paraId="1408E69B" w14:textId="20B32E25">
            <w:pPr>
              <w:jc w:val="center"/>
              <w:rPr>
                <w:rFonts w:cstheme="minorHAnsi"/>
              </w:rPr>
            </w:pPr>
            <w:r w:rsidRPr="0064224D">
              <w:rPr>
                <w:rFonts w:cstheme="minorHAnsi"/>
                <w:color w:val="000000"/>
              </w:rPr>
              <w:t>1</w:t>
            </w:r>
          </w:p>
        </w:tc>
        <w:tc>
          <w:tcPr>
            <w:tcW w:w="788" w:type="pct"/>
            <w:tcBorders>
              <w:top w:val="single" w:sz="6" w:space="0" w:color="auto"/>
              <w:left w:val="single" w:sz="6" w:space="0" w:color="auto"/>
              <w:right w:val="single" w:sz="4" w:space="0" w:color="auto"/>
            </w:tcBorders>
            <w:shd w:val="clear" w:color="auto" w:fill="auto"/>
            <w:vAlign w:val="center"/>
          </w:tcPr>
          <w:p w:rsidR="00AC6A09" w:rsidRPr="0064224D" w:rsidP="00AC6A09" w14:paraId="34837797" w14:textId="4118D28C">
            <w:pPr>
              <w:jc w:val="center"/>
              <w:rPr>
                <w:rFonts w:cstheme="minorHAnsi"/>
              </w:rPr>
            </w:pPr>
            <w:r w:rsidRPr="0064224D">
              <w:rPr>
                <w:rFonts w:cstheme="minorHAnsi"/>
                <w:color w:val="000000"/>
              </w:rPr>
              <w:t xml:space="preserve">1050 </w:t>
            </w:r>
          </w:p>
        </w:tc>
      </w:tr>
      <w:tr w14:paraId="40CE07E0" w14:textId="77777777" w:rsidTr="00D15C06">
        <w:tblPrEx>
          <w:tblW w:w="4865" w:type="pct"/>
          <w:tblCellMar>
            <w:left w:w="120" w:type="dxa"/>
            <w:right w:w="120" w:type="dxa"/>
          </w:tblCellMar>
          <w:tblLook w:val="0000"/>
        </w:tblPrEx>
        <w:trPr>
          <w:cantSplit/>
          <w:trHeight w:val="50"/>
        </w:trPr>
        <w:tc>
          <w:tcPr>
            <w:tcW w:w="799" w:type="pct"/>
            <w:tcBorders>
              <w:top w:val="single" w:sz="6" w:space="0" w:color="auto"/>
              <w:left w:val="single" w:sz="4" w:space="0" w:color="auto"/>
            </w:tcBorders>
            <w:shd w:val="clear" w:color="auto" w:fill="auto"/>
            <w:vAlign w:val="bottom"/>
          </w:tcPr>
          <w:p w:rsidR="00BF5FC6" w:rsidRPr="0064224D" w:rsidP="00AC6A09" w14:paraId="4836A7B3" w14:textId="1C8AE087">
            <w:pPr>
              <w:jc w:val="center"/>
              <w:rPr>
                <w:rFonts w:cstheme="minorHAnsi"/>
              </w:rPr>
            </w:pPr>
            <w:r w:rsidRPr="0064224D">
              <w:rPr>
                <w:rFonts w:cstheme="minorHAnsi"/>
              </w:rPr>
              <w:t>Institutional Certification</w:t>
            </w:r>
          </w:p>
        </w:tc>
        <w:tc>
          <w:tcPr>
            <w:tcW w:w="850" w:type="pct"/>
            <w:tcBorders>
              <w:top w:val="single" w:sz="6" w:space="0" w:color="auto"/>
              <w:left w:val="single" w:sz="6" w:space="0" w:color="auto"/>
              <w:right w:val="single" w:sz="6" w:space="0" w:color="auto"/>
            </w:tcBorders>
            <w:vAlign w:val="bottom"/>
          </w:tcPr>
          <w:p w:rsidR="00BF5FC6" w:rsidRPr="0064224D" w:rsidP="00AC6A09" w14:paraId="73CC53E4" w14:textId="6D2CC5CA">
            <w:pPr>
              <w:jc w:val="center"/>
              <w:rPr>
                <w:rFonts w:cstheme="minorHAnsi"/>
              </w:rPr>
            </w:pPr>
            <w:r w:rsidRPr="0064224D">
              <w:rPr>
                <w:rFonts w:cstheme="minorHAnsi"/>
              </w:rPr>
              <w:t>Investigator filling out Institutional Certification</w:t>
            </w:r>
          </w:p>
        </w:tc>
        <w:tc>
          <w:tcPr>
            <w:tcW w:w="1104" w:type="pct"/>
            <w:tcBorders>
              <w:top w:val="single" w:sz="6" w:space="0" w:color="auto"/>
              <w:left w:val="single" w:sz="6" w:space="0" w:color="auto"/>
            </w:tcBorders>
            <w:shd w:val="clear" w:color="auto" w:fill="auto"/>
            <w:vAlign w:val="center"/>
          </w:tcPr>
          <w:p w:rsidR="00BF5FC6" w:rsidRPr="0064224D" w:rsidP="00AC6A09" w14:paraId="00BB582E" w14:textId="4EA72E96">
            <w:pPr>
              <w:jc w:val="center"/>
              <w:rPr>
                <w:rFonts w:cstheme="minorHAnsi"/>
                <w:color w:val="000000"/>
              </w:rPr>
            </w:pPr>
            <w:r w:rsidRPr="0064224D">
              <w:rPr>
                <w:rFonts w:cstheme="minorHAnsi"/>
                <w:color w:val="000000"/>
              </w:rPr>
              <w:t>1,050</w:t>
            </w:r>
          </w:p>
        </w:tc>
        <w:tc>
          <w:tcPr>
            <w:tcW w:w="799" w:type="pct"/>
            <w:tcBorders>
              <w:top w:val="single" w:sz="6" w:space="0" w:color="auto"/>
              <w:left w:val="single" w:sz="6" w:space="0" w:color="auto"/>
            </w:tcBorders>
            <w:shd w:val="clear" w:color="auto" w:fill="auto"/>
            <w:vAlign w:val="center"/>
          </w:tcPr>
          <w:p w:rsidR="00BF5FC6" w:rsidRPr="0064224D" w:rsidP="00AC6A09" w14:paraId="2E32840D" w14:textId="7EB32155">
            <w:pPr>
              <w:jc w:val="center"/>
              <w:rPr>
                <w:rFonts w:cstheme="minorHAnsi"/>
                <w:color w:val="000000"/>
              </w:rPr>
            </w:pPr>
            <w:r w:rsidRPr="0064224D">
              <w:rPr>
                <w:rFonts w:cstheme="minorHAnsi"/>
                <w:color w:val="000000"/>
              </w:rPr>
              <w:t>1</w:t>
            </w:r>
          </w:p>
        </w:tc>
        <w:tc>
          <w:tcPr>
            <w:tcW w:w="660" w:type="pct"/>
            <w:tcBorders>
              <w:top w:val="single" w:sz="6" w:space="0" w:color="auto"/>
              <w:left w:val="single" w:sz="6" w:space="0" w:color="auto"/>
            </w:tcBorders>
            <w:shd w:val="clear" w:color="auto" w:fill="auto"/>
            <w:vAlign w:val="center"/>
          </w:tcPr>
          <w:p w:rsidR="00BF5FC6" w:rsidRPr="0064224D" w:rsidP="00AC6A09" w14:paraId="6300A80F" w14:textId="15677E2E">
            <w:pPr>
              <w:jc w:val="center"/>
              <w:rPr>
                <w:rFonts w:cstheme="minorHAnsi"/>
                <w:color w:val="000000"/>
              </w:rPr>
            </w:pPr>
            <w:r w:rsidRPr="0064224D">
              <w:rPr>
                <w:rFonts w:cstheme="minorHAnsi"/>
                <w:color w:val="000000"/>
              </w:rPr>
              <w:t>45/60</w:t>
            </w:r>
          </w:p>
        </w:tc>
        <w:tc>
          <w:tcPr>
            <w:tcW w:w="788" w:type="pct"/>
            <w:tcBorders>
              <w:top w:val="single" w:sz="6" w:space="0" w:color="auto"/>
              <w:left w:val="single" w:sz="6" w:space="0" w:color="auto"/>
              <w:right w:val="single" w:sz="4" w:space="0" w:color="auto"/>
            </w:tcBorders>
            <w:shd w:val="clear" w:color="auto" w:fill="auto"/>
            <w:vAlign w:val="center"/>
          </w:tcPr>
          <w:p w:rsidR="00BF5FC6" w:rsidRPr="0064224D" w:rsidP="00AC6A09" w14:paraId="2B3C3BC7" w14:textId="42654FF8">
            <w:pPr>
              <w:jc w:val="center"/>
              <w:rPr>
                <w:rFonts w:cstheme="minorHAnsi"/>
                <w:color w:val="000000"/>
              </w:rPr>
            </w:pPr>
            <w:r w:rsidRPr="0064224D">
              <w:rPr>
                <w:rFonts w:cstheme="minorHAnsi"/>
                <w:color w:val="000000"/>
              </w:rPr>
              <w:t>788</w:t>
            </w:r>
          </w:p>
        </w:tc>
      </w:tr>
      <w:tr w14:paraId="70BBF127"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tcBorders>
            <w:shd w:val="clear" w:color="auto" w:fill="auto"/>
            <w:vAlign w:val="bottom"/>
          </w:tcPr>
          <w:p w:rsidR="00AC6A09" w:rsidRPr="0064224D" w:rsidP="00AC6A09" w14:paraId="4C03F8D0" w14:textId="6143D77E">
            <w:pPr>
              <w:jc w:val="center"/>
              <w:rPr>
                <w:rFonts w:cstheme="minorHAnsi"/>
              </w:rPr>
            </w:pPr>
            <w:r w:rsidRPr="0064224D">
              <w:rPr>
                <w:rFonts w:cstheme="minorHAnsi"/>
              </w:rPr>
              <w:t>Institutional Certification</w:t>
            </w:r>
          </w:p>
        </w:tc>
        <w:tc>
          <w:tcPr>
            <w:tcW w:w="850" w:type="pct"/>
            <w:tcBorders>
              <w:top w:val="single" w:sz="6" w:space="0" w:color="auto"/>
              <w:left w:val="single" w:sz="6" w:space="0" w:color="auto"/>
              <w:right w:val="single" w:sz="6" w:space="0" w:color="auto"/>
            </w:tcBorders>
            <w:vAlign w:val="bottom"/>
          </w:tcPr>
          <w:p w:rsidR="00AC6A09" w:rsidRPr="0064224D" w:rsidP="00AC6A09" w14:paraId="4F6D232C" w14:textId="1052D2C9">
            <w:pPr>
              <w:jc w:val="center"/>
              <w:rPr>
                <w:rFonts w:cstheme="minorHAnsi"/>
              </w:rPr>
            </w:pPr>
            <w:r w:rsidRPr="0064224D">
              <w:rPr>
                <w:rFonts w:cstheme="minorHAnsi"/>
              </w:rPr>
              <w:t>Institutional Official to Certify Submission</w:t>
            </w:r>
          </w:p>
        </w:tc>
        <w:tc>
          <w:tcPr>
            <w:tcW w:w="1104" w:type="pct"/>
            <w:tcBorders>
              <w:top w:val="single" w:sz="6" w:space="0" w:color="auto"/>
              <w:left w:val="single" w:sz="6" w:space="0" w:color="auto"/>
            </w:tcBorders>
            <w:shd w:val="clear" w:color="auto" w:fill="auto"/>
            <w:vAlign w:val="center"/>
          </w:tcPr>
          <w:p w:rsidR="00AC6A09" w:rsidRPr="0064224D" w:rsidP="00AC6A09" w14:paraId="28EB2022" w14:textId="525D8D11">
            <w:pPr>
              <w:jc w:val="center"/>
              <w:rPr>
                <w:rFonts w:cstheme="minorHAnsi"/>
              </w:rPr>
            </w:pPr>
            <w:r w:rsidRPr="0064224D">
              <w:rPr>
                <w:rFonts w:cstheme="minorHAnsi"/>
                <w:color w:val="000000"/>
              </w:rPr>
              <w:t>1,050</w:t>
            </w:r>
          </w:p>
        </w:tc>
        <w:tc>
          <w:tcPr>
            <w:tcW w:w="799" w:type="pct"/>
            <w:tcBorders>
              <w:top w:val="single" w:sz="6" w:space="0" w:color="auto"/>
              <w:left w:val="single" w:sz="6" w:space="0" w:color="auto"/>
            </w:tcBorders>
            <w:shd w:val="clear" w:color="auto" w:fill="auto"/>
            <w:vAlign w:val="center"/>
          </w:tcPr>
          <w:p w:rsidR="00AC6A09" w:rsidRPr="0064224D" w:rsidP="00AC6A09" w14:paraId="5F3C8753" w14:textId="2A2AB90C">
            <w:pPr>
              <w:jc w:val="center"/>
              <w:rPr>
                <w:rFonts w:cstheme="minorHAnsi"/>
              </w:rPr>
            </w:pPr>
            <w:r w:rsidRPr="0064224D">
              <w:rPr>
                <w:rFonts w:cstheme="minorHAnsi"/>
                <w:color w:val="000000"/>
              </w:rPr>
              <w:t>1</w:t>
            </w:r>
          </w:p>
        </w:tc>
        <w:tc>
          <w:tcPr>
            <w:tcW w:w="660" w:type="pct"/>
            <w:tcBorders>
              <w:top w:val="single" w:sz="6" w:space="0" w:color="auto"/>
              <w:left w:val="single" w:sz="6" w:space="0" w:color="auto"/>
            </w:tcBorders>
            <w:shd w:val="clear" w:color="auto" w:fill="auto"/>
            <w:vAlign w:val="center"/>
          </w:tcPr>
          <w:p w:rsidR="00AC6A09" w:rsidRPr="0064224D" w:rsidP="00AC6A09" w14:paraId="3020663A" w14:textId="6FBBF136">
            <w:pPr>
              <w:jc w:val="center"/>
              <w:rPr>
                <w:rFonts w:cstheme="minorHAnsi"/>
              </w:rPr>
            </w:pPr>
            <w:r w:rsidRPr="0064224D">
              <w:rPr>
                <w:rFonts w:cstheme="minorHAnsi"/>
                <w:color w:val="000000"/>
              </w:rPr>
              <w:t>45/60</w:t>
            </w:r>
          </w:p>
        </w:tc>
        <w:tc>
          <w:tcPr>
            <w:tcW w:w="788" w:type="pct"/>
            <w:tcBorders>
              <w:top w:val="single" w:sz="6" w:space="0" w:color="auto"/>
              <w:left w:val="single" w:sz="6" w:space="0" w:color="auto"/>
              <w:right w:val="single" w:sz="4" w:space="0" w:color="auto"/>
            </w:tcBorders>
            <w:shd w:val="clear" w:color="auto" w:fill="auto"/>
            <w:vAlign w:val="center"/>
          </w:tcPr>
          <w:p w:rsidR="00AC6A09" w:rsidRPr="0064224D" w:rsidP="00AC6A09" w14:paraId="65FE8833" w14:textId="0984D27B">
            <w:pPr>
              <w:jc w:val="center"/>
              <w:rPr>
                <w:rFonts w:cstheme="minorHAnsi"/>
              </w:rPr>
            </w:pPr>
            <w:r w:rsidRPr="0064224D">
              <w:rPr>
                <w:rFonts w:cstheme="minorHAnsi"/>
                <w:color w:val="000000"/>
              </w:rPr>
              <w:t>788</w:t>
            </w:r>
          </w:p>
        </w:tc>
      </w:tr>
      <w:tr w14:paraId="36E1A78A"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tcBorders>
            <w:shd w:val="clear" w:color="auto" w:fill="auto"/>
            <w:vAlign w:val="bottom"/>
          </w:tcPr>
          <w:p w:rsidR="00B765C4" w:rsidRPr="0064224D" w:rsidP="00B765C4" w14:paraId="5C895C53" w14:textId="2DD3AB6E">
            <w:pPr>
              <w:jc w:val="center"/>
              <w:rPr>
                <w:rFonts w:cstheme="minorHAnsi"/>
                <w:highlight w:val="yellow"/>
              </w:rPr>
            </w:pPr>
            <w:r w:rsidRPr="0064224D">
              <w:rPr>
                <w:rFonts w:cstheme="minorHAnsi"/>
                <w:highlight w:val="yellow"/>
              </w:rPr>
              <w:t>Provisional Institutional Certification</w:t>
            </w:r>
          </w:p>
        </w:tc>
        <w:tc>
          <w:tcPr>
            <w:tcW w:w="850" w:type="pct"/>
            <w:tcBorders>
              <w:top w:val="single" w:sz="6" w:space="0" w:color="auto"/>
              <w:left w:val="single" w:sz="6" w:space="0" w:color="auto"/>
              <w:right w:val="single" w:sz="6" w:space="0" w:color="auto"/>
            </w:tcBorders>
            <w:vAlign w:val="bottom"/>
          </w:tcPr>
          <w:p w:rsidR="00B765C4" w:rsidRPr="0064224D" w:rsidP="00B765C4" w14:paraId="1CA7BA7D" w14:textId="515EE850">
            <w:pPr>
              <w:jc w:val="center"/>
              <w:rPr>
                <w:rFonts w:cstheme="minorHAnsi"/>
                <w:highlight w:val="yellow"/>
              </w:rPr>
            </w:pPr>
            <w:r w:rsidRPr="0064224D">
              <w:rPr>
                <w:rFonts w:cstheme="minorHAnsi"/>
                <w:highlight w:val="yellow"/>
              </w:rPr>
              <w:t>Investigator filling out Provisional Institutional Certification</w:t>
            </w:r>
          </w:p>
        </w:tc>
        <w:tc>
          <w:tcPr>
            <w:tcW w:w="1104" w:type="pct"/>
            <w:tcBorders>
              <w:top w:val="single" w:sz="6" w:space="0" w:color="auto"/>
              <w:left w:val="single" w:sz="6" w:space="0" w:color="auto"/>
            </w:tcBorders>
            <w:shd w:val="clear" w:color="auto" w:fill="auto"/>
            <w:vAlign w:val="center"/>
          </w:tcPr>
          <w:p w:rsidR="00B765C4" w:rsidRPr="0064224D" w:rsidP="00B765C4" w14:paraId="69AA1B2F" w14:textId="2AC2E432">
            <w:pPr>
              <w:jc w:val="center"/>
              <w:rPr>
                <w:rFonts w:cstheme="minorHAnsi"/>
                <w:color w:val="000000"/>
                <w:highlight w:val="yellow"/>
              </w:rPr>
            </w:pPr>
            <w:r w:rsidRPr="0064224D">
              <w:rPr>
                <w:rFonts w:cstheme="minorHAnsi"/>
                <w:color w:val="000000"/>
                <w:highlight w:val="yellow"/>
              </w:rPr>
              <w:t>100</w:t>
            </w:r>
          </w:p>
        </w:tc>
        <w:tc>
          <w:tcPr>
            <w:tcW w:w="799" w:type="pct"/>
            <w:tcBorders>
              <w:top w:val="single" w:sz="6" w:space="0" w:color="auto"/>
              <w:left w:val="single" w:sz="6" w:space="0" w:color="auto"/>
            </w:tcBorders>
            <w:shd w:val="clear" w:color="auto" w:fill="auto"/>
            <w:vAlign w:val="center"/>
          </w:tcPr>
          <w:p w:rsidR="00B765C4" w:rsidRPr="0064224D" w:rsidP="00B765C4" w14:paraId="3DE1C8BE" w14:textId="212E743C">
            <w:pPr>
              <w:jc w:val="center"/>
              <w:rPr>
                <w:rFonts w:cstheme="minorHAnsi"/>
                <w:color w:val="000000"/>
                <w:highlight w:val="yellow"/>
              </w:rPr>
            </w:pPr>
            <w:r w:rsidRPr="0064224D">
              <w:rPr>
                <w:rFonts w:cstheme="minorHAnsi"/>
                <w:color w:val="000000"/>
                <w:highlight w:val="yellow"/>
              </w:rPr>
              <w:t>1</w:t>
            </w:r>
          </w:p>
        </w:tc>
        <w:tc>
          <w:tcPr>
            <w:tcW w:w="660" w:type="pct"/>
            <w:tcBorders>
              <w:top w:val="single" w:sz="6" w:space="0" w:color="auto"/>
              <w:left w:val="single" w:sz="6" w:space="0" w:color="auto"/>
            </w:tcBorders>
            <w:shd w:val="clear" w:color="auto" w:fill="auto"/>
            <w:vAlign w:val="center"/>
          </w:tcPr>
          <w:p w:rsidR="00B765C4" w:rsidRPr="0064224D" w:rsidP="00B765C4" w14:paraId="19DF05BB" w14:textId="0E2DE5FC">
            <w:pPr>
              <w:jc w:val="center"/>
              <w:rPr>
                <w:rFonts w:cstheme="minorHAnsi"/>
                <w:color w:val="000000"/>
                <w:highlight w:val="yellow"/>
              </w:rPr>
            </w:pPr>
            <w:r w:rsidRPr="0064224D">
              <w:rPr>
                <w:rFonts w:cstheme="minorHAnsi"/>
                <w:color w:val="000000"/>
                <w:highlight w:val="yellow"/>
              </w:rPr>
              <w:t>45/60</w:t>
            </w:r>
          </w:p>
        </w:tc>
        <w:tc>
          <w:tcPr>
            <w:tcW w:w="788" w:type="pct"/>
            <w:tcBorders>
              <w:top w:val="single" w:sz="6" w:space="0" w:color="auto"/>
              <w:left w:val="single" w:sz="6" w:space="0" w:color="auto"/>
              <w:right w:val="single" w:sz="4" w:space="0" w:color="auto"/>
            </w:tcBorders>
            <w:shd w:val="clear" w:color="auto" w:fill="auto"/>
            <w:vAlign w:val="center"/>
          </w:tcPr>
          <w:p w:rsidR="00B765C4" w:rsidRPr="0064224D" w:rsidP="00B765C4" w14:paraId="1BEB8F35" w14:textId="18071E87">
            <w:pPr>
              <w:jc w:val="center"/>
              <w:rPr>
                <w:rFonts w:cstheme="minorHAnsi"/>
                <w:color w:val="000000"/>
                <w:highlight w:val="yellow"/>
              </w:rPr>
            </w:pPr>
            <w:r w:rsidRPr="0064224D">
              <w:rPr>
                <w:rFonts w:cstheme="minorHAnsi"/>
                <w:color w:val="000000"/>
                <w:highlight w:val="yellow"/>
              </w:rPr>
              <w:t>75</w:t>
            </w:r>
          </w:p>
        </w:tc>
      </w:tr>
      <w:tr w14:paraId="5E42E089"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tcBorders>
            <w:shd w:val="clear" w:color="auto" w:fill="auto"/>
            <w:vAlign w:val="bottom"/>
          </w:tcPr>
          <w:p w:rsidR="00B765C4" w:rsidRPr="0064224D" w:rsidP="00B765C4" w14:paraId="28E2118B" w14:textId="234C6062">
            <w:pPr>
              <w:jc w:val="center"/>
              <w:rPr>
                <w:rFonts w:cstheme="minorHAnsi"/>
                <w:highlight w:val="yellow"/>
              </w:rPr>
            </w:pPr>
            <w:r w:rsidRPr="0064224D">
              <w:rPr>
                <w:rFonts w:cstheme="minorHAnsi"/>
                <w:highlight w:val="yellow"/>
              </w:rPr>
              <w:t>Provisional Institutional Certification</w:t>
            </w:r>
          </w:p>
        </w:tc>
        <w:tc>
          <w:tcPr>
            <w:tcW w:w="850" w:type="pct"/>
            <w:tcBorders>
              <w:top w:val="single" w:sz="6" w:space="0" w:color="auto"/>
              <w:left w:val="single" w:sz="6" w:space="0" w:color="auto"/>
              <w:right w:val="single" w:sz="6" w:space="0" w:color="auto"/>
            </w:tcBorders>
            <w:vAlign w:val="bottom"/>
          </w:tcPr>
          <w:p w:rsidR="00B765C4" w:rsidRPr="0064224D" w:rsidP="00B765C4" w14:paraId="03C7C815" w14:textId="6D866FB9">
            <w:pPr>
              <w:jc w:val="center"/>
              <w:rPr>
                <w:rFonts w:cstheme="minorHAnsi"/>
                <w:highlight w:val="yellow"/>
              </w:rPr>
            </w:pPr>
            <w:r w:rsidRPr="0064224D">
              <w:rPr>
                <w:rFonts w:cstheme="minorHAnsi"/>
                <w:highlight w:val="yellow"/>
              </w:rPr>
              <w:t>Institutional Official to Certify Provisional Submission</w:t>
            </w:r>
          </w:p>
        </w:tc>
        <w:tc>
          <w:tcPr>
            <w:tcW w:w="1104" w:type="pct"/>
            <w:tcBorders>
              <w:top w:val="single" w:sz="6" w:space="0" w:color="auto"/>
              <w:left w:val="single" w:sz="6" w:space="0" w:color="auto"/>
            </w:tcBorders>
            <w:shd w:val="clear" w:color="auto" w:fill="auto"/>
            <w:vAlign w:val="center"/>
          </w:tcPr>
          <w:p w:rsidR="00B765C4" w:rsidRPr="0064224D" w:rsidP="00B765C4" w14:paraId="22538527" w14:textId="6577A952">
            <w:pPr>
              <w:jc w:val="center"/>
              <w:rPr>
                <w:rFonts w:cstheme="minorHAnsi"/>
                <w:color w:val="000000"/>
                <w:highlight w:val="yellow"/>
              </w:rPr>
            </w:pPr>
            <w:r w:rsidRPr="0064224D">
              <w:rPr>
                <w:rFonts w:cstheme="minorHAnsi"/>
                <w:color w:val="000000"/>
                <w:highlight w:val="yellow"/>
              </w:rPr>
              <w:t>100</w:t>
            </w:r>
          </w:p>
        </w:tc>
        <w:tc>
          <w:tcPr>
            <w:tcW w:w="799" w:type="pct"/>
            <w:tcBorders>
              <w:top w:val="single" w:sz="6" w:space="0" w:color="auto"/>
              <w:left w:val="single" w:sz="6" w:space="0" w:color="auto"/>
            </w:tcBorders>
            <w:shd w:val="clear" w:color="auto" w:fill="auto"/>
            <w:vAlign w:val="center"/>
          </w:tcPr>
          <w:p w:rsidR="00B765C4" w:rsidRPr="0064224D" w:rsidP="00B765C4" w14:paraId="7927F37E" w14:textId="11DCB344">
            <w:pPr>
              <w:jc w:val="center"/>
              <w:rPr>
                <w:rFonts w:cstheme="minorHAnsi"/>
                <w:color w:val="000000"/>
                <w:highlight w:val="yellow"/>
              </w:rPr>
            </w:pPr>
            <w:r w:rsidRPr="0064224D">
              <w:rPr>
                <w:rFonts w:cstheme="minorHAnsi"/>
                <w:color w:val="000000"/>
                <w:highlight w:val="yellow"/>
              </w:rPr>
              <w:t>1</w:t>
            </w:r>
          </w:p>
        </w:tc>
        <w:tc>
          <w:tcPr>
            <w:tcW w:w="660" w:type="pct"/>
            <w:tcBorders>
              <w:top w:val="single" w:sz="6" w:space="0" w:color="auto"/>
              <w:left w:val="single" w:sz="6" w:space="0" w:color="auto"/>
            </w:tcBorders>
            <w:shd w:val="clear" w:color="auto" w:fill="auto"/>
            <w:vAlign w:val="center"/>
          </w:tcPr>
          <w:p w:rsidR="00B765C4" w:rsidRPr="0064224D" w:rsidP="00B765C4" w14:paraId="0CB5302C" w14:textId="5AD5EC74">
            <w:pPr>
              <w:jc w:val="center"/>
              <w:rPr>
                <w:rFonts w:cstheme="minorHAnsi"/>
                <w:color w:val="000000"/>
                <w:highlight w:val="yellow"/>
              </w:rPr>
            </w:pPr>
            <w:r w:rsidRPr="0064224D">
              <w:rPr>
                <w:rFonts w:cstheme="minorHAnsi"/>
                <w:color w:val="000000"/>
                <w:highlight w:val="yellow"/>
              </w:rPr>
              <w:t>45/60</w:t>
            </w:r>
          </w:p>
        </w:tc>
        <w:tc>
          <w:tcPr>
            <w:tcW w:w="788" w:type="pct"/>
            <w:tcBorders>
              <w:top w:val="single" w:sz="6" w:space="0" w:color="auto"/>
              <w:left w:val="single" w:sz="6" w:space="0" w:color="auto"/>
              <w:right w:val="single" w:sz="4" w:space="0" w:color="auto"/>
            </w:tcBorders>
            <w:shd w:val="clear" w:color="auto" w:fill="auto"/>
            <w:vAlign w:val="center"/>
          </w:tcPr>
          <w:p w:rsidR="00B765C4" w:rsidRPr="0064224D" w:rsidP="00B765C4" w14:paraId="1E05C427" w14:textId="5D13225D">
            <w:pPr>
              <w:jc w:val="center"/>
              <w:rPr>
                <w:rFonts w:cstheme="minorHAnsi"/>
                <w:color w:val="000000"/>
                <w:highlight w:val="yellow"/>
              </w:rPr>
            </w:pPr>
            <w:r w:rsidRPr="0064224D">
              <w:rPr>
                <w:rFonts w:cstheme="minorHAnsi"/>
                <w:color w:val="000000"/>
                <w:highlight w:val="yellow"/>
              </w:rPr>
              <w:t>75</w:t>
            </w:r>
          </w:p>
        </w:tc>
      </w:tr>
      <w:tr w14:paraId="3070175F" w14:textId="77777777" w:rsidTr="00D15C06">
        <w:tblPrEx>
          <w:tblW w:w="4865" w:type="pct"/>
          <w:tblCellMar>
            <w:left w:w="120" w:type="dxa"/>
            <w:right w:w="120" w:type="dxa"/>
          </w:tblCellMar>
          <w:tblLook w:val="0000"/>
        </w:tblPrEx>
        <w:trPr>
          <w:cantSplit/>
          <w:trHeight w:val="78"/>
        </w:trPr>
        <w:tc>
          <w:tcPr>
            <w:tcW w:w="5000" w:type="pct"/>
            <w:gridSpan w:val="6"/>
            <w:tcBorders>
              <w:top w:val="single" w:sz="6" w:space="0" w:color="auto"/>
              <w:left w:val="single" w:sz="4" w:space="0" w:color="auto"/>
              <w:bottom w:val="single" w:sz="6" w:space="0" w:color="auto"/>
              <w:right w:val="single" w:sz="4" w:space="0" w:color="auto"/>
            </w:tcBorders>
            <w:shd w:val="clear" w:color="auto" w:fill="BFBFBF" w:themeFill="background1" w:themeFillShade="BF"/>
            <w:vAlign w:val="bottom"/>
          </w:tcPr>
          <w:p w:rsidR="00B765C4" w:rsidRPr="0064224D" w:rsidP="00B765C4" w14:paraId="3FD02D8C" w14:textId="77777777">
            <w:pPr>
              <w:jc w:val="center"/>
              <w:rPr>
                <w:rFonts w:cstheme="minorHAnsi"/>
              </w:rPr>
            </w:pPr>
          </w:p>
        </w:tc>
      </w:tr>
      <w:tr w14:paraId="28B1C71F" w14:textId="77777777" w:rsidTr="00D15C06">
        <w:tblPrEx>
          <w:tblW w:w="4865" w:type="pct"/>
          <w:tblCellMar>
            <w:left w:w="120" w:type="dxa"/>
            <w:right w:w="120" w:type="dxa"/>
          </w:tblCellMar>
          <w:tblLook w:val="0000"/>
        </w:tblPrEx>
        <w:trPr>
          <w:cantSplit/>
          <w:trHeight w:val="547"/>
        </w:trPr>
        <w:tc>
          <w:tcPr>
            <w:tcW w:w="5000" w:type="pct"/>
            <w:gridSpan w:val="6"/>
            <w:tcBorders>
              <w:top w:val="single" w:sz="6" w:space="0" w:color="auto"/>
              <w:left w:val="single" w:sz="4" w:space="0" w:color="auto"/>
              <w:bottom w:val="single" w:sz="6" w:space="0" w:color="auto"/>
              <w:right w:val="single" w:sz="4" w:space="0" w:color="auto"/>
            </w:tcBorders>
            <w:shd w:val="clear" w:color="auto" w:fill="auto"/>
            <w:vAlign w:val="bottom"/>
          </w:tcPr>
          <w:p w:rsidR="00B765C4" w:rsidRPr="0064224D" w:rsidP="00B765C4" w14:paraId="6BD36AB6" w14:textId="7958B12B">
            <w:pPr>
              <w:rPr>
                <w:rFonts w:cstheme="minorHAnsi"/>
                <w:b/>
                <w:bCs/>
              </w:rPr>
            </w:pPr>
            <w:r w:rsidRPr="0064224D">
              <w:rPr>
                <w:rFonts w:cstheme="minorHAnsi"/>
                <w:b/>
                <w:bCs/>
              </w:rPr>
              <w:t>Requesting Access to Data</w:t>
            </w:r>
          </w:p>
        </w:tc>
      </w:tr>
      <w:tr w14:paraId="28D0714A"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bottom w:val="single" w:sz="6" w:space="0" w:color="auto"/>
            </w:tcBorders>
            <w:shd w:val="clear" w:color="auto" w:fill="auto"/>
            <w:vAlign w:val="bottom"/>
          </w:tcPr>
          <w:p w:rsidR="00B765C4" w:rsidRPr="0064224D" w:rsidP="00B765C4" w14:paraId="3D5BB948" w14:textId="110988D8">
            <w:pPr>
              <w:jc w:val="center"/>
              <w:rPr>
                <w:rFonts w:cstheme="minorHAnsi"/>
              </w:rPr>
            </w:pPr>
            <w:r w:rsidRPr="0064224D">
              <w:rPr>
                <w:rFonts w:cstheme="minorHAnsi"/>
              </w:rPr>
              <w:t>Data Access Request</w:t>
            </w:r>
          </w:p>
        </w:tc>
        <w:tc>
          <w:tcPr>
            <w:tcW w:w="850" w:type="pct"/>
            <w:tcBorders>
              <w:top w:val="single" w:sz="6" w:space="0" w:color="auto"/>
              <w:left w:val="single" w:sz="6" w:space="0" w:color="auto"/>
              <w:bottom w:val="single" w:sz="6" w:space="0" w:color="auto"/>
              <w:right w:val="single" w:sz="6" w:space="0" w:color="auto"/>
            </w:tcBorders>
            <w:shd w:val="clear" w:color="auto" w:fill="auto"/>
            <w:vAlign w:val="bottom"/>
          </w:tcPr>
          <w:p w:rsidR="00B765C4" w:rsidRPr="0064224D" w:rsidP="00B765C4" w14:paraId="02DFCAC3" w14:textId="3D21FC43">
            <w:pPr>
              <w:jc w:val="center"/>
              <w:rPr>
                <w:rFonts w:cstheme="minorHAnsi"/>
              </w:rPr>
            </w:pPr>
            <w:r w:rsidRPr="0064224D">
              <w:rPr>
                <w:rFonts w:cstheme="minorHAnsi"/>
              </w:rPr>
              <w:t>Requester Submitting Request</w:t>
            </w:r>
          </w:p>
        </w:tc>
        <w:tc>
          <w:tcPr>
            <w:tcW w:w="1104" w:type="pct"/>
            <w:tcBorders>
              <w:top w:val="single" w:sz="6" w:space="0" w:color="auto"/>
              <w:left w:val="single" w:sz="6" w:space="0" w:color="auto"/>
              <w:bottom w:val="single" w:sz="6" w:space="0" w:color="auto"/>
            </w:tcBorders>
            <w:shd w:val="clear" w:color="auto" w:fill="auto"/>
            <w:vAlign w:val="bottom"/>
          </w:tcPr>
          <w:p w:rsidR="00B765C4" w:rsidRPr="0064224D" w:rsidP="00B765C4" w14:paraId="5E7258E1" w14:textId="140EBF21">
            <w:pPr>
              <w:jc w:val="center"/>
              <w:rPr>
                <w:rFonts w:cstheme="minorHAnsi"/>
              </w:rPr>
            </w:pPr>
            <w:r w:rsidRPr="0064224D">
              <w:rPr>
                <w:rFonts w:cstheme="minorHAnsi"/>
              </w:rPr>
              <w:t>3,900</w:t>
            </w:r>
          </w:p>
        </w:tc>
        <w:tc>
          <w:tcPr>
            <w:tcW w:w="799" w:type="pct"/>
            <w:tcBorders>
              <w:top w:val="single" w:sz="6" w:space="0" w:color="auto"/>
              <w:left w:val="single" w:sz="6" w:space="0" w:color="auto"/>
              <w:bottom w:val="single" w:sz="6" w:space="0" w:color="auto"/>
            </w:tcBorders>
            <w:shd w:val="clear" w:color="auto" w:fill="auto"/>
            <w:vAlign w:val="bottom"/>
          </w:tcPr>
          <w:p w:rsidR="00B765C4" w:rsidRPr="0064224D" w:rsidP="00B765C4" w14:paraId="63C898DD" w14:textId="14C71C19">
            <w:pPr>
              <w:jc w:val="center"/>
              <w:rPr>
                <w:rFonts w:cstheme="minorHAnsi"/>
              </w:rPr>
            </w:pPr>
            <w:r w:rsidRPr="0064224D">
              <w:rPr>
                <w:rFonts w:cstheme="minorHAnsi"/>
                <w:highlight w:val="yellow"/>
              </w:rPr>
              <w:t>10</w:t>
            </w:r>
          </w:p>
        </w:tc>
        <w:tc>
          <w:tcPr>
            <w:tcW w:w="660" w:type="pct"/>
            <w:tcBorders>
              <w:top w:val="single" w:sz="6" w:space="0" w:color="auto"/>
              <w:left w:val="single" w:sz="6" w:space="0" w:color="auto"/>
              <w:bottom w:val="single" w:sz="6" w:space="0" w:color="auto"/>
            </w:tcBorders>
            <w:shd w:val="clear" w:color="auto" w:fill="auto"/>
            <w:vAlign w:val="bottom"/>
          </w:tcPr>
          <w:p w:rsidR="00B765C4" w:rsidRPr="0064224D" w:rsidP="00B765C4" w14:paraId="219D410F" w14:textId="32DAE6DB">
            <w:pPr>
              <w:jc w:val="center"/>
              <w:rPr>
                <w:rFonts w:cstheme="minorHAnsi"/>
              </w:rPr>
            </w:pPr>
            <w:r w:rsidRPr="0064224D">
              <w:rPr>
                <w:rFonts w:cstheme="minorHAnsi"/>
              </w:rPr>
              <w:t>1</w:t>
            </w:r>
          </w:p>
        </w:tc>
        <w:tc>
          <w:tcPr>
            <w:tcW w:w="788" w:type="pct"/>
            <w:tcBorders>
              <w:top w:val="single" w:sz="6" w:space="0" w:color="auto"/>
              <w:left w:val="single" w:sz="6" w:space="0" w:color="auto"/>
              <w:bottom w:val="single" w:sz="6" w:space="0" w:color="auto"/>
              <w:right w:val="single" w:sz="4" w:space="0" w:color="auto"/>
            </w:tcBorders>
            <w:shd w:val="clear" w:color="auto" w:fill="auto"/>
            <w:vAlign w:val="bottom"/>
          </w:tcPr>
          <w:p w:rsidR="00B765C4" w:rsidRPr="0064224D" w:rsidP="00B765C4" w14:paraId="28D5B012" w14:textId="497BEACD">
            <w:pPr>
              <w:jc w:val="center"/>
              <w:rPr>
                <w:rFonts w:cstheme="minorHAnsi"/>
              </w:rPr>
            </w:pPr>
            <w:r w:rsidRPr="0064224D">
              <w:rPr>
                <w:rFonts w:cstheme="minorHAnsi"/>
              </w:rPr>
              <w:t>39,000</w:t>
            </w:r>
          </w:p>
        </w:tc>
      </w:tr>
      <w:tr w14:paraId="15E43BCE"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bottom w:val="single" w:sz="6" w:space="0" w:color="auto"/>
            </w:tcBorders>
            <w:shd w:val="clear" w:color="auto" w:fill="auto"/>
            <w:vAlign w:val="bottom"/>
          </w:tcPr>
          <w:p w:rsidR="00B765C4" w:rsidRPr="0064224D" w:rsidP="00B765C4" w14:paraId="071EECB7" w14:textId="7BB6FF21">
            <w:pPr>
              <w:jc w:val="center"/>
              <w:rPr>
                <w:rFonts w:cstheme="minorHAnsi"/>
              </w:rPr>
            </w:pPr>
            <w:r w:rsidRPr="0064224D">
              <w:rPr>
                <w:rFonts w:cstheme="minorHAnsi"/>
              </w:rPr>
              <w:t>Data Access Request</w:t>
            </w:r>
          </w:p>
        </w:tc>
        <w:tc>
          <w:tcPr>
            <w:tcW w:w="850" w:type="pct"/>
            <w:tcBorders>
              <w:top w:val="single" w:sz="6" w:space="0" w:color="auto"/>
              <w:left w:val="single" w:sz="6" w:space="0" w:color="auto"/>
              <w:bottom w:val="single" w:sz="6" w:space="0" w:color="auto"/>
              <w:right w:val="single" w:sz="6" w:space="0" w:color="auto"/>
            </w:tcBorders>
            <w:shd w:val="clear" w:color="auto" w:fill="auto"/>
            <w:vAlign w:val="bottom"/>
          </w:tcPr>
          <w:p w:rsidR="00B765C4" w:rsidRPr="0064224D" w:rsidP="00B765C4" w14:paraId="486BED6A" w14:textId="02AEDB7D">
            <w:pPr>
              <w:jc w:val="center"/>
              <w:rPr>
                <w:rFonts w:cstheme="minorHAnsi"/>
              </w:rPr>
            </w:pPr>
            <w:r w:rsidRPr="0064224D">
              <w:rPr>
                <w:rFonts w:cstheme="minorHAnsi"/>
              </w:rPr>
              <w:t>Institutional Signing Official to Certify Request</w:t>
            </w:r>
          </w:p>
        </w:tc>
        <w:tc>
          <w:tcPr>
            <w:tcW w:w="1104" w:type="pct"/>
            <w:tcBorders>
              <w:top w:val="single" w:sz="6" w:space="0" w:color="auto"/>
              <w:left w:val="single" w:sz="6" w:space="0" w:color="auto"/>
              <w:bottom w:val="single" w:sz="6" w:space="0" w:color="auto"/>
            </w:tcBorders>
            <w:shd w:val="clear" w:color="auto" w:fill="auto"/>
            <w:vAlign w:val="bottom"/>
          </w:tcPr>
          <w:p w:rsidR="00B765C4" w:rsidRPr="0064224D" w:rsidP="00B765C4" w14:paraId="6F7FD98A" w14:textId="37CDAE4C">
            <w:pPr>
              <w:jc w:val="center"/>
              <w:rPr>
                <w:rFonts w:cstheme="minorHAnsi"/>
              </w:rPr>
            </w:pPr>
            <w:r w:rsidRPr="0064224D">
              <w:rPr>
                <w:rFonts w:cstheme="minorHAnsi"/>
              </w:rPr>
              <w:t>3,900</w:t>
            </w:r>
          </w:p>
        </w:tc>
        <w:tc>
          <w:tcPr>
            <w:tcW w:w="799" w:type="pct"/>
            <w:tcBorders>
              <w:top w:val="single" w:sz="6" w:space="0" w:color="auto"/>
              <w:left w:val="single" w:sz="6" w:space="0" w:color="auto"/>
              <w:bottom w:val="single" w:sz="6" w:space="0" w:color="auto"/>
            </w:tcBorders>
            <w:shd w:val="clear" w:color="auto" w:fill="auto"/>
            <w:vAlign w:val="bottom"/>
          </w:tcPr>
          <w:p w:rsidR="00B765C4" w:rsidRPr="0064224D" w:rsidP="00B765C4" w14:paraId="16C981C4" w14:textId="68A46356">
            <w:pPr>
              <w:jc w:val="center"/>
              <w:rPr>
                <w:rFonts w:cstheme="minorHAnsi"/>
              </w:rPr>
            </w:pPr>
            <w:r w:rsidRPr="0064224D">
              <w:rPr>
                <w:rFonts w:cstheme="minorHAnsi"/>
                <w:highlight w:val="yellow"/>
              </w:rPr>
              <w:t>10</w:t>
            </w:r>
          </w:p>
        </w:tc>
        <w:tc>
          <w:tcPr>
            <w:tcW w:w="660" w:type="pct"/>
            <w:tcBorders>
              <w:top w:val="single" w:sz="6" w:space="0" w:color="auto"/>
              <w:left w:val="single" w:sz="6" w:space="0" w:color="auto"/>
              <w:bottom w:val="single" w:sz="6" w:space="0" w:color="auto"/>
            </w:tcBorders>
            <w:shd w:val="clear" w:color="auto" w:fill="auto"/>
            <w:vAlign w:val="bottom"/>
          </w:tcPr>
          <w:p w:rsidR="00B765C4" w:rsidRPr="0064224D" w:rsidP="00B765C4" w14:paraId="4B83EEC8" w14:textId="6523B6D6">
            <w:pPr>
              <w:jc w:val="center"/>
              <w:rPr>
                <w:rFonts w:cstheme="minorHAnsi"/>
              </w:rPr>
            </w:pPr>
            <w:r w:rsidRPr="0064224D">
              <w:rPr>
                <w:rFonts w:cstheme="minorHAnsi"/>
              </w:rPr>
              <w:t>1</w:t>
            </w:r>
          </w:p>
        </w:tc>
        <w:tc>
          <w:tcPr>
            <w:tcW w:w="788" w:type="pct"/>
            <w:tcBorders>
              <w:top w:val="single" w:sz="6" w:space="0" w:color="auto"/>
              <w:left w:val="single" w:sz="6" w:space="0" w:color="auto"/>
              <w:bottom w:val="single" w:sz="6" w:space="0" w:color="auto"/>
              <w:right w:val="single" w:sz="4" w:space="0" w:color="auto"/>
            </w:tcBorders>
            <w:shd w:val="clear" w:color="auto" w:fill="auto"/>
            <w:vAlign w:val="bottom"/>
          </w:tcPr>
          <w:p w:rsidR="00B765C4" w:rsidRPr="0064224D" w:rsidP="00B765C4" w14:paraId="1F6C3970" w14:textId="28A82CD0">
            <w:pPr>
              <w:jc w:val="center"/>
              <w:rPr>
                <w:rFonts w:cstheme="minorHAnsi"/>
              </w:rPr>
            </w:pPr>
            <w:r w:rsidRPr="0064224D">
              <w:rPr>
                <w:rFonts w:cstheme="minorHAnsi"/>
              </w:rPr>
              <w:t>39,000</w:t>
            </w:r>
          </w:p>
        </w:tc>
      </w:tr>
      <w:tr w14:paraId="188443A6" w14:textId="77777777" w:rsidTr="00D15C06">
        <w:tblPrEx>
          <w:tblW w:w="4865" w:type="pct"/>
          <w:tblCellMar>
            <w:left w:w="120" w:type="dxa"/>
            <w:right w:w="120" w:type="dxa"/>
          </w:tblCellMar>
          <w:tblLook w:val="0000"/>
        </w:tblPrEx>
        <w:trPr>
          <w:cantSplit/>
          <w:trHeight w:val="78"/>
        </w:trPr>
        <w:tc>
          <w:tcPr>
            <w:tcW w:w="5000" w:type="pct"/>
            <w:gridSpan w:val="6"/>
            <w:tcBorders>
              <w:top w:val="single" w:sz="6" w:space="0" w:color="auto"/>
              <w:left w:val="single" w:sz="4" w:space="0" w:color="auto"/>
              <w:bottom w:val="single" w:sz="6" w:space="0" w:color="auto"/>
              <w:right w:val="single" w:sz="4" w:space="0" w:color="auto"/>
            </w:tcBorders>
            <w:shd w:val="clear" w:color="auto" w:fill="BFBFBF" w:themeFill="background1" w:themeFillShade="BF"/>
            <w:vAlign w:val="bottom"/>
          </w:tcPr>
          <w:p w:rsidR="00B765C4" w:rsidRPr="0064224D" w:rsidP="00B765C4" w14:paraId="61F1E8FE" w14:textId="77777777">
            <w:pPr>
              <w:jc w:val="center"/>
              <w:rPr>
                <w:rFonts w:cstheme="minorHAnsi"/>
              </w:rPr>
            </w:pPr>
          </w:p>
        </w:tc>
      </w:tr>
      <w:tr w14:paraId="08191BE0" w14:textId="77777777" w:rsidTr="00D15C06">
        <w:tblPrEx>
          <w:tblW w:w="4865" w:type="pct"/>
          <w:tblCellMar>
            <w:left w:w="120" w:type="dxa"/>
            <w:right w:w="120" w:type="dxa"/>
          </w:tblCellMar>
          <w:tblLook w:val="0000"/>
        </w:tblPrEx>
        <w:trPr>
          <w:cantSplit/>
          <w:trHeight w:val="547"/>
        </w:trPr>
        <w:tc>
          <w:tcPr>
            <w:tcW w:w="5000" w:type="pct"/>
            <w:gridSpan w:val="6"/>
            <w:tcBorders>
              <w:top w:val="single" w:sz="6" w:space="0" w:color="auto"/>
              <w:left w:val="single" w:sz="4" w:space="0" w:color="auto"/>
              <w:bottom w:val="single" w:sz="6" w:space="0" w:color="auto"/>
              <w:right w:val="single" w:sz="4" w:space="0" w:color="auto"/>
            </w:tcBorders>
            <w:shd w:val="clear" w:color="auto" w:fill="auto"/>
            <w:vAlign w:val="bottom"/>
          </w:tcPr>
          <w:p w:rsidR="00B765C4" w:rsidRPr="0064224D" w:rsidP="00B765C4" w14:paraId="58E9456C" w14:textId="620A627A">
            <w:pPr>
              <w:rPr>
                <w:rFonts w:cstheme="minorHAnsi"/>
                <w:b/>
                <w:bCs/>
              </w:rPr>
            </w:pPr>
            <w:r w:rsidRPr="0064224D">
              <w:rPr>
                <w:rFonts w:cstheme="minorHAnsi"/>
                <w:b/>
                <w:bCs/>
              </w:rPr>
              <w:t>Project Renewal or Project Close-out</w:t>
            </w:r>
          </w:p>
        </w:tc>
      </w:tr>
      <w:tr w14:paraId="521A9973"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bottom w:val="single" w:sz="4" w:space="0" w:color="auto"/>
            </w:tcBorders>
            <w:shd w:val="clear" w:color="auto" w:fill="auto"/>
            <w:vAlign w:val="bottom"/>
          </w:tcPr>
          <w:p w:rsidR="00B765C4" w:rsidRPr="0064224D" w:rsidP="00B765C4" w14:paraId="5A24BD85" w14:textId="7AC288D9">
            <w:pPr>
              <w:jc w:val="center"/>
              <w:rPr>
                <w:rFonts w:cstheme="minorHAnsi"/>
              </w:rPr>
            </w:pPr>
            <w:r w:rsidRPr="0064224D">
              <w:rPr>
                <w:rFonts w:cstheme="minorHAnsi"/>
              </w:rPr>
              <w:t>Project Renewal or Project Close-out form</w:t>
            </w:r>
          </w:p>
        </w:tc>
        <w:tc>
          <w:tcPr>
            <w:tcW w:w="850" w:type="pct"/>
            <w:tcBorders>
              <w:top w:val="single" w:sz="6" w:space="0" w:color="auto"/>
              <w:left w:val="single" w:sz="6" w:space="0" w:color="auto"/>
              <w:bottom w:val="single" w:sz="4" w:space="0" w:color="auto"/>
              <w:right w:val="single" w:sz="6" w:space="0" w:color="auto"/>
            </w:tcBorders>
            <w:shd w:val="clear" w:color="auto" w:fill="auto"/>
            <w:vAlign w:val="bottom"/>
          </w:tcPr>
          <w:p w:rsidR="00B765C4" w:rsidRPr="0064224D" w:rsidP="00B765C4" w14:paraId="4E87835D" w14:textId="5BD75C3F">
            <w:pPr>
              <w:jc w:val="center"/>
              <w:rPr>
                <w:rFonts w:cstheme="minorHAnsi"/>
              </w:rPr>
            </w:pPr>
            <w:r w:rsidRPr="0064224D">
              <w:rPr>
                <w:rFonts w:cstheme="minorHAnsi"/>
              </w:rPr>
              <w:t>Requester Submitting Request</w:t>
            </w:r>
          </w:p>
        </w:tc>
        <w:tc>
          <w:tcPr>
            <w:tcW w:w="1104" w:type="pct"/>
            <w:tcBorders>
              <w:top w:val="single" w:sz="6" w:space="0" w:color="auto"/>
              <w:left w:val="single" w:sz="6" w:space="0" w:color="auto"/>
              <w:bottom w:val="single" w:sz="4" w:space="0" w:color="auto"/>
            </w:tcBorders>
            <w:shd w:val="clear" w:color="auto" w:fill="auto"/>
            <w:vAlign w:val="bottom"/>
          </w:tcPr>
          <w:p w:rsidR="00B765C4" w:rsidRPr="0064224D" w:rsidP="00B765C4" w14:paraId="3FC75DC7" w14:textId="5FAB1995">
            <w:pPr>
              <w:jc w:val="center"/>
              <w:rPr>
                <w:rFonts w:cstheme="minorHAnsi"/>
              </w:rPr>
            </w:pPr>
            <w:r w:rsidRPr="0064224D">
              <w:rPr>
                <w:rFonts w:cstheme="minorHAnsi"/>
              </w:rPr>
              <w:t>3,900</w:t>
            </w:r>
          </w:p>
        </w:tc>
        <w:tc>
          <w:tcPr>
            <w:tcW w:w="799" w:type="pct"/>
            <w:tcBorders>
              <w:top w:val="single" w:sz="6" w:space="0" w:color="auto"/>
              <w:left w:val="single" w:sz="6" w:space="0" w:color="auto"/>
              <w:bottom w:val="single" w:sz="4" w:space="0" w:color="auto"/>
            </w:tcBorders>
            <w:shd w:val="clear" w:color="auto" w:fill="auto"/>
            <w:vAlign w:val="bottom"/>
          </w:tcPr>
          <w:p w:rsidR="00B765C4" w:rsidRPr="0064224D" w:rsidP="00B765C4" w14:paraId="5E6570B6" w14:textId="42015D45">
            <w:pPr>
              <w:jc w:val="center"/>
              <w:rPr>
                <w:rFonts w:cstheme="minorHAnsi"/>
              </w:rPr>
            </w:pPr>
            <w:r w:rsidRPr="0064224D">
              <w:rPr>
                <w:rFonts w:cstheme="minorHAnsi"/>
                <w:highlight w:val="yellow"/>
              </w:rPr>
              <w:t>10</w:t>
            </w:r>
          </w:p>
        </w:tc>
        <w:tc>
          <w:tcPr>
            <w:tcW w:w="660" w:type="pct"/>
            <w:tcBorders>
              <w:top w:val="single" w:sz="6" w:space="0" w:color="auto"/>
              <w:left w:val="single" w:sz="6" w:space="0" w:color="auto"/>
              <w:bottom w:val="single" w:sz="4" w:space="0" w:color="auto"/>
            </w:tcBorders>
            <w:shd w:val="clear" w:color="auto" w:fill="auto"/>
            <w:vAlign w:val="bottom"/>
          </w:tcPr>
          <w:p w:rsidR="00B765C4" w:rsidRPr="0064224D" w:rsidP="00B765C4" w14:paraId="74A1D2A7" w14:textId="5C724CD5">
            <w:pPr>
              <w:jc w:val="center"/>
              <w:rPr>
                <w:rFonts w:cstheme="minorHAnsi"/>
              </w:rPr>
            </w:pPr>
            <w:r w:rsidRPr="0064224D">
              <w:rPr>
                <w:rFonts w:cstheme="minorHAnsi"/>
              </w:rPr>
              <w:t>1</w:t>
            </w:r>
          </w:p>
        </w:tc>
        <w:tc>
          <w:tcPr>
            <w:tcW w:w="788" w:type="pct"/>
            <w:tcBorders>
              <w:top w:val="single" w:sz="6" w:space="0" w:color="auto"/>
              <w:left w:val="single" w:sz="6" w:space="0" w:color="auto"/>
              <w:bottom w:val="single" w:sz="4" w:space="0" w:color="auto"/>
              <w:right w:val="single" w:sz="4" w:space="0" w:color="auto"/>
            </w:tcBorders>
            <w:shd w:val="clear" w:color="auto" w:fill="auto"/>
            <w:vAlign w:val="bottom"/>
          </w:tcPr>
          <w:p w:rsidR="00B765C4" w:rsidRPr="0064224D" w:rsidP="00B765C4" w14:paraId="7F1B3704" w14:textId="795A92DA">
            <w:pPr>
              <w:jc w:val="center"/>
              <w:rPr>
                <w:rFonts w:cstheme="minorHAnsi"/>
              </w:rPr>
            </w:pPr>
            <w:r w:rsidRPr="0064224D">
              <w:rPr>
                <w:rFonts w:cstheme="minorHAnsi"/>
              </w:rPr>
              <w:t>39,000</w:t>
            </w:r>
          </w:p>
        </w:tc>
      </w:tr>
      <w:tr w14:paraId="249D73EF"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bottom w:val="single" w:sz="6" w:space="0" w:color="auto"/>
            </w:tcBorders>
            <w:shd w:val="clear" w:color="auto" w:fill="auto"/>
            <w:vAlign w:val="bottom"/>
          </w:tcPr>
          <w:p w:rsidR="00B765C4" w:rsidRPr="0064224D" w:rsidP="00B765C4" w14:paraId="315B7E3E" w14:textId="4370D7BC">
            <w:pPr>
              <w:jc w:val="center"/>
              <w:rPr>
                <w:rFonts w:cstheme="minorHAnsi"/>
              </w:rPr>
            </w:pPr>
            <w:r w:rsidRPr="0064224D">
              <w:rPr>
                <w:rFonts w:cstheme="minorHAnsi"/>
              </w:rPr>
              <w:t>Project Renewal or Project Close-out form</w:t>
            </w:r>
          </w:p>
        </w:tc>
        <w:tc>
          <w:tcPr>
            <w:tcW w:w="850" w:type="pct"/>
            <w:tcBorders>
              <w:top w:val="single" w:sz="6" w:space="0" w:color="auto"/>
              <w:left w:val="single" w:sz="6" w:space="0" w:color="auto"/>
              <w:bottom w:val="single" w:sz="6" w:space="0" w:color="auto"/>
              <w:right w:val="single" w:sz="6" w:space="0" w:color="auto"/>
            </w:tcBorders>
            <w:shd w:val="clear" w:color="auto" w:fill="auto"/>
            <w:vAlign w:val="bottom"/>
          </w:tcPr>
          <w:p w:rsidR="00B765C4" w:rsidRPr="0064224D" w:rsidP="00B765C4" w14:paraId="1E06D815" w14:textId="477555A4">
            <w:pPr>
              <w:jc w:val="center"/>
              <w:rPr>
                <w:rFonts w:cstheme="minorHAnsi"/>
              </w:rPr>
            </w:pPr>
            <w:r w:rsidRPr="0064224D">
              <w:rPr>
                <w:rFonts w:cstheme="minorHAnsi"/>
              </w:rPr>
              <w:t>Institutional Signing Official to Certify Request</w:t>
            </w:r>
          </w:p>
        </w:tc>
        <w:tc>
          <w:tcPr>
            <w:tcW w:w="1104" w:type="pct"/>
            <w:tcBorders>
              <w:top w:val="single" w:sz="6" w:space="0" w:color="auto"/>
              <w:left w:val="single" w:sz="6" w:space="0" w:color="auto"/>
              <w:bottom w:val="single" w:sz="6" w:space="0" w:color="auto"/>
            </w:tcBorders>
            <w:shd w:val="clear" w:color="auto" w:fill="auto"/>
            <w:vAlign w:val="bottom"/>
          </w:tcPr>
          <w:p w:rsidR="00B765C4" w:rsidRPr="0064224D" w:rsidP="00B765C4" w14:paraId="079C6304" w14:textId="748F419D">
            <w:pPr>
              <w:jc w:val="center"/>
              <w:rPr>
                <w:rFonts w:cstheme="minorHAnsi"/>
              </w:rPr>
            </w:pPr>
            <w:r w:rsidRPr="0064224D">
              <w:rPr>
                <w:rFonts w:cstheme="minorHAnsi"/>
              </w:rPr>
              <w:t>3,900</w:t>
            </w:r>
          </w:p>
        </w:tc>
        <w:tc>
          <w:tcPr>
            <w:tcW w:w="799" w:type="pct"/>
            <w:tcBorders>
              <w:top w:val="single" w:sz="6" w:space="0" w:color="auto"/>
              <w:left w:val="single" w:sz="6" w:space="0" w:color="auto"/>
              <w:bottom w:val="single" w:sz="6" w:space="0" w:color="auto"/>
            </w:tcBorders>
            <w:shd w:val="clear" w:color="auto" w:fill="auto"/>
            <w:vAlign w:val="bottom"/>
          </w:tcPr>
          <w:p w:rsidR="00B765C4" w:rsidRPr="0064224D" w:rsidP="00B765C4" w14:paraId="158F4B93" w14:textId="36D50DAF">
            <w:pPr>
              <w:jc w:val="center"/>
              <w:rPr>
                <w:rFonts w:cstheme="minorHAnsi"/>
              </w:rPr>
            </w:pPr>
            <w:r w:rsidRPr="0064224D">
              <w:rPr>
                <w:rFonts w:cstheme="minorHAnsi"/>
                <w:highlight w:val="yellow"/>
              </w:rPr>
              <w:t>10</w:t>
            </w:r>
          </w:p>
        </w:tc>
        <w:tc>
          <w:tcPr>
            <w:tcW w:w="660" w:type="pct"/>
            <w:tcBorders>
              <w:top w:val="single" w:sz="6" w:space="0" w:color="auto"/>
              <w:left w:val="single" w:sz="6" w:space="0" w:color="auto"/>
              <w:bottom w:val="single" w:sz="6" w:space="0" w:color="auto"/>
            </w:tcBorders>
            <w:shd w:val="clear" w:color="auto" w:fill="auto"/>
            <w:vAlign w:val="bottom"/>
          </w:tcPr>
          <w:p w:rsidR="00B765C4" w:rsidRPr="0064224D" w:rsidP="00B765C4" w14:paraId="355305F1" w14:textId="4D677C62">
            <w:pPr>
              <w:jc w:val="center"/>
              <w:rPr>
                <w:rFonts w:cstheme="minorHAnsi"/>
              </w:rPr>
            </w:pPr>
            <w:r w:rsidRPr="0064224D">
              <w:rPr>
                <w:rFonts w:cstheme="minorHAnsi"/>
              </w:rPr>
              <w:t>1</w:t>
            </w:r>
          </w:p>
        </w:tc>
        <w:tc>
          <w:tcPr>
            <w:tcW w:w="788" w:type="pct"/>
            <w:tcBorders>
              <w:top w:val="single" w:sz="6" w:space="0" w:color="auto"/>
              <w:left w:val="single" w:sz="6" w:space="0" w:color="auto"/>
              <w:bottom w:val="single" w:sz="6" w:space="0" w:color="auto"/>
              <w:right w:val="single" w:sz="4" w:space="0" w:color="auto"/>
            </w:tcBorders>
            <w:shd w:val="clear" w:color="auto" w:fill="auto"/>
            <w:vAlign w:val="bottom"/>
          </w:tcPr>
          <w:p w:rsidR="00B765C4" w:rsidRPr="0064224D" w:rsidP="00B765C4" w14:paraId="4D17C997" w14:textId="49415882">
            <w:pPr>
              <w:jc w:val="center"/>
              <w:rPr>
                <w:rFonts w:cstheme="minorHAnsi"/>
              </w:rPr>
            </w:pPr>
            <w:r w:rsidRPr="0064224D">
              <w:rPr>
                <w:rFonts w:cstheme="minorHAnsi"/>
              </w:rPr>
              <w:t>39,000</w:t>
            </w:r>
          </w:p>
        </w:tc>
      </w:tr>
      <w:tr w14:paraId="14252E6C" w14:textId="77777777" w:rsidTr="00D15C06">
        <w:tblPrEx>
          <w:tblW w:w="4865" w:type="pct"/>
          <w:tblCellMar>
            <w:left w:w="120" w:type="dxa"/>
            <w:right w:w="120" w:type="dxa"/>
          </w:tblCellMar>
          <w:tblLook w:val="0000"/>
        </w:tblPrEx>
        <w:trPr>
          <w:cantSplit/>
          <w:trHeight w:val="78"/>
        </w:trPr>
        <w:tc>
          <w:tcPr>
            <w:tcW w:w="799" w:type="pct"/>
            <w:tcBorders>
              <w:top w:val="single" w:sz="6" w:space="0" w:color="auto"/>
              <w:left w:val="single" w:sz="4" w:space="0" w:color="auto"/>
              <w:bottom w:val="single" w:sz="6" w:space="0" w:color="auto"/>
            </w:tcBorders>
            <w:shd w:val="clear" w:color="auto" w:fill="auto"/>
            <w:vAlign w:val="bottom"/>
          </w:tcPr>
          <w:p w:rsidR="00B765C4" w:rsidRPr="0064224D" w:rsidP="00B765C4" w14:paraId="5B24BE91" w14:textId="6347F551">
            <w:pPr>
              <w:jc w:val="center"/>
              <w:rPr>
                <w:rFonts w:cstheme="minorHAnsi"/>
                <w:b/>
              </w:rPr>
            </w:pPr>
            <w:r w:rsidRPr="0064224D">
              <w:rPr>
                <w:rFonts w:cstheme="minorHAnsi"/>
                <w:b/>
              </w:rPr>
              <w:t>Total</w:t>
            </w:r>
          </w:p>
        </w:tc>
        <w:tc>
          <w:tcPr>
            <w:tcW w:w="850" w:type="pct"/>
            <w:tcBorders>
              <w:top w:val="single" w:sz="6" w:space="0" w:color="auto"/>
              <w:left w:val="single" w:sz="6" w:space="0" w:color="auto"/>
              <w:bottom w:val="single" w:sz="6" w:space="0" w:color="auto"/>
              <w:right w:val="single" w:sz="6" w:space="0" w:color="auto"/>
            </w:tcBorders>
            <w:shd w:val="clear" w:color="auto" w:fill="auto"/>
            <w:vAlign w:val="bottom"/>
          </w:tcPr>
          <w:p w:rsidR="00B765C4" w:rsidRPr="0064224D" w:rsidP="00B765C4" w14:paraId="2BAF9725" w14:textId="77777777">
            <w:pPr>
              <w:jc w:val="center"/>
              <w:rPr>
                <w:rFonts w:cstheme="minorHAnsi"/>
              </w:rPr>
            </w:pPr>
          </w:p>
        </w:tc>
        <w:tc>
          <w:tcPr>
            <w:tcW w:w="1104" w:type="pct"/>
            <w:tcBorders>
              <w:top w:val="single" w:sz="6" w:space="0" w:color="auto"/>
              <w:left w:val="single" w:sz="6" w:space="0" w:color="auto"/>
              <w:bottom w:val="single" w:sz="6" w:space="0" w:color="auto"/>
            </w:tcBorders>
            <w:shd w:val="clear" w:color="auto" w:fill="auto"/>
            <w:vAlign w:val="bottom"/>
          </w:tcPr>
          <w:p w:rsidR="00B765C4" w:rsidRPr="0064224D" w:rsidP="00B765C4" w14:paraId="0A463173" w14:textId="7083AC22">
            <w:pPr>
              <w:jc w:val="center"/>
              <w:rPr>
                <w:rFonts w:cstheme="minorHAnsi"/>
              </w:rPr>
            </w:pPr>
            <w:r w:rsidRPr="0064224D">
              <w:rPr>
                <w:rFonts w:cstheme="minorHAnsi"/>
              </w:rPr>
              <w:t>18,</w:t>
            </w:r>
            <w:r w:rsidRPr="0064224D" w:rsidR="00FA62AC">
              <w:rPr>
                <w:rFonts w:cstheme="minorHAnsi"/>
              </w:rPr>
              <w:t>9</w:t>
            </w:r>
            <w:r w:rsidRPr="0064224D">
              <w:rPr>
                <w:rFonts w:cstheme="minorHAnsi"/>
              </w:rPr>
              <w:t>50</w:t>
            </w:r>
          </w:p>
        </w:tc>
        <w:tc>
          <w:tcPr>
            <w:tcW w:w="799" w:type="pct"/>
            <w:tcBorders>
              <w:top w:val="single" w:sz="6" w:space="0" w:color="auto"/>
              <w:left w:val="single" w:sz="6" w:space="0" w:color="auto"/>
              <w:bottom w:val="single" w:sz="6" w:space="0" w:color="auto"/>
            </w:tcBorders>
            <w:shd w:val="clear" w:color="auto" w:fill="auto"/>
            <w:vAlign w:val="bottom"/>
          </w:tcPr>
          <w:p w:rsidR="00B765C4" w:rsidRPr="0064224D" w:rsidP="00B765C4" w14:paraId="41E3B56F" w14:textId="0BF5F428">
            <w:pPr>
              <w:jc w:val="center"/>
              <w:rPr>
                <w:rFonts w:cstheme="minorHAnsi"/>
              </w:rPr>
            </w:pPr>
            <w:r w:rsidRPr="00947B15">
              <w:rPr>
                <w:rFonts w:cstheme="minorHAnsi"/>
                <w:highlight w:val="yellow"/>
              </w:rPr>
              <w:t>159,350</w:t>
            </w:r>
          </w:p>
        </w:tc>
        <w:tc>
          <w:tcPr>
            <w:tcW w:w="660" w:type="pct"/>
            <w:tcBorders>
              <w:top w:val="single" w:sz="6" w:space="0" w:color="auto"/>
              <w:left w:val="single" w:sz="6" w:space="0" w:color="auto"/>
              <w:bottom w:val="single" w:sz="6" w:space="0" w:color="auto"/>
            </w:tcBorders>
            <w:shd w:val="clear" w:color="auto" w:fill="auto"/>
            <w:vAlign w:val="bottom"/>
          </w:tcPr>
          <w:p w:rsidR="00B765C4" w:rsidRPr="0064224D" w:rsidP="00B765C4" w14:paraId="57B4470D" w14:textId="77777777">
            <w:pPr>
              <w:jc w:val="center"/>
              <w:rPr>
                <w:rFonts w:cstheme="minorHAnsi"/>
              </w:rPr>
            </w:pPr>
          </w:p>
        </w:tc>
        <w:tc>
          <w:tcPr>
            <w:tcW w:w="788" w:type="pct"/>
            <w:tcBorders>
              <w:top w:val="single" w:sz="6" w:space="0" w:color="auto"/>
              <w:left w:val="single" w:sz="6" w:space="0" w:color="auto"/>
              <w:bottom w:val="single" w:sz="6" w:space="0" w:color="auto"/>
              <w:right w:val="single" w:sz="4" w:space="0" w:color="auto"/>
            </w:tcBorders>
            <w:shd w:val="clear" w:color="auto" w:fill="auto"/>
            <w:vAlign w:val="bottom"/>
          </w:tcPr>
          <w:p w:rsidR="00B765C4" w:rsidRPr="0064224D" w:rsidP="00B765C4" w14:paraId="3A16B4DC" w14:textId="023A844C">
            <w:pPr>
              <w:jc w:val="center"/>
              <w:rPr>
                <w:rFonts w:cstheme="minorHAnsi"/>
              </w:rPr>
            </w:pPr>
            <w:r w:rsidRPr="0064224D">
              <w:rPr>
                <w:rFonts w:cstheme="minorHAnsi"/>
                <w:highlight w:val="yellow"/>
              </w:rPr>
              <w:t>158,</w:t>
            </w:r>
            <w:r w:rsidRPr="0064224D" w:rsidR="003A499A">
              <w:rPr>
                <w:rFonts w:cstheme="minorHAnsi"/>
                <w:highlight w:val="yellow"/>
              </w:rPr>
              <w:t>77</w:t>
            </w:r>
            <w:r w:rsidRPr="0064224D">
              <w:rPr>
                <w:rFonts w:cstheme="minorHAnsi"/>
                <w:highlight w:val="yellow"/>
              </w:rPr>
              <w:t>6</w:t>
            </w:r>
          </w:p>
        </w:tc>
      </w:tr>
      <w:bookmarkEnd w:id="1"/>
    </w:tbl>
    <w:p w:rsidR="00EC42F9" w:rsidRPr="0064224D" w:rsidP="00EC42F9" w14:paraId="190E3317" w14:textId="77777777">
      <w:pPr>
        <w:rPr>
          <w:rFonts w:cstheme="minorHAnsi"/>
        </w:rPr>
      </w:pPr>
    </w:p>
    <w:p w:rsidR="00363775" w:rsidRPr="0064224D" w:rsidP="00363775" w14:paraId="4C5E370B" w14:textId="77777777">
      <w:pPr>
        <w:spacing w:after="0" w:line="240" w:lineRule="auto"/>
        <w:rPr>
          <w:rFonts w:eastAsia="Times New Roman" w:cstheme="minorHAnsi"/>
          <w:b/>
          <w:smallCaps/>
          <w:color w:val="000000"/>
        </w:rPr>
      </w:pPr>
      <w:r w:rsidRPr="0064224D">
        <w:rPr>
          <w:rFonts w:eastAsia="Times New Roman" w:cstheme="minorHAnsi"/>
          <w:b/>
          <w:smallCaps/>
          <w:color w:val="000000"/>
        </w:rPr>
        <w:t>A.12-2</w:t>
      </w:r>
      <w:r w:rsidRPr="0064224D">
        <w:rPr>
          <w:rFonts w:eastAsia="Times New Roman" w:cstheme="minorHAnsi"/>
          <w:b/>
          <w:smallCaps/>
          <w:color w:val="000000"/>
        </w:rPr>
        <w:tab/>
        <w:t>A</w:t>
      </w:r>
      <w:r w:rsidRPr="0064224D">
        <w:rPr>
          <w:rFonts w:eastAsia="Times New Roman" w:cstheme="minorHAnsi"/>
          <w:b/>
          <w:color w:val="000000"/>
        </w:rPr>
        <w:t>nnualized Cost to Respondents</w:t>
      </w:r>
    </w:p>
    <w:p w:rsidR="00363775" w:rsidRPr="0064224D" w:rsidP="00363775" w14:paraId="55727849" w14:textId="77777777">
      <w:pPr>
        <w:spacing w:after="0" w:line="240" w:lineRule="auto"/>
        <w:rPr>
          <w:rFonts w:eastAsia="Times New Roman" w:cstheme="minorHAnsi"/>
          <w:smallCaps/>
          <w:color w:val="000000"/>
        </w:rPr>
      </w:pPr>
    </w:p>
    <w:p w:rsidR="00363775" w:rsidRPr="0064224D" w:rsidP="00363775" w14:paraId="237D79D0" w14:textId="637C3631">
      <w:pPr>
        <w:rPr>
          <w:rFonts w:cstheme="minorHAnsi"/>
        </w:rPr>
      </w:pPr>
      <w:r w:rsidRPr="0064224D">
        <w:rPr>
          <w:rFonts w:cstheme="minorHAnsi"/>
        </w:rPr>
        <w:t xml:space="preserve">To estimate the annual cost to respondents, NIH used statistics from the U.S. Bureau of Labor and Statistics </w:t>
      </w:r>
      <w:r w:rsidRPr="0064224D" w:rsidR="00AB5805">
        <w:rPr>
          <w:rFonts w:cstheme="minorHAnsi"/>
        </w:rPr>
        <w:t>2021</w:t>
      </w:r>
      <w:r w:rsidRPr="0064224D">
        <w:rPr>
          <w:rFonts w:cstheme="minorHAnsi"/>
        </w:rPr>
        <w:t>, National Occupational Employment and Wage Estimates.</w:t>
      </w:r>
      <w:r w:rsidRPr="0064224D" w:rsidR="007B651D">
        <w:rPr>
          <w:rFonts w:cstheme="minorHAnsi"/>
          <w:vertAlign w:val="superscript"/>
        </w:rPr>
        <w:t>3</w:t>
      </w:r>
      <w:r w:rsidRPr="0064224D" w:rsidR="007B651D">
        <w:rPr>
          <w:rFonts w:cstheme="minorHAnsi"/>
        </w:rPr>
        <w:t xml:space="preserve"> </w:t>
      </w:r>
      <w:r w:rsidRPr="0064224D">
        <w:rPr>
          <w:rFonts w:cstheme="minorHAnsi"/>
        </w:rPr>
        <w:t>The mean hourly wage of $</w:t>
      </w:r>
      <w:r w:rsidRPr="0064224D" w:rsidR="00AB5805">
        <w:rPr>
          <w:rFonts w:cstheme="minorHAnsi"/>
        </w:rPr>
        <w:t>44.80</w:t>
      </w:r>
      <w:r w:rsidRPr="0064224D" w:rsidR="00B641D1">
        <w:rPr>
          <w:rFonts w:cstheme="minorHAnsi"/>
        </w:rPr>
        <w:t xml:space="preserve"> </w:t>
      </w:r>
      <w:r w:rsidRPr="0064224D">
        <w:rPr>
          <w:rFonts w:cstheme="minorHAnsi"/>
        </w:rPr>
        <w:t>for Life Scientists was used for investigator</w:t>
      </w:r>
      <w:r w:rsidRPr="0064224D" w:rsidR="005560E7">
        <w:rPr>
          <w:rFonts w:cstheme="minorHAnsi"/>
        </w:rPr>
        <w:t>s and requeste</w:t>
      </w:r>
      <w:r w:rsidRPr="0064224D" w:rsidR="00D35616">
        <w:rPr>
          <w:rFonts w:cstheme="minorHAnsi"/>
        </w:rPr>
        <w:t>rs</w:t>
      </w:r>
      <w:r w:rsidRPr="0064224D" w:rsidR="000D583C">
        <w:rPr>
          <w:rFonts w:cstheme="minorHAnsi"/>
        </w:rPr>
        <w:t>,</w:t>
      </w:r>
      <w:r w:rsidRPr="0064224D">
        <w:rPr>
          <w:rFonts w:cstheme="minorHAnsi"/>
        </w:rPr>
        <w:t xml:space="preserve"> and the mean hourly wage of $</w:t>
      </w:r>
      <w:r w:rsidRPr="0064224D" w:rsidR="00AB5805">
        <w:rPr>
          <w:rFonts w:cstheme="minorHAnsi"/>
        </w:rPr>
        <w:t>53.49</w:t>
      </w:r>
      <w:r w:rsidRPr="0064224D" w:rsidR="00B641D1">
        <w:rPr>
          <w:rFonts w:cstheme="minorHAnsi"/>
        </w:rPr>
        <w:t xml:space="preserve"> </w:t>
      </w:r>
      <w:r w:rsidRPr="0064224D">
        <w:rPr>
          <w:rFonts w:cstheme="minorHAnsi"/>
        </w:rPr>
        <w:t>for Education Administrators, Postsecondary, was used for Institutional</w:t>
      </w:r>
      <w:r w:rsidRPr="0064224D" w:rsidR="005560E7">
        <w:rPr>
          <w:rFonts w:cstheme="minorHAnsi"/>
        </w:rPr>
        <w:t xml:space="preserve"> Officials</w:t>
      </w:r>
      <w:r w:rsidRPr="0064224D">
        <w:rPr>
          <w:rFonts w:cstheme="minorHAnsi"/>
        </w:rPr>
        <w:t>/</w:t>
      </w:r>
      <w:r w:rsidRPr="0064224D" w:rsidR="005560E7">
        <w:rPr>
          <w:rFonts w:cstheme="minorHAnsi"/>
        </w:rPr>
        <w:t xml:space="preserve">Institutional </w:t>
      </w:r>
      <w:r w:rsidRPr="0064224D">
        <w:rPr>
          <w:rFonts w:cstheme="minorHAnsi"/>
        </w:rPr>
        <w:t>Signing Officials. The annual cost burden estimates are calculated sepa</w:t>
      </w:r>
      <w:r w:rsidRPr="0064224D" w:rsidR="00B641D1">
        <w:rPr>
          <w:rFonts w:cstheme="minorHAnsi"/>
        </w:rPr>
        <w:t>rately for the initial DAR and Project Renewal or Project C</w:t>
      </w:r>
      <w:r w:rsidRPr="0064224D">
        <w:rPr>
          <w:rFonts w:cstheme="minorHAnsi"/>
        </w:rPr>
        <w:t>lose-out forms.</w:t>
      </w:r>
    </w:p>
    <w:p w:rsidR="004E54FE" w:rsidRPr="0064224D" w:rsidP="004E54FE" w14:paraId="2AF12BBE" w14:textId="77777777">
      <w:pPr>
        <w:jc w:val="center"/>
        <w:rPr>
          <w:rFonts w:cstheme="minorHAnsi"/>
          <w:b/>
        </w:rPr>
      </w:pPr>
      <w:r w:rsidRPr="0064224D">
        <w:rPr>
          <w:rFonts w:cstheme="minorHAnsi"/>
          <w:b/>
        </w:rPr>
        <w:t>A.12-2 Annualized Cost to the Respondents</w:t>
      </w:r>
    </w:p>
    <w:tbl>
      <w:tblPr>
        <w:tblW w:w="7542" w:type="dxa"/>
        <w:jc w:val="center"/>
        <w:tblLayout w:type="fixed"/>
        <w:tblCellMar>
          <w:left w:w="100" w:type="dxa"/>
          <w:right w:w="100" w:type="dxa"/>
        </w:tblCellMar>
        <w:tblLook w:val="0000"/>
      </w:tblPr>
      <w:tblGrid>
        <w:gridCol w:w="1942"/>
        <w:gridCol w:w="1993"/>
        <w:gridCol w:w="1712"/>
        <w:gridCol w:w="1895"/>
      </w:tblGrid>
      <w:tr w14:paraId="7D1C9E19" w14:textId="77777777" w:rsidTr="00D63DE0">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tcBorders>
          </w:tcPr>
          <w:p w:rsidR="004E54FE" w:rsidRPr="0064224D" w:rsidP="004E54FE" w14:paraId="0CE07636" w14:textId="397BAD87">
            <w:pPr>
              <w:rPr>
                <w:rFonts w:cstheme="minorHAnsi"/>
              </w:rPr>
            </w:pPr>
            <w:r w:rsidRPr="0064224D">
              <w:rPr>
                <w:rFonts w:cstheme="minorHAnsi"/>
              </w:rPr>
              <w:t xml:space="preserve">Type of Respondents </w:t>
            </w:r>
          </w:p>
        </w:tc>
        <w:tc>
          <w:tcPr>
            <w:tcW w:w="1993" w:type="dxa"/>
            <w:tcBorders>
              <w:top w:val="single" w:sz="6" w:space="0" w:color="auto"/>
              <w:left w:val="single" w:sz="6" w:space="0" w:color="auto"/>
              <w:right w:val="single" w:sz="6" w:space="0" w:color="auto"/>
            </w:tcBorders>
          </w:tcPr>
          <w:p w:rsidR="004E54FE" w:rsidRPr="0064224D" w:rsidP="004E54FE" w14:paraId="1A239F21" w14:textId="58BCE0EB">
            <w:pPr>
              <w:rPr>
                <w:rFonts w:cstheme="minorHAnsi"/>
              </w:rPr>
            </w:pPr>
            <w:r w:rsidRPr="0064224D">
              <w:rPr>
                <w:rFonts w:cstheme="minorHAnsi"/>
              </w:rPr>
              <w:t>Total Annual Burden Hours</w:t>
            </w:r>
          </w:p>
        </w:tc>
        <w:tc>
          <w:tcPr>
            <w:tcW w:w="1712" w:type="dxa"/>
            <w:tcBorders>
              <w:top w:val="single" w:sz="6" w:space="0" w:color="auto"/>
              <w:left w:val="single" w:sz="6" w:space="0" w:color="auto"/>
            </w:tcBorders>
          </w:tcPr>
          <w:p w:rsidR="004E54FE" w:rsidRPr="0064224D" w:rsidP="004E54FE" w14:paraId="639C8097" w14:textId="605A6935">
            <w:pPr>
              <w:rPr>
                <w:rFonts w:cstheme="minorHAnsi"/>
              </w:rPr>
            </w:pPr>
            <w:r w:rsidRPr="0064224D">
              <w:rPr>
                <w:rFonts w:cstheme="minorHAnsi"/>
              </w:rPr>
              <w:t>Hourly Respondent Wage Rate</w:t>
            </w:r>
            <w:r w:rsidRPr="0064224D">
              <w:rPr>
                <w:rFonts w:cstheme="minorHAnsi"/>
                <w:vertAlign w:val="superscript"/>
              </w:rPr>
              <w:t>8</w:t>
            </w:r>
          </w:p>
        </w:tc>
        <w:tc>
          <w:tcPr>
            <w:tcW w:w="1895" w:type="dxa"/>
            <w:tcBorders>
              <w:top w:val="single" w:sz="6" w:space="0" w:color="auto"/>
              <w:left w:val="single" w:sz="6" w:space="0" w:color="auto"/>
              <w:right w:val="single" w:sz="6" w:space="0" w:color="auto"/>
            </w:tcBorders>
          </w:tcPr>
          <w:p w:rsidR="004E54FE" w:rsidRPr="0064224D" w:rsidP="004E54FE" w14:paraId="05FE0543" w14:textId="77777777">
            <w:pPr>
              <w:rPr>
                <w:rFonts w:cstheme="minorHAnsi"/>
              </w:rPr>
            </w:pPr>
            <w:r w:rsidRPr="0064224D">
              <w:rPr>
                <w:rFonts w:cstheme="minorHAnsi"/>
              </w:rPr>
              <w:t>Respondent Cost</w:t>
            </w:r>
          </w:p>
        </w:tc>
      </w:tr>
      <w:tr w14:paraId="29BC5DD1" w14:textId="77777777" w:rsidTr="00D63DE0">
        <w:tblPrEx>
          <w:tblW w:w="7542" w:type="dxa"/>
          <w:jc w:val="center"/>
          <w:tblLayout w:type="fixed"/>
          <w:tblCellMar>
            <w:left w:w="100" w:type="dxa"/>
            <w:right w:w="100" w:type="dxa"/>
          </w:tblCellMar>
          <w:tblLook w:val="0000"/>
        </w:tblPrEx>
        <w:trPr>
          <w:cantSplit/>
          <w:trHeight w:val="214"/>
          <w:jc w:val="center"/>
        </w:trPr>
        <w:tc>
          <w:tcPr>
            <w:tcW w:w="7542" w:type="dxa"/>
            <w:gridSpan w:val="4"/>
            <w:tcBorders>
              <w:top w:val="single" w:sz="6" w:space="0" w:color="auto"/>
              <w:left w:val="single" w:sz="6" w:space="0" w:color="auto"/>
              <w:right w:val="single" w:sz="6" w:space="0" w:color="auto"/>
            </w:tcBorders>
          </w:tcPr>
          <w:p w:rsidR="004E54FE" w:rsidRPr="0064224D" w:rsidP="004E54FE" w14:paraId="4DEA1F37" w14:textId="77777777">
            <w:pPr>
              <w:rPr>
                <w:rFonts w:cstheme="minorHAnsi"/>
              </w:rPr>
            </w:pPr>
            <w:r w:rsidRPr="0064224D">
              <w:rPr>
                <w:rFonts w:cstheme="minorHAnsi"/>
              </w:rPr>
              <w:t>Study Registration and Data Submission</w:t>
            </w:r>
          </w:p>
        </w:tc>
      </w:tr>
      <w:tr w14:paraId="3024B5AD" w14:textId="77777777" w:rsidTr="0099535C">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tcBorders>
            <w:vAlign w:val="bottom"/>
          </w:tcPr>
          <w:p w:rsidR="00F7150A" w:rsidRPr="0064224D" w:rsidP="00F7150A" w14:paraId="3A67F6CA" w14:textId="5829C1F3">
            <w:pPr>
              <w:rPr>
                <w:rFonts w:cstheme="minorHAnsi"/>
              </w:rPr>
            </w:pPr>
            <w:r w:rsidRPr="0064224D">
              <w:rPr>
                <w:rFonts w:cstheme="minorHAnsi"/>
              </w:rPr>
              <w:t>Investigator Submitting Data</w:t>
            </w:r>
          </w:p>
        </w:tc>
        <w:tc>
          <w:tcPr>
            <w:tcW w:w="1993" w:type="dxa"/>
            <w:tcBorders>
              <w:top w:val="single" w:sz="6" w:space="0" w:color="auto"/>
              <w:left w:val="single" w:sz="6" w:space="0" w:color="auto"/>
              <w:right w:val="single" w:sz="6" w:space="0" w:color="auto"/>
            </w:tcBorders>
            <w:vAlign w:val="center"/>
          </w:tcPr>
          <w:p w:rsidR="00F7150A" w:rsidRPr="0064224D" w:rsidP="00F7150A" w14:paraId="41737162" w14:textId="2EFC5F16">
            <w:pPr>
              <w:rPr>
                <w:rFonts w:cstheme="minorHAnsi"/>
              </w:rPr>
            </w:pPr>
            <w:r w:rsidRPr="0064224D">
              <w:rPr>
                <w:rFonts w:cstheme="minorHAnsi"/>
                <w:color w:val="000000"/>
              </w:rPr>
              <w:t>1,050</w:t>
            </w:r>
          </w:p>
        </w:tc>
        <w:tc>
          <w:tcPr>
            <w:tcW w:w="1712" w:type="dxa"/>
            <w:tcBorders>
              <w:top w:val="single" w:sz="6" w:space="0" w:color="auto"/>
              <w:left w:val="single" w:sz="6" w:space="0" w:color="auto"/>
            </w:tcBorders>
            <w:vAlign w:val="center"/>
          </w:tcPr>
          <w:p w:rsidR="00F7150A" w:rsidRPr="0064224D" w:rsidP="00F7150A" w14:paraId="04D199D1" w14:textId="0C1155F7">
            <w:pPr>
              <w:rPr>
                <w:rFonts w:cstheme="minorHAnsi"/>
              </w:rPr>
            </w:pPr>
            <w:r w:rsidRPr="0064224D">
              <w:rPr>
                <w:rFonts w:cstheme="minorHAnsi"/>
              </w:rPr>
              <w:t>$44.80</w:t>
            </w:r>
          </w:p>
        </w:tc>
        <w:tc>
          <w:tcPr>
            <w:tcW w:w="1895" w:type="dxa"/>
            <w:tcBorders>
              <w:top w:val="single" w:sz="6" w:space="0" w:color="auto"/>
              <w:left w:val="single" w:sz="6" w:space="0" w:color="auto"/>
              <w:right w:val="single" w:sz="6" w:space="0" w:color="auto"/>
            </w:tcBorders>
            <w:vAlign w:val="center"/>
          </w:tcPr>
          <w:p w:rsidR="00F7150A" w:rsidRPr="0064224D" w:rsidP="00F7150A" w14:paraId="780698E6" w14:textId="12FB175F">
            <w:pPr>
              <w:rPr>
                <w:rFonts w:cstheme="minorHAnsi"/>
              </w:rPr>
            </w:pPr>
            <w:r w:rsidRPr="0064224D">
              <w:rPr>
                <w:rFonts w:cstheme="minorHAnsi"/>
              </w:rPr>
              <w:t>$</w:t>
            </w:r>
            <w:r w:rsidRPr="0064224D" w:rsidR="00625204">
              <w:rPr>
                <w:rFonts w:cstheme="minorHAnsi"/>
              </w:rPr>
              <w:t>47,040</w:t>
            </w:r>
          </w:p>
        </w:tc>
      </w:tr>
      <w:tr w14:paraId="57F30428" w14:textId="77777777" w:rsidTr="0099535C">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tcBorders>
            <w:vAlign w:val="bottom"/>
          </w:tcPr>
          <w:p w:rsidR="00F7150A" w:rsidRPr="0064224D" w:rsidP="00F7150A" w14:paraId="10F9B28B" w14:textId="22D8A5FC">
            <w:pPr>
              <w:rPr>
                <w:rFonts w:cstheme="minorHAnsi"/>
              </w:rPr>
            </w:pPr>
            <w:r w:rsidRPr="0064224D">
              <w:rPr>
                <w:rFonts w:cstheme="minorHAnsi"/>
              </w:rPr>
              <w:t>Investigator filling out Institutional Certification</w:t>
            </w:r>
          </w:p>
        </w:tc>
        <w:tc>
          <w:tcPr>
            <w:tcW w:w="1993" w:type="dxa"/>
            <w:tcBorders>
              <w:top w:val="single" w:sz="6" w:space="0" w:color="auto"/>
              <w:left w:val="single" w:sz="6" w:space="0" w:color="auto"/>
              <w:right w:val="single" w:sz="6" w:space="0" w:color="auto"/>
            </w:tcBorders>
            <w:vAlign w:val="center"/>
          </w:tcPr>
          <w:p w:rsidR="00F7150A" w:rsidRPr="0064224D" w:rsidP="00F7150A" w14:paraId="56434620" w14:textId="1D610D6F">
            <w:pPr>
              <w:rPr>
                <w:rFonts w:cstheme="minorHAnsi"/>
              </w:rPr>
            </w:pPr>
            <w:r w:rsidRPr="0064224D">
              <w:rPr>
                <w:rFonts w:cstheme="minorHAnsi"/>
                <w:color w:val="000000"/>
              </w:rPr>
              <w:t>788</w:t>
            </w:r>
          </w:p>
        </w:tc>
        <w:tc>
          <w:tcPr>
            <w:tcW w:w="1712" w:type="dxa"/>
            <w:tcBorders>
              <w:top w:val="single" w:sz="6" w:space="0" w:color="auto"/>
              <w:left w:val="single" w:sz="6" w:space="0" w:color="auto"/>
            </w:tcBorders>
            <w:vAlign w:val="center"/>
          </w:tcPr>
          <w:p w:rsidR="00F7150A" w:rsidRPr="0064224D" w:rsidP="00F7150A" w14:paraId="6DE62C56" w14:textId="3538FD81">
            <w:pPr>
              <w:rPr>
                <w:rFonts w:cstheme="minorHAnsi"/>
              </w:rPr>
            </w:pPr>
            <w:r w:rsidRPr="0064224D">
              <w:rPr>
                <w:rFonts w:cstheme="minorHAnsi"/>
              </w:rPr>
              <w:t>$44.80</w:t>
            </w:r>
          </w:p>
        </w:tc>
        <w:tc>
          <w:tcPr>
            <w:tcW w:w="1895" w:type="dxa"/>
            <w:tcBorders>
              <w:top w:val="single" w:sz="6" w:space="0" w:color="auto"/>
              <w:left w:val="single" w:sz="6" w:space="0" w:color="auto"/>
              <w:right w:val="single" w:sz="6" w:space="0" w:color="auto"/>
            </w:tcBorders>
            <w:vAlign w:val="center"/>
          </w:tcPr>
          <w:p w:rsidR="00F7150A" w:rsidRPr="0064224D" w:rsidP="00F7150A" w14:paraId="323FE2F8" w14:textId="0501F6FA">
            <w:pPr>
              <w:rPr>
                <w:rFonts w:cstheme="minorHAnsi"/>
              </w:rPr>
            </w:pPr>
            <w:r w:rsidRPr="0064224D">
              <w:rPr>
                <w:rFonts w:cstheme="minorHAnsi"/>
              </w:rPr>
              <w:t>$</w:t>
            </w:r>
            <w:r w:rsidRPr="0064224D" w:rsidR="00625204">
              <w:rPr>
                <w:rFonts w:cstheme="minorHAnsi"/>
              </w:rPr>
              <w:t>47,040</w:t>
            </w:r>
          </w:p>
        </w:tc>
      </w:tr>
      <w:tr w14:paraId="7D1177F3" w14:textId="77777777" w:rsidTr="0099535C">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vAlign w:val="bottom"/>
          </w:tcPr>
          <w:p w:rsidR="00F7150A" w:rsidRPr="0064224D" w:rsidP="00F7150A" w14:paraId="0B5A8D16" w14:textId="6E8A0821">
            <w:pPr>
              <w:rPr>
                <w:rFonts w:cstheme="minorHAnsi"/>
              </w:rPr>
            </w:pPr>
            <w:r w:rsidRPr="0064224D">
              <w:rPr>
                <w:rFonts w:cstheme="minorHAnsi"/>
              </w:rPr>
              <w:t>Institutional Official to Certify Submission</w:t>
            </w:r>
          </w:p>
        </w:tc>
        <w:tc>
          <w:tcPr>
            <w:tcW w:w="1993" w:type="dxa"/>
            <w:tcBorders>
              <w:top w:val="single" w:sz="6" w:space="0" w:color="auto"/>
              <w:left w:val="single" w:sz="6" w:space="0" w:color="auto"/>
              <w:bottom w:val="single" w:sz="6" w:space="0" w:color="auto"/>
              <w:right w:val="single" w:sz="6" w:space="0" w:color="auto"/>
            </w:tcBorders>
            <w:vAlign w:val="center"/>
          </w:tcPr>
          <w:p w:rsidR="00F7150A" w:rsidRPr="0064224D" w:rsidP="00F7150A" w14:paraId="2BE3334D" w14:textId="3C4E8859">
            <w:pPr>
              <w:rPr>
                <w:rFonts w:cstheme="minorHAnsi"/>
              </w:rPr>
            </w:pPr>
            <w:r w:rsidRPr="0064224D">
              <w:rPr>
                <w:rFonts w:cstheme="minorHAnsi"/>
                <w:color w:val="000000"/>
              </w:rPr>
              <w:t>788</w:t>
            </w:r>
          </w:p>
        </w:tc>
        <w:tc>
          <w:tcPr>
            <w:tcW w:w="1712" w:type="dxa"/>
            <w:tcBorders>
              <w:top w:val="single" w:sz="6" w:space="0" w:color="auto"/>
              <w:left w:val="single" w:sz="6" w:space="0" w:color="auto"/>
              <w:bottom w:val="single" w:sz="6" w:space="0" w:color="auto"/>
            </w:tcBorders>
            <w:vAlign w:val="center"/>
          </w:tcPr>
          <w:p w:rsidR="00F7150A" w:rsidRPr="0064224D" w:rsidP="00F7150A" w14:paraId="4633CE30" w14:textId="12921F27">
            <w:pPr>
              <w:rPr>
                <w:rFonts w:cstheme="minorHAnsi"/>
              </w:rPr>
            </w:pPr>
            <w:r w:rsidRPr="0064224D">
              <w:rPr>
                <w:rFonts w:cstheme="minorHAnsi"/>
              </w:rPr>
              <w:t>$53.49</w:t>
            </w:r>
          </w:p>
        </w:tc>
        <w:tc>
          <w:tcPr>
            <w:tcW w:w="1895" w:type="dxa"/>
            <w:tcBorders>
              <w:top w:val="single" w:sz="6" w:space="0" w:color="auto"/>
              <w:left w:val="single" w:sz="6" w:space="0" w:color="auto"/>
              <w:bottom w:val="single" w:sz="6" w:space="0" w:color="auto"/>
              <w:right w:val="single" w:sz="6" w:space="0" w:color="auto"/>
            </w:tcBorders>
            <w:vAlign w:val="center"/>
          </w:tcPr>
          <w:p w:rsidR="00F7150A" w:rsidRPr="0064224D" w:rsidP="00F7150A" w14:paraId="4C79F0A3" w14:textId="71271244">
            <w:pPr>
              <w:rPr>
                <w:rFonts w:cstheme="minorHAnsi"/>
              </w:rPr>
            </w:pPr>
            <w:r w:rsidRPr="0064224D">
              <w:rPr>
                <w:rFonts w:cstheme="minorHAnsi"/>
              </w:rPr>
              <w:t>$</w:t>
            </w:r>
            <w:r w:rsidRPr="0064224D" w:rsidR="00625204">
              <w:rPr>
                <w:rFonts w:cstheme="minorHAnsi"/>
              </w:rPr>
              <w:t>42123.38</w:t>
            </w:r>
          </w:p>
        </w:tc>
      </w:tr>
      <w:tr w14:paraId="3DFE87CD" w14:textId="77777777" w:rsidTr="0099535C">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vAlign w:val="bottom"/>
          </w:tcPr>
          <w:p w:rsidR="00C1097C" w:rsidRPr="0064224D" w:rsidP="00C1097C" w14:paraId="6CF4608F" w14:textId="7AF892B9">
            <w:pPr>
              <w:rPr>
                <w:rFonts w:cstheme="minorHAnsi"/>
              </w:rPr>
            </w:pPr>
            <w:r w:rsidRPr="0064224D">
              <w:rPr>
                <w:rFonts w:cstheme="minorHAnsi"/>
                <w:highlight w:val="yellow"/>
              </w:rPr>
              <w:t>Investigator filling out Provisional Institutional Certification</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76293F17" w14:textId="13BF6BEE">
            <w:pPr>
              <w:rPr>
                <w:rFonts w:cstheme="minorHAnsi"/>
                <w:color w:val="000000"/>
              </w:rPr>
            </w:pPr>
            <w:r w:rsidRPr="0064224D">
              <w:rPr>
                <w:rFonts w:cstheme="minorHAnsi"/>
                <w:color w:val="000000"/>
              </w:rPr>
              <w:t>75</w:t>
            </w:r>
          </w:p>
        </w:tc>
        <w:tc>
          <w:tcPr>
            <w:tcW w:w="1712" w:type="dxa"/>
            <w:tcBorders>
              <w:top w:val="single" w:sz="6" w:space="0" w:color="auto"/>
              <w:left w:val="single" w:sz="6" w:space="0" w:color="auto"/>
              <w:bottom w:val="single" w:sz="6" w:space="0" w:color="auto"/>
            </w:tcBorders>
            <w:vAlign w:val="center"/>
          </w:tcPr>
          <w:p w:rsidR="00C1097C" w:rsidRPr="0064224D" w:rsidP="00C1097C" w14:paraId="276650EA" w14:textId="1CF910CD">
            <w:pPr>
              <w:rPr>
                <w:rFonts w:cstheme="minorHAnsi"/>
              </w:rPr>
            </w:pPr>
            <w:r w:rsidRPr="0064224D">
              <w:rPr>
                <w:rFonts w:cstheme="minorHAnsi"/>
              </w:rPr>
              <w:t>$44.80</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1B3AE8B7" w14:textId="2B4A5178">
            <w:pPr>
              <w:rPr>
                <w:rFonts w:cstheme="minorHAnsi"/>
              </w:rPr>
            </w:pPr>
            <w:r w:rsidRPr="0064224D">
              <w:rPr>
                <w:rFonts w:cstheme="minorHAnsi"/>
              </w:rPr>
              <w:t>$3,360</w:t>
            </w:r>
          </w:p>
        </w:tc>
      </w:tr>
      <w:tr w14:paraId="053E1C5C" w14:textId="77777777" w:rsidTr="0099535C">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vAlign w:val="bottom"/>
          </w:tcPr>
          <w:p w:rsidR="00C1097C" w:rsidRPr="0064224D" w:rsidP="00C1097C" w14:paraId="2585320F" w14:textId="018F1946">
            <w:pPr>
              <w:rPr>
                <w:rFonts w:cstheme="minorHAnsi"/>
              </w:rPr>
            </w:pPr>
            <w:r w:rsidRPr="0064224D">
              <w:rPr>
                <w:rFonts w:cstheme="minorHAnsi"/>
                <w:highlight w:val="yellow"/>
              </w:rPr>
              <w:t>Institutional Official to Certify Provisional Submission</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01DE40D2" w14:textId="00821E9A">
            <w:pPr>
              <w:rPr>
                <w:rFonts w:cstheme="minorHAnsi"/>
                <w:color w:val="000000"/>
              </w:rPr>
            </w:pPr>
            <w:r w:rsidRPr="0064224D">
              <w:rPr>
                <w:rFonts w:cstheme="minorHAnsi"/>
                <w:color w:val="000000"/>
              </w:rPr>
              <w:t>75</w:t>
            </w:r>
          </w:p>
        </w:tc>
        <w:tc>
          <w:tcPr>
            <w:tcW w:w="1712" w:type="dxa"/>
            <w:tcBorders>
              <w:top w:val="single" w:sz="6" w:space="0" w:color="auto"/>
              <w:left w:val="single" w:sz="6" w:space="0" w:color="auto"/>
              <w:bottom w:val="single" w:sz="6" w:space="0" w:color="auto"/>
            </w:tcBorders>
            <w:vAlign w:val="center"/>
          </w:tcPr>
          <w:p w:rsidR="00C1097C" w:rsidRPr="0064224D" w:rsidP="00C1097C" w14:paraId="466963D3" w14:textId="65C7EDC6">
            <w:pPr>
              <w:rPr>
                <w:rFonts w:cstheme="minorHAnsi"/>
              </w:rPr>
            </w:pPr>
            <w:r w:rsidRPr="0064224D">
              <w:rPr>
                <w:rFonts w:cstheme="minorHAnsi"/>
              </w:rPr>
              <w:t>$53.49</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54275D96" w14:textId="6C76C68B">
            <w:pPr>
              <w:rPr>
                <w:rFonts w:cstheme="minorHAnsi"/>
              </w:rPr>
            </w:pPr>
            <w:r w:rsidRPr="0064224D">
              <w:rPr>
                <w:rFonts w:cstheme="minorHAnsi"/>
              </w:rPr>
              <w:t>$4,011.75</w:t>
            </w:r>
          </w:p>
        </w:tc>
      </w:tr>
      <w:tr w14:paraId="7C137BB0" w14:textId="77777777" w:rsidTr="005815FE">
        <w:tblPrEx>
          <w:tblW w:w="7542" w:type="dxa"/>
          <w:jc w:val="center"/>
          <w:tblLayout w:type="fixed"/>
          <w:tblCellMar>
            <w:left w:w="100" w:type="dxa"/>
            <w:right w:w="100" w:type="dxa"/>
          </w:tblCellMar>
          <w:tblLook w:val="0000"/>
        </w:tblPrEx>
        <w:trPr>
          <w:cantSplit/>
          <w:trHeight w:val="214"/>
          <w:jc w:val="center"/>
        </w:trPr>
        <w:tc>
          <w:tcPr>
            <w:tcW w:w="7542"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1097C" w:rsidRPr="0064224D" w:rsidP="00C1097C" w14:paraId="20F542E1" w14:textId="77777777">
            <w:pPr>
              <w:rPr>
                <w:rFonts w:cstheme="minorHAnsi"/>
                <w:color w:val="FFFFFF" w:themeColor="background1"/>
                <w:highlight w:val="blue"/>
              </w:rPr>
            </w:pPr>
          </w:p>
        </w:tc>
      </w:tr>
      <w:tr w14:paraId="322F53B4" w14:textId="77777777" w:rsidTr="00D63DE0">
        <w:tblPrEx>
          <w:tblW w:w="7542" w:type="dxa"/>
          <w:jc w:val="center"/>
          <w:tblLayout w:type="fixed"/>
          <w:tblCellMar>
            <w:left w:w="100" w:type="dxa"/>
            <w:right w:w="100" w:type="dxa"/>
          </w:tblCellMar>
          <w:tblLook w:val="0000"/>
        </w:tblPrEx>
        <w:trPr>
          <w:cantSplit/>
          <w:trHeight w:val="214"/>
          <w:jc w:val="center"/>
        </w:trPr>
        <w:tc>
          <w:tcPr>
            <w:tcW w:w="7542" w:type="dxa"/>
            <w:gridSpan w:val="4"/>
            <w:tcBorders>
              <w:top w:val="single" w:sz="6" w:space="0" w:color="auto"/>
              <w:left w:val="single" w:sz="6" w:space="0" w:color="auto"/>
              <w:bottom w:val="single" w:sz="6" w:space="0" w:color="auto"/>
              <w:right w:val="single" w:sz="6" w:space="0" w:color="auto"/>
            </w:tcBorders>
          </w:tcPr>
          <w:p w:rsidR="00C1097C" w:rsidRPr="0064224D" w:rsidP="00C1097C" w14:paraId="2233A435" w14:textId="77777777">
            <w:pPr>
              <w:rPr>
                <w:rFonts w:cstheme="minorHAnsi"/>
              </w:rPr>
            </w:pPr>
            <w:r w:rsidRPr="0064224D">
              <w:rPr>
                <w:rFonts w:cstheme="minorHAnsi"/>
              </w:rPr>
              <w:t>Requesting Access to Data</w:t>
            </w:r>
          </w:p>
        </w:tc>
      </w:tr>
      <w:tr w14:paraId="5AA4E471" w14:textId="77777777" w:rsidTr="00D63DE0">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tcPr>
          <w:p w:rsidR="00C1097C" w:rsidRPr="0064224D" w:rsidP="00C1097C" w14:paraId="5CAB010C" w14:textId="6FFAC8C8">
            <w:pPr>
              <w:rPr>
                <w:rFonts w:cstheme="minorHAnsi"/>
              </w:rPr>
            </w:pPr>
            <w:r w:rsidRPr="0064224D">
              <w:rPr>
                <w:rFonts w:cstheme="minorHAnsi"/>
              </w:rPr>
              <w:t>Requester Submitting Request</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27540F57" w14:textId="64674B93">
            <w:pPr>
              <w:rPr>
                <w:rFonts w:cstheme="minorHAnsi"/>
              </w:rPr>
            </w:pPr>
            <w:r w:rsidRPr="0064224D">
              <w:rPr>
                <w:rFonts w:cstheme="minorHAnsi"/>
              </w:rPr>
              <w:t>39,000</w:t>
            </w:r>
          </w:p>
        </w:tc>
        <w:tc>
          <w:tcPr>
            <w:tcW w:w="1712" w:type="dxa"/>
            <w:tcBorders>
              <w:top w:val="single" w:sz="6" w:space="0" w:color="auto"/>
              <w:left w:val="single" w:sz="6" w:space="0" w:color="auto"/>
              <w:bottom w:val="single" w:sz="6" w:space="0" w:color="auto"/>
            </w:tcBorders>
            <w:vAlign w:val="center"/>
          </w:tcPr>
          <w:p w:rsidR="00C1097C" w:rsidRPr="0064224D" w:rsidP="00C1097C" w14:paraId="5EDD383F" w14:textId="0E0166AC">
            <w:pPr>
              <w:rPr>
                <w:rFonts w:cstheme="minorHAnsi"/>
              </w:rPr>
            </w:pPr>
            <w:r w:rsidRPr="0064224D">
              <w:rPr>
                <w:rFonts w:cstheme="minorHAnsi"/>
              </w:rPr>
              <w:t>$44.80</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67C3B934" w14:textId="38E346EF">
            <w:pPr>
              <w:rPr>
                <w:rFonts w:cstheme="minorHAnsi"/>
              </w:rPr>
            </w:pPr>
            <w:r w:rsidRPr="0064224D">
              <w:rPr>
                <w:rFonts w:cstheme="minorHAnsi"/>
              </w:rPr>
              <w:t xml:space="preserve">$1,747,200 </w:t>
            </w:r>
          </w:p>
        </w:tc>
      </w:tr>
      <w:tr w14:paraId="448AB31E" w14:textId="77777777" w:rsidTr="00D63DE0">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tcPr>
          <w:p w:rsidR="00C1097C" w:rsidRPr="0064224D" w:rsidP="00C1097C" w14:paraId="02DCBA1E" w14:textId="3C0A9EAF">
            <w:pPr>
              <w:rPr>
                <w:rFonts w:cstheme="minorHAnsi"/>
              </w:rPr>
            </w:pPr>
            <w:r w:rsidRPr="0064224D">
              <w:rPr>
                <w:rFonts w:cstheme="minorHAnsi"/>
              </w:rPr>
              <w:t>Institutional Signing Official to Certify Request</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68DCB610" w14:textId="319DB0D1">
            <w:pPr>
              <w:rPr>
                <w:rFonts w:cstheme="minorHAnsi"/>
              </w:rPr>
            </w:pPr>
            <w:r w:rsidRPr="0064224D">
              <w:rPr>
                <w:rFonts w:cstheme="minorHAnsi"/>
              </w:rPr>
              <w:t>39,000</w:t>
            </w:r>
          </w:p>
        </w:tc>
        <w:tc>
          <w:tcPr>
            <w:tcW w:w="1712" w:type="dxa"/>
            <w:tcBorders>
              <w:top w:val="single" w:sz="6" w:space="0" w:color="auto"/>
              <w:left w:val="single" w:sz="6" w:space="0" w:color="auto"/>
              <w:bottom w:val="single" w:sz="6" w:space="0" w:color="auto"/>
            </w:tcBorders>
            <w:vAlign w:val="center"/>
          </w:tcPr>
          <w:p w:rsidR="00C1097C" w:rsidRPr="0064224D" w:rsidP="00C1097C" w14:paraId="7641613F" w14:textId="60BE2C27">
            <w:pPr>
              <w:rPr>
                <w:rFonts w:cstheme="minorHAnsi"/>
              </w:rPr>
            </w:pPr>
            <w:r w:rsidRPr="0064224D">
              <w:rPr>
                <w:rFonts w:cstheme="minorHAnsi"/>
              </w:rPr>
              <w:t>$53.49</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453CB223" w14:textId="685A7B6C">
            <w:pPr>
              <w:rPr>
                <w:rFonts w:cstheme="minorHAnsi"/>
              </w:rPr>
            </w:pPr>
            <w:r w:rsidRPr="0064224D">
              <w:rPr>
                <w:rFonts w:cstheme="minorHAnsi"/>
              </w:rPr>
              <w:t xml:space="preserve">$2,086,110 </w:t>
            </w:r>
          </w:p>
        </w:tc>
      </w:tr>
      <w:tr w14:paraId="6AD18D8A" w14:textId="77777777" w:rsidTr="005815FE">
        <w:tblPrEx>
          <w:tblW w:w="7542" w:type="dxa"/>
          <w:jc w:val="center"/>
          <w:tblLayout w:type="fixed"/>
          <w:tblCellMar>
            <w:left w:w="100" w:type="dxa"/>
            <w:right w:w="100" w:type="dxa"/>
          </w:tblCellMar>
          <w:tblLook w:val="0000"/>
        </w:tblPrEx>
        <w:trPr>
          <w:cantSplit/>
          <w:trHeight w:val="214"/>
          <w:jc w:val="center"/>
        </w:trPr>
        <w:tc>
          <w:tcPr>
            <w:tcW w:w="7542"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C1097C" w:rsidRPr="0064224D" w:rsidP="00C1097C" w14:paraId="333A9E24" w14:textId="77777777">
            <w:pPr>
              <w:rPr>
                <w:rFonts w:cstheme="minorHAnsi"/>
              </w:rPr>
            </w:pPr>
          </w:p>
        </w:tc>
      </w:tr>
      <w:tr w14:paraId="49B2EEE4" w14:textId="77777777" w:rsidTr="00D63DE0">
        <w:tblPrEx>
          <w:tblW w:w="7542" w:type="dxa"/>
          <w:jc w:val="center"/>
          <w:tblLayout w:type="fixed"/>
          <w:tblCellMar>
            <w:left w:w="100" w:type="dxa"/>
            <w:right w:w="100" w:type="dxa"/>
          </w:tblCellMar>
          <w:tblLook w:val="0000"/>
        </w:tblPrEx>
        <w:trPr>
          <w:cantSplit/>
          <w:trHeight w:val="214"/>
          <w:jc w:val="center"/>
        </w:trPr>
        <w:tc>
          <w:tcPr>
            <w:tcW w:w="7542" w:type="dxa"/>
            <w:gridSpan w:val="4"/>
            <w:tcBorders>
              <w:top w:val="single" w:sz="6" w:space="0" w:color="auto"/>
              <w:left w:val="single" w:sz="6" w:space="0" w:color="auto"/>
              <w:bottom w:val="single" w:sz="6" w:space="0" w:color="auto"/>
              <w:right w:val="single" w:sz="6" w:space="0" w:color="auto"/>
            </w:tcBorders>
          </w:tcPr>
          <w:p w:rsidR="00C1097C" w:rsidRPr="0064224D" w:rsidP="00C1097C" w14:paraId="18066DE7" w14:textId="73E47FAF">
            <w:pPr>
              <w:rPr>
                <w:rFonts w:cstheme="minorHAnsi"/>
              </w:rPr>
            </w:pPr>
            <w:r w:rsidRPr="0064224D">
              <w:rPr>
                <w:rFonts w:cstheme="minorHAnsi"/>
              </w:rPr>
              <w:t>Project Renewal/Project Close-out Process</w:t>
            </w:r>
          </w:p>
        </w:tc>
      </w:tr>
      <w:tr w14:paraId="580818A8" w14:textId="77777777" w:rsidTr="00D63DE0">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tcPr>
          <w:p w:rsidR="00C1097C" w:rsidRPr="0064224D" w:rsidP="00C1097C" w14:paraId="70836E9A" w14:textId="1F32ABA3">
            <w:pPr>
              <w:rPr>
                <w:rFonts w:cstheme="minorHAnsi"/>
              </w:rPr>
            </w:pPr>
            <w:r w:rsidRPr="0064224D">
              <w:rPr>
                <w:rFonts w:cstheme="minorHAnsi"/>
              </w:rPr>
              <w:t>Requester Submitting Request</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7D36F89C" w14:textId="35AADEA8">
            <w:pPr>
              <w:rPr>
                <w:rFonts w:cstheme="minorHAnsi"/>
              </w:rPr>
            </w:pPr>
            <w:r w:rsidRPr="0064224D">
              <w:rPr>
                <w:rFonts w:cstheme="minorHAnsi"/>
              </w:rPr>
              <w:t>39,000</w:t>
            </w:r>
          </w:p>
        </w:tc>
        <w:tc>
          <w:tcPr>
            <w:tcW w:w="1712" w:type="dxa"/>
            <w:tcBorders>
              <w:top w:val="single" w:sz="6" w:space="0" w:color="auto"/>
              <w:left w:val="single" w:sz="6" w:space="0" w:color="auto"/>
              <w:bottom w:val="single" w:sz="6" w:space="0" w:color="auto"/>
            </w:tcBorders>
            <w:vAlign w:val="center"/>
          </w:tcPr>
          <w:p w:rsidR="00C1097C" w:rsidRPr="0064224D" w:rsidP="00C1097C" w14:paraId="40EC83D0" w14:textId="1216071A">
            <w:pPr>
              <w:rPr>
                <w:rFonts w:cstheme="minorHAnsi"/>
              </w:rPr>
            </w:pPr>
            <w:r w:rsidRPr="0064224D">
              <w:rPr>
                <w:rFonts w:cstheme="minorHAnsi"/>
              </w:rPr>
              <w:t>$44.80</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4C89A83D" w14:textId="32368ED6">
            <w:pPr>
              <w:rPr>
                <w:rFonts w:cstheme="minorHAnsi"/>
              </w:rPr>
            </w:pPr>
            <w:r w:rsidRPr="0064224D">
              <w:rPr>
                <w:rFonts w:cstheme="minorHAnsi"/>
              </w:rPr>
              <w:t>$1,747,200</w:t>
            </w:r>
          </w:p>
        </w:tc>
      </w:tr>
      <w:tr w14:paraId="40A896B5" w14:textId="77777777" w:rsidTr="008741B7">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tcPr>
          <w:p w:rsidR="00C1097C" w:rsidRPr="0064224D" w:rsidP="00C1097C" w14:paraId="49A6BF78" w14:textId="75EF4B74">
            <w:pPr>
              <w:rPr>
                <w:rFonts w:cstheme="minorHAnsi"/>
              </w:rPr>
            </w:pPr>
            <w:r w:rsidRPr="0064224D">
              <w:rPr>
                <w:rFonts w:cstheme="minorHAnsi"/>
              </w:rPr>
              <w:t>Institutional Signing Official to Certify Request</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1D0C41A7" w14:textId="0561562C">
            <w:pPr>
              <w:rPr>
                <w:rFonts w:cstheme="minorHAnsi"/>
              </w:rPr>
            </w:pPr>
            <w:r w:rsidRPr="0064224D">
              <w:rPr>
                <w:rFonts w:cstheme="minorHAnsi"/>
              </w:rPr>
              <w:t>39,000</w:t>
            </w:r>
          </w:p>
        </w:tc>
        <w:tc>
          <w:tcPr>
            <w:tcW w:w="1712" w:type="dxa"/>
            <w:tcBorders>
              <w:top w:val="single" w:sz="6" w:space="0" w:color="auto"/>
              <w:left w:val="single" w:sz="6" w:space="0" w:color="auto"/>
              <w:bottom w:val="single" w:sz="6" w:space="0" w:color="auto"/>
            </w:tcBorders>
            <w:vAlign w:val="center"/>
          </w:tcPr>
          <w:p w:rsidR="00C1097C" w:rsidRPr="0064224D" w:rsidP="00C1097C" w14:paraId="7A3F5C16" w14:textId="2A903AEB">
            <w:pPr>
              <w:rPr>
                <w:rFonts w:cstheme="minorHAnsi"/>
              </w:rPr>
            </w:pPr>
            <w:r w:rsidRPr="0064224D">
              <w:rPr>
                <w:rFonts w:cstheme="minorHAnsi"/>
              </w:rPr>
              <w:t>$53.49</w:t>
            </w: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6BBCAF93" w14:textId="09150750">
            <w:pPr>
              <w:rPr>
                <w:rFonts w:cstheme="minorHAnsi"/>
              </w:rPr>
            </w:pPr>
            <w:r w:rsidRPr="0064224D">
              <w:rPr>
                <w:rFonts w:cstheme="minorHAnsi"/>
              </w:rPr>
              <w:t>$2,086,110</w:t>
            </w:r>
          </w:p>
        </w:tc>
      </w:tr>
      <w:tr w14:paraId="1E94D3BC" w14:textId="77777777" w:rsidTr="008741B7">
        <w:tblPrEx>
          <w:tblW w:w="7542" w:type="dxa"/>
          <w:jc w:val="center"/>
          <w:tblLayout w:type="fixed"/>
          <w:tblCellMar>
            <w:left w:w="100" w:type="dxa"/>
            <w:right w:w="100" w:type="dxa"/>
          </w:tblCellMar>
          <w:tblLook w:val="0000"/>
        </w:tblPrEx>
        <w:trPr>
          <w:cantSplit/>
          <w:trHeight w:val="214"/>
          <w:jc w:val="center"/>
        </w:trPr>
        <w:tc>
          <w:tcPr>
            <w:tcW w:w="1942" w:type="dxa"/>
            <w:tcBorders>
              <w:top w:val="single" w:sz="6" w:space="0" w:color="auto"/>
              <w:left w:val="single" w:sz="6" w:space="0" w:color="auto"/>
              <w:bottom w:val="single" w:sz="6" w:space="0" w:color="auto"/>
            </w:tcBorders>
          </w:tcPr>
          <w:p w:rsidR="00C1097C" w:rsidRPr="0064224D" w:rsidP="00C1097C" w14:paraId="1DCBD977" w14:textId="170048C4">
            <w:pPr>
              <w:rPr>
                <w:rFonts w:cstheme="minorHAnsi"/>
              </w:rPr>
            </w:pPr>
            <w:r w:rsidRPr="0064224D">
              <w:rPr>
                <w:rFonts w:cstheme="minorHAnsi"/>
              </w:rPr>
              <w:t>Total</w:t>
            </w:r>
          </w:p>
        </w:tc>
        <w:tc>
          <w:tcPr>
            <w:tcW w:w="1993"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30626DD1" w14:textId="0EEA2462">
            <w:pPr>
              <w:rPr>
                <w:rFonts w:cstheme="minorHAnsi"/>
              </w:rPr>
            </w:pPr>
            <w:r w:rsidRPr="0064224D">
              <w:rPr>
                <w:rFonts w:cstheme="minorHAnsi"/>
              </w:rPr>
              <w:t>158,776</w:t>
            </w:r>
          </w:p>
        </w:tc>
        <w:tc>
          <w:tcPr>
            <w:tcW w:w="1712" w:type="dxa"/>
            <w:tcBorders>
              <w:top w:val="single" w:sz="6" w:space="0" w:color="auto"/>
              <w:left w:val="single" w:sz="6" w:space="0" w:color="auto"/>
              <w:bottom w:val="single" w:sz="6" w:space="0" w:color="auto"/>
            </w:tcBorders>
            <w:vAlign w:val="center"/>
          </w:tcPr>
          <w:p w:rsidR="00C1097C" w:rsidRPr="0064224D" w:rsidP="00C1097C" w14:paraId="4B1BBE9F" w14:textId="77777777">
            <w:pPr>
              <w:rPr>
                <w:rFonts w:cstheme="minorHAnsi"/>
              </w:rPr>
            </w:pPr>
          </w:p>
        </w:tc>
        <w:tc>
          <w:tcPr>
            <w:tcW w:w="1895" w:type="dxa"/>
            <w:tcBorders>
              <w:top w:val="single" w:sz="6" w:space="0" w:color="auto"/>
              <w:left w:val="single" w:sz="6" w:space="0" w:color="auto"/>
              <w:bottom w:val="single" w:sz="6" w:space="0" w:color="auto"/>
              <w:right w:val="single" w:sz="6" w:space="0" w:color="auto"/>
            </w:tcBorders>
            <w:vAlign w:val="center"/>
          </w:tcPr>
          <w:p w:rsidR="00C1097C" w:rsidRPr="0064224D" w:rsidP="00C1097C" w14:paraId="026CAF7C" w14:textId="3B9EDFBB">
            <w:pPr>
              <w:rPr>
                <w:rFonts w:cstheme="minorHAnsi"/>
              </w:rPr>
            </w:pPr>
            <w:r w:rsidRPr="0064224D">
              <w:rPr>
                <w:rFonts w:cstheme="minorHAnsi"/>
              </w:rPr>
              <w:t>$7,8</w:t>
            </w:r>
            <w:r w:rsidRPr="0064224D" w:rsidR="002902DF">
              <w:rPr>
                <w:rFonts w:cstheme="minorHAnsi"/>
              </w:rPr>
              <w:t>10</w:t>
            </w:r>
            <w:r w:rsidRPr="0064224D">
              <w:rPr>
                <w:rFonts w:cstheme="minorHAnsi"/>
              </w:rPr>
              <w:t>,</w:t>
            </w:r>
            <w:r w:rsidRPr="0064224D" w:rsidR="002902DF">
              <w:rPr>
                <w:rFonts w:cstheme="minorHAnsi"/>
              </w:rPr>
              <w:t>195.13</w:t>
            </w:r>
          </w:p>
        </w:tc>
      </w:tr>
    </w:tbl>
    <w:p w:rsidR="008741B7" w:rsidRPr="0064224D" w:rsidP="008741B7" w14:paraId="4D62D5DA" w14:textId="77777777">
      <w:pPr>
        <w:rPr>
          <w:rFonts w:cstheme="minorHAnsi"/>
        </w:rPr>
      </w:pPr>
    </w:p>
    <w:p w:rsidR="008741B7" w:rsidRPr="0064224D" w:rsidP="008741B7" w14:paraId="7440E089" w14:textId="77777777">
      <w:pPr>
        <w:rPr>
          <w:rFonts w:cstheme="minorHAnsi"/>
          <w:b/>
        </w:rPr>
      </w:pPr>
      <w:r w:rsidRPr="0064224D">
        <w:rPr>
          <w:rFonts w:cstheme="minorHAnsi"/>
          <w:b/>
        </w:rPr>
        <w:t>A.13</w:t>
      </w:r>
      <w:r w:rsidRPr="0064224D">
        <w:rPr>
          <w:rFonts w:cstheme="minorHAnsi"/>
          <w:b/>
        </w:rPr>
        <w:tab/>
        <w:t>Estimate of Other Total Annual Cost Burden to Respondents or Record Keepers</w:t>
      </w:r>
    </w:p>
    <w:p w:rsidR="008741B7" w:rsidRPr="0064224D" w:rsidP="008741B7" w14:paraId="39F561C8" w14:textId="68909413">
      <w:pPr>
        <w:ind w:left="720"/>
        <w:rPr>
          <w:rFonts w:cstheme="minorHAnsi"/>
        </w:rPr>
      </w:pPr>
      <w:r w:rsidRPr="0064224D">
        <w:rPr>
          <w:rFonts w:cstheme="minorHAnsi"/>
        </w:rPr>
        <w:t>Other than the respondents</w:t>
      </w:r>
      <w:r w:rsidRPr="0064224D" w:rsidR="00B01DD2">
        <w:rPr>
          <w:rFonts w:cstheme="minorHAnsi"/>
        </w:rPr>
        <w:t>’</w:t>
      </w:r>
      <w:r w:rsidRPr="0064224D">
        <w:rPr>
          <w:rFonts w:cstheme="minorHAnsi"/>
        </w:rPr>
        <w:t xml:space="preserve"> time, there are no additional costs associated with this data collection. </w:t>
      </w:r>
    </w:p>
    <w:p w:rsidR="00524701" w:rsidRPr="0064224D" w:rsidP="00524701" w14:paraId="7224FCA2" w14:textId="77777777">
      <w:pPr>
        <w:ind w:left="720" w:hanging="720"/>
        <w:rPr>
          <w:rFonts w:cstheme="minorHAnsi"/>
        </w:rPr>
      </w:pPr>
      <w:r w:rsidRPr="0064224D">
        <w:rPr>
          <w:rFonts w:cstheme="minorHAnsi"/>
          <w:b/>
        </w:rPr>
        <w:t>A.14</w:t>
      </w:r>
      <w:r w:rsidRPr="0064224D">
        <w:rPr>
          <w:rFonts w:cstheme="minorHAnsi"/>
        </w:rPr>
        <w:tab/>
        <w:t>A</w:t>
      </w:r>
      <w:r w:rsidRPr="0064224D">
        <w:rPr>
          <w:rFonts w:cstheme="minorHAnsi"/>
          <w:b/>
        </w:rPr>
        <w:t>nnualized Cost to the Federal Government</w:t>
      </w:r>
    </w:p>
    <w:p w:rsidR="00524701" w:rsidRPr="0064224D" w:rsidP="00524701" w14:paraId="0FFCD23C" w14:textId="77777777">
      <w:pPr>
        <w:ind w:left="720"/>
        <w:rPr>
          <w:rFonts w:cstheme="minorHAnsi"/>
        </w:rPr>
      </w:pPr>
      <w:r w:rsidRPr="0064224D">
        <w:rPr>
          <w:rFonts w:cstheme="minorHAnsi"/>
        </w:rPr>
        <w:t>The estimated annualized cost to the Federal Government to support this information collection is $7.5 million, which is comprised of program personnel costs and computer hardware/software costs associated with the project’s implementation and operation. The estimated personnel cost is $4.78 million, based on 25 employees (contractors and federal) at an average annual rate of $211,856 and $218,760 respectively,</w:t>
      </w:r>
      <w:r w:rsidRPr="0064224D">
        <w:rPr>
          <w:rFonts w:cstheme="minorHAnsi"/>
          <w:color w:val="FFFFFF" w:themeColor="background1"/>
        </w:rPr>
        <w:t xml:space="preserve"> </w:t>
      </w:r>
      <w:r w:rsidRPr="0064224D">
        <w:rPr>
          <w:rFonts w:cstheme="minorHAnsi"/>
        </w:rPr>
        <w:t>(salary and benefits). The estimated cost of computer hardware and software is $2.75 million.</w:t>
      </w:r>
    </w:p>
    <w:tbl>
      <w:tblPr>
        <w:tblW w:w="9522" w:type="dxa"/>
        <w:tblCellMar>
          <w:left w:w="0" w:type="dxa"/>
          <w:right w:w="0" w:type="dxa"/>
        </w:tblCellMar>
        <w:tblLook w:val="04A0"/>
      </w:tblPr>
      <w:tblGrid>
        <w:gridCol w:w="3273"/>
        <w:gridCol w:w="1194"/>
        <w:gridCol w:w="1710"/>
        <w:gridCol w:w="913"/>
        <w:gridCol w:w="1233"/>
        <w:gridCol w:w="1199"/>
      </w:tblGrid>
      <w:tr w14:paraId="69893CBC" w14:textId="77777777" w:rsidTr="00623B92">
        <w:tblPrEx>
          <w:tblW w:w="9522" w:type="dxa"/>
          <w:tblCellMar>
            <w:left w:w="0" w:type="dxa"/>
            <w:right w:w="0" w:type="dxa"/>
          </w:tblCellMar>
          <w:tblLook w:val="04A0"/>
        </w:tblPrEx>
        <w:trPr>
          <w:trHeight w:val="900"/>
        </w:trPr>
        <w:tc>
          <w:tcPr>
            <w:tcW w:w="327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93983" w:rsidRPr="00F93983" w:rsidP="005518C0" w14:paraId="7C3A5E68" w14:textId="77777777">
            <w:pPr>
              <w:jc w:val="center"/>
              <w:rPr>
                <w:rFonts w:ascii="Times New Roman" w:hAnsi="Times New Roman" w:cs="Times New Roman"/>
                <w:b/>
                <w:bCs/>
                <w:color w:val="000000"/>
              </w:rPr>
            </w:pPr>
            <w:r w:rsidRPr="00F93983">
              <w:rPr>
                <w:rFonts w:ascii="Times New Roman" w:hAnsi="Times New Roman" w:cs="Times New Roman"/>
                <w:b/>
                <w:bCs/>
                <w:color w:val="000000"/>
              </w:rPr>
              <w:t>Cost Descriptions</w:t>
            </w:r>
          </w:p>
        </w:tc>
        <w:tc>
          <w:tcPr>
            <w:tcW w:w="1194" w:type="dxa"/>
            <w:tcBorders>
              <w:top w:val="single" w:sz="8" w:space="0" w:color="auto"/>
              <w:left w:val="nil"/>
              <w:bottom w:val="single" w:sz="8" w:space="0" w:color="auto"/>
              <w:right w:val="single" w:sz="8" w:space="0" w:color="auto"/>
            </w:tcBorders>
            <w:shd w:val="clear" w:color="auto" w:fill="auto"/>
            <w:vAlign w:val="center"/>
          </w:tcPr>
          <w:p w:rsidR="00F93983" w:rsidRPr="00F93983" w:rsidP="005518C0" w14:paraId="6644B683" w14:textId="77777777">
            <w:pPr>
              <w:jc w:val="center"/>
              <w:rPr>
                <w:rFonts w:ascii="Times New Roman" w:hAnsi="Times New Roman" w:cs="Times New Roman"/>
                <w:b/>
                <w:bCs/>
                <w:color w:val="000000"/>
              </w:rPr>
            </w:pPr>
            <w:r w:rsidRPr="00F93983">
              <w:rPr>
                <w:rFonts w:ascii="Times New Roman" w:hAnsi="Times New Roman" w:cs="Times New Roman"/>
                <w:b/>
                <w:bCs/>
                <w:color w:val="000000"/>
              </w:rPr>
              <w:t>Grade/Step</w:t>
            </w: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3983" w:rsidRPr="00F93983" w:rsidP="005518C0" w14:paraId="751AADCE" w14:textId="77777777">
            <w:pPr>
              <w:jc w:val="center"/>
              <w:rPr>
                <w:rFonts w:ascii="Times New Roman" w:hAnsi="Times New Roman" w:cs="Times New Roman"/>
                <w:b/>
                <w:bCs/>
              </w:rPr>
            </w:pPr>
            <w:r w:rsidRPr="00F93983">
              <w:rPr>
                <w:rFonts w:ascii="Times New Roman" w:hAnsi="Times New Roman" w:cs="Times New Roman"/>
                <w:b/>
                <w:bCs/>
              </w:rPr>
              <w:t>Salary</w:t>
            </w:r>
          </w:p>
        </w:tc>
        <w:tc>
          <w:tcPr>
            <w:tcW w:w="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3983" w:rsidRPr="00F93983" w:rsidP="005518C0" w14:paraId="1B8ABF75" w14:textId="77777777">
            <w:pPr>
              <w:jc w:val="center"/>
              <w:rPr>
                <w:rFonts w:ascii="Times New Roman" w:hAnsi="Times New Roman" w:cs="Times New Roman"/>
                <w:b/>
                <w:bCs/>
              </w:rPr>
            </w:pPr>
            <w:r w:rsidRPr="00F93983">
              <w:rPr>
                <w:rFonts w:ascii="Times New Roman" w:hAnsi="Times New Roman" w:cs="Times New Roman"/>
                <w:b/>
                <w:bCs/>
              </w:rPr>
              <w:t>% of Effort</w:t>
            </w:r>
          </w:p>
          <w:p w:rsidR="00F93983" w:rsidRPr="00F93983" w:rsidP="005518C0" w14:paraId="34DFBCA7" w14:textId="767CD63C">
            <w:pPr>
              <w:jc w:val="center"/>
              <w:rPr>
                <w:rFonts w:ascii="Times New Roman" w:hAnsi="Times New Roman" w:cs="Times New Roman"/>
                <w:b/>
                <w:bCs/>
              </w:rPr>
            </w:pPr>
          </w:p>
        </w:tc>
        <w:tc>
          <w:tcPr>
            <w:tcW w:w="1233" w:type="dxa"/>
            <w:tcBorders>
              <w:top w:val="single" w:sz="8" w:space="0" w:color="auto"/>
              <w:left w:val="nil"/>
              <w:bottom w:val="single" w:sz="8" w:space="0" w:color="auto"/>
              <w:right w:val="single" w:sz="8" w:space="0" w:color="auto"/>
            </w:tcBorders>
            <w:shd w:val="clear" w:color="auto" w:fill="auto"/>
            <w:vAlign w:val="center"/>
          </w:tcPr>
          <w:p w:rsidR="00F93983" w:rsidRPr="00F93983" w:rsidP="005518C0" w14:paraId="065521A5" w14:textId="77777777">
            <w:pPr>
              <w:spacing w:after="0"/>
              <w:jc w:val="center"/>
              <w:rPr>
                <w:rFonts w:ascii="Times New Roman" w:hAnsi="Times New Roman" w:cs="Times New Roman"/>
                <w:b/>
                <w:bCs/>
              </w:rPr>
            </w:pPr>
            <w:r w:rsidRPr="00F93983">
              <w:rPr>
                <w:rFonts w:ascii="Times New Roman" w:hAnsi="Times New Roman" w:cs="Times New Roman"/>
                <w:b/>
                <w:bCs/>
              </w:rPr>
              <w:t xml:space="preserve">Fringe </w:t>
            </w:r>
          </w:p>
          <w:p w:rsidR="00F93983" w:rsidRPr="00F93983" w:rsidP="005518C0" w14:paraId="0AF87BA7" w14:textId="77777777">
            <w:pPr>
              <w:spacing w:after="0"/>
              <w:jc w:val="center"/>
              <w:rPr>
                <w:rFonts w:ascii="Times New Roman" w:hAnsi="Times New Roman" w:cs="Times New Roman"/>
                <w:b/>
                <w:bCs/>
              </w:rPr>
            </w:pPr>
            <w:r w:rsidRPr="00F93983">
              <w:rPr>
                <w:rFonts w:ascii="Times New Roman" w:hAnsi="Times New Roman" w:cs="Times New Roman"/>
                <w:b/>
                <w:bCs/>
              </w:rPr>
              <w:t>(if applicable)</w:t>
            </w:r>
          </w:p>
        </w:tc>
        <w:tc>
          <w:tcPr>
            <w:tcW w:w="1199" w:type="dxa"/>
            <w:tcBorders>
              <w:top w:val="single" w:sz="8" w:space="0" w:color="auto"/>
              <w:left w:val="nil"/>
              <w:bottom w:val="single" w:sz="8" w:space="0" w:color="auto"/>
              <w:right w:val="single" w:sz="8" w:space="0" w:color="auto"/>
            </w:tcBorders>
            <w:shd w:val="clear" w:color="auto" w:fill="auto"/>
            <w:vAlign w:val="center"/>
          </w:tcPr>
          <w:p w:rsidR="00F93983" w:rsidRPr="00F93983" w:rsidP="005518C0" w14:paraId="79AC7ECB" w14:textId="77777777">
            <w:pPr>
              <w:jc w:val="center"/>
              <w:rPr>
                <w:rFonts w:ascii="Times New Roman" w:hAnsi="Times New Roman" w:cs="Times New Roman"/>
                <w:b/>
                <w:bCs/>
              </w:rPr>
            </w:pPr>
            <w:r w:rsidRPr="00F93983">
              <w:rPr>
                <w:rFonts w:ascii="Times New Roman" w:hAnsi="Times New Roman" w:cs="Times New Roman"/>
                <w:b/>
                <w:bCs/>
              </w:rPr>
              <w:t>Total Cost to Gov’t</w:t>
            </w:r>
          </w:p>
        </w:tc>
      </w:tr>
      <w:tr w14:paraId="7101486B" w14:textId="77777777" w:rsidTr="00623B92">
        <w:tblPrEx>
          <w:tblW w:w="9522" w:type="dxa"/>
          <w:tblCellMar>
            <w:left w:w="0" w:type="dxa"/>
            <w:right w:w="0" w:type="dxa"/>
          </w:tblCellMar>
          <w:tblLook w:val="04A0"/>
        </w:tblPrEx>
        <w:trPr>
          <w:trHeight w:val="313"/>
        </w:trPr>
        <w:tc>
          <w:tcPr>
            <w:tcW w:w="327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F93983" w:rsidRPr="009E20EE" w:rsidP="005518C0" w14:paraId="50EBF667" w14:textId="77777777">
            <w:pPr>
              <w:rPr>
                <w:rFonts w:ascii="Times New Roman" w:hAnsi="Times New Roman" w:cs="Times New Roman"/>
                <w:b/>
                <w:bCs/>
                <w:color w:val="000000"/>
              </w:rPr>
            </w:pPr>
            <w:r w:rsidRPr="009E20EE">
              <w:rPr>
                <w:rFonts w:ascii="Times New Roman" w:hAnsi="Times New Roman" w:cs="Times New Roman"/>
                <w:b/>
                <w:bCs/>
                <w:color w:val="000000"/>
              </w:rPr>
              <w:t>Federal Oversight</w:t>
            </w:r>
          </w:p>
        </w:tc>
        <w:tc>
          <w:tcPr>
            <w:tcW w:w="1194" w:type="dxa"/>
            <w:tcBorders>
              <w:top w:val="single" w:sz="8" w:space="0" w:color="auto"/>
              <w:left w:val="nil"/>
              <w:bottom w:val="single" w:sz="8" w:space="0" w:color="auto"/>
              <w:right w:val="single" w:sz="8" w:space="0" w:color="auto"/>
            </w:tcBorders>
            <w:shd w:val="clear" w:color="auto" w:fill="auto"/>
            <w:vAlign w:val="center"/>
          </w:tcPr>
          <w:p w:rsidR="00F93983" w:rsidRPr="00EE3E14" w:rsidP="005518C0" w14:paraId="07589BCC" w14:textId="77777777">
            <w:pPr>
              <w:jc w:val="center"/>
              <w:rPr>
                <w:rFonts w:ascii="Times New Roman" w:hAnsi="Times New Roman" w:cs="Times New Roman"/>
                <w:b/>
                <w:bCs/>
                <w:color w:val="000000"/>
                <w:sz w:val="24"/>
                <w:szCs w:val="24"/>
              </w:rPr>
            </w:pP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3983" w:rsidRPr="00EE3E14" w:rsidP="005518C0" w14:paraId="6D5D946F" w14:textId="77777777">
            <w:pPr>
              <w:jc w:val="center"/>
              <w:rPr>
                <w:rFonts w:ascii="Times New Roman" w:hAnsi="Times New Roman" w:cs="Times New Roman"/>
                <w:b/>
                <w:bCs/>
                <w:sz w:val="24"/>
                <w:szCs w:val="24"/>
              </w:rPr>
            </w:pPr>
          </w:p>
        </w:tc>
        <w:tc>
          <w:tcPr>
            <w:tcW w:w="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3983" w:rsidRPr="00EE3E14" w:rsidP="005518C0" w14:paraId="3A14506C" w14:textId="77777777">
            <w:pPr>
              <w:jc w:val="center"/>
              <w:rPr>
                <w:rFonts w:ascii="Times New Roman" w:hAnsi="Times New Roman" w:cs="Times New Roman"/>
                <w:b/>
                <w:bCs/>
                <w:sz w:val="24"/>
                <w:szCs w:val="24"/>
              </w:rPr>
            </w:pPr>
          </w:p>
        </w:tc>
        <w:tc>
          <w:tcPr>
            <w:tcW w:w="1233" w:type="dxa"/>
            <w:tcBorders>
              <w:top w:val="single" w:sz="8" w:space="0" w:color="auto"/>
              <w:left w:val="nil"/>
              <w:bottom w:val="single" w:sz="8" w:space="0" w:color="auto"/>
              <w:right w:val="single" w:sz="8" w:space="0" w:color="auto"/>
            </w:tcBorders>
            <w:shd w:val="clear" w:color="auto" w:fill="auto"/>
            <w:vAlign w:val="center"/>
          </w:tcPr>
          <w:p w:rsidR="00F93983" w:rsidRPr="00EE3E14" w:rsidP="005518C0" w14:paraId="385E20DE" w14:textId="77777777">
            <w:pPr>
              <w:spacing w:after="0"/>
              <w:jc w:val="center"/>
              <w:rPr>
                <w:rFonts w:ascii="Times New Roman" w:hAnsi="Times New Roman" w:cs="Times New Roman"/>
                <w:b/>
                <w:bCs/>
                <w:sz w:val="24"/>
                <w:szCs w:val="24"/>
              </w:rPr>
            </w:pPr>
          </w:p>
        </w:tc>
        <w:tc>
          <w:tcPr>
            <w:tcW w:w="1199" w:type="dxa"/>
            <w:tcBorders>
              <w:top w:val="single" w:sz="8" w:space="0" w:color="auto"/>
              <w:left w:val="nil"/>
              <w:bottom w:val="single" w:sz="8" w:space="0" w:color="auto"/>
              <w:right w:val="single" w:sz="8" w:space="0" w:color="auto"/>
            </w:tcBorders>
            <w:shd w:val="clear" w:color="auto" w:fill="auto"/>
            <w:vAlign w:val="center"/>
          </w:tcPr>
          <w:p w:rsidR="00F93983" w:rsidRPr="00EE3E14" w:rsidP="005518C0" w14:paraId="0E1FB221" w14:textId="77777777">
            <w:pPr>
              <w:jc w:val="center"/>
              <w:rPr>
                <w:rFonts w:ascii="Times New Roman" w:hAnsi="Times New Roman" w:cs="Times New Roman"/>
                <w:b/>
                <w:bCs/>
                <w:sz w:val="24"/>
                <w:szCs w:val="24"/>
              </w:rPr>
            </w:pPr>
          </w:p>
        </w:tc>
      </w:tr>
      <w:tr w14:paraId="35791579"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74A0614E" w14:textId="77777777">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NIH Content Team Lead</w:t>
            </w:r>
          </w:p>
          <w:p w:rsidR="00623B92" w:rsidRPr="00EE3E14" w:rsidP="00623B92" w14:paraId="2674EA96" w14:textId="47C1F209">
            <w:pPr>
              <w:spacing w:after="0"/>
              <w:jc w:val="center"/>
              <w:rPr>
                <w:rFonts w:ascii="Times New Roman" w:hAnsi="Times New Roman" w:cs="Times New Roman"/>
                <w:color w:val="000000"/>
                <w:sz w:val="24"/>
                <w:szCs w:val="24"/>
              </w:rPr>
            </w:pPr>
            <w:r w:rsidRPr="00EE3E14">
              <w:rPr>
                <w:rFonts w:ascii="Times New Roman" w:hAnsi="Times New Roman" w:cs="Times New Roman"/>
                <w:sz w:val="24"/>
                <w:szCs w:val="24"/>
              </w:rPr>
              <w:t>[Staff Scientist]</w:t>
            </w:r>
          </w:p>
        </w:tc>
        <w:tc>
          <w:tcPr>
            <w:tcW w:w="1194" w:type="dxa"/>
            <w:tcBorders>
              <w:top w:val="nil"/>
              <w:left w:val="nil"/>
              <w:bottom w:val="single" w:sz="8" w:space="0" w:color="auto"/>
              <w:right w:val="single" w:sz="8" w:space="0" w:color="auto"/>
            </w:tcBorders>
            <w:vAlign w:val="center"/>
          </w:tcPr>
          <w:p w:rsidR="00623B92" w:rsidRPr="00EE3E14" w:rsidP="00623B92" w14:paraId="6E584DDD" w14:textId="1DF0A18A">
            <w:pPr>
              <w:spacing w:after="0"/>
              <w:jc w:val="center"/>
              <w:rPr>
                <w:rFonts w:ascii="Times New Roman" w:hAnsi="Times New Roman" w:cs="Times New Roman"/>
                <w:color w:val="000000"/>
                <w:sz w:val="24"/>
                <w:szCs w:val="24"/>
                <w:highlight w:val="yellow"/>
              </w:rPr>
            </w:pPr>
            <w:r w:rsidRPr="00EE3E14">
              <w:rPr>
                <w:rFonts w:ascii="Times New Roman" w:hAnsi="Times New Roman" w:cs="Times New Roman"/>
                <w:sz w:val="24"/>
                <w:szCs w:val="24"/>
              </w:rPr>
              <w:t>AD-00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4CAFFB2A" w14:textId="337E4C72">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234,507</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1643590C" w14:textId="4751474D">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30BBCC38"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2F96564A" w14:textId="0C09A6D3">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469,014</w:t>
            </w:r>
          </w:p>
        </w:tc>
      </w:tr>
      <w:tr w14:paraId="197EB7F2"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799BB920" w14:textId="77777777">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NIH Content Specialist</w:t>
            </w:r>
          </w:p>
          <w:p w:rsidR="00623B92" w:rsidRPr="00EE3E14" w:rsidP="00623B92" w14:paraId="17CE6BFA" w14:textId="6619F9EF">
            <w:pPr>
              <w:spacing w:after="0"/>
              <w:jc w:val="center"/>
              <w:rPr>
                <w:rFonts w:ascii="Times New Roman" w:hAnsi="Times New Roman" w:cs="Times New Roman"/>
                <w:sz w:val="24"/>
                <w:szCs w:val="24"/>
              </w:rPr>
            </w:pPr>
            <w:r w:rsidRPr="00EE3E14">
              <w:rPr>
                <w:rFonts w:ascii="Times New Roman" w:hAnsi="Times New Roman" w:cs="Times New Roman"/>
                <w:sz w:val="24"/>
                <w:szCs w:val="24"/>
              </w:rPr>
              <w:t>[Staff Scientist]</w:t>
            </w:r>
          </w:p>
        </w:tc>
        <w:tc>
          <w:tcPr>
            <w:tcW w:w="1194" w:type="dxa"/>
            <w:tcBorders>
              <w:top w:val="nil"/>
              <w:left w:val="nil"/>
              <w:bottom w:val="single" w:sz="8" w:space="0" w:color="auto"/>
              <w:right w:val="single" w:sz="8" w:space="0" w:color="auto"/>
            </w:tcBorders>
            <w:vAlign w:val="center"/>
          </w:tcPr>
          <w:p w:rsidR="00623B92" w:rsidRPr="00EE3E14" w:rsidP="00623B92" w14:paraId="651118E1" w14:textId="53BC8941">
            <w:pPr>
              <w:spacing w:after="0"/>
              <w:jc w:val="center"/>
              <w:rPr>
                <w:rFonts w:ascii="Times New Roman" w:hAnsi="Times New Roman" w:cs="Times New Roman"/>
                <w:sz w:val="24"/>
                <w:szCs w:val="24"/>
              </w:rPr>
            </w:pPr>
            <w:r w:rsidRPr="00EE3E14">
              <w:rPr>
                <w:rFonts w:ascii="Times New Roman" w:hAnsi="Times New Roman" w:cs="Times New Roman"/>
                <w:sz w:val="24"/>
                <w:szCs w:val="24"/>
              </w:rPr>
              <w:t>AD-00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5BF46AE2" w14:textId="77E33207">
            <w:pPr>
              <w:spacing w:after="0"/>
              <w:jc w:val="center"/>
              <w:rPr>
                <w:rFonts w:ascii="Times New Roman" w:hAnsi="Times New Roman" w:cs="Times New Roman"/>
                <w:sz w:val="24"/>
                <w:szCs w:val="24"/>
              </w:rPr>
            </w:pPr>
            <w:r w:rsidRPr="00EE3E14">
              <w:rPr>
                <w:rFonts w:ascii="Times New Roman" w:hAnsi="Times New Roman" w:cs="Times New Roman"/>
                <w:sz w:val="24"/>
                <w:szCs w:val="24"/>
              </w:rPr>
              <w:t>$1</w:t>
            </w:r>
            <w:r>
              <w:rPr>
                <w:rFonts w:ascii="Times New Roman" w:hAnsi="Times New Roman" w:cs="Times New Roman"/>
                <w:sz w:val="24"/>
                <w:szCs w:val="24"/>
              </w:rPr>
              <w:t>96,306</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4AB53AEA" w14:textId="301EA8A6">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25A2028B"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534858AD" w14:textId="52EA3DB5">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981,530</w:t>
            </w:r>
          </w:p>
        </w:tc>
      </w:tr>
      <w:tr w14:paraId="722C674E"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5DAEFAE6" w14:textId="7640F3FB">
            <w:pPr>
              <w:spacing w:after="0"/>
              <w:jc w:val="center"/>
              <w:rPr>
                <w:rFonts w:ascii="Times New Roman" w:hAnsi="Times New Roman" w:cs="Times New Roman"/>
                <w:sz w:val="24"/>
                <w:szCs w:val="24"/>
              </w:rPr>
            </w:pPr>
            <w:r w:rsidRPr="00EE3E14">
              <w:rPr>
                <w:rFonts w:ascii="Times New Roman" w:hAnsi="Times New Roman" w:cs="Times New Roman"/>
                <w:b/>
                <w:sz w:val="24"/>
                <w:szCs w:val="24"/>
              </w:rPr>
              <w:t>NIH Data Specialist</w:t>
            </w:r>
            <w:r w:rsidRPr="00EE3E14">
              <w:rPr>
                <w:rFonts w:ascii="Times New Roman" w:hAnsi="Times New Roman" w:cs="Times New Roman"/>
                <w:b/>
                <w:sz w:val="24"/>
                <w:szCs w:val="24"/>
              </w:rPr>
              <w:br/>
            </w:r>
            <w:r w:rsidRPr="00EE3E14">
              <w:rPr>
                <w:rFonts w:ascii="Times New Roman" w:hAnsi="Times New Roman" w:cs="Times New Roman"/>
                <w:sz w:val="24"/>
                <w:szCs w:val="24"/>
              </w:rPr>
              <w:t>[Staff Scientist]</w:t>
            </w:r>
          </w:p>
        </w:tc>
        <w:tc>
          <w:tcPr>
            <w:tcW w:w="1194" w:type="dxa"/>
            <w:tcBorders>
              <w:top w:val="nil"/>
              <w:left w:val="nil"/>
              <w:bottom w:val="single" w:sz="8" w:space="0" w:color="auto"/>
              <w:right w:val="single" w:sz="8" w:space="0" w:color="auto"/>
            </w:tcBorders>
            <w:vAlign w:val="center"/>
          </w:tcPr>
          <w:p w:rsidR="00623B92" w:rsidRPr="00EE3E14" w:rsidP="00623B92" w14:paraId="1CDC42CB" w14:textId="154468FB">
            <w:pPr>
              <w:spacing w:after="0"/>
              <w:jc w:val="center"/>
              <w:rPr>
                <w:rFonts w:ascii="Times New Roman" w:hAnsi="Times New Roman" w:cs="Times New Roman"/>
                <w:sz w:val="24"/>
                <w:szCs w:val="24"/>
              </w:rPr>
            </w:pPr>
            <w:r w:rsidRPr="00EE3E14">
              <w:rPr>
                <w:rFonts w:ascii="Times New Roman" w:hAnsi="Times New Roman" w:cs="Times New Roman"/>
                <w:sz w:val="24"/>
                <w:szCs w:val="24"/>
              </w:rPr>
              <w:t>AD-00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48FB152D" w14:textId="3E74CC75">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212,126</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6368385C" w14:textId="6EB256A4">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30471989"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32AB56C4" w14:textId="45FC1BDF">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339,402</w:t>
            </w:r>
          </w:p>
        </w:tc>
      </w:tr>
      <w:tr w14:paraId="7C1168CB"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139DA538" w14:textId="77777777">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NIH Software Developer</w:t>
            </w:r>
          </w:p>
          <w:p w:rsidR="00623B92" w:rsidRPr="00EE3E14" w:rsidP="00623B92" w14:paraId="61134678" w14:textId="21D81D34">
            <w:pPr>
              <w:spacing w:after="0"/>
              <w:jc w:val="center"/>
              <w:rPr>
                <w:rFonts w:ascii="Times New Roman" w:hAnsi="Times New Roman" w:cs="Times New Roman"/>
                <w:sz w:val="24"/>
                <w:szCs w:val="24"/>
              </w:rPr>
            </w:pPr>
            <w:r w:rsidRPr="00EE3E14">
              <w:rPr>
                <w:rFonts w:ascii="Times New Roman" w:hAnsi="Times New Roman" w:cs="Times New Roman"/>
                <w:sz w:val="24"/>
                <w:szCs w:val="24"/>
              </w:rPr>
              <w:t>[Staff Scientist]</w:t>
            </w:r>
          </w:p>
        </w:tc>
        <w:tc>
          <w:tcPr>
            <w:tcW w:w="1194" w:type="dxa"/>
            <w:tcBorders>
              <w:top w:val="nil"/>
              <w:left w:val="nil"/>
              <w:bottom w:val="single" w:sz="8" w:space="0" w:color="auto"/>
              <w:right w:val="single" w:sz="8" w:space="0" w:color="auto"/>
            </w:tcBorders>
            <w:vAlign w:val="center"/>
          </w:tcPr>
          <w:p w:rsidR="00623B92" w:rsidRPr="00EE3E14" w:rsidP="00623B92" w14:paraId="3B835C3C" w14:textId="40750604">
            <w:pPr>
              <w:spacing w:after="0"/>
              <w:jc w:val="center"/>
              <w:rPr>
                <w:rFonts w:ascii="Times New Roman" w:hAnsi="Times New Roman" w:cs="Times New Roman"/>
                <w:sz w:val="24"/>
                <w:szCs w:val="24"/>
              </w:rPr>
            </w:pPr>
            <w:r w:rsidRPr="00EE3E14">
              <w:rPr>
                <w:rFonts w:ascii="Times New Roman" w:hAnsi="Times New Roman" w:cs="Times New Roman"/>
                <w:sz w:val="24"/>
                <w:szCs w:val="24"/>
              </w:rPr>
              <w:t>AD-00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39764031" w14:textId="6B67B461">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227,100</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08895BD7" w14:textId="3788FF0B">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1894F7E3"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25F67C75" w14:textId="16BC564E">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476,910</w:t>
            </w:r>
          </w:p>
        </w:tc>
      </w:tr>
      <w:tr w14:paraId="6DA29065"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27254CEF" w14:textId="77777777">
            <w:pPr>
              <w:spacing w:after="0"/>
              <w:jc w:val="center"/>
              <w:rPr>
                <w:rFonts w:ascii="Times New Roman" w:hAnsi="Times New Roman" w:cs="Times New Roman"/>
                <w:b/>
                <w:sz w:val="24"/>
                <w:szCs w:val="24"/>
              </w:rPr>
            </w:pPr>
          </w:p>
        </w:tc>
        <w:tc>
          <w:tcPr>
            <w:tcW w:w="1194" w:type="dxa"/>
            <w:tcBorders>
              <w:top w:val="single" w:sz="8" w:space="0" w:color="auto"/>
              <w:left w:val="nil"/>
              <w:bottom w:val="single" w:sz="8" w:space="0" w:color="auto"/>
              <w:right w:val="single" w:sz="8" w:space="0" w:color="auto"/>
            </w:tcBorders>
            <w:shd w:val="clear" w:color="auto" w:fill="auto"/>
            <w:vAlign w:val="center"/>
          </w:tcPr>
          <w:p w:rsidR="00623B92" w:rsidRPr="00EE3E14" w:rsidP="00623B92" w14:paraId="5D0531D5" w14:textId="77777777">
            <w:pPr>
              <w:spacing w:after="0"/>
              <w:jc w:val="center"/>
              <w:rPr>
                <w:rFonts w:ascii="Times New Roman" w:hAnsi="Times New Roman" w:cs="Times New Roman"/>
                <w:sz w:val="24"/>
                <w:szCs w:val="24"/>
              </w:rPr>
            </w:pPr>
          </w:p>
        </w:tc>
        <w:tc>
          <w:tcPr>
            <w:tcW w:w="171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623B92" w:rsidRPr="00EE3E14" w:rsidP="00623B92" w14:paraId="2B559D62" w14:textId="77777777">
            <w:pPr>
              <w:spacing w:after="0"/>
              <w:jc w:val="center"/>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0E838CC0" w14:textId="77777777">
            <w:pPr>
              <w:spacing w:after="0"/>
              <w:jc w:val="center"/>
              <w:rPr>
                <w:rFonts w:ascii="Times New Roman" w:hAnsi="Times New Roman" w:cs="Times New Roman"/>
                <w:sz w:val="24"/>
                <w:szCs w:val="24"/>
              </w:rPr>
            </w:pPr>
          </w:p>
        </w:tc>
        <w:tc>
          <w:tcPr>
            <w:tcW w:w="1233" w:type="dxa"/>
            <w:tcBorders>
              <w:top w:val="nil"/>
              <w:left w:val="nil"/>
              <w:bottom w:val="single" w:sz="8" w:space="0" w:color="auto"/>
              <w:right w:val="single" w:sz="8" w:space="0" w:color="auto"/>
            </w:tcBorders>
            <w:vAlign w:val="center"/>
          </w:tcPr>
          <w:p w:rsidR="00623B92" w:rsidRPr="00EE3E14" w:rsidP="00623B92" w14:paraId="67BB548D"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18A784E9" w14:textId="77777777">
            <w:pPr>
              <w:spacing w:after="0"/>
              <w:jc w:val="center"/>
              <w:rPr>
                <w:rFonts w:ascii="Times New Roman" w:hAnsi="Times New Roman" w:cs="Times New Roman"/>
                <w:sz w:val="24"/>
                <w:szCs w:val="24"/>
              </w:rPr>
            </w:pPr>
          </w:p>
        </w:tc>
      </w:tr>
      <w:tr w14:paraId="6518CC98"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2827A6CE" w14:textId="373D65BE">
            <w:pPr>
              <w:spacing w:after="0"/>
              <w:jc w:val="center"/>
              <w:rPr>
                <w:rFonts w:ascii="Times New Roman" w:hAnsi="Times New Roman" w:cs="Times New Roman"/>
                <w:sz w:val="24"/>
                <w:szCs w:val="24"/>
              </w:rPr>
            </w:pPr>
            <w:r>
              <w:rPr>
                <w:rFonts w:ascii="Times New Roman" w:hAnsi="Times New Roman" w:cs="Times New Roman"/>
                <w:b/>
                <w:sz w:val="24"/>
                <w:szCs w:val="24"/>
              </w:rPr>
              <w:t>Contractor Technical Lead</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1436F96A"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1C0B236A" w14:textId="2A8676EC">
            <w:pPr>
              <w:spacing w:after="0"/>
              <w:jc w:val="center"/>
              <w:rPr>
                <w:rFonts w:ascii="Times New Roman" w:hAnsi="Times New Roman" w:cs="Times New Roman"/>
                <w:sz w:val="24"/>
                <w:szCs w:val="24"/>
              </w:rPr>
            </w:pPr>
            <w:r>
              <w:rPr>
                <w:rFonts w:ascii="Times New Roman" w:hAnsi="Times New Roman" w:cs="Times New Roman"/>
                <w:sz w:val="24"/>
                <w:szCs w:val="24"/>
              </w:rPr>
              <w:t>$279,551</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725A4D0E" w14:textId="5498D00F">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233" w:type="dxa"/>
            <w:tcBorders>
              <w:top w:val="nil"/>
              <w:left w:val="nil"/>
              <w:bottom w:val="single" w:sz="8" w:space="0" w:color="auto"/>
              <w:right w:val="single" w:sz="8" w:space="0" w:color="auto"/>
            </w:tcBorders>
            <w:vAlign w:val="center"/>
          </w:tcPr>
          <w:p w:rsidR="00623B92" w:rsidRPr="00EE3E14" w:rsidP="00623B92" w14:paraId="0D4B1118"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13DB74B4" w14:textId="1C453D01">
            <w:pPr>
              <w:spacing w:after="0"/>
              <w:jc w:val="center"/>
              <w:rPr>
                <w:rFonts w:ascii="Times New Roman" w:hAnsi="Times New Roman" w:cs="Times New Roman"/>
                <w:sz w:val="24"/>
                <w:szCs w:val="24"/>
              </w:rPr>
            </w:pPr>
            <w:r>
              <w:rPr>
                <w:rFonts w:ascii="Times New Roman" w:hAnsi="Times New Roman" w:cs="Times New Roman"/>
                <w:sz w:val="24"/>
                <w:szCs w:val="24"/>
              </w:rPr>
              <w:t>$279,551</w:t>
            </w:r>
          </w:p>
        </w:tc>
      </w:tr>
      <w:tr w14:paraId="486DD9BE"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31151627" w14:textId="27420BFB">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Contractor Content Specialist</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10FF9C14"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391370CD" w14:textId="2BD27400">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188,561</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39DB3187" w14:textId="43B8F958">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1233" w:type="dxa"/>
            <w:tcBorders>
              <w:top w:val="nil"/>
              <w:left w:val="nil"/>
              <w:bottom w:val="single" w:sz="8" w:space="0" w:color="auto"/>
              <w:right w:val="single" w:sz="8" w:space="0" w:color="auto"/>
            </w:tcBorders>
            <w:vAlign w:val="center"/>
          </w:tcPr>
          <w:p w:rsidR="00623B92" w:rsidRPr="00EE3E14" w:rsidP="00623B92" w14:paraId="2907E5B4"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2F04062E" w14:textId="2A427A8A">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848,525</w:t>
            </w:r>
          </w:p>
        </w:tc>
      </w:tr>
      <w:tr w14:paraId="5C423566"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6BA8465D" w14:textId="5363C43E">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Contractor Software Developer</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31A0596B"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6F932C9E" w14:textId="356C5CA2">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224,897</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7C23A5ED" w14:textId="192A9217">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233" w:type="dxa"/>
            <w:tcBorders>
              <w:top w:val="nil"/>
              <w:left w:val="nil"/>
              <w:bottom w:val="single" w:sz="8" w:space="0" w:color="auto"/>
              <w:right w:val="single" w:sz="8" w:space="0" w:color="auto"/>
            </w:tcBorders>
            <w:vAlign w:val="center"/>
          </w:tcPr>
          <w:p w:rsidR="00623B92" w:rsidRPr="00EE3E14" w:rsidP="00623B92" w14:paraId="7EA1711A"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127CE3F7" w14:textId="11332AAA">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1,124,485</w:t>
            </w:r>
          </w:p>
        </w:tc>
      </w:tr>
      <w:tr w14:paraId="05604592"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2678DD6A" w14:textId="4145D1A8">
            <w:pPr>
              <w:spacing w:after="0"/>
              <w:jc w:val="center"/>
              <w:rPr>
                <w:rFonts w:ascii="Times New Roman" w:hAnsi="Times New Roman" w:cs="Times New Roman"/>
                <w:b/>
                <w:sz w:val="24"/>
                <w:szCs w:val="24"/>
              </w:rPr>
            </w:pPr>
            <w:r w:rsidRPr="00EE3E14">
              <w:rPr>
                <w:rFonts w:ascii="Times New Roman" w:hAnsi="Times New Roman" w:cs="Times New Roman"/>
                <w:b/>
                <w:sz w:val="24"/>
                <w:szCs w:val="24"/>
              </w:rPr>
              <w:t>Contractor Project Manager</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05D2E462"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069031E9" w14:textId="57230221">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275,367</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64D774DC" w14:textId="59C0F963">
            <w:pPr>
              <w:spacing w:after="0"/>
              <w:jc w:val="center"/>
              <w:rPr>
                <w:rFonts w:ascii="Times New Roman" w:hAnsi="Times New Roman" w:cs="Times New Roman"/>
                <w:sz w:val="24"/>
                <w:szCs w:val="24"/>
              </w:rPr>
            </w:pPr>
            <w:r w:rsidRPr="00EE3E14">
              <w:rPr>
                <w:rFonts w:ascii="Times New Roman" w:hAnsi="Times New Roman" w:cs="Times New Roman"/>
                <w:sz w:val="24"/>
                <w:szCs w:val="24"/>
              </w:rPr>
              <w:t>0.</w:t>
            </w:r>
            <w:r>
              <w:rPr>
                <w:rFonts w:ascii="Times New Roman" w:hAnsi="Times New Roman" w:cs="Times New Roman"/>
                <w:sz w:val="24"/>
                <w:szCs w:val="24"/>
              </w:rPr>
              <w:t>6</w:t>
            </w:r>
          </w:p>
        </w:tc>
        <w:tc>
          <w:tcPr>
            <w:tcW w:w="1233" w:type="dxa"/>
            <w:tcBorders>
              <w:top w:val="nil"/>
              <w:left w:val="nil"/>
              <w:bottom w:val="single" w:sz="8" w:space="0" w:color="auto"/>
              <w:right w:val="single" w:sz="8" w:space="0" w:color="auto"/>
            </w:tcBorders>
            <w:vAlign w:val="center"/>
          </w:tcPr>
          <w:p w:rsidR="00623B92" w:rsidRPr="00EE3E14" w:rsidP="00623B92" w14:paraId="38AB051F"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13F05101" w14:textId="4A9AA155">
            <w:pPr>
              <w:spacing w:after="0"/>
              <w:jc w:val="center"/>
              <w:rPr>
                <w:rFonts w:ascii="Times New Roman" w:hAnsi="Times New Roman" w:cs="Times New Roman"/>
                <w:sz w:val="24"/>
                <w:szCs w:val="24"/>
              </w:rPr>
            </w:pPr>
            <w:r w:rsidRPr="00EE3E14">
              <w:rPr>
                <w:rFonts w:ascii="Times New Roman" w:hAnsi="Times New Roman" w:cs="Times New Roman"/>
                <w:sz w:val="24"/>
                <w:szCs w:val="24"/>
              </w:rPr>
              <w:t>$</w:t>
            </w:r>
            <w:r>
              <w:rPr>
                <w:rFonts w:ascii="Times New Roman" w:hAnsi="Times New Roman" w:cs="Times New Roman"/>
                <w:sz w:val="24"/>
                <w:szCs w:val="24"/>
              </w:rPr>
              <w:t>165,220</w:t>
            </w:r>
          </w:p>
        </w:tc>
      </w:tr>
      <w:tr w14:paraId="5F27DA59"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595999FA" w14:textId="19AA1AC7">
            <w:pPr>
              <w:spacing w:after="0"/>
              <w:jc w:val="center"/>
              <w:rPr>
                <w:rFonts w:ascii="Times New Roman" w:hAnsi="Times New Roman" w:cs="Times New Roman"/>
                <w:sz w:val="24"/>
                <w:szCs w:val="24"/>
              </w:rPr>
            </w:pPr>
            <w:r>
              <w:rPr>
                <w:rFonts w:ascii="Times New Roman" w:hAnsi="Times New Roman" w:cs="Times New Roman"/>
                <w:b/>
                <w:sz w:val="24"/>
                <w:szCs w:val="24"/>
              </w:rPr>
              <w:t>Contractor Product Manager</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5D74DE8A"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678A425A" w14:textId="6EEC6644">
            <w:pPr>
              <w:spacing w:after="0"/>
              <w:jc w:val="center"/>
              <w:rPr>
                <w:rFonts w:ascii="Times New Roman" w:hAnsi="Times New Roman" w:cs="Times New Roman"/>
                <w:sz w:val="24"/>
                <w:szCs w:val="24"/>
              </w:rPr>
            </w:pPr>
            <w:r>
              <w:rPr>
                <w:rFonts w:ascii="Times New Roman" w:hAnsi="Times New Roman" w:cs="Times New Roman"/>
                <w:sz w:val="24"/>
                <w:szCs w:val="24"/>
              </w:rPr>
              <w:t>$244,897</w:t>
            </w: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3E2057F4" w14:textId="19927F77">
            <w:pPr>
              <w:spacing w:after="0"/>
              <w:jc w:val="center"/>
              <w:rPr>
                <w:rFonts w:ascii="Times New Roman" w:hAnsi="Times New Roman" w:cs="Times New Roman"/>
                <w:sz w:val="24"/>
                <w:szCs w:val="24"/>
              </w:rPr>
            </w:pPr>
            <w:r>
              <w:rPr>
                <w:rFonts w:ascii="Times New Roman" w:hAnsi="Times New Roman" w:cs="Times New Roman"/>
                <w:sz w:val="24"/>
                <w:szCs w:val="24"/>
              </w:rPr>
              <w:t>0.4</w:t>
            </w:r>
          </w:p>
        </w:tc>
        <w:tc>
          <w:tcPr>
            <w:tcW w:w="1233" w:type="dxa"/>
            <w:tcBorders>
              <w:top w:val="nil"/>
              <w:left w:val="nil"/>
              <w:bottom w:val="single" w:sz="8" w:space="0" w:color="auto"/>
              <w:right w:val="single" w:sz="8" w:space="0" w:color="auto"/>
            </w:tcBorders>
            <w:vAlign w:val="center"/>
          </w:tcPr>
          <w:p w:rsidR="00623B92" w:rsidRPr="00EE3E14" w:rsidP="00623B92" w14:paraId="79DAFCA3"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611AE09D" w14:textId="7DB32855">
            <w:pPr>
              <w:spacing w:after="0"/>
              <w:jc w:val="center"/>
              <w:rPr>
                <w:rFonts w:ascii="Times New Roman" w:hAnsi="Times New Roman" w:cs="Times New Roman"/>
                <w:sz w:val="24"/>
                <w:szCs w:val="24"/>
              </w:rPr>
            </w:pPr>
            <w:r>
              <w:rPr>
                <w:rFonts w:ascii="Times New Roman" w:hAnsi="Times New Roman" w:cs="Times New Roman"/>
                <w:sz w:val="24"/>
                <w:szCs w:val="24"/>
              </w:rPr>
              <w:t>$97,959</w:t>
            </w:r>
          </w:p>
        </w:tc>
      </w:tr>
      <w:tr w14:paraId="6D89C9A2"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16F07714" w14:textId="77777777">
            <w:pPr>
              <w:spacing w:after="0"/>
              <w:jc w:val="center"/>
              <w:rPr>
                <w:rFonts w:ascii="Times New Roman" w:hAnsi="Times New Roman" w:cs="Times New Roman"/>
                <w:sz w:val="24"/>
                <w:szCs w:val="24"/>
              </w:rPr>
            </w:pPr>
          </w:p>
        </w:tc>
        <w:tc>
          <w:tcPr>
            <w:tcW w:w="1194" w:type="dxa"/>
            <w:tcBorders>
              <w:top w:val="nil"/>
              <w:left w:val="nil"/>
              <w:bottom w:val="single" w:sz="8" w:space="0" w:color="auto"/>
              <w:right w:val="single" w:sz="8" w:space="0" w:color="auto"/>
            </w:tcBorders>
            <w:vAlign w:val="center"/>
          </w:tcPr>
          <w:p w:rsidR="00623B92" w:rsidRPr="00EE3E14" w:rsidP="00623B92" w14:paraId="2214FF94"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1A9D84EB" w14:textId="77777777">
            <w:pPr>
              <w:spacing w:after="0"/>
              <w:jc w:val="center"/>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2800EF08" w14:textId="77777777">
            <w:pPr>
              <w:spacing w:after="0"/>
              <w:jc w:val="center"/>
              <w:rPr>
                <w:rFonts w:ascii="Times New Roman" w:hAnsi="Times New Roman" w:cs="Times New Roman"/>
                <w:sz w:val="24"/>
                <w:szCs w:val="24"/>
              </w:rPr>
            </w:pPr>
          </w:p>
        </w:tc>
        <w:tc>
          <w:tcPr>
            <w:tcW w:w="1233" w:type="dxa"/>
            <w:tcBorders>
              <w:top w:val="nil"/>
              <w:left w:val="nil"/>
              <w:bottom w:val="single" w:sz="8" w:space="0" w:color="auto"/>
              <w:right w:val="single" w:sz="8" w:space="0" w:color="auto"/>
            </w:tcBorders>
            <w:vAlign w:val="center"/>
          </w:tcPr>
          <w:p w:rsidR="00623B92" w:rsidRPr="00EE3E14" w:rsidP="00623B92" w14:paraId="46DEE092"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6F5A12A2" w14:textId="77777777">
            <w:pPr>
              <w:spacing w:after="0"/>
              <w:jc w:val="center"/>
              <w:rPr>
                <w:rFonts w:ascii="Times New Roman" w:hAnsi="Times New Roman" w:cs="Times New Roman"/>
                <w:sz w:val="24"/>
                <w:szCs w:val="24"/>
              </w:rPr>
            </w:pPr>
          </w:p>
        </w:tc>
      </w:tr>
      <w:tr w14:paraId="64180912"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5A09448F" w14:textId="77777777">
            <w:pPr>
              <w:spacing w:after="0"/>
              <w:jc w:val="center"/>
              <w:rPr>
                <w:rFonts w:ascii="Times New Roman" w:hAnsi="Times New Roman" w:cs="Times New Roman"/>
                <w:sz w:val="24"/>
                <w:szCs w:val="24"/>
              </w:rPr>
            </w:pPr>
            <w:r w:rsidRPr="00EE3E14">
              <w:rPr>
                <w:rFonts w:ascii="Times New Roman" w:hAnsi="Times New Roman" w:cs="Times New Roman"/>
                <w:sz w:val="24"/>
                <w:szCs w:val="24"/>
              </w:rPr>
              <w:t>Travel</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309813C4"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23B92" w:rsidRPr="00EE3E14" w:rsidP="00623B92" w14:paraId="553B1CAB" w14:textId="77777777">
            <w:pPr>
              <w:spacing w:after="0"/>
              <w:jc w:val="center"/>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23B92" w:rsidRPr="00EE3E14" w:rsidP="00623B92" w14:paraId="57C7BD7D" w14:textId="77777777">
            <w:pPr>
              <w:spacing w:after="0"/>
              <w:jc w:val="center"/>
              <w:rPr>
                <w:rFonts w:ascii="Times New Roman" w:hAnsi="Times New Roman" w:cs="Times New Roman"/>
                <w:sz w:val="24"/>
                <w:szCs w:val="24"/>
              </w:rPr>
            </w:pP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24BD376F"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0A045AB2" w14:textId="5D1F391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14:paraId="591A0AAA"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3B92" w:rsidRPr="00EE3E14" w:rsidP="00623B92" w14:paraId="0920F067" w14:textId="77777777">
            <w:pPr>
              <w:spacing w:after="0"/>
              <w:jc w:val="center"/>
              <w:rPr>
                <w:rFonts w:ascii="Times New Roman" w:hAnsi="Times New Roman" w:cs="Times New Roman"/>
                <w:color w:val="1F497D"/>
                <w:sz w:val="24"/>
                <w:szCs w:val="24"/>
                <w:highlight w:val="yellow"/>
              </w:rPr>
            </w:pPr>
            <w:r w:rsidRPr="00EE3E14">
              <w:rPr>
                <w:rFonts w:ascii="Times New Roman" w:hAnsi="Times New Roman" w:cs="Times New Roman"/>
                <w:sz w:val="24"/>
                <w:szCs w:val="24"/>
              </w:rPr>
              <w:t>Other Cost</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4FB3525E" w14:textId="77777777">
            <w:pPr>
              <w:spacing w:after="0"/>
              <w:jc w:val="center"/>
              <w:rPr>
                <w:rFonts w:ascii="Times New Roman" w:hAnsi="Times New Roman" w:cs="Times New Roman"/>
                <w:color w:val="000000"/>
                <w:sz w:val="24"/>
                <w:szCs w:val="24"/>
              </w:rPr>
            </w:pPr>
          </w:p>
        </w:tc>
        <w:tc>
          <w:tcPr>
            <w:tcW w:w="171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23B92" w:rsidRPr="00EE3E14" w:rsidP="00623B92" w14:paraId="2D6BCDC5" w14:textId="77777777">
            <w:pPr>
              <w:spacing w:after="0"/>
              <w:jc w:val="center"/>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23B92" w:rsidRPr="00EE3E14" w:rsidP="00623B92" w14:paraId="1BC1CE71" w14:textId="77777777">
            <w:pPr>
              <w:spacing w:after="0"/>
              <w:jc w:val="center"/>
              <w:rPr>
                <w:rFonts w:ascii="Times New Roman" w:hAnsi="Times New Roman" w:cs="Times New Roman"/>
                <w:sz w:val="24"/>
                <w:szCs w:val="24"/>
              </w:rPr>
            </w:pP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751990A7"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70CF3B12" w14:textId="11DE1D12">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14:paraId="32B747D5" w14:textId="77777777" w:rsidTr="00623B92">
        <w:tblPrEx>
          <w:tblW w:w="9522" w:type="dxa"/>
          <w:tblCellMar>
            <w:left w:w="0" w:type="dxa"/>
            <w:right w:w="0" w:type="dxa"/>
          </w:tblCellMar>
          <w:tblLook w:val="04A0"/>
        </w:tblPrEx>
        <w:trPr>
          <w:trHeight w:val="300"/>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23B92" w:rsidRPr="00EE3E14" w:rsidP="00623B92" w14:paraId="5717EF9A" w14:textId="77777777">
            <w:pPr>
              <w:spacing w:after="0"/>
              <w:jc w:val="center"/>
              <w:rPr>
                <w:rFonts w:ascii="Times New Roman" w:hAnsi="Times New Roman" w:cs="Times New Roman"/>
                <w:bCs/>
                <w:color w:val="000000"/>
                <w:sz w:val="24"/>
                <w:szCs w:val="24"/>
              </w:rPr>
            </w:pPr>
            <w:r w:rsidRPr="00EE3E14">
              <w:rPr>
                <w:rFonts w:ascii="Times New Roman" w:hAnsi="Times New Roman" w:cs="Times New Roman"/>
                <w:bCs/>
                <w:color w:val="000000"/>
                <w:sz w:val="24"/>
                <w:szCs w:val="24"/>
              </w:rPr>
              <w:t>Computer Hardware and Software</w:t>
            </w:r>
          </w:p>
        </w:tc>
        <w:tc>
          <w:tcPr>
            <w:tcW w:w="1194" w:type="dxa"/>
            <w:tcBorders>
              <w:top w:val="nil"/>
              <w:left w:val="nil"/>
              <w:bottom w:val="single" w:sz="8" w:space="0" w:color="auto"/>
              <w:right w:val="single" w:sz="8" w:space="0" w:color="auto"/>
            </w:tcBorders>
            <w:shd w:val="clear" w:color="auto" w:fill="BFBFBF"/>
            <w:vAlign w:val="center"/>
          </w:tcPr>
          <w:p w:rsidR="00623B92" w:rsidRPr="00EE3E14" w:rsidP="00623B92" w14:paraId="4C4FCA99" w14:textId="77777777">
            <w:pPr>
              <w:spacing w:after="0"/>
              <w:jc w:val="center"/>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623B92" w:rsidRPr="00EE3E14" w:rsidP="00623B92" w14:paraId="2C1C3FC0" w14:textId="77777777">
            <w:pPr>
              <w:spacing w:after="0"/>
              <w:jc w:val="center"/>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23B92" w:rsidRPr="00EE3E14" w:rsidP="00623B92" w14:paraId="52C67F5E" w14:textId="77777777">
            <w:pPr>
              <w:spacing w:after="0"/>
              <w:jc w:val="center"/>
              <w:rPr>
                <w:rFonts w:ascii="Times New Roman" w:hAnsi="Times New Roman" w:cs="Times New Roman"/>
                <w:b/>
                <w:sz w:val="24"/>
                <w:szCs w:val="24"/>
              </w:rPr>
            </w:pPr>
          </w:p>
        </w:tc>
        <w:tc>
          <w:tcPr>
            <w:tcW w:w="1233" w:type="dxa"/>
            <w:tcBorders>
              <w:top w:val="nil"/>
              <w:left w:val="nil"/>
              <w:bottom w:val="single" w:sz="8" w:space="0" w:color="auto"/>
              <w:right w:val="single" w:sz="8" w:space="0" w:color="auto"/>
            </w:tcBorders>
            <w:shd w:val="clear" w:color="auto" w:fill="BFBFBF"/>
            <w:vAlign w:val="center"/>
          </w:tcPr>
          <w:p w:rsidR="00623B92" w:rsidRPr="00EE3E14" w:rsidP="00623B92" w14:paraId="24111217" w14:textId="77777777">
            <w:pPr>
              <w:spacing w:after="0"/>
              <w:jc w:val="center"/>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3DEFC722" w14:textId="3F8CDD02">
            <w:pPr>
              <w:spacing w:after="0"/>
              <w:jc w:val="center"/>
              <w:rPr>
                <w:rFonts w:ascii="Times New Roman" w:hAnsi="Times New Roman" w:cs="Times New Roman"/>
                <w:sz w:val="24"/>
                <w:szCs w:val="24"/>
              </w:rPr>
            </w:pPr>
            <w:r w:rsidRPr="00EE3E14">
              <w:rPr>
                <w:rFonts w:ascii="Times New Roman" w:hAnsi="Times New Roman" w:cs="Times New Roman"/>
                <w:sz w:val="24"/>
                <w:szCs w:val="24"/>
              </w:rPr>
              <w:t>$2,</w:t>
            </w:r>
            <w:r>
              <w:rPr>
                <w:rFonts w:ascii="Times New Roman" w:hAnsi="Times New Roman" w:cs="Times New Roman"/>
                <w:sz w:val="24"/>
                <w:szCs w:val="24"/>
              </w:rPr>
              <w:t>75</w:t>
            </w:r>
            <w:r w:rsidRPr="00EE3E14">
              <w:rPr>
                <w:rFonts w:ascii="Times New Roman" w:hAnsi="Times New Roman" w:cs="Times New Roman"/>
                <w:sz w:val="24"/>
                <w:szCs w:val="24"/>
              </w:rPr>
              <w:t>0,000</w:t>
            </w:r>
          </w:p>
        </w:tc>
      </w:tr>
      <w:tr w14:paraId="277A0F89" w14:textId="77777777" w:rsidTr="00623B92">
        <w:tblPrEx>
          <w:tblW w:w="9522" w:type="dxa"/>
          <w:tblCellMar>
            <w:left w:w="0" w:type="dxa"/>
            <w:right w:w="0" w:type="dxa"/>
          </w:tblCellMar>
          <w:tblLook w:val="04A0"/>
        </w:tblPrEx>
        <w:trPr>
          <w:trHeight w:val="367"/>
        </w:trPr>
        <w:tc>
          <w:tcPr>
            <w:tcW w:w="32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23B92" w:rsidRPr="00993DC0" w:rsidP="00623B92" w14:paraId="3C4B801C" w14:textId="77777777">
            <w:pPr>
              <w:spacing w:after="0"/>
              <w:rPr>
                <w:rFonts w:ascii="Times New Roman" w:hAnsi="Times New Roman" w:cs="Times New Roman"/>
                <w:b/>
                <w:sz w:val="24"/>
                <w:szCs w:val="24"/>
              </w:rPr>
            </w:pPr>
            <w:r w:rsidRPr="00993DC0">
              <w:rPr>
                <w:rFonts w:ascii="Times New Roman" w:hAnsi="Times New Roman" w:cs="Times New Roman"/>
                <w:b/>
                <w:sz w:val="24"/>
                <w:szCs w:val="24"/>
              </w:rPr>
              <w:t>Total</w:t>
            </w:r>
          </w:p>
        </w:tc>
        <w:tc>
          <w:tcPr>
            <w:tcW w:w="1194" w:type="dxa"/>
            <w:tcBorders>
              <w:top w:val="nil"/>
              <w:left w:val="nil"/>
              <w:bottom w:val="single" w:sz="8" w:space="0" w:color="auto"/>
              <w:right w:val="single" w:sz="8" w:space="0" w:color="auto"/>
            </w:tcBorders>
            <w:vAlign w:val="center"/>
          </w:tcPr>
          <w:p w:rsidR="00623B92" w:rsidRPr="00EE3E14" w:rsidP="00623B92" w14:paraId="377E81D2" w14:textId="77777777">
            <w:pPr>
              <w:spacing w:after="0"/>
              <w:rPr>
                <w:rFonts w:ascii="Times New Roman" w:hAnsi="Times New Roman" w:cs="Times New Roman"/>
                <w:sz w:val="24"/>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23B92" w:rsidRPr="00EE3E14" w:rsidP="00623B92" w14:paraId="0B47325B" w14:textId="77777777">
            <w:pPr>
              <w:spacing w:after="0"/>
              <w:rPr>
                <w:rFonts w:ascii="Times New Roman" w:hAnsi="Times New Roman" w:cs="Times New Roman"/>
                <w:sz w:val="24"/>
                <w:szCs w:val="24"/>
              </w:rPr>
            </w:pPr>
          </w:p>
        </w:tc>
        <w:tc>
          <w:tcPr>
            <w:tcW w:w="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23B92" w:rsidRPr="00EE3E14" w:rsidP="00623B92" w14:paraId="45637119" w14:textId="77777777">
            <w:pPr>
              <w:spacing w:after="0"/>
              <w:rPr>
                <w:rFonts w:ascii="Times New Roman" w:hAnsi="Times New Roman" w:cs="Times New Roman"/>
                <w:sz w:val="24"/>
                <w:szCs w:val="24"/>
              </w:rPr>
            </w:pPr>
          </w:p>
        </w:tc>
        <w:tc>
          <w:tcPr>
            <w:tcW w:w="1233" w:type="dxa"/>
            <w:tcBorders>
              <w:top w:val="nil"/>
              <w:left w:val="nil"/>
              <w:bottom w:val="single" w:sz="8" w:space="0" w:color="auto"/>
              <w:right w:val="single" w:sz="8" w:space="0" w:color="auto"/>
            </w:tcBorders>
            <w:vAlign w:val="center"/>
          </w:tcPr>
          <w:p w:rsidR="00623B92" w:rsidRPr="00EE3E14" w:rsidP="00623B92" w14:paraId="12F6B416" w14:textId="77777777">
            <w:pPr>
              <w:spacing w:after="0"/>
              <w:rPr>
                <w:rFonts w:ascii="Times New Roman" w:hAnsi="Times New Roman" w:cs="Times New Roman"/>
                <w:sz w:val="24"/>
                <w:szCs w:val="24"/>
              </w:rPr>
            </w:pPr>
          </w:p>
        </w:tc>
        <w:tc>
          <w:tcPr>
            <w:tcW w:w="1199" w:type="dxa"/>
            <w:tcBorders>
              <w:top w:val="nil"/>
              <w:left w:val="nil"/>
              <w:bottom w:val="single" w:sz="8" w:space="0" w:color="auto"/>
              <w:right w:val="single" w:sz="8" w:space="0" w:color="auto"/>
            </w:tcBorders>
            <w:vAlign w:val="center"/>
          </w:tcPr>
          <w:p w:rsidR="00623B92" w:rsidRPr="00EE3E14" w:rsidP="00623B92" w14:paraId="230C3C82" w14:textId="5B0BA1A9">
            <w:pPr>
              <w:spacing w:after="0"/>
              <w:rPr>
                <w:rFonts w:ascii="Times New Roman" w:hAnsi="Times New Roman" w:cs="Times New Roman"/>
                <w:sz w:val="24"/>
                <w:szCs w:val="24"/>
              </w:rPr>
            </w:pPr>
            <w:r w:rsidRPr="003D573C">
              <w:rPr>
                <w:rFonts w:ascii="Times New Roman" w:hAnsi="Times New Roman" w:cs="Times New Roman"/>
                <w:sz w:val="24"/>
                <w:szCs w:val="24"/>
              </w:rPr>
              <w:t>$7,532,596</w:t>
            </w:r>
          </w:p>
        </w:tc>
      </w:tr>
    </w:tbl>
    <w:p w:rsidR="008741B7" w:rsidRPr="0064224D" w:rsidP="008741B7" w14:paraId="0B0622C4" w14:textId="77777777">
      <w:pPr>
        <w:ind w:left="720"/>
        <w:rPr>
          <w:rFonts w:cstheme="minorHAnsi"/>
        </w:rPr>
      </w:pPr>
    </w:p>
    <w:p w:rsidR="000537A6" w:rsidP="00A2122D" w14:paraId="4DE21AE5" w14:textId="77777777">
      <w:pPr>
        <w:rPr>
          <w:rFonts w:cstheme="minorHAnsi"/>
          <w:b/>
        </w:rPr>
      </w:pPr>
    </w:p>
    <w:p w:rsidR="00A2122D" w:rsidRPr="0064224D" w:rsidP="00A2122D" w14:paraId="3B4A17B2" w14:textId="40C482FE">
      <w:pPr>
        <w:rPr>
          <w:rFonts w:cstheme="minorHAnsi"/>
          <w:b/>
        </w:rPr>
      </w:pPr>
      <w:r w:rsidRPr="0064224D">
        <w:rPr>
          <w:rFonts w:cstheme="minorHAnsi"/>
          <w:b/>
        </w:rPr>
        <w:t>A.15</w:t>
      </w:r>
      <w:r w:rsidRPr="0064224D">
        <w:rPr>
          <w:rFonts w:cstheme="minorHAnsi"/>
          <w:b/>
        </w:rPr>
        <w:tab/>
        <w:t>Explanation for Program Changes or Adjustments</w:t>
      </w:r>
    </w:p>
    <w:p w:rsidR="003C627C" w:rsidRPr="0064224D" w:rsidP="00A2122D" w14:paraId="4546C63D" w14:textId="1407EF56">
      <w:pPr>
        <w:ind w:left="720"/>
        <w:rPr>
          <w:rFonts w:cstheme="minorHAnsi"/>
        </w:rPr>
      </w:pPr>
      <w:r w:rsidRPr="0064224D">
        <w:rPr>
          <w:rFonts w:cstheme="minorHAnsi"/>
        </w:rPr>
        <w:t>Th</w:t>
      </w:r>
      <w:r w:rsidRPr="0064224D" w:rsidR="000D7701">
        <w:rPr>
          <w:rFonts w:cstheme="minorHAnsi"/>
        </w:rPr>
        <w:t>is application is for a</w:t>
      </w:r>
      <w:r w:rsidRPr="0064224D" w:rsidR="001867CB">
        <w:rPr>
          <w:rFonts w:cstheme="minorHAnsi"/>
        </w:rPr>
        <w:t xml:space="preserve"> </w:t>
      </w:r>
      <w:r w:rsidRPr="0064224D" w:rsidR="001867CB">
        <w:rPr>
          <w:rFonts w:cstheme="minorHAnsi"/>
          <w:highlight w:val="yellow"/>
        </w:rPr>
        <w:t>revision</w:t>
      </w:r>
      <w:r w:rsidRPr="0064224D" w:rsidR="001867CB">
        <w:rPr>
          <w:rFonts w:cstheme="minorHAnsi"/>
        </w:rPr>
        <w:t xml:space="preserve"> </w:t>
      </w:r>
      <w:r w:rsidRPr="0064224D">
        <w:rPr>
          <w:rFonts w:cstheme="minorHAnsi"/>
        </w:rPr>
        <w:t>to an existing Office of Management and Budget (OMB) approved collection of information, 0925-0670. Changes in Attachments 1 and 2 are described below and noted in the attachments. Some changes</w:t>
      </w:r>
      <w:r w:rsidRPr="0064224D" w:rsidR="00F63229">
        <w:rPr>
          <w:rFonts w:cstheme="minorHAnsi"/>
        </w:rPr>
        <w:t xml:space="preserve"> focus on reducing redundancy among data submissions and access requests and increasing awareness of the ethical responsibilities associated with the responsible use of genomic information</w:t>
      </w:r>
      <w:r w:rsidRPr="0064224D">
        <w:rPr>
          <w:rFonts w:cstheme="minorHAnsi"/>
        </w:rPr>
        <w:t>.</w:t>
      </w:r>
      <w:r w:rsidRPr="0064224D" w:rsidR="00F63229">
        <w:rPr>
          <w:rFonts w:cstheme="minorHAnsi"/>
        </w:rPr>
        <w:t xml:space="preserve"> </w:t>
      </w:r>
    </w:p>
    <w:p w:rsidR="00AD10E2" w:rsidRPr="00EF3D1A" w:rsidP="00AD10E2" w14:paraId="4C0A1FE9" w14:textId="2780E72B">
      <w:pPr>
        <w:ind w:left="720"/>
        <w:rPr>
          <w:rFonts w:cstheme="minorHAnsi"/>
          <w:highlight w:val="yellow"/>
        </w:rPr>
      </w:pPr>
      <w:r w:rsidRPr="0064224D">
        <w:rPr>
          <w:rFonts w:cstheme="minorHAnsi"/>
        </w:rPr>
        <w:t xml:space="preserve">In the Institutional Certification forms (Attachment 1), </w:t>
      </w:r>
      <w:r w:rsidRPr="0064224D">
        <w:rPr>
          <w:rFonts w:cstheme="minorHAnsi"/>
          <w:highlight w:val="yellow"/>
        </w:rPr>
        <w:t xml:space="preserve">we changed the form to address NIH/HHS (slide 2), added questions and language regarding the availability of individual-level data and asking whether the data will be covered by a Certificate of Confidentiality (slide 3). We also added a question in the Genomic Summary Results section regarding Certificates of Confidentiality (slide 3). In the same section, we added a field for researchers to explain why data may be sensitive (slide 3). On the signature page, we added language cautioning against making false or misleading statements (slide 4). We updated language on the reference page to bring it up to date and to clarify GDS policy (slide 5). </w:t>
      </w:r>
      <w:r w:rsidRPr="00EF3D1A">
        <w:rPr>
          <w:rFonts w:cstheme="minorHAnsi"/>
          <w:highlight w:val="yellow"/>
        </w:rPr>
        <w:t xml:space="preserve">In addition, to address a need identified by NIH Institutes, Centers, and Offices, a provisional Institutional Certification form was created for those in the process of obtaining IRB approval </w:t>
      </w:r>
      <w:r w:rsidRPr="00EF3D1A" w:rsidR="00EF415F">
        <w:rPr>
          <w:rFonts w:cstheme="minorHAnsi"/>
          <w:highlight w:val="yellow"/>
        </w:rPr>
        <w:t xml:space="preserve">due to changes requested by NIH </w:t>
      </w:r>
      <w:r w:rsidRPr="00EF3D1A">
        <w:rPr>
          <w:rFonts w:cstheme="minorHAnsi"/>
          <w:highlight w:val="yellow"/>
        </w:rPr>
        <w:t>(slides 6, 7, 8) when the Institutional Certification Form is due. We anticipate that this form will be used sparingly.</w:t>
      </w:r>
    </w:p>
    <w:p w:rsidR="00A53F24" w:rsidRPr="0064224D" w14:paraId="2C9B80E6" w14:textId="1E73EC57">
      <w:pPr>
        <w:ind w:left="720"/>
        <w:rPr>
          <w:rFonts w:cstheme="minorHAnsi"/>
        </w:rPr>
      </w:pPr>
      <w:r w:rsidRPr="00EF3D1A">
        <w:rPr>
          <w:rFonts w:cstheme="minorHAnsi"/>
          <w:highlight w:val="yellow"/>
        </w:rPr>
        <w:t xml:space="preserve">We anticipate that the Provisional Certification will be used sparingly because restricted awards are relatively uncommon and because awards that are restricted due to </w:t>
      </w:r>
      <w:r w:rsidRPr="00EF3D1A" w:rsidR="003971AF">
        <w:rPr>
          <w:rFonts w:cstheme="minorHAnsi"/>
          <w:highlight w:val="yellow"/>
        </w:rPr>
        <w:t xml:space="preserve">IRB approval of changes </w:t>
      </w:r>
      <w:r w:rsidRPr="00EF3D1A" w:rsidR="008A625E">
        <w:rPr>
          <w:rFonts w:cstheme="minorHAnsi"/>
          <w:highlight w:val="yellow"/>
        </w:rPr>
        <w:t xml:space="preserve">related to </w:t>
      </w:r>
      <w:r w:rsidRPr="00EF3D1A" w:rsidR="003971AF">
        <w:rPr>
          <w:rFonts w:cstheme="minorHAnsi"/>
          <w:highlight w:val="yellow"/>
        </w:rPr>
        <w:t xml:space="preserve">genomic data sharing are expected by NIH Genomic Program Administrators to account for a </w:t>
      </w:r>
      <w:r w:rsidRPr="00EF3D1A" w:rsidR="008A625E">
        <w:rPr>
          <w:rFonts w:cstheme="minorHAnsi"/>
          <w:highlight w:val="yellow"/>
        </w:rPr>
        <w:t xml:space="preserve">very </w:t>
      </w:r>
      <w:r w:rsidRPr="00EF3D1A" w:rsidR="003971AF">
        <w:rPr>
          <w:rFonts w:cstheme="minorHAnsi"/>
          <w:highlight w:val="yellow"/>
        </w:rPr>
        <w:t xml:space="preserve">small proportion of restricted awards.  We have anecdotal experience from </w:t>
      </w:r>
      <w:r w:rsidRPr="00EF3D1A" w:rsidR="00FD54BE">
        <w:rPr>
          <w:rFonts w:cstheme="minorHAnsi"/>
          <w:highlight w:val="yellow"/>
        </w:rPr>
        <w:t xml:space="preserve">the </w:t>
      </w:r>
      <w:r w:rsidRPr="00EF3D1A" w:rsidR="003971AF">
        <w:rPr>
          <w:rFonts w:cstheme="minorHAnsi"/>
          <w:highlight w:val="yellow"/>
        </w:rPr>
        <w:t xml:space="preserve">experiences of investigators </w:t>
      </w:r>
      <w:r w:rsidRPr="00EF3D1A" w:rsidR="00FD54BE">
        <w:rPr>
          <w:rFonts w:cstheme="minorHAnsi"/>
          <w:highlight w:val="yellow"/>
        </w:rPr>
        <w:t xml:space="preserve">(who are federal staff) </w:t>
      </w:r>
      <w:r w:rsidRPr="00EF3D1A" w:rsidR="003971AF">
        <w:rPr>
          <w:rFonts w:cstheme="minorHAnsi"/>
          <w:highlight w:val="yellow"/>
        </w:rPr>
        <w:t>in the NIH Intramural Research Program</w:t>
      </w:r>
      <w:r w:rsidRPr="00EF3D1A" w:rsidR="009B66EF">
        <w:rPr>
          <w:rFonts w:cstheme="minorHAnsi"/>
          <w:highlight w:val="yellow"/>
        </w:rPr>
        <w:t xml:space="preserve"> </w:t>
      </w:r>
      <w:r w:rsidRPr="00EF3D1A" w:rsidR="0063756C">
        <w:rPr>
          <w:rFonts w:cstheme="minorHAnsi"/>
          <w:highlight w:val="yellow"/>
        </w:rPr>
        <w:t xml:space="preserve">who have requested the ability </w:t>
      </w:r>
      <w:r w:rsidRPr="00EF3D1A" w:rsidR="003971AF">
        <w:rPr>
          <w:rFonts w:cstheme="minorHAnsi"/>
          <w:highlight w:val="yellow"/>
        </w:rPr>
        <w:t xml:space="preserve">to provide a provisional Institutional Certification Form and there have been a </w:t>
      </w:r>
      <w:r w:rsidRPr="00EF3D1A" w:rsidR="0063756C">
        <w:rPr>
          <w:rFonts w:cstheme="minorHAnsi"/>
          <w:highlight w:val="yellow"/>
        </w:rPr>
        <w:t>small</w:t>
      </w:r>
      <w:r w:rsidRPr="00EF3D1A" w:rsidR="003971AF">
        <w:rPr>
          <w:rFonts w:cstheme="minorHAnsi"/>
          <w:highlight w:val="yellow"/>
        </w:rPr>
        <w:t xml:space="preserve"> number of such requests.</w:t>
      </w:r>
      <w:r w:rsidR="003971AF">
        <w:rPr>
          <w:rFonts w:cstheme="minorHAnsi"/>
        </w:rPr>
        <w:t xml:space="preserve"> </w:t>
      </w:r>
    </w:p>
    <w:p w:rsidR="00456C77" w:rsidRPr="00C31467" w14:paraId="662B5CF4" w14:textId="77777777">
      <w:pPr>
        <w:ind w:left="720"/>
        <w:rPr>
          <w:rFonts w:cstheme="minorHAnsi"/>
          <w:highlight w:val="yellow"/>
        </w:rPr>
      </w:pPr>
      <w:r w:rsidRPr="0064224D">
        <w:rPr>
          <w:rFonts w:cstheme="minorHAnsi"/>
        </w:rPr>
        <w:t xml:space="preserve">In the </w:t>
      </w:r>
      <w:r w:rsidRPr="0064224D">
        <w:rPr>
          <w:rFonts w:cstheme="minorHAnsi"/>
        </w:rPr>
        <w:t>dbGaP</w:t>
      </w:r>
      <w:r w:rsidRPr="0064224D">
        <w:rPr>
          <w:rFonts w:cstheme="minorHAnsi"/>
        </w:rPr>
        <w:t xml:space="preserve"> registration and submission forms (Attachment </w:t>
      </w:r>
      <w:r w:rsidRPr="00C31467">
        <w:rPr>
          <w:rFonts w:cstheme="minorHAnsi"/>
          <w:highlight w:val="yellow"/>
        </w:rPr>
        <w:t xml:space="preserve">2): there is now an option to add an external data source (slide 3). There are new selectors for adding data types to </w:t>
      </w:r>
      <w:r w:rsidRPr="00C31467">
        <w:rPr>
          <w:rFonts w:cstheme="minorHAnsi"/>
          <w:highlight w:val="yellow"/>
        </w:rPr>
        <w:t>dbGaP</w:t>
      </w:r>
      <w:r w:rsidRPr="00C31467">
        <w:rPr>
          <w:rFonts w:cstheme="minorHAnsi"/>
          <w:highlight w:val="yellow"/>
        </w:rPr>
        <w:t xml:space="preserve"> (slide 4). </w:t>
      </w:r>
    </w:p>
    <w:p w:rsidR="00577448" w:rsidRPr="00C31467" w14:paraId="5D17C424" w14:textId="124E7000">
      <w:pPr>
        <w:ind w:left="720"/>
        <w:rPr>
          <w:rFonts w:cstheme="minorHAnsi"/>
          <w:highlight w:val="yellow"/>
        </w:rPr>
      </w:pPr>
      <w:r w:rsidRPr="00C31467">
        <w:rPr>
          <w:rFonts w:cstheme="minorHAnsi"/>
          <w:highlight w:val="yellow"/>
        </w:rPr>
        <w:t xml:space="preserve">In the </w:t>
      </w:r>
      <w:r w:rsidRPr="00C31467" w:rsidR="00F44C0D">
        <w:rPr>
          <w:rFonts w:cstheme="minorHAnsi"/>
          <w:highlight w:val="yellow"/>
        </w:rPr>
        <w:t>dbGaP</w:t>
      </w:r>
      <w:r w:rsidRPr="00C31467" w:rsidR="00F44C0D">
        <w:rPr>
          <w:rFonts w:cstheme="minorHAnsi"/>
          <w:highlight w:val="yellow"/>
        </w:rPr>
        <w:t xml:space="preserve"> </w:t>
      </w:r>
      <w:r w:rsidRPr="00C31467">
        <w:rPr>
          <w:rFonts w:cstheme="minorHAnsi"/>
          <w:highlight w:val="yellow"/>
        </w:rPr>
        <w:t>data access, renewal, and close-out forms</w:t>
      </w:r>
      <w:r w:rsidRPr="00C31467" w:rsidR="00A53F24">
        <w:rPr>
          <w:rFonts w:cstheme="minorHAnsi"/>
          <w:highlight w:val="yellow"/>
        </w:rPr>
        <w:t xml:space="preserve"> (Attachment </w:t>
      </w:r>
      <w:r w:rsidRPr="00C31467" w:rsidR="00AD10E2">
        <w:rPr>
          <w:rFonts w:cstheme="minorHAnsi"/>
          <w:highlight w:val="yellow"/>
        </w:rPr>
        <w:t>2</w:t>
      </w:r>
      <w:r w:rsidRPr="00C31467" w:rsidR="00A53F24">
        <w:rPr>
          <w:rFonts w:cstheme="minorHAnsi"/>
          <w:highlight w:val="yellow"/>
        </w:rPr>
        <w:t>)</w:t>
      </w:r>
      <w:r w:rsidRPr="00C31467">
        <w:rPr>
          <w:rFonts w:cstheme="minorHAnsi"/>
          <w:highlight w:val="yellow"/>
        </w:rPr>
        <w:t>:</w:t>
      </w:r>
      <w:r w:rsidRPr="00C31467" w:rsidR="00FB7249">
        <w:rPr>
          <w:rFonts w:cstheme="minorHAnsi"/>
          <w:highlight w:val="yellow"/>
        </w:rPr>
        <w:t xml:space="preserve"> there is a new select box to ask permission to use cloud computing (slide 5),</w:t>
      </w:r>
      <w:r w:rsidRPr="00C31467">
        <w:rPr>
          <w:rFonts w:cstheme="minorHAnsi"/>
          <w:highlight w:val="yellow"/>
        </w:rPr>
        <w:t xml:space="preserve"> </w:t>
      </w:r>
      <w:r w:rsidRPr="00C31467" w:rsidR="00663EFA">
        <w:rPr>
          <w:rFonts w:cstheme="minorHAnsi"/>
          <w:highlight w:val="yellow"/>
        </w:rPr>
        <w:t xml:space="preserve">removed decryption password entry from the Authorized Access System (due to the encryption now being automatic) (slide </w:t>
      </w:r>
      <w:r w:rsidRPr="00C31467" w:rsidR="00FB7249">
        <w:rPr>
          <w:rFonts w:cstheme="minorHAnsi"/>
          <w:highlight w:val="yellow"/>
        </w:rPr>
        <w:t>5</w:t>
      </w:r>
      <w:r w:rsidRPr="00C31467" w:rsidR="00663EFA">
        <w:rPr>
          <w:rFonts w:cstheme="minorHAnsi"/>
          <w:highlight w:val="yellow"/>
        </w:rPr>
        <w:t>), the “types of research” selection form has been removed from the Project Request interface</w:t>
      </w:r>
      <w:r w:rsidRPr="00C31467" w:rsidR="00D97737">
        <w:rPr>
          <w:rFonts w:cstheme="minorHAnsi"/>
          <w:highlight w:val="yellow"/>
        </w:rPr>
        <w:t xml:space="preserve"> because the information will go elsewhere</w:t>
      </w:r>
      <w:r w:rsidRPr="00C31467" w:rsidR="00663EFA">
        <w:rPr>
          <w:rFonts w:cstheme="minorHAnsi"/>
          <w:highlight w:val="yellow"/>
        </w:rPr>
        <w:t xml:space="preserve"> (slide </w:t>
      </w:r>
      <w:r w:rsidRPr="00C31467" w:rsidR="00D97737">
        <w:rPr>
          <w:rFonts w:cstheme="minorHAnsi"/>
          <w:highlight w:val="yellow"/>
        </w:rPr>
        <w:t>6</w:t>
      </w:r>
      <w:r w:rsidRPr="00C31467" w:rsidR="00663EFA">
        <w:rPr>
          <w:rFonts w:cstheme="minorHAnsi"/>
          <w:highlight w:val="yellow"/>
        </w:rPr>
        <w:t xml:space="preserve">), added a tab to input Cloud Providers if a requestor would like to use cloud computing to carry out the proposed research (slide </w:t>
      </w:r>
      <w:r w:rsidRPr="00C31467" w:rsidR="00B166A8">
        <w:rPr>
          <w:rFonts w:cstheme="minorHAnsi"/>
          <w:highlight w:val="yellow"/>
        </w:rPr>
        <w:t>7</w:t>
      </w:r>
      <w:r w:rsidRPr="00C31467" w:rsidR="00663EFA">
        <w:rPr>
          <w:rFonts w:cstheme="minorHAnsi"/>
          <w:highlight w:val="yellow"/>
        </w:rPr>
        <w:t xml:space="preserve">), added ability to upload a single document for multiple requests (slide </w:t>
      </w:r>
      <w:r w:rsidRPr="00C31467" w:rsidR="00B166A8">
        <w:rPr>
          <w:rFonts w:cstheme="minorHAnsi"/>
          <w:highlight w:val="yellow"/>
        </w:rPr>
        <w:t>8</w:t>
      </w:r>
      <w:r w:rsidRPr="00C31467" w:rsidR="00663EFA">
        <w:rPr>
          <w:rFonts w:cstheme="minorHAnsi"/>
          <w:highlight w:val="yellow"/>
        </w:rPr>
        <w:t xml:space="preserve">), and added a step to allow users to close out a subset of </w:t>
      </w:r>
      <w:r w:rsidRPr="00C31467" w:rsidR="00B166A8">
        <w:rPr>
          <w:rFonts w:cstheme="minorHAnsi"/>
          <w:highlight w:val="yellow"/>
        </w:rPr>
        <w:t>requests</w:t>
      </w:r>
      <w:r w:rsidRPr="00C31467" w:rsidR="00663EFA">
        <w:rPr>
          <w:rFonts w:cstheme="minorHAnsi"/>
          <w:highlight w:val="yellow"/>
        </w:rPr>
        <w:t xml:space="preserve"> within a </w:t>
      </w:r>
      <w:r w:rsidRPr="00C31467" w:rsidR="00BD50D4">
        <w:rPr>
          <w:rFonts w:cstheme="minorHAnsi"/>
          <w:highlight w:val="yellow"/>
        </w:rPr>
        <w:t>multi-request</w:t>
      </w:r>
      <w:r w:rsidRPr="00C31467" w:rsidR="007E2CD5">
        <w:rPr>
          <w:rFonts w:cstheme="minorHAnsi"/>
          <w:highlight w:val="yellow"/>
        </w:rPr>
        <w:t xml:space="preserve"> </w:t>
      </w:r>
      <w:r w:rsidRPr="00C31467" w:rsidR="00663EFA">
        <w:rPr>
          <w:rFonts w:cstheme="minorHAnsi"/>
          <w:highlight w:val="yellow"/>
        </w:rPr>
        <w:t xml:space="preserve">project (slide </w:t>
      </w:r>
      <w:r w:rsidRPr="00C31467" w:rsidR="00BD50D4">
        <w:rPr>
          <w:rFonts w:cstheme="minorHAnsi"/>
          <w:highlight w:val="yellow"/>
        </w:rPr>
        <w:t>9</w:t>
      </w:r>
      <w:r w:rsidRPr="00C31467" w:rsidR="00663EFA">
        <w:rPr>
          <w:rFonts w:cstheme="minorHAnsi"/>
          <w:highlight w:val="yellow"/>
        </w:rPr>
        <w:t>).</w:t>
      </w:r>
    </w:p>
    <w:p w:rsidR="00363D38" w:rsidRPr="00C31467" w14:paraId="52AAE968" w14:textId="30AC0DD7">
      <w:pPr>
        <w:ind w:left="720"/>
        <w:rPr>
          <w:rFonts w:cstheme="minorHAnsi"/>
          <w:highlight w:val="yellow"/>
        </w:rPr>
      </w:pPr>
      <w:r w:rsidRPr="00C31467">
        <w:rPr>
          <w:rFonts w:cstheme="minorHAnsi"/>
          <w:highlight w:val="yellow"/>
        </w:rPr>
        <w:t xml:space="preserve">None of the changes are expected to result in a change in </w:t>
      </w:r>
      <w:r w:rsidRPr="00C31467" w:rsidR="00A634A8">
        <w:rPr>
          <w:rFonts w:cstheme="minorHAnsi"/>
          <w:highlight w:val="yellow"/>
        </w:rPr>
        <w:t>burden</w:t>
      </w:r>
      <w:r w:rsidRPr="00C31467">
        <w:rPr>
          <w:rFonts w:cstheme="minorHAnsi"/>
          <w:highlight w:val="yellow"/>
        </w:rPr>
        <w:t>.</w:t>
      </w:r>
    </w:p>
    <w:p w:rsidR="001D3E72" w:rsidP="001D3E72" w14:paraId="5A6CFC64" w14:textId="0BE96EA5">
      <w:pPr>
        <w:ind w:left="720"/>
        <w:rPr>
          <w:rFonts w:cstheme="minorHAnsi"/>
        </w:rPr>
      </w:pPr>
      <w:r w:rsidRPr="00C31467">
        <w:rPr>
          <w:rFonts w:cstheme="minorHAnsi"/>
          <w:highlight w:val="yellow"/>
        </w:rPr>
        <w:t xml:space="preserve">We </w:t>
      </w:r>
      <w:r w:rsidRPr="00C31467" w:rsidR="00363D38">
        <w:rPr>
          <w:rFonts w:cstheme="minorHAnsi"/>
          <w:highlight w:val="yellow"/>
        </w:rPr>
        <w:t xml:space="preserve">do, however, </w:t>
      </w:r>
      <w:r w:rsidRPr="00C31467">
        <w:rPr>
          <w:rFonts w:cstheme="minorHAnsi"/>
          <w:highlight w:val="yellow"/>
        </w:rPr>
        <w:t xml:space="preserve">note an increase in burden in the </w:t>
      </w:r>
      <w:r w:rsidRPr="00C31467">
        <w:rPr>
          <w:rFonts w:cstheme="minorHAnsi"/>
          <w:highlight w:val="yellow"/>
        </w:rPr>
        <w:t>dbGaP</w:t>
      </w:r>
      <w:r w:rsidRPr="00C31467">
        <w:rPr>
          <w:rFonts w:cstheme="minorHAnsi"/>
          <w:highlight w:val="yellow"/>
        </w:rPr>
        <w:t xml:space="preserve"> data access, renewal, and close-out forms</w:t>
      </w:r>
      <w:r w:rsidRPr="00C31467" w:rsidR="00E4725A">
        <w:rPr>
          <w:rFonts w:cstheme="minorHAnsi"/>
          <w:highlight w:val="yellow"/>
        </w:rPr>
        <w:t xml:space="preserve"> over the past three years</w:t>
      </w:r>
      <w:r w:rsidRPr="00C31467">
        <w:rPr>
          <w:rFonts w:cstheme="minorHAnsi"/>
          <w:highlight w:val="yellow"/>
        </w:rPr>
        <w:t xml:space="preserve">. This is due to increased usage of the database from approximately </w:t>
      </w:r>
      <w:r w:rsidRPr="00C31467" w:rsidR="00AD10E2">
        <w:rPr>
          <w:rFonts w:cstheme="minorHAnsi"/>
          <w:highlight w:val="yellow"/>
        </w:rPr>
        <w:t>2</w:t>
      </w:r>
      <w:r w:rsidRPr="00C31467">
        <w:rPr>
          <w:rFonts w:cstheme="minorHAnsi"/>
          <w:highlight w:val="yellow"/>
        </w:rPr>
        <w:t xml:space="preserve"> request per user per year to 10.</w:t>
      </w:r>
      <w:r w:rsidRPr="0064224D">
        <w:rPr>
          <w:rFonts w:cstheme="minorHAnsi"/>
        </w:rPr>
        <w:t xml:space="preserve"> Because each request must be either closed out or renewed on an annual basis</w:t>
      </w:r>
      <w:r w:rsidRPr="0064224D" w:rsidR="005F2C2B">
        <w:rPr>
          <w:rFonts w:cstheme="minorHAnsi"/>
        </w:rPr>
        <w:t xml:space="preserve"> (</w:t>
      </w:r>
      <w:r w:rsidRPr="0064224D" w:rsidR="006669C0">
        <w:rPr>
          <w:rFonts w:cstheme="minorHAnsi"/>
        </w:rPr>
        <w:t>it is also possible for both to occur for the same request</w:t>
      </w:r>
      <w:r w:rsidRPr="0064224D" w:rsidR="005F2C2B">
        <w:rPr>
          <w:rFonts w:cstheme="minorHAnsi"/>
        </w:rPr>
        <w:t>)</w:t>
      </w:r>
      <w:r w:rsidRPr="0064224D">
        <w:rPr>
          <w:rFonts w:cstheme="minorHAnsi"/>
        </w:rPr>
        <w:t>, for every request, there is</w:t>
      </w:r>
      <w:r w:rsidRPr="0064224D" w:rsidR="003A163C">
        <w:rPr>
          <w:rFonts w:cstheme="minorHAnsi"/>
        </w:rPr>
        <w:t xml:space="preserve"> always</w:t>
      </w:r>
      <w:r w:rsidRPr="0064224D">
        <w:rPr>
          <w:rFonts w:cstheme="minorHAnsi"/>
        </w:rPr>
        <w:t xml:space="preserve"> a corresponding increase in the number of close-out and renewals.</w:t>
      </w:r>
    </w:p>
    <w:p w:rsidR="00947B15" w:rsidRPr="00947B15" w:rsidP="00947B15" w14:paraId="4AF4F55B" w14:textId="77777777">
      <w:pPr>
        <w:ind w:left="720" w:hanging="720"/>
        <w:rPr>
          <w:rFonts w:cstheme="minorHAnsi"/>
        </w:rPr>
      </w:pPr>
      <w:r w:rsidRPr="00947B15">
        <w:rPr>
          <w:rFonts w:cstheme="minorHAnsi"/>
          <w:b/>
        </w:rPr>
        <w:t>A.16</w:t>
      </w:r>
      <w:r w:rsidRPr="00947B15">
        <w:rPr>
          <w:rFonts w:cstheme="minorHAnsi"/>
        </w:rPr>
        <w:tab/>
      </w:r>
      <w:r w:rsidRPr="00947B15">
        <w:rPr>
          <w:rFonts w:cstheme="minorHAnsi"/>
          <w:b/>
        </w:rPr>
        <w:t>Plans for Tabulation and Publication and Project Time Schedule</w:t>
      </w:r>
    </w:p>
    <w:p w:rsidR="00947B15" w:rsidRPr="00947B15" w:rsidP="00947B15" w14:paraId="32756E9D" w14:textId="77777777">
      <w:pPr>
        <w:ind w:left="720"/>
        <w:rPr>
          <w:rFonts w:cstheme="minorHAnsi"/>
          <w:b/>
        </w:rPr>
      </w:pPr>
      <w:r w:rsidRPr="00947B15">
        <w:rPr>
          <w:rFonts w:cstheme="minorHAnsi"/>
        </w:rPr>
        <w:t xml:space="preserve">Information submitted to </w:t>
      </w:r>
      <w:r w:rsidRPr="00947B15">
        <w:rPr>
          <w:rFonts w:cstheme="minorHAnsi"/>
        </w:rPr>
        <w:t>dbGaP</w:t>
      </w:r>
      <w:r w:rsidRPr="00947B15">
        <w:rPr>
          <w:rFonts w:cstheme="minorHAnsi"/>
        </w:rPr>
        <w:t xml:space="preserve"> to register studies or access genomic data will be made available to the public via the </w:t>
      </w:r>
      <w:r w:rsidRPr="00947B15">
        <w:rPr>
          <w:rFonts w:cstheme="minorHAnsi"/>
        </w:rPr>
        <w:t>dbGaP</w:t>
      </w:r>
      <w:r w:rsidRPr="00947B15">
        <w:rPr>
          <w:rFonts w:cstheme="minorHAnsi"/>
        </w:rPr>
        <w:t xml:space="preserve"> website once the registration is complete and the study has been released. The only submitted information that will not be publicly displayed on the website is contact information of the submitting investigators and requesters (i.e., the investigator’s email addresses, and phone and fax numbers).</w:t>
      </w:r>
    </w:p>
    <w:p w:rsidR="00947B15" w:rsidRPr="00947B15" w:rsidP="00947B15" w14:paraId="5E214C9C" w14:textId="77777777">
      <w:pPr>
        <w:ind w:left="720"/>
        <w:rPr>
          <w:rFonts w:cstheme="minorHAnsi"/>
        </w:rPr>
      </w:pPr>
      <w:r w:rsidRPr="00947B15">
        <w:rPr>
          <w:rFonts w:cstheme="minorHAnsi"/>
        </w:rPr>
        <w:t>NIH will post on their public website, on a bi-annual basis, an analysis of data usage that would include summary statistics such as the number of registered studies, the number of submitted/approved DARs, trends in usage, and number of publications.</w:t>
      </w:r>
    </w:p>
    <w:p w:rsidR="00A2122D" w:rsidRPr="0064224D" w:rsidP="00A2122D" w14:paraId="774FF136" w14:textId="2FF9BF54">
      <w:pPr>
        <w:rPr>
          <w:rFonts w:cstheme="minorHAnsi"/>
          <w:b/>
        </w:rPr>
      </w:pPr>
      <w:r w:rsidRPr="0064224D">
        <w:rPr>
          <w:rFonts w:cstheme="minorHAnsi"/>
          <w:b/>
        </w:rPr>
        <w:t>A.</w:t>
      </w:r>
      <w:r w:rsidRPr="0064224D" w:rsidR="00E2616F">
        <w:rPr>
          <w:rFonts w:cstheme="minorHAnsi"/>
          <w:b/>
        </w:rPr>
        <w:t>1</w:t>
      </w:r>
      <w:r w:rsidR="00947B15">
        <w:rPr>
          <w:rFonts w:cstheme="minorHAnsi"/>
          <w:b/>
        </w:rPr>
        <w:t>7</w:t>
      </w:r>
      <w:r w:rsidRPr="0064224D">
        <w:rPr>
          <w:rFonts w:cstheme="minorHAnsi"/>
          <w:b/>
        </w:rPr>
        <w:tab/>
        <w:t>Reason(s) Display of OMB Expiration Date is Inappropriate</w:t>
      </w:r>
    </w:p>
    <w:p w:rsidR="00A2122D" w:rsidRPr="0064224D" w:rsidP="00A2122D" w14:paraId="50E5A32C" w14:textId="77777777">
      <w:pPr>
        <w:tabs>
          <w:tab w:val="num" w:pos="810"/>
        </w:tabs>
        <w:ind w:left="720"/>
        <w:rPr>
          <w:rFonts w:cstheme="minorHAnsi"/>
        </w:rPr>
      </w:pPr>
      <w:r w:rsidRPr="0064224D">
        <w:rPr>
          <w:rFonts w:cstheme="minorHAnsi"/>
        </w:rPr>
        <w:t>No exemption is requested.</w:t>
      </w:r>
    </w:p>
    <w:p w:rsidR="00A2122D" w:rsidRPr="0064224D" w:rsidP="00A2122D" w14:paraId="14B1A0E2" w14:textId="484B9925">
      <w:pPr>
        <w:rPr>
          <w:rFonts w:cstheme="minorHAnsi"/>
          <w:b/>
        </w:rPr>
      </w:pPr>
      <w:r w:rsidRPr="0064224D">
        <w:rPr>
          <w:rFonts w:cstheme="minorHAnsi"/>
          <w:b/>
        </w:rPr>
        <w:t>A.</w:t>
      </w:r>
      <w:r w:rsidRPr="0064224D" w:rsidR="00E2616F">
        <w:rPr>
          <w:rFonts w:cstheme="minorHAnsi"/>
          <w:b/>
        </w:rPr>
        <w:t>1</w:t>
      </w:r>
      <w:r w:rsidR="00947B15">
        <w:rPr>
          <w:rFonts w:cstheme="minorHAnsi"/>
          <w:b/>
        </w:rPr>
        <w:t>8</w:t>
      </w:r>
      <w:r w:rsidRPr="0064224D">
        <w:rPr>
          <w:rFonts w:cstheme="minorHAnsi"/>
          <w:b/>
        </w:rPr>
        <w:tab/>
        <w:t>Exceptions to Certification for Paperwork Reduction Act Submissions</w:t>
      </w:r>
    </w:p>
    <w:p w:rsidR="00A2122D" w:rsidRPr="0064224D" w:rsidP="00A2122D" w14:paraId="56042017" w14:textId="7D75C608">
      <w:pPr>
        <w:ind w:left="720"/>
        <w:rPr>
          <w:rFonts w:cstheme="minorHAnsi"/>
        </w:rPr>
      </w:pPr>
      <w:r w:rsidRPr="0064224D">
        <w:rPr>
          <w:rFonts w:cstheme="minorHAnsi"/>
        </w:rPr>
        <w:t>No exceptions are requested.</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357553010"/>
      <w:docPartObj>
        <w:docPartGallery w:val="Page Numbers (Bottom of Page)"/>
        <w:docPartUnique/>
      </w:docPartObj>
    </w:sdtPr>
    <w:sdtEndPr>
      <w:rPr>
        <w:noProof/>
      </w:rPr>
    </w:sdtEndPr>
    <w:sdtContent>
      <w:p w:rsidR="00EE3E14" w:rsidRPr="002A0B2B" w14:paraId="4859A7B7" w14:textId="0B7740D6">
        <w:pPr>
          <w:pStyle w:val="Footer"/>
          <w:jc w:val="center"/>
          <w:rPr>
            <w:rFonts w:ascii="Times New Roman" w:hAnsi="Times New Roman" w:cs="Times New Roman"/>
          </w:rPr>
        </w:pPr>
        <w:r w:rsidRPr="002A0B2B">
          <w:rPr>
            <w:rFonts w:ascii="Times New Roman" w:hAnsi="Times New Roman" w:cs="Times New Roman"/>
          </w:rPr>
          <w:fldChar w:fldCharType="begin"/>
        </w:r>
        <w:r w:rsidRPr="002A0B2B">
          <w:rPr>
            <w:rFonts w:ascii="Times New Roman" w:hAnsi="Times New Roman" w:cs="Times New Roman"/>
          </w:rPr>
          <w:instrText xml:space="preserve"> PAGE   \* MERGEFORMAT </w:instrText>
        </w:r>
        <w:r w:rsidRPr="002A0B2B">
          <w:rPr>
            <w:rFonts w:ascii="Times New Roman" w:hAnsi="Times New Roman" w:cs="Times New Roman"/>
          </w:rPr>
          <w:fldChar w:fldCharType="separate"/>
        </w:r>
        <w:r w:rsidR="003F55E3">
          <w:rPr>
            <w:rFonts w:ascii="Times New Roman" w:hAnsi="Times New Roman" w:cs="Times New Roman"/>
            <w:noProof/>
          </w:rPr>
          <w:t>17</w:t>
        </w:r>
        <w:r w:rsidRPr="002A0B2B">
          <w:rPr>
            <w:rFonts w:ascii="Times New Roman" w:hAnsi="Times New Roman" w:cs="Times New Roman"/>
            <w:noProof/>
          </w:rPr>
          <w:fldChar w:fldCharType="end"/>
        </w:r>
      </w:p>
    </w:sdtContent>
  </w:sdt>
  <w:p w:rsidR="00EE3E14" w:rsidRPr="002A0B2B" w14:paraId="3D684110"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395E" w:rsidP="007E3D11" w14:paraId="0962754C" w14:textId="77777777">
      <w:pPr>
        <w:spacing w:after="0" w:line="240" w:lineRule="auto"/>
      </w:pPr>
      <w:r>
        <w:separator/>
      </w:r>
    </w:p>
  </w:footnote>
  <w:footnote w:type="continuationSeparator" w:id="1">
    <w:p w:rsidR="006C395E" w:rsidP="007E3D11" w14:paraId="5D8AD0F3" w14:textId="77777777">
      <w:pPr>
        <w:spacing w:after="0" w:line="240" w:lineRule="auto"/>
      </w:pPr>
      <w:r>
        <w:continuationSeparator/>
      </w:r>
    </w:p>
  </w:footnote>
  <w:footnote w:id="2">
    <w:p w:rsidR="00EE3E14" w:rsidRPr="003C385F" w:rsidP="00CF1354" w14:paraId="66067D26" w14:textId="5C8274D2">
      <w:pPr>
        <w:pStyle w:val="FootnoteText"/>
      </w:pPr>
      <w:r w:rsidRPr="003C385F">
        <w:rPr>
          <w:rStyle w:val="FootnoteReference"/>
        </w:rPr>
        <w:footnoteRef/>
      </w:r>
      <w:r w:rsidRPr="003C385F">
        <w:t xml:space="preserve"> NIH Genomic Data User Code of Conduct. See </w:t>
      </w:r>
      <w:hyperlink r:id="rId1" w:history="1">
        <w:r w:rsidR="009E12F3">
          <w:rPr>
            <w:rStyle w:val="Hyperlink"/>
          </w:rPr>
          <w:t>https://sharing.nih.gov/sites/default/files/flmngr/Genomic_Data_User_Code_of_Conduct.pdf</w:t>
        </w:r>
      </w:hyperlink>
      <w:r w:rsidRPr="003C385F">
        <w:t xml:space="preserve"> </w:t>
      </w:r>
    </w:p>
  </w:footnote>
  <w:footnote w:id="3">
    <w:p w:rsidR="00EE3E14" w:rsidRPr="000C6E63" w:rsidP="00CF1354" w14:paraId="21FC0FC5" w14:textId="48D14084">
      <w:pPr>
        <w:pStyle w:val="FootnoteText"/>
        <w:rPr>
          <w:rFonts w:ascii="Calibri" w:hAnsi="Calibri"/>
        </w:rPr>
      </w:pPr>
      <w:r w:rsidRPr="003C385F">
        <w:rPr>
          <w:rStyle w:val="FootnoteReference"/>
        </w:rPr>
        <w:footnoteRef/>
      </w:r>
      <w:r w:rsidRPr="003C385F">
        <w:t xml:space="preserve"> eRA Commons. See </w:t>
      </w:r>
      <w:hyperlink r:id="rId2" w:history="1">
        <w:r w:rsidR="0047658A">
          <w:rPr>
            <w:rStyle w:val="Hyperlink"/>
          </w:rPr>
          <w:t>https://www.era.nih.gov/</w:t>
        </w:r>
      </w:hyperlink>
      <w:r w:rsidRPr="003C385F">
        <w:t>.</w:t>
      </w:r>
      <w:r w:rsidRPr="000C6E63">
        <w:rPr>
          <w:rFonts w:ascii="Calibri" w:hAnsi="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8914F4"/>
    <w:multiLevelType w:val="hybridMultilevel"/>
    <w:tmpl w:val="502403C8"/>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BCD24CB"/>
    <w:multiLevelType w:val="hybridMultilevel"/>
    <w:tmpl w:val="6F5EC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EC57492"/>
    <w:multiLevelType w:val="hybridMultilevel"/>
    <w:tmpl w:val="B4747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4801848">
    <w:abstractNumId w:val="0"/>
  </w:num>
  <w:num w:numId="2" w16cid:durableId="1396972165">
    <w:abstractNumId w:val="2"/>
  </w:num>
  <w:num w:numId="3" w16cid:durableId="14562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2B"/>
    <w:rsid w:val="000017AC"/>
    <w:rsid w:val="0000306B"/>
    <w:rsid w:val="00005FB4"/>
    <w:rsid w:val="000103CA"/>
    <w:rsid w:val="0001114E"/>
    <w:rsid w:val="0001204A"/>
    <w:rsid w:val="00012197"/>
    <w:rsid w:val="00013FC2"/>
    <w:rsid w:val="00024579"/>
    <w:rsid w:val="00043469"/>
    <w:rsid w:val="000537A6"/>
    <w:rsid w:val="000552B6"/>
    <w:rsid w:val="00056325"/>
    <w:rsid w:val="00060901"/>
    <w:rsid w:val="00062ABC"/>
    <w:rsid w:val="000643DA"/>
    <w:rsid w:val="00084812"/>
    <w:rsid w:val="000873A1"/>
    <w:rsid w:val="00092332"/>
    <w:rsid w:val="000A341A"/>
    <w:rsid w:val="000B2818"/>
    <w:rsid w:val="000B2A54"/>
    <w:rsid w:val="000B2E82"/>
    <w:rsid w:val="000C02FE"/>
    <w:rsid w:val="000C052B"/>
    <w:rsid w:val="000C60D2"/>
    <w:rsid w:val="000C6E63"/>
    <w:rsid w:val="000C7465"/>
    <w:rsid w:val="000D583C"/>
    <w:rsid w:val="000D7701"/>
    <w:rsid w:val="000E61EC"/>
    <w:rsid w:val="000E6459"/>
    <w:rsid w:val="000E67D6"/>
    <w:rsid w:val="000E7CF2"/>
    <w:rsid w:val="000F420E"/>
    <w:rsid w:val="00106263"/>
    <w:rsid w:val="00117DCF"/>
    <w:rsid w:val="00120A61"/>
    <w:rsid w:val="00123039"/>
    <w:rsid w:val="00123B9B"/>
    <w:rsid w:val="001242AF"/>
    <w:rsid w:val="001304F4"/>
    <w:rsid w:val="00133B14"/>
    <w:rsid w:val="00136939"/>
    <w:rsid w:val="00143F8C"/>
    <w:rsid w:val="001455EF"/>
    <w:rsid w:val="00146915"/>
    <w:rsid w:val="001645AD"/>
    <w:rsid w:val="001657AA"/>
    <w:rsid w:val="00171E18"/>
    <w:rsid w:val="00172B3D"/>
    <w:rsid w:val="00173ECB"/>
    <w:rsid w:val="001817E0"/>
    <w:rsid w:val="001867CB"/>
    <w:rsid w:val="00197F74"/>
    <w:rsid w:val="001A63D6"/>
    <w:rsid w:val="001A6D40"/>
    <w:rsid w:val="001B14B3"/>
    <w:rsid w:val="001B7EF9"/>
    <w:rsid w:val="001C0771"/>
    <w:rsid w:val="001C1025"/>
    <w:rsid w:val="001C3DEE"/>
    <w:rsid w:val="001C61EB"/>
    <w:rsid w:val="001C6545"/>
    <w:rsid w:val="001C71DA"/>
    <w:rsid w:val="001C7616"/>
    <w:rsid w:val="001D3E72"/>
    <w:rsid w:val="001D7068"/>
    <w:rsid w:val="001E0259"/>
    <w:rsid w:val="001F0E1C"/>
    <w:rsid w:val="001F42CC"/>
    <w:rsid w:val="001F4C3A"/>
    <w:rsid w:val="00200DDB"/>
    <w:rsid w:val="00201072"/>
    <w:rsid w:val="002056BF"/>
    <w:rsid w:val="00212933"/>
    <w:rsid w:val="00213703"/>
    <w:rsid w:val="00216E33"/>
    <w:rsid w:val="00226F1B"/>
    <w:rsid w:val="00233FD7"/>
    <w:rsid w:val="00236848"/>
    <w:rsid w:val="002409C7"/>
    <w:rsid w:val="00243D27"/>
    <w:rsid w:val="00243D89"/>
    <w:rsid w:val="00244B96"/>
    <w:rsid w:val="00245D52"/>
    <w:rsid w:val="00253D9A"/>
    <w:rsid w:val="00254917"/>
    <w:rsid w:val="00256D26"/>
    <w:rsid w:val="00266CAB"/>
    <w:rsid w:val="00277341"/>
    <w:rsid w:val="0027742E"/>
    <w:rsid w:val="00285BBB"/>
    <w:rsid w:val="002870A0"/>
    <w:rsid w:val="002902DF"/>
    <w:rsid w:val="002A0150"/>
    <w:rsid w:val="002A0B2B"/>
    <w:rsid w:val="002A0EA0"/>
    <w:rsid w:val="002B1124"/>
    <w:rsid w:val="002B32F9"/>
    <w:rsid w:val="002B378F"/>
    <w:rsid w:val="002B70D5"/>
    <w:rsid w:val="002C01E9"/>
    <w:rsid w:val="002C703F"/>
    <w:rsid w:val="002C741F"/>
    <w:rsid w:val="002D0EF7"/>
    <w:rsid w:val="002D5136"/>
    <w:rsid w:val="002E0C7C"/>
    <w:rsid w:val="002E2200"/>
    <w:rsid w:val="002E4168"/>
    <w:rsid w:val="002E673B"/>
    <w:rsid w:val="002F01AE"/>
    <w:rsid w:val="002F55F4"/>
    <w:rsid w:val="002F5F5C"/>
    <w:rsid w:val="0030384C"/>
    <w:rsid w:val="00304E1F"/>
    <w:rsid w:val="00306260"/>
    <w:rsid w:val="00306C8F"/>
    <w:rsid w:val="003117BD"/>
    <w:rsid w:val="00315823"/>
    <w:rsid w:val="00321217"/>
    <w:rsid w:val="00323D02"/>
    <w:rsid w:val="00324292"/>
    <w:rsid w:val="00327C01"/>
    <w:rsid w:val="003317F2"/>
    <w:rsid w:val="00332E37"/>
    <w:rsid w:val="00334A50"/>
    <w:rsid w:val="00335C6A"/>
    <w:rsid w:val="0034605A"/>
    <w:rsid w:val="003568BA"/>
    <w:rsid w:val="00362244"/>
    <w:rsid w:val="00363040"/>
    <w:rsid w:val="00363775"/>
    <w:rsid w:val="00363D38"/>
    <w:rsid w:val="00366E1B"/>
    <w:rsid w:val="003670F2"/>
    <w:rsid w:val="00371787"/>
    <w:rsid w:val="003751FB"/>
    <w:rsid w:val="00375DAA"/>
    <w:rsid w:val="003778C8"/>
    <w:rsid w:val="00381217"/>
    <w:rsid w:val="00392DE4"/>
    <w:rsid w:val="00394B86"/>
    <w:rsid w:val="003971AF"/>
    <w:rsid w:val="003A163C"/>
    <w:rsid w:val="003A499A"/>
    <w:rsid w:val="003A569C"/>
    <w:rsid w:val="003A680D"/>
    <w:rsid w:val="003B4862"/>
    <w:rsid w:val="003B591F"/>
    <w:rsid w:val="003C385F"/>
    <w:rsid w:val="003C627C"/>
    <w:rsid w:val="003D573C"/>
    <w:rsid w:val="003D65AF"/>
    <w:rsid w:val="003D7B18"/>
    <w:rsid w:val="003E07B3"/>
    <w:rsid w:val="003E51DB"/>
    <w:rsid w:val="003E6990"/>
    <w:rsid w:val="003F21D8"/>
    <w:rsid w:val="003F55E3"/>
    <w:rsid w:val="00400EA7"/>
    <w:rsid w:val="0041062E"/>
    <w:rsid w:val="00410CC7"/>
    <w:rsid w:val="0041557B"/>
    <w:rsid w:val="004164A6"/>
    <w:rsid w:val="004164BD"/>
    <w:rsid w:val="00416D43"/>
    <w:rsid w:val="00434730"/>
    <w:rsid w:val="00452961"/>
    <w:rsid w:val="00456839"/>
    <w:rsid w:val="00456C77"/>
    <w:rsid w:val="00464088"/>
    <w:rsid w:val="004653AC"/>
    <w:rsid w:val="0047383C"/>
    <w:rsid w:val="0047658A"/>
    <w:rsid w:val="0047790C"/>
    <w:rsid w:val="00480563"/>
    <w:rsid w:val="00480735"/>
    <w:rsid w:val="00481329"/>
    <w:rsid w:val="004868B5"/>
    <w:rsid w:val="00491004"/>
    <w:rsid w:val="004A2B15"/>
    <w:rsid w:val="004A35B5"/>
    <w:rsid w:val="004A6350"/>
    <w:rsid w:val="004C2607"/>
    <w:rsid w:val="004C6A91"/>
    <w:rsid w:val="004C6EB0"/>
    <w:rsid w:val="004C75B0"/>
    <w:rsid w:val="004D19AE"/>
    <w:rsid w:val="004D1E78"/>
    <w:rsid w:val="004E3E2A"/>
    <w:rsid w:val="004E54FE"/>
    <w:rsid w:val="004F3B26"/>
    <w:rsid w:val="004F41E1"/>
    <w:rsid w:val="005013F9"/>
    <w:rsid w:val="005023F8"/>
    <w:rsid w:val="00503E78"/>
    <w:rsid w:val="005126DB"/>
    <w:rsid w:val="0051797B"/>
    <w:rsid w:val="00524701"/>
    <w:rsid w:val="00525156"/>
    <w:rsid w:val="005324F5"/>
    <w:rsid w:val="00542066"/>
    <w:rsid w:val="00543B72"/>
    <w:rsid w:val="005449EB"/>
    <w:rsid w:val="005518C0"/>
    <w:rsid w:val="00552A07"/>
    <w:rsid w:val="00553085"/>
    <w:rsid w:val="005560E7"/>
    <w:rsid w:val="005615E5"/>
    <w:rsid w:val="00562727"/>
    <w:rsid w:val="00562D19"/>
    <w:rsid w:val="0056620E"/>
    <w:rsid w:val="00566709"/>
    <w:rsid w:val="00566C9F"/>
    <w:rsid w:val="00574673"/>
    <w:rsid w:val="00576B7C"/>
    <w:rsid w:val="00577448"/>
    <w:rsid w:val="0058133E"/>
    <w:rsid w:val="005815FE"/>
    <w:rsid w:val="00590426"/>
    <w:rsid w:val="00591E02"/>
    <w:rsid w:val="005964CA"/>
    <w:rsid w:val="005B05FE"/>
    <w:rsid w:val="005B605A"/>
    <w:rsid w:val="005C2CA6"/>
    <w:rsid w:val="005C3AE2"/>
    <w:rsid w:val="005C67DF"/>
    <w:rsid w:val="005C7219"/>
    <w:rsid w:val="005D1F95"/>
    <w:rsid w:val="005D346B"/>
    <w:rsid w:val="005D7B5D"/>
    <w:rsid w:val="005E057C"/>
    <w:rsid w:val="005E05DD"/>
    <w:rsid w:val="005E4E6C"/>
    <w:rsid w:val="005E5DBB"/>
    <w:rsid w:val="005F13BB"/>
    <w:rsid w:val="005F1D17"/>
    <w:rsid w:val="005F2C2B"/>
    <w:rsid w:val="005F59E4"/>
    <w:rsid w:val="005F650D"/>
    <w:rsid w:val="006017FD"/>
    <w:rsid w:val="00602146"/>
    <w:rsid w:val="006106AB"/>
    <w:rsid w:val="006156A3"/>
    <w:rsid w:val="00617428"/>
    <w:rsid w:val="00617739"/>
    <w:rsid w:val="006222C5"/>
    <w:rsid w:val="00623817"/>
    <w:rsid w:val="00623B92"/>
    <w:rsid w:val="00625204"/>
    <w:rsid w:val="006263C4"/>
    <w:rsid w:val="006345D2"/>
    <w:rsid w:val="0063756C"/>
    <w:rsid w:val="00640405"/>
    <w:rsid w:val="0064224D"/>
    <w:rsid w:val="00651025"/>
    <w:rsid w:val="00653D71"/>
    <w:rsid w:val="0065783A"/>
    <w:rsid w:val="00660B9F"/>
    <w:rsid w:val="00660E8A"/>
    <w:rsid w:val="00661D19"/>
    <w:rsid w:val="00663EFA"/>
    <w:rsid w:val="00665FA6"/>
    <w:rsid w:val="006669C0"/>
    <w:rsid w:val="00667B78"/>
    <w:rsid w:val="00672934"/>
    <w:rsid w:val="006736CC"/>
    <w:rsid w:val="006945D3"/>
    <w:rsid w:val="00694972"/>
    <w:rsid w:val="0069731B"/>
    <w:rsid w:val="006A39E0"/>
    <w:rsid w:val="006A4D78"/>
    <w:rsid w:val="006A5AD1"/>
    <w:rsid w:val="006B2516"/>
    <w:rsid w:val="006B4512"/>
    <w:rsid w:val="006C0777"/>
    <w:rsid w:val="006C395E"/>
    <w:rsid w:val="006C4EDF"/>
    <w:rsid w:val="006C7C53"/>
    <w:rsid w:val="006D20E1"/>
    <w:rsid w:val="006D5F3B"/>
    <w:rsid w:val="006E6D78"/>
    <w:rsid w:val="006F115D"/>
    <w:rsid w:val="006F48B2"/>
    <w:rsid w:val="006F69F2"/>
    <w:rsid w:val="00701A9F"/>
    <w:rsid w:val="00705991"/>
    <w:rsid w:val="007111CE"/>
    <w:rsid w:val="00712FC4"/>
    <w:rsid w:val="0071380B"/>
    <w:rsid w:val="00714B5F"/>
    <w:rsid w:val="00714FE9"/>
    <w:rsid w:val="007201D4"/>
    <w:rsid w:val="00720F73"/>
    <w:rsid w:val="00722FB5"/>
    <w:rsid w:val="0072742F"/>
    <w:rsid w:val="0072770B"/>
    <w:rsid w:val="0073025C"/>
    <w:rsid w:val="00737049"/>
    <w:rsid w:val="00741707"/>
    <w:rsid w:val="0074529E"/>
    <w:rsid w:val="00750521"/>
    <w:rsid w:val="00755921"/>
    <w:rsid w:val="00761D2C"/>
    <w:rsid w:val="007622D5"/>
    <w:rsid w:val="0077091A"/>
    <w:rsid w:val="0077159E"/>
    <w:rsid w:val="00771EF5"/>
    <w:rsid w:val="007A2A41"/>
    <w:rsid w:val="007A4595"/>
    <w:rsid w:val="007A70E1"/>
    <w:rsid w:val="007B0FD6"/>
    <w:rsid w:val="007B651D"/>
    <w:rsid w:val="007C134D"/>
    <w:rsid w:val="007C5761"/>
    <w:rsid w:val="007D1312"/>
    <w:rsid w:val="007D3A44"/>
    <w:rsid w:val="007D49FA"/>
    <w:rsid w:val="007E1DF9"/>
    <w:rsid w:val="007E2CD5"/>
    <w:rsid w:val="007E3D11"/>
    <w:rsid w:val="007E4596"/>
    <w:rsid w:val="007F2A9C"/>
    <w:rsid w:val="00801F1F"/>
    <w:rsid w:val="0080506F"/>
    <w:rsid w:val="0080622F"/>
    <w:rsid w:val="008112D6"/>
    <w:rsid w:val="00812579"/>
    <w:rsid w:val="00812A76"/>
    <w:rsid w:val="00812E13"/>
    <w:rsid w:val="00816927"/>
    <w:rsid w:val="008171D0"/>
    <w:rsid w:val="0082494E"/>
    <w:rsid w:val="00832214"/>
    <w:rsid w:val="008418D5"/>
    <w:rsid w:val="00845951"/>
    <w:rsid w:val="008470CA"/>
    <w:rsid w:val="00855D80"/>
    <w:rsid w:val="00860260"/>
    <w:rsid w:val="008648A6"/>
    <w:rsid w:val="0086670D"/>
    <w:rsid w:val="00873C3D"/>
    <w:rsid w:val="008741B7"/>
    <w:rsid w:val="0087432A"/>
    <w:rsid w:val="00875F3F"/>
    <w:rsid w:val="00876D9F"/>
    <w:rsid w:val="008A4403"/>
    <w:rsid w:val="008A625E"/>
    <w:rsid w:val="008A67F5"/>
    <w:rsid w:val="008A703D"/>
    <w:rsid w:val="008B3300"/>
    <w:rsid w:val="008D4E32"/>
    <w:rsid w:val="008E28F0"/>
    <w:rsid w:val="008E5175"/>
    <w:rsid w:val="00904111"/>
    <w:rsid w:val="00905F81"/>
    <w:rsid w:val="00913175"/>
    <w:rsid w:val="00931E2E"/>
    <w:rsid w:val="009347C8"/>
    <w:rsid w:val="00936FB0"/>
    <w:rsid w:val="00937F9D"/>
    <w:rsid w:val="00947B15"/>
    <w:rsid w:val="00947E9B"/>
    <w:rsid w:val="009502FB"/>
    <w:rsid w:val="009637F1"/>
    <w:rsid w:val="00970070"/>
    <w:rsid w:val="00974146"/>
    <w:rsid w:val="00983518"/>
    <w:rsid w:val="0098433D"/>
    <w:rsid w:val="009845ED"/>
    <w:rsid w:val="00987C17"/>
    <w:rsid w:val="00993DC0"/>
    <w:rsid w:val="00996F7C"/>
    <w:rsid w:val="009A5F3B"/>
    <w:rsid w:val="009B1BD5"/>
    <w:rsid w:val="009B66EF"/>
    <w:rsid w:val="009C3700"/>
    <w:rsid w:val="009C6265"/>
    <w:rsid w:val="009E12F3"/>
    <w:rsid w:val="009E20EE"/>
    <w:rsid w:val="009F33B9"/>
    <w:rsid w:val="009F45FA"/>
    <w:rsid w:val="009F4CB3"/>
    <w:rsid w:val="00A0648E"/>
    <w:rsid w:val="00A178B8"/>
    <w:rsid w:val="00A2122D"/>
    <w:rsid w:val="00A21C58"/>
    <w:rsid w:val="00A23BE5"/>
    <w:rsid w:val="00A27B1E"/>
    <w:rsid w:val="00A37ABB"/>
    <w:rsid w:val="00A37E2D"/>
    <w:rsid w:val="00A401C0"/>
    <w:rsid w:val="00A40D9B"/>
    <w:rsid w:val="00A53EFE"/>
    <w:rsid w:val="00A53F24"/>
    <w:rsid w:val="00A56CD6"/>
    <w:rsid w:val="00A6299A"/>
    <w:rsid w:val="00A634A8"/>
    <w:rsid w:val="00A71A53"/>
    <w:rsid w:val="00A76199"/>
    <w:rsid w:val="00A83C8B"/>
    <w:rsid w:val="00A9088C"/>
    <w:rsid w:val="00A92081"/>
    <w:rsid w:val="00A9730C"/>
    <w:rsid w:val="00AA52FE"/>
    <w:rsid w:val="00AA6E1F"/>
    <w:rsid w:val="00AB5805"/>
    <w:rsid w:val="00AC0931"/>
    <w:rsid w:val="00AC24C7"/>
    <w:rsid w:val="00AC6A09"/>
    <w:rsid w:val="00AD0381"/>
    <w:rsid w:val="00AD10E2"/>
    <w:rsid w:val="00AD6B96"/>
    <w:rsid w:val="00AE2277"/>
    <w:rsid w:val="00AF0FA7"/>
    <w:rsid w:val="00AF537B"/>
    <w:rsid w:val="00AF790D"/>
    <w:rsid w:val="00B001C1"/>
    <w:rsid w:val="00B0162C"/>
    <w:rsid w:val="00B01DD2"/>
    <w:rsid w:val="00B1445B"/>
    <w:rsid w:val="00B166A8"/>
    <w:rsid w:val="00B17265"/>
    <w:rsid w:val="00B24F33"/>
    <w:rsid w:val="00B27626"/>
    <w:rsid w:val="00B27C87"/>
    <w:rsid w:val="00B3393B"/>
    <w:rsid w:val="00B34131"/>
    <w:rsid w:val="00B43BD1"/>
    <w:rsid w:val="00B4701C"/>
    <w:rsid w:val="00B50162"/>
    <w:rsid w:val="00B51E9D"/>
    <w:rsid w:val="00B540F9"/>
    <w:rsid w:val="00B641D1"/>
    <w:rsid w:val="00B667DF"/>
    <w:rsid w:val="00B6784A"/>
    <w:rsid w:val="00B747E5"/>
    <w:rsid w:val="00B75067"/>
    <w:rsid w:val="00B765C4"/>
    <w:rsid w:val="00B85F3A"/>
    <w:rsid w:val="00B92ECB"/>
    <w:rsid w:val="00B93A19"/>
    <w:rsid w:val="00BA514F"/>
    <w:rsid w:val="00BA5ED2"/>
    <w:rsid w:val="00BB11FC"/>
    <w:rsid w:val="00BB2A2D"/>
    <w:rsid w:val="00BC0A64"/>
    <w:rsid w:val="00BD44D5"/>
    <w:rsid w:val="00BD50D4"/>
    <w:rsid w:val="00BE5828"/>
    <w:rsid w:val="00BE652E"/>
    <w:rsid w:val="00BF5FC6"/>
    <w:rsid w:val="00C04C91"/>
    <w:rsid w:val="00C05411"/>
    <w:rsid w:val="00C1097C"/>
    <w:rsid w:val="00C235AD"/>
    <w:rsid w:val="00C31467"/>
    <w:rsid w:val="00C404E1"/>
    <w:rsid w:val="00C45B76"/>
    <w:rsid w:val="00C5192E"/>
    <w:rsid w:val="00C54403"/>
    <w:rsid w:val="00C56A8C"/>
    <w:rsid w:val="00C56ACC"/>
    <w:rsid w:val="00C57D38"/>
    <w:rsid w:val="00C62187"/>
    <w:rsid w:val="00C700F3"/>
    <w:rsid w:val="00C7551A"/>
    <w:rsid w:val="00C7703E"/>
    <w:rsid w:val="00C80D93"/>
    <w:rsid w:val="00C816B7"/>
    <w:rsid w:val="00C909D4"/>
    <w:rsid w:val="00C90D95"/>
    <w:rsid w:val="00C92D4C"/>
    <w:rsid w:val="00C92DCB"/>
    <w:rsid w:val="00C95058"/>
    <w:rsid w:val="00CA1BB3"/>
    <w:rsid w:val="00CA4795"/>
    <w:rsid w:val="00CA60C6"/>
    <w:rsid w:val="00CA6F93"/>
    <w:rsid w:val="00CB00A3"/>
    <w:rsid w:val="00CB0A2A"/>
    <w:rsid w:val="00CC1DF6"/>
    <w:rsid w:val="00CC6522"/>
    <w:rsid w:val="00CE3C2A"/>
    <w:rsid w:val="00CF0D99"/>
    <w:rsid w:val="00CF1354"/>
    <w:rsid w:val="00CF526A"/>
    <w:rsid w:val="00D115B5"/>
    <w:rsid w:val="00D15C06"/>
    <w:rsid w:val="00D22263"/>
    <w:rsid w:val="00D2778C"/>
    <w:rsid w:val="00D34125"/>
    <w:rsid w:val="00D35616"/>
    <w:rsid w:val="00D424C6"/>
    <w:rsid w:val="00D45796"/>
    <w:rsid w:val="00D46120"/>
    <w:rsid w:val="00D55C32"/>
    <w:rsid w:val="00D63DE0"/>
    <w:rsid w:val="00D65974"/>
    <w:rsid w:val="00D726E5"/>
    <w:rsid w:val="00D82B87"/>
    <w:rsid w:val="00D924AA"/>
    <w:rsid w:val="00D93B07"/>
    <w:rsid w:val="00D95FE7"/>
    <w:rsid w:val="00D97737"/>
    <w:rsid w:val="00DB16CC"/>
    <w:rsid w:val="00DB1C2F"/>
    <w:rsid w:val="00DB5B4E"/>
    <w:rsid w:val="00DB60B3"/>
    <w:rsid w:val="00DB6805"/>
    <w:rsid w:val="00DC39DB"/>
    <w:rsid w:val="00DC3F92"/>
    <w:rsid w:val="00DD0530"/>
    <w:rsid w:val="00DD12F8"/>
    <w:rsid w:val="00DD2738"/>
    <w:rsid w:val="00DD30F0"/>
    <w:rsid w:val="00DE17A6"/>
    <w:rsid w:val="00DE2385"/>
    <w:rsid w:val="00DE46AC"/>
    <w:rsid w:val="00DE5AAD"/>
    <w:rsid w:val="00DE63D2"/>
    <w:rsid w:val="00DE6536"/>
    <w:rsid w:val="00DF0BB2"/>
    <w:rsid w:val="00DF0DCD"/>
    <w:rsid w:val="00DF1D14"/>
    <w:rsid w:val="00DF6002"/>
    <w:rsid w:val="00E003F3"/>
    <w:rsid w:val="00E01477"/>
    <w:rsid w:val="00E036DB"/>
    <w:rsid w:val="00E151AA"/>
    <w:rsid w:val="00E2144C"/>
    <w:rsid w:val="00E21869"/>
    <w:rsid w:val="00E2249C"/>
    <w:rsid w:val="00E2616F"/>
    <w:rsid w:val="00E2637C"/>
    <w:rsid w:val="00E272C2"/>
    <w:rsid w:val="00E31B0B"/>
    <w:rsid w:val="00E33668"/>
    <w:rsid w:val="00E3369C"/>
    <w:rsid w:val="00E35A4C"/>
    <w:rsid w:val="00E35CB7"/>
    <w:rsid w:val="00E42C50"/>
    <w:rsid w:val="00E42E30"/>
    <w:rsid w:val="00E46069"/>
    <w:rsid w:val="00E4725A"/>
    <w:rsid w:val="00E52124"/>
    <w:rsid w:val="00E526B2"/>
    <w:rsid w:val="00E656FB"/>
    <w:rsid w:val="00E732E1"/>
    <w:rsid w:val="00E84B17"/>
    <w:rsid w:val="00E93D0C"/>
    <w:rsid w:val="00E9482B"/>
    <w:rsid w:val="00E9678D"/>
    <w:rsid w:val="00EA5F60"/>
    <w:rsid w:val="00EB17CD"/>
    <w:rsid w:val="00EB1B03"/>
    <w:rsid w:val="00EB2824"/>
    <w:rsid w:val="00EC0997"/>
    <w:rsid w:val="00EC42F9"/>
    <w:rsid w:val="00EC6EAC"/>
    <w:rsid w:val="00ED0843"/>
    <w:rsid w:val="00ED401F"/>
    <w:rsid w:val="00EE06CE"/>
    <w:rsid w:val="00EE21FA"/>
    <w:rsid w:val="00EE3E14"/>
    <w:rsid w:val="00EE6674"/>
    <w:rsid w:val="00EF2C0C"/>
    <w:rsid w:val="00EF3047"/>
    <w:rsid w:val="00EF3D1A"/>
    <w:rsid w:val="00EF415F"/>
    <w:rsid w:val="00F05C55"/>
    <w:rsid w:val="00F12C17"/>
    <w:rsid w:val="00F12E2D"/>
    <w:rsid w:val="00F14DD9"/>
    <w:rsid w:val="00F15E38"/>
    <w:rsid w:val="00F221B3"/>
    <w:rsid w:val="00F24258"/>
    <w:rsid w:val="00F25B3A"/>
    <w:rsid w:val="00F273C7"/>
    <w:rsid w:val="00F333FE"/>
    <w:rsid w:val="00F3485B"/>
    <w:rsid w:val="00F37371"/>
    <w:rsid w:val="00F42F58"/>
    <w:rsid w:val="00F44C0D"/>
    <w:rsid w:val="00F51389"/>
    <w:rsid w:val="00F52EEA"/>
    <w:rsid w:val="00F56418"/>
    <w:rsid w:val="00F63229"/>
    <w:rsid w:val="00F63D66"/>
    <w:rsid w:val="00F64879"/>
    <w:rsid w:val="00F67B8B"/>
    <w:rsid w:val="00F7150A"/>
    <w:rsid w:val="00F73B7E"/>
    <w:rsid w:val="00F77326"/>
    <w:rsid w:val="00F84055"/>
    <w:rsid w:val="00F91BF0"/>
    <w:rsid w:val="00F93983"/>
    <w:rsid w:val="00FA084D"/>
    <w:rsid w:val="00FA62AC"/>
    <w:rsid w:val="00FB4BCC"/>
    <w:rsid w:val="00FB4FB1"/>
    <w:rsid w:val="00FB7249"/>
    <w:rsid w:val="00FC03AD"/>
    <w:rsid w:val="00FD08C5"/>
    <w:rsid w:val="00FD402F"/>
    <w:rsid w:val="00FD54BE"/>
    <w:rsid w:val="00FD78FB"/>
    <w:rsid w:val="00FD79E4"/>
    <w:rsid w:val="00FF0E05"/>
    <w:rsid w:val="00FF4C01"/>
    <w:rsid w:val="00FF6F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771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2-Sec. Head"/>
    <w:basedOn w:val="Normal"/>
    <w:next w:val="P1-StandPara"/>
    <w:link w:val="Heading2Char"/>
    <w:qFormat/>
    <w:rsid w:val="00CF1354"/>
    <w:pPr>
      <w:keepNext/>
      <w:tabs>
        <w:tab w:val="left" w:pos="1152"/>
      </w:tabs>
      <w:spacing w:after="360" w:line="360" w:lineRule="atLeast"/>
      <w:ind w:left="432" w:hanging="43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11"/>
  </w:style>
  <w:style w:type="paragraph" w:styleId="Footer">
    <w:name w:val="footer"/>
    <w:basedOn w:val="Normal"/>
    <w:link w:val="FooterChar"/>
    <w:uiPriority w:val="99"/>
    <w:unhideWhenUsed/>
    <w:rsid w:val="007E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11"/>
  </w:style>
  <w:style w:type="paragraph" w:customStyle="1" w:styleId="P1-StandPara">
    <w:name w:val="P1-Stand Para"/>
    <w:rsid w:val="00CF1354"/>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rsid w:val="00CF1354"/>
    <w:rPr>
      <w:rFonts w:ascii="Times New Roman" w:eastAsia="Times New Roman" w:hAnsi="Times New Roman" w:cs="Times New Roman"/>
      <w:b/>
      <w:szCs w:val="20"/>
    </w:rPr>
  </w:style>
  <w:style w:type="character" w:styleId="Hyperlink">
    <w:name w:val="Hyperlink"/>
    <w:rsid w:val="00CF1354"/>
    <w:rPr>
      <w:color w:val="0000FF"/>
      <w:u w:val="single"/>
    </w:rPr>
  </w:style>
  <w:style w:type="paragraph" w:styleId="FootnoteText">
    <w:name w:val="footnote text"/>
    <w:basedOn w:val="Normal"/>
    <w:link w:val="FootnoteTextChar"/>
    <w:uiPriority w:val="99"/>
    <w:semiHidden/>
    <w:rsid w:val="00CF1354"/>
    <w:pPr>
      <w:spacing w:after="0" w:line="240" w:lineRule="auto"/>
    </w:pPr>
    <w:rPr>
      <w:rFonts w:ascii="Times New Roman" w:eastAsia="Times New Roman" w:hAnsi="Times New Roman" w:cs="Times New Roman"/>
      <w:kern w:val="28"/>
      <w:sz w:val="20"/>
      <w:szCs w:val="20"/>
    </w:rPr>
  </w:style>
  <w:style w:type="character" w:customStyle="1" w:styleId="FootnoteTextChar">
    <w:name w:val="Footnote Text Char"/>
    <w:basedOn w:val="DefaultParagraphFont"/>
    <w:link w:val="FootnoteText"/>
    <w:uiPriority w:val="99"/>
    <w:semiHidden/>
    <w:rsid w:val="00CF1354"/>
    <w:rPr>
      <w:rFonts w:ascii="Times New Roman" w:eastAsia="Times New Roman" w:hAnsi="Times New Roman" w:cs="Times New Roman"/>
      <w:kern w:val="28"/>
      <w:sz w:val="20"/>
      <w:szCs w:val="20"/>
    </w:rPr>
  </w:style>
  <w:style w:type="character" w:styleId="FootnoteReference">
    <w:name w:val="footnote reference"/>
    <w:uiPriority w:val="99"/>
    <w:semiHidden/>
    <w:rsid w:val="00CF1354"/>
    <w:rPr>
      <w:rFonts w:cs="Times New Roman"/>
      <w:vertAlign w:val="superscript"/>
    </w:rPr>
  </w:style>
  <w:style w:type="character" w:styleId="CommentReference">
    <w:name w:val="annotation reference"/>
    <w:uiPriority w:val="99"/>
    <w:semiHidden/>
    <w:unhideWhenUsed/>
    <w:rsid w:val="00A71A53"/>
    <w:rPr>
      <w:sz w:val="16"/>
      <w:szCs w:val="16"/>
    </w:rPr>
  </w:style>
  <w:style w:type="paragraph" w:styleId="CommentText">
    <w:name w:val="annotation text"/>
    <w:basedOn w:val="Normal"/>
    <w:link w:val="CommentTextChar"/>
    <w:uiPriority w:val="99"/>
    <w:unhideWhenUsed/>
    <w:rsid w:val="00A71A5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71A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A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3D"/>
    <w:rPr>
      <w:rFonts w:ascii="Segoe UI" w:hAnsi="Segoe UI" w:cs="Segoe UI"/>
      <w:sz w:val="18"/>
      <w:szCs w:val="18"/>
    </w:rPr>
  </w:style>
  <w:style w:type="character" w:styleId="FollowedHyperlink">
    <w:name w:val="FollowedHyperlink"/>
    <w:basedOn w:val="DefaultParagraphFont"/>
    <w:uiPriority w:val="99"/>
    <w:semiHidden/>
    <w:unhideWhenUsed/>
    <w:rsid w:val="00B641D1"/>
    <w:rPr>
      <w:color w:val="954F72" w:themeColor="followedHyperlink"/>
      <w:u w:val="single"/>
    </w:rPr>
  </w:style>
  <w:style w:type="paragraph" w:styleId="ListParagraph">
    <w:name w:val="List Paragraph"/>
    <w:basedOn w:val="Normal"/>
    <w:uiPriority w:val="34"/>
    <w:qFormat/>
    <w:rsid w:val="00712FC4"/>
    <w:pPr>
      <w:ind w:left="720"/>
      <w:contextualSpacing/>
    </w:pPr>
    <w:rPr>
      <w:rFonts w:eastAsiaTheme="minorEastAsia"/>
    </w:rPr>
  </w:style>
  <w:style w:type="character" w:styleId="Emphasis">
    <w:name w:val="Emphasis"/>
    <w:uiPriority w:val="20"/>
    <w:qFormat/>
    <w:rsid w:val="00243D89"/>
    <w:rPr>
      <w:i/>
      <w:iCs/>
    </w:rPr>
  </w:style>
  <w:style w:type="paragraph" w:styleId="CommentSubject">
    <w:name w:val="annotation subject"/>
    <w:basedOn w:val="CommentText"/>
    <w:next w:val="CommentText"/>
    <w:link w:val="CommentSubjectChar"/>
    <w:uiPriority w:val="99"/>
    <w:semiHidden/>
    <w:unhideWhenUsed/>
    <w:rsid w:val="0006090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60901"/>
    <w:rPr>
      <w:rFonts w:ascii="Calibri" w:eastAsia="Calibri" w:hAnsi="Calibri" w:cs="Times New Roman"/>
      <w:b/>
      <w:bCs/>
      <w:sz w:val="20"/>
      <w:szCs w:val="20"/>
    </w:rPr>
  </w:style>
  <w:style w:type="paragraph" w:styleId="NormalWeb">
    <w:name w:val="Normal (Web)"/>
    <w:basedOn w:val="Normal"/>
    <w:uiPriority w:val="99"/>
    <w:semiHidden/>
    <w:unhideWhenUsed/>
    <w:rsid w:val="005774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2CA6"/>
    <w:rPr>
      <w:color w:val="605E5C"/>
      <w:shd w:val="clear" w:color="auto" w:fill="E1DFDD"/>
    </w:rPr>
  </w:style>
  <w:style w:type="paragraph" w:styleId="Revision">
    <w:name w:val="Revision"/>
    <w:hidden/>
    <w:uiPriority w:val="99"/>
    <w:semiHidden/>
    <w:rsid w:val="00ED4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18-03-14/pdf/2018-05176.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projectreporter.nih.gov/reporter.cfm" TargetMode="External" /><Relationship Id="rId7" Type="http://schemas.openxmlformats.org/officeDocument/2006/relationships/hyperlink" Target="https://oma.od.nih.gov/forms/Privacy%20Documents/PAfiles/0036.htm" TargetMode="External" /><Relationship Id="rId8" Type="http://schemas.openxmlformats.org/officeDocument/2006/relationships/hyperlink" Target="https://www.federalregister.gov/articles/2002/09/26/02-23965/privacy-act-of-1974-annual-publication-of-systems-of-records" TargetMode="External" /><Relationship Id="rId9" Type="http://schemas.openxmlformats.org/officeDocument/2006/relationships/hyperlink" Target="https://www.federalregister.gov/documents/2018/03/14/2018-05176/privacy-act-of-1974-system-of-record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haring.nih.gov/sites/default/files/flmngr/Genomic_Data_User_Code_of_Conduct.pdf" TargetMode="External" /><Relationship Id="rId2" Type="http://schemas.openxmlformats.org/officeDocument/2006/relationships/hyperlink" Target="https://www.era.ni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F309B2-AEB4-454A-8CD2-A0DC35DD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2023-03-09T23:38:00Z</dcterms:created>
  <dcterms:modified xsi:type="dcterms:W3CDTF">2023-03-09T23:38:00Z</dcterms:modified>
</cp:coreProperties>
</file>