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28FF" w:rsidRPr="006C3EB3" w:rsidP="00EF28FF" w14:paraId="306CEA2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Center for Behavior Health Quality and Statistics (CBHSQ) </w:t>
      </w:r>
      <w:r w:rsidRPr="006C3EB3">
        <w:rPr>
          <w:rFonts w:ascii="Times New Roman" w:hAnsi="Times New Roman"/>
          <w:b/>
          <w:color w:val="000000" w:themeColor="text1"/>
          <w:sz w:val="28"/>
          <w:szCs w:val="28"/>
        </w:rPr>
        <w:t xml:space="preserve">National Survey on Drug Use and Health </w:t>
      </w:r>
      <w:r>
        <w:rPr>
          <w:rFonts w:ascii="Times New Roman" w:hAnsi="Times New Roman"/>
          <w:b/>
          <w:color w:val="000000" w:themeColor="text1"/>
          <w:sz w:val="28"/>
          <w:szCs w:val="28"/>
        </w:rPr>
        <w:t>(NSDUH)</w:t>
      </w:r>
    </w:p>
    <w:p w:rsidR="0007273B" w:rsidRPr="00FD23DF" w:rsidP="0007273B" w14:paraId="5D5FFA5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480"/>
        <w:jc w:val="center"/>
        <w:rPr>
          <w:rFonts w:ascii="Times New Roman" w:hAnsi="Times New Roman"/>
          <w:b/>
          <w:color w:val="000000" w:themeColor="text1"/>
          <w:sz w:val="28"/>
          <w:szCs w:val="28"/>
        </w:rPr>
      </w:pPr>
      <w:r w:rsidRPr="00FD23DF">
        <w:rPr>
          <w:rFonts w:ascii="Times New Roman" w:hAnsi="Times New Roman"/>
          <w:b/>
          <w:color w:val="000000" w:themeColor="text1"/>
          <w:sz w:val="28"/>
          <w:szCs w:val="28"/>
        </w:rPr>
        <w:t>SUPPORTING STATEMENT</w:t>
      </w:r>
    </w:p>
    <w:p w:rsidR="00501DD2" w:rsidP="00501DD2" w14:paraId="4614A8F6" w14:textId="77777777">
      <w:pPr>
        <w:pStyle w:val="HeadingA"/>
        <w:ind w:left="0" w:firstLine="0"/>
        <w:rPr>
          <w:rFonts w:ascii="Times New Roman" w:hAnsi="Times New Roman" w:cs="Times New Roman"/>
        </w:rPr>
      </w:pPr>
      <w:r w:rsidRPr="00FD23DF">
        <w:rPr>
          <w:rFonts w:ascii="Times New Roman" w:hAnsi="Times New Roman" w:cs="Times New Roman"/>
        </w:rPr>
        <w:t>B.        COLLECTIONS OF INFORMATION EMPLOYING STATISTICAL METHODS</w:t>
      </w:r>
    </w:p>
    <w:p w:rsidR="00501DD2" w:rsidP="00501DD2" w14:paraId="7C3D7E09" w14:textId="1102CD65">
      <w:pPr>
        <w:pStyle w:val="Heading1"/>
        <w:rPr>
          <w:rFonts w:ascii="Times New Roman" w:hAnsi="Times New Roman" w:cs="Times New Roman"/>
          <w:u w:val="single"/>
        </w:rPr>
      </w:pPr>
      <w:r>
        <w:rPr>
          <w:rFonts w:ascii="Times New Roman" w:hAnsi="Times New Roman" w:cs="Times New Roman"/>
          <w:bCs/>
          <w:i/>
          <w:iCs/>
        </w:rPr>
        <w:tab/>
      </w:r>
      <w:r w:rsidRPr="00FD23DF">
        <w:rPr>
          <w:rFonts w:ascii="Times New Roman" w:hAnsi="Times New Roman" w:cs="Times New Roman"/>
        </w:rPr>
        <w:t>1.</w:t>
      </w:r>
      <w:r w:rsidRPr="00FD23DF">
        <w:rPr>
          <w:rFonts w:ascii="Times New Roman" w:hAnsi="Times New Roman" w:cs="Times New Roman"/>
        </w:rPr>
        <w:tab/>
      </w:r>
      <w:r w:rsidRPr="00FD23DF">
        <w:rPr>
          <w:rFonts w:ascii="Times New Roman" w:hAnsi="Times New Roman" w:cs="Times New Roman"/>
          <w:u w:val="single"/>
        </w:rPr>
        <w:t>Respondent Universe and Sampling Methods</w:t>
      </w:r>
    </w:p>
    <w:p w:rsidR="0023746A" w:rsidRPr="00222573" w:rsidP="0023746A" w14:paraId="5E1909D1" w14:textId="0E5CEECB">
      <w:pPr>
        <w:pStyle w:val="BodyText"/>
      </w:pPr>
      <w:r>
        <w:rPr>
          <w:rFonts w:ascii="Times New Roman" w:hAnsi="Times New Roman" w:cs="Times New Roman"/>
          <w:i/>
          <w:u w:val="single"/>
        </w:rPr>
        <w:t>NSDUH</w:t>
      </w:r>
      <w:r w:rsidRPr="00222573" w:rsidR="00AA0F61">
        <w:rPr>
          <w:rFonts w:ascii="Times New Roman" w:hAnsi="Times New Roman" w:cs="Times New Roman"/>
          <w:i/>
          <w:u w:val="single"/>
        </w:rPr>
        <w:t xml:space="preserve"> Main Study</w:t>
      </w:r>
      <w:r w:rsidRPr="00222573" w:rsidR="00222573">
        <w:rPr>
          <w:rFonts w:ascii="Times New Roman" w:hAnsi="Times New Roman" w:cs="Times New Roman"/>
          <w:i/>
          <w:u w:val="single"/>
        </w:rPr>
        <w:t>:</w:t>
      </w:r>
      <w:r w:rsidRPr="00222573" w:rsidR="00AA0F61">
        <w:rPr>
          <w:rFonts w:ascii="Times New Roman" w:hAnsi="Times New Roman" w:cs="Times New Roman"/>
          <w:i/>
          <w:u w:val="single"/>
        </w:rPr>
        <w:t xml:space="preserve"> </w:t>
      </w:r>
    </w:p>
    <w:p w:rsidR="00A26A69" w:rsidP="00703946" w14:paraId="019A7C28" w14:textId="76350E24">
      <w:pPr>
        <w:pStyle w:val="BodyText"/>
        <w:rPr>
          <w:rFonts w:ascii="Times New Roman" w:hAnsi="Times New Roman" w:cs="Times New Roman"/>
        </w:rPr>
      </w:pPr>
      <w:r w:rsidRPr="00FD23DF">
        <w:rPr>
          <w:rFonts w:ascii="Times New Roman" w:hAnsi="Times New Roman" w:cs="Times New Roman"/>
        </w:rPr>
        <w:t xml:space="preserve">The respondent universe for the </w:t>
      </w:r>
      <w:r w:rsidR="00BD6C2B">
        <w:rPr>
          <w:rFonts w:ascii="Times New Roman" w:hAnsi="Times New Roman" w:cs="Times New Roman"/>
        </w:rPr>
        <w:t>NSDUH</w:t>
      </w:r>
      <w:r w:rsidRPr="00FD23DF">
        <w:rPr>
          <w:rFonts w:ascii="Times New Roman" w:hAnsi="Times New Roman" w:cs="Times New Roman"/>
        </w:rPr>
        <w:t xml:space="preserve"> is the civilian, noninstitutionalized population aged 12 or older </w:t>
      </w:r>
      <w:r w:rsidR="006E0851">
        <w:rPr>
          <w:rFonts w:ascii="Times New Roman" w:hAnsi="Times New Roman" w:cs="Times New Roman"/>
        </w:rPr>
        <w:t>in each state</w:t>
      </w:r>
      <w:r w:rsidRPr="00FD23DF">
        <w:rPr>
          <w:rFonts w:ascii="Times New Roman" w:hAnsi="Times New Roman" w:cs="Times New Roman"/>
        </w:rPr>
        <w:t xml:space="preserve"> </w:t>
      </w:r>
      <w:r w:rsidR="00603119">
        <w:rPr>
          <w:rFonts w:ascii="Times New Roman" w:hAnsi="Times New Roman" w:cs="Times New Roman"/>
        </w:rPr>
        <w:t xml:space="preserve">and </w:t>
      </w:r>
      <w:r w:rsidRPr="00FD23DF">
        <w:rPr>
          <w:rFonts w:ascii="Times New Roman" w:hAnsi="Times New Roman" w:cs="Times New Roman"/>
        </w:rPr>
        <w:t xml:space="preserve">the District of Columbia. The </w:t>
      </w:r>
      <w:r w:rsidR="00BD6C2B">
        <w:rPr>
          <w:rFonts w:ascii="Times New Roman" w:hAnsi="Times New Roman" w:cs="Times New Roman"/>
        </w:rPr>
        <w:t>NSDUH</w:t>
      </w:r>
      <w:r w:rsidRPr="00FD23DF">
        <w:rPr>
          <w:rFonts w:ascii="Times New Roman" w:hAnsi="Times New Roman" w:cs="Times New Roman"/>
        </w:rPr>
        <w:t xml:space="preserve"> universe includes residents of noninstitutional group quarters (e.g., shelters, rooming houses, dormitories), and civilians residing on military bases. Persons excluded from the universe include those with no fixed household address (e.g., homeless transients </w:t>
      </w:r>
      <w:r w:rsidRPr="00FD23DF">
        <w:rPr>
          <w:rFonts w:ascii="Times New Roman" w:hAnsi="Times New Roman" w:cs="Times New Roman"/>
          <w:u w:val="single"/>
        </w:rPr>
        <w:t>not</w:t>
      </w:r>
      <w:r w:rsidRPr="00FD23DF">
        <w:rPr>
          <w:rFonts w:ascii="Times New Roman" w:hAnsi="Times New Roman" w:cs="Times New Roman"/>
        </w:rPr>
        <w:t xml:space="preserve"> in shelters, and residents of institutional group quarters such as jails and hospitals). </w:t>
      </w:r>
    </w:p>
    <w:p w:rsidR="000814F3" w:rsidRPr="000814F3" w:rsidP="00703946" w14:paraId="1E99CD38" w14:textId="1A071C38">
      <w:pPr>
        <w:pStyle w:val="BodyText"/>
        <w:rPr>
          <w:rFonts w:ascii="Times New Roman" w:hAnsi="Times New Roman"/>
        </w:rPr>
      </w:pPr>
      <w:r>
        <w:rPr>
          <w:rFonts w:ascii="Times New Roman" w:hAnsi="Times New Roman"/>
        </w:rPr>
        <w:t>NSDUH</w:t>
      </w:r>
      <w:r w:rsidRPr="000F7FD7" w:rsidR="000F7FD7">
        <w:rPr>
          <w:rFonts w:ascii="Times New Roman" w:hAnsi="Times New Roman"/>
        </w:rPr>
        <w:t xml:space="preserve"> data will </w:t>
      </w:r>
      <w:r w:rsidR="00772CD7">
        <w:rPr>
          <w:rFonts w:ascii="Times New Roman" w:hAnsi="Times New Roman"/>
        </w:rPr>
        <w:t xml:space="preserve">continue to </w:t>
      </w:r>
      <w:r w:rsidRPr="000F7FD7" w:rsidR="000F7FD7">
        <w:rPr>
          <w:rFonts w:ascii="Times New Roman" w:hAnsi="Times New Roman"/>
        </w:rPr>
        <w:t xml:space="preserve">be collected from respondents using a combination of in-person and web-based data collection modes. </w:t>
      </w:r>
      <w:r w:rsidR="0023746A">
        <w:rPr>
          <w:rFonts w:ascii="Times New Roman" w:hAnsi="Times New Roman"/>
        </w:rPr>
        <w:t>Like</w:t>
      </w:r>
      <w:r w:rsidRPr="00FD23DF" w:rsidR="00AA0F61">
        <w:rPr>
          <w:rFonts w:ascii="Times New Roman" w:hAnsi="Times New Roman" w:cs="Times New Roman"/>
        </w:rPr>
        <w:t xml:space="preserve"> previous </w:t>
      </w:r>
      <w:r>
        <w:rPr>
          <w:rFonts w:ascii="Times New Roman" w:hAnsi="Times New Roman" w:cs="Times New Roman"/>
        </w:rPr>
        <w:t>NSDUH</w:t>
      </w:r>
      <w:r w:rsidRPr="00FD23DF" w:rsidR="00AA0F61">
        <w:rPr>
          <w:rFonts w:ascii="Times New Roman" w:hAnsi="Times New Roman" w:cs="Times New Roman"/>
        </w:rPr>
        <w:t>s, the</w:t>
      </w:r>
      <w:r w:rsidR="00AA0F61">
        <w:rPr>
          <w:rFonts w:ascii="Times New Roman" w:hAnsi="Times New Roman" w:cs="Times New Roman"/>
        </w:rPr>
        <w:t xml:space="preserve"> overall</w:t>
      </w:r>
      <w:r w:rsidRPr="00FD23DF" w:rsidR="00AA0F61">
        <w:rPr>
          <w:rFonts w:ascii="Times New Roman" w:hAnsi="Times New Roman" w:cs="Times New Roman"/>
        </w:rPr>
        <w:t xml:space="preserve"> sample design</w:t>
      </w:r>
      <w:r w:rsidR="00AA0F61">
        <w:rPr>
          <w:rFonts w:ascii="Times New Roman" w:hAnsi="Times New Roman" w:cs="Times New Roman"/>
        </w:rPr>
        <w:t xml:space="preserve"> will </w:t>
      </w:r>
      <w:r w:rsidRPr="00FD23DF" w:rsidR="00AA0F61">
        <w:rPr>
          <w:rFonts w:ascii="Times New Roman" w:hAnsi="Times New Roman" w:cs="Times New Roman"/>
        </w:rPr>
        <w:t>consist of a stratified, multi-stage area probabilit</w:t>
      </w:r>
      <w:r w:rsidRPr="006574D2" w:rsidR="00AA0F61">
        <w:rPr>
          <w:rFonts w:ascii="Times New Roman" w:hAnsi="Times New Roman" w:cs="Times New Roman"/>
        </w:rPr>
        <w:t>y design</w:t>
      </w:r>
      <w:r w:rsidR="00AA0F61">
        <w:rPr>
          <w:rFonts w:ascii="Times New Roman" w:hAnsi="Times New Roman"/>
        </w:rPr>
        <w:t xml:space="preserve">. </w:t>
      </w:r>
      <w:r w:rsidRPr="000814F3" w:rsidR="00AA0F61">
        <w:rPr>
          <w:rFonts w:ascii="Times New Roman" w:hAnsi="Times New Roman"/>
        </w:rPr>
        <w:t xml:space="preserve">Age categories for </w:t>
      </w:r>
      <w:r w:rsidR="00AA0F61">
        <w:rPr>
          <w:rFonts w:ascii="Times New Roman" w:hAnsi="Times New Roman"/>
        </w:rPr>
        <w:t>interview respondents (</w:t>
      </w:r>
      <w:r w:rsidRPr="000814F3" w:rsidR="00AA0F61">
        <w:rPr>
          <w:rFonts w:ascii="Times New Roman" w:hAnsi="Times New Roman"/>
        </w:rPr>
        <w:t>IRs</w:t>
      </w:r>
      <w:r w:rsidR="00AA0F61">
        <w:rPr>
          <w:rFonts w:ascii="Times New Roman" w:hAnsi="Times New Roman"/>
        </w:rPr>
        <w:t>)</w:t>
      </w:r>
      <w:r w:rsidRPr="000814F3" w:rsidR="00AA0F61">
        <w:rPr>
          <w:rFonts w:ascii="Times New Roman" w:hAnsi="Times New Roman"/>
        </w:rPr>
        <w:t xml:space="preserve"> include: 12-17, 18-25, 26-34, 35-49, and 50 and over. The sampling frame </w:t>
      </w:r>
      <w:r w:rsidR="00520479">
        <w:rPr>
          <w:rFonts w:ascii="Times New Roman" w:hAnsi="Times New Roman"/>
        </w:rPr>
        <w:t>will be</w:t>
      </w:r>
      <w:r w:rsidRPr="000814F3" w:rsidR="00AA0F61">
        <w:rPr>
          <w:rFonts w:ascii="Times New Roman" w:hAnsi="Times New Roman"/>
        </w:rPr>
        <w:t xml:space="preserve"> based on tract- and block</w:t>
      </w:r>
      <w:r w:rsidR="002849AB">
        <w:rPr>
          <w:rFonts w:ascii="Times New Roman" w:hAnsi="Times New Roman"/>
        </w:rPr>
        <w:t xml:space="preserve"> group</w:t>
      </w:r>
      <w:r w:rsidRPr="000814F3" w:rsidR="00AA0F61">
        <w:rPr>
          <w:rFonts w:ascii="Times New Roman" w:hAnsi="Times New Roman"/>
        </w:rPr>
        <w:t xml:space="preserve">-level geographical units defined by the decennial </w:t>
      </w:r>
      <w:r w:rsidR="002849AB">
        <w:rPr>
          <w:rFonts w:ascii="Times New Roman" w:hAnsi="Times New Roman"/>
        </w:rPr>
        <w:t>2020</w:t>
      </w:r>
      <w:r w:rsidRPr="000814F3" w:rsidR="00AA0F61">
        <w:rPr>
          <w:rFonts w:ascii="Times New Roman" w:hAnsi="Times New Roman"/>
        </w:rPr>
        <w:t xml:space="preserve"> Census. The selection of </w:t>
      </w:r>
      <w:r w:rsidRPr="00657CBF" w:rsidR="00AA0F61">
        <w:rPr>
          <w:rFonts w:ascii="Times New Roman" w:hAnsi="Times New Roman"/>
        </w:rPr>
        <w:t>6,096 sample segments</w:t>
      </w:r>
      <w:r w:rsidR="00520479">
        <w:rPr>
          <w:rFonts w:ascii="Times New Roman" w:hAnsi="Times New Roman"/>
        </w:rPr>
        <w:t xml:space="preserve"> will be</w:t>
      </w:r>
      <w:r w:rsidRPr="00657CBF" w:rsidR="00AA0F61">
        <w:rPr>
          <w:rFonts w:ascii="Times New Roman" w:hAnsi="Times New Roman"/>
        </w:rPr>
        <w:t xml:space="preserve"> made to ensure the areas </w:t>
      </w:r>
      <w:r w:rsidR="00520479">
        <w:rPr>
          <w:rFonts w:ascii="Times New Roman" w:hAnsi="Times New Roman"/>
        </w:rPr>
        <w:t>are as</w:t>
      </w:r>
      <w:r w:rsidRPr="00657CBF" w:rsidR="00AA0F61">
        <w:rPr>
          <w:rFonts w:ascii="Times New Roman" w:hAnsi="Times New Roman"/>
        </w:rPr>
        <w:t xml:space="preserve"> representative of the population as possible. For the 2025 survey, approximately 290,000 dwelling units (DUs) nationwide will be contacted and screened for eligibility either in-person or via web. From these DUs, we expect to complete approximately </w:t>
      </w:r>
      <w:r w:rsidRPr="00657CBF" w:rsidR="00AA0F61">
        <w:rPr>
          <w:rFonts w:ascii="Times New Roman" w:hAnsi="Times New Roman" w:cs="Times New Roman"/>
        </w:rPr>
        <w:t>68,467 i</w:t>
      </w:r>
      <w:r w:rsidRPr="00657CBF" w:rsidR="00AA0F61">
        <w:rPr>
          <w:rFonts w:ascii="Times New Roman" w:hAnsi="Times New Roman"/>
        </w:rPr>
        <w:t>nterviews across both modes</w:t>
      </w:r>
      <w:r w:rsidRPr="000814F3" w:rsidR="00AA0F61">
        <w:rPr>
          <w:rFonts w:ascii="Times New Roman" w:hAnsi="Times New Roman"/>
        </w:rPr>
        <w:t>.</w:t>
      </w:r>
    </w:p>
    <w:p w:rsidR="000814F3" w:rsidRPr="000814F3" w:rsidP="00703946" w14:paraId="0D62AA26" w14:textId="25A62ACB">
      <w:pPr>
        <w:pStyle w:val="BodyText"/>
        <w:rPr>
          <w:rFonts w:ascii="Times New Roman" w:hAnsi="Times New Roman"/>
        </w:rPr>
      </w:pPr>
      <w:r w:rsidRPr="000814F3">
        <w:rPr>
          <w:rFonts w:ascii="Times New Roman" w:hAnsi="Times New Roman"/>
        </w:rPr>
        <w:t>Like the</w:t>
      </w:r>
      <w:r w:rsidR="004F64B7">
        <w:rPr>
          <w:rFonts w:ascii="Times New Roman" w:hAnsi="Times New Roman"/>
        </w:rPr>
        <w:t xml:space="preserve"> 2023 and</w:t>
      </w:r>
      <w:r w:rsidRPr="000814F3">
        <w:rPr>
          <w:rFonts w:ascii="Times New Roman" w:hAnsi="Times New Roman"/>
        </w:rPr>
        <w:t xml:space="preserve"> 202</w:t>
      </w:r>
      <w:r w:rsidR="004F64B7">
        <w:rPr>
          <w:rFonts w:ascii="Times New Roman" w:hAnsi="Times New Roman"/>
        </w:rPr>
        <w:t>4</w:t>
      </w:r>
      <w:r w:rsidRPr="000814F3">
        <w:rPr>
          <w:rFonts w:ascii="Times New Roman" w:hAnsi="Times New Roman"/>
        </w:rPr>
        <w:t xml:space="preserve"> </w:t>
      </w:r>
      <w:r w:rsidR="00BD6C2B">
        <w:rPr>
          <w:rFonts w:ascii="Times New Roman" w:hAnsi="Times New Roman"/>
        </w:rPr>
        <w:t>NSDUH</w:t>
      </w:r>
      <w:r w:rsidR="004F64B7">
        <w:rPr>
          <w:rFonts w:ascii="Times New Roman" w:hAnsi="Times New Roman"/>
        </w:rPr>
        <w:t>s</w:t>
      </w:r>
      <w:r w:rsidRPr="000814F3">
        <w:rPr>
          <w:rFonts w:ascii="Times New Roman" w:hAnsi="Times New Roman"/>
        </w:rPr>
        <w:t xml:space="preserve">, the selection of smaller area segments within the secondary sampling units (SSUs; one or more Census Block Groups) </w:t>
      </w:r>
      <w:r w:rsidR="00520479">
        <w:rPr>
          <w:rFonts w:ascii="Times New Roman" w:hAnsi="Times New Roman"/>
        </w:rPr>
        <w:t>will be</w:t>
      </w:r>
      <w:r w:rsidRPr="000814F3">
        <w:rPr>
          <w:rFonts w:ascii="Times New Roman" w:hAnsi="Times New Roman"/>
        </w:rPr>
        <w:t xml:space="preserve"> eliminated to reduce intracluster correlation and increase precision. Also, a hybrid address-based sampling (ABS) and electronic listing (eListing) approach </w:t>
      </w:r>
      <w:r w:rsidR="00520479">
        <w:rPr>
          <w:rFonts w:ascii="Times New Roman" w:hAnsi="Times New Roman"/>
        </w:rPr>
        <w:t>will be</w:t>
      </w:r>
      <w:r w:rsidRPr="000814F3">
        <w:rPr>
          <w:rFonts w:ascii="Times New Roman" w:hAnsi="Times New Roman"/>
        </w:rPr>
        <w:t xml:space="preserve"> used to construct DU frames. ABS refers to the sampling of residential addresses from a list based on the U.S. Postal Service's Computerized Delivery Sequence file. In areas with high expected ABS coverage, the ABS frame is used. In all other areas, eListing is used to construct the DU frames. SSUs w</w:t>
      </w:r>
      <w:r w:rsidR="00520479">
        <w:rPr>
          <w:rFonts w:ascii="Times New Roman" w:hAnsi="Times New Roman"/>
        </w:rPr>
        <w:t>ill be</w:t>
      </w:r>
      <w:r w:rsidRPr="000814F3">
        <w:rPr>
          <w:rFonts w:ascii="Times New Roman" w:hAnsi="Times New Roman"/>
        </w:rPr>
        <w:t xml:space="preserve"> assigned to ABS or eListing based on ABS coverage, proportion of group quarters units, and proportion of ABS drop points. </w:t>
      </w:r>
    </w:p>
    <w:p w:rsidR="00501DD2" w:rsidRPr="00FD23DF" w:rsidP="00703946" w14:paraId="1D2639C1" w14:textId="2DC73B1A">
      <w:pPr>
        <w:pStyle w:val="BodyText"/>
        <w:rPr>
          <w:rFonts w:ascii="Times New Roman" w:hAnsi="Times New Roman" w:cs="Times New Roman"/>
        </w:rPr>
      </w:pPr>
      <w:r w:rsidRPr="00864374">
        <w:rPr>
          <w:rFonts w:ascii="Times New Roman" w:hAnsi="Times New Roman"/>
        </w:rPr>
        <w:t xml:space="preserve">The sample design will </w:t>
      </w:r>
      <w:r w:rsidRPr="0061464B" w:rsidR="00B07F0B">
        <w:rPr>
          <w:rFonts w:ascii="Times New Roman" w:hAnsi="Times New Roman"/>
        </w:rPr>
        <w:t>help</w:t>
      </w:r>
      <w:r w:rsidR="00B07F0B">
        <w:rPr>
          <w:rFonts w:ascii="Times New Roman" w:hAnsi="Times New Roman"/>
        </w:rPr>
        <w:t xml:space="preserve"> ensure</w:t>
      </w:r>
      <w:r w:rsidRPr="0061464B" w:rsidR="00B07F0B">
        <w:rPr>
          <w:rFonts w:ascii="Times New Roman" w:hAnsi="Times New Roman"/>
        </w:rPr>
        <w:t xml:space="preserve"> the ability of the </w:t>
      </w:r>
      <w:r w:rsidR="00BD6C2B">
        <w:rPr>
          <w:rFonts w:ascii="Times New Roman" w:hAnsi="Times New Roman"/>
        </w:rPr>
        <w:t>NSDUH</w:t>
      </w:r>
      <w:r w:rsidRPr="0061464B" w:rsidR="00B07F0B">
        <w:rPr>
          <w:rFonts w:ascii="Times New Roman" w:hAnsi="Times New Roman"/>
        </w:rPr>
        <w:t xml:space="preserve"> to support comparisons of population subgroups defined by the intersection of race and gender, or other demographic variables that may be associated with disparities in survey outcomes</w:t>
      </w:r>
      <w:r w:rsidR="00B07F0B">
        <w:rPr>
          <w:rFonts w:ascii="Times New Roman" w:hAnsi="Times New Roman"/>
        </w:rPr>
        <w:t xml:space="preserve"> for these important demographic subpopulations. </w:t>
      </w:r>
      <w:r w:rsidRPr="006574D2">
        <w:rPr>
          <w:rFonts w:ascii="Times New Roman" w:hAnsi="Times New Roman" w:cs="Times New Roman"/>
        </w:rPr>
        <w:t>As with most</w:t>
      </w:r>
      <w:r w:rsidRPr="00FD23DF">
        <w:rPr>
          <w:rFonts w:ascii="Times New Roman" w:hAnsi="Times New Roman" w:cs="Times New Roman"/>
        </w:rPr>
        <w:t xml:space="preserve"> area household surveys, the </w:t>
      </w:r>
      <w:r w:rsidR="00BD6C2B">
        <w:rPr>
          <w:rFonts w:ascii="Times New Roman" w:hAnsi="Times New Roman" w:cs="Times New Roman"/>
        </w:rPr>
        <w:t>NSDUH</w:t>
      </w:r>
      <w:r w:rsidRPr="00FD23DF">
        <w:rPr>
          <w:rFonts w:ascii="Times New Roman" w:hAnsi="Times New Roman" w:cs="Times New Roman"/>
        </w:rPr>
        <w:t xml:space="preserve"> design continues to offer the advantage of minimizing interviewing costs by clustering the sample. This design also maximizes coverage of the respondent universe since an adequate dwelling unit and/or person-level sample frame is not available. Although the main concern of area surveys is the potential variance-increasing effects due to clustering and unequal weighting, these potential problems are directly addressed </w:t>
      </w:r>
      <w:r w:rsidRPr="00FD23DF" w:rsidR="00D9569C">
        <w:rPr>
          <w:rFonts w:ascii="Times New Roman" w:hAnsi="Times New Roman" w:cs="Times New Roman"/>
        </w:rPr>
        <w:t>for</w:t>
      </w:r>
      <w:r w:rsidRPr="00FD23DF">
        <w:rPr>
          <w:rFonts w:ascii="Times New Roman" w:hAnsi="Times New Roman" w:cs="Times New Roman"/>
        </w:rPr>
        <w:t xml:space="preserve"> </w:t>
      </w:r>
      <w:r w:rsidR="00BD6C2B">
        <w:rPr>
          <w:rFonts w:ascii="Times New Roman" w:hAnsi="Times New Roman" w:cs="Times New Roman"/>
        </w:rPr>
        <w:t>NSDUH</w:t>
      </w:r>
      <w:r w:rsidRPr="00FD23DF" w:rsidR="007B3E8C">
        <w:rPr>
          <w:rFonts w:ascii="Times New Roman" w:hAnsi="Times New Roman" w:cs="Times New Roman"/>
        </w:rPr>
        <w:t xml:space="preserve"> </w:t>
      </w:r>
      <w:r w:rsidRPr="00FD23DF">
        <w:rPr>
          <w:rFonts w:ascii="Times New Roman" w:hAnsi="Times New Roman" w:cs="Times New Roman"/>
        </w:rPr>
        <w:t>by selecting a relatively large sample of clusters at the early stages of selection</w:t>
      </w:r>
      <w:r w:rsidR="00062170">
        <w:rPr>
          <w:rFonts w:ascii="Times New Roman" w:hAnsi="Times New Roman" w:cs="Times New Roman"/>
        </w:rPr>
        <w:t>,</w:t>
      </w:r>
      <w:r w:rsidRPr="00FD23DF">
        <w:rPr>
          <w:rFonts w:ascii="Times New Roman" w:hAnsi="Times New Roman" w:cs="Times New Roman"/>
        </w:rPr>
        <w:t xml:space="preserve"> and by selecting these clusters with probability proportionate to a composite size measure. This selection maximizes precision by allowing one to achieve an approximately self-weighting sample within strata at the latter stages of selection. Furthermore, it is appealing because the design of the composite size measure makes the </w:t>
      </w:r>
      <w:r w:rsidR="0008682D">
        <w:rPr>
          <w:rFonts w:ascii="Times New Roman" w:hAnsi="Times New Roman" w:cs="Times New Roman"/>
        </w:rPr>
        <w:t>field interviewer (</w:t>
      </w:r>
      <w:r w:rsidRPr="00FD23DF">
        <w:rPr>
          <w:rFonts w:ascii="Times New Roman" w:hAnsi="Times New Roman" w:cs="Times New Roman"/>
        </w:rPr>
        <w:t>FI</w:t>
      </w:r>
      <w:r w:rsidR="0008682D">
        <w:rPr>
          <w:rFonts w:ascii="Times New Roman" w:hAnsi="Times New Roman" w:cs="Times New Roman"/>
        </w:rPr>
        <w:t>)</w:t>
      </w:r>
      <w:r w:rsidRPr="00FD23DF">
        <w:rPr>
          <w:rFonts w:ascii="Times New Roman" w:hAnsi="Times New Roman" w:cs="Times New Roman"/>
        </w:rPr>
        <w:t xml:space="preserve"> workload roughly equal among clusters within strata.</w:t>
      </w:r>
    </w:p>
    <w:p w:rsidR="00501DD2" w:rsidP="00703946" w14:paraId="5E8256F3" w14:textId="4F33199B">
      <w:pPr>
        <w:pStyle w:val="BodyText"/>
        <w:rPr>
          <w:rFonts w:ascii="Times New Roman" w:hAnsi="Times New Roman" w:cs="Times New Roman"/>
        </w:rPr>
      </w:pPr>
      <w:r w:rsidRPr="00FD23DF">
        <w:rPr>
          <w:rFonts w:ascii="Times New Roman" w:hAnsi="Times New Roman" w:cs="Times New Roman"/>
        </w:rPr>
        <w:t xml:space="preserve">To accurately measure drug use and related mental health measures </w:t>
      </w:r>
      <w:r w:rsidR="007B3E8C">
        <w:rPr>
          <w:rFonts w:ascii="Times New Roman" w:hAnsi="Times New Roman" w:cs="Times New Roman"/>
        </w:rPr>
        <w:t xml:space="preserve">the </w:t>
      </w:r>
      <w:r w:rsidR="00BD6C2B">
        <w:rPr>
          <w:rFonts w:ascii="Times New Roman" w:hAnsi="Times New Roman" w:cs="Times New Roman"/>
        </w:rPr>
        <w:t>NSDUH</w:t>
      </w:r>
      <w:r w:rsidRPr="00FD23DF">
        <w:rPr>
          <w:rFonts w:ascii="Times New Roman" w:hAnsi="Times New Roman" w:cs="Times New Roman"/>
        </w:rPr>
        <w:t xml:space="preserve"> design allocates the sample to the 12 to 17, 18 to 25, and 26 or older age groups in proportions of 25 percent, 25 percent, and 50 percent, respectively. </w:t>
      </w:r>
    </w:p>
    <w:p w:rsidR="00357F5C" w:rsidRPr="00FD23DF" w:rsidP="00703946" w14:paraId="494E8274" w14:textId="766A1BE2">
      <w:pPr>
        <w:pStyle w:val="BodyText"/>
        <w:rPr>
          <w:rFonts w:ascii="Times New Roman" w:hAnsi="Times New Roman" w:cs="Times New Roman"/>
        </w:rPr>
      </w:pPr>
      <w:r w:rsidRPr="00357F5C">
        <w:rPr>
          <w:rFonts w:ascii="Times New Roman" w:hAnsi="Times New Roman" w:cs="Times New Roman"/>
        </w:rPr>
        <w:t xml:space="preserve">While age group is currently the only stratification variable at the person level, stratification by other demographic subgroups has been considered in the past. Prior to the 2014 sample redesign, estimates by </w:t>
      </w:r>
      <w:r w:rsidR="0042687E">
        <w:rPr>
          <w:rFonts w:ascii="Times New Roman" w:hAnsi="Times New Roman" w:cs="Times New Roman"/>
        </w:rPr>
        <w:t xml:space="preserve">four-level </w:t>
      </w:r>
      <w:r w:rsidRPr="00357F5C">
        <w:rPr>
          <w:rFonts w:ascii="Times New Roman" w:hAnsi="Times New Roman" w:cs="Times New Roman"/>
        </w:rPr>
        <w:t xml:space="preserve">race and ethnicity (Hispanic, NonHispanic White, NonHispanic Black, and NonHispanic Other) were deemed to have sufficient precision </w:t>
      </w:r>
      <w:r w:rsidRPr="0042687E" w:rsidR="0042687E">
        <w:rPr>
          <w:rFonts w:ascii="Times New Roman" w:hAnsi="Times New Roman" w:cs="Times New Roman"/>
        </w:rPr>
        <w:t xml:space="preserve">based on a sample of 67,500 completed interviews </w:t>
      </w:r>
      <w:r w:rsidRPr="00357F5C">
        <w:rPr>
          <w:rFonts w:ascii="Times New Roman" w:hAnsi="Times New Roman" w:cs="Times New Roman"/>
        </w:rPr>
        <w:t xml:space="preserve">without </w:t>
      </w:r>
      <w:r w:rsidR="0042687E">
        <w:rPr>
          <w:rFonts w:ascii="Times New Roman" w:hAnsi="Times New Roman" w:cs="Times New Roman"/>
        </w:rPr>
        <w:t>needing to stratify or oversample</w:t>
      </w:r>
      <w:r w:rsidRPr="00357F5C">
        <w:rPr>
          <w:rFonts w:ascii="Times New Roman" w:hAnsi="Times New Roman" w:cs="Times New Roman"/>
        </w:rPr>
        <w:t xml:space="preserve"> these subgroups. </w:t>
      </w:r>
      <w:r w:rsidRPr="0042687E" w:rsidR="0042687E">
        <w:rPr>
          <w:rFonts w:ascii="Times New Roman" w:hAnsi="Times New Roman" w:cs="Times New Roman"/>
        </w:rPr>
        <w:t xml:space="preserve">Because </w:t>
      </w:r>
      <w:r w:rsidR="007B3E8C">
        <w:rPr>
          <w:rFonts w:ascii="Times New Roman" w:hAnsi="Times New Roman" w:cs="Times New Roman"/>
        </w:rPr>
        <w:t xml:space="preserve">the </w:t>
      </w:r>
      <w:r w:rsidR="00BD6C2B">
        <w:rPr>
          <w:rFonts w:ascii="Times New Roman" w:hAnsi="Times New Roman" w:cs="Times New Roman"/>
        </w:rPr>
        <w:t>NSDUH</w:t>
      </w:r>
      <w:r w:rsidRPr="0042687E" w:rsidR="007B3E8C">
        <w:rPr>
          <w:rFonts w:ascii="Times New Roman" w:hAnsi="Times New Roman" w:cs="Times New Roman"/>
        </w:rPr>
        <w:t xml:space="preserve"> </w:t>
      </w:r>
      <w:r w:rsidRPr="0042687E" w:rsidR="0042687E">
        <w:rPr>
          <w:rFonts w:ascii="Times New Roman" w:hAnsi="Times New Roman" w:cs="Times New Roman"/>
        </w:rPr>
        <w:t>target</w:t>
      </w:r>
      <w:r w:rsidR="007B3E8C">
        <w:rPr>
          <w:rFonts w:ascii="Times New Roman" w:hAnsi="Times New Roman" w:cs="Times New Roman"/>
        </w:rPr>
        <w:t>s</w:t>
      </w:r>
      <w:r w:rsidRPr="0042687E" w:rsidR="0042687E">
        <w:rPr>
          <w:rFonts w:ascii="Times New Roman" w:hAnsi="Times New Roman" w:cs="Times New Roman"/>
        </w:rPr>
        <w:t xml:space="preserve"> </w:t>
      </w:r>
      <w:r w:rsidR="007B3E8C">
        <w:rPr>
          <w:rFonts w:ascii="Times New Roman" w:hAnsi="Times New Roman" w:cs="Times New Roman"/>
        </w:rPr>
        <w:t>68,467</w:t>
      </w:r>
      <w:r w:rsidRPr="0042687E" w:rsidR="0042687E">
        <w:rPr>
          <w:rFonts w:ascii="Times New Roman" w:hAnsi="Times New Roman" w:cs="Times New Roman"/>
        </w:rPr>
        <w:t xml:space="preserve"> interviews each year, estimates by four-level race and ethnicity continue to have sufficient precision without stratification or oversampling.</w:t>
      </w:r>
      <w:r w:rsidR="0042687E">
        <w:rPr>
          <w:rFonts w:ascii="Times New Roman" w:hAnsi="Times New Roman" w:cs="Times New Roman"/>
        </w:rPr>
        <w:t xml:space="preserve"> </w:t>
      </w:r>
      <w:r w:rsidRPr="00357F5C">
        <w:rPr>
          <w:rFonts w:ascii="Times New Roman" w:hAnsi="Times New Roman" w:cs="Times New Roman"/>
        </w:rPr>
        <w:t xml:space="preserve">Further, four of the 25 “key” measures for which precision is monitored each year are among </w:t>
      </w:r>
      <w:r w:rsidR="0042687E">
        <w:rPr>
          <w:rFonts w:ascii="Times New Roman" w:hAnsi="Times New Roman" w:cs="Times New Roman"/>
        </w:rPr>
        <w:t xml:space="preserve">the </w:t>
      </w:r>
      <w:r w:rsidRPr="00357F5C">
        <w:rPr>
          <w:rFonts w:ascii="Times New Roman" w:hAnsi="Times New Roman" w:cs="Times New Roman"/>
        </w:rPr>
        <w:t xml:space="preserve">American Indian and Alaska Native (AIAN) and Asian or Pacific Islander (API) </w:t>
      </w:r>
      <w:r w:rsidR="0042687E">
        <w:rPr>
          <w:rFonts w:ascii="Times New Roman" w:hAnsi="Times New Roman" w:cs="Times New Roman"/>
        </w:rPr>
        <w:t>populations</w:t>
      </w:r>
      <w:r w:rsidRPr="00357F5C">
        <w:rPr>
          <w:rFonts w:ascii="Times New Roman" w:hAnsi="Times New Roman" w:cs="Times New Roman"/>
        </w:rPr>
        <w:t xml:space="preserve">. Finally, four of the annual detailed tables report estimates by four-level race and ethnicity </w:t>
      </w:r>
      <w:r w:rsidRPr="0042687E" w:rsidR="0042687E">
        <w:rPr>
          <w:rFonts w:ascii="Times New Roman" w:hAnsi="Times New Roman" w:cs="Times New Roman"/>
        </w:rPr>
        <w:t>(Hispanic, NonHispanic White, NonHispanic Black, and NonHispanic Other)</w:t>
      </w:r>
      <w:r w:rsidR="0042687E">
        <w:rPr>
          <w:rFonts w:ascii="Times New Roman" w:hAnsi="Times New Roman" w:cs="Times New Roman"/>
        </w:rPr>
        <w:t xml:space="preserve"> </w:t>
      </w:r>
      <w:r w:rsidRPr="00357F5C">
        <w:rPr>
          <w:rFonts w:ascii="Times New Roman" w:hAnsi="Times New Roman" w:cs="Times New Roman"/>
        </w:rPr>
        <w:t>by gender</w:t>
      </w:r>
      <w:r w:rsidR="0042687E">
        <w:rPr>
          <w:rFonts w:ascii="Times New Roman" w:hAnsi="Times New Roman" w:cs="Times New Roman"/>
        </w:rPr>
        <w:t xml:space="preserve"> using </w:t>
      </w:r>
      <w:r w:rsidRPr="0042687E" w:rsidR="0042687E">
        <w:rPr>
          <w:rFonts w:ascii="Times New Roman" w:hAnsi="Times New Roman" w:cs="Times New Roman"/>
        </w:rPr>
        <w:t>data from two years combined (e.g. 2019 and 2020): numbers (in thousands) of people aged 12 or older by age group and demographic characteristics; numbers (in thousands) of people aged 12 or older by underage and legal drinking age groups and demographic characteristics; alcohol use in lifetime, past year, and past month and binge alcohol and heavy alcohol use in past month among people aged 12 to 20 by demographic characteristics; and alcohol use in lifetime, past year, and past month and binge alcohol and heavy alcohol use in past month among people aged 21 or older by demographic characteristics</w:t>
      </w:r>
      <w:r w:rsidRPr="00357F5C">
        <w:rPr>
          <w:rFonts w:ascii="Times New Roman" w:hAnsi="Times New Roman" w:cs="Times New Roman"/>
        </w:rPr>
        <w:t xml:space="preserve">. Estimates in these tables typically have sufficient sample and precision to be reported. Thus, there is no need to stratify and oversample by four-level race/ethnicity </w:t>
      </w:r>
      <w:r w:rsidR="0042687E">
        <w:rPr>
          <w:rFonts w:ascii="Times New Roman" w:hAnsi="Times New Roman" w:cs="Times New Roman"/>
        </w:rPr>
        <w:t xml:space="preserve">and gender </w:t>
      </w:r>
      <w:r w:rsidRPr="00357F5C">
        <w:rPr>
          <w:rFonts w:ascii="Times New Roman" w:hAnsi="Times New Roman" w:cs="Times New Roman"/>
        </w:rPr>
        <w:t xml:space="preserve">based on current reporting needs. However, </w:t>
      </w:r>
      <w:r w:rsidR="009F117A">
        <w:rPr>
          <w:rFonts w:ascii="Times New Roman" w:hAnsi="Times New Roman" w:cs="Times New Roman"/>
        </w:rPr>
        <w:t>options for stratifying the sample to facilitate finer</w:t>
      </w:r>
      <w:r w:rsidRPr="00357F5C">
        <w:rPr>
          <w:rFonts w:ascii="Times New Roman" w:hAnsi="Times New Roman" w:cs="Times New Roman"/>
        </w:rPr>
        <w:t xml:space="preserve"> race/ethnicity categories </w:t>
      </w:r>
      <w:r w:rsidRPr="0042687E" w:rsidR="0042687E">
        <w:rPr>
          <w:rFonts w:ascii="Times New Roman" w:hAnsi="Times New Roman" w:cs="Times New Roman"/>
        </w:rPr>
        <w:t xml:space="preserve">(e.g., subgroups under “Asian”) and gender </w:t>
      </w:r>
      <w:r w:rsidRPr="00357F5C">
        <w:rPr>
          <w:rFonts w:ascii="Times New Roman" w:hAnsi="Times New Roman" w:cs="Times New Roman"/>
        </w:rPr>
        <w:t xml:space="preserve">or oversampling areas with higher concentrations of the demographic subgroups of interest </w:t>
      </w:r>
      <w:r w:rsidR="007B3E8C">
        <w:rPr>
          <w:rFonts w:ascii="Times New Roman" w:hAnsi="Times New Roman" w:cs="Times New Roman"/>
        </w:rPr>
        <w:t>may</w:t>
      </w:r>
      <w:r w:rsidRPr="00357F5C">
        <w:rPr>
          <w:rFonts w:ascii="Times New Roman" w:hAnsi="Times New Roman" w:cs="Times New Roman"/>
        </w:rPr>
        <w:t xml:space="preserve"> be researched for future consideration.</w:t>
      </w:r>
    </w:p>
    <w:p w:rsidR="00501DD2" w:rsidRPr="00FD23DF" w:rsidP="00703946" w14:paraId="63EF79F3" w14:textId="5FBC9F5E">
      <w:pPr>
        <w:pStyle w:val="BodyText"/>
        <w:rPr>
          <w:rFonts w:ascii="Times New Roman" w:hAnsi="Times New Roman" w:cs="Times New Roman"/>
        </w:rPr>
      </w:pPr>
      <w:r>
        <w:t>Using 2020</w:t>
      </w:r>
      <w:r w:rsidRPr="00FD23DF" w:rsidR="0036671F">
        <w:t xml:space="preserve"> decennial census data</w:t>
      </w:r>
      <w:r>
        <w:t xml:space="preserve">, a multi-year coordinated sample will be selected for the 2025-2027 </w:t>
      </w:r>
      <w:r w:rsidR="00BD6C2B">
        <w:t>NSDUH</w:t>
      </w:r>
      <w:r>
        <w:t>s</w:t>
      </w:r>
      <w:r w:rsidRPr="00FD23DF" w:rsidR="0036671F">
        <w:t xml:space="preserve">. </w:t>
      </w:r>
      <w:r w:rsidRPr="00FD23DF">
        <w:rPr>
          <w:rFonts w:ascii="Times New Roman" w:hAnsi="Times New Roman" w:cs="Times New Roman"/>
        </w:rPr>
        <w:t xml:space="preserve">The sample selection procedures </w:t>
      </w:r>
      <w:r>
        <w:rPr>
          <w:rFonts w:ascii="Times New Roman" w:hAnsi="Times New Roman" w:cs="Times New Roman"/>
        </w:rPr>
        <w:t xml:space="preserve">will </w:t>
      </w:r>
      <w:r w:rsidRPr="00FD23DF">
        <w:rPr>
          <w:rFonts w:ascii="Times New Roman" w:hAnsi="Times New Roman" w:cs="Times New Roman"/>
        </w:rPr>
        <w:t xml:space="preserve">begin by geographically partitioning each </w:t>
      </w:r>
      <w:r w:rsidRPr="00FD23DF" w:rsidR="00A43B40">
        <w:rPr>
          <w:rFonts w:ascii="Times New Roman" w:hAnsi="Times New Roman" w:cs="Times New Roman"/>
        </w:rPr>
        <w:t xml:space="preserve">state </w:t>
      </w:r>
      <w:r w:rsidRPr="00FD23DF">
        <w:rPr>
          <w:rFonts w:ascii="Times New Roman" w:hAnsi="Times New Roman" w:cs="Times New Roman"/>
        </w:rPr>
        <w:t xml:space="preserve">into roughly equal size </w:t>
      </w:r>
      <w:r w:rsidRPr="00FD23DF" w:rsidR="00A43B40">
        <w:rPr>
          <w:rFonts w:ascii="Times New Roman" w:hAnsi="Times New Roman" w:cs="Times New Roman"/>
        </w:rPr>
        <w:t xml:space="preserve">state </w:t>
      </w:r>
      <w:r w:rsidRPr="00FD23DF">
        <w:rPr>
          <w:rFonts w:ascii="Times New Roman" w:hAnsi="Times New Roman" w:cs="Times New Roman"/>
        </w:rPr>
        <w:t xml:space="preserve">sampling regions (SSRs). Regions </w:t>
      </w:r>
      <w:r w:rsidR="00C779D6">
        <w:rPr>
          <w:rFonts w:ascii="Times New Roman" w:hAnsi="Times New Roman" w:cs="Times New Roman"/>
        </w:rPr>
        <w:t>will be</w:t>
      </w:r>
      <w:r w:rsidRPr="00FD23DF">
        <w:rPr>
          <w:rFonts w:ascii="Times New Roman" w:hAnsi="Times New Roman" w:cs="Times New Roman"/>
        </w:rPr>
        <w:t xml:space="preserve"> formed so that each area within a </w:t>
      </w:r>
      <w:r w:rsidRPr="00FD23DF" w:rsidR="00A82571">
        <w:rPr>
          <w:rFonts w:ascii="Times New Roman" w:hAnsi="Times New Roman" w:cs="Times New Roman"/>
        </w:rPr>
        <w:t>state yield</w:t>
      </w:r>
      <w:r w:rsidRPr="00FD23DF">
        <w:rPr>
          <w:rFonts w:ascii="Times New Roman" w:hAnsi="Times New Roman" w:cs="Times New Roman"/>
        </w:rPr>
        <w:t xml:space="preserve">, in expectation, roughly the same number of interviews during each data collection period. </w:t>
      </w:r>
    </w:p>
    <w:p w:rsidR="00501DD2" w:rsidRPr="00FD23DF" w:rsidP="00703946" w14:paraId="75264900" w14:textId="623AB323">
      <w:pPr>
        <w:pStyle w:val="BodyText"/>
        <w:rPr>
          <w:rFonts w:ascii="Times New Roman" w:hAnsi="Times New Roman" w:cs="Times New Roman"/>
        </w:rPr>
      </w:pPr>
      <w:r w:rsidRPr="006574D2">
        <w:rPr>
          <w:rFonts w:ascii="Times New Roman" w:hAnsi="Times New Roman" w:cs="Times New Roman"/>
        </w:rPr>
        <w:t xml:space="preserve">Within each of the </w:t>
      </w:r>
      <w:r w:rsidR="00C779D6">
        <w:rPr>
          <w:rFonts w:ascii="Times New Roman" w:hAnsi="Times New Roman" w:cs="Times New Roman"/>
        </w:rPr>
        <w:t>762</w:t>
      </w:r>
      <w:r w:rsidRPr="006574D2">
        <w:rPr>
          <w:rFonts w:ascii="Times New Roman" w:hAnsi="Times New Roman" w:cs="Times New Roman"/>
        </w:rPr>
        <w:t xml:space="preserve"> SSRs formed for the </w:t>
      </w:r>
      <w:r w:rsidR="00C779D6">
        <w:rPr>
          <w:rFonts w:ascii="Times New Roman" w:hAnsi="Times New Roman" w:cs="Times New Roman"/>
        </w:rPr>
        <w:t>2025-2027</w:t>
      </w:r>
      <w:r w:rsidRPr="006574D2" w:rsidR="0036671F">
        <w:rPr>
          <w:rFonts w:ascii="Times New Roman" w:hAnsi="Times New Roman" w:cs="Times New Roman"/>
        </w:rPr>
        <w:t xml:space="preserve"> </w:t>
      </w:r>
      <w:r w:rsidR="00BD6C2B">
        <w:rPr>
          <w:rFonts w:ascii="Times New Roman" w:hAnsi="Times New Roman" w:cs="Times New Roman"/>
        </w:rPr>
        <w:t>NSDUH</w:t>
      </w:r>
      <w:r w:rsidRPr="006574D2">
        <w:rPr>
          <w:rFonts w:ascii="Times New Roman" w:hAnsi="Times New Roman" w:cs="Times New Roman"/>
        </w:rPr>
        <w:t xml:space="preserve">s, a sample of Census tracts </w:t>
      </w:r>
      <w:r w:rsidR="00C779D6">
        <w:rPr>
          <w:rFonts w:ascii="Times New Roman" w:hAnsi="Times New Roman" w:cs="Times New Roman"/>
        </w:rPr>
        <w:t>will be</w:t>
      </w:r>
      <w:r w:rsidRPr="006574D2">
        <w:rPr>
          <w:rFonts w:ascii="Times New Roman" w:hAnsi="Times New Roman" w:cs="Times New Roman"/>
        </w:rPr>
        <w:t xml:space="preserve"> selected. Then, within sampled Census tracts, Census block groups </w:t>
      </w:r>
      <w:r w:rsidR="00C779D6">
        <w:rPr>
          <w:rFonts w:ascii="Times New Roman" w:hAnsi="Times New Roman" w:cs="Times New Roman"/>
        </w:rPr>
        <w:t>or SSUs will be</w:t>
      </w:r>
      <w:r w:rsidRPr="006574D2">
        <w:rPr>
          <w:rFonts w:ascii="Times New Roman" w:hAnsi="Times New Roman" w:cs="Times New Roman"/>
        </w:rPr>
        <w:t xml:space="preserve"> selected. A total of </w:t>
      </w:r>
      <w:r w:rsidR="00C779D6">
        <w:rPr>
          <w:rFonts w:ascii="Times New Roman" w:hAnsi="Times New Roman" w:cs="Times New Roman"/>
        </w:rPr>
        <w:t>80</w:t>
      </w:r>
      <w:r w:rsidRPr="006574D2">
        <w:rPr>
          <w:rFonts w:ascii="Times New Roman" w:hAnsi="Times New Roman" w:cs="Times New Roman"/>
        </w:rPr>
        <w:t xml:space="preserve"> </w:t>
      </w:r>
      <w:r w:rsidR="00C779D6">
        <w:rPr>
          <w:rFonts w:ascii="Times New Roman" w:hAnsi="Times New Roman" w:cs="Times New Roman"/>
        </w:rPr>
        <w:t>SSUs</w:t>
      </w:r>
      <w:r w:rsidRPr="006574D2">
        <w:rPr>
          <w:rFonts w:ascii="Times New Roman" w:hAnsi="Times New Roman" w:cs="Times New Roman"/>
        </w:rPr>
        <w:t xml:space="preserve"> per SSR </w:t>
      </w:r>
      <w:r w:rsidR="00C779D6">
        <w:rPr>
          <w:rFonts w:ascii="Times New Roman" w:hAnsi="Times New Roman" w:cs="Times New Roman"/>
        </w:rPr>
        <w:t>will be</w:t>
      </w:r>
      <w:r w:rsidRPr="006574D2">
        <w:rPr>
          <w:rFonts w:ascii="Times New Roman" w:hAnsi="Times New Roman" w:cs="Times New Roman"/>
        </w:rPr>
        <w:t xml:space="preserve"> selected: </w:t>
      </w:r>
      <w:r w:rsidR="00C779D6">
        <w:rPr>
          <w:rFonts w:ascii="Times New Roman" w:hAnsi="Times New Roman" w:cs="Times New Roman"/>
        </w:rPr>
        <w:t>24</w:t>
      </w:r>
      <w:r w:rsidRPr="006574D2">
        <w:rPr>
          <w:rFonts w:ascii="Times New Roman" w:hAnsi="Times New Roman" w:cs="Times New Roman"/>
        </w:rPr>
        <w:t xml:space="preserve"> to field the </w:t>
      </w:r>
      <w:r w:rsidR="00C779D6">
        <w:rPr>
          <w:rFonts w:ascii="Times New Roman" w:hAnsi="Times New Roman" w:cs="Times New Roman"/>
        </w:rPr>
        <w:t>2025-2027</w:t>
      </w:r>
      <w:r w:rsidRPr="006574D2" w:rsidR="00CB5691">
        <w:rPr>
          <w:rFonts w:ascii="Times New Roman" w:hAnsi="Times New Roman" w:cs="Times New Roman"/>
        </w:rPr>
        <w:t xml:space="preserve"> </w:t>
      </w:r>
      <w:r w:rsidRPr="006574D2">
        <w:rPr>
          <w:rFonts w:ascii="Times New Roman" w:hAnsi="Times New Roman" w:cs="Times New Roman"/>
        </w:rPr>
        <w:t xml:space="preserve">surveys and </w:t>
      </w:r>
      <w:r w:rsidR="00C779D6">
        <w:rPr>
          <w:rFonts w:ascii="Times New Roman" w:hAnsi="Times New Roman" w:cs="Times New Roman"/>
        </w:rPr>
        <w:t>56</w:t>
      </w:r>
      <w:r w:rsidRPr="006574D2">
        <w:rPr>
          <w:rFonts w:ascii="Times New Roman" w:hAnsi="Times New Roman" w:cs="Times New Roman"/>
        </w:rPr>
        <w:t xml:space="preserve"> </w:t>
      </w:r>
      <w:r w:rsidRPr="006574D2" w:rsidR="0036671F">
        <w:rPr>
          <w:rFonts w:ascii="Times New Roman" w:hAnsi="Times New Roman" w:cs="Times New Roman"/>
        </w:rPr>
        <w:t xml:space="preserve">“reserve” </w:t>
      </w:r>
      <w:r w:rsidR="00C779D6">
        <w:rPr>
          <w:rFonts w:ascii="Times New Roman" w:hAnsi="Times New Roman" w:cs="Times New Roman"/>
        </w:rPr>
        <w:t>SSUs to carry the sample through the next decennial census, if desired</w:t>
      </w:r>
      <w:r w:rsidRPr="006574D2" w:rsidR="0036671F">
        <w:rPr>
          <w:rFonts w:ascii="Times New Roman" w:hAnsi="Times New Roman" w:cs="Times New Roman"/>
        </w:rPr>
        <w:t>.</w:t>
      </w:r>
      <w:r w:rsidRPr="006574D2">
        <w:rPr>
          <w:rFonts w:ascii="Times New Roman" w:hAnsi="Times New Roman" w:cs="Times New Roman"/>
        </w:rPr>
        <w:t xml:space="preserve"> </w:t>
      </w:r>
      <w:r w:rsidRPr="00FD23DF">
        <w:rPr>
          <w:rFonts w:ascii="Times New Roman" w:hAnsi="Times New Roman" w:cs="Times New Roman"/>
        </w:rPr>
        <w:t xml:space="preserve"> </w:t>
      </w:r>
    </w:p>
    <w:p w:rsidR="00501DD2" w:rsidRPr="00FD23DF" w:rsidP="00703946" w14:paraId="58CB6A27" w14:textId="064802F4">
      <w:pPr>
        <w:pStyle w:val="BodyText"/>
        <w:rPr>
          <w:rFonts w:ascii="Times New Roman" w:hAnsi="Times New Roman" w:cs="Times New Roman"/>
        </w:rPr>
      </w:pPr>
      <w:r w:rsidRPr="00FD23DF">
        <w:rPr>
          <w:rFonts w:ascii="Times New Roman" w:hAnsi="Times New Roman" w:cs="Times New Roman"/>
        </w:rPr>
        <w:t xml:space="preserve">In summary, the first-stage stratification for the </w:t>
      </w:r>
      <w:r w:rsidR="00C779D6">
        <w:rPr>
          <w:rFonts w:ascii="Times New Roman" w:hAnsi="Times New Roman" w:cs="Times New Roman"/>
        </w:rPr>
        <w:t>2025-2027</w:t>
      </w:r>
      <w:r w:rsidRPr="00FD23DF" w:rsidR="00CB5691">
        <w:rPr>
          <w:rFonts w:ascii="Times New Roman" w:hAnsi="Times New Roman" w:cs="Times New Roman"/>
        </w:rPr>
        <w:t xml:space="preserve"> </w:t>
      </w:r>
      <w:r w:rsidR="00BD6C2B">
        <w:rPr>
          <w:rFonts w:ascii="Times New Roman" w:hAnsi="Times New Roman" w:cs="Times New Roman"/>
        </w:rPr>
        <w:t>NSDUH</w:t>
      </w:r>
      <w:r w:rsidRPr="00FD23DF" w:rsidR="00CB5691">
        <w:rPr>
          <w:rFonts w:ascii="Times New Roman" w:hAnsi="Times New Roman" w:cs="Times New Roman"/>
        </w:rPr>
        <w:t xml:space="preserve">s </w:t>
      </w:r>
      <w:r w:rsidRPr="00FD23DF">
        <w:rPr>
          <w:rFonts w:ascii="Times New Roman" w:hAnsi="Times New Roman" w:cs="Times New Roman"/>
        </w:rPr>
        <w:t xml:space="preserve">is </w:t>
      </w:r>
      <w:r w:rsidRPr="00FD23DF" w:rsidR="00CB5691">
        <w:rPr>
          <w:rFonts w:ascii="Times New Roman" w:hAnsi="Times New Roman" w:cs="Times New Roman"/>
        </w:rPr>
        <w:t xml:space="preserve">states </w:t>
      </w:r>
      <w:r w:rsidRPr="00FD23DF">
        <w:rPr>
          <w:rFonts w:ascii="Times New Roman" w:hAnsi="Times New Roman" w:cs="Times New Roman"/>
        </w:rPr>
        <w:t xml:space="preserve">and SSRs within </w:t>
      </w:r>
      <w:r w:rsidRPr="00FD23DF" w:rsidR="00CB5691">
        <w:rPr>
          <w:rFonts w:ascii="Times New Roman" w:hAnsi="Times New Roman" w:cs="Times New Roman"/>
        </w:rPr>
        <w:t>states</w:t>
      </w:r>
      <w:r w:rsidRPr="00FD23DF">
        <w:rPr>
          <w:rFonts w:ascii="Times New Roman" w:hAnsi="Times New Roman" w:cs="Times New Roman"/>
        </w:rPr>
        <w:t xml:space="preserve">, the first-stage sampling units are Census tracts, </w:t>
      </w:r>
      <w:r w:rsidR="00C779D6">
        <w:rPr>
          <w:rFonts w:ascii="Times New Roman" w:hAnsi="Times New Roman" w:cs="Times New Roman"/>
        </w:rPr>
        <w:t xml:space="preserve">and </w:t>
      </w:r>
      <w:r w:rsidRPr="00FD23DF">
        <w:rPr>
          <w:rFonts w:ascii="Times New Roman" w:hAnsi="Times New Roman" w:cs="Times New Roman"/>
        </w:rPr>
        <w:t xml:space="preserve">the second-stage sampling units are Census block groups. This design for the </w:t>
      </w:r>
      <w:r w:rsidR="002C25F0">
        <w:rPr>
          <w:rFonts w:ascii="Times New Roman" w:hAnsi="Times New Roman" w:cs="Times New Roman"/>
        </w:rPr>
        <w:t>2025-2027</w:t>
      </w:r>
      <w:r w:rsidRPr="00FD23DF" w:rsidR="00CB5691">
        <w:rPr>
          <w:rFonts w:ascii="Times New Roman" w:hAnsi="Times New Roman" w:cs="Times New Roman"/>
        </w:rPr>
        <w:t xml:space="preserve"> </w:t>
      </w:r>
      <w:r w:rsidR="00BD6C2B">
        <w:rPr>
          <w:rFonts w:ascii="Times New Roman" w:hAnsi="Times New Roman" w:cs="Times New Roman"/>
        </w:rPr>
        <w:t>NSDUH</w:t>
      </w:r>
      <w:r w:rsidRPr="00FD23DF">
        <w:rPr>
          <w:rFonts w:ascii="Times New Roman" w:hAnsi="Times New Roman" w:cs="Times New Roman"/>
        </w:rPr>
        <w:t xml:space="preserve">s at the first stages of selection is desirable because of (a) the large person-level sample required at the latter stages of selection in the design and (b) continued interest among </w:t>
      </w:r>
      <w:r w:rsidR="00BD6C2B">
        <w:rPr>
          <w:rFonts w:ascii="Times New Roman" w:hAnsi="Times New Roman" w:cs="Times New Roman"/>
        </w:rPr>
        <w:t>NSDUH</w:t>
      </w:r>
      <w:r w:rsidRPr="00FD23DF" w:rsidR="00404580">
        <w:rPr>
          <w:rFonts w:ascii="Times New Roman" w:hAnsi="Times New Roman" w:cs="Times New Roman"/>
        </w:rPr>
        <w:t xml:space="preserve"> </w:t>
      </w:r>
      <w:r w:rsidRPr="00FD23DF">
        <w:rPr>
          <w:rFonts w:ascii="Times New Roman" w:hAnsi="Times New Roman" w:cs="Times New Roman"/>
        </w:rPr>
        <w:t xml:space="preserve">data users and policymakers in </w:t>
      </w:r>
      <w:r w:rsidRPr="00FD23DF" w:rsidR="00A43B40">
        <w:rPr>
          <w:rFonts w:ascii="Times New Roman" w:hAnsi="Times New Roman" w:cs="Times New Roman"/>
        </w:rPr>
        <w:t xml:space="preserve">state </w:t>
      </w:r>
      <w:r w:rsidRPr="00FD23DF">
        <w:rPr>
          <w:rFonts w:ascii="Times New Roman" w:hAnsi="Times New Roman" w:cs="Times New Roman"/>
        </w:rPr>
        <w:t>and other local-level statistics.</w:t>
      </w:r>
      <w:r w:rsidR="002C25F0">
        <w:rPr>
          <w:rFonts w:ascii="Times New Roman" w:hAnsi="Times New Roman" w:cs="Times New Roman"/>
        </w:rPr>
        <w:t xml:space="preserve"> Further, eliminating the selection of smaller area segments within SSUs increases precision by reducing intracluster correlation. </w:t>
      </w:r>
    </w:p>
    <w:p w:rsidR="00605DAC" w:rsidP="00703946" w14:paraId="0EB43C67" w14:textId="77777777">
      <w:pPr>
        <w:pStyle w:val="BodyText"/>
        <w:rPr>
          <w:rFonts w:ascii="Times New Roman" w:hAnsi="Times New Roman" w:cs="Times New Roman"/>
        </w:rPr>
      </w:pPr>
      <w:r>
        <w:t>T</w:t>
      </w:r>
      <w:r w:rsidR="00376C6C">
        <w:t>o construct dwelling unit frames for the fourth stage of sample selection</w:t>
      </w:r>
      <w:r>
        <w:rPr>
          <w:iCs/>
        </w:rPr>
        <w:t xml:space="preserve">, a </w:t>
      </w:r>
      <w:r w:rsidR="00376C6C">
        <w:rPr>
          <w:iCs/>
        </w:rPr>
        <w:t xml:space="preserve">combination of </w:t>
      </w:r>
      <w:r>
        <w:rPr>
          <w:iCs/>
        </w:rPr>
        <w:t>eListing</w:t>
      </w:r>
      <w:r w:rsidR="00376C6C">
        <w:rPr>
          <w:iCs/>
        </w:rPr>
        <w:t xml:space="preserve"> and </w:t>
      </w:r>
      <w:r>
        <w:rPr>
          <w:iCs/>
        </w:rPr>
        <w:t xml:space="preserve">ABS will be </w:t>
      </w:r>
      <w:r w:rsidR="00376C6C">
        <w:rPr>
          <w:iCs/>
        </w:rPr>
        <w:t>used</w:t>
      </w:r>
      <w:r w:rsidRPr="005E4E7C">
        <w:rPr>
          <w:iCs/>
        </w:rPr>
        <w:t xml:space="preserve">. </w:t>
      </w:r>
      <w:r w:rsidRPr="00912E87">
        <w:t xml:space="preserve">ABS refers to the sampling of residential addresses from a list based on the U.S. Postal Service's Computerized Delivery Sequence file. </w:t>
      </w:r>
      <w:r w:rsidRPr="00A45694" w:rsidR="00376C6C">
        <w:t xml:space="preserve">Relative to </w:t>
      </w:r>
      <w:r w:rsidR="00376C6C">
        <w:t>field enumeration</w:t>
      </w:r>
      <w:r w:rsidRPr="00A45694" w:rsidR="00376C6C">
        <w:t>, ABS has the potential to greatly reduce costs</w:t>
      </w:r>
      <w:r w:rsidR="00376C6C">
        <w:t>,</w:t>
      </w:r>
      <w:r w:rsidRPr="00A45694" w:rsidR="00376C6C">
        <w:t xml:space="preserve"> improve timeliness</w:t>
      </w:r>
      <w:r w:rsidR="00376C6C">
        <w:t>, and improve frame accuracy in areas with controlled access</w:t>
      </w:r>
      <w:r w:rsidRPr="00A45694" w:rsidR="00376C6C">
        <w:t>.</w:t>
      </w:r>
      <w:r w:rsidR="00376C6C">
        <w:t xml:space="preserve"> However, ABS has some limitations. </w:t>
      </w:r>
      <w:r w:rsidRPr="00A45694" w:rsidR="00376C6C">
        <w:t>To maximize coverage and minimize costs, many studies use a hybrid ABS design</w:t>
      </w:r>
      <w:r w:rsidR="00376C6C">
        <w:t xml:space="preserve"> that uses both ABS and field enumeration, depending on the expected coverage of the ABS frame for particular areas.</w:t>
      </w:r>
      <w:r>
        <w:rPr>
          <w:rStyle w:val="FootnoteReference"/>
          <w:vertAlign w:val="superscript"/>
        </w:rPr>
        <w:footnoteReference w:id="2"/>
      </w:r>
      <w:r w:rsidRPr="00785836" w:rsidR="00376C6C">
        <w:rPr>
          <w:vertAlign w:val="superscript"/>
        </w:rPr>
        <w:t xml:space="preserve"> </w:t>
      </w:r>
    </w:p>
    <w:p w:rsidR="00785836" w:rsidRPr="00FD23DF" w:rsidP="00703946" w14:paraId="337DF3EA" w14:textId="50F99C42">
      <w:pPr>
        <w:pStyle w:val="BodyText"/>
        <w:rPr>
          <w:rFonts w:ascii="Times New Roman" w:hAnsi="Times New Roman" w:cs="Times New Roman"/>
        </w:rPr>
      </w:pPr>
      <w:r>
        <w:t xml:space="preserve">For the </w:t>
      </w:r>
      <w:r w:rsidR="0017577D">
        <w:t xml:space="preserve">2025 </w:t>
      </w:r>
      <w:r w:rsidR="00BD6C2B">
        <w:t>NSDUH</w:t>
      </w:r>
      <w:r>
        <w:t xml:space="preserve"> hybrid ABS design, ABS</w:t>
      </w:r>
      <w:r w:rsidRPr="001969D8">
        <w:t xml:space="preserve"> coverage estimates will</w:t>
      </w:r>
      <w:r>
        <w:t xml:space="preserve"> first</w:t>
      </w:r>
      <w:r w:rsidRPr="001969D8">
        <w:t xml:space="preserve"> be computed </w:t>
      </w:r>
      <w:r>
        <w:t>for</w:t>
      </w:r>
      <w:r w:rsidRPr="001969D8">
        <w:t xml:space="preserve"> </w:t>
      </w:r>
      <w:r>
        <w:t>all selected second-stage sampling units (SSUs; one or more census block groups)</w:t>
      </w:r>
      <w:r w:rsidRPr="001969D8">
        <w:t xml:space="preserve">. </w:t>
      </w:r>
      <w:r>
        <w:t>In addition to having high expected ABS coverage (9</w:t>
      </w:r>
      <w:r w:rsidR="0017577D">
        <w:t>0</w:t>
      </w:r>
      <w:r>
        <w:t xml:space="preserve"> percent or more), SSUs will be required to meet separate criteria for group quarters and drop points.</w:t>
      </w:r>
      <w:r>
        <w:rPr>
          <w:rStyle w:val="FootnoteReference"/>
          <w:vertAlign w:val="superscript"/>
        </w:rPr>
        <w:footnoteReference w:id="3"/>
      </w:r>
      <w:r w:rsidRPr="0037326F">
        <w:rPr>
          <w:vertAlign w:val="superscript"/>
        </w:rPr>
        <w:t xml:space="preserve"> </w:t>
      </w:r>
      <w:r>
        <w:t>SSUs</w:t>
      </w:r>
      <w:r w:rsidRPr="001969D8">
        <w:t xml:space="preserve"> </w:t>
      </w:r>
      <w:r>
        <w:t>that meet the</w:t>
      </w:r>
      <w:r w:rsidRPr="001969D8">
        <w:t xml:space="preserve"> ABS coverage</w:t>
      </w:r>
      <w:r>
        <w:t xml:space="preserve"> criteria</w:t>
      </w:r>
      <w:r w:rsidRPr="001969D8">
        <w:t xml:space="preserve"> w</w:t>
      </w:r>
      <w:r>
        <w:t>ill</w:t>
      </w:r>
      <w:r w:rsidRPr="001969D8">
        <w:t xml:space="preserve"> </w:t>
      </w:r>
      <w:r>
        <w:t>use the ABS frame</w:t>
      </w:r>
      <w:r w:rsidRPr="001969D8">
        <w:t xml:space="preserve">. </w:t>
      </w:r>
      <w:r>
        <w:t>SSUs</w:t>
      </w:r>
      <w:r w:rsidRPr="001969D8">
        <w:t xml:space="preserve"> </w:t>
      </w:r>
      <w:r>
        <w:t>that do not meet the</w:t>
      </w:r>
      <w:r w:rsidRPr="001969D8">
        <w:t xml:space="preserve"> ABS coverage</w:t>
      </w:r>
      <w:r>
        <w:t xml:space="preserve"> criteria</w:t>
      </w:r>
      <w:r w:rsidRPr="001969D8">
        <w:t xml:space="preserve"> w</w:t>
      </w:r>
      <w:r>
        <w:t>ill</w:t>
      </w:r>
      <w:r w:rsidRPr="001969D8">
        <w:t xml:space="preserve"> require </w:t>
      </w:r>
      <w:r w:rsidR="0017577D">
        <w:t>eListing</w:t>
      </w:r>
      <w:r w:rsidRPr="001969D8">
        <w:t xml:space="preserve">. </w:t>
      </w:r>
    </w:p>
    <w:p w:rsidR="00501DD2" w:rsidRPr="00FD23DF" w:rsidP="00703946" w14:paraId="02033034" w14:textId="66D5FE15">
      <w:pPr>
        <w:pStyle w:val="BodyText"/>
        <w:rPr>
          <w:rFonts w:ascii="Times New Roman" w:hAnsi="Times New Roman" w:cs="Times New Roman"/>
        </w:rPr>
      </w:pPr>
      <w:r w:rsidRPr="00FD23DF">
        <w:rPr>
          <w:rFonts w:ascii="Times New Roman" w:hAnsi="Times New Roman" w:cs="Times New Roman"/>
        </w:rPr>
        <w:t xml:space="preserve">Similar to previous </w:t>
      </w:r>
      <w:r w:rsidR="00BD6C2B">
        <w:rPr>
          <w:rFonts w:ascii="Times New Roman" w:hAnsi="Times New Roman" w:cs="Times New Roman"/>
        </w:rPr>
        <w:t>NSDUH</w:t>
      </w:r>
      <w:r w:rsidR="000F7FD7">
        <w:rPr>
          <w:rFonts w:ascii="Times New Roman" w:hAnsi="Times New Roman" w:cs="Times New Roman"/>
        </w:rPr>
        <w:t>s</w:t>
      </w:r>
      <w:r w:rsidRPr="00FD23DF">
        <w:rPr>
          <w:rFonts w:ascii="Times New Roman" w:hAnsi="Times New Roman" w:cs="Times New Roman"/>
        </w:rPr>
        <w:t xml:space="preserve">, at the latter stages of selection, five age group strata are sampled at different rates. These five strata are defined by the following age group classifications: 12 to 17, 18 to 25, 26 to 34, 35 to 49, and 50 or older. Adequate precision for race/ethnicity estimates at the national level is achieved with the larger sample size and the allocation to the age group strata. Consequently, race/ethnicity groups are not over-sampled. However, consistent with previous </w:t>
      </w:r>
      <w:r w:rsidR="00BD6C2B">
        <w:rPr>
          <w:rFonts w:ascii="Times New Roman" w:hAnsi="Times New Roman" w:cs="Times New Roman"/>
        </w:rPr>
        <w:t>NSDUH</w:t>
      </w:r>
      <w:r w:rsidRPr="00FD23DF">
        <w:rPr>
          <w:rFonts w:ascii="Times New Roman" w:hAnsi="Times New Roman" w:cs="Times New Roman"/>
        </w:rPr>
        <w:t xml:space="preserve">s, the </w:t>
      </w:r>
      <w:r w:rsidRPr="00FD23DF" w:rsidR="006574D2">
        <w:rPr>
          <w:rFonts w:ascii="Times New Roman" w:hAnsi="Times New Roman" w:cs="Times New Roman"/>
        </w:rPr>
        <w:t>202</w:t>
      </w:r>
      <w:r w:rsidR="0017577D">
        <w:rPr>
          <w:rFonts w:ascii="Times New Roman" w:hAnsi="Times New Roman" w:cs="Times New Roman"/>
        </w:rPr>
        <w:t>5</w:t>
      </w:r>
      <w:r w:rsidRPr="00FD23DF" w:rsidR="006574D2">
        <w:rPr>
          <w:rFonts w:ascii="Times New Roman" w:hAnsi="Times New Roman" w:cs="Times New Roman"/>
        </w:rPr>
        <w:t xml:space="preserve"> </w:t>
      </w:r>
      <w:r w:rsidR="00BD6C2B">
        <w:rPr>
          <w:rFonts w:ascii="Times New Roman" w:hAnsi="Times New Roman" w:cs="Times New Roman"/>
        </w:rPr>
        <w:t>NSDUH</w:t>
      </w:r>
      <w:r w:rsidRPr="00FD23DF">
        <w:rPr>
          <w:rFonts w:ascii="Times New Roman" w:hAnsi="Times New Roman" w:cs="Times New Roman"/>
        </w:rPr>
        <w:t xml:space="preserve"> is designed to over-sample the younger age groups.</w:t>
      </w:r>
    </w:p>
    <w:p w:rsidR="00B85063" w:rsidRPr="00FD1C24" w:rsidP="00703946" w14:paraId="4F5CE659" w14:textId="3657E8B5">
      <w:pPr>
        <w:pStyle w:val="BodyText"/>
        <w:rPr>
          <w:i/>
          <w:iCs/>
        </w:rPr>
      </w:pPr>
      <w:r w:rsidRPr="00FD23DF">
        <w:rPr>
          <w:rFonts w:ascii="Times New Roman" w:hAnsi="Times New Roman"/>
        </w:rPr>
        <w:t xml:space="preserve">In addition, all estimates ultimately released as </w:t>
      </w:r>
      <w:r w:rsidR="00BD6C2B">
        <w:rPr>
          <w:rFonts w:ascii="Times New Roman" w:hAnsi="Times New Roman"/>
        </w:rPr>
        <w:t>NSDUH</w:t>
      </w:r>
      <w:r w:rsidRPr="00FD23DF">
        <w:rPr>
          <w:rFonts w:ascii="Times New Roman" w:hAnsi="Times New Roman"/>
        </w:rPr>
        <w:t xml:space="preserve"> data must meet published precision levels. Through a thorough review of all data, any direct estimates from </w:t>
      </w:r>
      <w:r w:rsidR="00BD6C2B">
        <w:rPr>
          <w:rFonts w:ascii="Times New Roman" w:hAnsi="Times New Roman"/>
        </w:rPr>
        <w:t>NSDUH</w:t>
      </w:r>
      <w:r w:rsidRPr="00FD23DF">
        <w:rPr>
          <w:rFonts w:ascii="Times New Roman" w:hAnsi="Times New Roman"/>
        </w:rPr>
        <w:t xml:space="preserve"> designated as unreliable are not shown in reports or tables and are noted by </w:t>
      </w:r>
      <w:r w:rsidRPr="00FD23DF" w:rsidR="00D9569C">
        <w:rPr>
          <w:rFonts w:ascii="Times New Roman" w:hAnsi="Times New Roman"/>
        </w:rPr>
        <w:t xml:space="preserve">an </w:t>
      </w:r>
      <w:r w:rsidRPr="00FD23DF">
        <w:rPr>
          <w:rFonts w:ascii="Times New Roman" w:hAnsi="Times New Roman"/>
        </w:rPr>
        <w:t xml:space="preserve">asterisk (*). The criteria used to define unreliability of direct estimates from </w:t>
      </w:r>
      <w:r w:rsidR="00BD6C2B">
        <w:rPr>
          <w:rFonts w:ascii="Times New Roman" w:hAnsi="Times New Roman"/>
        </w:rPr>
        <w:t>NSDUH</w:t>
      </w:r>
      <w:r w:rsidRPr="00FD23DF">
        <w:rPr>
          <w:rFonts w:ascii="Times New Roman" w:hAnsi="Times New Roman"/>
        </w:rPr>
        <w:t xml:space="preserve"> is based on the prevalence (for proportion estimates), relative standard error (RSE) (defined as the ratio of the </w:t>
      </w:r>
      <w:r w:rsidRPr="00FD23DF" w:rsidR="00D9569C">
        <w:rPr>
          <w:rFonts w:ascii="Times New Roman" w:hAnsi="Times New Roman"/>
        </w:rPr>
        <w:t xml:space="preserve">standard error (SE) </w:t>
      </w:r>
      <w:r w:rsidRPr="00FD23DF">
        <w:rPr>
          <w:rFonts w:ascii="Times New Roman" w:hAnsi="Times New Roman"/>
        </w:rPr>
        <w:t xml:space="preserve">over the estimate), nominal (actual) sample size, and effective sample size for each estimate. These suppression criteria for various </w:t>
      </w:r>
      <w:r w:rsidR="00BD6C2B">
        <w:rPr>
          <w:rFonts w:ascii="Times New Roman" w:hAnsi="Times New Roman"/>
        </w:rPr>
        <w:t>NSDUH</w:t>
      </w:r>
      <w:r w:rsidRPr="00FD23DF" w:rsidR="00722098">
        <w:rPr>
          <w:rFonts w:ascii="Times New Roman" w:hAnsi="Times New Roman"/>
        </w:rPr>
        <w:t xml:space="preserve"> </w:t>
      </w:r>
      <w:r w:rsidRPr="00FD23DF">
        <w:rPr>
          <w:rFonts w:ascii="Times New Roman" w:hAnsi="Times New Roman"/>
        </w:rPr>
        <w:t>estimates are summarized in the table below.</w:t>
      </w:r>
      <w:r w:rsidRPr="00FD1C24">
        <w:rPr>
          <w:i/>
          <w:iCs/>
        </w:rPr>
        <w:t xml:space="preserve"> </w:t>
      </w:r>
    </w:p>
    <w:p w:rsidR="006473A0" w:rsidRPr="00FD23DF" w:rsidP="006473A0" w14:paraId="39FDCBA9" w14:textId="0F3469AE">
      <w:pPr>
        <w:pStyle w:val="BodyText"/>
        <w:rPr>
          <w:rFonts w:ascii="Times New Roman" w:hAnsi="Times New Roman"/>
          <w:b/>
          <w:bCs/>
        </w:rPr>
      </w:pPr>
      <w:bookmarkStart w:id="0" w:name="_Toc505339254"/>
      <w:r w:rsidRPr="00FD23DF">
        <w:rPr>
          <w:rFonts w:ascii="Times New Roman" w:hAnsi="Times New Roman"/>
          <w:b/>
          <w:bCs/>
        </w:rPr>
        <w:t xml:space="preserve">Summary of </w:t>
      </w:r>
      <w:r w:rsidR="00BD6C2B">
        <w:rPr>
          <w:rFonts w:ascii="Times New Roman" w:hAnsi="Times New Roman"/>
          <w:b/>
          <w:bCs/>
        </w:rPr>
        <w:t>NSDUH</w:t>
      </w:r>
      <w:r w:rsidRPr="00FD23DF" w:rsidR="00722098">
        <w:rPr>
          <w:rFonts w:ascii="Times New Roman" w:hAnsi="Times New Roman"/>
          <w:b/>
          <w:bCs/>
        </w:rPr>
        <w:t xml:space="preserve"> </w:t>
      </w:r>
      <w:r w:rsidRPr="00FD23DF">
        <w:rPr>
          <w:rFonts w:ascii="Times New Roman" w:hAnsi="Times New Roman"/>
          <w:b/>
          <w:bCs/>
        </w:rPr>
        <w:t>Suppression Rules</w:t>
      </w:r>
      <w:bookmarkEnd w:id="0"/>
    </w:p>
    <w:tbl>
      <w:tblPr>
        <w:tblW w:w="4620" w:type="pct"/>
        <w:tblInd w:w="710" w:type="dxa"/>
        <w:tblCellMar>
          <w:left w:w="0" w:type="dxa"/>
          <w:right w:w="0" w:type="dxa"/>
        </w:tblCellMar>
        <w:tblLook w:val="04A0"/>
      </w:tblPr>
      <w:tblGrid>
        <w:gridCol w:w="3240"/>
        <w:gridCol w:w="5390"/>
      </w:tblGrid>
      <w:tr w14:paraId="1311B365" w14:textId="77777777" w:rsidTr="003A3043">
        <w:tblPrEx>
          <w:tblW w:w="4620" w:type="pct"/>
          <w:tblInd w:w="710" w:type="dxa"/>
          <w:tblCellMar>
            <w:left w:w="0" w:type="dxa"/>
            <w:right w:w="0" w:type="dxa"/>
          </w:tblCellMar>
          <w:tblLook w:val="04A0"/>
        </w:tblPrEx>
        <w:trPr>
          <w:cantSplit/>
          <w:tblHeader/>
        </w:trPr>
        <w:tc>
          <w:tcPr>
            <w:tcW w:w="3240"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rsidR="006473A0" w:rsidRPr="00FD23DF" w:rsidP="003A3043" w14:paraId="587AEF61" w14:textId="77777777">
            <w:pPr>
              <w:pStyle w:val="BodyText"/>
              <w:rPr>
                <w:rFonts w:ascii="Times New Roman" w:hAnsi="Times New Roman"/>
                <w:b/>
                <w:bCs/>
              </w:rPr>
            </w:pPr>
            <w:r w:rsidRPr="00FD23DF">
              <w:rPr>
                <w:rFonts w:ascii="Times New Roman" w:hAnsi="Times New Roman"/>
                <w:b/>
                <w:bCs/>
              </w:rPr>
              <w:t>Estimate</w:t>
            </w:r>
          </w:p>
        </w:tc>
        <w:tc>
          <w:tcPr>
            <w:tcW w:w="5390" w:type="dxa"/>
            <w:tcBorders>
              <w:top w:val="single" w:sz="8" w:space="0" w:color="auto"/>
              <w:left w:val="nil"/>
              <w:bottom w:val="single" w:sz="8" w:space="0" w:color="auto"/>
              <w:right w:val="single" w:sz="8" w:space="0" w:color="auto"/>
            </w:tcBorders>
            <w:tcMar>
              <w:top w:w="0" w:type="dxa"/>
              <w:left w:w="115" w:type="dxa"/>
              <w:bottom w:w="0" w:type="dxa"/>
              <w:right w:w="115" w:type="dxa"/>
            </w:tcMar>
            <w:hideMark/>
          </w:tcPr>
          <w:p w:rsidR="006473A0" w:rsidRPr="00FD23DF" w:rsidP="003A3043" w14:paraId="7F3E4609" w14:textId="77777777">
            <w:pPr>
              <w:pStyle w:val="BodyText"/>
              <w:rPr>
                <w:rFonts w:ascii="Times New Roman" w:hAnsi="Times New Roman"/>
                <w:b/>
                <w:bCs/>
              </w:rPr>
            </w:pPr>
            <w:r w:rsidRPr="00FD23DF">
              <w:rPr>
                <w:rFonts w:ascii="Times New Roman" w:hAnsi="Times New Roman"/>
                <w:b/>
                <w:bCs/>
              </w:rPr>
              <w:t>Suppress if:</w:t>
            </w:r>
          </w:p>
        </w:tc>
      </w:tr>
      <w:tr w14:paraId="0B099806" w14:textId="77777777" w:rsidTr="003A3043">
        <w:tblPrEx>
          <w:tblW w:w="4620" w:type="pct"/>
          <w:tblInd w:w="710" w:type="dxa"/>
          <w:tblCellMar>
            <w:left w:w="0" w:type="dxa"/>
            <w:right w:w="0" w:type="dxa"/>
          </w:tblCellMar>
          <w:tblLook w:val="04A0"/>
        </w:tblPrEx>
        <w:trPr>
          <w:cantSplit/>
        </w:trPr>
        <w:tc>
          <w:tcPr>
            <w:tcW w:w="3240" w:type="dxa"/>
            <w:tcBorders>
              <w:top w:val="nil"/>
              <w:left w:val="single" w:sz="8" w:space="0" w:color="auto"/>
              <w:bottom w:val="single" w:sz="8" w:space="0" w:color="auto"/>
              <w:right w:val="single" w:sz="8" w:space="0" w:color="auto"/>
            </w:tcBorders>
            <w:tcMar>
              <w:top w:w="0" w:type="dxa"/>
              <w:left w:w="115" w:type="dxa"/>
              <w:bottom w:w="0" w:type="dxa"/>
              <w:right w:w="115" w:type="dxa"/>
            </w:tcMar>
          </w:tcPr>
          <w:p w:rsidR="006473A0" w:rsidRPr="00FD23DF" w:rsidP="003A3043" w14:paraId="291BE15D" w14:textId="77777777">
            <w:pPr>
              <w:pStyle w:val="BodyText"/>
              <w:ind w:left="0"/>
              <w:rPr>
                <w:rFonts w:ascii="Times New Roman" w:hAnsi="Times New Roman"/>
                <w:i/>
                <w:iCs/>
              </w:rPr>
            </w:pPr>
            <w:r w:rsidRPr="00FD23DF">
              <w:rPr>
                <w:rFonts w:ascii="Times New Roman" w:hAnsi="Times New Roman"/>
              </w:rPr>
              <w:t xml:space="preserve">Prevalence Estimate, </w:t>
            </w:r>
            <w:r w:rsidRPr="00FD23DF">
              <w:rPr>
                <w:rFonts w:ascii="Times New Roman" w:hAnsi="Times New Roman"/>
                <w:noProof/>
              </w:rPr>
              <w:drawing>
                <wp:inline distT="0" distB="0" distL="0" distR="0">
                  <wp:extent cx="118745" cy="189865"/>
                  <wp:effectExtent l="0" t="0" r="0" b="635"/>
                  <wp:docPr id="14" name="Picture 14" descr="p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7" descr="p hat"/>
                          <pic:cNvPicPr>
                            <a:picLocks noChangeAspect="1" noChangeArrowheads="1"/>
                          </pic:cNvPicPr>
                        </pic:nvPicPr>
                        <pic:blipFill>
                          <a:blip xmlns:r="http://schemas.openxmlformats.org/officeDocument/2006/relationships" r:embed="rId9" r:link="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745" cy="189865"/>
                          </a:xfrm>
                          <a:prstGeom prst="rect">
                            <a:avLst/>
                          </a:prstGeom>
                          <a:noFill/>
                          <a:ln>
                            <a:noFill/>
                          </a:ln>
                        </pic:spPr>
                      </pic:pic>
                    </a:graphicData>
                  </a:graphic>
                </wp:inline>
              </w:drawing>
            </w:r>
            <w:r w:rsidRPr="00FD23DF">
              <w:rPr>
                <w:rFonts w:ascii="Times New Roman" w:hAnsi="Times New Roman"/>
              </w:rPr>
              <w:t xml:space="preserve">, with Nominal Sample Size, </w:t>
            </w:r>
            <w:r w:rsidRPr="00FD23DF">
              <w:rPr>
                <w:rFonts w:ascii="Times New Roman" w:hAnsi="Times New Roman"/>
                <w:i/>
                <w:iCs/>
              </w:rPr>
              <w:t>n</w:t>
            </w:r>
            <w:r w:rsidRPr="00FD23DF">
              <w:rPr>
                <w:rFonts w:ascii="Times New Roman" w:hAnsi="Times New Roman"/>
              </w:rPr>
              <w:t xml:space="preserve">, and Design Effect, </w:t>
            </w:r>
            <w:r w:rsidRPr="00FD23DF">
              <w:rPr>
                <w:rFonts w:ascii="Times New Roman" w:hAnsi="Times New Roman"/>
                <w:i/>
                <w:iCs/>
              </w:rPr>
              <w:t>deff</w:t>
            </w:r>
          </w:p>
          <w:p w:rsidR="006473A0" w:rsidRPr="00FD23DF" w:rsidP="003A3043" w14:paraId="2DA1850D" w14:textId="77777777">
            <w:pPr>
              <w:pStyle w:val="BodyText"/>
              <w:ind w:left="0"/>
              <w:rPr>
                <w:rFonts w:ascii="Times New Roman" w:hAnsi="Times New Roman"/>
              </w:rPr>
            </w:pPr>
            <w:r w:rsidRPr="00FD23DF">
              <w:rPr>
                <w:rFonts w:ascii="Times New Roman" w:hAnsi="Times New Roman"/>
                <w:i/>
                <w:iCs/>
                <w:noProof/>
              </w:rPr>
              <w:drawing>
                <wp:inline distT="0" distB="0" distL="0" distR="0">
                  <wp:extent cx="1045210" cy="415925"/>
                  <wp:effectExtent l="0" t="0" r="2540" b="3175"/>
                  <wp:docPr id="13" name="Picture 13" descr="Design effect is equal to the quantity of n times the standard error of p hat squared divided by the quantity of p hat times 1 minus p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6" descr="Design effect is equal to the quantity of n times the standard error of p hat squared divided by the quantity of p hat times 1 minus p hat."/>
                          <pic:cNvPicPr>
                            <a:picLocks noChangeAspect="1" noChangeArrowheads="1"/>
                          </pic:cNvPicPr>
                        </pic:nvPicPr>
                        <pic:blipFill>
                          <a:blip xmlns:r="http://schemas.openxmlformats.org/officeDocument/2006/relationships" r:embed="rId11" r:link="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45210" cy="415925"/>
                          </a:xfrm>
                          <a:prstGeom prst="rect">
                            <a:avLst/>
                          </a:prstGeom>
                          <a:noFill/>
                          <a:ln>
                            <a:noFill/>
                          </a:ln>
                        </pic:spPr>
                      </pic:pic>
                    </a:graphicData>
                  </a:graphic>
                </wp:inline>
              </w:drawing>
            </w:r>
          </w:p>
          <w:p w:rsidR="006473A0" w:rsidRPr="00FD23DF" w:rsidP="003A3043" w14:paraId="287A1C84" w14:textId="77777777">
            <w:pPr>
              <w:pStyle w:val="BodyText"/>
              <w:ind w:left="0"/>
              <w:rPr>
                <w:rFonts w:ascii="Times New Roman" w:hAnsi="Times New Roman"/>
                <w:i/>
                <w:iCs/>
              </w:rPr>
            </w:pPr>
          </w:p>
          <w:p w:rsidR="006473A0" w:rsidRPr="00FD23DF" w:rsidP="003A3043" w14:paraId="6FA4B0CB" w14:textId="77777777">
            <w:pPr>
              <w:pStyle w:val="BodyText"/>
              <w:ind w:left="0"/>
              <w:rPr>
                <w:rFonts w:ascii="Times New Roman" w:hAnsi="Times New Roman"/>
              </w:rPr>
            </w:pPr>
          </w:p>
        </w:tc>
        <w:tc>
          <w:tcPr>
            <w:tcW w:w="5390" w:type="dxa"/>
            <w:tcBorders>
              <w:top w:val="nil"/>
              <w:left w:val="nil"/>
              <w:bottom w:val="single" w:sz="8" w:space="0" w:color="auto"/>
              <w:right w:val="single" w:sz="8" w:space="0" w:color="auto"/>
            </w:tcBorders>
            <w:tcMar>
              <w:top w:w="0" w:type="dxa"/>
              <w:left w:w="115" w:type="dxa"/>
              <w:bottom w:w="0" w:type="dxa"/>
              <w:right w:w="115" w:type="dxa"/>
            </w:tcMar>
            <w:hideMark/>
          </w:tcPr>
          <w:p w:rsidR="006473A0" w:rsidRPr="00FD23DF" w:rsidP="003A3043" w14:paraId="1C1F4878" w14:textId="77777777">
            <w:pPr>
              <w:pStyle w:val="BodyText"/>
              <w:ind w:left="-26"/>
              <w:rPr>
                <w:rFonts w:ascii="Times New Roman" w:hAnsi="Times New Roman"/>
              </w:rPr>
            </w:pPr>
            <w:r w:rsidRPr="00FD23DF">
              <w:rPr>
                <w:rFonts w:ascii="Times New Roman" w:hAnsi="Times New Roman"/>
              </w:rPr>
              <w:t xml:space="preserve">(1) The estimated prevalence estimate, </w:t>
            </w:r>
            <w:r w:rsidRPr="00FD23DF">
              <w:rPr>
                <w:rFonts w:ascii="Times New Roman" w:hAnsi="Times New Roman"/>
                <w:noProof/>
              </w:rPr>
              <w:drawing>
                <wp:inline distT="0" distB="0" distL="0" distR="0">
                  <wp:extent cx="118745" cy="189865"/>
                  <wp:effectExtent l="0" t="0" r="0" b="635"/>
                  <wp:docPr id="12" name="Picture 12" descr="p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5" descr="p hat"/>
                          <pic:cNvPicPr>
                            <a:picLocks noChangeAspect="1" noChangeArrowheads="1"/>
                          </pic:cNvPicPr>
                        </pic:nvPicPr>
                        <pic:blipFill>
                          <a:blip xmlns:r="http://schemas.openxmlformats.org/officeDocument/2006/relationships" r:embed="rId9" r:link="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745" cy="189865"/>
                          </a:xfrm>
                          <a:prstGeom prst="rect">
                            <a:avLst/>
                          </a:prstGeom>
                          <a:noFill/>
                          <a:ln>
                            <a:noFill/>
                          </a:ln>
                        </pic:spPr>
                      </pic:pic>
                    </a:graphicData>
                  </a:graphic>
                </wp:inline>
              </w:drawing>
            </w:r>
            <w:r w:rsidRPr="00FD23DF">
              <w:rPr>
                <w:rFonts w:ascii="Times New Roman" w:hAnsi="Times New Roman"/>
              </w:rPr>
              <w:t>, is &lt; 0.00005 or &gt; 0.99995, or</w:t>
            </w:r>
          </w:p>
          <w:p w:rsidR="006473A0" w:rsidRPr="00FD23DF" w:rsidP="003A3043" w14:paraId="772BECA5" w14:textId="77777777">
            <w:pPr>
              <w:pStyle w:val="BodyText"/>
              <w:ind w:left="-26"/>
              <w:rPr>
                <w:rFonts w:ascii="Times New Roman" w:hAnsi="Times New Roman"/>
              </w:rPr>
            </w:pPr>
            <w:r w:rsidRPr="00FD23DF">
              <w:rPr>
                <w:rFonts w:ascii="Times New Roman" w:hAnsi="Times New Roman"/>
              </w:rPr>
              <w:t xml:space="preserve">(2) </w:t>
            </w:r>
            <w:r w:rsidRPr="00FD23DF">
              <w:rPr>
                <w:rFonts w:ascii="Times New Roman" w:hAnsi="Times New Roman"/>
                <w:i/>
                <w:iCs/>
                <w:noProof/>
              </w:rPr>
              <w:drawing>
                <wp:inline distT="0" distB="0" distL="0" distR="0">
                  <wp:extent cx="1033145" cy="379730"/>
                  <wp:effectExtent l="0" t="0" r="0" b="1270"/>
                  <wp:docPr id="11" name="Picture 11" descr="The ratio of two quantities is greater than .175. The numerator of the ratio is the standard error of p hat divided by p hat. The denominator is the negative of the natural logarithm of p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4" descr="The ratio of two quantities is greater than .175. The numerator of the ratio is the standard error of p hat divided by p hat. The denominator is the negative of the natural logarithm of p hat."/>
                          <pic:cNvPicPr>
                            <a:picLocks noChangeAspect="1" noChangeArrowheads="1"/>
                          </pic:cNvPicPr>
                        </pic:nvPicPr>
                        <pic:blipFill>
                          <a:blip xmlns:r="http://schemas.openxmlformats.org/officeDocument/2006/relationships" r:embed="rId13" r:link="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3145" cy="379730"/>
                          </a:xfrm>
                          <a:prstGeom prst="rect">
                            <a:avLst/>
                          </a:prstGeom>
                          <a:noFill/>
                          <a:ln>
                            <a:noFill/>
                          </a:ln>
                        </pic:spPr>
                      </pic:pic>
                    </a:graphicData>
                  </a:graphic>
                </wp:inline>
              </w:drawing>
            </w:r>
            <w:r w:rsidRPr="00FD23DF">
              <w:rPr>
                <w:rFonts w:ascii="Times New Roman" w:hAnsi="Times New Roman"/>
              </w:rPr>
              <w:t xml:space="preserve">when </w:t>
            </w:r>
            <w:r w:rsidRPr="00FD23DF">
              <w:rPr>
                <w:rFonts w:ascii="Times New Roman" w:hAnsi="Times New Roman"/>
                <w:noProof/>
              </w:rPr>
              <w:drawing>
                <wp:inline distT="0" distB="0" distL="0" distR="0">
                  <wp:extent cx="415925" cy="189865"/>
                  <wp:effectExtent l="0" t="0" r="3175" b="635"/>
                  <wp:docPr id="10" name="Picture 10" descr="p hat is less than or equal t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3" descr="p hat is less than or equal to .5"/>
                          <pic:cNvPicPr>
                            <a:picLocks noChangeAspect="1" noChangeArrowheads="1"/>
                          </pic:cNvPicPr>
                        </pic:nvPicPr>
                        <pic:blipFill>
                          <a:blip xmlns:r="http://schemas.openxmlformats.org/officeDocument/2006/relationships" r:embed="rId15" r:link="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5925" cy="189865"/>
                          </a:xfrm>
                          <a:prstGeom prst="rect">
                            <a:avLst/>
                          </a:prstGeom>
                          <a:noFill/>
                          <a:ln>
                            <a:noFill/>
                          </a:ln>
                        </pic:spPr>
                      </pic:pic>
                    </a:graphicData>
                  </a:graphic>
                </wp:inline>
              </w:drawing>
            </w:r>
            <w:r w:rsidRPr="00FD23DF">
              <w:rPr>
                <w:rFonts w:ascii="Times New Roman" w:hAnsi="Times New Roman"/>
              </w:rPr>
              <w:t>, or</w:t>
            </w:r>
          </w:p>
          <w:p w:rsidR="006473A0" w:rsidRPr="00FD23DF" w:rsidP="003A3043" w14:paraId="6B2279F6" w14:textId="77777777">
            <w:pPr>
              <w:pStyle w:val="BodyText"/>
              <w:ind w:left="-26"/>
              <w:rPr>
                <w:rFonts w:ascii="Times New Roman" w:hAnsi="Times New Roman"/>
              </w:rPr>
            </w:pPr>
            <w:r w:rsidRPr="00FD23DF">
              <w:rPr>
                <w:rFonts w:ascii="Times New Roman" w:hAnsi="Times New Roman"/>
                <w:noProof/>
              </w:rPr>
              <w:drawing>
                <wp:inline distT="0" distB="0" distL="0" distR="0">
                  <wp:extent cx="1247140" cy="368300"/>
                  <wp:effectExtent l="0" t="0" r="0" b="0"/>
                  <wp:docPr id="9" name="Picture 9" descr="The ratio of two quantities is greater than .175. The numerator of the ratio is the standard error of p hat divided by 1 minus p hat. The denominator is the negative of the natural logarithm of the quantity 1 minus p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2" descr="The ratio of two quantities is greater than .175. The numerator of the ratio is the standard error of p hat divided by 1 minus p hat. The denominator is the negative of the natural logarithm of the quantity 1 minus p hat."/>
                          <pic:cNvPicPr>
                            <a:picLocks noChangeAspect="1" noChangeArrowheads="1"/>
                          </pic:cNvPicPr>
                        </pic:nvPicPr>
                        <pic:blipFill>
                          <a:blip xmlns:r="http://schemas.openxmlformats.org/officeDocument/2006/relationships" r:embed="rId17" r:link="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47140" cy="368300"/>
                          </a:xfrm>
                          <a:prstGeom prst="rect">
                            <a:avLst/>
                          </a:prstGeom>
                          <a:noFill/>
                          <a:ln>
                            <a:noFill/>
                          </a:ln>
                        </pic:spPr>
                      </pic:pic>
                    </a:graphicData>
                  </a:graphic>
                </wp:inline>
              </w:drawing>
            </w:r>
            <w:r w:rsidRPr="00FD23DF">
              <w:rPr>
                <w:rFonts w:ascii="Times New Roman" w:hAnsi="Times New Roman"/>
              </w:rPr>
              <w:t xml:space="preserve">when </w:t>
            </w:r>
            <w:r w:rsidRPr="00FD23DF">
              <w:rPr>
                <w:rFonts w:ascii="Times New Roman" w:hAnsi="Times New Roman"/>
                <w:noProof/>
              </w:rPr>
              <w:drawing>
                <wp:inline distT="0" distB="0" distL="0" distR="0">
                  <wp:extent cx="451485" cy="189865"/>
                  <wp:effectExtent l="0" t="0" r="5715" b="635"/>
                  <wp:docPr id="8" name="Picture 8" descr="p hat is greater tha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1" descr="p hat is greater than .5"/>
                          <pic:cNvPicPr>
                            <a:picLocks noChangeAspect="1" noChangeArrowheads="1"/>
                          </pic:cNvPicPr>
                        </pic:nvPicPr>
                        <pic:blipFill>
                          <a:blip xmlns:r="http://schemas.openxmlformats.org/officeDocument/2006/relationships" r:embed="rId19" r:link="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51485" cy="189865"/>
                          </a:xfrm>
                          <a:prstGeom prst="rect">
                            <a:avLst/>
                          </a:prstGeom>
                          <a:noFill/>
                          <a:ln>
                            <a:noFill/>
                          </a:ln>
                        </pic:spPr>
                      </pic:pic>
                    </a:graphicData>
                  </a:graphic>
                </wp:inline>
              </w:drawing>
            </w:r>
            <w:r w:rsidRPr="00FD23DF">
              <w:rPr>
                <w:rFonts w:ascii="Times New Roman" w:hAnsi="Times New Roman"/>
              </w:rPr>
              <w:t>, or</w:t>
            </w:r>
          </w:p>
          <w:p w:rsidR="006473A0" w:rsidRPr="00FD23DF" w:rsidP="003A3043" w14:paraId="24ADD4AB" w14:textId="77777777">
            <w:pPr>
              <w:pStyle w:val="BodyText"/>
              <w:ind w:left="-26"/>
              <w:rPr>
                <w:rFonts w:ascii="Times New Roman" w:hAnsi="Times New Roman"/>
              </w:rPr>
            </w:pPr>
            <w:r w:rsidRPr="00FD23DF">
              <w:rPr>
                <w:rFonts w:ascii="Times New Roman" w:hAnsi="Times New Roman"/>
              </w:rPr>
              <w:t xml:space="preserve">(3) Effective </w:t>
            </w:r>
            <w:r w:rsidRPr="00FD23DF">
              <w:rPr>
                <w:rFonts w:ascii="Times New Roman" w:hAnsi="Times New Roman"/>
                <w:i/>
                <w:iCs/>
              </w:rPr>
              <w:t>n</w:t>
            </w:r>
            <w:r w:rsidRPr="00FD23DF">
              <w:rPr>
                <w:rFonts w:ascii="Times New Roman" w:hAnsi="Times New Roman"/>
              </w:rPr>
              <w:t xml:space="preserve"> &lt; 68, where </w:t>
            </w:r>
            <w:r w:rsidRPr="00FD23DF">
              <w:rPr>
                <w:rFonts w:ascii="Times New Roman" w:hAnsi="Times New Roman"/>
                <w:noProof/>
              </w:rPr>
              <w:drawing>
                <wp:inline distT="0" distB="0" distL="0" distR="0">
                  <wp:extent cx="1638935" cy="415925"/>
                  <wp:effectExtent l="0" t="0" r="0" b="3175"/>
                  <wp:docPr id="7" name="Picture 7" descr="Effective n is the ratio of n over the design effect, which is equal to the quantity of p hat times 1 minus p hat divided by the quantity of n times the standard error of p hat squ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0" descr="Effective n is the ratio of n over the design effect, which is equal to the quantity of p hat times 1 minus p hat divided by the quantity of n times the standard error of p hat squared."/>
                          <pic:cNvPicPr>
                            <a:picLocks noChangeAspect="1" noChangeArrowheads="1"/>
                          </pic:cNvPicPr>
                        </pic:nvPicPr>
                        <pic:blipFill>
                          <a:blip xmlns:r="http://schemas.openxmlformats.org/officeDocument/2006/relationships" r:embed="rId21" r:link="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935" cy="415925"/>
                          </a:xfrm>
                          <a:prstGeom prst="rect">
                            <a:avLst/>
                          </a:prstGeom>
                          <a:noFill/>
                          <a:ln>
                            <a:noFill/>
                          </a:ln>
                        </pic:spPr>
                      </pic:pic>
                    </a:graphicData>
                  </a:graphic>
                </wp:inline>
              </w:drawing>
            </w:r>
            <w:r w:rsidRPr="00FD23DF">
              <w:rPr>
                <w:rFonts w:ascii="Times New Roman" w:hAnsi="Times New Roman"/>
              </w:rPr>
              <w:t> or</w:t>
            </w:r>
          </w:p>
          <w:p w:rsidR="006473A0" w:rsidRPr="00FD23DF" w:rsidP="003A3043" w14:paraId="3BC4792A" w14:textId="77777777">
            <w:pPr>
              <w:pStyle w:val="BodyText"/>
              <w:ind w:left="-26"/>
              <w:rPr>
                <w:rFonts w:ascii="Times New Roman" w:hAnsi="Times New Roman"/>
              </w:rPr>
            </w:pPr>
            <w:r w:rsidRPr="00FD23DF">
              <w:rPr>
                <w:rFonts w:ascii="Times New Roman" w:hAnsi="Times New Roman"/>
              </w:rPr>
              <w:t xml:space="preserve">(4) </w:t>
            </w:r>
            <w:r w:rsidRPr="00FD23DF">
              <w:rPr>
                <w:rFonts w:ascii="Times New Roman" w:hAnsi="Times New Roman"/>
                <w:i/>
                <w:iCs/>
              </w:rPr>
              <w:t>n</w:t>
            </w:r>
            <w:r w:rsidRPr="00FD23DF">
              <w:rPr>
                <w:rFonts w:ascii="Times New Roman" w:hAnsi="Times New Roman"/>
              </w:rPr>
              <w:t xml:space="preserve"> &lt; 100.</w:t>
            </w:r>
          </w:p>
          <w:p w:rsidR="006473A0" w:rsidRPr="00FD23DF" w:rsidP="003A3043" w14:paraId="7B692050" w14:textId="77777777">
            <w:pPr>
              <w:pStyle w:val="BodyText"/>
              <w:ind w:left="-26"/>
              <w:rPr>
                <w:rFonts w:ascii="Times New Roman" w:hAnsi="Times New Roman"/>
              </w:rPr>
            </w:pPr>
            <w:r w:rsidRPr="00FD23DF">
              <w:rPr>
                <w:rFonts w:ascii="Times New Roman" w:hAnsi="Times New Roman"/>
              </w:rPr>
              <w:t>Note: The rounding portion of this suppression rule for prevalence estimates will produce some estimates that round at one decimal place to 0.0 or 100.0 percent but are not suppressed from the tables.</w:t>
            </w:r>
            <w:r w:rsidRPr="00FD23DF">
              <w:rPr>
                <w:rFonts w:ascii="Times New Roman" w:hAnsi="Times New Roman"/>
                <w:vertAlign w:val="superscript"/>
              </w:rPr>
              <w:t>2</w:t>
            </w:r>
          </w:p>
        </w:tc>
      </w:tr>
      <w:tr w14:paraId="340D8786" w14:textId="77777777" w:rsidTr="003A3043">
        <w:tblPrEx>
          <w:tblW w:w="4620" w:type="pct"/>
          <w:tblInd w:w="710" w:type="dxa"/>
          <w:tblCellMar>
            <w:left w:w="0" w:type="dxa"/>
            <w:right w:w="0" w:type="dxa"/>
          </w:tblCellMar>
          <w:tblLook w:val="04A0"/>
        </w:tblPrEx>
        <w:trPr>
          <w:cantSplit/>
        </w:trPr>
        <w:tc>
          <w:tcPr>
            <w:tcW w:w="3240" w:type="dxa"/>
            <w:tcBorders>
              <w:top w:val="nil"/>
              <w:left w:val="single" w:sz="8" w:space="0" w:color="auto"/>
              <w:bottom w:val="single" w:sz="8" w:space="0" w:color="auto"/>
              <w:right w:val="single" w:sz="8" w:space="0" w:color="auto"/>
            </w:tcBorders>
            <w:tcMar>
              <w:top w:w="0" w:type="dxa"/>
              <w:left w:w="115" w:type="dxa"/>
              <w:bottom w:w="0" w:type="dxa"/>
              <w:right w:w="115" w:type="dxa"/>
            </w:tcMar>
          </w:tcPr>
          <w:p w:rsidR="006473A0" w:rsidRPr="00FD23DF" w:rsidP="003A3043" w14:paraId="0A19D482" w14:textId="77777777">
            <w:pPr>
              <w:pStyle w:val="BodyText"/>
              <w:ind w:left="0"/>
              <w:rPr>
                <w:rFonts w:ascii="Times New Roman" w:hAnsi="Times New Roman"/>
              </w:rPr>
            </w:pPr>
          </w:p>
          <w:p w:rsidR="006473A0" w:rsidRPr="00FD23DF" w:rsidP="003A3043" w14:paraId="1BFA26CB" w14:textId="77777777">
            <w:pPr>
              <w:pStyle w:val="BodyText"/>
              <w:ind w:left="0"/>
              <w:rPr>
                <w:rFonts w:ascii="Times New Roman" w:hAnsi="Times New Roman"/>
              </w:rPr>
            </w:pPr>
            <w:r w:rsidRPr="00FD23DF">
              <w:rPr>
                <w:rFonts w:ascii="Times New Roman" w:hAnsi="Times New Roman"/>
              </w:rPr>
              <w:t>Estimated Number</w:t>
            </w:r>
          </w:p>
          <w:p w:rsidR="006473A0" w:rsidRPr="00FD23DF" w:rsidP="003A3043" w14:paraId="66AEE9A0" w14:textId="77777777">
            <w:pPr>
              <w:pStyle w:val="BodyText"/>
              <w:ind w:left="0"/>
              <w:rPr>
                <w:rFonts w:ascii="Times New Roman" w:hAnsi="Times New Roman"/>
              </w:rPr>
            </w:pPr>
            <w:r w:rsidRPr="00FD23DF">
              <w:rPr>
                <w:rFonts w:ascii="Times New Roman" w:hAnsi="Times New Roman"/>
              </w:rPr>
              <w:t xml:space="preserve">(Numerator of </w:t>
            </w:r>
            <w:r w:rsidRPr="00FD23DF">
              <w:rPr>
                <w:rFonts w:ascii="Times New Roman" w:hAnsi="Times New Roman"/>
                <w:noProof/>
              </w:rPr>
              <w:drawing>
                <wp:inline distT="0" distB="0" distL="0" distR="0">
                  <wp:extent cx="106680" cy="189865"/>
                  <wp:effectExtent l="0" t="0" r="7620" b="635"/>
                  <wp:docPr id="6" name="Picture 6" descr="p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9" descr="p hat"/>
                          <pic:cNvPicPr>
                            <a:picLocks noChangeAspect="1" noChangeArrowheads="1"/>
                          </pic:cNvPicPr>
                        </pic:nvPicPr>
                        <pic:blipFill>
                          <a:blip xmlns:r="http://schemas.openxmlformats.org/officeDocument/2006/relationships" r:embed="rId23" r:link="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6680" cy="189865"/>
                          </a:xfrm>
                          <a:prstGeom prst="rect">
                            <a:avLst/>
                          </a:prstGeom>
                          <a:noFill/>
                          <a:ln>
                            <a:noFill/>
                          </a:ln>
                        </pic:spPr>
                      </pic:pic>
                    </a:graphicData>
                  </a:graphic>
                </wp:inline>
              </w:drawing>
            </w:r>
            <w:r w:rsidRPr="00FD23DF">
              <w:rPr>
                <w:rFonts w:ascii="Times New Roman" w:hAnsi="Times New Roman"/>
              </w:rPr>
              <w:t>)</w:t>
            </w:r>
          </w:p>
        </w:tc>
        <w:tc>
          <w:tcPr>
            <w:tcW w:w="5390" w:type="dxa"/>
            <w:tcBorders>
              <w:top w:val="nil"/>
              <w:left w:val="nil"/>
              <w:bottom w:val="single" w:sz="8" w:space="0" w:color="auto"/>
              <w:right w:val="single" w:sz="8" w:space="0" w:color="auto"/>
            </w:tcBorders>
            <w:tcMar>
              <w:top w:w="0" w:type="dxa"/>
              <w:left w:w="115" w:type="dxa"/>
              <w:bottom w:w="0" w:type="dxa"/>
              <w:right w:w="115" w:type="dxa"/>
            </w:tcMar>
          </w:tcPr>
          <w:p w:rsidR="006473A0" w:rsidRPr="00FD23DF" w:rsidP="003A3043" w14:paraId="5F457B96" w14:textId="77777777">
            <w:pPr>
              <w:pStyle w:val="BodyText"/>
              <w:ind w:left="-26"/>
              <w:rPr>
                <w:rFonts w:ascii="Times New Roman" w:hAnsi="Times New Roman"/>
              </w:rPr>
            </w:pPr>
            <w:r w:rsidRPr="00FD23DF">
              <w:rPr>
                <w:rFonts w:ascii="Times New Roman" w:hAnsi="Times New Roman"/>
              </w:rPr>
              <w:t>The estimated prevalence estimate,</w:t>
            </w:r>
            <w:r w:rsidRPr="00FD23DF">
              <w:rPr>
                <w:rFonts w:ascii="Times New Roman" w:hAnsi="Times New Roman"/>
                <w:noProof/>
              </w:rPr>
              <w:drawing>
                <wp:inline distT="0" distB="0" distL="0" distR="0">
                  <wp:extent cx="118745" cy="189865"/>
                  <wp:effectExtent l="0" t="0" r="0" b="635"/>
                  <wp:docPr id="5" name="Picture 5" descr="p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8" descr="p hat"/>
                          <pic:cNvPicPr>
                            <a:picLocks noChangeAspect="1" noChangeArrowheads="1"/>
                          </pic:cNvPicPr>
                        </pic:nvPicPr>
                        <pic:blipFill>
                          <a:blip xmlns:r="http://schemas.openxmlformats.org/officeDocument/2006/relationships" r:embed="rId9" r:link="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745" cy="189865"/>
                          </a:xfrm>
                          <a:prstGeom prst="rect">
                            <a:avLst/>
                          </a:prstGeom>
                          <a:noFill/>
                          <a:ln>
                            <a:noFill/>
                          </a:ln>
                        </pic:spPr>
                      </pic:pic>
                    </a:graphicData>
                  </a:graphic>
                </wp:inline>
              </w:drawing>
            </w:r>
            <w:r w:rsidRPr="00FD23DF">
              <w:rPr>
                <w:rFonts w:ascii="Times New Roman" w:hAnsi="Times New Roman"/>
              </w:rPr>
              <w:t>, is suppressed.</w:t>
            </w:r>
          </w:p>
          <w:p w:rsidR="006473A0" w:rsidRPr="00FD23DF" w:rsidP="003A3043" w14:paraId="07A308E1" w14:textId="77777777">
            <w:pPr>
              <w:pStyle w:val="BodyText"/>
              <w:ind w:left="-26"/>
              <w:rPr>
                <w:rFonts w:ascii="Times New Roman" w:hAnsi="Times New Roman"/>
              </w:rPr>
            </w:pPr>
            <w:r w:rsidRPr="00FD23DF">
              <w:rPr>
                <w:rFonts w:ascii="Times New Roman" w:hAnsi="Times New Roman"/>
              </w:rPr>
              <w:t>Note: In some instances when</w:t>
            </w:r>
            <w:r w:rsidRPr="00FD23DF">
              <w:rPr>
                <w:rFonts w:ascii="Times New Roman" w:hAnsi="Times New Roman"/>
                <w:noProof/>
              </w:rPr>
              <w:drawing>
                <wp:inline distT="0" distB="0" distL="0" distR="0">
                  <wp:extent cx="118745" cy="189865"/>
                  <wp:effectExtent l="0" t="0" r="0" b="635"/>
                  <wp:docPr id="4" name="Picture 4" descr="p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7" descr="p hat"/>
                          <pic:cNvPicPr>
                            <a:picLocks noChangeAspect="1" noChangeArrowheads="1"/>
                          </pic:cNvPicPr>
                        </pic:nvPicPr>
                        <pic:blipFill>
                          <a:blip xmlns:r="http://schemas.openxmlformats.org/officeDocument/2006/relationships" r:embed="rId9" r:link="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745" cy="189865"/>
                          </a:xfrm>
                          <a:prstGeom prst="rect">
                            <a:avLst/>
                          </a:prstGeom>
                          <a:noFill/>
                          <a:ln>
                            <a:noFill/>
                          </a:ln>
                        </pic:spPr>
                      </pic:pic>
                    </a:graphicData>
                  </a:graphic>
                </wp:inline>
              </w:drawing>
            </w:r>
            <w:r w:rsidRPr="00FD23DF">
              <w:rPr>
                <w:rFonts w:ascii="Times New Roman" w:hAnsi="Times New Roman"/>
              </w:rPr>
              <w:t xml:space="preserve"> is not suppressed, the estimated number may appear as a 0 in the tables. This means that the estimate is greater than 0 but less than 500 (estimated numbers are shown in thousands).</w:t>
            </w:r>
          </w:p>
          <w:p w:rsidR="006473A0" w:rsidRPr="00FD23DF" w:rsidP="003A3043" w14:paraId="14985BFC" w14:textId="77777777">
            <w:pPr>
              <w:pStyle w:val="BodyText"/>
              <w:ind w:left="-26"/>
              <w:rPr>
                <w:rFonts w:ascii="Times New Roman" w:hAnsi="Times New Roman"/>
              </w:rPr>
            </w:pPr>
            <w:r w:rsidRPr="00FD23DF">
              <w:rPr>
                <w:rFonts w:ascii="Times New Roman" w:hAnsi="Times New Roman"/>
              </w:rPr>
              <w:t xml:space="preserve">Note: In some instances when totals corresponding to several different means that are displayed in the same table and some, but not all, of those means are suppressed, the totals will not be suppressed. When all means are suppressed, the totals will also be suppressed. </w:t>
            </w:r>
          </w:p>
        </w:tc>
      </w:tr>
      <w:tr w14:paraId="689BF6F9" w14:textId="77777777" w:rsidTr="003A3043">
        <w:tblPrEx>
          <w:tblW w:w="4620" w:type="pct"/>
          <w:tblInd w:w="710" w:type="dxa"/>
          <w:tblCellMar>
            <w:left w:w="0" w:type="dxa"/>
            <w:right w:w="0" w:type="dxa"/>
          </w:tblCellMar>
          <w:tblLook w:val="04A0"/>
        </w:tblPrEx>
        <w:trPr>
          <w:cantSplit/>
        </w:trPr>
        <w:tc>
          <w:tcPr>
            <w:tcW w:w="324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6473A0" w:rsidRPr="00FD23DF" w:rsidP="003A3043" w14:paraId="0614E345" w14:textId="77777777">
            <w:pPr>
              <w:pStyle w:val="BodyText"/>
              <w:ind w:left="0"/>
              <w:rPr>
                <w:rFonts w:ascii="Times New Roman" w:hAnsi="Times New Roman"/>
              </w:rPr>
            </w:pPr>
            <w:r w:rsidRPr="00FD23DF">
              <w:rPr>
                <w:rFonts w:ascii="Times New Roman" w:hAnsi="Times New Roman"/>
              </w:rPr>
              <w:t>Means not bounded between 0 and 1 (i.e., Mean Age at First Use, Mean Number of Drinks),</w:t>
            </w:r>
            <w:r w:rsidRPr="00FD23DF">
              <w:rPr>
                <w:rFonts w:ascii="Times New Roman" w:hAnsi="Times New Roman"/>
                <w:i/>
                <w:iCs/>
                <w:noProof/>
              </w:rPr>
              <w:drawing>
                <wp:inline distT="0" distB="0" distL="0" distR="0">
                  <wp:extent cx="118745" cy="189865"/>
                  <wp:effectExtent l="0" t="0" r="0" b="635"/>
                  <wp:docPr id="3" name="Picture 3" descr="x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 descr="x bar"/>
                          <pic:cNvPicPr>
                            <a:picLocks noChangeAspect="1" noChangeArrowheads="1"/>
                          </pic:cNvPicPr>
                        </pic:nvPicPr>
                        <pic:blipFill>
                          <a:blip xmlns:r="http://schemas.openxmlformats.org/officeDocument/2006/relationships" r:embed="rId25" r:link="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745" cy="189865"/>
                          </a:xfrm>
                          <a:prstGeom prst="rect">
                            <a:avLst/>
                          </a:prstGeom>
                          <a:noFill/>
                          <a:ln>
                            <a:noFill/>
                          </a:ln>
                        </pic:spPr>
                      </pic:pic>
                    </a:graphicData>
                  </a:graphic>
                </wp:inline>
              </w:drawing>
            </w:r>
            <w:r w:rsidRPr="00FD23DF">
              <w:rPr>
                <w:rFonts w:ascii="Times New Roman" w:hAnsi="Times New Roman"/>
              </w:rPr>
              <w:t xml:space="preserve">, with Nominal Sample Size, </w:t>
            </w:r>
            <w:r w:rsidRPr="00FD23DF">
              <w:rPr>
                <w:rFonts w:ascii="Times New Roman" w:hAnsi="Times New Roman"/>
                <w:i/>
                <w:iCs/>
              </w:rPr>
              <w:t>n</w:t>
            </w:r>
          </w:p>
        </w:tc>
        <w:tc>
          <w:tcPr>
            <w:tcW w:w="5390" w:type="dxa"/>
            <w:tcBorders>
              <w:top w:val="nil"/>
              <w:left w:val="nil"/>
              <w:bottom w:val="single" w:sz="8" w:space="0" w:color="auto"/>
              <w:right w:val="single" w:sz="8" w:space="0" w:color="auto"/>
            </w:tcBorders>
            <w:tcMar>
              <w:top w:w="0" w:type="dxa"/>
              <w:left w:w="115" w:type="dxa"/>
              <w:bottom w:w="0" w:type="dxa"/>
              <w:right w:w="115" w:type="dxa"/>
            </w:tcMar>
          </w:tcPr>
          <w:p w:rsidR="006473A0" w:rsidRPr="00FD23DF" w:rsidP="003A3043" w14:paraId="6A5F7B65" w14:textId="77777777">
            <w:pPr>
              <w:pStyle w:val="BodyText"/>
              <w:ind w:left="0"/>
              <w:rPr>
                <w:rFonts w:ascii="Times New Roman" w:hAnsi="Times New Roman"/>
              </w:rPr>
            </w:pPr>
            <w:r w:rsidRPr="00FD23DF">
              <w:rPr>
                <w:rFonts w:ascii="Times New Roman" w:hAnsi="Times New Roman"/>
              </w:rPr>
              <w:t xml:space="preserve">(1) </w:t>
            </w:r>
            <w:r w:rsidRPr="00FD23DF">
              <w:rPr>
                <w:rFonts w:ascii="Times New Roman" w:hAnsi="Times New Roman"/>
                <w:noProof/>
              </w:rPr>
              <w:drawing>
                <wp:inline distT="0" distB="0" distL="0" distR="0">
                  <wp:extent cx="712470" cy="213995"/>
                  <wp:effectExtent l="0" t="0" r="0" b="0"/>
                  <wp:docPr id="2" name="Picture 2" descr="Relative standard error of x bar is greater tha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descr="Relative standard error of x bar is greater than .5."/>
                          <pic:cNvPicPr>
                            <a:picLocks noChangeAspect="1" noChangeArrowheads="1"/>
                          </pic:cNvPicPr>
                        </pic:nvPicPr>
                        <pic:blipFill>
                          <a:blip xmlns:r="http://schemas.openxmlformats.org/officeDocument/2006/relationships" r:embed="rId27" r:link="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12470" cy="213995"/>
                          </a:xfrm>
                          <a:prstGeom prst="rect">
                            <a:avLst/>
                          </a:prstGeom>
                          <a:noFill/>
                          <a:ln>
                            <a:noFill/>
                          </a:ln>
                        </pic:spPr>
                      </pic:pic>
                    </a:graphicData>
                  </a:graphic>
                </wp:inline>
              </w:drawing>
            </w:r>
            <w:r w:rsidRPr="00FD23DF">
              <w:rPr>
                <w:rFonts w:ascii="Times New Roman" w:hAnsi="Times New Roman"/>
              </w:rPr>
              <w:t>, or</w:t>
            </w:r>
          </w:p>
          <w:p w:rsidR="006473A0" w:rsidRPr="00FD23DF" w:rsidP="003A3043" w14:paraId="6C0DCDC5" w14:textId="77777777">
            <w:pPr>
              <w:pStyle w:val="BodyText"/>
              <w:ind w:left="0"/>
              <w:rPr>
                <w:rFonts w:ascii="Times New Roman" w:hAnsi="Times New Roman"/>
              </w:rPr>
            </w:pPr>
            <w:r w:rsidRPr="00FD23DF">
              <w:rPr>
                <w:rFonts w:ascii="Times New Roman" w:hAnsi="Times New Roman"/>
              </w:rPr>
              <w:t xml:space="preserve">(2) </w:t>
            </w:r>
            <w:r w:rsidRPr="00FD23DF">
              <w:rPr>
                <w:rFonts w:ascii="Times New Roman" w:hAnsi="Times New Roman"/>
                <w:i/>
                <w:iCs/>
              </w:rPr>
              <w:t>n</w:t>
            </w:r>
            <w:r w:rsidRPr="00FD23DF">
              <w:rPr>
                <w:rFonts w:ascii="Times New Roman" w:hAnsi="Times New Roman"/>
              </w:rPr>
              <w:t xml:space="preserve"> &lt; 10.</w:t>
            </w:r>
          </w:p>
        </w:tc>
      </w:tr>
    </w:tbl>
    <w:p w:rsidR="006473A0" w:rsidRPr="00FD23DF" w:rsidP="006473A0" w14:paraId="425EAAC3" w14:textId="77777777">
      <w:pPr>
        <w:pStyle w:val="BodyText"/>
        <w:rPr>
          <w:rFonts w:ascii="Times New Roman" w:hAnsi="Times New Roman"/>
          <w:i/>
          <w:iCs/>
          <w:sz w:val="20"/>
        </w:rPr>
      </w:pPr>
    </w:p>
    <w:p w:rsidR="006473A0" w:rsidRPr="00FD23DF" w:rsidP="006473A0" w14:paraId="44C9E1CB" w14:textId="77777777">
      <w:pPr>
        <w:pStyle w:val="BodyText"/>
        <w:rPr>
          <w:rFonts w:ascii="Times New Roman" w:hAnsi="Times New Roman"/>
          <w:i/>
          <w:sz w:val="20"/>
        </w:rPr>
      </w:pPr>
      <w:r w:rsidRPr="00FD23DF">
        <w:rPr>
          <w:rFonts w:ascii="Times New Roman" w:hAnsi="Times New Roman"/>
          <w:i/>
          <w:iCs/>
          <w:sz w:val="20"/>
        </w:rPr>
        <w:t>deff</w:t>
      </w:r>
      <w:r w:rsidRPr="00FD23DF">
        <w:rPr>
          <w:rFonts w:ascii="Times New Roman" w:hAnsi="Times New Roman"/>
          <w:i/>
          <w:sz w:val="20"/>
        </w:rPr>
        <w:t xml:space="preserve"> = design effect; RSE = relative standard error; SE = standard error.</w:t>
      </w:r>
    </w:p>
    <w:p w:rsidR="006473A0" w:rsidP="006473A0" w14:paraId="0FE7F241" w14:textId="3CCD0488">
      <w:pPr>
        <w:pStyle w:val="BodyText"/>
        <w:rPr>
          <w:rFonts w:ascii="Times New Roman" w:hAnsi="Times New Roman"/>
          <w:i/>
          <w:sz w:val="20"/>
        </w:rPr>
      </w:pPr>
      <w:r w:rsidRPr="00FD23DF">
        <w:rPr>
          <w:rFonts w:ascii="Times New Roman" w:hAnsi="Times New Roman"/>
          <w:i/>
          <w:sz w:val="20"/>
        </w:rPr>
        <w:t xml:space="preserve">NOTE: The suppression rules included in this table are used for detecting unreliable estimates and are sufficient for confidentiality purposes in the context of </w:t>
      </w:r>
      <w:r w:rsidR="00BD6C2B">
        <w:rPr>
          <w:rFonts w:ascii="Times New Roman" w:hAnsi="Times New Roman"/>
          <w:i/>
          <w:sz w:val="20"/>
        </w:rPr>
        <w:t>NSDUH</w:t>
      </w:r>
      <w:r>
        <w:rPr>
          <w:rFonts w:ascii="Times New Roman" w:hAnsi="Times New Roman"/>
          <w:i/>
          <w:sz w:val="20"/>
        </w:rPr>
        <w:t>’s annual finding reports</w:t>
      </w:r>
      <w:r w:rsidRPr="00FD23DF">
        <w:rPr>
          <w:rFonts w:ascii="Times New Roman" w:hAnsi="Times New Roman"/>
          <w:i/>
          <w:sz w:val="20"/>
        </w:rPr>
        <w:t xml:space="preserve"> and detailed tables. </w:t>
      </w:r>
    </w:p>
    <w:p w:rsidR="006473A0" w:rsidRPr="00F3053D" w:rsidP="006473A0" w14:paraId="5045625B" w14:textId="77777777">
      <w:pPr>
        <w:pStyle w:val="Sourcenote"/>
        <w:ind w:firstLine="0"/>
        <w:rPr>
          <w:i/>
          <w:iCs/>
        </w:rPr>
      </w:pPr>
      <w:r w:rsidRPr="00F3053D">
        <w:rPr>
          <w:i/>
          <w:iCs/>
        </w:rPr>
        <w:t>NOTE:</w:t>
      </w:r>
      <w:r w:rsidRPr="00F3053D">
        <w:rPr>
          <w:i/>
          <w:iCs/>
        </w:rPr>
        <w:tab/>
        <w:t xml:space="preserve">Starting in 2020 for confidentiality protection, survey sample sizes greater than 100 were rounded to the nearest 10, and sample sizes less than 100 were not reported (i.e., are shown as “&lt;100” in tables). </w:t>
      </w:r>
    </w:p>
    <w:p w:rsidR="006473A0" w:rsidRPr="00FD23DF" w:rsidP="006473A0" w14:paraId="10DB267C" w14:textId="77777777">
      <w:pPr>
        <w:pStyle w:val="BodyText"/>
        <w:rPr>
          <w:rFonts w:ascii="Times New Roman" w:hAnsi="Times New Roman"/>
          <w:i/>
          <w:sz w:val="20"/>
        </w:rPr>
      </w:pPr>
    </w:p>
    <w:p w:rsidR="0023746A" w:rsidRPr="00BD5A96" w:rsidP="00703946" w14:paraId="42602C54" w14:textId="77777777">
      <w:pPr>
        <w:pStyle w:val="BodyText"/>
        <w:rPr>
          <w:rFonts w:ascii="Times New Roman" w:hAnsi="Times New Roman" w:cs="Times New Roman"/>
          <w:i/>
          <w:u w:val="single"/>
        </w:rPr>
      </w:pPr>
      <w:r w:rsidRPr="00BD5A96">
        <w:rPr>
          <w:rFonts w:ascii="Times New Roman" w:hAnsi="Times New Roman" w:cs="Times New Roman"/>
          <w:i/>
          <w:u w:val="single"/>
        </w:rPr>
        <w:t>Mental Illness Calibration Study</w:t>
      </w:r>
      <w:r w:rsidRPr="00BD5A96" w:rsidR="00BD5A96">
        <w:rPr>
          <w:rFonts w:ascii="Times New Roman" w:hAnsi="Times New Roman" w:cs="Times New Roman"/>
          <w:i/>
          <w:u w:val="single"/>
        </w:rPr>
        <w:t>:</w:t>
      </w:r>
    </w:p>
    <w:p w:rsidR="00657CBF" w:rsidRPr="00657CBF" w:rsidP="00703946" w14:paraId="7E915EB7" w14:textId="77777777">
      <w:pPr>
        <w:pStyle w:val="BodyText"/>
        <w:rPr>
          <w:rFonts w:ascii="Times New Roman" w:hAnsi="Times New Roman" w:cs="Times New Roman"/>
          <w:iCs/>
        </w:rPr>
      </w:pPr>
      <w:r w:rsidRPr="00657CBF">
        <w:rPr>
          <w:rFonts w:ascii="Times New Roman" w:hAnsi="Times New Roman" w:cs="Times New Roman"/>
          <w:iCs/>
        </w:rPr>
        <w:t xml:space="preserve">The MICS samples will be selected from the 2023–2024 NSDUH samples. Unlike for the Clinical Validation Study (CVS) conducted as part of the 2020 NSDUH, there will be no alteration (i.e., increase) to the NSDUH sample to account for MICS minimal sample requirements. This is because everyone in the sample – those who participate in the MICS and those who do not – will receive the same version of the NSDUH main study survey. The only difference between the MICS and non-MICS groups of respondents is that those who participate in the MICS will receive a follow-up clinical interview after completing the main NSDUH survey.  </w:t>
      </w:r>
    </w:p>
    <w:p w:rsidR="00657CBF" w:rsidRPr="00657CBF" w:rsidP="00703946" w14:paraId="29EB8845" w14:textId="77777777">
      <w:pPr>
        <w:pStyle w:val="BodyText"/>
        <w:rPr>
          <w:rFonts w:ascii="Times New Roman" w:hAnsi="Times New Roman" w:cs="Times New Roman"/>
          <w:iCs/>
        </w:rPr>
      </w:pPr>
      <w:r w:rsidRPr="00657CBF">
        <w:rPr>
          <w:rFonts w:ascii="Times New Roman" w:hAnsi="Times New Roman" w:cs="Times New Roman"/>
          <w:iCs/>
        </w:rPr>
        <w:t xml:space="preserve">The 2023 and 2024 MICS samples are designed to yield 2,000 interviews per year. Each year, the probability sample will be distributed across </w:t>
      </w:r>
      <w:r w:rsidR="00941DC3">
        <w:rPr>
          <w:rFonts w:ascii="Times New Roman" w:hAnsi="Times New Roman" w:cs="Times New Roman"/>
          <w:iCs/>
        </w:rPr>
        <w:t>four</w:t>
      </w:r>
      <w:r w:rsidRPr="00657CBF">
        <w:rPr>
          <w:rFonts w:ascii="Times New Roman" w:hAnsi="Times New Roman" w:cs="Times New Roman"/>
          <w:iCs/>
        </w:rPr>
        <w:t xml:space="preserve"> calendar quarters, resulting in approximately 500 MICS follow-up clinical interviews per quarter. </w:t>
      </w:r>
      <w:r w:rsidRPr="00657CBF" w:rsidR="00941DC3">
        <w:rPr>
          <w:rFonts w:ascii="Times New Roman" w:hAnsi="Times New Roman" w:cs="Times New Roman"/>
          <w:iCs/>
        </w:rPr>
        <w:t>Like</w:t>
      </w:r>
      <w:r w:rsidRPr="00657CBF">
        <w:rPr>
          <w:rFonts w:ascii="Times New Roman" w:hAnsi="Times New Roman" w:cs="Times New Roman"/>
          <w:iCs/>
        </w:rPr>
        <w:t xml:space="preserve"> the </w:t>
      </w:r>
      <w:r w:rsidR="00941DC3">
        <w:rPr>
          <w:rFonts w:ascii="Times New Roman" w:hAnsi="Times New Roman"/>
        </w:rPr>
        <w:t>2008 – 2012 Mental Health Surveillance Study (MHSS)</w:t>
      </w:r>
      <w:r w:rsidRPr="00657CBF">
        <w:rPr>
          <w:rFonts w:ascii="Times New Roman" w:hAnsi="Times New Roman" w:cs="Times New Roman"/>
          <w:iCs/>
        </w:rPr>
        <w:t xml:space="preserve">, the probability sample will be embedded in the main study sample; therefore, the initial interview for the validation cases will be included in the target study sample of approximately 50,625 main study adult interviews.  </w:t>
      </w:r>
    </w:p>
    <w:p w:rsidR="00657CBF" w:rsidRPr="00657CBF" w:rsidP="00703946" w14:paraId="4BD78739" w14:textId="77777777">
      <w:pPr>
        <w:pStyle w:val="BodyText"/>
        <w:rPr>
          <w:rFonts w:ascii="Times New Roman" w:hAnsi="Times New Roman" w:cs="Times New Roman"/>
          <w:iCs/>
        </w:rPr>
      </w:pPr>
      <w:r w:rsidRPr="00657CBF">
        <w:rPr>
          <w:rFonts w:ascii="Times New Roman" w:hAnsi="Times New Roman" w:cs="Times New Roman"/>
          <w:iCs/>
        </w:rPr>
        <w:t>Individuals eligible for the MICS are adults aged 18 or older who answer the NSDUH main study interview questions in English. Persons who complete the main study interview in Spanish will not be eligible for MICS. Based on prior main study NSDUH experience, we expect that approximately 97 percent of the main study respondents aged 18 or older will be eligible for MICS. Similar to the MHSS, a subsample of NSDUH respondents will be selected with probabilities determined by their K6 nonspecific distress scale (Kessler et al., 2003), WHODAS score, and age group. A probability sampling algorithm will be programmed in the main study interview instrument so that selected respondents are recruited for the follow-up clinical interview at the end of the main study interview.</w:t>
      </w:r>
    </w:p>
    <w:p w:rsidR="0023746A" w:rsidRPr="00FD23DF" w:rsidP="00703946" w14:paraId="266B6C7A" w14:textId="77777777">
      <w:pPr>
        <w:pStyle w:val="BodyText"/>
        <w:rPr>
          <w:rFonts w:ascii="Times New Roman" w:hAnsi="Times New Roman"/>
          <w:i/>
          <w:sz w:val="20"/>
        </w:rPr>
      </w:pPr>
      <w:r w:rsidRPr="00657CBF">
        <w:rPr>
          <w:rFonts w:ascii="Times New Roman" w:hAnsi="Times New Roman" w:cs="Times New Roman"/>
          <w:iCs/>
        </w:rPr>
        <w:t>Like the MHSS, the MICS will be a stratified sample selected from the NSDUH respondents based on strata defined by their K6 and WHODAS scores. Neyman optimal allocation (Lohr, 1999) will be applied to the strata (i.e., stratum selection probabilities are proportional to the standard deviation of the measure in question). Neyman allocation results in increased precision of key outcome variables (e.g., SMI) compared with other allocations, assuming a fixed sample size and equal costs across strata. Also, in the event that sample sizes fall short in some strata, Neyman allocation produces robust estimates of stratum sample sizes (i.e., meaning that moderate deviations will result in only a small loss of precision).This design minimizes the sample size required for the MICS in two ways: (1) by increasing the yield of SMI cases within the MICS sample (i.e., the closer the yield is to 50 percent, the smaller the required sample size will be for analysis, given all else is equal), and (2) by reducing the design effect within the MICS sample due to the Neyman allocation.</w:t>
      </w:r>
    </w:p>
    <w:p w:rsidR="00501DD2" w:rsidRPr="00FD23DF" w:rsidP="00501DD2" w14:paraId="022D44D6" w14:textId="77777777">
      <w:pPr>
        <w:pStyle w:val="Heading1"/>
        <w:rPr>
          <w:rFonts w:ascii="Times New Roman" w:hAnsi="Times New Roman" w:cs="Times New Roman"/>
        </w:rPr>
      </w:pPr>
      <w:r w:rsidRPr="00FD23DF">
        <w:rPr>
          <w:rFonts w:ascii="Times New Roman" w:hAnsi="Times New Roman" w:cs="Times New Roman"/>
        </w:rPr>
        <w:t>2.</w:t>
      </w:r>
      <w:r w:rsidRPr="00FD23DF">
        <w:rPr>
          <w:rFonts w:ascii="Times New Roman" w:hAnsi="Times New Roman" w:cs="Times New Roman"/>
        </w:rPr>
        <w:tab/>
      </w:r>
      <w:r w:rsidRPr="00FD23DF">
        <w:rPr>
          <w:rFonts w:ascii="Times New Roman" w:hAnsi="Times New Roman" w:cs="Times New Roman"/>
          <w:u w:val="single"/>
        </w:rPr>
        <w:t>Information Collection Procedures</w:t>
      </w:r>
    </w:p>
    <w:p w:rsidR="00C3123F" w:rsidRPr="005753CE" w:rsidP="00501DD2" w14:paraId="1DB68848" w14:textId="2033B6E4">
      <w:pPr>
        <w:pStyle w:val="BodyText"/>
        <w:rPr>
          <w:rFonts w:ascii="Times New Roman" w:hAnsi="Times New Roman" w:cs="Times New Roman"/>
          <w:b/>
          <w:bCs/>
        </w:rPr>
      </w:pPr>
      <w:r>
        <w:rPr>
          <w:rFonts w:ascii="Times New Roman" w:hAnsi="Times New Roman" w:cs="Times New Roman"/>
          <w:b/>
          <w:bCs/>
          <w:i/>
          <w:u w:val="single"/>
        </w:rPr>
        <w:t>NSDUH</w:t>
      </w:r>
      <w:r w:rsidRPr="005753CE" w:rsidR="00AA0F61">
        <w:rPr>
          <w:rFonts w:ascii="Times New Roman" w:hAnsi="Times New Roman" w:cs="Times New Roman"/>
          <w:b/>
          <w:bCs/>
          <w:i/>
          <w:u w:val="single"/>
        </w:rPr>
        <w:t xml:space="preserve"> Main Study</w:t>
      </w:r>
      <w:r w:rsidRPr="005753CE" w:rsidR="00BD5A96">
        <w:rPr>
          <w:rFonts w:ascii="Times New Roman" w:hAnsi="Times New Roman" w:cs="Times New Roman"/>
          <w:b/>
          <w:bCs/>
          <w:i/>
          <w:u w:val="single"/>
        </w:rPr>
        <w:t>:</w:t>
      </w:r>
      <w:r w:rsidRPr="005753CE" w:rsidR="00AA0F61">
        <w:rPr>
          <w:rFonts w:ascii="Times New Roman" w:hAnsi="Times New Roman" w:cs="Times New Roman"/>
          <w:b/>
          <w:bCs/>
          <w:i/>
          <w:u w:val="single"/>
        </w:rPr>
        <w:t xml:space="preserve"> </w:t>
      </w:r>
    </w:p>
    <w:p w:rsidR="00501DD2" w:rsidP="00703946" w14:paraId="7E96F105" w14:textId="7AFC085D">
      <w:pPr>
        <w:pStyle w:val="BodyText"/>
        <w:rPr>
          <w:color w:val="auto"/>
        </w:rPr>
      </w:pPr>
      <w:r w:rsidRPr="00FD23DF">
        <w:rPr>
          <w:rFonts w:ascii="Times New Roman" w:hAnsi="Times New Roman" w:cs="Times New Roman"/>
        </w:rPr>
        <w:t>Prior to the FI’s arrival at the SDU, a Lead Letter (</w:t>
      </w:r>
      <w:r w:rsidRPr="00856CDE">
        <w:rPr>
          <w:rFonts w:ascii="Times New Roman" w:hAnsi="Times New Roman" w:cs="Times New Roman"/>
          <w:b/>
          <w:bCs/>
        </w:rPr>
        <w:t xml:space="preserve">Attachment </w:t>
      </w:r>
      <w:r w:rsidRPr="00856CDE" w:rsidR="00D95B4C">
        <w:rPr>
          <w:rFonts w:ascii="Times New Roman" w:hAnsi="Times New Roman" w:cs="Times New Roman"/>
          <w:b/>
          <w:bCs/>
        </w:rPr>
        <w:t>A</w:t>
      </w:r>
      <w:r w:rsidRPr="00FD23DF">
        <w:rPr>
          <w:rFonts w:ascii="Times New Roman" w:hAnsi="Times New Roman" w:cs="Times New Roman"/>
        </w:rPr>
        <w:t xml:space="preserve">) will be mailed to the resident(s) briefly explaining the survey and requesting their cooperation. </w:t>
      </w:r>
      <w:r w:rsidRPr="007341A1" w:rsidR="000F7FD7">
        <w:rPr>
          <w:color w:val="auto"/>
        </w:rPr>
        <w:t xml:space="preserve">In this letter, adult residents of each SDU will be presented with the option to participate in </w:t>
      </w:r>
      <w:r w:rsidR="00BD6C2B">
        <w:rPr>
          <w:color w:val="auto"/>
        </w:rPr>
        <w:t>NSDUH</w:t>
      </w:r>
      <w:r w:rsidRPr="007341A1" w:rsidR="000F7FD7">
        <w:rPr>
          <w:color w:val="auto"/>
        </w:rPr>
        <w:t xml:space="preserve"> via the web-based instruments (screening and interview) or to contact </w:t>
      </w:r>
      <w:r w:rsidR="00F92F54">
        <w:rPr>
          <w:color w:val="auto"/>
        </w:rPr>
        <w:t>the Contractor directly</w:t>
      </w:r>
      <w:r w:rsidRPr="007341A1" w:rsidR="000F7FD7">
        <w:rPr>
          <w:color w:val="auto"/>
        </w:rPr>
        <w:t xml:space="preserve"> about participating in-person with screenings and interviews administered by an FI</w:t>
      </w:r>
      <w:r w:rsidR="000F7FD7">
        <w:rPr>
          <w:color w:val="auto"/>
        </w:rPr>
        <w:t>.</w:t>
      </w:r>
    </w:p>
    <w:p w:rsidR="000F7FD7" w:rsidP="00703946" w14:paraId="7FA94CDE" w14:textId="77777777">
      <w:pPr>
        <w:pStyle w:val="BodyText"/>
        <w:rPr>
          <w:color w:val="auto"/>
        </w:rPr>
      </w:pPr>
      <w:r w:rsidRPr="007341A1">
        <w:rPr>
          <w:color w:val="auto"/>
        </w:rPr>
        <w:t xml:space="preserve">Respondents may select to participate via web or in-person at their choosing. </w:t>
      </w:r>
      <w:r w:rsidRPr="00056ADB" w:rsidR="000079F3">
        <w:rPr>
          <w:color w:val="auto"/>
        </w:rPr>
        <w:t>Throughout the data collection period, respondents retain the option to participate via web at their discretion, completing screenings and/or interviews online instead of doing so in-person with an FI or vice versa, as well as transitioning between modes when available.</w:t>
      </w:r>
    </w:p>
    <w:p w:rsidR="00BD5A96" w:rsidRPr="00BD5A96" w:rsidP="00703946" w14:paraId="1CF6CAD3" w14:textId="77777777">
      <w:pPr>
        <w:pStyle w:val="BodyText"/>
        <w:rPr>
          <w:rFonts w:ascii="Times New Roman" w:hAnsi="Times New Roman"/>
          <w:iCs/>
        </w:rPr>
      </w:pPr>
      <w:r w:rsidRPr="00BD5A96">
        <w:rPr>
          <w:rFonts w:ascii="Times New Roman" w:hAnsi="Times New Roman"/>
          <w:iCs/>
        </w:rPr>
        <w:t>In-Person Data Collection</w:t>
      </w:r>
      <w:r>
        <w:rPr>
          <w:rFonts w:ascii="Times New Roman" w:hAnsi="Times New Roman"/>
          <w:iCs/>
        </w:rPr>
        <w:t>:</w:t>
      </w:r>
      <w:r w:rsidRPr="00BD5A96">
        <w:rPr>
          <w:rFonts w:ascii="Times New Roman" w:hAnsi="Times New Roman"/>
          <w:iCs/>
        </w:rPr>
        <w:t xml:space="preserve"> </w:t>
      </w:r>
    </w:p>
    <w:p w:rsidR="00501DD2" w:rsidRPr="00FD23DF" w:rsidP="00703946" w14:paraId="42CFC2F7" w14:textId="77777777">
      <w:pPr>
        <w:pStyle w:val="BodyText"/>
        <w:rPr>
          <w:rFonts w:ascii="Times New Roman" w:hAnsi="Times New Roman" w:cs="Times New Roman"/>
        </w:rPr>
      </w:pPr>
      <w:r w:rsidRPr="00FD23DF">
        <w:rPr>
          <w:rFonts w:ascii="Times New Roman" w:hAnsi="Times New Roman" w:cs="Times New Roman"/>
        </w:rPr>
        <w:t xml:space="preserve">Upon arrival at the SDU, the FI will refer the resident to </w:t>
      </w:r>
      <w:r w:rsidR="00E96B59">
        <w:rPr>
          <w:rFonts w:ascii="Times New Roman" w:hAnsi="Times New Roman" w:cs="Times New Roman"/>
        </w:rPr>
        <w:t>the Lead Letter</w:t>
      </w:r>
      <w:r w:rsidRPr="00FD23DF">
        <w:rPr>
          <w:rFonts w:ascii="Times New Roman" w:hAnsi="Times New Roman" w:cs="Times New Roman"/>
        </w:rPr>
        <w:t xml:space="preserve"> and answer any questions. If the resident has no knowledge of the </w:t>
      </w:r>
      <w:r w:rsidR="00E96B59">
        <w:rPr>
          <w:rFonts w:ascii="Times New Roman" w:hAnsi="Times New Roman" w:cs="Times New Roman"/>
        </w:rPr>
        <w:t>letter</w:t>
      </w:r>
      <w:r w:rsidRPr="00FD23DF">
        <w:rPr>
          <w:rFonts w:ascii="Times New Roman" w:hAnsi="Times New Roman" w:cs="Times New Roman"/>
        </w:rPr>
        <w:t>, the FI will provide another copy, explain that one was previously sent, and then answer any questions. If no one is home during the initial visit to the SDU, the FI may leave a Sorry I Missed You Card (</w:t>
      </w:r>
      <w:r w:rsidR="00C34260">
        <w:rPr>
          <w:rFonts w:ascii="Times New Roman" w:hAnsi="Times New Roman" w:cs="Times New Roman"/>
        </w:rPr>
        <w:t xml:space="preserve">included in </w:t>
      </w:r>
      <w:r w:rsidRPr="00856CDE">
        <w:rPr>
          <w:rFonts w:ascii="Times New Roman" w:hAnsi="Times New Roman" w:cs="Times New Roman"/>
          <w:b/>
          <w:bCs/>
        </w:rPr>
        <w:t xml:space="preserve">Attachment </w:t>
      </w:r>
      <w:r w:rsidRPr="00856CDE" w:rsidR="00AE664C">
        <w:rPr>
          <w:rFonts w:ascii="Times New Roman" w:hAnsi="Times New Roman" w:cs="Times New Roman"/>
          <w:b/>
          <w:bCs/>
        </w:rPr>
        <w:t>D</w:t>
      </w:r>
      <w:r w:rsidRPr="00FD23DF">
        <w:rPr>
          <w:rFonts w:ascii="Times New Roman" w:hAnsi="Times New Roman" w:cs="Times New Roman"/>
        </w:rPr>
        <w:t xml:space="preserve">) informing the resident(s) that the FI plans to make another callback at a later date/time. </w:t>
      </w:r>
      <w:r w:rsidRPr="00CF3951" w:rsidR="00C34260">
        <w:t>The</w:t>
      </w:r>
      <w:r w:rsidR="00C34260">
        <w:t xml:space="preserve"> </w:t>
      </w:r>
      <w:r w:rsidRPr="00CF3951" w:rsidR="00C34260">
        <w:t xml:space="preserve">card </w:t>
      </w:r>
      <w:r w:rsidR="00C34260">
        <w:t>also</w:t>
      </w:r>
      <w:r w:rsidRPr="00CF3951" w:rsidR="00C34260">
        <w:t xml:space="preserve"> remind</w:t>
      </w:r>
      <w:r w:rsidR="00C34260">
        <w:t>s</w:t>
      </w:r>
      <w:r w:rsidRPr="00CF3951" w:rsidR="00C34260">
        <w:t xml:space="preserve"> respondents about their option to complete </w:t>
      </w:r>
      <w:r w:rsidR="00C34260">
        <w:t xml:space="preserve">the </w:t>
      </w:r>
      <w:r w:rsidRPr="00CF3951" w:rsidR="00C34260">
        <w:t xml:space="preserve">screening (and/or interview) online. </w:t>
      </w:r>
      <w:r w:rsidRPr="00FD23DF">
        <w:rPr>
          <w:rFonts w:ascii="Times New Roman" w:hAnsi="Times New Roman" w:cs="Times New Roman"/>
        </w:rPr>
        <w:t xml:space="preserve">Callbacks will be made as soon as feasible following the initial visit. FIs will attempt to make at least four callbacks (in addition to the initial call) to each SDU </w:t>
      </w:r>
      <w:r w:rsidRPr="00FD23DF" w:rsidR="00E96B59">
        <w:rPr>
          <w:rFonts w:ascii="Times New Roman" w:hAnsi="Times New Roman" w:cs="Times New Roman"/>
        </w:rPr>
        <w:t>to</w:t>
      </w:r>
      <w:r w:rsidRPr="00FD23DF">
        <w:rPr>
          <w:rFonts w:ascii="Times New Roman" w:hAnsi="Times New Roman" w:cs="Times New Roman"/>
        </w:rPr>
        <w:t xml:space="preserve"> complete the screening process and complete an interview, if yielded.</w:t>
      </w:r>
      <w:r w:rsidR="00C34260">
        <w:rPr>
          <w:rFonts w:ascii="Times New Roman" w:hAnsi="Times New Roman" w:cs="Times New Roman"/>
        </w:rPr>
        <w:t xml:space="preserve"> </w:t>
      </w:r>
    </w:p>
    <w:p w:rsidR="00501DD2" w:rsidRPr="00FD23DF" w:rsidP="00703946" w14:paraId="37774E0E" w14:textId="77777777">
      <w:pPr>
        <w:pStyle w:val="BodyText"/>
        <w:rPr>
          <w:rFonts w:ascii="Times New Roman" w:hAnsi="Times New Roman" w:cs="Times New Roman"/>
        </w:rPr>
      </w:pPr>
      <w:r w:rsidRPr="00FD23DF">
        <w:rPr>
          <w:rFonts w:ascii="Times New Roman" w:hAnsi="Times New Roman" w:cs="Times New Roman"/>
        </w:rPr>
        <w:t>If the FI is unable to contact anyone at the SDU after repeated attempts, th</w:t>
      </w:r>
      <w:r w:rsidRPr="00FD23DF" w:rsidR="00FF2AE0">
        <w:rPr>
          <w:rFonts w:ascii="Times New Roman" w:hAnsi="Times New Roman" w:cs="Times New Roman"/>
        </w:rPr>
        <w:t xml:space="preserve">at FI’s Field Supervisor (FS) </w:t>
      </w:r>
      <w:r w:rsidRPr="00FD23DF">
        <w:rPr>
          <w:rFonts w:ascii="Times New Roman" w:hAnsi="Times New Roman" w:cs="Times New Roman"/>
        </w:rPr>
        <w:t xml:space="preserve">may send </w:t>
      </w:r>
      <w:r w:rsidR="00E96B59">
        <w:rPr>
          <w:rFonts w:ascii="Times New Roman" w:hAnsi="Times New Roman" w:cs="Times New Roman"/>
        </w:rPr>
        <w:t>an</w:t>
      </w:r>
      <w:r w:rsidRPr="00FD23DF">
        <w:rPr>
          <w:rFonts w:ascii="Times New Roman" w:hAnsi="Times New Roman" w:cs="Times New Roman"/>
        </w:rPr>
        <w:t xml:space="preserve"> Unable-to-Contact (UTC) letter (</w:t>
      </w:r>
      <w:r w:rsidR="00C34260">
        <w:rPr>
          <w:rFonts w:ascii="Times New Roman" w:hAnsi="Times New Roman" w:cs="Times New Roman"/>
        </w:rPr>
        <w:t xml:space="preserve">included in </w:t>
      </w:r>
      <w:r w:rsidRPr="00856CDE">
        <w:rPr>
          <w:rFonts w:ascii="Times New Roman" w:hAnsi="Times New Roman" w:cs="Times New Roman"/>
          <w:b/>
          <w:bCs/>
        </w:rPr>
        <w:t xml:space="preserve">Attachment </w:t>
      </w:r>
      <w:r w:rsidRPr="00856CDE" w:rsidR="00AE664C">
        <w:rPr>
          <w:rFonts w:ascii="Times New Roman" w:hAnsi="Times New Roman" w:cs="Times New Roman"/>
          <w:b/>
          <w:bCs/>
        </w:rPr>
        <w:t>F</w:t>
      </w:r>
      <w:r w:rsidRPr="00FD23DF">
        <w:rPr>
          <w:rFonts w:ascii="Times New Roman" w:hAnsi="Times New Roman" w:cs="Times New Roman"/>
        </w:rPr>
        <w:t>). These UTC letters reiterate information contained in the Lead Letter and present a plea for the resident to participate in the study.</w:t>
      </w:r>
    </w:p>
    <w:p w:rsidR="00A331A4" w:rsidP="00703946" w14:paraId="76FA3E22" w14:textId="77777777">
      <w:pPr>
        <w:pStyle w:val="BodyText"/>
        <w:rPr>
          <w:rFonts w:ascii="Times New Roman" w:hAnsi="Times New Roman" w:cs="Times New Roman"/>
        </w:rPr>
      </w:pPr>
      <w:r w:rsidRPr="00FD23DF">
        <w:rPr>
          <w:rFonts w:ascii="Times New Roman" w:hAnsi="Times New Roman" w:cs="Times New Roman"/>
        </w:rPr>
        <w:t>When in</w:t>
      </w:r>
      <w:r w:rsidRPr="00FD23DF">
        <w:rPr>
          <w:rFonts w:ascii="Times New Roman" w:hAnsi="Times New Roman" w:cs="Times New Roman"/>
        </w:rPr>
        <w:noBreakHyphen/>
        <w:t>person contact is made with an adult member of the SDU and introductory procedures are completed, the FI will present a Study Description (</w:t>
      </w:r>
      <w:r w:rsidRPr="007A6238">
        <w:rPr>
          <w:rFonts w:ascii="Times New Roman" w:hAnsi="Times New Roman" w:cs="Times New Roman"/>
          <w:b/>
          <w:bCs/>
        </w:rPr>
        <w:t xml:space="preserve">Attachment </w:t>
      </w:r>
      <w:r w:rsidRPr="007A6238" w:rsidR="00AE664C">
        <w:rPr>
          <w:rFonts w:ascii="Times New Roman" w:hAnsi="Times New Roman" w:cs="Times New Roman"/>
          <w:b/>
          <w:bCs/>
        </w:rPr>
        <w:t>E</w:t>
      </w:r>
      <w:r w:rsidRPr="00FD23DF">
        <w:rPr>
          <w:rFonts w:ascii="Times New Roman" w:hAnsi="Times New Roman" w:cs="Times New Roman"/>
        </w:rPr>
        <w:t xml:space="preserve">) and answer any questions that person might have concerning the study. </w:t>
      </w:r>
    </w:p>
    <w:p w:rsidR="00501DD2" w:rsidRPr="00FD23DF" w:rsidP="00703946" w14:paraId="792E9064" w14:textId="31D9D930">
      <w:pPr>
        <w:pStyle w:val="BodyText"/>
        <w:rPr>
          <w:rFonts w:ascii="Times New Roman" w:hAnsi="Times New Roman" w:cs="Times New Roman"/>
        </w:rPr>
      </w:pPr>
      <w:r>
        <w:rPr>
          <w:rFonts w:ascii="Times New Roman" w:hAnsi="Times New Roman" w:cs="Times New Roman"/>
          <w:color w:val="000000"/>
        </w:rPr>
        <w:t>FIs may also give respondents a</w:t>
      </w:r>
      <w:r w:rsidRPr="00FD23DF">
        <w:rPr>
          <w:rFonts w:ascii="Times New Roman" w:hAnsi="Times New Roman" w:cs="Times New Roman"/>
          <w:color w:val="000000"/>
        </w:rPr>
        <w:t xml:space="preserve"> Question &amp; Answer Brochure (</w:t>
      </w:r>
      <w:r w:rsidRPr="007A6238">
        <w:rPr>
          <w:rFonts w:ascii="Times New Roman" w:hAnsi="Times New Roman" w:cs="Times New Roman"/>
          <w:b/>
          <w:bCs/>
          <w:color w:val="000000"/>
        </w:rPr>
        <w:t xml:space="preserve">Attachment </w:t>
      </w:r>
      <w:r w:rsidRPr="007A6238" w:rsidR="00C34260">
        <w:rPr>
          <w:rFonts w:ascii="Times New Roman" w:hAnsi="Times New Roman" w:cs="Times New Roman"/>
          <w:b/>
          <w:bCs/>
          <w:color w:val="000000"/>
        </w:rPr>
        <w:t>B</w:t>
      </w:r>
      <w:r w:rsidRPr="00FD23DF">
        <w:rPr>
          <w:rFonts w:ascii="Times New Roman" w:hAnsi="Times New Roman" w:cs="Times New Roman"/>
          <w:color w:val="000000"/>
        </w:rPr>
        <w:t>) that provides answers to commonly</w:t>
      </w:r>
      <w:r w:rsidRPr="00FD23DF" w:rsidR="00491808">
        <w:rPr>
          <w:rFonts w:ascii="Times New Roman" w:hAnsi="Times New Roman" w:cs="Times New Roman"/>
          <w:color w:val="000000"/>
        </w:rPr>
        <w:t>-</w:t>
      </w:r>
      <w:r w:rsidRPr="00FD23DF">
        <w:rPr>
          <w:rFonts w:ascii="Times New Roman" w:hAnsi="Times New Roman" w:cs="Times New Roman"/>
          <w:color w:val="000000"/>
        </w:rPr>
        <w:t xml:space="preserve">asked questions. </w:t>
      </w:r>
      <w:r w:rsidRPr="00FD23DF">
        <w:rPr>
          <w:rFonts w:ascii="Times New Roman" w:hAnsi="Times New Roman" w:cs="Times New Roman"/>
        </w:rPr>
        <w:t xml:space="preserve">In addition, FIs are supplied with copies of the </w:t>
      </w:r>
      <w:r w:rsidR="00BD6C2B">
        <w:rPr>
          <w:rFonts w:ascii="Times New Roman" w:hAnsi="Times New Roman" w:cs="Times New Roman"/>
        </w:rPr>
        <w:t>NSDUH</w:t>
      </w:r>
      <w:r w:rsidRPr="00FD23DF">
        <w:rPr>
          <w:rFonts w:ascii="Times New Roman" w:hAnsi="Times New Roman" w:cs="Times New Roman"/>
        </w:rPr>
        <w:t xml:space="preserve"> Highlights (</w:t>
      </w:r>
      <w:r w:rsidRPr="007A6238">
        <w:rPr>
          <w:rFonts w:ascii="Times New Roman" w:hAnsi="Times New Roman" w:cs="Times New Roman"/>
          <w:b/>
          <w:bCs/>
        </w:rPr>
        <w:t xml:space="preserve">Attachment </w:t>
      </w:r>
      <w:r w:rsidRPr="007A6238" w:rsidR="00AE664C">
        <w:rPr>
          <w:rFonts w:ascii="Times New Roman" w:hAnsi="Times New Roman" w:cs="Times New Roman"/>
          <w:b/>
          <w:bCs/>
        </w:rPr>
        <w:t>O</w:t>
      </w:r>
      <w:r w:rsidRPr="00FD23DF">
        <w:rPr>
          <w:rFonts w:ascii="Times New Roman" w:hAnsi="Times New Roman" w:cs="Times New Roman"/>
        </w:rPr>
        <w:t xml:space="preserve">) for use in eliciting participation, which can be left with the respondent. </w:t>
      </w:r>
    </w:p>
    <w:p w:rsidR="00501DD2" w:rsidRPr="00FD23DF" w:rsidP="00703946" w14:paraId="0A6637DB" w14:textId="04BE88AE">
      <w:pPr>
        <w:pStyle w:val="BodyText"/>
        <w:rPr>
          <w:rFonts w:ascii="Times New Roman" w:hAnsi="Times New Roman" w:cs="Times New Roman"/>
        </w:rPr>
      </w:pPr>
      <w:r w:rsidRPr="00FD23DF">
        <w:rPr>
          <w:rFonts w:ascii="Times New Roman" w:hAnsi="Times New Roman" w:cs="Times New Roman"/>
        </w:rPr>
        <w:t>Also, the FI may utilize the multimedia capability of the touch</w:t>
      </w:r>
      <w:r w:rsidRPr="00FD23DF" w:rsidR="00491808">
        <w:rPr>
          <w:rFonts w:ascii="Times New Roman" w:hAnsi="Times New Roman" w:cs="Times New Roman"/>
        </w:rPr>
        <w:t>-</w:t>
      </w:r>
      <w:r w:rsidRPr="00FD23DF">
        <w:rPr>
          <w:rFonts w:ascii="Times New Roman" w:hAnsi="Times New Roman" w:cs="Times New Roman"/>
        </w:rPr>
        <w:t>screen tablet to display one of two short videos (approximately 60 seconds total run time</w:t>
      </w:r>
      <w:r w:rsidRPr="00FD23DF" w:rsidR="00491808">
        <w:rPr>
          <w:rFonts w:ascii="Times New Roman" w:hAnsi="Times New Roman" w:cs="Times New Roman"/>
        </w:rPr>
        <w:t xml:space="preserve"> per video</w:t>
      </w:r>
      <w:r w:rsidRPr="00FD23DF">
        <w:rPr>
          <w:rFonts w:ascii="Times New Roman" w:hAnsi="Times New Roman" w:cs="Times New Roman"/>
        </w:rPr>
        <w:t>) for members of the SDU to view</w:t>
      </w:r>
      <w:r w:rsidR="00C34260">
        <w:t xml:space="preserve">; </w:t>
      </w:r>
      <w:r w:rsidRPr="00E71031" w:rsidR="00C34260">
        <w:t xml:space="preserve">one which provides a brief explanation of the study </w:t>
      </w:r>
      <w:r w:rsidR="00C34260">
        <w:t>(</w:t>
      </w:r>
      <w:r w:rsidR="00BD6C2B">
        <w:t>NSDUH</w:t>
      </w:r>
      <w:r w:rsidR="00C34260">
        <w:t xml:space="preserve"> Introductory Video) </w:t>
      </w:r>
      <w:r w:rsidRPr="00E71031" w:rsidR="00C34260">
        <w:t>and the other explains the benefits for participating in the study</w:t>
      </w:r>
      <w:r w:rsidR="00C34260">
        <w:t xml:space="preserve"> (</w:t>
      </w:r>
      <w:r w:rsidR="00BD6C2B">
        <w:t>NSDUH</w:t>
      </w:r>
      <w:r w:rsidR="00C34260">
        <w:t xml:space="preserve"> Benefits Video)</w:t>
      </w:r>
      <w:r w:rsidRPr="00FD23DF">
        <w:rPr>
          <w:rFonts w:ascii="Times New Roman" w:hAnsi="Times New Roman" w:cs="Times New Roman"/>
        </w:rPr>
        <w:t xml:space="preserve">. The scripts for these videos are included </w:t>
      </w:r>
      <w:r w:rsidR="00EC0955">
        <w:rPr>
          <w:rFonts w:ascii="Times New Roman" w:hAnsi="Times New Roman" w:cs="Times New Roman"/>
        </w:rPr>
        <w:t>in</w:t>
      </w:r>
      <w:r w:rsidRPr="00FD23DF">
        <w:rPr>
          <w:rFonts w:ascii="Times New Roman" w:hAnsi="Times New Roman" w:cs="Times New Roman"/>
        </w:rPr>
        <w:t xml:space="preserve"> </w:t>
      </w:r>
      <w:r w:rsidRPr="007A6238">
        <w:rPr>
          <w:rFonts w:ascii="Times New Roman" w:hAnsi="Times New Roman" w:cs="Times New Roman"/>
          <w:b/>
          <w:bCs/>
        </w:rPr>
        <w:t xml:space="preserve">Attachment </w:t>
      </w:r>
      <w:r w:rsidR="002560B4">
        <w:rPr>
          <w:rFonts w:ascii="Times New Roman" w:hAnsi="Times New Roman" w:cs="Times New Roman"/>
          <w:b/>
          <w:bCs/>
        </w:rPr>
        <w:t>C</w:t>
      </w:r>
      <w:r w:rsidRPr="00FD23DF">
        <w:rPr>
          <w:rFonts w:ascii="Times New Roman" w:hAnsi="Times New Roman" w:cs="Times New Roman"/>
        </w:rPr>
        <w:t xml:space="preserve"> </w:t>
      </w:r>
    </w:p>
    <w:p w:rsidR="00EE4EB5" w:rsidP="00703946" w14:paraId="0E7972DA" w14:textId="77777777">
      <w:pPr>
        <w:pStyle w:val="BodyText"/>
        <w:rPr>
          <w:rFonts w:ascii="Times New Roman" w:hAnsi="Times New Roman" w:cs="Times New Roman"/>
        </w:rPr>
      </w:pPr>
      <w:r w:rsidRPr="009423F1">
        <w:rPr>
          <w:rFonts w:ascii="Times New Roman" w:hAnsi="Times New Roman" w:cs="Times New Roman"/>
        </w:rPr>
        <w:t>If a potential</w:t>
      </w:r>
      <w:r w:rsidRPr="00FD23DF">
        <w:rPr>
          <w:rFonts w:ascii="Times New Roman" w:hAnsi="Times New Roman" w:cs="Times New Roman"/>
        </w:rPr>
        <w:t xml:space="preserve"> respondent refuses to be screened, the FI has been trained to accept the refusal in a positive manner, thereby minimizing the possibility of creating an adversarial relationship that might preclude future opportunities for contact. The FS may then request that one of several Refusal Letters (</w:t>
      </w:r>
      <w:r w:rsidRPr="007A6238">
        <w:rPr>
          <w:rFonts w:ascii="Times New Roman" w:hAnsi="Times New Roman" w:cs="Times New Roman"/>
          <w:b/>
          <w:bCs/>
        </w:rPr>
        <w:t xml:space="preserve">Attachment </w:t>
      </w:r>
      <w:r w:rsidR="002560B4">
        <w:rPr>
          <w:rFonts w:ascii="Times New Roman" w:hAnsi="Times New Roman" w:cs="Times New Roman"/>
          <w:b/>
          <w:bCs/>
        </w:rPr>
        <w:t>G</w:t>
      </w:r>
      <w:r w:rsidRPr="00FD23DF">
        <w:rPr>
          <w:rFonts w:ascii="Times New Roman" w:hAnsi="Times New Roman" w:cs="Times New Roman"/>
        </w:rPr>
        <w:t xml:space="preserve">) be sent to the residence. </w:t>
      </w:r>
      <w:r w:rsidRPr="00E71031" w:rsidR="005B2866">
        <w:rPr>
          <w:bCs/>
        </w:rPr>
        <w:t xml:space="preserve">The letter sent </w:t>
      </w:r>
      <w:r w:rsidR="005B2866">
        <w:rPr>
          <w:bCs/>
        </w:rPr>
        <w:t>addresses common</w:t>
      </w:r>
      <w:r w:rsidRPr="00E71031" w:rsidR="005B2866">
        <w:rPr>
          <w:bCs/>
        </w:rPr>
        <w:t xml:space="preserve"> concerns and asks </w:t>
      </w:r>
      <w:r w:rsidR="005B2866">
        <w:rPr>
          <w:bCs/>
        </w:rPr>
        <w:t>them</w:t>
      </w:r>
      <w:r w:rsidRPr="00E71031" w:rsidR="005B2866">
        <w:rPr>
          <w:bCs/>
        </w:rPr>
        <w:t xml:space="preserve"> to reconsider participatio</w:t>
      </w:r>
      <w:r w:rsidRPr="00D95E5F" w:rsidR="005B2866">
        <w:rPr>
          <w:bCs/>
        </w:rPr>
        <w:t>n</w:t>
      </w:r>
      <w:r w:rsidR="005B2866">
        <w:rPr>
          <w:bCs/>
        </w:rPr>
        <w:t>.</w:t>
      </w:r>
      <w:r w:rsidRPr="00D95E5F" w:rsidR="005B2866">
        <w:rPr>
          <w:bCs/>
        </w:rPr>
        <w:t xml:space="preserve"> </w:t>
      </w:r>
      <w:r w:rsidRPr="00FD23DF">
        <w:rPr>
          <w:rFonts w:ascii="Times New Roman" w:hAnsi="Times New Roman" w:cs="Times New Roman"/>
        </w:rPr>
        <w:t xml:space="preserve">Refusal letters are customized and include the FS’s phone number in case the potential </w:t>
      </w:r>
      <w:r w:rsidRPr="00FD23DF">
        <w:rPr>
          <w:rFonts w:ascii="Times New Roman" w:hAnsi="Times New Roman" w:cs="Times New Roman"/>
        </w:rPr>
        <w:t>respondent has questions or would like to set up an appointment with the FI</w:t>
      </w:r>
      <w:r w:rsidR="009423F1">
        <w:rPr>
          <w:rFonts w:ascii="Times New Roman" w:hAnsi="Times New Roman" w:cs="Times New Roman"/>
        </w:rPr>
        <w:t xml:space="preserve">. Also, the refusal letters provide </w:t>
      </w:r>
      <w:r>
        <w:rPr>
          <w:rFonts w:ascii="Times New Roman" w:hAnsi="Times New Roman" w:cs="Times New Roman"/>
        </w:rPr>
        <w:t>information to complete the screening (and interview) via the web</w:t>
      </w:r>
      <w:r w:rsidRPr="00FD23DF">
        <w:rPr>
          <w:rFonts w:ascii="Times New Roman" w:hAnsi="Times New Roman" w:cs="Times New Roman"/>
        </w:rPr>
        <w:t xml:space="preserve">. </w:t>
      </w:r>
      <w:r w:rsidRPr="009423F1">
        <w:rPr>
          <w:rFonts w:ascii="Times New Roman" w:hAnsi="Times New Roman" w:cs="Times New Roman"/>
          <w:color w:val="000000"/>
        </w:rPr>
        <w:t>Unless the</w:t>
      </w:r>
      <w:r w:rsidRPr="00FD23DF">
        <w:rPr>
          <w:rFonts w:ascii="Times New Roman" w:hAnsi="Times New Roman" w:cs="Times New Roman"/>
          <w:color w:val="000000"/>
        </w:rPr>
        <w:t xml:space="preserve"> respondent calls the FS</w:t>
      </w:r>
      <w:r w:rsidRPr="00FD23DF" w:rsidR="004C6C17">
        <w:rPr>
          <w:rFonts w:ascii="Times New Roman" w:hAnsi="Times New Roman" w:cs="Times New Roman"/>
          <w:color w:val="000000"/>
        </w:rPr>
        <w:t>, CBHSQ</w:t>
      </w:r>
      <w:r w:rsidRPr="00FD23DF">
        <w:rPr>
          <w:rFonts w:ascii="Times New Roman" w:hAnsi="Times New Roman" w:cs="Times New Roman"/>
          <w:color w:val="000000"/>
        </w:rPr>
        <w:t xml:space="preserve"> or the Contractor’s office to refuse participation, a</w:t>
      </w:r>
      <w:r w:rsidRPr="00FD23DF">
        <w:rPr>
          <w:rFonts w:ascii="Times New Roman" w:hAnsi="Times New Roman" w:cs="Times New Roman"/>
        </w:rPr>
        <w:t xml:space="preserve">n in-person conversion is then attempted by specially-selected FIs with successful conversion experience. </w:t>
      </w:r>
    </w:p>
    <w:p w:rsidR="00F74785" w:rsidP="00703946" w14:paraId="6437C1B3" w14:textId="5A058715">
      <w:pPr>
        <w:pStyle w:val="BodyText"/>
        <w:rPr>
          <w:rFonts w:ascii="Times New Roman" w:hAnsi="Times New Roman" w:cs="Times New Roman"/>
        </w:rPr>
      </w:pPr>
      <w:r>
        <w:rPr>
          <w:rFonts w:ascii="Times New Roman" w:hAnsi="Times New Roman" w:cs="Times New Roman"/>
        </w:rPr>
        <w:t xml:space="preserve">For respondents that request to complete the screening (or interview) online or refuses the in-person screening (or interview), </w:t>
      </w:r>
      <w:r w:rsidR="00E34D6A">
        <w:rPr>
          <w:rFonts w:ascii="Times New Roman" w:hAnsi="Times New Roman" w:cs="Times New Roman"/>
        </w:rPr>
        <w:t>the FI</w:t>
      </w:r>
      <w:r>
        <w:rPr>
          <w:rFonts w:ascii="Times New Roman" w:hAnsi="Times New Roman" w:cs="Times New Roman"/>
        </w:rPr>
        <w:t xml:space="preserve"> has </w:t>
      </w:r>
      <w:r w:rsidRPr="00AE664C" w:rsidR="00AE664C">
        <w:rPr>
          <w:rFonts w:ascii="Times New Roman" w:hAnsi="Times New Roman" w:cs="Times New Roman"/>
        </w:rPr>
        <w:t xml:space="preserve">the option to offer the </w:t>
      </w:r>
      <w:r>
        <w:rPr>
          <w:rFonts w:ascii="Times New Roman" w:hAnsi="Times New Roman" w:cs="Times New Roman"/>
        </w:rPr>
        <w:t>sample dwelling unit’s (</w:t>
      </w:r>
      <w:r w:rsidRPr="00AE664C" w:rsidR="00AE664C">
        <w:rPr>
          <w:rFonts w:ascii="Times New Roman" w:hAnsi="Times New Roman" w:cs="Times New Roman"/>
        </w:rPr>
        <w:t>SDU</w:t>
      </w:r>
      <w:r>
        <w:rPr>
          <w:rFonts w:ascii="Times New Roman" w:hAnsi="Times New Roman" w:cs="Times New Roman"/>
        </w:rPr>
        <w:t xml:space="preserve">) </w:t>
      </w:r>
      <w:r w:rsidRPr="00AE664C" w:rsidR="00AE664C">
        <w:rPr>
          <w:rFonts w:ascii="Times New Roman" w:hAnsi="Times New Roman" w:cs="Times New Roman"/>
        </w:rPr>
        <w:t>unique 10-digit alphanumeric participant code for online participation</w:t>
      </w:r>
      <w:r>
        <w:rPr>
          <w:rFonts w:ascii="Times New Roman" w:hAnsi="Times New Roman" w:cs="Times New Roman"/>
        </w:rPr>
        <w:t xml:space="preserve">. </w:t>
      </w:r>
      <w:r w:rsidRPr="00AE664C" w:rsidR="00AE664C">
        <w:rPr>
          <w:rFonts w:ascii="Times New Roman" w:hAnsi="Times New Roman" w:cs="Times New Roman"/>
        </w:rPr>
        <w:t>If a respondent agrees to accept the code, the FI accesses the code from their tablet, writes the code onto the Participant Code Card (</w:t>
      </w:r>
      <w:r w:rsidRPr="007A6238" w:rsidR="00AE664C">
        <w:rPr>
          <w:rFonts w:ascii="Times New Roman" w:hAnsi="Times New Roman" w:cs="Times New Roman"/>
          <w:b/>
          <w:bCs/>
        </w:rPr>
        <w:t xml:space="preserve">Attachment </w:t>
      </w:r>
      <w:r w:rsidRPr="007A6238">
        <w:rPr>
          <w:rFonts w:ascii="Times New Roman" w:hAnsi="Times New Roman" w:cs="Times New Roman"/>
          <w:b/>
          <w:bCs/>
        </w:rPr>
        <w:t>P</w:t>
      </w:r>
      <w:r w:rsidRPr="00AE664C" w:rsidR="00AE664C">
        <w:rPr>
          <w:rFonts w:ascii="Times New Roman" w:hAnsi="Times New Roman" w:cs="Times New Roman"/>
        </w:rPr>
        <w:t xml:space="preserve">), and hands the prepared card to the respondent. This card also provides instructions for accessing the </w:t>
      </w:r>
      <w:r w:rsidR="00BD6C2B">
        <w:rPr>
          <w:rFonts w:ascii="Times New Roman" w:hAnsi="Times New Roman" w:cs="Times New Roman"/>
        </w:rPr>
        <w:t>NSDUH</w:t>
      </w:r>
      <w:r w:rsidRPr="00AE664C" w:rsidR="00AE664C">
        <w:rPr>
          <w:rFonts w:ascii="Times New Roman" w:hAnsi="Times New Roman" w:cs="Times New Roman"/>
        </w:rPr>
        <w:t xml:space="preserve"> screening/interviewing website (including a QR code for quick access) and </w:t>
      </w:r>
      <w:r w:rsidR="00BD6C2B">
        <w:rPr>
          <w:rFonts w:ascii="Times New Roman" w:hAnsi="Times New Roman" w:cs="Times New Roman"/>
        </w:rPr>
        <w:t>NSDUH</w:t>
      </w:r>
      <w:r w:rsidRPr="00AE664C" w:rsidR="00AE664C">
        <w:rPr>
          <w:rFonts w:ascii="Times New Roman" w:hAnsi="Times New Roman" w:cs="Times New Roman"/>
        </w:rPr>
        <w:t xml:space="preserve">’s toll-free </w:t>
      </w:r>
      <w:r>
        <w:rPr>
          <w:rFonts w:ascii="Times New Roman" w:hAnsi="Times New Roman" w:cs="Times New Roman"/>
        </w:rPr>
        <w:t>respondent call line (</w:t>
      </w:r>
      <w:r w:rsidRPr="00AE664C" w:rsidR="00AE664C">
        <w:rPr>
          <w:rFonts w:ascii="Times New Roman" w:hAnsi="Times New Roman" w:cs="Times New Roman"/>
        </w:rPr>
        <w:t>RC</w:t>
      </w:r>
      <w:r>
        <w:rPr>
          <w:rFonts w:ascii="Times New Roman" w:hAnsi="Times New Roman" w:cs="Times New Roman"/>
        </w:rPr>
        <w:t>L)</w:t>
      </w:r>
      <w:r w:rsidRPr="00AE664C" w:rsidR="00AE664C">
        <w:rPr>
          <w:rFonts w:ascii="Times New Roman" w:hAnsi="Times New Roman" w:cs="Times New Roman"/>
        </w:rPr>
        <w:t xml:space="preserve"> number in case they have questions. </w:t>
      </w:r>
    </w:p>
    <w:p w:rsidR="00F74785" w:rsidRPr="00F74785" w:rsidP="00703946" w14:paraId="4A0EEC2F" w14:textId="211C1C3A">
      <w:pPr>
        <w:pStyle w:val="BodyText"/>
        <w:rPr>
          <w:rFonts w:ascii="Times New Roman" w:hAnsi="Times New Roman" w:cs="Times New Roman"/>
        </w:rPr>
      </w:pPr>
      <w:r>
        <w:rPr>
          <w:rFonts w:ascii="Times New Roman" w:hAnsi="Times New Roman" w:cs="Times New Roman"/>
        </w:rPr>
        <w:t xml:space="preserve">In addition, to </w:t>
      </w:r>
      <w:r w:rsidR="00EF163C">
        <w:rPr>
          <w:rFonts w:ascii="Times New Roman" w:hAnsi="Times New Roman" w:cs="Times New Roman"/>
        </w:rPr>
        <w:t xml:space="preserve">help </w:t>
      </w:r>
      <w:r>
        <w:rPr>
          <w:rFonts w:ascii="Times New Roman" w:hAnsi="Times New Roman" w:cs="Times New Roman"/>
        </w:rPr>
        <w:t xml:space="preserve">communicate that a diverse group of people participate in </w:t>
      </w:r>
      <w:r w:rsidR="00BD6C2B">
        <w:rPr>
          <w:rFonts w:ascii="Times New Roman" w:hAnsi="Times New Roman" w:cs="Times New Roman"/>
        </w:rPr>
        <w:t>NSDUH</w:t>
      </w:r>
      <w:r w:rsidR="00EF163C">
        <w:rPr>
          <w:rFonts w:ascii="Times New Roman" w:hAnsi="Times New Roman" w:cs="Times New Roman"/>
        </w:rPr>
        <w:t xml:space="preserve"> and therefore increase their level of interest, the FI has the option to provide the </w:t>
      </w:r>
      <w:r w:rsidRPr="00F74785" w:rsidR="00EF163C">
        <w:rPr>
          <w:rFonts w:ascii="Times New Roman" w:hAnsi="Times New Roman" w:cs="Times New Roman"/>
        </w:rPr>
        <w:t>Engaging Respondents Handout (</w:t>
      </w:r>
      <w:r w:rsidRPr="007A6238" w:rsidR="00EF163C">
        <w:rPr>
          <w:rFonts w:ascii="Times New Roman" w:hAnsi="Times New Roman" w:cs="Times New Roman"/>
          <w:b/>
          <w:bCs/>
        </w:rPr>
        <w:t xml:space="preserve">Attachment </w:t>
      </w:r>
      <w:r w:rsidRPr="007A6238" w:rsidR="00E34D6A">
        <w:rPr>
          <w:rFonts w:ascii="Times New Roman" w:hAnsi="Times New Roman" w:cs="Times New Roman"/>
          <w:b/>
          <w:bCs/>
        </w:rPr>
        <w:t>Q</w:t>
      </w:r>
      <w:r w:rsidRPr="00F74785" w:rsidR="00EF163C">
        <w:rPr>
          <w:rFonts w:ascii="Times New Roman" w:hAnsi="Times New Roman" w:cs="Times New Roman"/>
        </w:rPr>
        <w:t>)</w:t>
      </w:r>
      <w:r w:rsidR="00EF163C">
        <w:rPr>
          <w:rFonts w:ascii="Times New Roman" w:hAnsi="Times New Roman" w:cs="Times New Roman"/>
        </w:rPr>
        <w:t xml:space="preserve"> to respondents. This handout was designed to p</w:t>
      </w:r>
      <w:r w:rsidRPr="00F74785">
        <w:rPr>
          <w:rFonts w:ascii="Times New Roman" w:hAnsi="Times New Roman" w:cs="Times New Roman"/>
        </w:rPr>
        <w:t>romote respondent participation among under-represented subpopulations, including LGBTQI+, Asian, and Native Hawaiian and Pacific Islander</w:t>
      </w:r>
      <w:r w:rsidR="00EF163C">
        <w:rPr>
          <w:rFonts w:ascii="Times New Roman" w:hAnsi="Times New Roman" w:cs="Times New Roman"/>
        </w:rPr>
        <w:t>.</w:t>
      </w:r>
      <w:r w:rsidRPr="00F74785">
        <w:rPr>
          <w:rFonts w:ascii="Times New Roman" w:hAnsi="Times New Roman" w:cs="Times New Roman"/>
        </w:rPr>
        <w:t xml:space="preserve"> </w:t>
      </w:r>
    </w:p>
    <w:p w:rsidR="00501DD2" w:rsidRPr="00FD23DF" w:rsidP="00703946" w14:paraId="3987A017" w14:textId="32757000">
      <w:pPr>
        <w:pStyle w:val="BodyText"/>
        <w:rPr>
          <w:rFonts w:ascii="Times New Roman" w:hAnsi="Times New Roman" w:cs="Times New Roman"/>
        </w:rPr>
      </w:pPr>
      <w:r w:rsidRPr="00E34D6A">
        <w:rPr>
          <w:rFonts w:ascii="Times New Roman" w:hAnsi="Times New Roman" w:cs="Times New Roman"/>
        </w:rPr>
        <w:t xml:space="preserve">To </w:t>
      </w:r>
      <w:r>
        <w:rPr>
          <w:rFonts w:ascii="Times New Roman" w:hAnsi="Times New Roman" w:cs="Times New Roman"/>
        </w:rPr>
        <w:t xml:space="preserve">help allay respondent </w:t>
      </w:r>
      <w:r w:rsidRPr="00F74785">
        <w:rPr>
          <w:rFonts w:ascii="Times New Roman" w:hAnsi="Times New Roman" w:cs="Times New Roman"/>
        </w:rPr>
        <w:t>fears about confidentiality and data security</w:t>
      </w:r>
      <w:r>
        <w:rPr>
          <w:rFonts w:ascii="Times New Roman" w:hAnsi="Times New Roman" w:cs="Times New Roman"/>
        </w:rPr>
        <w:t xml:space="preserve">, FIs may also provide the </w:t>
      </w:r>
      <w:r w:rsidRPr="00F74785">
        <w:rPr>
          <w:rFonts w:ascii="Times New Roman" w:hAnsi="Times New Roman" w:cs="Times New Roman"/>
        </w:rPr>
        <w:t xml:space="preserve">Data Security </w:t>
      </w:r>
      <w:r>
        <w:rPr>
          <w:rFonts w:ascii="Times New Roman" w:hAnsi="Times New Roman" w:cs="Times New Roman"/>
        </w:rPr>
        <w:t>Handout</w:t>
      </w:r>
      <w:r w:rsidRPr="00F74785">
        <w:rPr>
          <w:rFonts w:ascii="Times New Roman" w:hAnsi="Times New Roman" w:cs="Times New Roman"/>
        </w:rPr>
        <w:t xml:space="preserve"> (</w:t>
      </w:r>
      <w:r w:rsidRPr="007A6238">
        <w:rPr>
          <w:rFonts w:ascii="Times New Roman" w:hAnsi="Times New Roman" w:cs="Times New Roman"/>
          <w:b/>
          <w:bCs/>
        </w:rPr>
        <w:t>Attachment R</w:t>
      </w:r>
      <w:r w:rsidRPr="00F74785">
        <w:rPr>
          <w:rFonts w:ascii="Times New Roman" w:hAnsi="Times New Roman" w:cs="Times New Roman"/>
        </w:rPr>
        <w:t>)</w:t>
      </w:r>
      <w:r>
        <w:rPr>
          <w:rFonts w:ascii="Times New Roman" w:hAnsi="Times New Roman" w:cs="Times New Roman"/>
        </w:rPr>
        <w:t xml:space="preserve"> to help address </w:t>
      </w:r>
      <w:r w:rsidRPr="00F74785" w:rsidR="00F74785">
        <w:rPr>
          <w:rFonts w:ascii="Times New Roman" w:hAnsi="Times New Roman" w:cs="Times New Roman"/>
        </w:rPr>
        <w:t>respondents’ main barriers (e.g., feeling targeted, fear of being scammed, concerns about how the federal government will handle their data, etc.)</w:t>
      </w:r>
      <w:r>
        <w:rPr>
          <w:rFonts w:ascii="Times New Roman" w:hAnsi="Times New Roman" w:cs="Times New Roman"/>
        </w:rPr>
        <w:t xml:space="preserve">. </w:t>
      </w:r>
      <w:r w:rsidRPr="00F74785" w:rsidR="00F74785">
        <w:rPr>
          <w:rFonts w:ascii="Times New Roman" w:hAnsi="Times New Roman" w:cs="Times New Roman"/>
        </w:rPr>
        <w:t xml:space="preserve">Furthermore, </w:t>
      </w:r>
      <w:r>
        <w:rPr>
          <w:rFonts w:ascii="Times New Roman" w:hAnsi="Times New Roman" w:cs="Times New Roman"/>
        </w:rPr>
        <w:t xml:space="preserve">to </w:t>
      </w:r>
      <w:r w:rsidRPr="00F74785">
        <w:rPr>
          <w:rFonts w:ascii="Times New Roman" w:hAnsi="Times New Roman" w:cs="Times New Roman"/>
        </w:rPr>
        <w:t xml:space="preserve">help convey the legitimacy and importance of </w:t>
      </w:r>
      <w:r w:rsidR="00BD6C2B">
        <w:rPr>
          <w:rFonts w:ascii="Times New Roman" w:hAnsi="Times New Roman" w:cs="Times New Roman"/>
        </w:rPr>
        <w:t>NSDUH</w:t>
      </w:r>
      <w:r w:rsidRPr="00F74785">
        <w:rPr>
          <w:rFonts w:ascii="Times New Roman" w:hAnsi="Times New Roman" w:cs="Times New Roman"/>
        </w:rPr>
        <w:t xml:space="preserve">, especially to those </w:t>
      </w:r>
      <w:r w:rsidR="00610ACD">
        <w:rPr>
          <w:rFonts w:ascii="Times New Roman" w:hAnsi="Times New Roman" w:cs="Times New Roman"/>
        </w:rPr>
        <w:t xml:space="preserve">respondents </w:t>
      </w:r>
      <w:r w:rsidRPr="00F74785">
        <w:rPr>
          <w:rFonts w:ascii="Times New Roman" w:hAnsi="Times New Roman" w:cs="Times New Roman"/>
        </w:rPr>
        <w:t xml:space="preserve">who want to know how </w:t>
      </w:r>
      <w:r w:rsidR="00BD6C2B">
        <w:rPr>
          <w:rFonts w:ascii="Times New Roman" w:hAnsi="Times New Roman" w:cs="Times New Roman"/>
        </w:rPr>
        <w:t>NSDUH</w:t>
      </w:r>
      <w:r w:rsidRPr="00F74785">
        <w:rPr>
          <w:rFonts w:ascii="Times New Roman" w:hAnsi="Times New Roman" w:cs="Times New Roman"/>
        </w:rPr>
        <w:t xml:space="preserve"> data are used in their state</w:t>
      </w:r>
      <w:r>
        <w:rPr>
          <w:rFonts w:ascii="Times New Roman" w:hAnsi="Times New Roman" w:cs="Times New Roman"/>
        </w:rPr>
        <w:t>, FIs may provide the State Highlight (</w:t>
      </w:r>
      <w:r w:rsidR="00610ACD">
        <w:rPr>
          <w:rFonts w:ascii="Times New Roman" w:hAnsi="Times New Roman" w:cs="Times New Roman"/>
        </w:rPr>
        <w:t xml:space="preserve">see </w:t>
      </w:r>
      <w:r>
        <w:rPr>
          <w:rFonts w:ascii="Times New Roman" w:hAnsi="Times New Roman" w:cs="Times New Roman"/>
        </w:rPr>
        <w:t xml:space="preserve">example </w:t>
      </w:r>
      <w:r w:rsidR="00610ACD">
        <w:rPr>
          <w:rFonts w:ascii="Times New Roman" w:hAnsi="Times New Roman" w:cs="Times New Roman"/>
        </w:rPr>
        <w:t xml:space="preserve">in </w:t>
      </w:r>
      <w:r w:rsidRPr="007A6238">
        <w:rPr>
          <w:rFonts w:ascii="Times New Roman" w:hAnsi="Times New Roman" w:cs="Times New Roman"/>
          <w:b/>
          <w:bCs/>
        </w:rPr>
        <w:t xml:space="preserve">Attachment </w:t>
      </w:r>
      <w:r w:rsidRPr="007A6238" w:rsidR="00610ACD">
        <w:rPr>
          <w:rFonts w:ascii="Times New Roman" w:hAnsi="Times New Roman" w:cs="Times New Roman"/>
          <w:b/>
          <w:bCs/>
        </w:rPr>
        <w:t>S</w:t>
      </w:r>
      <w:r w:rsidR="00610ACD">
        <w:rPr>
          <w:rFonts w:ascii="Times New Roman" w:hAnsi="Times New Roman" w:cs="Times New Roman"/>
        </w:rPr>
        <w:t xml:space="preserve">) for their respective state to respondents. This material </w:t>
      </w:r>
      <w:r w:rsidRPr="00F74785" w:rsidR="00610ACD">
        <w:rPr>
          <w:rFonts w:ascii="Times New Roman" w:hAnsi="Times New Roman" w:cs="Times New Roman"/>
        </w:rPr>
        <w:t xml:space="preserve">provides state-level statistics depicted in graphs, which may convey legitimacy to </w:t>
      </w:r>
      <w:r w:rsidR="00610ACD">
        <w:rPr>
          <w:rFonts w:ascii="Times New Roman" w:hAnsi="Times New Roman" w:cs="Times New Roman"/>
        </w:rPr>
        <w:t>respondents</w:t>
      </w:r>
      <w:r w:rsidRPr="00F74785" w:rsidR="00610ACD">
        <w:rPr>
          <w:rFonts w:ascii="Times New Roman" w:hAnsi="Times New Roman" w:cs="Times New Roman"/>
        </w:rPr>
        <w:t xml:space="preserve"> who misinterpret </w:t>
      </w:r>
      <w:r w:rsidR="00BD6C2B">
        <w:rPr>
          <w:rFonts w:ascii="Times New Roman" w:hAnsi="Times New Roman" w:cs="Times New Roman"/>
        </w:rPr>
        <w:t>NSDUH</w:t>
      </w:r>
      <w:r w:rsidRPr="00F74785" w:rsidR="00610ACD">
        <w:rPr>
          <w:rFonts w:ascii="Times New Roman" w:hAnsi="Times New Roman" w:cs="Times New Roman"/>
        </w:rPr>
        <w:t xml:space="preserve"> as a marketing survey.</w:t>
      </w:r>
      <w:r w:rsidR="00BD5A96">
        <w:rPr>
          <w:rFonts w:ascii="Times New Roman" w:hAnsi="Times New Roman" w:cs="Times New Roman"/>
        </w:rPr>
        <w:t xml:space="preserve"> </w:t>
      </w:r>
      <w:r w:rsidRPr="00FD23DF">
        <w:rPr>
          <w:rFonts w:ascii="Times New Roman" w:hAnsi="Times New Roman" w:cs="Times New Roman"/>
        </w:rPr>
        <w:t xml:space="preserve">With respondent cooperation, the FI will begin screening the SDU by asking either the Housing Unit Screening questions, or the Group Quarters Unit Screening questions, as appropriate. The screening questions are administered using a touch screen Android tablet computer. </w:t>
      </w:r>
      <w:r w:rsidR="00EE4EB5">
        <w:rPr>
          <w:rFonts w:ascii="Times New Roman" w:hAnsi="Times New Roman" w:cs="Times New Roman"/>
        </w:rPr>
        <w:t>T</w:t>
      </w:r>
      <w:r w:rsidRPr="00FD23DF">
        <w:rPr>
          <w:rFonts w:ascii="Times New Roman" w:hAnsi="Times New Roman" w:cs="Times New Roman"/>
        </w:rPr>
        <w:t xml:space="preserve">he housing unit and group quarters unit screening </w:t>
      </w:r>
      <w:r w:rsidR="00EE4EB5">
        <w:rPr>
          <w:rFonts w:ascii="Times New Roman" w:hAnsi="Times New Roman" w:cs="Times New Roman"/>
        </w:rPr>
        <w:t>questions</w:t>
      </w:r>
      <w:r w:rsidR="00BC1C19">
        <w:rPr>
          <w:rFonts w:ascii="Times New Roman" w:hAnsi="Times New Roman" w:cs="Times New Roman"/>
        </w:rPr>
        <w:t xml:space="preserve"> </w:t>
      </w:r>
      <w:r w:rsidR="00EE4EB5">
        <w:rPr>
          <w:rFonts w:ascii="Times New Roman" w:hAnsi="Times New Roman" w:cs="Times New Roman"/>
        </w:rPr>
        <w:t>are</w:t>
      </w:r>
      <w:r w:rsidRPr="00FD23DF">
        <w:rPr>
          <w:rFonts w:ascii="Times New Roman" w:hAnsi="Times New Roman" w:cs="Times New Roman"/>
        </w:rPr>
        <w:t xml:space="preserve"> shown in </w:t>
      </w:r>
      <w:r w:rsidRPr="007A6238">
        <w:rPr>
          <w:rFonts w:ascii="Times New Roman" w:hAnsi="Times New Roman" w:cs="Times New Roman"/>
          <w:b/>
          <w:bCs/>
        </w:rPr>
        <w:t xml:space="preserve">Attachment </w:t>
      </w:r>
      <w:r w:rsidRPr="007A6238" w:rsidR="00E805C0">
        <w:rPr>
          <w:rFonts w:ascii="Times New Roman" w:hAnsi="Times New Roman" w:cs="Times New Roman"/>
          <w:b/>
          <w:bCs/>
        </w:rPr>
        <w:t>T</w:t>
      </w:r>
      <w:r w:rsidRPr="00FD23DF">
        <w:rPr>
          <w:rFonts w:ascii="Times New Roman" w:hAnsi="Times New Roman" w:cs="Times New Roman"/>
        </w:rPr>
        <w:t xml:space="preserve">. </w:t>
      </w:r>
    </w:p>
    <w:p w:rsidR="00501DD2" w:rsidRPr="00FD23DF" w:rsidP="00703946" w14:paraId="2315641B" w14:textId="77777777">
      <w:pPr>
        <w:pStyle w:val="BodyText"/>
        <w:rPr>
          <w:rFonts w:ascii="Times New Roman" w:hAnsi="Times New Roman" w:cs="Times New Roman"/>
        </w:rPr>
      </w:pPr>
      <w:r w:rsidRPr="00FD23DF">
        <w:rPr>
          <w:rFonts w:ascii="Times New Roman" w:hAnsi="Times New Roman" w:cs="Times New Roman"/>
        </w:rPr>
        <w:t xml:space="preserve">Once all household members aged 12 or older have been rostered, the hand-held computer performs the within-dwelling-unit sampling process, selecting zero, one, or two members to complete the interview. </w:t>
      </w:r>
      <w:r w:rsidRPr="00FD23DF">
        <w:rPr>
          <w:rFonts w:ascii="Times New Roman" w:hAnsi="Times New Roman" w:cs="Times New Roman"/>
          <w:color w:val="000000"/>
        </w:rPr>
        <w:t>For cases with no one selected,</w:t>
      </w:r>
      <w:r w:rsidRPr="00FD23DF">
        <w:rPr>
          <w:rFonts w:ascii="Times New Roman" w:hAnsi="Times New Roman" w:cs="Times New Roman"/>
        </w:rPr>
        <w:t xml:space="preserve"> the FI asks for a name and phone number for use in verifying the quality of the FI’s work, thanks the respondent, and concludes the household contact.</w:t>
      </w:r>
    </w:p>
    <w:p w:rsidR="00501DD2" w:rsidRPr="00FD23DF" w:rsidP="00501DD2" w14:paraId="06AE19CF" w14:textId="77777777">
      <w:pPr>
        <w:pStyle w:val="BodyText"/>
        <w:rPr>
          <w:rFonts w:ascii="Times New Roman" w:hAnsi="Times New Roman" w:cs="Times New Roman"/>
        </w:rPr>
      </w:pPr>
      <w:r w:rsidRPr="0090118F">
        <w:rPr>
          <w:rFonts w:ascii="Times New Roman" w:hAnsi="Times New Roman" w:cs="Times New Roman"/>
        </w:rPr>
        <w:t>For</w:t>
      </w:r>
      <w:r w:rsidRPr="00FD23DF">
        <w:rPr>
          <w:rFonts w:ascii="Times New Roman" w:hAnsi="Times New Roman" w:cs="Times New Roman"/>
        </w:rPr>
        <w:t xml:space="preserve"> each person selected to complete the interview, the FI follows these steps:</w:t>
      </w:r>
    </w:p>
    <w:p w:rsidR="00501DD2" w:rsidRPr="00FD23DF" w:rsidP="00501DD2" w14:paraId="6020BDF0" w14:textId="77777777">
      <w:pPr>
        <w:pStyle w:val="Bullett1"/>
        <w:tabs>
          <w:tab w:val="clear" w:pos="360"/>
        </w:tabs>
        <w:ind w:left="1800" w:hanging="360"/>
        <w:rPr>
          <w:rFonts w:ascii="Times New Roman" w:hAnsi="Times New Roman" w:cs="Times New Roman"/>
        </w:rPr>
      </w:pPr>
      <w:r w:rsidRPr="00FD23DF">
        <w:rPr>
          <w:rFonts w:ascii="Times New Roman" w:hAnsi="Times New Roman" w:cs="Times New Roman"/>
        </w:rPr>
        <w:t>If the selected individual is aged 18 or older</w:t>
      </w:r>
      <w:r w:rsidR="006574D2">
        <w:rPr>
          <w:rFonts w:ascii="Times New Roman" w:hAnsi="Times New Roman" w:cs="Times New Roman"/>
        </w:rPr>
        <w:t xml:space="preserve"> </w:t>
      </w:r>
      <w:r w:rsidRPr="00FD23DF">
        <w:rPr>
          <w:rFonts w:ascii="Times New Roman" w:hAnsi="Times New Roman" w:cs="Times New Roman"/>
        </w:rPr>
        <w:t>and is currently available, the FI immediately seeks to obtain informed consent. Once consent is obtained, the FI begins to administer the questionnaire in a private setting within the dwelling unit. As necessary and appropriate, the FI may make use of the Appointment Card (in</w:t>
      </w:r>
      <w:r w:rsidR="0090118F">
        <w:rPr>
          <w:rFonts w:ascii="Times New Roman" w:hAnsi="Times New Roman" w:cs="Times New Roman"/>
        </w:rPr>
        <w:t>cluded in</w:t>
      </w:r>
      <w:r w:rsidRPr="00FD23DF">
        <w:rPr>
          <w:rFonts w:ascii="Times New Roman" w:hAnsi="Times New Roman" w:cs="Times New Roman"/>
        </w:rPr>
        <w:t xml:space="preserve"> </w:t>
      </w:r>
      <w:r w:rsidRPr="007A6238">
        <w:rPr>
          <w:rFonts w:ascii="Times New Roman" w:hAnsi="Times New Roman" w:cs="Times New Roman"/>
          <w:b/>
          <w:bCs/>
        </w:rPr>
        <w:t xml:space="preserve">Attachment </w:t>
      </w:r>
      <w:r w:rsidRPr="007A6238" w:rsidR="001C0EC3">
        <w:rPr>
          <w:rFonts w:ascii="Times New Roman" w:hAnsi="Times New Roman" w:cs="Times New Roman"/>
          <w:b/>
          <w:bCs/>
        </w:rPr>
        <w:t>D</w:t>
      </w:r>
      <w:r w:rsidRPr="00FD23DF">
        <w:rPr>
          <w:rFonts w:ascii="Times New Roman" w:hAnsi="Times New Roman" w:cs="Times New Roman"/>
        </w:rPr>
        <w:t>) for scheduled return visits with the respondent.</w:t>
      </w:r>
    </w:p>
    <w:p w:rsidR="00501DD2" w:rsidRPr="00FD23DF" w:rsidP="00501DD2" w14:paraId="632392AD" w14:textId="77777777">
      <w:pPr>
        <w:pStyle w:val="Bullett1"/>
        <w:tabs>
          <w:tab w:val="clear" w:pos="360"/>
        </w:tabs>
        <w:ind w:left="1800" w:hanging="360"/>
        <w:rPr>
          <w:rFonts w:ascii="Times New Roman" w:hAnsi="Times New Roman" w:cs="Times New Roman"/>
        </w:rPr>
      </w:pPr>
      <w:r w:rsidRPr="00FD23DF">
        <w:rPr>
          <w:rFonts w:ascii="Times New Roman" w:hAnsi="Times New Roman" w:cs="Times New Roman"/>
        </w:rPr>
        <w:t xml:space="preserve">If the selected individual is 12 to 17 years of age, the FI </w:t>
      </w:r>
      <w:r w:rsidRPr="00FD23DF" w:rsidR="000E07C9">
        <w:rPr>
          <w:rFonts w:ascii="Times New Roman" w:hAnsi="Times New Roman" w:cs="Times New Roman"/>
        </w:rPr>
        <w:t>reads</w:t>
      </w:r>
      <w:r w:rsidRPr="00FD23DF">
        <w:rPr>
          <w:rFonts w:ascii="Times New Roman" w:hAnsi="Times New Roman" w:cs="Times New Roman"/>
        </w:rPr>
        <w:t xml:space="preserve"> the </w:t>
      </w:r>
      <w:r w:rsidR="0090118F">
        <w:rPr>
          <w:rFonts w:ascii="Times New Roman" w:hAnsi="Times New Roman" w:cs="Times New Roman"/>
        </w:rPr>
        <w:t>P</w:t>
      </w:r>
      <w:r w:rsidRPr="00FD23DF">
        <w:rPr>
          <w:rFonts w:ascii="Times New Roman" w:hAnsi="Times New Roman" w:cs="Times New Roman"/>
        </w:rPr>
        <w:t xml:space="preserve">arental </w:t>
      </w:r>
      <w:r w:rsidR="0090118F">
        <w:rPr>
          <w:rFonts w:ascii="Times New Roman" w:hAnsi="Times New Roman" w:cs="Times New Roman"/>
        </w:rPr>
        <w:t>I</w:t>
      </w:r>
      <w:r w:rsidRPr="00FD23DF">
        <w:rPr>
          <w:rFonts w:ascii="Times New Roman" w:hAnsi="Times New Roman" w:cs="Times New Roman"/>
        </w:rPr>
        <w:t xml:space="preserve">ntroductory </w:t>
      </w:r>
      <w:r w:rsidR="0090118F">
        <w:rPr>
          <w:rFonts w:ascii="Times New Roman" w:hAnsi="Times New Roman" w:cs="Times New Roman"/>
        </w:rPr>
        <w:t>S</w:t>
      </w:r>
      <w:r w:rsidRPr="00FD23DF">
        <w:rPr>
          <w:rFonts w:ascii="Times New Roman" w:hAnsi="Times New Roman" w:cs="Times New Roman"/>
        </w:rPr>
        <w:t>cript (</w:t>
      </w:r>
      <w:r w:rsidRPr="007A6238">
        <w:rPr>
          <w:rFonts w:ascii="Times New Roman" w:hAnsi="Times New Roman" w:cs="Times New Roman"/>
          <w:b/>
          <w:bCs/>
        </w:rPr>
        <w:t xml:space="preserve">Attachment </w:t>
      </w:r>
      <w:r w:rsidRPr="007A6238" w:rsidR="001C0EC3">
        <w:rPr>
          <w:rFonts w:ascii="Times New Roman" w:hAnsi="Times New Roman" w:cs="Times New Roman"/>
          <w:b/>
          <w:bCs/>
        </w:rPr>
        <w:t>L</w:t>
      </w:r>
      <w:r w:rsidRPr="00FD23DF">
        <w:rPr>
          <w:rFonts w:ascii="Times New Roman" w:hAnsi="Times New Roman" w:cs="Times New Roman"/>
        </w:rPr>
        <w:t xml:space="preserve">) </w:t>
      </w:r>
      <w:r w:rsidR="0090118F">
        <w:rPr>
          <w:rFonts w:ascii="Times New Roman" w:hAnsi="Times New Roman" w:cs="Times New Roman"/>
        </w:rPr>
        <w:t xml:space="preserve">from the tablet </w:t>
      </w:r>
      <w:r w:rsidRPr="00FD23DF">
        <w:rPr>
          <w:rFonts w:ascii="Times New Roman" w:hAnsi="Times New Roman" w:cs="Times New Roman"/>
        </w:rPr>
        <w:t>to the parent or guardian before speaking with the youth about</w:t>
      </w:r>
      <w:r w:rsidRPr="00FD23DF" w:rsidR="000E07C9">
        <w:rPr>
          <w:rFonts w:ascii="Times New Roman" w:hAnsi="Times New Roman" w:cs="Times New Roman"/>
        </w:rPr>
        <w:t xml:space="preserve"> the interview</w:t>
      </w:r>
      <w:r w:rsidRPr="00FD23DF">
        <w:rPr>
          <w:rFonts w:ascii="Times New Roman" w:hAnsi="Times New Roman" w:cs="Times New Roman"/>
        </w:rPr>
        <w:t xml:space="preserve">. Subsequently, parental consent is sought from the selected individual’s parent or legal guardian using the </w:t>
      </w:r>
      <w:r w:rsidRPr="00FD23DF" w:rsidR="00FF2AE0">
        <w:rPr>
          <w:rFonts w:ascii="Times New Roman" w:hAnsi="Times New Roman" w:cs="Times New Roman"/>
        </w:rPr>
        <w:t xml:space="preserve">parent </w:t>
      </w:r>
      <w:r w:rsidRPr="00FD23DF">
        <w:rPr>
          <w:rFonts w:ascii="Times New Roman" w:hAnsi="Times New Roman" w:cs="Times New Roman"/>
        </w:rPr>
        <w:t>section of the youth version of the Introduction and Informed Consent Scripts (</w:t>
      </w:r>
      <w:r w:rsidRPr="007A6238">
        <w:rPr>
          <w:rFonts w:ascii="Times New Roman" w:hAnsi="Times New Roman" w:cs="Times New Roman"/>
          <w:b/>
          <w:bCs/>
        </w:rPr>
        <w:t xml:space="preserve">Attachment </w:t>
      </w:r>
      <w:r w:rsidRPr="007A6238" w:rsidR="001C0EC3">
        <w:rPr>
          <w:rFonts w:ascii="Times New Roman" w:hAnsi="Times New Roman" w:cs="Times New Roman"/>
          <w:b/>
          <w:bCs/>
        </w:rPr>
        <w:t>J</w:t>
      </w:r>
      <w:r w:rsidRPr="00FD23DF">
        <w:rPr>
          <w:rFonts w:ascii="Times New Roman" w:hAnsi="Times New Roman" w:cs="Times New Roman"/>
        </w:rPr>
        <w:t xml:space="preserve">). Once parental consent is granted, the minor is then asked to participate using the </w:t>
      </w:r>
      <w:r w:rsidRPr="00FD23DF" w:rsidR="00FF2AE0">
        <w:rPr>
          <w:rFonts w:ascii="Times New Roman" w:hAnsi="Times New Roman" w:cs="Times New Roman"/>
        </w:rPr>
        <w:t xml:space="preserve">youth </w:t>
      </w:r>
      <w:r w:rsidRPr="00FD23DF">
        <w:rPr>
          <w:rFonts w:ascii="Times New Roman" w:hAnsi="Times New Roman" w:cs="Times New Roman"/>
        </w:rPr>
        <w:t>section of the same document. If assent is received, the FI begins to administer the questionnaire in a private setting within the dwelling unit with at least one parent, guardian or another adult remaining present in the home throughout the interview.</w:t>
      </w:r>
    </w:p>
    <w:p w:rsidR="00501DD2" w:rsidRPr="00FD23DF" w:rsidP="00703946" w14:paraId="66BEE5AA" w14:textId="77777777">
      <w:pPr>
        <w:pStyle w:val="BodyText"/>
        <w:rPr>
          <w:rFonts w:ascii="Times New Roman" w:hAnsi="Times New Roman" w:cs="Times New Roman"/>
        </w:rPr>
      </w:pPr>
      <w:r w:rsidRPr="00FD23DF">
        <w:rPr>
          <w:rFonts w:ascii="Times New Roman" w:hAnsi="Times New Roman" w:cs="Times New Roman"/>
        </w:rPr>
        <w:t xml:space="preserve">As mentioned in </w:t>
      </w:r>
      <w:r w:rsidR="001C4F81">
        <w:rPr>
          <w:rFonts w:ascii="Times New Roman" w:hAnsi="Times New Roman" w:cs="Times New Roman"/>
        </w:rPr>
        <w:t>S</w:t>
      </w:r>
      <w:r w:rsidRPr="00FD23DF">
        <w:rPr>
          <w:rFonts w:ascii="Times New Roman" w:hAnsi="Times New Roman" w:cs="Times New Roman"/>
        </w:rPr>
        <w:t>ection A.3, the FI administers the interview in a prescribed and uniform manner with sensitive portions of the interview completed via ACASI.</w:t>
      </w:r>
      <w:r w:rsidR="009B56CB">
        <w:rPr>
          <w:rFonts w:ascii="Times New Roman" w:hAnsi="Times New Roman" w:cs="Times New Roman"/>
        </w:rPr>
        <w:t xml:space="preserve"> </w:t>
      </w:r>
      <w:r w:rsidR="007416E7">
        <w:rPr>
          <w:rFonts w:ascii="Times New Roman" w:hAnsi="Times New Roman" w:cs="Times New Roman"/>
        </w:rPr>
        <w:t>Concerning</w:t>
      </w:r>
      <w:r w:rsidR="005359DD">
        <w:rPr>
          <w:rFonts w:ascii="Times New Roman" w:hAnsi="Times New Roman" w:cs="Times New Roman"/>
        </w:rPr>
        <w:t xml:space="preserve"> the guidelines for meeting </w:t>
      </w:r>
      <w:r w:rsidR="00933EED">
        <w:rPr>
          <w:rFonts w:ascii="Times New Roman" w:hAnsi="Times New Roman" w:cs="Times New Roman"/>
        </w:rPr>
        <w:t xml:space="preserve">the </w:t>
      </w:r>
      <w:r w:rsidR="005359DD">
        <w:rPr>
          <w:rFonts w:ascii="Times New Roman" w:hAnsi="Times New Roman" w:cs="Times New Roman"/>
        </w:rPr>
        <w:t xml:space="preserve">OMB minimum </w:t>
      </w:r>
      <w:r w:rsidR="00933EED">
        <w:rPr>
          <w:rFonts w:ascii="Times New Roman" w:hAnsi="Times New Roman" w:cs="Times New Roman"/>
        </w:rPr>
        <w:t>race/ethnicity c</w:t>
      </w:r>
      <w:r w:rsidR="00EA03C7">
        <w:rPr>
          <w:rFonts w:ascii="Times New Roman" w:hAnsi="Times New Roman" w:cs="Times New Roman"/>
        </w:rPr>
        <w:t xml:space="preserve">ategories, CBHSQ is requesting </w:t>
      </w:r>
      <w:r w:rsidRPr="005E359A" w:rsidR="00EA03C7">
        <w:rPr>
          <w:rFonts w:ascii="Times New Roman" w:hAnsi="Times New Roman" w:cs="Times New Roman"/>
        </w:rPr>
        <w:t>an exemption to the revisions of race and ethnicity data classification related to revised Statistical Policy Directive No 15: Standards for Maintaining, Collecting, and Presenting Federal Data on Race and Ethnicity (SPD 15)</w:t>
      </w:r>
      <w:r w:rsidR="00D811FA">
        <w:rPr>
          <w:rFonts w:ascii="Times New Roman" w:hAnsi="Times New Roman" w:cs="Times New Roman"/>
        </w:rPr>
        <w:t xml:space="preserve"> (See Section </w:t>
      </w:r>
      <w:r w:rsidR="009B56CB">
        <w:rPr>
          <w:rFonts w:ascii="Times New Roman" w:hAnsi="Times New Roman" w:cs="Times New Roman"/>
        </w:rPr>
        <w:t>A. 7</w:t>
      </w:r>
      <w:r w:rsidR="00D811FA">
        <w:rPr>
          <w:rFonts w:ascii="Times New Roman" w:hAnsi="Times New Roman" w:cs="Times New Roman"/>
        </w:rPr>
        <w:t xml:space="preserve"> for more details)</w:t>
      </w:r>
      <w:r w:rsidRPr="00FD23DF">
        <w:rPr>
          <w:rFonts w:ascii="Times New Roman" w:hAnsi="Times New Roman" w:cs="Times New Roman"/>
        </w:rPr>
        <w:t>. </w:t>
      </w:r>
    </w:p>
    <w:p w:rsidR="00501DD2" w:rsidRPr="00FD23DF" w:rsidP="00703946" w14:paraId="447D9D66" w14:textId="77777777">
      <w:pPr>
        <w:pStyle w:val="BodyText"/>
        <w:rPr>
          <w:rFonts w:ascii="Times New Roman" w:hAnsi="Times New Roman" w:cs="Times New Roman"/>
        </w:rPr>
      </w:pPr>
      <w:r w:rsidRPr="00733A36">
        <w:rPr>
          <w:rFonts w:ascii="Times New Roman" w:hAnsi="Times New Roman" w:cs="Times New Roman"/>
        </w:rPr>
        <w:t>In order to</w:t>
      </w:r>
      <w:r w:rsidRPr="002E18BB">
        <w:rPr>
          <w:rFonts w:ascii="Times New Roman" w:hAnsi="Times New Roman" w:cs="Times New Roman"/>
        </w:rPr>
        <w:t xml:space="preserve"> facilitate</w:t>
      </w:r>
      <w:r w:rsidRPr="00FD23DF">
        <w:rPr>
          <w:rFonts w:ascii="Times New Roman" w:hAnsi="Times New Roman" w:cs="Times New Roman"/>
        </w:rPr>
        <w:t xml:space="preserve"> the respondent’s recollection of prescription-type drugs and their proper names</w:t>
      </w:r>
      <w:r w:rsidRPr="00FD23DF" w:rsidR="00491808">
        <w:rPr>
          <w:rFonts w:ascii="Times New Roman" w:hAnsi="Times New Roman" w:cs="Times New Roman"/>
        </w:rPr>
        <w:t>,</w:t>
      </w:r>
      <w:r w:rsidRPr="00FD23DF">
        <w:rPr>
          <w:rFonts w:ascii="Times New Roman" w:hAnsi="Times New Roman" w:cs="Times New Roman"/>
        </w:rPr>
        <w:t xml:space="preserve"> pill images will appear on the laptop screen during the ACASI portions of interviews as appropriate. Also, respondents will use an electronic reference date calendar, which displays automatically on the computer screens when needed throughout the ACASI parts of the interview. Finally, in the FI-administered portion of the questionnaire, showcards are included in the Showcard Booklet (</w:t>
      </w:r>
      <w:r w:rsidRPr="007A6238">
        <w:rPr>
          <w:rFonts w:ascii="Times New Roman" w:hAnsi="Times New Roman" w:cs="Times New Roman"/>
          <w:b/>
          <w:bCs/>
        </w:rPr>
        <w:t xml:space="preserve">Attachment </w:t>
      </w:r>
      <w:r w:rsidRPr="007A6238" w:rsidR="001C0EC3">
        <w:rPr>
          <w:rFonts w:ascii="Times New Roman" w:hAnsi="Times New Roman" w:cs="Times New Roman"/>
          <w:b/>
          <w:bCs/>
        </w:rPr>
        <w:t>K</w:t>
      </w:r>
      <w:r w:rsidRPr="00FD23DF">
        <w:rPr>
          <w:rFonts w:ascii="Times New Roman" w:hAnsi="Times New Roman" w:cs="Times New Roman"/>
        </w:rPr>
        <w:t xml:space="preserve">) that allow the respondent to refer to information necessary for accurate responses. </w:t>
      </w:r>
    </w:p>
    <w:p w:rsidR="00501DD2" w:rsidRPr="00FD23DF" w:rsidP="00703946" w14:paraId="220C2873" w14:textId="77777777">
      <w:pPr>
        <w:pStyle w:val="BodyText"/>
        <w:rPr>
          <w:rFonts w:ascii="Times New Roman" w:hAnsi="Times New Roman" w:cs="Times New Roman"/>
        </w:rPr>
      </w:pPr>
      <w:r w:rsidRPr="00FD23DF">
        <w:rPr>
          <w:rFonts w:ascii="Times New Roman" w:hAnsi="Times New Roman" w:cs="Times New Roman"/>
        </w:rPr>
        <w:t>After the interview is completed, each respondent is given a $30</w:t>
      </w:r>
      <w:r w:rsidRPr="00FD23DF" w:rsidR="00491808">
        <w:rPr>
          <w:rFonts w:ascii="Times New Roman" w:hAnsi="Times New Roman" w:cs="Times New Roman"/>
        </w:rPr>
        <w:t xml:space="preserve"> </w:t>
      </w:r>
      <w:r w:rsidRPr="00FD23DF">
        <w:rPr>
          <w:rFonts w:ascii="Times New Roman" w:hAnsi="Times New Roman" w:cs="Times New Roman"/>
        </w:rPr>
        <w:t>cash incentive and an Interview Incentive Receipt (</w:t>
      </w:r>
      <w:r w:rsidRPr="007A6238" w:rsidR="00351AC5">
        <w:rPr>
          <w:rFonts w:ascii="Times New Roman" w:hAnsi="Times New Roman" w:cs="Times New Roman"/>
          <w:b/>
          <w:bCs/>
        </w:rPr>
        <w:t xml:space="preserve">Attachment </w:t>
      </w:r>
      <w:r w:rsidRPr="007A6238" w:rsidR="001C0EC3">
        <w:rPr>
          <w:rFonts w:ascii="Times New Roman" w:hAnsi="Times New Roman" w:cs="Times New Roman"/>
          <w:b/>
          <w:bCs/>
        </w:rPr>
        <w:t>H</w:t>
      </w:r>
      <w:r w:rsidRPr="00FD23DF">
        <w:rPr>
          <w:rFonts w:ascii="Times New Roman" w:hAnsi="Times New Roman" w:cs="Times New Roman"/>
        </w:rPr>
        <w:t>) signed by the FI.</w:t>
      </w:r>
    </w:p>
    <w:p w:rsidR="00501DD2" w:rsidRPr="00FD23DF" w:rsidP="00703946" w14:paraId="477887D0" w14:textId="77777777">
      <w:pPr>
        <w:pStyle w:val="BodyText"/>
        <w:rPr>
          <w:rFonts w:ascii="Times New Roman" w:hAnsi="Times New Roman" w:cs="Times New Roman"/>
        </w:rPr>
      </w:pPr>
      <w:r w:rsidRPr="00FD23DF">
        <w:rPr>
          <w:rFonts w:ascii="Times New Roman" w:hAnsi="Times New Roman" w:cs="Times New Roman"/>
        </w:rPr>
        <w:t xml:space="preserve">For verification purposes, </w:t>
      </w:r>
      <w:r w:rsidR="00414E87">
        <w:rPr>
          <w:rFonts w:ascii="Times New Roman" w:hAnsi="Times New Roman" w:cs="Times New Roman"/>
        </w:rPr>
        <w:t>IRs</w:t>
      </w:r>
      <w:r w:rsidRPr="00FD23DF">
        <w:rPr>
          <w:rFonts w:ascii="Times New Roman" w:hAnsi="Times New Roman" w:cs="Times New Roman"/>
        </w:rPr>
        <w:t xml:space="preserve"> are asked to complete a</w:t>
      </w:r>
      <w:r w:rsidR="00A331A4">
        <w:rPr>
          <w:rFonts w:ascii="Times New Roman" w:hAnsi="Times New Roman" w:cs="Times New Roman"/>
        </w:rPr>
        <w:t>n electronic</w:t>
      </w:r>
      <w:r w:rsidRPr="00FD23DF">
        <w:rPr>
          <w:rFonts w:ascii="Times New Roman" w:hAnsi="Times New Roman" w:cs="Times New Roman"/>
        </w:rPr>
        <w:t xml:space="preserve"> Quality Control Form that requests </w:t>
      </w:r>
      <w:r w:rsidR="002E18BB">
        <w:rPr>
          <w:rFonts w:ascii="Times New Roman" w:hAnsi="Times New Roman" w:cs="Times New Roman"/>
        </w:rPr>
        <w:t>their</w:t>
      </w:r>
      <w:r w:rsidRPr="00FD23DF">
        <w:rPr>
          <w:rFonts w:ascii="Times New Roman" w:hAnsi="Times New Roman" w:cs="Times New Roman"/>
        </w:rPr>
        <w:t xml:space="preserve"> </w:t>
      </w:r>
      <w:r w:rsidR="00A331A4">
        <w:rPr>
          <w:rFonts w:ascii="Times New Roman" w:hAnsi="Times New Roman" w:cs="Times New Roman"/>
        </w:rPr>
        <w:t>tele</w:t>
      </w:r>
      <w:r w:rsidRPr="00FD23DF">
        <w:rPr>
          <w:rFonts w:ascii="Times New Roman" w:hAnsi="Times New Roman" w:cs="Times New Roman"/>
        </w:rPr>
        <w:t xml:space="preserve">phone number </w:t>
      </w:r>
      <w:r w:rsidRPr="00FD23DF" w:rsidR="00351AC5">
        <w:rPr>
          <w:rFonts w:ascii="Times New Roman" w:hAnsi="Times New Roman" w:cs="Times New Roman"/>
        </w:rPr>
        <w:t xml:space="preserve">so Contractor staff can potentially call </w:t>
      </w:r>
      <w:r w:rsidRPr="00FD23DF">
        <w:rPr>
          <w:rFonts w:ascii="Times New Roman" w:hAnsi="Times New Roman" w:cs="Times New Roman"/>
        </w:rPr>
        <w:t xml:space="preserve">to ensure the FI did </w:t>
      </w:r>
      <w:r w:rsidR="00542965">
        <w:rPr>
          <w:rFonts w:ascii="Times New Roman" w:hAnsi="Times New Roman" w:cs="Times New Roman"/>
        </w:rPr>
        <w:t>their</w:t>
      </w:r>
      <w:r w:rsidRPr="00FD23DF">
        <w:rPr>
          <w:rFonts w:ascii="Times New Roman" w:hAnsi="Times New Roman" w:cs="Times New Roman"/>
        </w:rPr>
        <w:t xml:space="preserve"> job appropriately. Respondents are informed that completing the Quality Control Form is voluntary. If </w:t>
      </w:r>
      <w:r w:rsidR="00542965">
        <w:rPr>
          <w:rFonts w:ascii="Times New Roman" w:hAnsi="Times New Roman" w:cs="Times New Roman"/>
        </w:rPr>
        <w:t xml:space="preserve">they </w:t>
      </w:r>
      <w:r w:rsidRPr="00FD23DF">
        <w:rPr>
          <w:rFonts w:ascii="Times New Roman" w:hAnsi="Times New Roman" w:cs="Times New Roman"/>
        </w:rPr>
        <w:t xml:space="preserve">agree, the </w:t>
      </w:r>
      <w:r w:rsidR="00B9654C">
        <w:rPr>
          <w:rFonts w:ascii="Times New Roman" w:hAnsi="Times New Roman" w:cs="Times New Roman"/>
        </w:rPr>
        <w:t>FI</w:t>
      </w:r>
      <w:r w:rsidRPr="00FD23DF" w:rsidR="00B9654C">
        <w:rPr>
          <w:rFonts w:ascii="Times New Roman" w:hAnsi="Times New Roman" w:cs="Times New Roman"/>
        </w:rPr>
        <w:t xml:space="preserve"> </w:t>
      </w:r>
      <w:r w:rsidRPr="00FD23DF">
        <w:rPr>
          <w:rFonts w:ascii="Times New Roman" w:hAnsi="Times New Roman" w:cs="Times New Roman"/>
        </w:rPr>
        <w:t>completes this form</w:t>
      </w:r>
      <w:r w:rsidR="00B9654C">
        <w:rPr>
          <w:rFonts w:ascii="Times New Roman" w:hAnsi="Times New Roman" w:cs="Times New Roman"/>
        </w:rPr>
        <w:t xml:space="preserve"> using the handheld tablet computer and those data are securely delivered directly to the Contractor’s office as part of that FI’s next successful transmission</w:t>
      </w:r>
      <w:bookmarkStart w:id="1" w:name="_Hlk504558063"/>
      <w:r w:rsidRPr="00FD23DF">
        <w:rPr>
          <w:rFonts w:ascii="Times New Roman" w:hAnsi="Times New Roman" w:cs="Times New Roman"/>
        </w:rPr>
        <w:t xml:space="preserve">. </w:t>
      </w:r>
      <w:bookmarkEnd w:id="1"/>
    </w:p>
    <w:p w:rsidR="00501DD2" w:rsidRPr="00FD23DF" w:rsidP="00703946" w14:paraId="75FF0DB3" w14:textId="5E56851E">
      <w:pPr>
        <w:pStyle w:val="BodyText"/>
        <w:rPr>
          <w:rFonts w:ascii="Times New Roman" w:hAnsi="Times New Roman" w:cs="Times New Roman"/>
        </w:rPr>
      </w:pPr>
      <w:r w:rsidRPr="00FD23DF">
        <w:rPr>
          <w:rFonts w:ascii="Times New Roman" w:hAnsi="Times New Roman" w:cs="Times New Roman"/>
        </w:rPr>
        <w:t>FIs may give a Certificate of Participation (</w:t>
      </w:r>
      <w:r w:rsidRPr="007A6238">
        <w:rPr>
          <w:rFonts w:ascii="Times New Roman" w:hAnsi="Times New Roman" w:cs="Times New Roman"/>
          <w:b/>
          <w:bCs/>
        </w:rPr>
        <w:t xml:space="preserve">Attachment </w:t>
      </w:r>
      <w:r w:rsidRPr="007A6238" w:rsidR="001D621B">
        <w:rPr>
          <w:rFonts w:ascii="Times New Roman" w:hAnsi="Times New Roman" w:cs="Times New Roman"/>
          <w:b/>
          <w:bCs/>
        </w:rPr>
        <w:t>U</w:t>
      </w:r>
      <w:r w:rsidRPr="00FD23DF">
        <w:rPr>
          <w:rFonts w:ascii="Times New Roman" w:hAnsi="Times New Roman" w:cs="Times New Roman"/>
        </w:rPr>
        <w:t xml:space="preserve">) to interested respondents after the interview is completed. Respondents may attempt to use these certificates to earn school or community service credit hours. As stated on the certificate, no guarantee of credit is made by SAMHSA or the Contractor. The respondent’s name is not written on the certificate. The FI signs </w:t>
      </w:r>
      <w:r w:rsidR="00F63546">
        <w:rPr>
          <w:rFonts w:ascii="Times New Roman" w:hAnsi="Times New Roman" w:cs="Times New Roman"/>
        </w:rPr>
        <w:t>their</w:t>
      </w:r>
      <w:r w:rsidRPr="00FD23DF">
        <w:rPr>
          <w:rFonts w:ascii="Times New Roman" w:hAnsi="Times New Roman" w:cs="Times New Roman"/>
        </w:rPr>
        <w:t xml:space="preserve"> name and dates the certificate, </w:t>
      </w:r>
      <w:r w:rsidRPr="00FD23DF">
        <w:rPr>
          <w:rFonts w:ascii="Times New Roman" w:hAnsi="Times New Roman" w:cs="Times New Roman"/>
          <w:color w:val="000000"/>
        </w:rPr>
        <w:t xml:space="preserve">but for confidentiality reasons the section for recording the respondent’s name is left blank. The respondent can fill in </w:t>
      </w:r>
      <w:r w:rsidR="00F63546">
        <w:rPr>
          <w:rFonts w:ascii="Times New Roman" w:hAnsi="Times New Roman" w:cs="Times New Roman"/>
          <w:color w:val="000000"/>
        </w:rPr>
        <w:t>their</w:t>
      </w:r>
      <w:r w:rsidRPr="00FD23DF">
        <w:rPr>
          <w:rFonts w:ascii="Times New Roman" w:hAnsi="Times New Roman" w:cs="Times New Roman"/>
          <w:color w:val="000000"/>
        </w:rPr>
        <w:t xml:space="preserve"> name at a later time so the FI will not be made aware of the respondent’s identity. </w:t>
      </w:r>
      <w:r w:rsidRPr="00FD23DF">
        <w:rPr>
          <w:rFonts w:ascii="Times New Roman" w:hAnsi="Times New Roman" w:cs="Times New Roman"/>
        </w:rPr>
        <w:t xml:space="preserve">It is the respondent’s choice whether </w:t>
      </w:r>
      <w:r w:rsidR="00E25FDB">
        <w:rPr>
          <w:rFonts w:ascii="Times New Roman" w:hAnsi="Times New Roman" w:cs="Times New Roman"/>
        </w:rPr>
        <w:t>they</w:t>
      </w:r>
      <w:r w:rsidRPr="00FD23DF">
        <w:rPr>
          <w:rFonts w:ascii="Times New Roman" w:hAnsi="Times New Roman" w:cs="Times New Roman"/>
        </w:rPr>
        <w:t xml:space="preserve"> would like to be identified as a </w:t>
      </w:r>
      <w:r w:rsidR="00BD6C2B">
        <w:rPr>
          <w:rFonts w:ascii="Times New Roman" w:hAnsi="Times New Roman" w:cs="Times New Roman"/>
        </w:rPr>
        <w:t>NSDUH</w:t>
      </w:r>
      <w:r w:rsidRPr="00FD23DF" w:rsidR="00722098">
        <w:rPr>
          <w:rFonts w:ascii="Times New Roman" w:hAnsi="Times New Roman" w:cs="Times New Roman"/>
        </w:rPr>
        <w:t xml:space="preserve"> </w:t>
      </w:r>
      <w:r w:rsidRPr="00FD23DF">
        <w:rPr>
          <w:rFonts w:ascii="Times New Roman" w:hAnsi="Times New Roman" w:cs="Times New Roman"/>
        </w:rPr>
        <w:t xml:space="preserve">respondent by using the certificate in an attempt to obtain school or community service credit. </w:t>
      </w:r>
    </w:p>
    <w:p w:rsidR="00501DD2" w:rsidRPr="00FD23DF" w:rsidP="00703946" w14:paraId="54BD95BF" w14:textId="77777777">
      <w:pPr>
        <w:pStyle w:val="BodyText"/>
        <w:rPr>
          <w:rFonts w:ascii="Times New Roman" w:hAnsi="Times New Roman" w:cs="Times New Roman"/>
          <w:color w:val="000000"/>
        </w:rPr>
      </w:pPr>
      <w:r w:rsidRPr="00FD23DF">
        <w:rPr>
          <w:rFonts w:ascii="Times New Roman" w:hAnsi="Times New Roman" w:cs="Times New Roman"/>
          <w:color w:val="000000"/>
        </w:rPr>
        <w:t xml:space="preserve">A random sample of those who complete Quality Control Forms are contacted via telephone to answer a few questions verifying that the interview took place, that proper </w:t>
      </w:r>
      <w:r w:rsidRPr="00FD23DF">
        <w:rPr>
          <w:rFonts w:ascii="Times New Roman" w:hAnsi="Times New Roman" w:cs="Times New Roman"/>
          <w:color w:val="000000"/>
        </w:rPr>
        <w:t xml:space="preserve">procedures were followed, and that the amount of time required to administer </w:t>
      </w:r>
      <w:r w:rsidRPr="00FD23DF">
        <w:rPr>
          <w:rFonts w:ascii="Times New Roman" w:hAnsi="Times New Roman" w:cs="Times New Roman"/>
        </w:rPr>
        <w:t xml:space="preserve">the interview was within expected parameters. </w:t>
      </w:r>
      <w:r w:rsidRPr="00FD23DF">
        <w:rPr>
          <w:rFonts w:ascii="Times New Roman" w:hAnsi="Times New Roman" w:cs="Times New Roman"/>
          <w:color w:val="000000"/>
        </w:rPr>
        <w:t>The CATI Verification Scripts (</w:t>
      </w:r>
      <w:r w:rsidRPr="007A6238">
        <w:rPr>
          <w:rFonts w:ascii="Times New Roman" w:hAnsi="Times New Roman" w:cs="Times New Roman"/>
          <w:b/>
          <w:bCs/>
          <w:color w:val="000000"/>
        </w:rPr>
        <w:t>Attachment</w:t>
      </w:r>
      <w:r w:rsidRPr="00FD23DF">
        <w:rPr>
          <w:rFonts w:ascii="Times New Roman" w:hAnsi="Times New Roman" w:cs="Times New Roman"/>
          <w:color w:val="000000"/>
        </w:rPr>
        <w:t xml:space="preserve"> </w:t>
      </w:r>
      <w:r w:rsidRPr="007A6238" w:rsidR="001D621B">
        <w:rPr>
          <w:rFonts w:ascii="Times New Roman" w:hAnsi="Times New Roman" w:cs="Times New Roman"/>
          <w:b/>
          <w:bCs/>
          <w:color w:val="000000"/>
        </w:rPr>
        <w:t>V</w:t>
      </w:r>
      <w:r w:rsidRPr="00FD23DF">
        <w:rPr>
          <w:rFonts w:ascii="Times New Roman" w:hAnsi="Times New Roman" w:cs="Times New Roman"/>
          <w:color w:val="000000"/>
        </w:rPr>
        <w:t>)</w:t>
      </w:r>
      <w:r w:rsidRPr="00FD23DF">
        <w:rPr>
          <w:rFonts w:ascii="Times New Roman" w:hAnsi="Times New Roman" w:cs="Times New Roman"/>
        </w:rPr>
        <w:t xml:space="preserve"> contain the scripts for these interview verification contacts via telephone, as well as the scripts used when verifying a percentage of certain completed screening cases in which no one was selected for an interview or the SDU was otherwise ineligible (vacant, not primary residence, not a dwelling unit, dwelling unit contains only military personnel, respondents living at the sampled residence for less than half of the quarter). </w:t>
      </w:r>
    </w:p>
    <w:p w:rsidR="00501DD2" w:rsidRPr="00FD23DF" w:rsidP="00703946" w14:paraId="082694D6" w14:textId="77777777">
      <w:pPr>
        <w:pStyle w:val="BodyText"/>
        <w:rPr>
          <w:rFonts w:ascii="Times New Roman" w:hAnsi="Times New Roman" w:cs="Times New Roman"/>
        </w:rPr>
      </w:pPr>
      <w:r>
        <w:rPr>
          <w:rFonts w:ascii="Times New Roman" w:hAnsi="Times New Roman" w:cs="Times New Roman"/>
        </w:rPr>
        <w:t>A</w:t>
      </w:r>
      <w:r w:rsidRPr="00FD23DF">
        <w:rPr>
          <w:rFonts w:ascii="Times New Roman" w:hAnsi="Times New Roman" w:cs="Times New Roman"/>
        </w:rPr>
        <w:t>ll interview data are transmitted on a regular basis via secure encrypted data transmission to the Contractor’s offices</w:t>
      </w:r>
      <w:r w:rsidRPr="00FD23DF" w:rsidR="00F066FF">
        <w:rPr>
          <w:rFonts w:ascii="Times New Roman" w:hAnsi="Times New Roman" w:cs="Times New Roman"/>
        </w:rPr>
        <w:t xml:space="preserve"> in a FIPS-Moderate environment</w:t>
      </w:r>
      <w:r w:rsidRPr="00FD23DF">
        <w:rPr>
          <w:rFonts w:ascii="Times New Roman" w:hAnsi="Times New Roman" w:cs="Times New Roman"/>
        </w:rPr>
        <w:t>, where the data are subsequently processed and prepared for reporting and data file delivery.</w:t>
      </w:r>
    </w:p>
    <w:p w:rsidR="00501DD2" w:rsidRPr="005753CE" w:rsidP="00703946" w14:paraId="4B287E0E" w14:textId="77777777">
      <w:pPr>
        <w:pStyle w:val="Heading2"/>
        <w:rPr>
          <w:rFonts w:ascii="Times New Roman" w:hAnsi="Times New Roman" w:cs="Times New Roman"/>
        </w:rPr>
      </w:pPr>
      <w:r w:rsidRPr="005753CE">
        <w:rPr>
          <w:rFonts w:ascii="Times New Roman" w:hAnsi="Times New Roman" w:cs="Times New Roman"/>
        </w:rPr>
        <w:t>In-Person Questionnaire</w:t>
      </w:r>
      <w:r w:rsidRPr="005753CE" w:rsidR="008F446A">
        <w:rPr>
          <w:rFonts w:ascii="Times New Roman" w:hAnsi="Times New Roman" w:cs="Times New Roman"/>
        </w:rPr>
        <w:t>:</w:t>
      </w:r>
    </w:p>
    <w:p w:rsidR="00501DD2" w:rsidRPr="00FD23DF" w:rsidP="00703946" w14:paraId="6B78AE48" w14:textId="383DB6ED">
      <w:pPr>
        <w:pStyle w:val="BodyText"/>
        <w:rPr>
          <w:rFonts w:ascii="Times New Roman" w:hAnsi="Times New Roman" w:cs="Times New Roman"/>
          <w:color w:val="000000"/>
        </w:rPr>
      </w:pPr>
      <w:r w:rsidRPr="00FD23DF">
        <w:rPr>
          <w:rFonts w:ascii="Times New Roman" w:hAnsi="Times New Roman" w:cs="Times New Roman"/>
          <w:color w:val="000000"/>
        </w:rPr>
        <w:t xml:space="preserve">As explained in </w:t>
      </w:r>
      <w:r w:rsidR="000D1E26">
        <w:rPr>
          <w:rFonts w:ascii="Times New Roman" w:hAnsi="Times New Roman" w:cs="Times New Roman"/>
          <w:color w:val="000000"/>
        </w:rPr>
        <w:t>S</w:t>
      </w:r>
      <w:r w:rsidRPr="00FD23DF">
        <w:rPr>
          <w:rFonts w:ascii="Times New Roman" w:hAnsi="Times New Roman" w:cs="Times New Roman"/>
          <w:color w:val="000000"/>
        </w:rPr>
        <w:t>ection A.3, t</w:t>
      </w:r>
      <w:r w:rsidRPr="00FD23DF">
        <w:rPr>
          <w:rFonts w:ascii="Times New Roman" w:hAnsi="Times New Roman" w:cs="Times New Roman"/>
        </w:rPr>
        <w:t xml:space="preserve">he version of the </w:t>
      </w:r>
      <w:r w:rsidR="00BD6C2B">
        <w:rPr>
          <w:rFonts w:ascii="Times New Roman" w:hAnsi="Times New Roman" w:cs="Times New Roman"/>
        </w:rPr>
        <w:t>NSDUH</w:t>
      </w:r>
      <w:r w:rsidRPr="00FD23DF" w:rsidR="00FE4798">
        <w:rPr>
          <w:rFonts w:ascii="Times New Roman" w:hAnsi="Times New Roman" w:cs="Times New Roman"/>
        </w:rPr>
        <w:t xml:space="preserve"> </w:t>
      </w:r>
      <w:r w:rsidRPr="00FD23DF">
        <w:rPr>
          <w:rFonts w:ascii="Times New Roman" w:hAnsi="Times New Roman" w:cs="Times New Roman"/>
        </w:rPr>
        <w:t>questionnaire to be fielded</w:t>
      </w:r>
      <w:r w:rsidR="00E25FDB">
        <w:rPr>
          <w:rFonts w:ascii="Times New Roman" w:hAnsi="Times New Roman" w:cs="Times New Roman"/>
        </w:rPr>
        <w:t xml:space="preserve"> </w:t>
      </w:r>
      <w:r w:rsidRPr="00FD23DF">
        <w:rPr>
          <w:rFonts w:ascii="Times New Roman" w:hAnsi="Times New Roman" w:cs="Times New Roman"/>
        </w:rPr>
        <w:t>is a computerized (CAPI/ACASI) instrument.</w:t>
      </w:r>
    </w:p>
    <w:p w:rsidR="00501DD2" w:rsidRPr="00FD23DF" w:rsidP="00703946" w14:paraId="0FC30023" w14:textId="77777777">
      <w:pPr>
        <w:pStyle w:val="BodyText"/>
        <w:rPr>
          <w:rFonts w:ascii="Times New Roman" w:hAnsi="Times New Roman" w:cs="Times New Roman"/>
        </w:rPr>
      </w:pPr>
      <w:r w:rsidRPr="00FD23DF">
        <w:rPr>
          <w:rFonts w:ascii="Times New Roman" w:hAnsi="Times New Roman" w:cs="Times New Roman"/>
        </w:rPr>
        <w:t xml:space="preserve">As in past years, two versions of the instrument will be prepared: an English version and a Spanish translation. Both versions will have the same essential content. </w:t>
      </w:r>
    </w:p>
    <w:p w:rsidR="00501DD2" w:rsidRPr="00FD23DF" w:rsidP="00703946" w14:paraId="46E8FB7B" w14:textId="77777777">
      <w:pPr>
        <w:pStyle w:val="BodyText"/>
        <w:rPr>
          <w:rFonts w:ascii="Times New Roman" w:hAnsi="Times New Roman" w:cs="Times New Roman"/>
          <w:color w:val="000000"/>
        </w:rPr>
      </w:pPr>
      <w:r w:rsidRPr="00FD23DF">
        <w:rPr>
          <w:rFonts w:ascii="Times New Roman" w:hAnsi="Times New Roman" w:cs="Times New Roman"/>
        </w:rPr>
        <w:t xml:space="preserve">The proposed </w:t>
      </w:r>
      <w:r w:rsidR="00736403">
        <w:rPr>
          <w:rFonts w:ascii="Times New Roman" w:hAnsi="Times New Roman" w:cs="Times New Roman"/>
        </w:rPr>
        <w:t xml:space="preserve">In-Person </w:t>
      </w:r>
      <w:r w:rsidRPr="00FD23DF">
        <w:rPr>
          <w:rFonts w:ascii="Times New Roman" w:hAnsi="Times New Roman" w:cs="Times New Roman"/>
        </w:rPr>
        <w:t xml:space="preserve">CAI Questionnaire is shown in </w:t>
      </w:r>
      <w:r w:rsidRPr="007A6238">
        <w:rPr>
          <w:rFonts w:ascii="Times New Roman" w:hAnsi="Times New Roman" w:cs="Times New Roman"/>
          <w:b/>
          <w:bCs/>
        </w:rPr>
        <w:t xml:space="preserve">Attachment </w:t>
      </w:r>
      <w:r w:rsidRPr="007A6238" w:rsidR="001C0EC3">
        <w:rPr>
          <w:rFonts w:ascii="Times New Roman" w:hAnsi="Times New Roman" w:cs="Times New Roman"/>
          <w:b/>
          <w:bCs/>
        </w:rPr>
        <w:t>N</w:t>
      </w:r>
      <w:r w:rsidRPr="00FD23DF">
        <w:rPr>
          <w:rFonts w:ascii="Times New Roman" w:hAnsi="Times New Roman" w:cs="Times New Roman"/>
        </w:rPr>
        <w:t>. While the actual administration will be electronic, the document shown is a paper representation of the content that is to be programmed. The interview process is designed to retain respondent interest, ensure confidentiality, and maximize the validity of response</w:t>
      </w:r>
      <w:r w:rsidRPr="00FD23DF" w:rsidR="00351AC5">
        <w:rPr>
          <w:rFonts w:ascii="Times New Roman" w:hAnsi="Times New Roman" w:cs="Times New Roman"/>
        </w:rPr>
        <w:t>s</w:t>
      </w:r>
      <w:r w:rsidRPr="00FD23DF">
        <w:rPr>
          <w:rFonts w:ascii="Times New Roman" w:hAnsi="Times New Roman" w:cs="Times New Roman"/>
        </w:rPr>
        <w:t xml:space="preserve">. The questionnaire is administered in such a way that FIs do not know respondents’ answers to sensitive questions, including those on illicit drug use and mental health. These questions are self-administered using ACASI. The respondent listens to the questions privately through headphones so even those who have difficulty seeing or reading are able to complete the self-administered portion. </w:t>
      </w:r>
      <w:r w:rsidRPr="00FD23DF">
        <w:rPr>
          <w:rFonts w:ascii="Times New Roman" w:hAnsi="Times New Roman" w:cs="Times New Roman"/>
          <w:color w:val="000000"/>
        </w:rPr>
        <w:t>Topics administered by the FI (i.e., the CAPI section) are limited to Demographics, Health Insurance, and Income. Respondents are given the option of designating an adult proxy who is at home to provide answers to questions in the Health Insurance and Income sections.</w:t>
      </w:r>
    </w:p>
    <w:p w:rsidR="00D95F91" w:rsidRPr="00FD23DF" w:rsidP="00703946" w14:paraId="7304836F" w14:textId="77777777">
      <w:pPr>
        <w:pStyle w:val="BodyText"/>
        <w:rPr>
          <w:rFonts w:ascii="Times New Roman" w:hAnsi="Times New Roman" w:cs="Times New Roman"/>
        </w:rPr>
      </w:pPr>
      <w:r w:rsidRPr="00FD23DF">
        <w:rPr>
          <w:rFonts w:ascii="Times New Roman" w:hAnsi="Times New Roman" w:cs="Times New Roman"/>
        </w:rPr>
        <w:t xml:space="preserve">The interview consists of a combination of </w:t>
      </w:r>
      <w:r w:rsidRPr="00FD23DF" w:rsidR="00351AC5">
        <w:rPr>
          <w:rFonts w:ascii="Times New Roman" w:hAnsi="Times New Roman" w:cs="Times New Roman"/>
        </w:rPr>
        <w:t>FI</w:t>
      </w:r>
      <w:r w:rsidRPr="00FD23DF">
        <w:rPr>
          <w:rFonts w:ascii="Times New Roman" w:hAnsi="Times New Roman" w:cs="Times New Roman"/>
        </w:rPr>
        <w:t xml:space="preserve">-administered and self-administered questions. </w:t>
      </w:r>
      <w:r w:rsidRPr="00FD23DF" w:rsidR="00351AC5">
        <w:rPr>
          <w:rFonts w:ascii="Times New Roman" w:hAnsi="Times New Roman" w:cs="Times New Roman"/>
        </w:rPr>
        <w:t>FI</w:t>
      </w:r>
      <w:r w:rsidRPr="00FD23DF">
        <w:rPr>
          <w:rFonts w:ascii="Times New Roman" w:hAnsi="Times New Roman" w:cs="Times New Roman"/>
        </w:rPr>
        <w:t xml:space="preserve">-administered questions at the beginning of the interview consist of initial demographic items. </w:t>
      </w:r>
      <w:r w:rsidRPr="00FE4798">
        <w:rPr>
          <w:rFonts w:ascii="Times New Roman" w:hAnsi="Times New Roman" w:cs="Times New Roman"/>
        </w:rPr>
        <w:t>The first</w:t>
      </w:r>
      <w:r w:rsidRPr="00FD23DF">
        <w:rPr>
          <w:rFonts w:ascii="Times New Roman" w:hAnsi="Times New Roman" w:cs="Times New Roman"/>
        </w:rPr>
        <w:t xml:space="preserve"> set of self-administered questions pertain to the use of </w:t>
      </w:r>
      <w:r w:rsidR="0069681A">
        <w:rPr>
          <w:rFonts w:ascii="Times New Roman" w:hAnsi="Times New Roman" w:cs="Times New Roman"/>
        </w:rPr>
        <w:t>nicotine</w:t>
      </w:r>
      <w:r w:rsidRPr="00FD23DF">
        <w:rPr>
          <w:rFonts w:ascii="Times New Roman" w:hAnsi="Times New Roman" w:cs="Times New Roman"/>
        </w:rPr>
        <w:t>, alcohol, marijuana, cocaine, crack, heroin, hallucinogens, inhalants, methamphetamine, and prescription psychotherapeutic drugs (i.e., pain relievers, tranquilizers, stimulants, and sedatives). Similar questions are asked for each substance or substance class, ascertaining the respondent’s history in terms of age of first use, most recent use, number of times used in lifetime, and frequency of use in past 30 days and past 12 months. These substance use histories allow estimation of the incidence, prevalence, and patterns of use for licit and illicit substances.</w:t>
      </w:r>
    </w:p>
    <w:p w:rsidR="002377C5" w:rsidP="00703946" w14:paraId="0F332CCB" w14:textId="77777777">
      <w:pPr>
        <w:pStyle w:val="BodyText"/>
        <w:rPr>
          <w:rFonts w:ascii="Times New Roman" w:hAnsi="Times New Roman" w:cs="Times New Roman"/>
        </w:rPr>
      </w:pPr>
      <w:r w:rsidRPr="00FD23DF">
        <w:rPr>
          <w:rFonts w:ascii="Times New Roman" w:hAnsi="Times New Roman" w:cs="Times New Roman"/>
        </w:rPr>
        <w:t xml:space="preserve">Additional self-administered questions or sections follow the substance use questions and ask about a variety of sensitive topics related to substance use and mental health issues. These topics include (but are not limited to) injection drug use, perceived risks of substance use, substance use disorders, arrests, treatment for substance use problems, pregnancy, mental illness, the utilization of mental health services, disability, and employment and workplace issues. Additional </w:t>
      </w:r>
      <w:r w:rsidRPr="00FD23DF" w:rsidR="00351AC5">
        <w:rPr>
          <w:rFonts w:ascii="Times New Roman" w:hAnsi="Times New Roman" w:cs="Times New Roman"/>
        </w:rPr>
        <w:t>FI</w:t>
      </w:r>
      <w:r w:rsidRPr="00FD23DF">
        <w:rPr>
          <w:rFonts w:ascii="Times New Roman" w:hAnsi="Times New Roman" w:cs="Times New Roman"/>
        </w:rPr>
        <w:t xml:space="preserve">-administered CAPI sections at the end </w:t>
      </w:r>
      <w:r w:rsidRPr="00FD23DF">
        <w:rPr>
          <w:rFonts w:ascii="Times New Roman" w:hAnsi="Times New Roman" w:cs="Times New Roman"/>
        </w:rPr>
        <w:t>of the interview ask about the household composition, the respondent</w:t>
      </w:r>
      <w:r w:rsidRPr="00FD23DF" w:rsidR="00491808">
        <w:rPr>
          <w:rFonts w:ascii="Times New Roman" w:hAnsi="Times New Roman" w:cs="Times New Roman"/>
        </w:rPr>
        <w:t>’</w:t>
      </w:r>
      <w:r w:rsidRPr="00FD23DF">
        <w:rPr>
          <w:rFonts w:ascii="Times New Roman" w:hAnsi="Times New Roman" w:cs="Times New Roman"/>
        </w:rPr>
        <w:t>s health insurance coverage, and the respondent</w:t>
      </w:r>
      <w:r w:rsidRPr="00FD23DF" w:rsidR="00491808">
        <w:rPr>
          <w:rFonts w:ascii="Times New Roman" w:hAnsi="Times New Roman" w:cs="Times New Roman"/>
        </w:rPr>
        <w:t>’</w:t>
      </w:r>
      <w:r w:rsidRPr="00FD23DF">
        <w:rPr>
          <w:rFonts w:ascii="Times New Roman" w:hAnsi="Times New Roman" w:cs="Times New Roman"/>
        </w:rPr>
        <w:t xml:space="preserve">s personal and family income. </w:t>
      </w:r>
    </w:p>
    <w:p w:rsidR="005C3DD9" w:rsidP="00703946" w14:paraId="394A17C7" w14:textId="77777777">
      <w:pPr>
        <w:pStyle w:val="BodyText"/>
        <w:rPr>
          <w:rFonts w:ascii="Times New Roman" w:hAnsi="Times New Roman" w:cs="Times New Roman"/>
        </w:rPr>
      </w:pPr>
      <w:r w:rsidRPr="00FD23DF">
        <w:rPr>
          <w:rFonts w:ascii="Times New Roman" w:hAnsi="Times New Roman" w:cs="Times New Roman"/>
        </w:rPr>
        <w:t xml:space="preserve">The detailed specifications for the proposed </w:t>
      </w:r>
      <w:r w:rsidR="00736403">
        <w:rPr>
          <w:rFonts w:ascii="Times New Roman" w:hAnsi="Times New Roman" w:cs="Times New Roman"/>
        </w:rPr>
        <w:t>I</w:t>
      </w:r>
      <w:r>
        <w:rPr>
          <w:rFonts w:ascii="Times New Roman" w:hAnsi="Times New Roman" w:cs="Times New Roman"/>
        </w:rPr>
        <w:t>n-</w:t>
      </w:r>
      <w:r w:rsidR="00736403">
        <w:rPr>
          <w:rFonts w:ascii="Times New Roman" w:hAnsi="Times New Roman" w:cs="Times New Roman"/>
        </w:rPr>
        <w:t>P</w:t>
      </w:r>
      <w:r>
        <w:rPr>
          <w:rFonts w:ascii="Times New Roman" w:hAnsi="Times New Roman" w:cs="Times New Roman"/>
        </w:rPr>
        <w:t xml:space="preserve">erson </w:t>
      </w:r>
      <w:r w:rsidR="00736403">
        <w:rPr>
          <w:rFonts w:ascii="Times New Roman" w:hAnsi="Times New Roman" w:cs="Times New Roman"/>
        </w:rPr>
        <w:t>CAI Q</w:t>
      </w:r>
      <w:r>
        <w:rPr>
          <w:rFonts w:ascii="Times New Roman" w:hAnsi="Times New Roman" w:cs="Times New Roman"/>
        </w:rPr>
        <w:t>ue</w:t>
      </w:r>
      <w:r w:rsidRPr="00FD23DF">
        <w:rPr>
          <w:rFonts w:ascii="Times New Roman" w:hAnsi="Times New Roman" w:cs="Times New Roman"/>
        </w:rPr>
        <w:t xml:space="preserve">stionnaire are provided in </w:t>
      </w:r>
      <w:r w:rsidRPr="007A6238">
        <w:rPr>
          <w:rFonts w:ascii="Times New Roman" w:hAnsi="Times New Roman" w:cs="Times New Roman"/>
          <w:b/>
          <w:bCs/>
        </w:rPr>
        <w:t xml:space="preserve">Attachment </w:t>
      </w:r>
      <w:r w:rsidRPr="007A6238" w:rsidR="001C0EC3">
        <w:rPr>
          <w:rFonts w:ascii="Times New Roman" w:hAnsi="Times New Roman" w:cs="Times New Roman"/>
          <w:b/>
          <w:bCs/>
        </w:rPr>
        <w:t>N</w:t>
      </w:r>
      <w:r w:rsidRPr="00FD23DF">
        <w:rPr>
          <w:rFonts w:ascii="Times New Roman" w:hAnsi="Times New Roman" w:cs="Times New Roman"/>
        </w:rPr>
        <w:t xml:space="preserve">. </w:t>
      </w:r>
    </w:p>
    <w:p w:rsidR="00B9654C" w:rsidRPr="00BD5A96" w:rsidP="00703946" w14:paraId="6A7EF153" w14:textId="77777777">
      <w:pPr>
        <w:pStyle w:val="BodyText"/>
        <w:rPr>
          <w:rFonts w:ascii="Times New Roman" w:hAnsi="Times New Roman" w:cs="Times New Roman"/>
          <w:iCs/>
        </w:rPr>
      </w:pPr>
      <w:r w:rsidRPr="005753CE">
        <w:rPr>
          <w:rFonts w:ascii="Times New Roman" w:hAnsi="Times New Roman" w:cs="Times New Roman"/>
          <w:b/>
          <w:bCs/>
          <w:iCs/>
        </w:rPr>
        <w:t>Web-based Data Collection</w:t>
      </w:r>
      <w:r w:rsidRPr="00BD5A96" w:rsidR="0057498F">
        <w:rPr>
          <w:rFonts w:ascii="Times New Roman" w:hAnsi="Times New Roman" w:cs="Times New Roman"/>
          <w:iCs/>
        </w:rPr>
        <w:t>:</w:t>
      </w:r>
      <w:r w:rsidRPr="00BD5A96">
        <w:rPr>
          <w:rFonts w:ascii="Times New Roman" w:hAnsi="Times New Roman" w:cs="Times New Roman"/>
          <w:iCs/>
        </w:rPr>
        <w:t xml:space="preserve"> </w:t>
      </w:r>
    </w:p>
    <w:p w:rsidR="00D27410" w:rsidP="00703946" w14:paraId="22FCFAA9" w14:textId="233B57FB">
      <w:pPr>
        <w:pStyle w:val="BodyText"/>
        <w:rPr>
          <w:iCs/>
        </w:rPr>
      </w:pPr>
      <w:r w:rsidRPr="0057498F">
        <w:rPr>
          <w:rFonts w:ascii="Times New Roman" w:hAnsi="Times New Roman"/>
          <w:iCs/>
        </w:rPr>
        <w:t xml:space="preserve">The </w:t>
      </w:r>
      <w:r w:rsidR="005B16CC">
        <w:rPr>
          <w:rFonts w:ascii="Times New Roman" w:hAnsi="Times New Roman"/>
          <w:iCs/>
        </w:rPr>
        <w:t>L</w:t>
      </w:r>
      <w:r w:rsidRPr="0057498F">
        <w:rPr>
          <w:rFonts w:ascii="Times New Roman" w:hAnsi="Times New Roman"/>
          <w:iCs/>
        </w:rPr>
        <w:t>ead</w:t>
      </w:r>
      <w:r w:rsidRPr="00D27410">
        <w:rPr>
          <w:rFonts w:ascii="Times New Roman" w:hAnsi="Times New Roman"/>
          <w:iCs/>
        </w:rPr>
        <w:t xml:space="preserve"> </w:t>
      </w:r>
      <w:r w:rsidR="005B16CC">
        <w:rPr>
          <w:rFonts w:ascii="Times New Roman" w:hAnsi="Times New Roman"/>
          <w:iCs/>
        </w:rPr>
        <w:t>L</w:t>
      </w:r>
      <w:r w:rsidRPr="00D27410">
        <w:rPr>
          <w:rFonts w:ascii="Times New Roman" w:hAnsi="Times New Roman"/>
          <w:iCs/>
        </w:rPr>
        <w:t>etter received at all SDUs will contain the mailing address and 10-digit alphanumeric participant code unique to each dwelling unit for use by those selecting to participate via web. T</w:t>
      </w:r>
      <w:r w:rsidRPr="00D27410">
        <w:rPr>
          <w:rFonts w:ascii="Times New Roman" w:hAnsi="Times New Roman"/>
          <w:bCs/>
          <w:iCs/>
        </w:rPr>
        <w:t xml:space="preserve">he letter also contains the address to the </w:t>
      </w:r>
      <w:r w:rsidR="00BD6C2B">
        <w:rPr>
          <w:rFonts w:ascii="Times New Roman" w:hAnsi="Times New Roman"/>
          <w:bCs/>
          <w:iCs/>
        </w:rPr>
        <w:t>NSDUH</w:t>
      </w:r>
      <w:r w:rsidRPr="00D27410" w:rsidR="00FE4798">
        <w:rPr>
          <w:rFonts w:ascii="Times New Roman" w:hAnsi="Times New Roman"/>
          <w:bCs/>
          <w:iCs/>
        </w:rPr>
        <w:t xml:space="preserve"> </w:t>
      </w:r>
      <w:r w:rsidRPr="00D27410">
        <w:rPr>
          <w:rFonts w:ascii="Times New Roman" w:hAnsi="Times New Roman"/>
          <w:bCs/>
          <w:iCs/>
        </w:rPr>
        <w:t xml:space="preserve">respondent web site, which provides general information about the study for all respondents, and the toll-free number for the </w:t>
      </w:r>
      <w:r w:rsidR="00BD6C2B">
        <w:rPr>
          <w:rFonts w:ascii="Times New Roman" w:hAnsi="Times New Roman"/>
          <w:bCs/>
          <w:iCs/>
        </w:rPr>
        <w:t>NSDUH</w:t>
      </w:r>
      <w:r w:rsidR="00FE4798">
        <w:rPr>
          <w:rFonts w:ascii="Times New Roman" w:hAnsi="Times New Roman"/>
          <w:bCs/>
          <w:iCs/>
        </w:rPr>
        <w:t xml:space="preserve"> </w:t>
      </w:r>
      <w:r w:rsidR="00F7525D">
        <w:rPr>
          <w:rFonts w:ascii="Times New Roman" w:hAnsi="Times New Roman"/>
          <w:bCs/>
          <w:iCs/>
        </w:rPr>
        <w:t>RCL</w:t>
      </w:r>
      <w:r w:rsidRPr="00D27410">
        <w:rPr>
          <w:rFonts w:ascii="Times New Roman" w:hAnsi="Times New Roman"/>
          <w:bCs/>
          <w:iCs/>
        </w:rPr>
        <w:t xml:space="preserve">. The letter also emphasizes that a resident must be 18 or older to participate as a </w:t>
      </w:r>
      <w:r w:rsidRPr="00D27410">
        <w:rPr>
          <w:rFonts w:ascii="Times New Roman" w:hAnsi="Times New Roman"/>
          <w:iCs/>
        </w:rPr>
        <w:t>screening respondent and that parental permission is required for interviews with youth respondents</w:t>
      </w:r>
      <w:r w:rsidRPr="00D27410">
        <w:rPr>
          <w:rFonts w:ascii="Times New Roman" w:hAnsi="Times New Roman"/>
          <w:bCs/>
          <w:iCs/>
        </w:rPr>
        <w:t>.</w:t>
      </w:r>
      <w:r w:rsidRPr="00D27410">
        <w:rPr>
          <w:rFonts w:ascii="Times New Roman" w:hAnsi="Times New Roman"/>
        </w:rPr>
        <w:t xml:space="preserve"> </w:t>
      </w:r>
      <w:r w:rsidRPr="00D27410">
        <w:rPr>
          <w:iCs/>
        </w:rPr>
        <w:t xml:space="preserve">Using the website address provided in the </w:t>
      </w:r>
      <w:r w:rsidR="005B16CC">
        <w:rPr>
          <w:iCs/>
        </w:rPr>
        <w:t>L</w:t>
      </w:r>
      <w:r w:rsidRPr="00D27410">
        <w:rPr>
          <w:iCs/>
        </w:rPr>
        <w:t xml:space="preserve">ead </w:t>
      </w:r>
      <w:r w:rsidR="005B16CC">
        <w:rPr>
          <w:iCs/>
        </w:rPr>
        <w:t>L</w:t>
      </w:r>
      <w:r w:rsidRPr="00D27410">
        <w:rPr>
          <w:iCs/>
        </w:rPr>
        <w:t xml:space="preserve">etter, an adult resident of the SDU (aged 18 or older) will access the </w:t>
      </w:r>
      <w:r w:rsidR="00BD6C2B">
        <w:rPr>
          <w:iCs/>
        </w:rPr>
        <w:t>NSDUH</w:t>
      </w:r>
      <w:r w:rsidRPr="00D27410" w:rsidR="00FE4798">
        <w:rPr>
          <w:iCs/>
        </w:rPr>
        <w:t xml:space="preserve"> </w:t>
      </w:r>
      <w:r w:rsidRPr="00D27410">
        <w:rPr>
          <w:iCs/>
        </w:rPr>
        <w:t>web screening from any device with internet access (computer, tablet, phone, etc.). The website’s HTTPS encryption will provide sufficient security for all information entered from any device via any internet connection (public Wi-Fi, cellular, at-home Wi-Fi, etc.).</w:t>
      </w:r>
    </w:p>
    <w:p w:rsidR="00D27410" w:rsidRPr="00D27410" w:rsidP="00703946" w14:paraId="5E28E262" w14:textId="77777777">
      <w:pPr>
        <w:pStyle w:val="BodyText"/>
        <w:rPr>
          <w:rFonts w:ascii="Times New Roman" w:hAnsi="Times New Roman"/>
          <w:bCs/>
          <w:iCs/>
        </w:rPr>
      </w:pPr>
      <w:r w:rsidRPr="00D27410">
        <w:rPr>
          <w:rFonts w:ascii="Times New Roman" w:hAnsi="Times New Roman"/>
          <w:bCs/>
          <w:iCs/>
        </w:rPr>
        <w:t>The letter also includes a QR code that respondents can scan to access the web screening site without having to type in the web address – though respondents will need to enter their unique participant code to begin the screening.</w:t>
      </w:r>
    </w:p>
    <w:p w:rsidR="00D27410" w:rsidRPr="00D27410" w:rsidP="00703946" w14:paraId="6181C442" w14:textId="77777777">
      <w:pPr>
        <w:pStyle w:val="BodyText"/>
        <w:rPr>
          <w:rFonts w:ascii="Times New Roman" w:hAnsi="Times New Roman"/>
          <w:iCs/>
        </w:rPr>
      </w:pPr>
      <w:r>
        <w:rPr>
          <w:rFonts w:ascii="Times New Roman" w:hAnsi="Times New Roman"/>
          <w:iCs/>
        </w:rPr>
        <w:t>The web-based s</w:t>
      </w:r>
      <w:r w:rsidRPr="00D27410">
        <w:rPr>
          <w:rFonts w:ascii="Times New Roman" w:hAnsi="Times New Roman"/>
          <w:iCs/>
        </w:rPr>
        <w:t xml:space="preserve">creening (and any subsequent interviews) will be available in English and Spanish. Those living in SDUs who are not able to read English and Spanish well enough to complete the screening (and interview) without assistance will not be able to participate as they will not be able to read and understand the </w:t>
      </w:r>
      <w:r w:rsidR="005B16CC">
        <w:rPr>
          <w:rFonts w:ascii="Times New Roman" w:hAnsi="Times New Roman"/>
          <w:iCs/>
        </w:rPr>
        <w:t>L</w:t>
      </w:r>
      <w:r w:rsidRPr="00D27410">
        <w:rPr>
          <w:rFonts w:ascii="Times New Roman" w:hAnsi="Times New Roman"/>
          <w:iCs/>
        </w:rPr>
        <w:t xml:space="preserve">ead </w:t>
      </w:r>
      <w:r w:rsidR="005B16CC">
        <w:rPr>
          <w:rFonts w:ascii="Times New Roman" w:hAnsi="Times New Roman"/>
          <w:iCs/>
        </w:rPr>
        <w:t>L</w:t>
      </w:r>
      <w:r w:rsidRPr="00D27410">
        <w:rPr>
          <w:rFonts w:ascii="Times New Roman" w:hAnsi="Times New Roman"/>
          <w:iCs/>
        </w:rPr>
        <w:t xml:space="preserve">etter they receive.  </w:t>
      </w:r>
    </w:p>
    <w:p w:rsidR="00D27410" w:rsidRPr="00D27410" w:rsidP="00703946" w14:paraId="4A52FF14" w14:textId="36AAFDF1">
      <w:pPr>
        <w:pStyle w:val="BodyText"/>
        <w:rPr>
          <w:rFonts w:ascii="Times New Roman" w:hAnsi="Times New Roman"/>
          <w:bCs/>
          <w:iCs/>
        </w:rPr>
      </w:pPr>
      <w:r w:rsidRPr="00D27410">
        <w:rPr>
          <w:rFonts w:ascii="Times New Roman" w:hAnsi="Times New Roman"/>
          <w:bCs/>
          <w:iCs/>
        </w:rPr>
        <w:t xml:space="preserve">If the resident chooses to complete the online screening, included as </w:t>
      </w:r>
      <w:r w:rsidR="00EE1D4E">
        <w:rPr>
          <w:rFonts w:ascii="Times New Roman" w:hAnsi="Times New Roman"/>
          <w:bCs/>
          <w:iCs/>
        </w:rPr>
        <w:t>WEB-</w:t>
      </w:r>
      <w:r w:rsidR="0057498F">
        <w:rPr>
          <w:rFonts w:ascii="Times New Roman" w:hAnsi="Times New Roman"/>
          <w:bCs/>
          <w:iCs/>
        </w:rPr>
        <w:t>6</w:t>
      </w:r>
      <w:r w:rsidRPr="00D27410">
        <w:rPr>
          <w:rFonts w:ascii="Times New Roman" w:hAnsi="Times New Roman"/>
          <w:bCs/>
          <w:iCs/>
        </w:rPr>
        <w:t xml:space="preserve">, all household members aged 12 and older will be rostered, which involves the </w:t>
      </w:r>
      <w:r w:rsidRPr="00D27410">
        <w:rPr>
          <w:rFonts w:ascii="Times New Roman" w:hAnsi="Times New Roman"/>
          <w:iCs/>
        </w:rPr>
        <w:t xml:space="preserve">screening respondent </w:t>
      </w:r>
      <w:r w:rsidRPr="00D27410">
        <w:rPr>
          <w:rFonts w:ascii="Times New Roman" w:hAnsi="Times New Roman"/>
          <w:bCs/>
          <w:iCs/>
        </w:rPr>
        <w:t xml:space="preserve">providing basic demographic information for each, and the selection algorithm will then determine if any eligible respondents are selected for the interview. At the end of the web-based screening, just like the in-person screening, 0, 1, or 2 residents aged 12 or older may be selected to complete the </w:t>
      </w:r>
      <w:r w:rsidR="00BD6C2B">
        <w:rPr>
          <w:rFonts w:ascii="Times New Roman" w:hAnsi="Times New Roman"/>
          <w:bCs/>
          <w:iCs/>
        </w:rPr>
        <w:t>NSDUH</w:t>
      </w:r>
      <w:r w:rsidRPr="00D27410">
        <w:rPr>
          <w:rFonts w:ascii="Times New Roman" w:hAnsi="Times New Roman"/>
          <w:bCs/>
          <w:iCs/>
        </w:rPr>
        <w:t xml:space="preserve"> interview. </w:t>
      </w:r>
    </w:p>
    <w:p w:rsidR="00D27410" w:rsidRPr="00D27410" w:rsidP="00703946" w14:paraId="6D1079B4" w14:textId="77777777">
      <w:pPr>
        <w:pStyle w:val="BodyText"/>
        <w:rPr>
          <w:rFonts w:ascii="Times New Roman" w:hAnsi="Times New Roman"/>
          <w:iCs/>
        </w:rPr>
      </w:pPr>
      <w:r w:rsidRPr="00D27410">
        <w:rPr>
          <w:rFonts w:ascii="Times New Roman" w:hAnsi="Times New Roman"/>
          <w:iCs/>
        </w:rPr>
        <w:t xml:space="preserve">The </w:t>
      </w:r>
      <w:r w:rsidR="00414E87">
        <w:rPr>
          <w:rFonts w:ascii="Times New Roman" w:hAnsi="Times New Roman"/>
          <w:iCs/>
        </w:rPr>
        <w:t>IRs</w:t>
      </w:r>
      <w:r w:rsidRPr="00D27410">
        <w:rPr>
          <w:rFonts w:ascii="Times New Roman" w:hAnsi="Times New Roman"/>
          <w:iCs/>
        </w:rPr>
        <w:t xml:space="preserve"> will be identified on the interview selections screen according to their age and relationship to the SR (i.e., 14-year-</w:t>
      </w:r>
      <w:r w:rsidR="005B16CC">
        <w:rPr>
          <w:rFonts w:ascii="Times New Roman" w:hAnsi="Times New Roman"/>
          <w:iCs/>
        </w:rPr>
        <w:t>child</w:t>
      </w:r>
      <w:r w:rsidRPr="00D27410">
        <w:rPr>
          <w:rFonts w:ascii="Times New Roman" w:hAnsi="Times New Roman"/>
          <w:iCs/>
        </w:rPr>
        <w:t xml:space="preserve">, 46-year-old </w:t>
      </w:r>
      <w:r w:rsidR="005B16CC">
        <w:rPr>
          <w:rFonts w:ascii="Times New Roman" w:hAnsi="Times New Roman"/>
          <w:iCs/>
        </w:rPr>
        <w:t>spouse</w:t>
      </w:r>
      <w:r w:rsidRPr="00D27410">
        <w:rPr>
          <w:rFonts w:ascii="Times New Roman" w:hAnsi="Times New Roman"/>
          <w:iCs/>
        </w:rPr>
        <w:t>, etc.) and clearly labeled as Interview A and/or Interview B.</w:t>
      </w:r>
    </w:p>
    <w:p w:rsidR="00D27410" w:rsidRPr="00D27410" w:rsidP="00703946" w14:paraId="2C19ED9F" w14:textId="77777777">
      <w:pPr>
        <w:pStyle w:val="BodyText"/>
        <w:rPr>
          <w:rFonts w:ascii="Times New Roman" w:hAnsi="Times New Roman"/>
          <w:iCs/>
        </w:rPr>
      </w:pPr>
      <w:r w:rsidRPr="00D27410">
        <w:rPr>
          <w:rFonts w:ascii="Times New Roman" w:hAnsi="Times New Roman"/>
          <w:iCs/>
        </w:rPr>
        <w:t xml:space="preserve">If one or both of the adult </w:t>
      </w:r>
      <w:r w:rsidR="00414E87">
        <w:rPr>
          <w:rFonts w:ascii="Times New Roman" w:hAnsi="Times New Roman"/>
          <w:iCs/>
        </w:rPr>
        <w:t>IRs</w:t>
      </w:r>
      <w:r w:rsidRPr="00D27410">
        <w:rPr>
          <w:rFonts w:ascii="Times New Roman" w:hAnsi="Times New Roman"/>
          <w:iCs/>
        </w:rPr>
        <w:t xml:space="preserve"> are not the </w:t>
      </w:r>
      <w:r>
        <w:rPr>
          <w:rFonts w:ascii="Times New Roman" w:hAnsi="Times New Roman"/>
          <w:iCs/>
        </w:rPr>
        <w:t>screening respondent</w:t>
      </w:r>
      <w:r w:rsidRPr="00D27410">
        <w:rPr>
          <w:rFonts w:ascii="Times New Roman" w:hAnsi="Times New Roman"/>
          <w:iCs/>
        </w:rPr>
        <w:t xml:space="preserve">, the </w:t>
      </w:r>
      <w:r>
        <w:rPr>
          <w:rFonts w:ascii="Times New Roman" w:hAnsi="Times New Roman"/>
          <w:iCs/>
        </w:rPr>
        <w:t>screening respondent</w:t>
      </w:r>
      <w:r w:rsidRPr="00D27410">
        <w:rPr>
          <w:rFonts w:ascii="Times New Roman" w:hAnsi="Times New Roman"/>
          <w:iCs/>
        </w:rPr>
        <w:t xml:space="preserve"> will be asked to inform those adult </w:t>
      </w:r>
      <w:r w:rsidR="007A2101">
        <w:rPr>
          <w:rFonts w:ascii="Times New Roman" w:hAnsi="Times New Roman"/>
          <w:iCs/>
        </w:rPr>
        <w:t>IR</w:t>
      </w:r>
      <w:r w:rsidRPr="00D27410">
        <w:rPr>
          <w:rFonts w:ascii="Times New Roman" w:hAnsi="Times New Roman"/>
          <w:iCs/>
        </w:rPr>
        <w:t xml:space="preserve">(s) verbally of the interview selection. (Also, as described below, each adult </w:t>
      </w:r>
      <w:r w:rsidR="007A2101">
        <w:rPr>
          <w:rFonts w:ascii="Times New Roman" w:hAnsi="Times New Roman"/>
          <w:iCs/>
        </w:rPr>
        <w:t>IR</w:t>
      </w:r>
      <w:r w:rsidRPr="00D27410">
        <w:rPr>
          <w:rFonts w:ascii="Times New Roman" w:hAnsi="Times New Roman"/>
          <w:iCs/>
        </w:rPr>
        <w:t xml:space="preserve"> will receive a follow-up letter about completing the interview.) </w:t>
      </w:r>
    </w:p>
    <w:p w:rsidR="00D27410" w:rsidRPr="00D27410" w:rsidP="00703946" w14:paraId="79BDB0B8" w14:textId="77777777">
      <w:pPr>
        <w:pStyle w:val="BodyText"/>
        <w:rPr>
          <w:rFonts w:ascii="Times New Roman" w:hAnsi="Times New Roman"/>
          <w:iCs/>
        </w:rPr>
      </w:pPr>
      <w:r w:rsidRPr="00D27410">
        <w:rPr>
          <w:rFonts w:ascii="Times New Roman" w:hAnsi="Times New Roman"/>
          <w:iCs/>
        </w:rPr>
        <w:t xml:space="preserve">If one or both of the </w:t>
      </w:r>
      <w:r w:rsidR="007A2101">
        <w:rPr>
          <w:rFonts w:ascii="Times New Roman" w:hAnsi="Times New Roman"/>
          <w:iCs/>
        </w:rPr>
        <w:t>IRs</w:t>
      </w:r>
      <w:r w:rsidRPr="00D27410">
        <w:rPr>
          <w:rFonts w:ascii="Times New Roman" w:hAnsi="Times New Roman"/>
          <w:iCs/>
        </w:rPr>
        <w:t xml:space="preserve"> are youth respondents (aged 12-17), the </w:t>
      </w:r>
      <w:r>
        <w:rPr>
          <w:rFonts w:ascii="Times New Roman" w:hAnsi="Times New Roman"/>
          <w:iCs/>
        </w:rPr>
        <w:t>screening respondent</w:t>
      </w:r>
      <w:r w:rsidRPr="00D27410">
        <w:rPr>
          <w:rFonts w:ascii="Times New Roman" w:hAnsi="Times New Roman"/>
          <w:iCs/>
        </w:rPr>
        <w:t xml:space="preserve"> will be asked to verbally inform the parent(s) of the youth (if the </w:t>
      </w:r>
      <w:r>
        <w:rPr>
          <w:rFonts w:ascii="Times New Roman" w:hAnsi="Times New Roman"/>
          <w:iCs/>
        </w:rPr>
        <w:t>screening respondent</w:t>
      </w:r>
      <w:r w:rsidRPr="00D27410">
        <w:rPr>
          <w:rFonts w:ascii="Times New Roman" w:hAnsi="Times New Roman"/>
          <w:iCs/>
        </w:rPr>
        <w:t xml:space="preserve"> is not also the parent) that: 1) the youth was selected for an interview; 2) verbal parental permission is required via telephone before the youth can participate in the interview; and 3) the toll-free phone number to call to conduct the parental permission and youth assent process for the interview.</w:t>
      </w:r>
    </w:p>
    <w:p w:rsidR="00D27410" w:rsidRPr="00D27410" w:rsidP="00703946" w14:paraId="7D317960" w14:textId="2D3746E3">
      <w:pPr>
        <w:pStyle w:val="BodyText"/>
        <w:rPr>
          <w:rFonts w:ascii="Times New Roman" w:hAnsi="Times New Roman"/>
          <w:iCs/>
        </w:rPr>
      </w:pPr>
      <w:r w:rsidRPr="00D27410">
        <w:rPr>
          <w:rFonts w:ascii="Times New Roman" w:hAnsi="Times New Roman"/>
          <w:iCs/>
        </w:rPr>
        <w:t xml:space="preserve">In addition to the </w:t>
      </w:r>
      <w:r w:rsidR="005B16CC">
        <w:rPr>
          <w:rFonts w:ascii="Times New Roman" w:hAnsi="Times New Roman"/>
          <w:iCs/>
        </w:rPr>
        <w:t>L</w:t>
      </w:r>
      <w:r w:rsidRPr="00D27410">
        <w:rPr>
          <w:rFonts w:ascii="Times New Roman" w:hAnsi="Times New Roman"/>
          <w:iCs/>
        </w:rPr>
        <w:t xml:space="preserve">ead </w:t>
      </w:r>
      <w:r w:rsidR="005B16CC">
        <w:rPr>
          <w:rFonts w:ascii="Times New Roman" w:hAnsi="Times New Roman"/>
          <w:iCs/>
        </w:rPr>
        <w:t>L</w:t>
      </w:r>
      <w:r w:rsidRPr="00D27410">
        <w:rPr>
          <w:rFonts w:ascii="Times New Roman" w:hAnsi="Times New Roman"/>
          <w:iCs/>
        </w:rPr>
        <w:t xml:space="preserve">etter, SDUs will receive a series of follow-up letters reminding them of their selection for </w:t>
      </w:r>
      <w:r w:rsidR="00BD6C2B">
        <w:rPr>
          <w:rFonts w:ascii="Times New Roman" w:hAnsi="Times New Roman"/>
          <w:iCs/>
        </w:rPr>
        <w:t>NSDUH</w:t>
      </w:r>
      <w:r w:rsidRPr="00D27410">
        <w:rPr>
          <w:rFonts w:ascii="Times New Roman" w:hAnsi="Times New Roman"/>
          <w:iCs/>
        </w:rPr>
        <w:t xml:space="preserve">. A few days after receiving the </w:t>
      </w:r>
      <w:r w:rsidR="005B16CC">
        <w:rPr>
          <w:rFonts w:ascii="Times New Roman" w:hAnsi="Times New Roman"/>
          <w:iCs/>
        </w:rPr>
        <w:t>L</w:t>
      </w:r>
      <w:r w:rsidRPr="00D27410">
        <w:rPr>
          <w:rFonts w:ascii="Times New Roman" w:hAnsi="Times New Roman"/>
          <w:iCs/>
        </w:rPr>
        <w:t xml:space="preserve">ead </w:t>
      </w:r>
      <w:r w:rsidR="005B16CC">
        <w:rPr>
          <w:rFonts w:ascii="Times New Roman" w:hAnsi="Times New Roman"/>
          <w:iCs/>
        </w:rPr>
        <w:t>L</w:t>
      </w:r>
      <w:r w:rsidRPr="00D27410">
        <w:rPr>
          <w:rFonts w:ascii="Times New Roman" w:hAnsi="Times New Roman"/>
          <w:iCs/>
        </w:rPr>
        <w:t xml:space="preserve">etter, all SDUs will receive a </w:t>
      </w:r>
      <w:r w:rsidR="005B16CC">
        <w:rPr>
          <w:rFonts w:ascii="Times New Roman" w:hAnsi="Times New Roman"/>
          <w:iCs/>
        </w:rPr>
        <w:t>Web F</w:t>
      </w:r>
      <w:r w:rsidRPr="00D27410">
        <w:rPr>
          <w:rFonts w:ascii="Times New Roman" w:hAnsi="Times New Roman"/>
          <w:iCs/>
        </w:rPr>
        <w:t xml:space="preserve">ollow-up </w:t>
      </w:r>
      <w:r w:rsidR="005B16CC">
        <w:rPr>
          <w:rFonts w:ascii="Times New Roman" w:hAnsi="Times New Roman"/>
          <w:iCs/>
        </w:rPr>
        <w:t>L</w:t>
      </w:r>
      <w:r w:rsidRPr="00D27410">
        <w:rPr>
          <w:rFonts w:ascii="Times New Roman" w:hAnsi="Times New Roman"/>
          <w:iCs/>
        </w:rPr>
        <w:t>etter (</w:t>
      </w:r>
      <w:r w:rsidR="005B16CC">
        <w:rPr>
          <w:rFonts w:ascii="Times New Roman" w:hAnsi="Times New Roman"/>
          <w:iCs/>
        </w:rPr>
        <w:t xml:space="preserve">included in </w:t>
      </w:r>
      <w:r w:rsidRPr="007A6238" w:rsidR="00EE1D4E">
        <w:rPr>
          <w:rFonts w:ascii="Times New Roman" w:hAnsi="Times New Roman"/>
          <w:b/>
          <w:bCs/>
          <w:iCs/>
        </w:rPr>
        <w:t>Attachment WEB-</w:t>
      </w:r>
      <w:r w:rsidRPr="007A6238" w:rsidR="005B16CC">
        <w:rPr>
          <w:rFonts w:ascii="Times New Roman" w:hAnsi="Times New Roman"/>
          <w:b/>
          <w:bCs/>
          <w:iCs/>
        </w:rPr>
        <w:t>3</w:t>
      </w:r>
      <w:r w:rsidRPr="00D27410">
        <w:rPr>
          <w:rFonts w:ascii="Times New Roman" w:hAnsi="Times New Roman"/>
          <w:iCs/>
        </w:rPr>
        <w:t xml:space="preserve">) as a reminder to complete screening. This letter will contain the website address to the screening website (including a QR code for quick access) and the SDU’s participant code. </w:t>
      </w:r>
    </w:p>
    <w:p w:rsidR="00D27410" w:rsidRPr="00D27410" w:rsidP="00703946" w14:paraId="6E0A65DD" w14:textId="77777777">
      <w:pPr>
        <w:pStyle w:val="BodyText"/>
        <w:rPr>
          <w:rFonts w:ascii="Times New Roman" w:hAnsi="Times New Roman"/>
          <w:bCs/>
          <w:iCs/>
        </w:rPr>
      </w:pPr>
      <w:r w:rsidRPr="00D27410">
        <w:rPr>
          <w:rFonts w:ascii="Times New Roman" w:hAnsi="Times New Roman"/>
          <w:iCs/>
        </w:rPr>
        <w:t xml:space="preserve">Then once each week for the next three weeks following the mailing of the </w:t>
      </w:r>
      <w:r w:rsidR="005B16CC">
        <w:rPr>
          <w:rFonts w:ascii="Times New Roman" w:hAnsi="Times New Roman"/>
          <w:iCs/>
        </w:rPr>
        <w:t>L</w:t>
      </w:r>
      <w:r w:rsidRPr="00D27410">
        <w:rPr>
          <w:rFonts w:ascii="Times New Roman" w:hAnsi="Times New Roman"/>
          <w:iCs/>
        </w:rPr>
        <w:t xml:space="preserve">ead </w:t>
      </w:r>
      <w:r w:rsidR="005B16CC">
        <w:rPr>
          <w:rFonts w:ascii="Times New Roman" w:hAnsi="Times New Roman"/>
          <w:iCs/>
        </w:rPr>
        <w:t>L</w:t>
      </w:r>
      <w:r w:rsidRPr="00D27410">
        <w:rPr>
          <w:rFonts w:ascii="Times New Roman" w:hAnsi="Times New Roman"/>
          <w:iCs/>
        </w:rPr>
        <w:t xml:space="preserve">etter, residents at SDUs who have not yet completed the web screening will receive additional follow up correspondence (included in </w:t>
      </w:r>
      <w:r w:rsidRPr="007A6238">
        <w:rPr>
          <w:rFonts w:ascii="Times New Roman" w:hAnsi="Times New Roman"/>
          <w:b/>
          <w:bCs/>
          <w:iCs/>
        </w:rPr>
        <w:t xml:space="preserve">Attachment </w:t>
      </w:r>
      <w:r w:rsidRPr="007A6238" w:rsidR="00EE1D4E">
        <w:rPr>
          <w:rFonts w:ascii="Times New Roman" w:hAnsi="Times New Roman"/>
          <w:b/>
          <w:bCs/>
          <w:iCs/>
        </w:rPr>
        <w:t>WEB-</w:t>
      </w:r>
      <w:r w:rsidRPr="007A6238" w:rsidR="005B16CC">
        <w:rPr>
          <w:rFonts w:ascii="Times New Roman" w:hAnsi="Times New Roman"/>
          <w:b/>
          <w:bCs/>
          <w:iCs/>
        </w:rPr>
        <w:t>3</w:t>
      </w:r>
      <w:r w:rsidRPr="00D27410">
        <w:rPr>
          <w:rFonts w:ascii="Times New Roman" w:hAnsi="Times New Roman"/>
          <w:iCs/>
        </w:rPr>
        <w:t>). Once an adult resident of an SDU completes the web screening, the screening follow-up letters will no longer be mailed to that SDU.</w:t>
      </w:r>
    </w:p>
    <w:p w:rsidR="00F1328A" w:rsidRPr="00F1328A" w:rsidP="00703946" w14:paraId="1FF2B138" w14:textId="77777777">
      <w:pPr>
        <w:pStyle w:val="BodyText"/>
        <w:rPr>
          <w:rFonts w:ascii="Times New Roman" w:hAnsi="Times New Roman"/>
          <w:iCs/>
        </w:rPr>
      </w:pPr>
      <w:r w:rsidRPr="00F1328A">
        <w:rPr>
          <w:rFonts w:ascii="Times New Roman" w:hAnsi="Times New Roman"/>
          <w:iCs/>
        </w:rPr>
        <w:t xml:space="preserve">If the </w:t>
      </w:r>
      <w:r>
        <w:rPr>
          <w:rFonts w:ascii="Times New Roman" w:hAnsi="Times New Roman"/>
          <w:iCs/>
        </w:rPr>
        <w:t>screening respondent</w:t>
      </w:r>
      <w:r w:rsidRPr="00F1328A">
        <w:rPr>
          <w:rFonts w:ascii="Times New Roman" w:hAnsi="Times New Roman"/>
          <w:iCs/>
        </w:rPr>
        <w:t xml:space="preserve"> is one of the adult </w:t>
      </w:r>
      <w:r w:rsidR="007A2101">
        <w:rPr>
          <w:rFonts w:ascii="Times New Roman" w:hAnsi="Times New Roman"/>
          <w:iCs/>
        </w:rPr>
        <w:t>IRs</w:t>
      </w:r>
      <w:r w:rsidRPr="00F1328A">
        <w:rPr>
          <w:rFonts w:ascii="Times New Roman" w:hAnsi="Times New Roman"/>
          <w:iCs/>
        </w:rPr>
        <w:t xml:space="preserve">, </w:t>
      </w:r>
      <w:r w:rsidR="004126B5">
        <w:rPr>
          <w:rFonts w:ascii="Times New Roman" w:hAnsi="Times New Roman"/>
          <w:iCs/>
        </w:rPr>
        <w:t>they have</w:t>
      </w:r>
      <w:r w:rsidRPr="00F1328A">
        <w:rPr>
          <w:rFonts w:ascii="Times New Roman" w:hAnsi="Times New Roman"/>
          <w:iCs/>
        </w:rPr>
        <w:t xml:space="preserve"> the option to immediately begin the web interview</w:t>
      </w:r>
      <w:r>
        <w:rPr>
          <w:rFonts w:ascii="Times New Roman" w:hAnsi="Times New Roman"/>
          <w:iCs/>
        </w:rPr>
        <w:t xml:space="preserve"> once selected</w:t>
      </w:r>
      <w:r w:rsidRPr="00F1328A">
        <w:rPr>
          <w:rFonts w:ascii="Times New Roman" w:hAnsi="Times New Roman"/>
          <w:iCs/>
        </w:rPr>
        <w:t xml:space="preserve">. </w:t>
      </w:r>
      <w:r w:rsidR="007A2101">
        <w:rPr>
          <w:rFonts w:ascii="Times New Roman" w:hAnsi="Times New Roman"/>
          <w:iCs/>
        </w:rPr>
        <w:t>IR</w:t>
      </w:r>
      <w:r>
        <w:rPr>
          <w:rFonts w:ascii="Times New Roman" w:hAnsi="Times New Roman"/>
          <w:iCs/>
        </w:rPr>
        <w:t>s</w:t>
      </w:r>
      <w:r w:rsidRPr="00F1328A">
        <w:rPr>
          <w:rFonts w:ascii="Times New Roman" w:hAnsi="Times New Roman"/>
          <w:iCs/>
        </w:rPr>
        <w:t xml:space="preserve"> will be able to access their interview at a later time of their choosing (until the end of the quarterly data collection period) by using the website address provided on the </w:t>
      </w:r>
      <w:r w:rsidR="0008682D">
        <w:rPr>
          <w:rFonts w:ascii="Times New Roman" w:hAnsi="Times New Roman"/>
          <w:iCs/>
        </w:rPr>
        <w:t>L</w:t>
      </w:r>
      <w:r w:rsidRPr="00F1328A">
        <w:rPr>
          <w:rFonts w:ascii="Times New Roman" w:hAnsi="Times New Roman"/>
          <w:iCs/>
        </w:rPr>
        <w:t xml:space="preserve">ead </w:t>
      </w:r>
      <w:r w:rsidR="0008682D">
        <w:rPr>
          <w:rFonts w:ascii="Times New Roman" w:hAnsi="Times New Roman"/>
          <w:iCs/>
        </w:rPr>
        <w:t>L</w:t>
      </w:r>
      <w:r w:rsidRPr="00F1328A">
        <w:rPr>
          <w:rFonts w:ascii="Times New Roman" w:hAnsi="Times New Roman"/>
          <w:iCs/>
        </w:rPr>
        <w:t xml:space="preserve">etter – the same address for the screening – and inserting the participant code unique to that SDU. </w:t>
      </w:r>
    </w:p>
    <w:p w:rsidR="00F1328A" w:rsidRPr="00F1328A" w:rsidP="00703946" w14:paraId="3C857468" w14:textId="77777777">
      <w:pPr>
        <w:pStyle w:val="BodyText"/>
        <w:rPr>
          <w:rFonts w:ascii="Times New Roman" w:hAnsi="Times New Roman"/>
          <w:iCs/>
        </w:rPr>
      </w:pPr>
      <w:r w:rsidRPr="00F1328A">
        <w:rPr>
          <w:rFonts w:ascii="Times New Roman" w:hAnsi="Times New Roman"/>
          <w:iCs/>
        </w:rPr>
        <w:t xml:space="preserve">Once the </w:t>
      </w:r>
      <w:r w:rsidR="007A2101">
        <w:rPr>
          <w:rFonts w:ascii="Times New Roman" w:hAnsi="Times New Roman"/>
          <w:iCs/>
        </w:rPr>
        <w:t>IR</w:t>
      </w:r>
      <w:r>
        <w:rPr>
          <w:rFonts w:ascii="Times New Roman" w:hAnsi="Times New Roman"/>
          <w:iCs/>
        </w:rPr>
        <w:t xml:space="preserve"> accesses</w:t>
      </w:r>
      <w:r w:rsidRPr="00F1328A">
        <w:rPr>
          <w:rFonts w:ascii="Times New Roman" w:hAnsi="Times New Roman"/>
          <w:iCs/>
        </w:rPr>
        <w:t xml:space="preserve"> </w:t>
      </w:r>
      <w:r>
        <w:rPr>
          <w:rFonts w:ascii="Times New Roman" w:hAnsi="Times New Roman"/>
          <w:iCs/>
        </w:rPr>
        <w:t xml:space="preserve">the </w:t>
      </w:r>
      <w:r w:rsidRPr="00F1328A">
        <w:rPr>
          <w:rFonts w:ascii="Times New Roman" w:hAnsi="Times New Roman"/>
          <w:iCs/>
        </w:rPr>
        <w:t xml:space="preserve">interview, each </w:t>
      </w:r>
      <w:r w:rsidR="007A2101">
        <w:rPr>
          <w:rFonts w:ascii="Times New Roman" w:hAnsi="Times New Roman"/>
          <w:iCs/>
        </w:rPr>
        <w:t>IR</w:t>
      </w:r>
      <w:r w:rsidRPr="00F1328A">
        <w:rPr>
          <w:rFonts w:ascii="Times New Roman" w:hAnsi="Times New Roman"/>
          <w:iCs/>
        </w:rPr>
        <w:t xml:space="preserve"> will first have to review the </w:t>
      </w:r>
      <w:r>
        <w:rPr>
          <w:rFonts w:ascii="Times New Roman" w:hAnsi="Times New Roman"/>
          <w:iCs/>
        </w:rPr>
        <w:t>informed con</w:t>
      </w:r>
      <w:r w:rsidR="00031B3D">
        <w:rPr>
          <w:rFonts w:ascii="Times New Roman" w:hAnsi="Times New Roman"/>
          <w:iCs/>
        </w:rPr>
        <w:t>sen</w:t>
      </w:r>
      <w:r>
        <w:rPr>
          <w:rFonts w:ascii="Times New Roman" w:hAnsi="Times New Roman"/>
          <w:iCs/>
        </w:rPr>
        <w:t>t</w:t>
      </w:r>
      <w:r w:rsidRPr="00F1328A">
        <w:rPr>
          <w:rFonts w:ascii="Times New Roman" w:hAnsi="Times New Roman"/>
          <w:iCs/>
        </w:rPr>
        <w:t xml:space="preserve"> documentation for the web-based interview. This text provides many of the same elements as the informed consent text read to in-person </w:t>
      </w:r>
      <w:r>
        <w:rPr>
          <w:rFonts w:ascii="Times New Roman" w:hAnsi="Times New Roman"/>
          <w:iCs/>
        </w:rPr>
        <w:t>interview respondents</w:t>
      </w:r>
      <w:r w:rsidRPr="00F1328A">
        <w:rPr>
          <w:rFonts w:ascii="Times New Roman" w:hAnsi="Times New Roman"/>
          <w:iCs/>
        </w:rPr>
        <w:t xml:space="preserve"> by </w:t>
      </w:r>
      <w:r w:rsidR="0008682D">
        <w:rPr>
          <w:rFonts w:ascii="Times New Roman" w:hAnsi="Times New Roman"/>
          <w:iCs/>
        </w:rPr>
        <w:t>FIs</w:t>
      </w:r>
      <w:r w:rsidRPr="00F1328A">
        <w:rPr>
          <w:rFonts w:ascii="Times New Roman" w:hAnsi="Times New Roman"/>
          <w:iCs/>
        </w:rPr>
        <w:t xml:space="preserve"> but has been updated to incorporate text specific to the web mode administration. </w:t>
      </w:r>
    </w:p>
    <w:p w:rsidR="00F1328A" w:rsidRPr="00F1328A" w:rsidP="00703946" w14:paraId="66CF830F" w14:textId="77777777">
      <w:pPr>
        <w:pStyle w:val="BodyText"/>
        <w:rPr>
          <w:rFonts w:ascii="Times New Roman" w:hAnsi="Times New Roman"/>
          <w:iCs/>
        </w:rPr>
      </w:pPr>
      <w:r w:rsidRPr="00190F56">
        <w:rPr>
          <w:rFonts w:ascii="Times New Roman" w:hAnsi="Times New Roman"/>
          <w:iCs/>
        </w:rPr>
        <w:t>This Intro to CAI text –</w:t>
      </w:r>
      <w:r w:rsidRPr="00F1328A">
        <w:rPr>
          <w:rFonts w:ascii="Times New Roman" w:hAnsi="Times New Roman"/>
          <w:iCs/>
        </w:rPr>
        <w:t xml:space="preserve"> included in the </w:t>
      </w:r>
      <w:r w:rsidR="007A279C">
        <w:rPr>
          <w:rFonts w:ascii="Times New Roman" w:hAnsi="Times New Roman"/>
          <w:iCs/>
        </w:rPr>
        <w:t>w</w:t>
      </w:r>
      <w:r w:rsidRPr="00F1328A">
        <w:rPr>
          <w:rFonts w:ascii="Times New Roman" w:hAnsi="Times New Roman"/>
          <w:iCs/>
        </w:rPr>
        <w:t>eb</w:t>
      </w:r>
      <w:r w:rsidR="00190F56">
        <w:rPr>
          <w:rFonts w:ascii="Times New Roman" w:hAnsi="Times New Roman"/>
          <w:iCs/>
        </w:rPr>
        <w:t>-based</w:t>
      </w:r>
      <w:r w:rsidRPr="00F1328A">
        <w:rPr>
          <w:rFonts w:ascii="Times New Roman" w:hAnsi="Times New Roman"/>
          <w:iCs/>
        </w:rPr>
        <w:t xml:space="preserve"> </w:t>
      </w:r>
      <w:r w:rsidR="00225AD2">
        <w:rPr>
          <w:rFonts w:ascii="Times New Roman" w:hAnsi="Times New Roman"/>
          <w:iCs/>
        </w:rPr>
        <w:t>CAI Questionnaire s</w:t>
      </w:r>
      <w:r w:rsidRPr="00F1328A">
        <w:rPr>
          <w:rFonts w:ascii="Times New Roman" w:hAnsi="Times New Roman"/>
          <w:iCs/>
        </w:rPr>
        <w:t xml:space="preserve">pecs, </w:t>
      </w:r>
      <w:r w:rsidRPr="007A6238">
        <w:rPr>
          <w:rFonts w:ascii="Times New Roman" w:hAnsi="Times New Roman"/>
          <w:b/>
          <w:bCs/>
          <w:iCs/>
        </w:rPr>
        <w:t xml:space="preserve">Attachment </w:t>
      </w:r>
      <w:r w:rsidRPr="007A6238" w:rsidR="00EE1D4E">
        <w:rPr>
          <w:rFonts w:ascii="Times New Roman" w:hAnsi="Times New Roman"/>
          <w:b/>
          <w:bCs/>
          <w:iCs/>
        </w:rPr>
        <w:t>WEB-</w:t>
      </w:r>
      <w:r w:rsidRPr="007A6238" w:rsidR="00A2727F">
        <w:rPr>
          <w:rFonts w:ascii="Times New Roman" w:hAnsi="Times New Roman"/>
          <w:b/>
          <w:bCs/>
          <w:iCs/>
        </w:rPr>
        <w:t>4</w:t>
      </w:r>
      <w:r w:rsidRPr="00F1328A" w:rsidR="00EE1D4E">
        <w:rPr>
          <w:rFonts w:ascii="Times New Roman" w:hAnsi="Times New Roman"/>
          <w:iCs/>
        </w:rPr>
        <w:t xml:space="preserve"> </w:t>
      </w:r>
      <w:r w:rsidRPr="00F1328A">
        <w:rPr>
          <w:rFonts w:ascii="Times New Roman" w:hAnsi="Times New Roman"/>
          <w:iCs/>
        </w:rPr>
        <w:t xml:space="preserve">– asks each </w:t>
      </w:r>
      <w:r>
        <w:rPr>
          <w:rFonts w:ascii="Times New Roman" w:hAnsi="Times New Roman"/>
          <w:iCs/>
        </w:rPr>
        <w:t xml:space="preserve">adult </w:t>
      </w:r>
      <w:r w:rsidR="007A2101">
        <w:rPr>
          <w:rFonts w:ascii="Times New Roman" w:hAnsi="Times New Roman"/>
          <w:iCs/>
        </w:rPr>
        <w:t>IR</w:t>
      </w:r>
      <w:r w:rsidRPr="00F1328A">
        <w:rPr>
          <w:rFonts w:ascii="Times New Roman" w:hAnsi="Times New Roman"/>
          <w:iCs/>
        </w:rPr>
        <w:t xml:space="preserve"> to confirm they are 18 years old or older and that they are at home in a private location where no one else can see their answers. </w:t>
      </w:r>
      <w:r w:rsidR="007A2101">
        <w:rPr>
          <w:rFonts w:ascii="Times New Roman" w:hAnsi="Times New Roman"/>
          <w:iCs/>
        </w:rPr>
        <w:t>IR</w:t>
      </w:r>
      <w:r>
        <w:rPr>
          <w:rFonts w:ascii="Times New Roman" w:hAnsi="Times New Roman"/>
          <w:iCs/>
        </w:rPr>
        <w:t>s</w:t>
      </w:r>
      <w:r w:rsidRPr="00F1328A">
        <w:rPr>
          <w:rFonts w:ascii="Times New Roman" w:hAnsi="Times New Roman"/>
          <w:iCs/>
        </w:rPr>
        <w:t xml:space="preserve"> are also encouraged to conduct the interview in one sitting, rather than conducting a break-off. </w:t>
      </w:r>
    </w:p>
    <w:p w:rsidR="00F1328A" w:rsidRPr="00F1328A" w:rsidP="00703946" w14:paraId="41E3C904" w14:textId="3CA74F60">
      <w:pPr>
        <w:pStyle w:val="BodyText"/>
        <w:rPr>
          <w:rFonts w:ascii="Times New Roman" w:hAnsi="Times New Roman"/>
          <w:iCs/>
        </w:rPr>
      </w:pPr>
      <w:r w:rsidRPr="00F1328A">
        <w:rPr>
          <w:rFonts w:ascii="Times New Roman" w:hAnsi="Times New Roman"/>
          <w:iCs/>
        </w:rPr>
        <w:t xml:space="preserve">Also, the screen with this Intro to CAI text will contain a link to the </w:t>
      </w:r>
      <w:r w:rsidR="00BD6C2B">
        <w:rPr>
          <w:rFonts w:ascii="Times New Roman" w:hAnsi="Times New Roman"/>
          <w:iCs/>
        </w:rPr>
        <w:t>NSDUH</w:t>
      </w:r>
      <w:r w:rsidR="00A2727F">
        <w:rPr>
          <w:rFonts w:ascii="Times New Roman" w:hAnsi="Times New Roman"/>
          <w:iCs/>
        </w:rPr>
        <w:t xml:space="preserve"> Web-</w:t>
      </w:r>
      <w:r w:rsidR="00190F56">
        <w:rPr>
          <w:rFonts w:ascii="Times New Roman" w:hAnsi="Times New Roman"/>
          <w:iCs/>
        </w:rPr>
        <w:t>b</w:t>
      </w:r>
      <w:r w:rsidR="00A2727F">
        <w:rPr>
          <w:rFonts w:ascii="Times New Roman" w:hAnsi="Times New Roman"/>
          <w:iCs/>
        </w:rPr>
        <w:t>ased</w:t>
      </w:r>
      <w:r w:rsidRPr="00F1328A">
        <w:rPr>
          <w:rFonts w:ascii="Times New Roman" w:hAnsi="Times New Roman"/>
          <w:iCs/>
        </w:rPr>
        <w:t xml:space="preserve"> Study Description</w:t>
      </w:r>
      <w:r w:rsidR="00A2727F">
        <w:rPr>
          <w:rFonts w:ascii="Times New Roman" w:hAnsi="Times New Roman"/>
          <w:iCs/>
        </w:rPr>
        <w:t xml:space="preserve"> (</w:t>
      </w:r>
      <w:r w:rsidRPr="007A6238" w:rsidR="00A2727F">
        <w:rPr>
          <w:rFonts w:ascii="Times New Roman" w:hAnsi="Times New Roman"/>
          <w:b/>
          <w:bCs/>
          <w:iCs/>
        </w:rPr>
        <w:t>Attachment W</w:t>
      </w:r>
      <w:r w:rsidRPr="007A6238" w:rsidR="007E1A0C">
        <w:rPr>
          <w:rFonts w:ascii="Times New Roman" w:hAnsi="Times New Roman"/>
          <w:b/>
          <w:bCs/>
          <w:iCs/>
        </w:rPr>
        <w:t>EB</w:t>
      </w:r>
      <w:r w:rsidRPr="007A6238" w:rsidR="00A2727F">
        <w:rPr>
          <w:rFonts w:ascii="Times New Roman" w:hAnsi="Times New Roman"/>
          <w:b/>
          <w:bCs/>
          <w:iCs/>
        </w:rPr>
        <w:t>-2</w:t>
      </w:r>
      <w:r w:rsidR="00A2727F">
        <w:rPr>
          <w:rFonts w:ascii="Times New Roman" w:hAnsi="Times New Roman"/>
          <w:iCs/>
        </w:rPr>
        <w:t>)</w:t>
      </w:r>
      <w:r w:rsidRPr="00F1328A">
        <w:rPr>
          <w:rFonts w:ascii="Times New Roman" w:hAnsi="Times New Roman"/>
          <w:iCs/>
        </w:rPr>
        <w:t xml:space="preserve">; when clicked, a separate window will display the Study Description for an </w:t>
      </w:r>
      <w:r w:rsidR="007A2101">
        <w:rPr>
          <w:rFonts w:ascii="Times New Roman" w:hAnsi="Times New Roman"/>
          <w:iCs/>
        </w:rPr>
        <w:t>IR</w:t>
      </w:r>
      <w:r w:rsidRPr="00F1328A">
        <w:rPr>
          <w:rFonts w:ascii="Times New Roman" w:hAnsi="Times New Roman"/>
          <w:iCs/>
        </w:rPr>
        <w:t xml:space="preserve"> to review, download as a PDF and/or print at their discretion.   </w:t>
      </w:r>
    </w:p>
    <w:p w:rsidR="00F1328A" w:rsidRPr="00F1328A" w:rsidP="00703946" w14:paraId="5AA36DE0" w14:textId="77777777">
      <w:pPr>
        <w:pStyle w:val="BodyText"/>
        <w:rPr>
          <w:rFonts w:ascii="Times New Roman" w:hAnsi="Times New Roman"/>
          <w:iCs/>
        </w:rPr>
      </w:pPr>
      <w:r w:rsidRPr="00414E87">
        <w:rPr>
          <w:rFonts w:ascii="Times New Roman" w:hAnsi="Times New Roman"/>
          <w:iCs/>
        </w:rPr>
        <w:t>At the end</w:t>
      </w:r>
      <w:r w:rsidRPr="00F1328A">
        <w:rPr>
          <w:rFonts w:ascii="Times New Roman" w:hAnsi="Times New Roman"/>
          <w:iCs/>
        </w:rPr>
        <w:t xml:space="preserve"> of the Intro to CAI, each </w:t>
      </w:r>
      <w:r>
        <w:rPr>
          <w:rFonts w:ascii="Times New Roman" w:hAnsi="Times New Roman"/>
          <w:iCs/>
        </w:rPr>
        <w:t>respondent</w:t>
      </w:r>
      <w:r w:rsidRPr="00F1328A">
        <w:rPr>
          <w:rFonts w:ascii="Times New Roman" w:hAnsi="Times New Roman"/>
          <w:iCs/>
        </w:rPr>
        <w:t xml:space="preserve"> will be asked to confirm he/she is 18 years old or older, is a current resident of the SDU, is at home in a private location and has read and understands the information provided in the Intro to CAI about participating in the web interview. After clicking an acceptance box, the IR can then advance to the next screen. Those who do not wish to proceed are then given the option to exit the interview at that time. </w:t>
      </w:r>
    </w:p>
    <w:p w:rsidR="00F1328A" w:rsidRPr="00F1328A" w:rsidP="00703946" w14:paraId="4ABB18E5" w14:textId="77777777">
      <w:pPr>
        <w:pStyle w:val="BodyText"/>
        <w:rPr>
          <w:rFonts w:ascii="Times New Roman" w:hAnsi="Times New Roman"/>
          <w:iCs/>
        </w:rPr>
      </w:pPr>
      <w:r w:rsidRPr="00F1328A">
        <w:rPr>
          <w:rFonts w:ascii="Times New Roman" w:hAnsi="Times New Roman"/>
          <w:iCs/>
        </w:rPr>
        <w:t xml:space="preserve">As an additional layer of security, after advancing past the Intro to CAI text, each adult respondent will be required to set a unique 4-digit PIN code of their own choosing before they begin self-administering interview questions. This will prevent anyone else within the dwelling unit from accessing the interview and seeing answers to questions. </w:t>
      </w:r>
    </w:p>
    <w:p w:rsidR="00F1328A" w:rsidRPr="009A2817" w:rsidP="004F072E" w14:paraId="06B6DFF6" w14:textId="77777777">
      <w:pPr>
        <w:spacing w:after="120"/>
        <w:ind w:left="720"/>
      </w:pPr>
      <w:bookmarkStart w:id="2" w:name="_Hlk56603871"/>
      <w:r w:rsidRPr="009A2817">
        <w:t xml:space="preserve">Before a web-based interview with a youth respondent can begin, a parent/guardian of that youth respondent (and the youth selected as the </w:t>
      </w:r>
      <w:r>
        <w:t>respondent</w:t>
      </w:r>
      <w:r w:rsidRPr="009A2817">
        <w:t xml:space="preserve">) must speak with </w:t>
      </w:r>
      <w:r>
        <w:t>a telephone interviewer</w:t>
      </w:r>
      <w:r w:rsidR="001A672D">
        <w:t xml:space="preserve"> (TI)</w:t>
      </w:r>
      <w:r>
        <w:t xml:space="preserve"> at the </w:t>
      </w:r>
      <w:r>
        <w:rPr>
          <w:rFonts w:ascii="Times New Roman" w:hAnsi="Times New Roman"/>
        </w:rPr>
        <w:t>Contractor’s call center</w:t>
      </w:r>
      <w:r w:rsidRPr="009A2817">
        <w:t xml:space="preserve">. Parents will be given a telephone number displayed at the end of the web screening (and in follow-up letters mailed after the screening) to place a call to speak with the </w:t>
      </w:r>
      <w:r w:rsidR="001A672D">
        <w:t>TI</w:t>
      </w:r>
      <w:r w:rsidRPr="009A2817">
        <w:t xml:space="preserve">. </w:t>
      </w:r>
    </w:p>
    <w:p w:rsidR="00F1328A" w:rsidRPr="009A2817" w:rsidP="004F072E" w14:paraId="30BAA0E2" w14:textId="77777777">
      <w:pPr>
        <w:pStyle w:val="ListParagraph"/>
        <w:spacing w:after="120"/>
      </w:pPr>
      <w:r w:rsidRPr="009A2817">
        <w:t xml:space="preserve">Once the parent and </w:t>
      </w:r>
      <w:r w:rsidR="001A672D">
        <w:t>TI</w:t>
      </w:r>
      <w:r w:rsidRPr="009A2817">
        <w:t xml:space="preserve"> are on the phone, the </w:t>
      </w:r>
      <w:r w:rsidR="001A672D">
        <w:t>TI</w:t>
      </w:r>
      <w:r w:rsidRPr="009A2817">
        <w:t xml:space="preserve"> will ask the parent to confirm the SDU </w:t>
      </w:r>
      <w:r w:rsidRPr="009A2817">
        <w:t xml:space="preserve">address and the unique Participant Code printed on the </w:t>
      </w:r>
      <w:r w:rsidR="001A672D">
        <w:t>L</w:t>
      </w:r>
      <w:r w:rsidRPr="009A2817">
        <w:t xml:space="preserve">ead </w:t>
      </w:r>
      <w:r w:rsidR="001A672D">
        <w:t>L</w:t>
      </w:r>
      <w:r w:rsidRPr="009A2817">
        <w:t xml:space="preserve">etter (and any follow-up letters) mailed to that SDU to verify the </w:t>
      </w:r>
      <w:r w:rsidR="001A672D">
        <w:t>TI</w:t>
      </w:r>
      <w:r w:rsidRPr="009A2817">
        <w:t xml:space="preserve"> is speaking with residents of the dwelling unit. All required elements of this call, interactions with parents and youth </w:t>
      </w:r>
      <w:r>
        <w:t>respondents</w:t>
      </w:r>
      <w:r w:rsidRPr="009A2817">
        <w:t xml:space="preserve">, will be scripted for each </w:t>
      </w:r>
      <w:r w:rsidR="001A672D">
        <w:t>TI</w:t>
      </w:r>
      <w:r w:rsidRPr="009A2817">
        <w:t xml:space="preserve"> to read and are included as </w:t>
      </w:r>
      <w:r w:rsidRPr="00391FB1">
        <w:rPr>
          <w:b/>
          <w:bCs/>
        </w:rPr>
        <w:t xml:space="preserve">Attachment </w:t>
      </w:r>
      <w:r w:rsidRPr="00391FB1" w:rsidR="00EE1D4E">
        <w:rPr>
          <w:b/>
          <w:bCs/>
        </w:rPr>
        <w:t>WEB-</w:t>
      </w:r>
      <w:r w:rsidRPr="00391FB1" w:rsidR="001A672D">
        <w:rPr>
          <w:b/>
          <w:bCs/>
        </w:rPr>
        <w:t>5</w:t>
      </w:r>
      <w:r w:rsidRPr="009A2817">
        <w:t xml:space="preserve">.  </w:t>
      </w:r>
    </w:p>
    <w:p w:rsidR="00F1328A" w:rsidRPr="009A2817" w:rsidP="004F072E" w14:paraId="02BAC0A4" w14:textId="77777777">
      <w:pPr>
        <w:pStyle w:val="ListParagraph"/>
        <w:spacing w:after="120"/>
      </w:pPr>
    </w:p>
    <w:p w:rsidR="00F1328A" w:rsidRPr="009A2817" w:rsidP="004F072E" w14:paraId="517D1271" w14:textId="77777777">
      <w:pPr>
        <w:pStyle w:val="ListParagraph"/>
        <w:spacing w:after="120"/>
      </w:pPr>
      <w:r>
        <w:t xml:space="preserve">The </w:t>
      </w:r>
      <w:r w:rsidR="001A672D">
        <w:t>TI</w:t>
      </w:r>
      <w:r w:rsidRPr="009A2817">
        <w:t xml:space="preserve"> will read an informed consent script to the parent over the telephone. The script read by the </w:t>
      </w:r>
      <w:r w:rsidR="001A672D">
        <w:t>TI</w:t>
      </w:r>
      <w:r w:rsidRPr="009A2817">
        <w:t xml:space="preserve"> first to the parent includes the expectation the parent and youth be at home, youth must be in a private location, parents cannot view answers, nature of the questions, etc. After speaking with the parent, the </w:t>
      </w:r>
      <w:r w:rsidR="001A672D">
        <w:t>TI</w:t>
      </w:r>
      <w:r w:rsidRPr="009A2817">
        <w:t xml:space="preserve"> will then read an assent script to the youth about the content of the interview. </w:t>
      </w:r>
    </w:p>
    <w:p w:rsidR="00F1328A" w:rsidRPr="009A2817" w:rsidP="004F072E" w14:paraId="4639621A" w14:textId="77777777">
      <w:pPr>
        <w:spacing w:after="120"/>
        <w:ind w:left="720"/>
      </w:pPr>
      <w:r w:rsidRPr="009A2817">
        <w:t xml:space="preserve">A text version of this youth assent script will also be displayed again within the online interview for the youth to read and acknowledge before they begin the interview (described in detail below). </w:t>
      </w:r>
    </w:p>
    <w:p w:rsidR="00F1328A" w:rsidRPr="009A2817" w:rsidP="004F072E" w14:paraId="22756340" w14:textId="799CF8B4">
      <w:pPr>
        <w:pStyle w:val="ListParagraph"/>
        <w:spacing w:after="120"/>
      </w:pPr>
      <w:r w:rsidRPr="009A2817">
        <w:t xml:space="preserve">Once parental permission and youth assent have been given verbally, at that point the youth interview can be accessed from the </w:t>
      </w:r>
      <w:r w:rsidR="00BD6C2B">
        <w:t>NSDUH</w:t>
      </w:r>
      <w:r w:rsidRPr="009A2817" w:rsidR="00065764">
        <w:t xml:space="preserve"> </w:t>
      </w:r>
      <w:r w:rsidRPr="009A2817">
        <w:t xml:space="preserve">website at any time. Until that permission is logged, the youth interview cannot be accessed. </w:t>
      </w:r>
    </w:p>
    <w:p w:rsidR="00F1328A" w:rsidP="004F072E" w14:paraId="0C6D65FF" w14:textId="77777777">
      <w:pPr>
        <w:pStyle w:val="ListParagraph"/>
        <w:spacing w:after="120"/>
      </w:pPr>
    </w:p>
    <w:p w:rsidR="00F1328A" w:rsidP="004F072E" w14:paraId="5BEE8FA6" w14:textId="77777777">
      <w:pPr>
        <w:pStyle w:val="ListParagraph"/>
        <w:spacing w:after="120"/>
      </w:pPr>
      <w:r w:rsidRPr="00190F56">
        <w:t>Similar</w:t>
      </w:r>
      <w:r w:rsidRPr="009A2817">
        <w:t xml:space="preserve"> to the adult interviews, as an additional layer of security, after advancing past the Intro to CAI text, each youth respondent will be required to set a unique 4-digit PIN code of their own choosing before they begin self-administering interview questions. This will prevent anyone else within the dwelling unit from accessing the interview and seeing answers to questions.</w:t>
      </w:r>
    </w:p>
    <w:p w:rsidR="00F92F54" w:rsidP="004F072E" w14:paraId="6A09ACFE" w14:textId="77777777">
      <w:pPr>
        <w:pStyle w:val="ListParagraph"/>
        <w:spacing w:after="120"/>
      </w:pPr>
    </w:p>
    <w:p w:rsidR="00094286" w:rsidP="004F072E" w14:paraId="103E7660" w14:textId="77777777">
      <w:pPr>
        <w:pStyle w:val="ListParagraph"/>
        <w:spacing w:after="120"/>
      </w:pPr>
      <w:r w:rsidRPr="00F92F54">
        <w:t xml:space="preserve">Every </w:t>
      </w:r>
      <w:r>
        <w:t>respondent</w:t>
      </w:r>
      <w:r w:rsidRPr="00F92F54">
        <w:t xml:space="preserve"> who completes the web-based interview, either an adult or youth respondent – will be eligible for the $30 incentive and will select a preferred method for receiving that incentive – either an electronic Visa or MasterCard gift </w:t>
      </w:r>
      <w:r>
        <w:t>card</w:t>
      </w:r>
      <w:r w:rsidRPr="00F92F54">
        <w:t xml:space="preserve"> or a physical Visa or MasterCard gift card delivered to the SDU</w:t>
      </w:r>
      <w:r>
        <w:t>.</w:t>
      </w:r>
      <w:r w:rsidR="00EE1D4E">
        <w:t xml:space="preserve"> Each respondent will also receive </w:t>
      </w:r>
      <w:r w:rsidR="00B7564A">
        <w:t xml:space="preserve">a </w:t>
      </w:r>
      <w:r w:rsidR="00EE1D4E">
        <w:t xml:space="preserve">thank you </w:t>
      </w:r>
      <w:r>
        <w:t>e-mail or letter</w:t>
      </w:r>
      <w:r w:rsidR="00EE1D4E">
        <w:t xml:space="preserve"> for their participation (</w:t>
      </w:r>
      <w:r w:rsidRPr="00391FB1" w:rsidR="00EE1D4E">
        <w:rPr>
          <w:b/>
          <w:bCs/>
        </w:rPr>
        <w:t>Attachment WEB-</w:t>
      </w:r>
      <w:r w:rsidRPr="00391FB1">
        <w:rPr>
          <w:b/>
          <w:bCs/>
        </w:rPr>
        <w:t>7</w:t>
      </w:r>
      <w:r w:rsidR="00EE1D4E">
        <w:t>).</w:t>
      </w:r>
    </w:p>
    <w:p w:rsidR="00EE1D4E" w:rsidP="004F072E" w14:paraId="474FFC25" w14:textId="77777777">
      <w:pPr>
        <w:pStyle w:val="ListParagraph"/>
        <w:spacing w:after="120"/>
      </w:pPr>
    </w:p>
    <w:p w:rsidR="00EE1D4E" w:rsidRPr="000235C4" w:rsidP="004F072E" w14:paraId="6288E4EA" w14:textId="15FE01A3">
      <w:pPr>
        <w:pStyle w:val="ListParagraph"/>
        <w:spacing w:after="120"/>
        <w:ind w:right="720"/>
      </w:pPr>
      <w:r w:rsidRPr="000235C4">
        <w:t xml:space="preserve">Each IR will also be offered a link to the </w:t>
      </w:r>
      <w:r w:rsidR="007A279C">
        <w:t>w</w:t>
      </w:r>
      <w:r w:rsidR="008C0FDB">
        <w:t xml:space="preserve">eb-based </w:t>
      </w:r>
      <w:r w:rsidRPr="000235C4">
        <w:t xml:space="preserve">version of the </w:t>
      </w:r>
      <w:r w:rsidR="00BD6C2B">
        <w:t>NSDUH</w:t>
      </w:r>
      <w:r w:rsidRPr="000235C4" w:rsidR="00094286">
        <w:t xml:space="preserve"> </w:t>
      </w:r>
      <w:r>
        <w:t>Q&amp;A</w:t>
      </w:r>
      <w:r w:rsidRPr="000235C4">
        <w:t xml:space="preserve"> brochure – similar the brochure </w:t>
      </w:r>
      <w:r>
        <w:t>given by FIs during</w:t>
      </w:r>
      <w:r w:rsidRPr="000235C4">
        <w:t xml:space="preserve"> in-person data collection but with a format optimized for web without mention of an in-person interview (included as </w:t>
      </w:r>
      <w:r w:rsidRPr="00391FB1">
        <w:rPr>
          <w:b/>
          <w:bCs/>
        </w:rPr>
        <w:t>Attachment WEB</w:t>
      </w:r>
      <w:r w:rsidRPr="00391FB1" w:rsidR="008C0FDB">
        <w:rPr>
          <w:b/>
          <w:bCs/>
        </w:rPr>
        <w:t>-</w:t>
      </w:r>
      <w:r w:rsidRPr="00391FB1" w:rsidR="00B674A7">
        <w:rPr>
          <w:b/>
          <w:bCs/>
        </w:rPr>
        <w:t xml:space="preserve"> 1</w:t>
      </w:r>
      <w:r w:rsidRPr="000235C4">
        <w:t xml:space="preserve">). </w:t>
      </w:r>
    </w:p>
    <w:bookmarkEnd w:id="2"/>
    <w:p w:rsidR="00B9654C" w:rsidRPr="00BD5A96" w:rsidP="00703946" w14:paraId="38C2DE2B" w14:textId="77777777">
      <w:pPr>
        <w:pStyle w:val="BodyText"/>
        <w:rPr>
          <w:rFonts w:ascii="Times New Roman" w:hAnsi="Times New Roman" w:cs="Times New Roman"/>
        </w:rPr>
      </w:pPr>
      <w:r w:rsidRPr="00BD5A96">
        <w:rPr>
          <w:rFonts w:ascii="Times New Roman" w:hAnsi="Times New Roman" w:cs="Times New Roman"/>
        </w:rPr>
        <w:t>Web-based Questionnaire</w:t>
      </w:r>
      <w:r w:rsidR="008F446A">
        <w:rPr>
          <w:rFonts w:ascii="Times New Roman" w:hAnsi="Times New Roman" w:cs="Times New Roman"/>
        </w:rPr>
        <w:t>:</w:t>
      </w:r>
    </w:p>
    <w:p w:rsidR="009E2750" w:rsidRPr="009E2750" w:rsidP="00703946" w14:paraId="26D1E673" w14:textId="77777777">
      <w:pPr>
        <w:pStyle w:val="BodyText"/>
        <w:rPr>
          <w:rFonts w:ascii="Times New Roman" w:hAnsi="Times New Roman"/>
          <w:iCs/>
        </w:rPr>
      </w:pPr>
      <w:r w:rsidRPr="009E2750">
        <w:rPr>
          <w:rFonts w:ascii="Times New Roman" w:hAnsi="Times New Roman"/>
          <w:iCs/>
        </w:rPr>
        <w:t xml:space="preserve">Those </w:t>
      </w:r>
      <w:r>
        <w:rPr>
          <w:rFonts w:ascii="Times New Roman" w:hAnsi="Times New Roman"/>
          <w:iCs/>
        </w:rPr>
        <w:t>respondents</w:t>
      </w:r>
      <w:r w:rsidRPr="009E2750">
        <w:rPr>
          <w:rFonts w:ascii="Times New Roman" w:hAnsi="Times New Roman"/>
          <w:iCs/>
        </w:rPr>
        <w:t xml:space="preserve"> who choose to take part in the web-based interview will be asked to complete the interview while at home, in a private location within the home and to allow sufficient time to complete the interview in one sitting. </w:t>
      </w:r>
      <w:r w:rsidR="005C3DD9">
        <w:rPr>
          <w:rFonts w:ascii="Times New Roman" w:hAnsi="Times New Roman"/>
          <w:iCs/>
        </w:rPr>
        <w:t>Respondents</w:t>
      </w:r>
      <w:r w:rsidRPr="009E2750">
        <w:rPr>
          <w:rFonts w:ascii="Times New Roman" w:hAnsi="Times New Roman"/>
          <w:iCs/>
        </w:rPr>
        <w:t xml:space="preserve"> can access the interview from any device with internet access (smartphone, tablet, computer, etc.), but it will be recommended that </w:t>
      </w:r>
      <w:r w:rsidR="005C3DD9">
        <w:rPr>
          <w:rFonts w:ascii="Times New Roman" w:hAnsi="Times New Roman"/>
          <w:iCs/>
        </w:rPr>
        <w:t>they</w:t>
      </w:r>
      <w:r w:rsidRPr="009E2750">
        <w:rPr>
          <w:rFonts w:ascii="Times New Roman" w:hAnsi="Times New Roman"/>
          <w:iCs/>
        </w:rPr>
        <w:t xml:space="preserve"> self-administer the interview from a laptop or desktop computer in their home to allow for the optimal viewing experience with the interview program via Blaise 5. The entire questionnaire for the web interview is included as </w:t>
      </w:r>
      <w:r w:rsidRPr="00391FB1">
        <w:rPr>
          <w:rFonts w:ascii="Times New Roman" w:hAnsi="Times New Roman"/>
          <w:b/>
          <w:bCs/>
          <w:iCs/>
        </w:rPr>
        <w:t xml:space="preserve">Attachment </w:t>
      </w:r>
      <w:r w:rsidRPr="00391FB1" w:rsidR="00EE1D4E">
        <w:rPr>
          <w:rFonts w:ascii="Times New Roman" w:hAnsi="Times New Roman"/>
          <w:b/>
          <w:bCs/>
          <w:iCs/>
        </w:rPr>
        <w:t>WEB-</w:t>
      </w:r>
      <w:r w:rsidRPr="00391FB1" w:rsidR="00C239C1">
        <w:rPr>
          <w:rFonts w:ascii="Times New Roman" w:hAnsi="Times New Roman"/>
          <w:b/>
          <w:bCs/>
          <w:iCs/>
        </w:rPr>
        <w:t>4</w:t>
      </w:r>
      <w:r w:rsidRPr="009E2750">
        <w:rPr>
          <w:rFonts w:ascii="Times New Roman" w:hAnsi="Times New Roman"/>
          <w:iCs/>
        </w:rPr>
        <w:t>.</w:t>
      </w:r>
    </w:p>
    <w:p w:rsidR="009E2750" w:rsidRPr="009E2750" w:rsidP="00703946" w14:paraId="5D82808C" w14:textId="371AB055">
      <w:pPr>
        <w:pStyle w:val="BodyText"/>
        <w:rPr>
          <w:rFonts w:ascii="Times New Roman" w:hAnsi="Times New Roman"/>
          <w:iCs/>
        </w:rPr>
      </w:pPr>
      <w:r w:rsidRPr="009E2750">
        <w:rPr>
          <w:rFonts w:ascii="Times New Roman" w:hAnsi="Times New Roman"/>
          <w:iCs/>
        </w:rPr>
        <w:t xml:space="preserve">Also, those </w:t>
      </w:r>
      <w:r w:rsidR="005C3DD9">
        <w:rPr>
          <w:rFonts w:ascii="Times New Roman" w:hAnsi="Times New Roman"/>
          <w:iCs/>
        </w:rPr>
        <w:t>respondents</w:t>
      </w:r>
      <w:r w:rsidRPr="009E2750">
        <w:rPr>
          <w:rFonts w:ascii="Times New Roman" w:hAnsi="Times New Roman"/>
          <w:iCs/>
        </w:rPr>
        <w:t xml:space="preserve"> who have difficulty accessing the web interview, need other assistance with the interview or have any questions about their participation can call </w:t>
      </w:r>
      <w:r w:rsidRPr="009E2750" w:rsidR="000347B8">
        <w:rPr>
          <w:rFonts w:ascii="Times New Roman" w:hAnsi="Times New Roman"/>
          <w:iCs/>
        </w:rPr>
        <w:t xml:space="preserve">the </w:t>
      </w:r>
      <w:r w:rsidRPr="009E2750" w:rsidR="000347B8">
        <w:rPr>
          <w:rFonts w:ascii="Times New Roman" w:hAnsi="Times New Roman"/>
          <w:iCs/>
        </w:rPr>
        <w:t>toll</w:t>
      </w:r>
      <w:r w:rsidRPr="009E2750">
        <w:rPr>
          <w:rFonts w:ascii="Times New Roman" w:hAnsi="Times New Roman"/>
          <w:iCs/>
        </w:rPr>
        <w:t xml:space="preserve">-free telephone number </w:t>
      </w:r>
      <w:r w:rsidR="005C3DD9">
        <w:rPr>
          <w:rFonts w:ascii="Times New Roman" w:hAnsi="Times New Roman"/>
          <w:iCs/>
        </w:rPr>
        <w:t>provided on the lead letter</w:t>
      </w:r>
      <w:r w:rsidRPr="009E2750">
        <w:rPr>
          <w:rFonts w:ascii="Times New Roman" w:hAnsi="Times New Roman"/>
          <w:iCs/>
        </w:rPr>
        <w:t xml:space="preserve"> and receive technical support and answers to their questions about participation in </w:t>
      </w:r>
      <w:r w:rsidR="00BD6C2B">
        <w:rPr>
          <w:rFonts w:ascii="Times New Roman" w:hAnsi="Times New Roman"/>
          <w:iCs/>
        </w:rPr>
        <w:t>NSDUH</w:t>
      </w:r>
      <w:r w:rsidRPr="009E2750">
        <w:rPr>
          <w:rFonts w:ascii="Times New Roman" w:hAnsi="Times New Roman"/>
          <w:iCs/>
        </w:rPr>
        <w:t>.</w:t>
      </w:r>
    </w:p>
    <w:p w:rsidR="009E2750" w:rsidRPr="009E2750" w:rsidP="00703946" w14:paraId="728A7298" w14:textId="77777777">
      <w:pPr>
        <w:pStyle w:val="BodyText"/>
        <w:rPr>
          <w:rFonts w:ascii="Times New Roman" w:hAnsi="Times New Roman"/>
          <w:iCs/>
        </w:rPr>
      </w:pPr>
      <w:r>
        <w:rPr>
          <w:rFonts w:ascii="Times New Roman" w:hAnsi="Times New Roman"/>
          <w:iCs/>
        </w:rPr>
        <w:t>For</w:t>
      </w:r>
      <w:r w:rsidRPr="009E2750">
        <w:rPr>
          <w:rFonts w:ascii="Times New Roman" w:hAnsi="Times New Roman"/>
          <w:iCs/>
        </w:rPr>
        <w:t xml:space="preserve"> web-based interviewing, various design changes </w:t>
      </w:r>
      <w:r w:rsidR="00736BFB">
        <w:rPr>
          <w:rFonts w:ascii="Times New Roman" w:hAnsi="Times New Roman"/>
          <w:iCs/>
        </w:rPr>
        <w:t xml:space="preserve">were </w:t>
      </w:r>
      <w:r w:rsidRPr="009E2750">
        <w:rPr>
          <w:rFonts w:ascii="Times New Roman" w:hAnsi="Times New Roman"/>
          <w:iCs/>
        </w:rPr>
        <w:t>implemented</w:t>
      </w:r>
      <w:r w:rsidR="00736BFB">
        <w:rPr>
          <w:rFonts w:ascii="Times New Roman" w:hAnsi="Times New Roman"/>
          <w:iCs/>
        </w:rPr>
        <w:t xml:space="preserve"> in 2020</w:t>
      </w:r>
      <w:r w:rsidRPr="009E2750">
        <w:rPr>
          <w:rFonts w:ascii="Times New Roman" w:hAnsi="Times New Roman"/>
          <w:iCs/>
        </w:rPr>
        <w:t xml:space="preserve"> to optimize the experience for each</w:t>
      </w:r>
      <w:r w:rsidR="00736BFB">
        <w:rPr>
          <w:rFonts w:ascii="Times New Roman" w:hAnsi="Times New Roman"/>
          <w:iCs/>
        </w:rPr>
        <w:t xml:space="preserve"> web</w:t>
      </w:r>
      <w:r w:rsidRPr="009E2750">
        <w:rPr>
          <w:rFonts w:ascii="Times New Roman" w:hAnsi="Times New Roman"/>
          <w:iCs/>
        </w:rPr>
        <w:t xml:space="preserve"> respondent, in particular those with lower literacy levels who may have benefited from the ACASI text-to-speech element of the in-person interview not available in the web interview. These changes include the following: </w:t>
      </w:r>
    </w:p>
    <w:p w:rsidR="009E2750" w:rsidRPr="009E2750" w:rsidP="009E2750" w14:paraId="445B1519" w14:textId="77777777">
      <w:pPr>
        <w:pStyle w:val="BodyText"/>
        <w:numPr>
          <w:ilvl w:val="0"/>
          <w:numId w:val="12"/>
        </w:numPr>
        <w:rPr>
          <w:rFonts w:ascii="Times New Roman" w:hAnsi="Times New Roman"/>
          <w:iCs/>
        </w:rPr>
      </w:pPr>
      <w:r w:rsidRPr="00736BFB">
        <w:rPr>
          <w:rFonts w:ascii="Times New Roman" w:hAnsi="Times New Roman"/>
          <w:iCs/>
        </w:rPr>
        <w:t>use of bold</w:t>
      </w:r>
      <w:r w:rsidRPr="009E2750">
        <w:rPr>
          <w:rFonts w:ascii="Times New Roman" w:hAnsi="Times New Roman"/>
          <w:iCs/>
        </w:rPr>
        <w:t xml:space="preserve"> and blue-colored text to draw attention to keywords;</w:t>
      </w:r>
    </w:p>
    <w:p w:rsidR="009E2750" w:rsidRPr="009E2750" w:rsidP="009E2750" w14:paraId="75453EDD" w14:textId="77777777">
      <w:pPr>
        <w:pStyle w:val="BodyText"/>
        <w:numPr>
          <w:ilvl w:val="0"/>
          <w:numId w:val="11"/>
        </w:numPr>
        <w:rPr>
          <w:rFonts w:ascii="Times New Roman" w:hAnsi="Times New Roman"/>
          <w:iCs/>
        </w:rPr>
      </w:pPr>
      <w:r w:rsidRPr="009E2750">
        <w:rPr>
          <w:rFonts w:ascii="Times New Roman" w:hAnsi="Times New Roman"/>
          <w:iCs/>
        </w:rPr>
        <w:t xml:space="preserve">transition of several screens to a more user-friendly grid format to limit the repetitiveness of some questions; and </w:t>
      </w:r>
    </w:p>
    <w:p w:rsidR="009E2750" w:rsidRPr="009E2750" w:rsidP="009E2750" w14:paraId="7C899BDE" w14:textId="77777777">
      <w:pPr>
        <w:pStyle w:val="BodyText"/>
        <w:numPr>
          <w:ilvl w:val="0"/>
          <w:numId w:val="11"/>
        </w:numPr>
        <w:rPr>
          <w:rFonts w:ascii="Times New Roman" w:hAnsi="Times New Roman"/>
          <w:iCs/>
        </w:rPr>
      </w:pPr>
      <w:r w:rsidRPr="009E2750">
        <w:rPr>
          <w:rFonts w:ascii="Times New Roman" w:hAnsi="Times New Roman"/>
          <w:iCs/>
        </w:rPr>
        <w:t xml:space="preserve">spreading text-heavy items, such as the Intro to CAI, across multiple screens to avoid excessive scrolling, etc. </w:t>
      </w:r>
    </w:p>
    <w:p w:rsidR="009E2750" w:rsidP="009E2750" w14:paraId="462D8FF4" w14:textId="77777777">
      <w:pPr>
        <w:pStyle w:val="BodyText"/>
        <w:rPr>
          <w:rFonts w:ascii="Times New Roman" w:hAnsi="Times New Roman"/>
          <w:iCs/>
        </w:rPr>
      </w:pPr>
      <w:r w:rsidRPr="009E2750">
        <w:rPr>
          <w:rFonts w:ascii="Times New Roman" w:hAnsi="Times New Roman"/>
          <w:iCs/>
        </w:rPr>
        <w:t>The decision to not include ACASI as part these web-based interviews was made following consultation with subject matter experts which concluded that offering audio would result in a larger risk of breeching confidentiality (allowing others to potentially hear items positively endorsed previously by a respondent and “filled” in a new item query) than not having audio at all.</w:t>
      </w:r>
    </w:p>
    <w:p w:rsidR="005C3DD9" w:rsidRPr="000235C4" w:rsidP="00ED7BF5" w14:paraId="5CF86AAA" w14:textId="77777777">
      <w:pPr>
        <w:pStyle w:val="BlockText"/>
        <w:ind w:right="0"/>
        <w:rPr>
          <w:rFonts w:cs="Times New Roman"/>
          <w:szCs w:val="24"/>
        </w:rPr>
      </w:pPr>
      <w:r w:rsidRPr="000235C4">
        <w:rPr>
          <w:rFonts w:cs="Times New Roman"/>
          <w:szCs w:val="24"/>
        </w:rPr>
        <w:t>Prior to particularly sensitive modules in the ACASI section of the web</w:t>
      </w:r>
      <w:r w:rsidR="00736BFB">
        <w:rPr>
          <w:rFonts w:cs="Times New Roman"/>
          <w:szCs w:val="24"/>
        </w:rPr>
        <w:t>-based</w:t>
      </w:r>
      <w:r w:rsidRPr="000235C4">
        <w:rPr>
          <w:rFonts w:cs="Times New Roman"/>
          <w:szCs w:val="24"/>
        </w:rPr>
        <w:t xml:space="preserve"> interview</w:t>
      </w:r>
      <w:r w:rsidR="00736BFB">
        <w:rPr>
          <w:rFonts w:cs="Times New Roman"/>
          <w:szCs w:val="24"/>
        </w:rPr>
        <w:t>,</w:t>
      </w:r>
      <w:r w:rsidRPr="000235C4">
        <w:rPr>
          <w:rFonts w:cs="Times New Roman"/>
          <w:szCs w:val="24"/>
        </w:rPr>
        <w:t xml:space="preserve"> prompts </w:t>
      </w:r>
      <w:r>
        <w:rPr>
          <w:rFonts w:cs="Times New Roman"/>
          <w:szCs w:val="24"/>
        </w:rPr>
        <w:t>are available</w:t>
      </w:r>
      <w:r w:rsidRPr="000235C4">
        <w:rPr>
          <w:rFonts w:cs="Times New Roman"/>
          <w:szCs w:val="24"/>
        </w:rPr>
        <w:t xml:space="preserve"> to remind respondents to be sure they are in a private location. Also, similar to the in-person interview, respondents will have the option to enter “Don’t Know” or “Refused” to any question, with those options shown on screen with the other answer choices.</w:t>
      </w:r>
    </w:p>
    <w:p w:rsidR="005C3DD9" w:rsidRPr="000235C4" w:rsidP="00ED7BF5" w14:paraId="4120F298" w14:textId="77777777">
      <w:pPr>
        <w:pStyle w:val="BlockText"/>
        <w:ind w:right="0"/>
        <w:rPr>
          <w:rFonts w:cs="Times New Roman"/>
          <w:szCs w:val="24"/>
        </w:rPr>
      </w:pPr>
      <w:bookmarkStart w:id="3" w:name="_Hlk52134250"/>
      <w:r w:rsidRPr="000235C4">
        <w:rPr>
          <w:rFonts w:cs="Times New Roman"/>
          <w:szCs w:val="24"/>
        </w:rPr>
        <w:t xml:space="preserve">For those respondents who answer “Yes” to any of the questions about past year suicidal ideation or attempts, that respondent will receive a follow-up screen at the end of the series of questions with a reminder of the contact information for the helpline if that respondent would like to speak with a mental health professional. </w:t>
      </w:r>
    </w:p>
    <w:bookmarkEnd w:id="3"/>
    <w:p w:rsidR="00501DD2" w:rsidP="00501DD2" w14:paraId="28078E35" w14:textId="77777777">
      <w:pPr>
        <w:pStyle w:val="BodyText"/>
        <w:rPr>
          <w:rFonts w:ascii="Times New Roman" w:hAnsi="Times New Roman" w:cs="Times New Roman"/>
        </w:rPr>
      </w:pPr>
      <w:r w:rsidRPr="00FD23DF">
        <w:rPr>
          <w:rFonts w:ascii="Times New Roman" w:hAnsi="Times New Roman" w:cs="Times New Roman"/>
        </w:rPr>
        <w:t xml:space="preserve">The detailed specifications for the proposed </w:t>
      </w:r>
      <w:r w:rsidR="005C3DD9">
        <w:rPr>
          <w:rFonts w:ascii="Times New Roman" w:hAnsi="Times New Roman" w:cs="Times New Roman"/>
        </w:rPr>
        <w:t xml:space="preserve">web-based </w:t>
      </w:r>
      <w:r w:rsidR="000A11D3">
        <w:rPr>
          <w:rFonts w:ascii="Times New Roman" w:hAnsi="Times New Roman" w:cs="Times New Roman"/>
        </w:rPr>
        <w:t>interview</w:t>
      </w:r>
      <w:r w:rsidRPr="00FD23DF" w:rsidR="000A11D3">
        <w:rPr>
          <w:rFonts w:ascii="Times New Roman" w:hAnsi="Times New Roman" w:cs="Times New Roman"/>
        </w:rPr>
        <w:t xml:space="preserve"> </w:t>
      </w:r>
      <w:r w:rsidRPr="00FD23DF">
        <w:rPr>
          <w:rFonts w:ascii="Times New Roman" w:hAnsi="Times New Roman" w:cs="Times New Roman"/>
        </w:rPr>
        <w:t xml:space="preserve">are provided in </w:t>
      </w:r>
      <w:r w:rsidRPr="00391FB1">
        <w:rPr>
          <w:rFonts w:ascii="Times New Roman" w:hAnsi="Times New Roman" w:cs="Times New Roman"/>
          <w:b/>
          <w:bCs/>
        </w:rPr>
        <w:t xml:space="preserve">Attachment </w:t>
      </w:r>
      <w:r w:rsidRPr="00391FB1" w:rsidR="00EE1D4E">
        <w:rPr>
          <w:rFonts w:ascii="Times New Roman" w:hAnsi="Times New Roman" w:cs="Times New Roman"/>
          <w:b/>
          <w:bCs/>
        </w:rPr>
        <w:t>WEB-</w:t>
      </w:r>
      <w:r w:rsidRPr="00391FB1" w:rsidR="000A11D3">
        <w:rPr>
          <w:rFonts w:ascii="Times New Roman" w:hAnsi="Times New Roman" w:cs="Times New Roman"/>
          <w:b/>
          <w:bCs/>
        </w:rPr>
        <w:t>4</w:t>
      </w:r>
      <w:r w:rsidRPr="00FD23DF">
        <w:rPr>
          <w:rFonts w:ascii="Times New Roman" w:hAnsi="Times New Roman" w:cs="Times New Roman"/>
        </w:rPr>
        <w:t xml:space="preserve">. </w:t>
      </w:r>
    </w:p>
    <w:p w:rsidR="000A11D3" w:rsidRPr="005753CE" w:rsidP="000A11D3" w14:paraId="44E74AB0" w14:textId="77777777">
      <w:pPr>
        <w:pStyle w:val="BodyText"/>
        <w:rPr>
          <w:rFonts w:ascii="Times New Roman" w:hAnsi="Times New Roman" w:cs="Times New Roman"/>
          <w:b/>
          <w:bCs/>
          <w:i/>
          <w:u w:val="single"/>
        </w:rPr>
      </w:pPr>
      <w:r w:rsidRPr="005753CE">
        <w:rPr>
          <w:rFonts w:ascii="Times New Roman" w:hAnsi="Times New Roman" w:cs="Times New Roman"/>
          <w:b/>
          <w:bCs/>
          <w:i/>
          <w:u w:val="single"/>
        </w:rPr>
        <w:t>Mental Illness Calibration Study</w:t>
      </w:r>
      <w:r w:rsidRPr="005753CE" w:rsidR="008C264D">
        <w:rPr>
          <w:rFonts w:ascii="Times New Roman" w:hAnsi="Times New Roman" w:cs="Times New Roman"/>
          <w:b/>
          <w:bCs/>
          <w:i/>
          <w:u w:val="single"/>
        </w:rPr>
        <w:t>:</w:t>
      </w:r>
    </w:p>
    <w:p w:rsidR="008C264D" w:rsidRPr="00703946" w:rsidP="00703946" w14:paraId="78292E0E" w14:textId="77777777">
      <w:pPr>
        <w:spacing w:after="120"/>
        <w:ind w:left="720"/>
        <w:rPr>
          <w:rFonts w:ascii="Times New Roman" w:hAnsi="Times New Roman"/>
          <w:i/>
        </w:rPr>
      </w:pPr>
      <w:r w:rsidRPr="00703946">
        <w:rPr>
          <w:rFonts w:ascii="Times New Roman" w:hAnsi="Times New Roman" w:eastAsiaTheme="minorHAnsi"/>
          <w:iCs/>
          <w:color w:val="000000" w:themeColor="text1"/>
        </w:rPr>
        <w:t xml:space="preserve">Both NSDUH main study interview respondents selected for the MICS and those not selected for the MICS will complete the NSDUH main study interview. The NSDUH instrument does not differ based on whether the respondent is selected for MICS, as the selection process occurs after the main study interview is complete. </w:t>
      </w:r>
    </w:p>
    <w:p w:rsidR="008C264D" w:rsidRPr="00703946" w:rsidP="00703946" w14:paraId="5ED8D368" w14:textId="77777777">
      <w:pPr>
        <w:pStyle w:val="BodyText"/>
        <w:rPr>
          <w:rFonts w:ascii="Times New Roman" w:hAnsi="Times New Roman" w:cs="Times New Roman"/>
          <w:iCs/>
        </w:rPr>
      </w:pPr>
      <w:r w:rsidRPr="00703946">
        <w:rPr>
          <w:rFonts w:ascii="Times New Roman" w:hAnsi="Times New Roman" w:cs="Times New Roman"/>
          <w:iCs/>
        </w:rPr>
        <w:t xml:space="preserve">Respondents aged 18 years and older who complete the main study interview, either web-based or in-person, and are selected for the MICS interview, will be recruited to participate. FIs and respondents will be blind to the respondent selection criteria for the MICS and will not know a respondent has been selected for the MICS until the </w:t>
      </w:r>
      <w:r w:rsidRPr="00703946">
        <w:rPr>
          <w:color w:val="auto"/>
        </w:rPr>
        <w:t xml:space="preserve">follow-up clinical interview recruitment scripts </w:t>
      </w:r>
      <w:r w:rsidRPr="00703946">
        <w:rPr>
          <w:rFonts w:ascii="Times New Roman" w:hAnsi="Times New Roman" w:cs="Times New Roman"/>
          <w:iCs/>
        </w:rPr>
        <w:t xml:space="preserve">(included in </w:t>
      </w:r>
      <w:r w:rsidRPr="00391FB1">
        <w:rPr>
          <w:rFonts w:ascii="Times New Roman" w:hAnsi="Times New Roman" w:cs="Times New Roman"/>
          <w:b/>
          <w:bCs/>
          <w:iCs/>
        </w:rPr>
        <w:t>Attachment MICS-</w:t>
      </w:r>
      <w:r w:rsidRPr="00391FB1" w:rsidR="007E1A0C">
        <w:rPr>
          <w:rFonts w:ascii="Times New Roman" w:hAnsi="Times New Roman" w:cs="Times New Roman"/>
          <w:b/>
          <w:bCs/>
          <w:iCs/>
        </w:rPr>
        <w:t>2</w:t>
      </w:r>
      <w:r w:rsidRPr="00703946">
        <w:rPr>
          <w:rFonts w:ascii="Times New Roman" w:hAnsi="Times New Roman" w:cs="Times New Roman"/>
          <w:iCs/>
        </w:rPr>
        <w:t>) appear at the end of the main study NSDUH interview.</w:t>
      </w:r>
    </w:p>
    <w:p w:rsidR="00750320" w:rsidRPr="00BD5A96" w:rsidP="00750320" w14:paraId="3F333498" w14:textId="77777777">
      <w:pPr>
        <w:pStyle w:val="BodyText"/>
        <w:rPr>
          <w:rFonts w:ascii="Times New Roman" w:hAnsi="Times New Roman" w:cs="Times New Roman"/>
          <w:iCs/>
        </w:rPr>
      </w:pPr>
      <w:r w:rsidRPr="005753CE">
        <w:rPr>
          <w:rFonts w:ascii="Times New Roman" w:hAnsi="Times New Roman" w:cs="Times New Roman"/>
          <w:b/>
          <w:bCs/>
          <w:iCs/>
        </w:rPr>
        <w:t>In-person MICS Recruitment</w:t>
      </w:r>
      <w:r w:rsidRPr="00BD5A96">
        <w:rPr>
          <w:rFonts w:ascii="Times New Roman" w:hAnsi="Times New Roman" w:cs="Times New Roman"/>
          <w:iCs/>
        </w:rPr>
        <w:t>:</w:t>
      </w:r>
    </w:p>
    <w:p w:rsidR="00750320" w:rsidRPr="00442269" w:rsidP="00750320" w14:paraId="2A756FB4" w14:textId="77777777">
      <w:pPr>
        <w:pStyle w:val="BodyText"/>
        <w:rPr>
          <w:rFonts w:ascii="Times New Roman" w:hAnsi="Times New Roman" w:cs="Times New Roman"/>
          <w:iCs/>
        </w:rPr>
      </w:pPr>
      <w:r w:rsidRPr="00442269">
        <w:rPr>
          <w:rFonts w:ascii="Times New Roman" w:hAnsi="Times New Roman" w:cs="Times New Roman"/>
          <w:iCs/>
        </w:rPr>
        <w:t>NSDUH FIs will be trained on the in-person MICS recruitment process as part of veteran and new-to-project FI training</w:t>
      </w:r>
      <w:r w:rsidR="00FE0FE7">
        <w:rPr>
          <w:rFonts w:ascii="Times New Roman" w:hAnsi="Times New Roman" w:cs="Times New Roman"/>
          <w:iCs/>
        </w:rPr>
        <w:t xml:space="preserve"> sessions</w:t>
      </w:r>
      <w:r w:rsidRPr="00442269">
        <w:rPr>
          <w:rFonts w:ascii="Times New Roman" w:hAnsi="Times New Roman" w:cs="Times New Roman"/>
          <w:iCs/>
        </w:rPr>
        <w:t>. The FI will read the</w:t>
      </w:r>
      <w:r w:rsidR="00FE0FE7">
        <w:rPr>
          <w:rFonts w:ascii="Times New Roman" w:hAnsi="Times New Roman" w:cs="Times New Roman"/>
          <w:iCs/>
        </w:rPr>
        <w:t xml:space="preserve"> follow-up clinical interview recruitment</w:t>
      </w:r>
      <w:r w:rsidRPr="00442269">
        <w:rPr>
          <w:rFonts w:ascii="Times New Roman" w:hAnsi="Times New Roman" w:cs="Times New Roman"/>
          <w:iCs/>
        </w:rPr>
        <w:t xml:space="preserve"> scripts from the laptop verbatim to the selected respondent and provide them with a hard copy of the </w:t>
      </w:r>
      <w:r w:rsidR="00FE0FE7">
        <w:rPr>
          <w:rFonts w:ascii="Times New Roman" w:hAnsi="Times New Roman" w:cs="Times New Roman"/>
          <w:iCs/>
        </w:rPr>
        <w:t xml:space="preserve">Follow-up </w:t>
      </w:r>
      <w:r w:rsidRPr="00442269">
        <w:rPr>
          <w:rFonts w:ascii="Times New Roman" w:hAnsi="Times New Roman" w:cs="Times New Roman"/>
          <w:iCs/>
        </w:rPr>
        <w:t>Study Description (</w:t>
      </w:r>
      <w:r w:rsidRPr="00391FB1">
        <w:rPr>
          <w:rFonts w:ascii="Times New Roman" w:hAnsi="Times New Roman" w:cs="Times New Roman"/>
          <w:b/>
          <w:bCs/>
          <w:iCs/>
        </w:rPr>
        <w:t>Attachment MICS-</w:t>
      </w:r>
      <w:r w:rsidRPr="00391FB1" w:rsidR="007E1A0C">
        <w:rPr>
          <w:rFonts w:ascii="Times New Roman" w:hAnsi="Times New Roman" w:cs="Times New Roman"/>
          <w:b/>
          <w:bCs/>
          <w:iCs/>
        </w:rPr>
        <w:t>7</w:t>
      </w:r>
      <w:r w:rsidRPr="00442269">
        <w:rPr>
          <w:rFonts w:ascii="Times New Roman" w:hAnsi="Times New Roman" w:cs="Times New Roman"/>
          <w:iCs/>
        </w:rPr>
        <w:t xml:space="preserve">). The Follow-up Study Description will include important details about the follow-up clinical interview, a clear description of the follow-up clinical interview procedures, and information about confidentiality protections identical to the information provided for the main study. </w:t>
      </w:r>
    </w:p>
    <w:p w:rsidR="00750320" w:rsidRPr="00FD23DF" w:rsidP="00750320" w14:paraId="764B26FA" w14:textId="77777777">
      <w:pPr>
        <w:pStyle w:val="BodyText"/>
        <w:rPr>
          <w:rFonts w:ascii="Times New Roman" w:hAnsi="Times New Roman" w:cs="Times New Roman"/>
        </w:rPr>
      </w:pPr>
      <w:r w:rsidRPr="00442269">
        <w:rPr>
          <w:rFonts w:ascii="Times New Roman" w:hAnsi="Times New Roman" w:cs="Times New Roman"/>
          <w:iCs/>
        </w:rPr>
        <w:t>If the respondent agrees, the FI will ask for the respondent’s first name, phone number, and email address so the respondent can be contacted later to schedule the follow-up interview. The FI will then hand the respondent a schedular card (</w:t>
      </w:r>
      <w:r w:rsidRPr="00391FB1">
        <w:rPr>
          <w:rFonts w:ascii="Times New Roman" w:hAnsi="Times New Roman" w:cs="Times New Roman"/>
          <w:b/>
          <w:bCs/>
          <w:iCs/>
        </w:rPr>
        <w:t>Attachment MICS-</w:t>
      </w:r>
      <w:r w:rsidRPr="00391FB1" w:rsidR="007E1A0C">
        <w:rPr>
          <w:rFonts w:ascii="Times New Roman" w:hAnsi="Times New Roman" w:cs="Times New Roman"/>
          <w:b/>
          <w:bCs/>
          <w:iCs/>
        </w:rPr>
        <w:t>3</w:t>
      </w:r>
      <w:r w:rsidRPr="00442269">
        <w:rPr>
          <w:rFonts w:ascii="Times New Roman" w:hAnsi="Times New Roman" w:cs="Times New Roman"/>
          <w:iCs/>
        </w:rPr>
        <w:t>) that will allow them to access the project’s online scheduling system, via URL or QR code, to select an interview date and time. After these recruitment screens are completed, the FI will no longer have contact with the respondent, and all future contact will come from CIs or MICS systems.</w:t>
      </w:r>
    </w:p>
    <w:p w:rsidR="008C264D" w:rsidRPr="00BD5A96" w:rsidP="008C264D" w14:paraId="3C2335D0" w14:textId="77777777">
      <w:pPr>
        <w:pStyle w:val="BodyText"/>
        <w:rPr>
          <w:rFonts w:ascii="Times New Roman" w:hAnsi="Times New Roman" w:cs="Times New Roman"/>
          <w:iCs/>
        </w:rPr>
      </w:pPr>
      <w:r w:rsidRPr="005753CE">
        <w:rPr>
          <w:rFonts w:ascii="Times New Roman" w:hAnsi="Times New Roman" w:cs="Times New Roman"/>
          <w:b/>
          <w:bCs/>
          <w:iCs/>
        </w:rPr>
        <w:t xml:space="preserve">Web-based </w:t>
      </w:r>
      <w:r w:rsidRPr="005753CE" w:rsidR="00750320">
        <w:rPr>
          <w:rFonts w:ascii="Times New Roman" w:hAnsi="Times New Roman" w:cs="Times New Roman"/>
          <w:b/>
          <w:bCs/>
          <w:iCs/>
        </w:rPr>
        <w:t xml:space="preserve">MICS </w:t>
      </w:r>
      <w:r w:rsidRPr="005753CE">
        <w:rPr>
          <w:rFonts w:ascii="Times New Roman" w:hAnsi="Times New Roman" w:cs="Times New Roman"/>
          <w:b/>
          <w:bCs/>
          <w:iCs/>
        </w:rPr>
        <w:t>Recruitment</w:t>
      </w:r>
      <w:r w:rsidRPr="00BD5A96">
        <w:rPr>
          <w:rFonts w:ascii="Times New Roman" w:hAnsi="Times New Roman" w:cs="Times New Roman"/>
          <w:iCs/>
        </w:rPr>
        <w:t>:</w:t>
      </w:r>
    </w:p>
    <w:p w:rsidR="008C264D" w:rsidRPr="00321E6B" w:rsidP="008C264D" w14:paraId="2DD4431B" w14:textId="77777777">
      <w:pPr>
        <w:pStyle w:val="BodyText"/>
        <w:rPr>
          <w:rFonts w:ascii="Times New Roman" w:hAnsi="Times New Roman" w:cs="Times New Roman"/>
          <w:iCs/>
        </w:rPr>
      </w:pPr>
      <w:r w:rsidRPr="00321E6B">
        <w:rPr>
          <w:rFonts w:ascii="Times New Roman" w:hAnsi="Times New Roman" w:cs="Times New Roman"/>
          <w:iCs/>
        </w:rPr>
        <w:t>The follow-up clinical interview recruitment scripts that appear at the end of the web-based main study interview are self-administered. The respondent will be led through screens that let them know they have been selected for the follow-up clinical interview, provided a web</w:t>
      </w:r>
      <w:r w:rsidRPr="00321E6B" w:rsidR="00664320">
        <w:rPr>
          <w:rFonts w:ascii="Times New Roman" w:hAnsi="Times New Roman" w:cs="Times New Roman"/>
          <w:iCs/>
        </w:rPr>
        <w:t>-based</w:t>
      </w:r>
      <w:r w:rsidRPr="00321E6B">
        <w:rPr>
          <w:rFonts w:ascii="Times New Roman" w:hAnsi="Times New Roman" w:cs="Times New Roman"/>
          <w:iCs/>
        </w:rPr>
        <w:t xml:space="preserve"> version of the </w:t>
      </w:r>
      <w:r w:rsidRPr="00321E6B" w:rsidR="00664320">
        <w:rPr>
          <w:rFonts w:ascii="Times New Roman" w:hAnsi="Times New Roman" w:cs="Times New Roman"/>
          <w:iCs/>
        </w:rPr>
        <w:t xml:space="preserve">Follow-up </w:t>
      </w:r>
      <w:r w:rsidRPr="00321E6B">
        <w:rPr>
          <w:rFonts w:ascii="Times New Roman" w:hAnsi="Times New Roman" w:cs="Times New Roman"/>
          <w:iCs/>
        </w:rPr>
        <w:t>Study Description (</w:t>
      </w:r>
      <w:r w:rsidRPr="00391FB1">
        <w:rPr>
          <w:rFonts w:ascii="Times New Roman" w:hAnsi="Times New Roman" w:cs="Times New Roman"/>
          <w:b/>
          <w:bCs/>
          <w:iCs/>
        </w:rPr>
        <w:t>Attachment MICS-</w:t>
      </w:r>
      <w:r w:rsidRPr="00391FB1" w:rsidR="007E1A0C">
        <w:rPr>
          <w:rFonts w:ascii="Times New Roman" w:hAnsi="Times New Roman" w:cs="Times New Roman"/>
          <w:b/>
          <w:bCs/>
          <w:iCs/>
        </w:rPr>
        <w:t>7</w:t>
      </w:r>
      <w:r w:rsidRPr="00321E6B">
        <w:rPr>
          <w:rFonts w:ascii="Times New Roman" w:hAnsi="Times New Roman" w:cs="Times New Roman"/>
          <w:iCs/>
        </w:rPr>
        <w:t xml:space="preserve">), and, if the respondent agrees, asked to provide their first name, phone number, and email address so they can be contacted. Although the respondent’s first name, phone number, and email address will be collected within the main study interview, it will be used only for re-contact purposes.  </w:t>
      </w:r>
    </w:p>
    <w:p w:rsidR="008C264D" w:rsidRPr="00321E6B" w:rsidP="000A11D3" w14:paraId="431F34C8" w14:textId="77777777">
      <w:pPr>
        <w:pStyle w:val="BodyText"/>
        <w:rPr>
          <w:rFonts w:ascii="Times New Roman" w:hAnsi="Times New Roman" w:cs="Times New Roman"/>
          <w:iCs/>
        </w:rPr>
      </w:pPr>
      <w:r w:rsidRPr="00321E6B">
        <w:rPr>
          <w:rFonts w:ascii="Times New Roman" w:hAnsi="Times New Roman" w:cs="Times New Roman"/>
          <w:iCs/>
        </w:rPr>
        <w:t>If a respondent agrees to complete a follow-up</w:t>
      </w:r>
      <w:r w:rsidRPr="00321E6B" w:rsidR="00664320">
        <w:rPr>
          <w:rFonts w:ascii="Times New Roman" w:hAnsi="Times New Roman" w:cs="Times New Roman"/>
          <w:iCs/>
        </w:rPr>
        <w:t xml:space="preserve"> clinical</w:t>
      </w:r>
      <w:r w:rsidRPr="00321E6B">
        <w:rPr>
          <w:rFonts w:ascii="Times New Roman" w:hAnsi="Times New Roman" w:cs="Times New Roman"/>
          <w:iCs/>
        </w:rPr>
        <w:t xml:space="preserve"> interview, the web-based main study interview will automatically launch the project’s online scheduling system in a new internet browser. This allows the respondent to select a follow-up clinical interview date and time on the spot. After these recruitment screens are completed, all future contact will come from CIs or MICS systems.</w:t>
      </w:r>
    </w:p>
    <w:p w:rsidR="008F446A" w:rsidRPr="00BD5A96" w:rsidP="008F446A" w14:paraId="1F38AB8F" w14:textId="77777777">
      <w:pPr>
        <w:pStyle w:val="BodyText"/>
        <w:rPr>
          <w:rFonts w:ascii="Times New Roman" w:hAnsi="Times New Roman" w:cs="Times New Roman"/>
          <w:iCs/>
        </w:rPr>
      </w:pPr>
      <w:r w:rsidRPr="005753CE">
        <w:rPr>
          <w:rFonts w:ascii="Times New Roman" w:hAnsi="Times New Roman" w:cs="Times New Roman"/>
          <w:b/>
          <w:bCs/>
          <w:iCs/>
        </w:rPr>
        <w:t>Online Scheduling System &amp; Public and Private Sites</w:t>
      </w:r>
      <w:r w:rsidRPr="00BD5A96">
        <w:rPr>
          <w:rFonts w:ascii="Times New Roman" w:hAnsi="Times New Roman" w:cs="Times New Roman"/>
          <w:iCs/>
        </w:rPr>
        <w:t>:</w:t>
      </w:r>
    </w:p>
    <w:p w:rsidR="008F446A" w:rsidRPr="008F446A" w:rsidP="004F072E" w14:paraId="5C1A4AB0" w14:textId="77777777">
      <w:pPr>
        <w:pStyle w:val="BodyText"/>
        <w:rPr>
          <w:rFonts w:ascii="Times New Roman" w:hAnsi="Times New Roman" w:cs="Times New Roman"/>
          <w:iCs/>
        </w:rPr>
      </w:pPr>
      <w:r w:rsidRPr="008F446A">
        <w:rPr>
          <w:rFonts w:ascii="Times New Roman" w:hAnsi="Times New Roman" w:cs="Times New Roman"/>
          <w:iCs/>
        </w:rPr>
        <w:t>After an in-person or web respondent agrees to participate in the follow-up clinical interview and provides a valid email address, the respondent will receive via email information for accessing the project’s online scheduling system. This will contain a respondent-specific URL. Access is provided through logging into a specific page on the NSDUH website, either manually when the passcode is provided by the FI or automatically from the URL included in the email, which embeds the respondent-specific password.</w:t>
      </w:r>
    </w:p>
    <w:p w:rsidR="008F446A" w:rsidRPr="008F446A" w:rsidP="004F072E" w14:paraId="77B0358C" w14:textId="77777777">
      <w:pPr>
        <w:pStyle w:val="BodyText"/>
        <w:rPr>
          <w:rFonts w:ascii="Times New Roman" w:hAnsi="Times New Roman" w:cs="Times New Roman"/>
          <w:iCs/>
        </w:rPr>
      </w:pPr>
      <w:r w:rsidRPr="008F446A">
        <w:rPr>
          <w:rFonts w:ascii="Times New Roman" w:hAnsi="Times New Roman" w:cs="Times New Roman"/>
          <w:iCs/>
        </w:rPr>
        <w:t>CIs will have access to the project’s private website, which includes a calendar system that works in real-time alongside the project’s online scheduling system to offer interview appointment options for each respondent. Once a respondent selects an interview appointment time, that timeslot is no longer offered to other respondents, and the case is assigned to the CI.</w:t>
      </w:r>
    </w:p>
    <w:p w:rsidR="008F446A" w:rsidRPr="005753CE" w:rsidP="004F072E" w14:paraId="3E03467A" w14:textId="77777777">
      <w:pPr>
        <w:pStyle w:val="BodyText"/>
        <w:rPr>
          <w:rFonts w:ascii="Times New Roman" w:hAnsi="Times New Roman" w:cs="Times New Roman"/>
          <w:b/>
          <w:bCs/>
          <w:iCs/>
        </w:rPr>
      </w:pPr>
      <w:r w:rsidRPr="005753CE">
        <w:rPr>
          <w:rFonts w:ascii="Times New Roman" w:hAnsi="Times New Roman" w:cs="Times New Roman"/>
          <w:b/>
          <w:bCs/>
          <w:iCs/>
        </w:rPr>
        <w:t>Follow-up Clinical Interview Contacting Procedures:</w:t>
      </w:r>
    </w:p>
    <w:p w:rsidR="002E7C53" w:rsidRPr="002E7C53" w:rsidP="004F072E" w14:paraId="1EB391A9" w14:textId="77777777">
      <w:pPr>
        <w:pStyle w:val="BodyText"/>
        <w:rPr>
          <w:rFonts w:ascii="Times New Roman" w:hAnsi="Times New Roman" w:cs="Times New Roman"/>
        </w:rPr>
      </w:pPr>
      <w:r w:rsidRPr="002E7C53">
        <w:rPr>
          <w:rFonts w:ascii="Times New Roman" w:hAnsi="Times New Roman" w:cs="Times New Roman"/>
        </w:rPr>
        <w:t xml:space="preserve">Follow-up contact with respondents </w:t>
      </w:r>
      <w:r w:rsidR="00C35850">
        <w:rPr>
          <w:rFonts w:ascii="Times New Roman" w:hAnsi="Times New Roman" w:cs="Times New Roman"/>
        </w:rPr>
        <w:t>will occur</w:t>
      </w:r>
      <w:r w:rsidRPr="002E7C53">
        <w:rPr>
          <w:rFonts w:ascii="Times New Roman" w:hAnsi="Times New Roman" w:cs="Times New Roman"/>
        </w:rPr>
        <w:t xml:space="preserve"> using two distinct, yet connected, processes – automated contacting and CI contacting – that differ based on case status. </w:t>
      </w:r>
    </w:p>
    <w:p w:rsidR="002E7C53" w:rsidP="004F072E" w14:paraId="69E7C3FA" w14:textId="77777777">
      <w:pPr>
        <w:pStyle w:val="BodyText"/>
        <w:rPr>
          <w:rFonts w:ascii="Times New Roman" w:hAnsi="Times New Roman" w:cs="Times New Roman"/>
        </w:rPr>
      </w:pPr>
      <w:r w:rsidRPr="002E7C53">
        <w:rPr>
          <w:rFonts w:ascii="Times New Roman" w:hAnsi="Times New Roman" w:cs="Times New Roman"/>
        </w:rPr>
        <w:t xml:space="preserve">Automated contacting methods </w:t>
      </w:r>
      <w:r w:rsidR="00C35850">
        <w:rPr>
          <w:rFonts w:ascii="Times New Roman" w:hAnsi="Times New Roman" w:cs="Times New Roman"/>
        </w:rPr>
        <w:t xml:space="preserve">will </w:t>
      </w:r>
      <w:r w:rsidRPr="002E7C53">
        <w:rPr>
          <w:rFonts w:ascii="Times New Roman" w:hAnsi="Times New Roman" w:cs="Times New Roman"/>
        </w:rPr>
        <w:t>include email and text messaging that are generated by various project systems based on current case status.</w:t>
      </w:r>
    </w:p>
    <w:p w:rsidR="002E7C53" w:rsidP="002E7C53" w14:paraId="7B5647E0" w14:textId="77777777">
      <w:pPr>
        <w:pStyle w:val="BodyText"/>
        <w:numPr>
          <w:ilvl w:val="0"/>
          <w:numId w:val="16"/>
        </w:numPr>
        <w:rPr>
          <w:rFonts w:ascii="Times New Roman" w:hAnsi="Times New Roman" w:cs="Times New Roman"/>
        </w:rPr>
      </w:pPr>
      <w:r w:rsidRPr="00860C7E">
        <w:rPr>
          <w:rFonts w:ascii="Times New Roman" w:hAnsi="Times New Roman" w:cs="Times New Roman"/>
          <w:i/>
          <w:iCs/>
        </w:rPr>
        <w:t>Automated emails</w:t>
      </w:r>
      <w:r w:rsidRPr="002E7C53">
        <w:rPr>
          <w:rFonts w:ascii="Times New Roman" w:hAnsi="Times New Roman" w:cs="Times New Roman"/>
        </w:rPr>
        <w:t xml:space="preserve"> – Multiple systems work together to enable this process, which </w:t>
      </w:r>
      <w:r w:rsidR="00C35850">
        <w:rPr>
          <w:rFonts w:ascii="Times New Roman" w:hAnsi="Times New Roman" w:cs="Times New Roman"/>
        </w:rPr>
        <w:t xml:space="preserve">will be </w:t>
      </w:r>
      <w:r w:rsidRPr="002E7C53">
        <w:rPr>
          <w:rFonts w:ascii="Times New Roman" w:hAnsi="Times New Roman" w:cs="Times New Roman"/>
        </w:rPr>
        <w:t>used to automatically send emails to respondents and CIs at different stages of the data collection process based on current status or recent event.</w:t>
      </w:r>
      <w:r w:rsidR="00BC120B">
        <w:rPr>
          <w:rFonts w:ascii="Times New Roman" w:hAnsi="Times New Roman" w:cs="Times New Roman"/>
        </w:rPr>
        <w:t xml:space="preserve"> T</w:t>
      </w:r>
      <w:r w:rsidRPr="002E7C53">
        <w:rPr>
          <w:rFonts w:ascii="Times New Roman" w:hAnsi="Times New Roman" w:cs="Times New Roman"/>
        </w:rPr>
        <w:t xml:space="preserve">hese emails—included in </w:t>
      </w:r>
      <w:r w:rsidRPr="00391FB1">
        <w:rPr>
          <w:rFonts w:ascii="Times New Roman" w:hAnsi="Times New Roman" w:cs="Times New Roman"/>
          <w:b/>
          <w:bCs/>
        </w:rPr>
        <w:t>Attachment MICS-</w:t>
      </w:r>
      <w:r w:rsidRPr="00391FB1" w:rsidR="007E1A0C">
        <w:rPr>
          <w:rFonts w:ascii="Times New Roman" w:hAnsi="Times New Roman" w:cs="Times New Roman"/>
          <w:b/>
          <w:bCs/>
        </w:rPr>
        <w:t>10</w:t>
      </w:r>
      <w:r w:rsidRPr="002E7C53">
        <w:rPr>
          <w:rFonts w:ascii="Times New Roman" w:hAnsi="Times New Roman" w:cs="Times New Roman"/>
        </w:rPr>
        <w:t>—</w:t>
      </w:r>
      <w:r w:rsidR="00C35850">
        <w:rPr>
          <w:rFonts w:ascii="Times New Roman" w:hAnsi="Times New Roman" w:cs="Times New Roman"/>
        </w:rPr>
        <w:t>will only be</w:t>
      </w:r>
      <w:r w:rsidRPr="002E7C53">
        <w:rPr>
          <w:rFonts w:ascii="Times New Roman" w:hAnsi="Times New Roman" w:cs="Times New Roman"/>
        </w:rPr>
        <w:t xml:space="preserve"> sent to respondents that provide a valid email address at the time of recruitment.</w:t>
      </w:r>
    </w:p>
    <w:p w:rsidR="002E7C53" w:rsidRPr="002E7C53" w:rsidP="00B12529" w14:paraId="38105875" w14:textId="77777777">
      <w:pPr>
        <w:pStyle w:val="BodyText"/>
        <w:numPr>
          <w:ilvl w:val="0"/>
          <w:numId w:val="16"/>
        </w:numPr>
        <w:rPr>
          <w:rFonts w:ascii="Times New Roman" w:hAnsi="Times New Roman" w:cs="Times New Roman"/>
        </w:rPr>
      </w:pPr>
      <w:r w:rsidRPr="00B12529">
        <w:rPr>
          <w:rFonts w:ascii="Times New Roman" w:hAnsi="Times New Roman" w:cs="Times New Roman"/>
          <w:i/>
          <w:iCs/>
        </w:rPr>
        <w:t>Text messaging</w:t>
      </w:r>
      <w:r w:rsidRPr="002E7C53">
        <w:rPr>
          <w:rFonts w:ascii="Times New Roman" w:hAnsi="Times New Roman" w:cs="Times New Roman"/>
        </w:rPr>
        <w:t xml:space="preserve"> – This method </w:t>
      </w:r>
      <w:r w:rsidR="00C35850">
        <w:rPr>
          <w:rFonts w:ascii="Times New Roman" w:hAnsi="Times New Roman" w:cs="Times New Roman"/>
        </w:rPr>
        <w:t>will be</w:t>
      </w:r>
      <w:r w:rsidRPr="002E7C53">
        <w:rPr>
          <w:rFonts w:ascii="Times New Roman" w:hAnsi="Times New Roman" w:cs="Times New Roman"/>
        </w:rPr>
        <w:t xml:space="preserve"> used to send respondents messages when an appointment is scheduled or missed (</w:t>
      </w:r>
      <w:r w:rsidRPr="00391FB1">
        <w:rPr>
          <w:rFonts w:ascii="Times New Roman" w:hAnsi="Times New Roman" w:cs="Times New Roman"/>
          <w:b/>
          <w:bCs/>
        </w:rPr>
        <w:t>Attachment MICS-</w:t>
      </w:r>
      <w:r w:rsidRPr="00391FB1" w:rsidR="00CA72B8">
        <w:rPr>
          <w:rFonts w:ascii="Times New Roman" w:hAnsi="Times New Roman" w:cs="Times New Roman"/>
          <w:b/>
          <w:bCs/>
        </w:rPr>
        <w:t>1</w:t>
      </w:r>
      <w:r w:rsidRPr="00391FB1" w:rsidR="007E1A0C">
        <w:rPr>
          <w:rFonts w:ascii="Times New Roman" w:hAnsi="Times New Roman" w:cs="Times New Roman"/>
          <w:b/>
          <w:bCs/>
        </w:rPr>
        <w:t>1</w:t>
      </w:r>
      <w:r w:rsidRPr="002E7C53">
        <w:rPr>
          <w:rFonts w:ascii="Times New Roman" w:hAnsi="Times New Roman" w:cs="Times New Roman"/>
        </w:rPr>
        <w:t xml:space="preserve">). CIs </w:t>
      </w:r>
      <w:r w:rsidR="00C35850">
        <w:rPr>
          <w:rFonts w:ascii="Times New Roman" w:hAnsi="Times New Roman" w:cs="Times New Roman"/>
        </w:rPr>
        <w:t xml:space="preserve">will </w:t>
      </w:r>
      <w:r w:rsidRPr="002E7C53">
        <w:rPr>
          <w:rFonts w:ascii="Times New Roman" w:hAnsi="Times New Roman" w:cs="Times New Roman"/>
        </w:rPr>
        <w:t xml:space="preserve">request text messages be sent to respondents through the MICS </w:t>
      </w:r>
      <w:r w:rsidR="00B12529">
        <w:rPr>
          <w:rFonts w:ascii="Times New Roman" w:hAnsi="Times New Roman" w:cs="Times New Roman"/>
        </w:rPr>
        <w:t>case management system (</w:t>
      </w:r>
      <w:r w:rsidRPr="002E7C53">
        <w:rPr>
          <w:rFonts w:ascii="Times New Roman" w:hAnsi="Times New Roman" w:cs="Times New Roman"/>
        </w:rPr>
        <w:t>CMS</w:t>
      </w:r>
      <w:r w:rsidR="00B12529">
        <w:rPr>
          <w:rFonts w:ascii="Times New Roman" w:hAnsi="Times New Roman" w:cs="Times New Roman"/>
        </w:rPr>
        <w:t>)</w:t>
      </w:r>
      <w:r w:rsidRPr="002E7C53">
        <w:rPr>
          <w:rFonts w:ascii="Times New Roman" w:hAnsi="Times New Roman" w:cs="Times New Roman"/>
        </w:rPr>
        <w:t xml:space="preserve">. If respondents do not provide a valid phone number and/or do not consent to text messaging at the time of recruitment, these messages </w:t>
      </w:r>
      <w:r w:rsidR="00C35850">
        <w:rPr>
          <w:rFonts w:ascii="Times New Roman" w:hAnsi="Times New Roman" w:cs="Times New Roman"/>
        </w:rPr>
        <w:t>will</w:t>
      </w:r>
      <w:r w:rsidRPr="002E7C53">
        <w:rPr>
          <w:rFonts w:ascii="Times New Roman" w:hAnsi="Times New Roman" w:cs="Times New Roman"/>
        </w:rPr>
        <w:t xml:space="preserve"> not occur. </w:t>
      </w:r>
    </w:p>
    <w:p w:rsidR="002E7C53" w:rsidRPr="002E7C53" w:rsidP="004F072E" w14:paraId="661E528C" w14:textId="77777777">
      <w:pPr>
        <w:pStyle w:val="BodyText"/>
        <w:rPr>
          <w:rFonts w:ascii="Times New Roman" w:hAnsi="Times New Roman" w:cs="Times New Roman"/>
        </w:rPr>
      </w:pPr>
      <w:r w:rsidRPr="002E7C53">
        <w:rPr>
          <w:rFonts w:ascii="Times New Roman" w:hAnsi="Times New Roman" w:cs="Times New Roman"/>
        </w:rPr>
        <w:t xml:space="preserve">CI contacting methods include phone calls and emails from the assigned CI. CIs </w:t>
      </w:r>
      <w:r w:rsidR="004A2862">
        <w:rPr>
          <w:rFonts w:ascii="Times New Roman" w:hAnsi="Times New Roman" w:cs="Times New Roman"/>
        </w:rPr>
        <w:t xml:space="preserve">will be </w:t>
      </w:r>
      <w:r w:rsidRPr="002E7C53">
        <w:rPr>
          <w:rFonts w:ascii="Times New Roman" w:hAnsi="Times New Roman" w:cs="Times New Roman"/>
        </w:rPr>
        <w:t>provided with talking points (</w:t>
      </w:r>
      <w:r w:rsidRPr="00391FB1">
        <w:rPr>
          <w:rFonts w:ascii="Times New Roman" w:hAnsi="Times New Roman" w:cs="Times New Roman"/>
          <w:b/>
          <w:bCs/>
        </w:rPr>
        <w:t>Attachment MICS-</w:t>
      </w:r>
      <w:r w:rsidRPr="00391FB1" w:rsidR="00CA72B8">
        <w:rPr>
          <w:rFonts w:ascii="Times New Roman" w:hAnsi="Times New Roman" w:cs="Times New Roman"/>
          <w:b/>
          <w:bCs/>
        </w:rPr>
        <w:t>1</w:t>
      </w:r>
      <w:r w:rsidRPr="00391FB1" w:rsidR="007E1A0C">
        <w:rPr>
          <w:rFonts w:ascii="Times New Roman" w:hAnsi="Times New Roman" w:cs="Times New Roman"/>
          <w:b/>
          <w:bCs/>
        </w:rPr>
        <w:t>2</w:t>
      </w:r>
      <w:r w:rsidRPr="002E7C53">
        <w:rPr>
          <w:rFonts w:ascii="Times New Roman" w:hAnsi="Times New Roman" w:cs="Times New Roman"/>
        </w:rPr>
        <w:t xml:space="preserve">) to use when contacting respondents. All CIs </w:t>
      </w:r>
      <w:r w:rsidR="004A2862">
        <w:rPr>
          <w:rFonts w:ascii="Times New Roman" w:hAnsi="Times New Roman" w:cs="Times New Roman"/>
        </w:rPr>
        <w:t xml:space="preserve">will be </w:t>
      </w:r>
      <w:r w:rsidRPr="002E7C53">
        <w:rPr>
          <w:rFonts w:ascii="Times New Roman" w:hAnsi="Times New Roman" w:cs="Times New Roman"/>
        </w:rPr>
        <w:t>required to call or email respondents both on the day they provide the interview’s Zoom meeting information (</w:t>
      </w:r>
      <w:r w:rsidRPr="00391FB1">
        <w:rPr>
          <w:rFonts w:ascii="Times New Roman" w:hAnsi="Times New Roman" w:cs="Times New Roman"/>
          <w:b/>
          <w:bCs/>
        </w:rPr>
        <w:t>Attachment MICS-1</w:t>
      </w:r>
      <w:r w:rsidRPr="00391FB1" w:rsidR="007E1A0C">
        <w:rPr>
          <w:rFonts w:ascii="Times New Roman" w:hAnsi="Times New Roman" w:cs="Times New Roman"/>
          <w:b/>
          <w:bCs/>
        </w:rPr>
        <w:t>3</w:t>
      </w:r>
      <w:r w:rsidRPr="002E7C53">
        <w:rPr>
          <w:rFonts w:ascii="Times New Roman" w:hAnsi="Times New Roman" w:cs="Times New Roman"/>
        </w:rPr>
        <w:t>) and the day before the scheduled interview.</w:t>
      </w:r>
    </w:p>
    <w:p w:rsidR="002E7C53" w:rsidRPr="002E7C53" w:rsidP="004F072E" w14:paraId="3451C117" w14:textId="77777777">
      <w:pPr>
        <w:pStyle w:val="BodyText"/>
        <w:rPr>
          <w:rFonts w:ascii="Times New Roman" w:hAnsi="Times New Roman" w:cs="Times New Roman"/>
        </w:rPr>
      </w:pPr>
      <w:r w:rsidRPr="002E7C53">
        <w:rPr>
          <w:rFonts w:ascii="Times New Roman" w:hAnsi="Times New Roman" w:cs="Times New Roman"/>
        </w:rPr>
        <w:t xml:space="preserve">All contacts between CIs and respondents </w:t>
      </w:r>
      <w:r w:rsidR="004A2862">
        <w:rPr>
          <w:rFonts w:ascii="Times New Roman" w:hAnsi="Times New Roman" w:cs="Times New Roman"/>
        </w:rPr>
        <w:t>will be</w:t>
      </w:r>
      <w:r w:rsidRPr="002E7C53">
        <w:rPr>
          <w:rFonts w:ascii="Times New Roman" w:hAnsi="Times New Roman" w:cs="Times New Roman"/>
        </w:rPr>
        <w:t xml:space="preserve"> documented within the MICS CMS on the day the contact occurs. This </w:t>
      </w:r>
      <w:r w:rsidR="004A2862">
        <w:rPr>
          <w:rFonts w:ascii="Times New Roman" w:hAnsi="Times New Roman" w:cs="Times New Roman"/>
        </w:rPr>
        <w:t xml:space="preserve">will </w:t>
      </w:r>
      <w:r w:rsidRPr="002E7C53">
        <w:rPr>
          <w:rFonts w:ascii="Times New Roman" w:hAnsi="Times New Roman" w:cs="Times New Roman"/>
        </w:rPr>
        <w:t>ensure automated systems work hand-in-hand with CI contacting procedures.</w:t>
      </w:r>
    </w:p>
    <w:p w:rsidR="002E7C53" w:rsidRPr="002E7C53" w:rsidP="004F072E" w14:paraId="3F696F57" w14:textId="77777777">
      <w:pPr>
        <w:pStyle w:val="BodyText"/>
        <w:rPr>
          <w:rFonts w:ascii="Times New Roman" w:hAnsi="Times New Roman" w:cs="Times New Roman"/>
        </w:rPr>
      </w:pPr>
      <w:r w:rsidRPr="002E7C53">
        <w:rPr>
          <w:rFonts w:ascii="Times New Roman" w:hAnsi="Times New Roman" w:cs="Times New Roman"/>
        </w:rPr>
        <w:t xml:space="preserve">Additionally, letters </w:t>
      </w:r>
      <w:r w:rsidR="004A2862">
        <w:rPr>
          <w:rFonts w:ascii="Times New Roman" w:hAnsi="Times New Roman" w:cs="Times New Roman"/>
        </w:rPr>
        <w:t>will be</w:t>
      </w:r>
      <w:r w:rsidRPr="002E7C53">
        <w:rPr>
          <w:rFonts w:ascii="Times New Roman" w:hAnsi="Times New Roman" w:cs="Times New Roman"/>
        </w:rPr>
        <w:t xml:space="preserve"> sent to respondents who have refused to participate (</w:t>
      </w:r>
      <w:r w:rsidRPr="00391FB1">
        <w:rPr>
          <w:rFonts w:ascii="Times New Roman" w:hAnsi="Times New Roman" w:cs="Times New Roman"/>
          <w:b/>
          <w:bCs/>
        </w:rPr>
        <w:t>Attachment MICS-1</w:t>
      </w:r>
      <w:r w:rsidRPr="00391FB1" w:rsidR="007E1A0C">
        <w:rPr>
          <w:rFonts w:ascii="Times New Roman" w:hAnsi="Times New Roman" w:cs="Times New Roman"/>
          <w:b/>
          <w:bCs/>
        </w:rPr>
        <w:t>4</w:t>
      </w:r>
      <w:r w:rsidRPr="002E7C53">
        <w:rPr>
          <w:rFonts w:ascii="Times New Roman" w:hAnsi="Times New Roman" w:cs="Times New Roman"/>
        </w:rPr>
        <w:t>), are unable to contact via phone or email</w:t>
      </w:r>
      <w:r w:rsidR="00722E12">
        <w:rPr>
          <w:rFonts w:ascii="Times New Roman" w:hAnsi="Times New Roman" w:cs="Times New Roman"/>
        </w:rPr>
        <w:t xml:space="preserve"> (</w:t>
      </w:r>
      <w:r w:rsidRPr="00391FB1" w:rsidR="00722E12">
        <w:rPr>
          <w:rFonts w:ascii="Times New Roman" w:hAnsi="Times New Roman" w:cs="Times New Roman"/>
          <w:b/>
          <w:bCs/>
        </w:rPr>
        <w:t>Attachment MICS-15</w:t>
      </w:r>
      <w:r w:rsidR="00DA4805">
        <w:rPr>
          <w:rFonts w:ascii="Times New Roman" w:hAnsi="Times New Roman" w:cs="Times New Roman"/>
        </w:rPr>
        <w:t>) or</w:t>
      </w:r>
      <w:r w:rsidRPr="00C35850">
        <w:rPr>
          <w:rFonts w:ascii="Times New Roman" w:hAnsi="Times New Roman" w:cs="Times New Roman"/>
        </w:rPr>
        <w:t xml:space="preserve"> have not scheduled an interview and previous contacting attempts have been unsuccessful to date (</w:t>
      </w:r>
      <w:r w:rsidRPr="00391FB1">
        <w:rPr>
          <w:rFonts w:ascii="Times New Roman" w:hAnsi="Times New Roman" w:cs="Times New Roman"/>
          <w:b/>
          <w:bCs/>
        </w:rPr>
        <w:t>Attachment MICS-1</w:t>
      </w:r>
      <w:r w:rsidRPr="00391FB1" w:rsidR="00722E12">
        <w:rPr>
          <w:rFonts w:ascii="Times New Roman" w:hAnsi="Times New Roman" w:cs="Times New Roman"/>
          <w:b/>
          <w:bCs/>
        </w:rPr>
        <w:t>6</w:t>
      </w:r>
      <w:r w:rsidRPr="00C35850">
        <w:rPr>
          <w:rFonts w:ascii="Times New Roman" w:hAnsi="Times New Roman" w:cs="Times New Roman"/>
        </w:rPr>
        <w:t>).</w:t>
      </w:r>
      <w:r w:rsidRPr="002E7C53">
        <w:rPr>
          <w:rFonts w:ascii="Times New Roman" w:hAnsi="Times New Roman" w:cs="Times New Roman"/>
        </w:rPr>
        <w:t xml:space="preserve"> These letters </w:t>
      </w:r>
      <w:r w:rsidR="004A2862">
        <w:rPr>
          <w:rFonts w:ascii="Times New Roman" w:hAnsi="Times New Roman" w:cs="Times New Roman"/>
        </w:rPr>
        <w:t xml:space="preserve">will be </w:t>
      </w:r>
      <w:r w:rsidRPr="002E7C53">
        <w:rPr>
          <w:rFonts w:ascii="Times New Roman" w:hAnsi="Times New Roman" w:cs="Times New Roman"/>
        </w:rPr>
        <w:t>requested ad-hoc by project Data Collection Managers.</w:t>
      </w:r>
    </w:p>
    <w:p w:rsidR="00626647" w:rsidP="00626647" w14:paraId="4AE12A3B" w14:textId="77777777">
      <w:pPr>
        <w:pStyle w:val="BodyText"/>
        <w:rPr>
          <w:rFonts w:ascii="Times New Roman" w:hAnsi="Times New Roman" w:cs="Times New Roman"/>
        </w:rPr>
      </w:pPr>
      <w:r w:rsidRPr="002E7C53">
        <w:rPr>
          <w:rFonts w:ascii="Times New Roman" w:hAnsi="Times New Roman" w:cs="Times New Roman"/>
        </w:rPr>
        <w:t xml:space="preserve">Missed appointments </w:t>
      </w:r>
      <w:r w:rsidR="004A2862">
        <w:rPr>
          <w:rFonts w:ascii="Times New Roman" w:hAnsi="Times New Roman" w:cs="Times New Roman"/>
        </w:rPr>
        <w:t>will be</w:t>
      </w:r>
      <w:r w:rsidRPr="002E7C53">
        <w:rPr>
          <w:rFonts w:ascii="Times New Roman" w:hAnsi="Times New Roman" w:cs="Times New Roman"/>
        </w:rPr>
        <w:t xml:space="preserve"> handled in several ways:</w:t>
      </w:r>
    </w:p>
    <w:p w:rsidR="00626647" w:rsidP="00626647" w14:paraId="3B1DFA2B" w14:textId="77777777">
      <w:pPr>
        <w:pStyle w:val="BodyText"/>
        <w:numPr>
          <w:ilvl w:val="0"/>
          <w:numId w:val="17"/>
        </w:numPr>
        <w:rPr>
          <w:rFonts w:ascii="Times New Roman" w:hAnsi="Times New Roman" w:cs="Times New Roman"/>
        </w:rPr>
      </w:pPr>
      <w:r w:rsidRPr="00321E6B">
        <w:rPr>
          <w:rFonts w:ascii="Times New Roman" w:hAnsi="Times New Roman" w:cs="Times New Roman"/>
          <w:i/>
          <w:iCs/>
        </w:rPr>
        <w:t>No-show protocol</w:t>
      </w:r>
      <w:r w:rsidRPr="002E7C53">
        <w:rPr>
          <w:rFonts w:ascii="Times New Roman" w:hAnsi="Times New Roman" w:cs="Times New Roman"/>
        </w:rPr>
        <w:t xml:space="preserve"> – CIs </w:t>
      </w:r>
      <w:r w:rsidR="004A2862">
        <w:rPr>
          <w:rFonts w:ascii="Times New Roman" w:hAnsi="Times New Roman" w:cs="Times New Roman"/>
        </w:rPr>
        <w:t xml:space="preserve">will </w:t>
      </w:r>
      <w:r w:rsidRPr="002E7C53">
        <w:rPr>
          <w:rFonts w:ascii="Times New Roman" w:hAnsi="Times New Roman" w:cs="Times New Roman"/>
        </w:rPr>
        <w:t>adhere to the following procedure when a respondent is late or does not show up during their scheduled interview time:</w:t>
      </w:r>
    </w:p>
    <w:p w:rsidR="00626647" w:rsidP="00626647" w14:paraId="08130A35" w14:textId="77777777">
      <w:pPr>
        <w:pStyle w:val="BodyText"/>
        <w:numPr>
          <w:ilvl w:val="1"/>
          <w:numId w:val="17"/>
        </w:numPr>
        <w:rPr>
          <w:rFonts w:ascii="Times New Roman" w:hAnsi="Times New Roman" w:cs="Times New Roman"/>
        </w:rPr>
      </w:pPr>
      <w:r w:rsidRPr="00626647">
        <w:rPr>
          <w:rFonts w:ascii="Times New Roman" w:hAnsi="Times New Roman" w:cs="Times New Roman"/>
        </w:rPr>
        <w:t>If a respondent has not joined Zoom within the first 5 minutes, the CI calls (if a valid phone number was provided) the respondent to ensure they are not having technical difficulties. If the respondent doesn’t answer, the CI leaves a message. Next, the CI sends a follow-up email (if a valid email address was provided), reminding the respondent of their appointment, and asking if the respondent needs to reschedule. This process takes approximately 5 minutes. If the respondent does not show up within 15 minutes of the scheduled start time, the CI documents the event as a missed appointment.</w:t>
      </w:r>
    </w:p>
    <w:p w:rsidR="00626647" w:rsidP="00626647" w14:paraId="5D7B4AC6" w14:textId="77777777">
      <w:pPr>
        <w:pStyle w:val="BodyText"/>
        <w:numPr>
          <w:ilvl w:val="0"/>
          <w:numId w:val="17"/>
        </w:numPr>
        <w:rPr>
          <w:rFonts w:ascii="Times New Roman" w:hAnsi="Times New Roman" w:cs="Times New Roman"/>
        </w:rPr>
      </w:pPr>
      <w:r w:rsidRPr="00321E6B">
        <w:rPr>
          <w:rFonts w:ascii="Times New Roman" w:hAnsi="Times New Roman" w:cs="Times New Roman"/>
          <w:i/>
          <w:iCs/>
        </w:rPr>
        <w:t>First and second missed appointments</w:t>
      </w:r>
      <w:r w:rsidRPr="00626647">
        <w:rPr>
          <w:rFonts w:ascii="Times New Roman" w:hAnsi="Times New Roman" w:cs="Times New Roman"/>
        </w:rPr>
        <w:t xml:space="preserve"> – CIs </w:t>
      </w:r>
      <w:r w:rsidR="004A2862">
        <w:rPr>
          <w:rFonts w:ascii="Times New Roman" w:hAnsi="Times New Roman" w:cs="Times New Roman"/>
        </w:rPr>
        <w:t xml:space="preserve">will </w:t>
      </w:r>
      <w:r w:rsidRPr="00626647">
        <w:rPr>
          <w:rFonts w:ascii="Times New Roman" w:hAnsi="Times New Roman" w:cs="Times New Roman"/>
        </w:rPr>
        <w:t xml:space="preserve">enter an event code based on how many times the respondent misses an appointment. After the first two times, </w:t>
      </w:r>
      <w:r w:rsidRPr="00626647">
        <w:rPr>
          <w:rFonts w:ascii="Times New Roman" w:hAnsi="Times New Roman" w:cs="Times New Roman"/>
        </w:rPr>
        <w:t xml:space="preserve">if a respondent provides a valid email address, missed appointment emails </w:t>
      </w:r>
      <w:r w:rsidR="004A2862">
        <w:rPr>
          <w:rFonts w:ascii="Times New Roman" w:hAnsi="Times New Roman" w:cs="Times New Roman"/>
        </w:rPr>
        <w:t>will be</w:t>
      </w:r>
      <w:r w:rsidRPr="00626647">
        <w:rPr>
          <w:rFonts w:ascii="Times New Roman" w:hAnsi="Times New Roman" w:cs="Times New Roman"/>
        </w:rPr>
        <w:t xml:space="preserve"> automatically sent to the respondent asking them to reschedule.</w:t>
      </w:r>
    </w:p>
    <w:p w:rsidR="002E7C53" w:rsidRPr="00626647" w:rsidP="00321E6B" w14:paraId="5DF07E9F" w14:textId="77777777">
      <w:pPr>
        <w:pStyle w:val="BodyText"/>
        <w:numPr>
          <w:ilvl w:val="0"/>
          <w:numId w:val="17"/>
        </w:numPr>
        <w:rPr>
          <w:rFonts w:ascii="Times New Roman" w:hAnsi="Times New Roman" w:cs="Times New Roman"/>
        </w:rPr>
      </w:pPr>
      <w:r w:rsidRPr="00321E6B">
        <w:rPr>
          <w:rFonts w:ascii="Times New Roman" w:hAnsi="Times New Roman" w:cs="Times New Roman"/>
          <w:i/>
          <w:iCs/>
        </w:rPr>
        <w:t>Third missed appointment</w:t>
      </w:r>
      <w:r w:rsidRPr="00626647">
        <w:rPr>
          <w:rFonts w:ascii="Times New Roman" w:hAnsi="Times New Roman" w:cs="Times New Roman"/>
        </w:rPr>
        <w:t xml:space="preserve"> – CIs</w:t>
      </w:r>
      <w:r w:rsidR="00AD7901">
        <w:rPr>
          <w:rFonts w:ascii="Times New Roman" w:hAnsi="Times New Roman" w:cs="Times New Roman"/>
        </w:rPr>
        <w:t xml:space="preserve"> will</w:t>
      </w:r>
      <w:r w:rsidRPr="00626647">
        <w:rPr>
          <w:rFonts w:ascii="Times New Roman" w:hAnsi="Times New Roman" w:cs="Times New Roman"/>
        </w:rPr>
        <w:t xml:space="preserve"> finalize the case as incomplete and no further contact is made. </w:t>
      </w:r>
    </w:p>
    <w:p w:rsidR="00AF0212" w:rsidRPr="00BD5A96" w:rsidP="00703946" w14:paraId="6E367ACB" w14:textId="77777777">
      <w:pPr>
        <w:pStyle w:val="BodyText"/>
        <w:rPr>
          <w:rFonts w:ascii="Times New Roman" w:hAnsi="Times New Roman" w:cs="Times New Roman"/>
          <w:iCs/>
        </w:rPr>
      </w:pPr>
      <w:r w:rsidRPr="002E7C53">
        <w:rPr>
          <w:rFonts w:ascii="Times New Roman" w:hAnsi="Times New Roman" w:cs="Times New Roman"/>
        </w:rPr>
        <w:t xml:space="preserve">In addition, CIs </w:t>
      </w:r>
      <w:r w:rsidR="00AD7901">
        <w:rPr>
          <w:rFonts w:ascii="Times New Roman" w:hAnsi="Times New Roman" w:cs="Times New Roman"/>
        </w:rPr>
        <w:t xml:space="preserve">will </w:t>
      </w:r>
      <w:r w:rsidRPr="002E7C53">
        <w:rPr>
          <w:rFonts w:ascii="Times New Roman" w:hAnsi="Times New Roman" w:cs="Times New Roman"/>
        </w:rPr>
        <w:t xml:space="preserve">have the option to send a missed appointment text to respondents who consent to texting and provide a valid phone number. However, CIs must never store contact information for respondents in personal telephones and should delete any entries made in call logs for all incoming and outgoing text messages with respondents. As discussed above, if an email address is provided, automated emails </w:t>
      </w:r>
      <w:r w:rsidR="00AD7901">
        <w:rPr>
          <w:rFonts w:ascii="Times New Roman" w:hAnsi="Times New Roman" w:cs="Times New Roman"/>
        </w:rPr>
        <w:t xml:space="preserve">will </w:t>
      </w:r>
      <w:r w:rsidRPr="002E7C53">
        <w:rPr>
          <w:rFonts w:ascii="Times New Roman" w:hAnsi="Times New Roman" w:cs="Times New Roman"/>
        </w:rPr>
        <w:t>also utilized</w:t>
      </w:r>
      <w:r>
        <w:rPr>
          <w:rFonts w:ascii="Times New Roman" w:hAnsi="Times New Roman" w:cs="Times New Roman"/>
        </w:rPr>
        <w:t xml:space="preserve">. </w:t>
      </w:r>
      <w:r w:rsidRPr="00321E6B">
        <w:rPr>
          <w:rFonts w:ascii="Times New Roman" w:hAnsi="Times New Roman" w:cs="Times New Roman"/>
          <w:iCs/>
        </w:rPr>
        <w:t>Interviewing Procedures:</w:t>
      </w:r>
    </w:p>
    <w:p w:rsidR="00AF0212" w:rsidRPr="003703C4" w:rsidP="00703946" w14:paraId="3B11A034" w14:textId="77777777">
      <w:pPr>
        <w:pStyle w:val="BodyText"/>
        <w:rPr>
          <w:rFonts w:ascii="Times New Roman" w:hAnsi="Times New Roman" w:cs="Times New Roman"/>
          <w:color w:val="auto"/>
        </w:rPr>
      </w:pPr>
      <w:r w:rsidRPr="00AF0212">
        <w:rPr>
          <w:rFonts w:ascii="Times New Roman" w:hAnsi="Times New Roman" w:cs="Times New Roman"/>
        </w:rPr>
        <w:t xml:space="preserve">The total average interview time for MICS respondents is expected to be about 120 minutes. This includes approximately 60 minutes for the </w:t>
      </w:r>
      <w:r>
        <w:rPr>
          <w:rFonts w:ascii="Times New Roman" w:hAnsi="Times New Roman" w:cs="Times New Roman"/>
        </w:rPr>
        <w:t xml:space="preserve">NSDUH </w:t>
      </w:r>
      <w:r w:rsidRPr="00AF0212">
        <w:rPr>
          <w:rFonts w:ascii="Times New Roman" w:hAnsi="Times New Roman" w:cs="Times New Roman"/>
        </w:rPr>
        <w:t xml:space="preserve">main study interview and approximately 60 minutes for the </w:t>
      </w:r>
      <w:r>
        <w:rPr>
          <w:rFonts w:ascii="Times New Roman" w:hAnsi="Times New Roman" w:cs="Times New Roman"/>
        </w:rPr>
        <w:t xml:space="preserve">MICS </w:t>
      </w:r>
      <w:r w:rsidRPr="00AF0212">
        <w:rPr>
          <w:rFonts w:ascii="Times New Roman" w:hAnsi="Times New Roman" w:cs="Times New Roman"/>
        </w:rPr>
        <w:t xml:space="preserve">follow-up clinical interview. The estimated time to complete the follow-up </w:t>
      </w:r>
      <w:r>
        <w:rPr>
          <w:rFonts w:ascii="Times New Roman" w:hAnsi="Times New Roman" w:cs="Times New Roman"/>
        </w:rPr>
        <w:t xml:space="preserve">clinical </w:t>
      </w:r>
      <w:r w:rsidRPr="00AF0212">
        <w:rPr>
          <w:rFonts w:ascii="Times New Roman" w:hAnsi="Times New Roman" w:cs="Times New Roman"/>
        </w:rPr>
        <w:t xml:space="preserve">interview is based primarily on timing observed during the Mental Disorder Prevalence Study (MDPS) sponsored by SAMHSA. The SCID-5 used for MDPS, which included the overview and </w:t>
      </w:r>
      <w:r>
        <w:rPr>
          <w:rFonts w:ascii="Times New Roman" w:hAnsi="Times New Roman" w:cs="Times New Roman"/>
        </w:rPr>
        <w:t>nine</w:t>
      </w:r>
      <w:r w:rsidRPr="00AF0212">
        <w:rPr>
          <w:rFonts w:ascii="Times New Roman" w:hAnsi="Times New Roman" w:cs="Times New Roman"/>
        </w:rPr>
        <w:t xml:space="preserve"> full diagnostic modules including schizophrenia and substance use disorders, averaged about 83 minutes, and this included about 20 minutes of back-end Blaise material that was part of MDPS but will not be part of MICS. The abbreviated SCID-5 being used for MICS does not include the schizophrenia or substance use disorder modules, each of which take 10-20 minutes, on average, to complete. Although MICS includes more disorders, many are rare disorders and/or have much shorter administration times (fewer questions) than the modules shared with MDPS. In addition, the use of the SCID screener items will allow respondents to skip out of modules entirely if they do not endorse specific gate items. </w:t>
      </w:r>
      <w:r w:rsidR="00703946">
        <w:rPr>
          <w:rFonts w:ascii="Times New Roman" w:hAnsi="Times New Roman" w:cs="Times New Roman"/>
          <w:color w:val="auto"/>
        </w:rPr>
        <w:t>T</w:t>
      </w:r>
      <w:r w:rsidRPr="003703C4">
        <w:rPr>
          <w:rFonts w:ascii="Times New Roman" w:hAnsi="Times New Roman" w:cs="Times New Roman"/>
          <w:color w:val="auto"/>
        </w:rPr>
        <w:t>hese factors, combined with the use of the NetSCID</w:t>
      </w:r>
      <w:r w:rsidR="00424DB2">
        <w:rPr>
          <w:rFonts w:ascii="Times New Roman" w:hAnsi="Times New Roman" w:cs="Times New Roman"/>
          <w:color w:val="auto"/>
        </w:rPr>
        <w:t xml:space="preserve"> (</w:t>
      </w:r>
      <w:r w:rsidRPr="00391FB1" w:rsidR="00424DB2">
        <w:rPr>
          <w:rFonts w:ascii="Times New Roman" w:hAnsi="Times New Roman" w:cs="Times New Roman"/>
          <w:b/>
          <w:bCs/>
          <w:color w:val="auto"/>
        </w:rPr>
        <w:t xml:space="preserve">Attachment </w:t>
      </w:r>
      <w:r w:rsidRPr="00391FB1" w:rsidR="007E1A0C">
        <w:rPr>
          <w:rFonts w:ascii="Times New Roman" w:hAnsi="Times New Roman" w:cs="Times New Roman"/>
          <w:b/>
          <w:bCs/>
          <w:color w:val="auto"/>
        </w:rPr>
        <w:t>MICS-1</w:t>
      </w:r>
      <w:r w:rsidR="007E1A0C">
        <w:rPr>
          <w:rFonts w:ascii="Times New Roman" w:hAnsi="Times New Roman" w:cs="Times New Roman"/>
          <w:color w:val="auto"/>
        </w:rPr>
        <w:t>)</w:t>
      </w:r>
      <w:r w:rsidRPr="003703C4">
        <w:rPr>
          <w:rFonts w:ascii="Times New Roman" w:hAnsi="Times New Roman" w:cs="Times New Roman"/>
          <w:color w:val="auto"/>
        </w:rPr>
        <w:t xml:space="preserve"> and seasoned CIs who have gained efficiency working on MDPS, will keep the MICS instrument close to a 60-minute administration time. </w:t>
      </w:r>
    </w:p>
    <w:p w:rsidR="00AF0212" w:rsidRPr="00AF0212" w:rsidP="00703946" w14:paraId="2E3BB871" w14:textId="77777777">
      <w:pPr>
        <w:pStyle w:val="BodyText"/>
        <w:rPr>
          <w:rFonts w:ascii="Times New Roman" w:hAnsi="Times New Roman" w:cs="Times New Roman"/>
        </w:rPr>
      </w:pPr>
      <w:r w:rsidRPr="00AF0212">
        <w:rPr>
          <w:rFonts w:ascii="Times New Roman" w:hAnsi="Times New Roman" w:cs="Times New Roman"/>
        </w:rPr>
        <w:t>Follow-up clinical interviews must be completed within four weeks following the completion of the NSDUH main study interview. Except for Quarter 4 data collection, MICS interviews generated during the last month of the quarter will be completed up to four weeks into the next data collection quarter. For Quarter 4</w:t>
      </w:r>
      <w:r w:rsidR="00424DB2">
        <w:rPr>
          <w:rFonts w:ascii="Times New Roman" w:hAnsi="Times New Roman" w:cs="Times New Roman"/>
        </w:rPr>
        <w:t xml:space="preserve"> 2023</w:t>
      </w:r>
      <w:r w:rsidRPr="00AF0212">
        <w:rPr>
          <w:rFonts w:ascii="Times New Roman" w:hAnsi="Times New Roman" w:cs="Times New Roman"/>
        </w:rPr>
        <w:t>, the final date to complete a MICS interview will be December 3</w:t>
      </w:r>
      <w:r w:rsidR="00424DB2">
        <w:rPr>
          <w:rFonts w:ascii="Times New Roman" w:hAnsi="Times New Roman" w:cs="Times New Roman"/>
        </w:rPr>
        <w:t>1, 2023</w:t>
      </w:r>
      <w:r w:rsidRPr="00AF0212">
        <w:rPr>
          <w:rFonts w:ascii="Times New Roman" w:hAnsi="Times New Roman" w:cs="Times New Roman"/>
        </w:rPr>
        <w:t xml:space="preserve">. </w:t>
      </w:r>
      <w:r w:rsidRPr="00AF0212" w:rsidR="00424DB2">
        <w:rPr>
          <w:rFonts w:ascii="Times New Roman" w:hAnsi="Times New Roman" w:cs="Times New Roman"/>
        </w:rPr>
        <w:t>For Quarter 4</w:t>
      </w:r>
      <w:r w:rsidR="00424DB2">
        <w:rPr>
          <w:rFonts w:ascii="Times New Roman" w:hAnsi="Times New Roman" w:cs="Times New Roman"/>
        </w:rPr>
        <w:t xml:space="preserve"> 2024</w:t>
      </w:r>
      <w:r w:rsidRPr="00AF0212" w:rsidR="00424DB2">
        <w:rPr>
          <w:rFonts w:ascii="Times New Roman" w:hAnsi="Times New Roman" w:cs="Times New Roman"/>
        </w:rPr>
        <w:t>, the final date to complete a MICS interview will be December 3</w:t>
      </w:r>
      <w:r w:rsidR="00424DB2">
        <w:rPr>
          <w:rFonts w:ascii="Times New Roman" w:hAnsi="Times New Roman" w:cs="Times New Roman"/>
        </w:rPr>
        <w:t>1, 2024</w:t>
      </w:r>
      <w:r w:rsidRPr="00AF0212" w:rsidR="00424DB2">
        <w:rPr>
          <w:rFonts w:ascii="Times New Roman" w:hAnsi="Times New Roman" w:cs="Times New Roman"/>
        </w:rPr>
        <w:t xml:space="preserve">. </w:t>
      </w:r>
      <w:r w:rsidRPr="00AF0212">
        <w:rPr>
          <w:rFonts w:ascii="Times New Roman" w:hAnsi="Times New Roman" w:cs="Times New Roman"/>
        </w:rPr>
        <w:t>These data collection procedures mirror those used on prior NSDUH follow-up studies.</w:t>
      </w:r>
    </w:p>
    <w:p w:rsidR="00AF0212" w:rsidRPr="00AF0212" w:rsidP="00703946" w14:paraId="441FA0D1" w14:textId="77777777">
      <w:pPr>
        <w:pStyle w:val="BodyText"/>
        <w:rPr>
          <w:rFonts w:ascii="Times New Roman" w:hAnsi="Times New Roman" w:cs="Times New Roman"/>
        </w:rPr>
      </w:pPr>
      <w:r w:rsidRPr="00AF0212">
        <w:rPr>
          <w:rFonts w:ascii="Times New Roman" w:hAnsi="Times New Roman" w:cs="Times New Roman"/>
        </w:rPr>
        <w:t xml:space="preserve">The follow-up </w:t>
      </w:r>
      <w:r w:rsidR="00424DB2">
        <w:rPr>
          <w:rFonts w:ascii="Times New Roman" w:hAnsi="Times New Roman" w:cs="Times New Roman"/>
        </w:rPr>
        <w:t xml:space="preserve">clinical </w:t>
      </w:r>
      <w:r w:rsidRPr="00AF0212">
        <w:rPr>
          <w:rFonts w:ascii="Times New Roman" w:hAnsi="Times New Roman" w:cs="Times New Roman"/>
        </w:rPr>
        <w:t>interview will be conducted in English only. The interview will include four sections: front-end Blaise, SCID overview, pertinent SCID screener modules, and back-end Blaise. The total number of questions asked of each respondent will depend on their answers to each SCID screener module. At the end of the follow-up interview, after the respondent leaves the Zoom meeting room, CIs will answer debriefing questions about the interview quality and confidentiality on their own.</w:t>
      </w:r>
    </w:p>
    <w:p w:rsidR="00AF0212" w:rsidRPr="00FD23DF" w:rsidP="00703946" w14:paraId="0C693CA2" w14:textId="77777777">
      <w:pPr>
        <w:pStyle w:val="BodyText"/>
        <w:rPr>
          <w:rFonts w:ascii="Times New Roman" w:hAnsi="Times New Roman" w:cs="Times New Roman"/>
        </w:rPr>
      </w:pPr>
      <w:r w:rsidRPr="00AF0212">
        <w:rPr>
          <w:rFonts w:ascii="Times New Roman" w:hAnsi="Times New Roman" w:cs="Times New Roman"/>
        </w:rPr>
        <w:t xml:space="preserve">CIs will record respondents’ answers directly into the Blaise and NetSCID instruments. At the beginning of the interview, after the informed consent process, CIs will ask respondents if they consent to the interview being recorded. If not, the interview will not </w:t>
      </w:r>
      <w:r w:rsidRPr="00AF0212">
        <w:rPr>
          <w:rFonts w:ascii="Times New Roman" w:hAnsi="Times New Roman" w:cs="Times New Roman"/>
        </w:rPr>
        <w:t>be recorded. If yes, the interview will be recorded, and CIs will upload recordings to the project’s secure private site, from which interviews can be reviewed for quality purposes.</w:t>
      </w:r>
    </w:p>
    <w:p w:rsidR="00501DD2" w:rsidRPr="00FD23DF" w:rsidP="00501DD2" w14:paraId="3C47CA00" w14:textId="77777777">
      <w:pPr>
        <w:pStyle w:val="Heading1"/>
        <w:rPr>
          <w:rFonts w:ascii="Times New Roman" w:hAnsi="Times New Roman" w:cs="Times New Roman"/>
        </w:rPr>
      </w:pPr>
      <w:r w:rsidRPr="00ED7BF5">
        <w:rPr>
          <w:rFonts w:ascii="Times New Roman" w:hAnsi="Times New Roman" w:cs="Times New Roman"/>
        </w:rPr>
        <w:t>3.</w:t>
      </w:r>
      <w:r w:rsidRPr="00ED7BF5">
        <w:rPr>
          <w:rFonts w:ascii="Times New Roman" w:hAnsi="Times New Roman" w:cs="Times New Roman"/>
        </w:rPr>
        <w:tab/>
      </w:r>
      <w:r w:rsidRPr="00ED7BF5">
        <w:rPr>
          <w:rFonts w:ascii="Times New Roman" w:hAnsi="Times New Roman" w:cs="Times New Roman"/>
          <w:u w:val="single"/>
        </w:rPr>
        <w:t>Methods to Maximize Response Rates</w:t>
      </w:r>
      <w:r w:rsidRPr="00FD23DF">
        <w:rPr>
          <w:rFonts w:ascii="Times New Roman" w:hAnsi="Times New Roman" w:cs="Times New Roman"/>
        </w:rPr>
        <w:t xml:space="preserve"> </w:t>
      </w:r>
    </w:p>
    <w:p w:rsidR="00CF3DDB" w:rsidRPr="00181071" w:rsidP="00703946" w14:paraId="291D2FDA" w14:textId="15EB8A3E">
      <w:pPr>
        <w:pStyle w:val="BodyText"/>
        <w:rPr>
          <w:rFonts w:ascii="Times New Roman" w:hAnsi="Times New Roman" w:cs="Times New Roman"/>
        </w:rPr>
      </w:pPr>
      <w:r>
        <w:rPr>
          <w:rFonts w:ascii="Times New Roman" w:hAnsi="Times New Roman" w:cs="Times New Roman"/>
          <w:i/>
          <w:u w:val="single"/>
        </w:rPr>
        <w:t>NSDUH</w:t>
      </w:r>
      <w:r w:rsidRPr="00181071" w:rsidR="00AA0F61">
        <w:rPr>
          <w:rFonts w:ascii="Times New Roman" w:hAnsi="Times New Roman" w:cs="Times New Roman"/>
          <w:i/>
          <w:u w:val="single"/>
        </w:rPr>
        <w:t xml:space="preserve"> Main Study</w:t>
      </w:r>
      <w:r w:rsidRPr="00181071" w:rsidR="00181071">
        <w:rPr>
          <w:rFonts w:ascii="Times New Roman" w:hAnsi="Times New Roman" w:cs="Times New Roman"/>
          <w:i/>
          <w:u w:val="single"/>
        </w:rPr>
        <w:t>:</w:t>
      </w:r>
      <w:r w:rsidRPr="00181071" w:rsidR="00AA0F61">
        <w:rPr>
          <w:rFonts w:ascii="Times New Roman" w:hAnsi="Times New Roman" w:cs="Times New Roman"/>
          <w:i/>
          <w:u w:val="single"/>
        </w:rPr>
        <w:t xml:space="preserve"> </w:t>
      </w:r>
    </w:p>
    <w:p w:rsidR="00501DD2" w:rsidRPr="00FD23DF" w:rsidP="00703946" w14:paraId="5FC18D78" w14:textId="77777777">
      <w:pPr>
        <w:pStyle w:val="BodyText"/>
        <w:rPr>
          <w:rFonts w:ascii="Times New Roman" w:hAnsi="Times New Roman" w:cs="Times New Roman"/>
        </w:rPr>
      </w:pPr>
      <w:r w:rsidRPr="00FD23DF">
        <w:rPr>
          <w:rFonts w:ascii="Times New Roman" w:hAnsi="Times New Roman" w:cs="Times New Roman"/>
        </w:rPr>
        <w:t xml:space="preserve">In </w:t>
      </w:r>
      <w:r w:rsidRPr="00FD23DF" w:rsidR="006574D2">
        <w:rPr>
          <w:rFonts w:ascii="Times New Roman" w:hAnsi="Times New Roman" w:cs="Times New Roman"/>
        </w:rPr>
        <w:t>20</w:t>
      </w:r>
      <w:r w:rsidR="00D24473">
        <w:rPr>
          <w:rFonts w:ascii="Times New Roman" w:hAnsi="Times New Roman" w:cs="Times New Roman"/>
        </w:rPr>
        <w:t>22</w:t>
      </w:r>
      <w:r w:rsidRPr="00FD23DF">
        <w:rPr>
          <w:rFonts w:ascii="Times New Roman" w:hAnsi="Times New Roman" w:cs="Times New Roman"/>
        </w:rPr>
        <w:t xml:space="preserve">, the weighted response rates were </w:t>
      </w:r>
      <w:r w:rsidR="00D24473">
        <w:rPr>
          <w:rFonts w:ascii="Times New Roman" w:hAnsi="Times New Roman" w:cs="Times New Roman"/>
        </w:rPr>
        <w:t>25</w:t>
      </w:r>
      <w:r w:rsidRPr="00FD23DF" w:rsidR="006574D2">
        <w:rPr>
          <w:rFonts w:ascii="Times New Roman" w:hAnsi="Times New Roman" w:cs="Times New Roman"/>
        </w:rPr>
        <w:t xml:space="preserve"> </w:t>
      </w:r>
      <w:r w:rsidRPr="00FD23DF">
        <w:rPr>
          <w:rFonts w:ascii="Times New Roman" w:hAnsi="Times New Roman" w:cs="Times New Roman"/>
        </w:rPr>
        <w:t xml:space="preserve">percent for screening and </w:t>
      </w:r>
      <w:r w:rsidR="00D24473">
        <w:rPr>
          <w:rFonts w:ascii="Times New Roman" w:hAnsi="Times New Roman" w:cs="Times New Roman"/>
        </w:rPr>
        <w:t>47</w:t>
      </w:r>
      <w:r w:rsidRPr="00FD23DF" w:rsidR="006574D2">
        <w:rPr>
          <w:rFonts w:ascii="Times New Roman" w:hAnsi="Times New Roman" w:cs="Times New Roman"/>
        </w:rPr>
        <w:t xml:space="preserve"> </w:t>
      </w:r>
      <w:r w:rsidRPr="00FD23DF">
        <w:rPr>
          <w:rFonts w:ascii="Times New Roman" w:hAnsi="Times New Roman" w:cs="Times New Roman"/>
        </w:rPr>
        <w:t xml:space="preserve">percent for interviews, with an overall response rate (screening * interview) of </w:t>
      </w:r>
      <w:r w:rsidR="00D24473">
        <w:rPr>
          <w:rFonts w:ascii="Times New Roman" w:hAnsi="Times New Roman" w:cs="Times New Roman"/>
        </w:rPr>
        <w:t>12</w:t>
      </w:r>
      <w:r w:rsidRPr="00FD23DF" w:rsidR="006574D2">
        <w:rPr>
          <w:rFonts w:ascii="Times New Roman" w:hAnsi="Times New Roman" w:cs="Times New Roman"/>
        </w:rPr>
        <w:t xml:space="preserve"> </w:t>
      </w:r>
      <w:r w:rsidRPr="00FD23DF">
        <w:rPr>
          <w:rFonts w:ascii="Times New Roman" w:hAnsi="Times New Roman" w:cs="Times New Roman"/>
        </w:rPr>
        <w:t xml:space="preserve">percent. </w:t>
      </w:r>
      <w:r w:rsidRPr="00CE6E99" w:rsidR="00CE6E99">
        <w:rPr>
          <w:rFonts w:ascii="Times New Roman" w:hAnsi="Times New Roman" w:cs="Times New Roman"/>
        </w:rPr>
        <w:t>Despite being able to collect data in most areas, field response rates continued to be lower than they were before the COVID-19 pandemic. Further, because web</w:t>
      </w:r>
      <w:r w:rsidR="00CE6E99">
        <w:rPr>
          <w:rFonts w:ascii="Times New Roman" w:hAnsi="Times New Roman" w:cs="Times New Roman"/>
        </w:rPr>
        <w:t>-based</w:t>
      </w:r>
      <w:r w:rsidRPr="00CE6E99" w:rsidR="00CE6E99">
        <w:rPr>
          <w:rFonts w:ascii="Times New Roman" w:hAnsi="Times New Roman" w:cs="Times New Roman"/>
        </w:rPr>
        <w:t xml:space="preserve"> data collection was expected to result in a much lower overall response rate than in</w:t>
      </w:r>
      <w:r w:rsidR="00317C6F">
        <w:rPr>
          <w:rFonts w:ascii="Times New Roman" w:hAnsi="Times New Roman" w:cs="Times New Roman"/>
        </w:rPr>
        <w:t>-</w:t>
      </w:r>
      <w:r w:rsidRPr="00CE6E99" w:rsidR="00CE6E99">
        <w:rPr>
          <w:rFonts w:ascii="Times New Roman" w:hAnsi="Times New Roman" w:cs="Times New Roman"/>
        </w:rPr>
        <w:t xml:space="preserve">person data collection, a very large sample of DUs was selected </w:t>
      </w:r>
      <w:r w:rsidR="00317C6F">
        <w:rPr>
          <w:rFonts w:ascii="Times New Roman" w:hAnsi="Times New Roman" w:cs="Times New Roman"/>
        </w:rPr>
        <w:t>in 2022</w:t>
      </w:r>
      <w:r w:rsidRPr="00CE6E99" w:rsidR="00CE6E99">
        <w:rPr>
          <w:rFonts w:ascii="Times New Roman" w:hAnsi="Times New Roman" w:cs="Times New Roman"/>
        </w:rPr>
        <w:t>.</w:t>
      </w:r>
    </w:p>
    <w:p w:rsidR="00B56144" w:rsidP="004F072E" w14:paraId="1F5D152E" w14:textId="486C9C34">
      <w:pPr>
        <w:widowControl/>
        <w:autoSpaceDE/>
        <w:autoSpaceDN/>
        <w:adjustRightInd/>
        <w:spacing w:after="120"/>
        <w:ind w:left="720"/>
        <w:rPr>
          <w:rFonts w:ascii="Times New Roman" w:hAnsi="Times New Roman"/>
        </w:rPr>
      </w:pPr>
      <w:r w:rsidRPr="00FD23DF">
        <w:rPr>
          <w:rFonts w:ascii="Times New Roman" w:hAnsi="Times New Roman"/>
        </w:rPr>
        <w:t xml:space="preserve">SAMHSA and Contractor staff </w:t>
      </w:r>
      <w:r w:rsidRPr="00FD23DF" w:rsidR="00730A2B">
        <w:rPr>
          <w:rFonts w:ascii="Times New Roman" w:hAnsi="Times New Roman"/>
        </w:rPr>
        <w:t xml:space="preserve">work </w:t>
      </w:r>
      <w:r w:rsidRPr="00FD23DF">
        <w:rPr>
          <w:rFonts w:ascii="Times New Roman" w:hAnsi="Times New Roman"/>
        </w:rPr>
        <w:t xml:space="preserve">continuously with FIs to ensure all necessary steps are taken </w:t>
      </w:r>
      <w:r w:rsidRPr="00FD23DF" w:rsidR="00034767">
        <w:rPr>
          <w:rFonts w:ascii="Times New Roman" w:hAnsi="Times New Roman"/>
        </w:rPr>
        <w:t>so that</w:t>
      </w:r>
      <w:r w:rsidRPr="00FD23DF">
        <w:rPr>
          <w:rFonts w:ascii="Times New Roman" w:hAnsi="Times New Roman"/>
        </w:rPr>
        <w:t xml:space="preserve"> the best response rates possible are achieved. Despite those efforts, as shown in Table 2 (“Screening, Interview, and Overall </w:t>
      </w:r>
      <w:r w:rsidR="00BD6C2B">
        <w:rPr>
          <w:rFonts w:ascii="Times New Roman" w:hAnsi="Times New Roman"/>
        </w:rPr>
        <w:t>NSDUH</w:t>
      </w:r>
      <w:r w:rsidRPr="00FD23DF" w:rsidR="00722098">
        <w:rPr>
          <w:rFonts w:ascii="Times New Roman" w:hAnsi="Times New Roman"/>
        </w:rPr>
        <w:t xml:space="preserve"> </w:t>
      </w:r>
      <w:r w:rsidRPr="00FD23DF">
        <w:rPr>
          <w:rFonts w:ascii="Times New Roman" w:hAnsi="Times New Roman"/>
        </w:rPr>
        <w:t xml:space="preserve">Weighted Response Rates, by Year” in Section A.9), response rates continue to decline. This decline of the screening, interview and overall response rates over the past 10 years can be attributed to </w:t>
      </w:r>
      <w:r w:rsidR="00000A41">
        <w:rPr>
          <w:rFonts w:ascii="Times New Roman" w:hAnsi="Times New Roman"/>
        </w:rPr>
        <w:t>four</w:t>
      </w:r>
      <w:r w:rsidRPr="00FD23DF" w:rsidR="00000A41">
        <w:rPr>
          <w:rFonts w:ascii="Times New Roman" w:hAnsi="Times New Roman"/>
        </w:rPr>
        <w:t xml:space="preserve"> </w:t>
      </w:r>
      <w:r w:rsidRPr="00FD23DF">
        <w:rPr>
          <w:rFonts w:ascii="Times New Roman" w:hAnsi="Times New Roman"/>
        </w:rPr>
        <w:t xml:space="preserve">main factors: </w:t>
      </w:r>
    </w:p>
    <w:p w:rsidR="00181071" w:rsidRPr="00FD23DF" w:rsidP="00B56144" w14:paraId="51023E5B" w14:textId="77777777">
      <w:pPr>
        <w:widowControl/>
        <w:autoSpaceDE/>
        <w:autoSpaceDN/>
        <w:adjustRightInd/>
        <w:ind w:left="720"/>
        <w:rPr>
          <w:rFonts w:ascii="Times New Roman" w:hAnsi="Times New Roman"/>
        </w:rPr>
      </w:pPr>
    </w:p>
    <w:p w:rsidR="00B56144" w:rsidRPr="00FD23DF" w:rsidP="00B56144" w14:paraId="5E1F0F2F" w14:textId="77777777">
      <w:pPr>
        <w:pStyle w:val="ListParagraph"/>
        <w:widowControl/>
        <w:numPr>
          <w:ilvl w:val="0"/>
          <w:numId w:val="6"/>
        </w:numPr>
        <w:autoSpaceDE/>
        <w:autoSpaceDN/>
        <w:adjustRightInd/>
        <w:ind w:left="1890"/>
        <w:rPr>
          <w:rFonts w:ascii="Times New Roman" w:hAnsi="Times New Roman"/>
        </w:rPr>
      </w:pPr>
      <w:r w:rsidRPr="00FD23DF">
        <w:rPr>
          <w:rFonts w:ascii="Times New Roman" w:hAnsi="Times New Roman"/>
        </w:rPr>
        <w:t>Increase in respondent refusals;</w:t>
      </w:r>
    </w:p>
    <w:p w:rsidR="00500C8F" w:rsidP="00374EAB" w14:paraId="68966E04" w14:textId="77777777">
      <w:pPr>
        <w:widowControl/>
        <w:autoSpaceDE/>
        <w:autoSpaceDN/>
        <w:adjustRightInd/>
        <w:ind w:left="1890"/>
        <w:contextualSpacing/>
        <w:rPr>
          <w:rFonts w:ascii="Times New Roman" w:hAnsi="Times New Roman"/>
        </w:rPr>
      </w:pPr>
    </w:p>
    <w:p w:rsidR="00B56144" w:rsidRPr="00FD23DF" w:rsidP="00B56144" w14:paraId="6E077787" w14:textId="77777777">
      <w:pPr>
        <w:widowControl/>
        <w:numPr>
          <w:ilvl w:val="0"/>
          <w:numId w:val="6"/>
        </w:numPr>
        <w:autoSpaceDE/>
        <w:autoSpaceDN/>
        <w:adjustRightInd/>
        <w:ind w:left="1890"/>
        <w:contextualSpacing/>
        <w:rPr>
          <w:rFonts w:ascii="Times New Roman" w:hAnsi="Times New Roman"/>
        </w:rPr>
      </w:pPr>
      <w:r w:rsidRPr="00FD23DF">
        <w:rPr>
          <w:rFonts w:ascii="Times New Roman" w:hAnsi="Times New Roman"/>
        </w:rPr>
        <w:t xml:space="preserve">Decrease in refusal conversion;  </w:t>
      </w:r>
    </w:p>
    <w:p w:rsidR="00500C8F" w:rsidP="00374EAB" w14:paraId="2F815B59" w14:textId="77777777">
      <w:pPr>
        <w:widowControl/>
        <w:autoSpaceDE/>
        <w:autoSpaceDN/>
        <w:adjustRightInd/>
        <w:ind w:left="1890"/>
        <w:contextualSpacing/>
        <w:rPr>
          <w:rFonts w:ascii="Times New Roman" w:hAnsi="Times New Roman"/>
        </w:rPr>
      </w:pPr>
    </w:p>
    <w:p w:rsidR="00B56144" w:rsidP="00B56144" w14:paraId="109A2EFD" w14:textId="77777777">
      <w:pPr>
        <w:widowControl/>
        <w:numPr>
          <w:ilvl w:val="0"/>
          <w:numId w:val="6"/>
        </w:numPr>
        <w:autoSpaceDE/>
        <w:autoSpaceDN/>
        <w:adjustRightInd/>
        <w:ind w:left="1890"/>
        <w:contextualSpacing/>
        <w:rPr>
          <w:rFonts w:ascii="Times New Roman" w:hAnsi="Times New Roman"/>
        </w:rPr>
      </w:pPr>
      <w:r w:rsidRPr="00FD23DF">
        <w:rPr>
          <w:rFonts w:ascii="Times New Roman" w:hAnsi="Times New Roman"/>
        </w:rPr>
        <w:t>Increase in controlled access barriers (i.e., gated communities, secured buildings, etc.)</w:t>
      </w:r>
      <w:r w:rsidR="00000A41">
        <w:rPr>
          <w:rFonts w:ascii="Times New Roman" w:hAnsi="Times New Roman"/>
        </w:rPr>
        <w:t>; and</w:t>
      </w:r>
    </w:p>
    <w:p w:rsidR="00703946" w:rsidP="00703946" w14:paraId="06096898" w14:textId="77777777">
      <w:pPr>
        <w:widowControl/>
        <w:autoSpaceDE/>
        <w:autoSpaceDN/>
        <w:adjustRightInd/>
        <w:ind w:left="1890"/>
        <w:contextualSpacing/>
        <w:rPr>
          <w:rFonts w:ascii="Times New Roman" w:hAnsi="Times New Roman"/>
        </w:rPr>
      </w:pPr>
    </w:p>
    <w:p w:rsidR="00000A41" w:rsidRPr="00FD23DF" w:rsidP="00B56144" w14:paraId="31FE4A0A" w14:textId="77777777">
      <w:pPr>
        <w:widowControl/>
        <w:numPr>
          <w:ilvl w:val="0"/>
          <w:numId w:val="6"/>
        </w:numPr>
        <w:autoSpaceDE/>
        <w:autoSpaceDN/>
        <w:adjustRightInd/>
        <w:ind w:left="1890"/>
        <w:contextualSpacing/>
        <w:rPr>
          <w:rFonts w:ascii="Times New Roman" w:hAnsi="Times New Roman"/>
        </w:rPr>
      </w:pPr>
      <w:r>
        <w:rPr>
          <w:rFonts w:ascii="Times New Roman" w:hAnsi="Times New Roman"/>
        </w:rPr>
        <w:t>Addition of the web mode option for respondents.</w:t>
      </w:r>
    </w:p>
    <w:p w:rsidR="00B56144" w:rsidRPr="00FD23DF" w:rsidP="00B56144" w14:paraId="036B2BAA" w14:textId="77777777">
      <w:pPr>
        <w:widowControl/>
        <w:autoSpaceDE/>
        <w:autoSpaceDN/>
        <w:adjustRightInd/>
        <w:ind w:left="720"/>
        <w:contextualSpacing/>
        <w:rPr>
          <w:rFonts w:ascii="Times New Roman" w:hAnsi="Times New Roman"/>
        </w:rPr>
      </w:pPr>
    </w:p>
    <w:p w:rsidR="00B56144" w:rsidRPr="00FD23DF" w:rsidP="004F072E" w14:paraId="4176DDEB" w14:textId="77777777">
      <w:pPr>
        <w:widowControl/>
        <w:autoSpaceDE/>
        <w:autoSpaceDN/>
        <w:adjustRightInd/>
        <w:spacing w:after="120"/>
        <w:ind w:left="720"/>
        <w:rPr>
          <w:rFonts w:ascii="Times New Roman" w:hAnsi="Times New Roman"/>
        </w:rPr>
      </w:pPr>
      <w:r w:rsidRPr="00FD23DF">
        <w:rPr>
          <w:rFonts w:ascii="Times New Roman" w:hAnsi="Times New Roman"/>
        </w:rPr>
        <w:t xml:space="preserve">Refusals at the screening and interviewing level have historically been a problem for due to: 1) respondents feeling they are too busy to participate; 2) respondents feeling inundated with market research and other survey requests; 3) growing concerns about providing personal information due to raised awareness of identity theft and leaks of government and corporate data; and 4) concerns about privacy and increased anti-government sentiment.  </w:t>
      </w:r>
    </w:p>
    <w:p w:rsidR="00501DD2" w:rsidRPr="00FD23DF" w:rsidP="00703946" w14:paraId="082C4CF4" w14:textId="77777777">
      <w:pPr>
        <w:pStyle w:val="BodyText"/>
        <w:rPr>
          <w:rFonts w:ascii="Times New Roman" w:hAnsi="Times New Roman" w:cs="Times New Roman"/>
        </w:rPr>
      </w:pPr>
      <w:r w:rsidRPr="00FD23DF">
        <w:rPr>
          <w:rFonts w:ascii="Times New Roman" w:hAnsi="Times New Roman" w:cs="Times New Roman"/>
        </w:rPr>
        <w:t xml:space="preserve">The $30.00 cash incentive for interview completion was implemented beginning </w:t>
      </w:r>
      <w:r w:rsidR="009E2358">
        <w:rPr>
          <w:rFonts w:ascii="Times New Roman" w:hAnsi="Times New Roman" w:cs="Times New Roman"/>
        </w:rPr>
        <w:t>in</w:t>
      </w:r>
      <w:r w:rsidRPr="00FD23DF">
        <w:rPr>
          <w:rFonts w:ascii="Times New Roman" w:hAnsi="Times New Roman" w:cs="Times New Roman"/>
        </w:rPr>
        <w:t xml:space="preserve"> 2002 (Wright et al., 2005). The decision to offer an incentive was based largely on an experiment conducted in 2001, which showed that providing incentives </w:t>
      </w:r>
      <w:r w:rsidR="006574D2">
        <w:rPr>
          <w:rFonts w:ascii="Times New Roman" w:hAnsi="Times New Roman" w:cs="Times New Roman"/>
        </w:rPr>
        <w:t xml:space="preserve">of this amount </w:t>
      </w:r>
      <w:r w:rsidRPr="00FD23DF">
        <w:rPr>
          <w:rFonts w:ascii="Times New Roman" w:hAnsi="Times New Roman" w:cs="Times New Roman"/>
        </w:rPr>
        <w:t>appeared to increase response rates. Wright and his coauthors explored the effect that the incentive had on nonresponse bias. The sample data were weighted by likelihood of response between the incentive and non</w:t>
      </w:r>
      <w:r w:rsidR="00742289">
        <w:rPr>
          <w:rFonts w:ascii="Times New Roman" w:hAnsi="Times New Roman" w:cs="Times New Roman"/>
        </w:rPr>
        <w:t>-</w:t>
      </w:r>
      <w:r w:rsidRPr="00FD23DF">
        <w:rPr>
          <w:rFonts w:ascii="Times New Roman" w:hAnsi="Times New Roman" w:cs="Times New Roman"/>
        </w:rPr>
        <w:t xml:space="preserve">incentive cases. Next, a logistic regression model was fit using substance use variables and controlling for other demographic variables associated with either response propensity or drug use. The results indicate that for past year marijuana use, the incentive either encourages users to respond who otherwise would not respond or encourages respondents who would have participated without the incentive to report more honestly about drug use. Therefore, it is difficult to determine whether the incentive money is reducing nonresponse bias, response bias, or both. </w:t>
      </w:r>
      <w:r w:rsidRPr="00FD23DF">
        <w:rPr>
          <w:rFonts w:ascii="Times New Roman" w:hAnsi="Times New Roman" w:cs="Times New Roman"/>
        </w:rPr>
        <w:t>However, reports of past year and lifetime cocaine did not increase in the incentive category, and report of past month use of cocaine actually was lower in the incentive group than in the control group.</w:t>
      </w:r>
    </w:p>
    <w:p w:rsidR="00501DD2" w:rsidRPr="00FD23DF" w:rsidP="00703946" w14:paraId="2690D22E" w14:textId="332D15F4">
      <w:pPr>
        <w:pStyle w:val="BodyText"/>
        <w:rPr>
          <w:rFonts w:ascii="Times New Roman" w:hAnsi="Times New Roman" w:cs="Times New Roman"/>
        </w:rPr>
      </w:pPr>
      <w:r w:rsidRPr="00FD23DF">
        <w:rPr>
          <w:rFonts w:ascii="Times New Roman" w:hAnsi="Times New Roman" w:cs="Times New Roman"/>
          <w:color w:val="000000"/>
        </w:rPr>
        <w:t xml:space="preserve">In addition to the $30.00 cash incentive and contact materials, to achieve the expected response rates, </w:t>
      </w:r>
      <w:r w:rsidR="00BD6C2B">
        <w:rPr>
          <w:rFonts w:ascii="Times New Roman" w:hAnsi="Times New Roman" w:cs="Times New Roman"/>
          <w:color w:val="000000"/>
        </w:rPr>
        <w:t>NSDUH</w:t>
      </w:r>
      <w:r w:rsidRPr="00FD23DF">
        <w:rPr>
          <w:rFonts w:ascii="Times New Roman" w:hAnsi="Times New Roman" w:cs="Times New Roman"/>
          <w:color w:val="000000"/>
        </w:rPr>
        <w:t xml:space="preserve"> will continue utilizing </w:t>
      </w:r>
      <w:r w:rsidRPr="00DB2F21">
        <w:rPr>
          <w:rFonts w:ascii="Times New Roman" w:hAnsi="Times New Roman" w:cs="Times New Roman"/>
          <w:color w:val="000000"/>
        </w:rPr>
        <w:t>study</w:t>
      </w:r>
      <w:r w:rsidRPr="00DB2F21">
        <w:rPr>
          <w:rFonts w:ascii="Times New Roman" w:hAnsi="Times New Roman" w:cs="Times New Roman"/>
        </w:rPr>
        <w:t xml:space="preserve"> procedures</w:t>
      </w:r>
      <w:r w:rsidRPr="00FD23DF">
        <w:rPr>
          <w:rFonts w:ascii="Times New Roman" w:hAnsi="Times New Roman" w:cs="Times New Roman"/>
        </w:rPr>
        <w:t xml:space="preserve"> designed to maximize respondent participation. This begins with assignment of the cases prior to the start of </w:t>
      </w:r>
      <w:r w:rsidR="00744733">
        <w:rPr>
          <w:rFonts w:ascii="Times New Roman" w:hAnsi="Times New Roman" w:cs="Times New Roman"/>
        </w:rPr>
        <w:t xml:space="preserve">field </w:t>
      </w:r>
      <w:r w:rsidRPr="00FD23DF">
        <w:rPr>
          <w:rFonts w:ascii="Times New Roman" w:hAnsi="Times New Roman" w:cs="Times New Roman"/>
        </w:rPr>
        <w:t xml:space="preserve">data collection, accompanied by weekly response rate goals that are conveyed to the FIs by the FS. When making assignments, FSs take into account which FIs are in closest proximity to the work, FI skill sets, and basic information </w:t>
      </w:r>
      <w:r w:rsidRPr="00FD23DF" w:rsidR="00594DC1">
        <w:rPr>
          <w:rFonts w:ascii="Times New Roman" w:hAnsi="Times New Roman" w:cs="Times New Roman"/>
        </w:rPr>
        <w:t xml:space="preserve">about the segment </w:t>
      </w:r>
      <w:r w:rsidRPr="00FD23DF">
        <w:rPr>
          <w:rFonts w:ascii="Times New Roman" w:hAnsi="Times New Roman" w:cs="Times New Roman"/>
        </w:rPr>
        <w:t xml:space="preserve">(demographics, size, etc.). FSs assign cases to the FIs in order to ensure maximum production levels at the start of the data collection period. To successfully complete work in remote segments or where no local FI is available, a traveling FI (i.e., a veteran </w:t>
      </w:r>
      <w:r w:rsidR="00BD6C2B">
        <w:rPr>
          <w:rFonts w:ascii="Times New Roman" w:hAnsi="Times New Roman" w:cs="Times New Roman"/>
        </w:rPr>
        <w:t>NSDUH</w:t>
      </w:r>
      <w:r w:rsidRPr="00FD23DF" w:rsidR="00722098">
        <w:rPr>
          <w:rFonts w:ascii="Times New Roman" w:hAnsi="Times New Roman" w:cs="Times New Roman"/>
        </w:rPr>
        <w:t xml:space="preserve"> </w:t>
      </w:r>
      <w:r w:rsidRPr="00FD23DF">
        <w:rPr>
          <w:rFonts w:ascii="Times New Roman" w:hAnsi="Times New Roman" w:cs="Times New Roman"/>
        </w:rPr>
        <w:t xml:space="preserve">FI with demonstrated performance and commitment to the study) or a “borrowed” FI from another FS region can be utilized to prevent delays in data collection. </w:t>
      </w:r>
    </w:p>
    <w:p w:rsidR="00501DD2" w:rsidRPr="00FD23DF" w:rsidP="00703946" w14:paraId="1CDC08A1" w14:textId="77777777">
      <w:pPr>
        <w:pStyle w:val="BodyText"/>
        <w:rPr>
          <w:rFonts w:ascii="Times New Roman" w:hAnsi="Times New Roman" w:cs="Times New Roman"/>
        </w:rPr>
      </w:pPr>
      <w:r w:rsidRPr="00FD23DF">
        <w:rPr>
          <w:rFonts w:ascii="Times New Roman" w:hAnsi="Times New Roman" w:cs="Times New Roman"/>
        </w:rPr>
        <w:t>Once FIs transmit their work, data are processed and summarized in daily reports posted to a web-based CMS accessed by FSs</w:t>
      </w:r>
      <w:r w:rsidRPr="00FD23DF" w:rsidR="0079137A">
        <w:rPr>
          <w:rFonts w:ascii="Times New Roman" w:hAnsi="Times New Roman" w:cs="Times New Roman"/>
        </w:rPr>
        <w:t>, which requires two-factor authentication for log-in as part of a FIPS-Moderate environment</w:t>
      </w:r>
      <w:r w:rsidRPr="00FD23DF">
        <w:rPr>
          <w:rFonts w:ascii="Times New Roman" w:hAnsi="Times New Roman" w:cs="Times New Roman"/>
        </w:rPr>
        <w:t xml:space="preserve">. On a daily basis, FSs use reports on the CMS to review response rates, production levels, and record of call information to determine an FI’s progress toward weekly goals, to determine when FIs should attempt contact with a case, and to develop plans to handle challenging cases such as refusal cases and cases where an FI is unable to access the dwelling unit. FSs discuss this information with FIs on a weekly basis. Whenever possible, cases are transferred to available FIs with different skill sets to assist with refusal conversion attempts or to improve production in areas where the original FI has fallen behind weekly response rate goals. </w:t>
      </w:r>
    </w:p>
    <w:p w:rsidR="00501DD2" w:rsidRPr="00FD23DF" w:rsidP="00703946" w14:paraId="4043BAC4" w14:textId="77777777">
      <w:pPr>
        <w:pStyle w:val="BodyText"/>
        <w:rPr>
          <w:rFonts w:ascii="Times New Roman" w:hAnsi="Times New Roman" w:cs="Times New Roman"/>
        </w:rPr>
      </w:pPr>
      <w:r w:rsidRPr="009633AC">
        <w:rPr>
          <w:rFonts w:ascii="Times New Roman" w:hAnsi="Times New Roman" w:cs="Times New Roman"/>
        </w:rPr>
        <w:t>Additionally</w:t>
      </w:r>
      <w:r w:rsidRPr="00FD23DF">
        <w:rPr>
          <w:rFonts w:ascii="Times New Roman" w:hAnsi="Times New Roman" w:cs="Times New Roman"/>
        </w:rPr>
        <w:t xml:space="preserve">, FSs hold group calls with FI teams to continuously improve </w:t>
      </w:r>
      <w:r w:rsidRPr="00FD23DF" w:rsidR="00ED0DA9">
        <w:rPr>
          <w:rFonts w:ascii="Times New Roman" w:hAnsi="Times New Roman" w:cs="Times New Roman"/>
        </w:rPr>
        <w:t xml:space="preserve">FIs’ </w:t>
      </w:r>
      <w:r w:rsidRPr="00FD23DF">
        <w:rPr>
          <w:rFonts w:ascii="Times New Roman" w:hAnsi="Times New Roman" w:cs="Times New Roman"/>
        </w:rPr>
        <w:t xml:space="preserve">refusal conversion skills. FIs report the types of refusals they are currently </w:t>
      </w:r>
      <w:r w:rsidRPr="00FD23DF" w:rsidR="00C45982">
        <w:rPr>
          <w:rFonts w:ascii="Times New Roman" w:hAnsi="Times New Roman" w:cs="Times New Roman"/>
        </w:rPr>
        <w:t>experiencing,</w:t>
      </w:r>
      <w:r w:rsidRPr="00FD23DF">
        <w:rPr>
          <w:rFonts w:ascii="Times New Roman" w:hAnsi="Times New Roman" w:cs="Times New Roman"/>
        </w:rPr>
        <w:t xml:space="preserve"> and the FS leads the group discussion on how to best respond to the objections and successfully address these challenges. FSs regularly, on group and individual FI calls, work to increase the FI’s ability to articulate pertinent study information in response to common respondent questions. </w:t>
      </w:r>
    </w:p>
    <w:p w:rsidR="00501DD2" w:rsidRPr="00FD23DF" w:rsidP="00703946" w14:paraId="0160C67A" w14:textId="70B8A1C1">
      <w:pPr>
        <w:pStyle w:val="BodyText"/>
        <w:rPr>
          <w:rFonts w:ascii="Times New Roman" w:hAnsi="Times New Roman" w:cs="Times New Roman"/>
        </w:rPr>
      </w:pPr>
      <w:r w:rsidRPr="00FD23DF">
        <w:rPr>
          <w:rFonts w:ascii="Times New Roman" w:hAnsi="Times New Roman" w:cs="Times New Roman"/>
        </w:rPr>
        <w:t xml:space="preserve">Periodically throughout the year, response rate patterns are analyzed by </w:t>
      </w:r>
      <w:r w:rsidRPr="00FD23DF" w:rsidR="0036671F">
        <w:rPr>
          <w:rFonts w:ascii="Times New Roman" w:hAnsi="Times New Roman" w:cs="Times New Roman"/>
        </w:rPr>
        <w:t>state</w:t>
      </w:r>
      <w:r w:rsidRPr="00FD23DF">
        <w:rPr>
          <w:rFonts w:ascii="Times New Roman" w:hAnsi="Times New Roman" w:cs="Times New Roman"/>
        </w:rPr>
        <w:t xml:space="preserve">. States with significant changes are closely scrutinized to uncover possible reasons for the changes. Action plans are put in place for </w:t>
      </w:r>
      <w:r w:rsidRPr="00FD23DF" w:rsidR="0036671F">
        <w:rPr>
          <w:rFonts w:ascii="Times New Roman" w:hAnsi="Times New Roman" w:cs="Times New Roman"/>
        </w:rPr>
        <w:t xml:space="preserve">states </w:t>
      </w:r>
      <w:r w:rsidRPr="00FD23DF">
        <w:rPr>
          <w:rFonts w:ascii="Times New Roman" w:hAnsi="Times New Roman" w:cs="Times New Roman"/>
        </w:rPr>
        <w:t xml:space="preserve">with significant declines. Response and nonresponse patterns are also tracked by various demographics on an annual basis in the </w:t>
      </w:r>
      <w:r w:rsidR="00BD6C2B">
        <w:rPr>
          <w:rFonts w:ascii="Times New Roman" w:hAnsi="Times New Roman" w:cs="Times New Roman"/>
        </w:rPr>
        <w:t>NSDUH</w:t>
      </w:r>
      <w:r w:rsidRPr="00FD23DF" w:rsidR="00722098">
        <w:rPr>
          <w:rFonts w:ascii="Times New Roman" w:hAnsi="Times New Roman" w:cs="Times New Roman"/>
        </w:rPr>
        <w:t xml:space="preserve"> </w:t>
      </w:r>
      <w:r w:rsidRPr="00FD23DF">
        <w:rPr>
          <w:rFonts w:ascii="Times New Roman" w:hAnsi="Times New Roman" w:cs="Times New Roman"/>
        </w:rPr>
        <w:t>Data Collection Final Report. The report provides detailed information about noncontacts versus refusals, including reasons for refusals. This information is reviewed annually for changes in trends.</w:t>
      </w:r>
    </w:p>
    <w:p w:rsidR="005137D9" w:rsidP="00703946" w14:paraId="78AADE8E" w14:textId="1EAB3725">
      <w:pPr>
        <w:pStyle w:val="BodyText"/>
        <w:rPr>
          <w:rFonts w:ascii="Times New Roman" w:hAnsi="Times New Roman" w:cs="Times New Roman"/>
        </w:rPr>
      </w:pPr>
      <w:r w:rsidRPr="00FD23DF">
        <w:rPr>
          <w:rFonts w:ascii="Times New Roman" w:hAnsi="Times New Roman" w:cs="Times New Roman"/>
        </w:rPr>
        <w:t xml:space="preserve">As noted in </w:t>
      </w:r>
      <w:r w:rsidR="000D1E26">
        <w:rPr>
          <w:rFonts w:ascii="Times New Roman" w:hAnsi="Times New Roman" w:cs="Times New Roman"/>
        </w:rPr>
        <w:t>S</w:t>
      </w:r>
      <w:r w:rsidRPr="00FD23DF">
        <w:rPr>
          <w:rFonts w:ascii="Times New Roman" w:hAnsi="Times New Roman" w:cs="Times New Roman"/>
        </w:rPr>
        <w:t>ection B.2 above, FIs may use a Sorry I Missed You Card (</w:t>
      </w:r>
      <w:r w:rsidR="009633AC">
        <w:rPr>
          <w:rFonts w:ascii="Times New Roman" w:hAnsi="Times New Roman" w:cs="Times New Roman"/>
        </w:rPr>
        <w:t xml:space="preserve">included in </w:t>
      </w:r>
      <w:r w:rsidRPr="00391FB1">
        <w:rPr>
          <w:rFonts w:ascii="Times New Roman" w:hAnsi="Times New Roman" w:cs="Times New Roman"/>
          <w:b/>
          <w:bCs/>
        </w:rPr>
        <w:t xml:space="preserve">Attachment </w:t>
      </w:r>
      <w:r w:rsidRPr="00391FB1" w:rsidR="009633AC">
        <w:rPr>
          <w:rFonts w:ascii="Times New Roman" w:hAnsi="Times New Roman" w:cs="Times New Roman"/>
          <w:b/>
          <w:bCs/>
        </w:rPr>
        <w:t>D</w:t>
      </w:r>
      <w:r w:rsidRPr="00FD23DF">
        <w:rPr>
          <w:rFonts w:ascii="Times New Roman" w:hAnsi="Times New Roman" w:cs="Times New Roman"/>
        </w:rPr>
        <w:t xml:space="preserve">), </w:t>
      </w:r>
      <w:r w:rsidR="00BD6C2B">
        <w:rPr>
          <w:rFonts w:ascii="Times New Roman" w:hAnsi="Times New Roman" w:cs="Times New Roman"/>
        </w:rPr>
        <w:t>NSDUH</w:t>
      </w:r>
      <w:r w:rsidRPr="00FD23DF">
        <w:rPr>
          <w:rFonts w:ascii="Times New Roman" w:hAnsi="Times New Roman" w:cs="Times New Roman"/>
        </w:rPr>
        <w:t xml:space="preserve"> Highlights (</w:t>
      </w:r>
      <w:r w:rsidRPr="00391FB1">
        <w:rPr>
          <w:rFonts w:ascii="Times New Roman" w:hAnsi="Times New Roman" w:cs="Times New Roman"/>
          <w:b/>
          <w:bCs/>
        </w:rPr>
        <w:t xml:space="preserve">Attachment </w:t>
      </w:r>
      <w:r w:rsidRPr="00391FB1" w:rsidR="009633AC">
        <w:rPr>
          <w:rFonts w:ascii="Times New Roman" w:hAnsi="Times New Roman" w:cs="Times New Roman"/>
          <w:b/>
          <w:bCs/>
        </w:rPr>
        <w:t>O</w:t>
      </w:r>
      <w:r w:rsidRPr="00FD23DF">
        <w:rPr>
          <w:rFonts w:ascii="Times New Roman" w:hAnsi="Times New Roman" w:cs="Times New Roman"/>
        </w:rPr>
        <w:t>), and a Certificate of Participation (</w:t>
      </w:r>
      <w:r w:rsidRPr="00391FB1">
        <w:rPr>
          <w:rFonts w:ascii="Times New Roman" w:hAnsi="Times New Roman" w:cs="Times New Roman"/>
          <w:b/>
          <w:bCs/>
        </w:rPr>
        <w:t xml:space="preserve">Attachment </w:t>
      </w:r>
      <w:r w:rsidRPr="00391FB1" w:rsidR="009633AC">
        <w:rPr>
          <w:rFonts w:ascii="Times New Roman" w:hAnsi="Times New Roman" w:cs="Times New Roman"/>
          <w:b/>
          <w:bCs/>
        </w:rPr>
        <w:t>U</w:t>
      </w:r>
      <w:r w:rsidRPr="00FD23DF">
        <w:rPr>
          <w:rFonts w:ascii="Times New Roman" w:hAnsi="Times New Roman" w:cs="Times New Roman"/>
        </w:rPr>
        <w:t>) to help make respondent contact and encourage participation. To aid in refusal conversion efforts, Refusal Letters (</w:t>
      </w:r>
      <w:r w:rsidRPr="00391FB1">
        <w:rPr>
          <w:rFonts w:ascii="Times New Roman" w:hAnsi="Times New Roman" w:cs="Times New Roman"/>
          <w:b/>
          <w:bCs/>
        </w:rPr>
        <w:t xml:space="preserve">Attachment </w:t>
      </w:r>
      <w:r w:rsidRPr="00391FB1" w:rsidR="009633AC">
        <w:rPr>
          <w:rFonts w:ascii="Times New Roman" w:hAnsi="Times New Roman" w:cs="Times New Roman"/>
          <w:b/>
          <w:bCs/>
        </w:rPr>
        <w:t>G</w:t>
      </w:r>
      <w:r w:rsidRPr="00FD23DF">
        <w:rPr>
          <w:rFonts w:ascii="Times New Roman" w:hAnsi="Times New Roman" w:cs="Times New Roman"/>
        </w:rPr>
        <w:t>) can be sent to any case that has refused. Similarly, a U</w:t>
      </w:r>
      <w:r w:rsidR="009633AC">
        <w:rPr>
          <w:rFonts w:ascii="Times New Roman" w:hAnsi="Times New Roman" w:cs="Times New Roman"/>
        </w:rPr>
        <w:t>TC</w:t>
      </w:r>
      <w:r w:rsidRPr="00FD23DF">
        <w:rPr>
          <w:rFonts w:ascii="Times New Roman" w:hAnsi="Times New Roman" w:cs="Times New Roman"/>
        </w:rPr>
        <w:t xml:space="preserve"> Letter (</w:t>
      </w:r>
      <w:r w:rsidR="009633AC">
        <w:rPr>
          <w:rFonts w:ascii="Times New Roman" w:hAnsi="Times New Roman" w:cs="Times New Roman"/>
        </w:rPr>
        <w:t xml:space="preserve">included in </w:t>
      </w:r>
      <w:r w:rsidRPr="00391FB1">
        <w:rPr>
          <w:rFonts w:ascii="Times New Roman" w:hAnsi="Times New Roman" w:cs="Times New Roman"/>
          <w:b/>
          <w:bCs/>
        </w:rPr>
        <w:t xml:space="preserve">Attachment </w:t>
      </w:r>
      <w:r w:rsidRPr="00391FB1" w:rsidR="009633AC">
        <w:rPr>
          <w:rFonts w:ascii="Times New Roman" w:hAnsi="Times New Roman" w:cs="Times New Roman"/>
          <w:b/>
          <w:bCs/>
        </w:rPr>
        <w:t>F</w:t>
      </w:r>
      <w:r w:rsidRPr="00FD23DF">
        <w:rPr>
          <w:rFonts w:ascii="Times New Roman" w:hAnsi="Times New Roman" w:cs="Times New Roman"/>
        </w:rPr>
        <w:t xml:space="preserve">) may be sent to a selected household if the FI has been unable to contact a resident after multiple attempts. </w:t>
      </w:r>
      <w:r w:rsidR="00352456">
        <w:rPr>
          <w:rFonts w:ascii="Times New Roman" w:hAnsi="Times New Roman" w:cs="Times New Roman"/>
        </w:rPr>
        <w:t>In situations where a respondent requests to complete the screening (or interview) online or refuses the in-person screening (or interview), FIs may fill out and provide a Participant Code Card (</w:t>
      </w:r>
      <w:r w:rsidRPr="00391FB1" w:rsidR="00352456">
        <w:rPr>
          <w:rFonts w:ascii="Times New Roman" w:hAnsi="Times New Roman" w:cs="Times New Roman"/>
          <w:b/>
          <w:bCs/>
        </w:rPr>
        <w:t>Attachment P</w:t>
      </w:r>
      <w:r w:rsidR="00352456">
        <w:rPr>
          <w:rFonts w:ascii="Times New Roman" w:hAnsi="Times New Roman" w:cs="Times New Roman"/>
        </w:rPr>
        <w:t xml:space="preserve">) to a respondent that includes </w:t>
      </w:r>
      <w:r w:rsidRPr="005137D9" w:rsidR="00352456">
        <w:rPr>
          <w:rFonts w:ascii="Times New Roman" w:hAnsi="Times New Roman" w:cs="Times New Roman"/>
        </w:rPr>
        <w:t xml:space="preserve">instructions for accessing the </w:t>
      </w:r>
      <w:r w:rsidR="00BD6C2B">
        <w:rPr>
          <w:rFonts w:ascii="Times New Roman" w:hAnsi="Times New Roman" w:cs="Times New Roman"/>
        </w:rPr>
        <w:t>NSDUH</w:t>
      </w:r>
      <w:r w:rsidRPr="005137D9" w:rsidR="00352456">
        <w:rPr>
          <w:rFonts w:ascii="Times New Roman" w:hAnsi="Times New Roman" w:cs="Times New Roman"/>
        </w:rPr>
        <w:t xml:space="preserve"> screening/interviewing website</w:t>
      </w:r>
      <w:r w:rsidR="00352456">
        <w:rPr>
          <w:rFonts w:ascii="Times New Roman" w:hAnsi="Times New Roman" w:cs="Times New Roman"/>
        </w:rPr>
        <w:t>.</w:t>
      </w:r>
    </w:p>
    <w:p w:rsidR="009633AC" w:rsidRPr="00FD23DF" w:rsidP="00703946" w14:paraId="4E28DC2E" w14:textId="77777777">
      <w:pPr>
        <w:pStyle w:val="BodyText"/>
        <w:rPr>
          <w:rFonts w:ascii="Times New Roman" w:hAnsi="Times New Roman" w:cs="Times New Roman"/>
        </w:rPr>
      </w:pPr>
      <w:r w:rsidRPr="00FD23DF">
        <w:rPr>
          <w:rFonts w:ascii="Times New Roman" w:hAnsi="Times New Roman" w:cs="Times New Roman"/>
        </w:rPr>
        <w:t>For cases where FIs have been unable to gain access to a group of SDUs due to some type of access barrier, such as a locked gate or doorperson, Controlled Access Letters (</w:t>
      </w:r>
      <w:r w:rsidR="00352456">
        <w:rPr>
          <w:rFonts w:ascii="Times New Roman" w:hAnsi="Times New Roman" w:cs="Times New Roman"/>
        </w:rPr>
        <w:t xml:space="preserve">included in </w:t>
      </w:r>
      <w:r w:rsidRPr="00391FB1">
        <w:rPr>
          <w:rFonts w:ascii="Times New Roman" w:hAnsi="Times New Roman" w:cs="Times New Roman"/>
          <w:b/>
          <w:bCs/>
        </w:rPr>
        <w:t xml:space="preserve">Attachment </w:t>
      </w:r>
      <w:r w:rsidRPr="00391FB1" w:rsidR="00352456">
        <w:rPr>
          <w:rFonts w:ascii="Times New Roman" w:hAnsi="Times New Roman" w:cs="Times New Roman"/>
          <w:b/>
          <w:bCs/>
        </w:rPr>
        <w:t>F</w:t>
      </w:r>
      <w:r w:rsidRPr="00FD23DF">
        <w:rPr>
          <w:rFonts w:ascii="Times New Roman" w:hAnsi="Times New Roman" w:cs="Times New Roman"/>
        </w:rPr>
        <w:t xml:space="preserve">) can be sent to the gatekeeper to obtain </w:t>
      </w:r>
      <w:r w:rsidR="00F63546">
        <w:rPr>
          <w:rFonts w:ascii="Times New Roman" w:hAnsi="Times New Roman" w:cs="Times New Roman"/>
        </w:rPr>
        <w:t>their</w:t>
      </w:r>
      <w:r w:rsidRPr="00FD23DF">
        <w:rPr>
          <w:rFonts w:ascii="Times New Roman" w:hAnsi="Times New Roman" w:cs="Times New Roman"/>
        </w:rPr>
        <w:t xml:space="preserve"> assistance in gaining access to the units. In situations where a doorperson is restricting access, the FI can provide that doorperson a card</w:t>
      </w:r>
      <w:r w:rsidR="00352456">
        <w:rPr>
          <w:rFonts w:ascii="Times New Roman" w:hAnsi="Times New Roman" w:cs="Times New Roman"/>
        </w:rPr>
        <w:t xml:space="preserve"> (</w:t>
      </w:r>
      <w:r w:rsidRPr="00391FB1" w:rsidR="00352456">
        <w:rPr>
          <w:rFonts w:ascii="Times New Roman" w:hAnsi="Times New Roman" w:cs="Times New Roman"/>
          <w:b/>
          <w:bCs/>
        </w:rPr>
        <w:t>Attachment W</w:t>
      </w:r>
      <w:r w:rsidR="00352456">
        <w:rPr>
          <w:rFonts w:ascii="Times New Roman" w:hAnsi="Times New Roman" w:cs="Times New Roman"/>
        </w:rPr>
        <w:t>)</w:t>
      </w:r>
      <w:r w:rsidRPr="00FD23DF">
        <w:rPr>
          <w:rFonts w:ascii="Times New Roman" w:hAnsi="Times New Roman" w:cs="Times New Roman"/>
        </w:rPr>
        <w:t xml:space="preserve"> to read to selected residents over the phone or intercom seeking permission to allow the FI into the building. </w:t>
      </w:r>
    </w:p>
    <w:p w:rsidR="00B56144" w:rsidRPr="00FD23DF" w:rsidP="004F072E" w14:paraId="1093B9FD" w14:textId="77777777">
      <w:pPr>
        <w:widowControl/>
        <w:autoSpaceDE/>
        <w:autoSpaceDN/>
        <w:adjustRightInd/>
        <w:spacing w:after="120"/>
        <w:ind w:left="720"/>
        <w:rPr>
          <w:rFonts w:ascii="Times New Roman" w:hAnsi="Times New Roman"/>
        </w:rPr>
      </w:pPr>
      <w:r w:rsidRPr="002800E3">
        <w:rPr>
          <w:rFonts w:ascii="Times New Roman" w:hAnsi="Times New Roman"/>
        </w:rPr>
        <w:t>Aside from</w:t>
      </w:r>
      <w:r w:rsidRPr="00FD23DF">
        <w:rPr>
          <w:rFonts w:ascii="Times New Roman" w:hAnsi="Times New Roman"/>
        </w:rPr>
        <w:t xml:space="preserve"> refusals and controlled access barriers, other field challenges attributing to a decline in response rates include:</w:t>
      </w:r>
    </w:p>
    <w:p w:rsidR="00B56144" w:rsidRPr="00FD23DF" w:rsidP="00B56144" w14:paraId="0E52DA42" w14:textId="77777777">
      <w:pPr>
        <w:widowControl/>
        <w:numPr>
          <w:ilvl w:val="0"/>
          <w:numId w:val="8"/>
        </w:numPr>
        <w:autoSpaceDE/>
        <w:autoSpaceDN/>
        <w:adjustRightInd/>
        <w:spacing w:after="240"/>
        <w:ind w:left="1980" w:hanging="450"/>
        <w:rPr>
          <w:rFonts w:ascii="Times New Roman" w:hAnsi="Times New Roman"/>
        </w:rPr>
      </w:pPr>
      <w:r w:rsidRPr="00FD23DF">
        <w:rPr>
          <w:rFonts w:ascii="Times New Roman" w:hAnsi="Times New Roman"/>
        </w:rPr>
        <w:t>An increase of respondents who are home but simply do not answer the door. In these instances, FIs try various conversion strategies (i.e., sending unable to contact/conversion letters) to address potential concerns that a respondent may have, while also respecting their right to refuse participation.</w:t>
      </w:r>
    </w:p>
    <w:p w:rsidR="00B56144" w:rsidRPr="00FD23DF" w:rsidP="00B56144" w14:paraId="1B8BC40F" w14:textId="77777777">
      <w:pPr>
        <w:widowControl/>
        <w:numPr>
          <w:ilvl w:val="0"/>
          <w:numId w:val="8"/>
        </w:numPr>
        <w:autoSpaceDE/>
        <w:autoSpaceDN/>
        <w:adjustRightInd/>
        <w:spacing w:after="240"/>
        <w:ind w:left="1980" w:hanging="450"/>
        <w:rPr>
          <w:rFonts w:ascii="Times New Roman" w:hAnsi="Times New Roman"/>
        </w:rPr>
      </w:pPr>
      <w:r w:rsidRPr="00FD23DF">
        <w:rPr>
          <w:rFonts w:ascii="Times New Roman" w:hAnsi="Times New Roman"/>
        </w:rPr>
        <w:t xml:space="preserve">An increase in homes with video doorbells (RING, NEST, etc.), where a respondent can view someone at their door via a Smartphone. In these situations, FIs introduce themselves, show their ID badge and note that they are following up on the </w:t>
      </w:r>
      <w:r w:rsidR="002800E3">
        <w:rPr>
          <w:rFonts w:ascii="Times New Roman" w:hAnsi="Times New Roman"/>
        </w:rPr>
        <w:t>L</w:t>
      </w:r>
      <w:r w:rsidRPr="00FD23DF">
        <w:rPr>
          <w:rFonts w:ascii="Times New Roman" w:hAnsi="Times New Roman"/>
        </w:rPr>
        <w:t xml:space="preserve">ead </w:t>
      </w:r>
      <w:r w:rsidR="002800E3">
        <w:rPr>
          <w:rFonts w:ascii="Times New Roman" w:hAnsi="Times New Roman"/>
        </w:rPr>
        <w:t>L</w:t>
      </w:r>
      <w:r w:rsidRPr="00FD23DF">
        <w:rPr>
          <w:rFonts w:ascii="Times New Roman" w:hAnsi="Times New Roman"/>
        </w:rPr>
        <w:t xml:space="preserve">etter the respondent should have received in the mail.   </w:t>
      </w:r>
    </w:p>
    <w:p w:rsidR="00B56144" w:rsidRPr="00FD23DF" w:rsidP="00B56144" w14:paraId="5BED421F" w14:textId="77777777">
      <w:pPr>
        <w:widowControl/>
        <w:numPr>
          <w:ilvl w:val="0"/>
          <w:numId w:val="8"/>
        </w:numPr>
        <w:autoSpaceDE/>
        <w:autoSpaceDN/>
        <w:adjustRightInd/>
        <w:spacing w:after="240"/>
        <w:ind w:left="1980" w:hanging="450"/>
        <w:rPr>
          <w:rFonts w:ascii="Times New Roman" w:hAnsi="Times New Roman"/>
        </w:rPr>
      </w:pPr>
      <w:r w:rsidRPr="00FD23DF">
        <w:rPr>
          <w:rFonts w:ascii="Times New Roman" w:hAnsi="Times New Roman"/>
        </w:rPr>
        <w:t>An increase in respondents broadcasting messages across neighborhood social media platforms, such as Nextdoor.com, Facebook, etc. about FIs working in the area and making false claims that the study is a scam</w:t>
      </w:r>
      <w:r w:rsidRPr="00FD23DF" w:rsidR="00034767">
        <w:rPr>
          <w:rFonts w:ascii="Times New Roman" w:hAnsi="Times New Roman"/>
        </w:rPr>
        <w:t xml:space="preserve"> </w:t>
      </w:r>
      <w:r w:rsidRPr="00FD23DF">
        <w:rPr>
          <w:rFonts w:ascii="Times New Roman" w:hAnsi="Times New Roman"/>
        </w:rPr>
        <w:t xml:space="preserve">and warning residents not to open their door. In these situations, FIs inform the local police department they are working in the general area to address any concerns raised by the residents.  </w:t>
      </w:r>
    </w:p>
    <w:p w:rsidR="00B56144" w:rsidRPr="00FD23DF" w:rsidP="00B56144" w14:paraId="380E94D3" w14:textId="77777777">
      <w:pPr>
        <w:widowControl/>
        <w:numPr>
          <w:ilvl w:val="0"/>
          <w:numId w:val="8"/>
        </w:numPr>
        <w:autoSpaceDE/>
        <w:autoSpaceDN/>
        <w:adjustRightInd/>
        <w:spacing w:after="240"/>
        <w:ind w:left="1980" w:hanging="450"/>
        <w:outlineLvl w:val="2"/>
        <w:rPr>
          <w:rFonts w:ascii="Times New Roman" w:hAnsi="Times New Roman"/>
        </w:rPr>
      </w:pPr>
      <w:r w:rsidRPr="00FD23DF">
        <w:rPr>
          <w:rFonts w:ascii="Times New Roman" w:hAnsi="Times New Roman"/>
        </w:rPr>
        <w:t>An increase in the number of respondents calling into the project’s toll-free number to refuse participation before ever being visited in person by an FI.  In these instances, both the FS and FI are notified and the case is coded as a final refusal and no subsequent visits are made to that address.</w:t>
      </w:r>
      <w:r w:rsidR="00AB1FE6">
        <w:rPr>
          <w:rFonts w:ascii="Times New Roman" w:hAnsi="Times New Roman"/>
        </w:rPr>
        <w:t xml:space="preserve"> These respondents will also be reminded of their option to participate via web. </w:t>
      </w:r>
    </w:p>
    <w:p w:rsidR="00B56144" w:rsidRPr="00FD23DF" w:rsidP="00B56144" w14:paraId="22703C45" w14:textId="77777777">
      <w:pPr>
        <w:widowControl/>
        <w:numPr>
          <w:ilvl w:val="0"/>
          <w:numId w:val="8"/>
        </w:numPr>
        <w:autoSpaceDE/>
        <w:autoSpaceDN/>
        <w:adjustRightInd/>
        <w:spacing w:after="240"/>
        <w:ind w:left="1980" w:hanging="450"/>
        <w:outlineLvl w:val="2"/>
        <w:rPr>
          <w:rFonts w:ascii="Times New Roman" w:hAnsi="Times New Roman"/>
        </w:rPr>
      </w:pPr>
      <w:r w:rsidRPr="00FD23DF">
        <w:rPr>
          <w:rFonts w:ascii="Times New Roman" w:hAnsi="Times New Roman"/>
        </w:rPr>
        <w:t>An increase in hostile and adamant refusals. These cases are coded out as a final refusal and no subsequent visits are made to that address.</w:t>
      </w:r>
    </w:p>
    <w:p w:rsidR="00463312" w:rsidRPr="00FD23DF" w:rsidP="00B56144" w14:paraId="46C4DFD5" w14:textId="296F42E9">
      <w:pPr>
        <w:widowControl/>
        <w:autoSpaceDE/>
        <w:autoSpaceDN/>
        <w:adjustRightInd/>
        <w:spacing w:after="240"/>
        <w:ind w:left="720"/>
        <w:rPr>
          <w:rFonts w:ascii="Times New Roman" w:hAnsi="Times New Roman"/>
        </w:rPr>
      </w:pPr>
      <w:r w:rsidRPr="00FD23DF">
        <w:rPr>
          <w:rFonts w:ascii="Times New Roman" w:hAnsi="Times New Roman"/>
        </w:rPr>
        <w:t xml:space="preserve">In addition to procedures outlined in this section, </w:t>
      </w:r>
      <w:r w:rsidR="00BD6C2B">
        <w:rPr>
          <w:rFonts w:ascii="Times New Roman" w:hAnsi="Times New Roman"/>
        </w:rPr>
        <w:t>NSDUH</w:t>
      </w:r>
      <w:r w:rsidRPr="00FD23DF">
        <w:rPr>
          <w:rFonts w:ascii="Times New Roman" w:hAnsi="Times New Roman"/>
        </w:rPr>
        <w:t xml:space="preserve"> currently employs the following procedures to avert refusal situations in an effort to increase response rates:</w:t>
      </w:r>
    </w:p>
    <w:p w:rsidR="00463312" w:rsidRPr="00FD23DF" w:rsidP="00B56144" w14:paraId="09CBD423" w14:textId="570F8D85">
      <w:pPr>
        <w:pStyle w:val="ListParagraph"/>
        <w:widowControl/>
        <w:numPr>
          <w:ilvl w:val="0"/>
          <w:numId w:val="4"/>
        </w:numPr>
        <w:autoSpaceDE/>
        <w:autoSpaceDN/>
        <w:adjustRightInd/>
        <w:spacing w:after="120"/>
        <w:ind w:left="1890"/>
        <w:contextualSpacing w:val="0"/>
        <w:rPr>
          <w:rFonts w:ascii="Times New Roman" w:hAnsi="Times New Roman"/>
        </w:rPr>
      </w:pPr>
      <w:bookmarkStart w:id="4" w:name="_Hlk78836299"/>
      <w:r w:rsidRPr="00FD23DF">
        <w:rPr>
          <w:rFonts w:ascii="Times New Roman" w:hAnsi="Times New Roman"/>
        </w:rPr>
        <w:t xml:space="preserve">All aspects of </w:t>
      </w:r>
      <w:r w:rsidR="00BD6C2B">
        <w:rPr>
          <w:rFonts w:ascii="Times New Roman" w:hAnsi="Times New Roman"/>
        </w:rPr>
        <w:t>NSDUH</w:t>
      </w:r>
      <w:r w:rsidRPr="00FD23DF" w:rsidR="00722098">
        <w:rPr>
          <w:rFonts w:ascii="Times New Roman" w:hAnsi="Times New Roman"/>
        </w:rPr>
        <w:t xml:space="preserve"> </w:t>
      </w:r>
      <w:r w:rsidRPr="00FD23DF">
        <w:rPr>
          <w:rFonts w:ascii="Times New Roman" w:hAnsi="Times New Roman"/>
        </w:rPr>
        <w:t>are designed to project professionalism and thus enhance the legitimacy of the project</w:t>
      </w:r>
      <w:r w:rsidRPr="00FD23DF" w:rsidR="000763E0">
        <w:rPr>
          <w:rFonts w:ascii="Times New Roman" w:hAnsi="Times New Roman"/>
        </w:rPr>
        <w:t xml:space="preserve">, including the </w:t>
      </w:r>
      <w:r w:rsidR="00BD6C2B">
        <w:rPr>
          <w:rFonts w:ascii="Times New Roman" w:hAnsi="Times New Roman"/>
        </w:rPr>
        <w:t>NSDUH</w:t>
      </w:r>
      <w:r w:rsidRPr="00FD23DF" w:rsidR="000763E0">
        <w:rPr>
          <w:rFonts w:ascii="Times New Roman" w:hAnsi="Times New Roman"/>
        </w:rPr>
        <w:t xml:space="preserve"> respondent </w:t>
      </w:r>
      <w:r w:rsidRPr="00FD23DF" w:rsidR="000763E0">
        <w:rPr>
          <w:rFonts w:ascii="Times New Roman" w:hAnsi="Times New Roman"/>
        </w:rPr>
        <w:t>website and materials</w:t>
      </w:r>
      <w:r w:rsidRPr="00FD23DF">
        <w:rPr>
          <w:rFonts w:ascii="Times New Roman" w:hAnsi="Times New Roman"/>
        </w:rPr>
        <w:t>. FIs are instructed to always behave professionally and courteously.</w:t>
      </w:r>
    </w:p>
    <w:p w:rsidR="00463312" w:rsidRPr="00FD23DF" w:rsidP="00B56144" w14:paraId="6B95E973" w14:textId="0AB518D6">
      <w:pPr>
        <w:pStyle w:val="ListParagraph"/>
        <w:widowControl/>
        <w:numPr>
          <w:ilvl w:val="0"/>
          <w:numId w:val="4"/>
        </w:numPr>
        <w:autoSpaceDE/>
        <w:autoSpaceDN/>
        <w:adjustRightInd/>
        <w:spacing w:after="120"/>
        <w:ind w:left="1890"/>
        <w:contextualSpacing w:val="0"/>
        <w:rPr>
          <w:rFonts w:ascii="Times New Roman" w:hAnsi="Times New Roman"/>
        </w:rPr>
      </w:pPr>
      <w:r w:rsidRPr="00FD23DF">
        <w:rPr>
          <w:rFonts w:ascii="Times New Roman" w:hAnsi="Times New Roman"/>
        </w:rPr>
        <w:t xml:space="preserve">The </w:t>
      </w:r>
      <w:r w:rsidR="00BD6C2B">
        <w:rPr>
          <w:rFonts w:ascii="Times New Roman" w:hAnsi="Times New Roman"/>
        </w:rPr>
        <w:t>NSDUH</w:t>
      </w:r>
      <w:r w:rsidRPr="00FD23DF">
        <w:rPr>
          <w:rFonts w:ascii="Times New Roman" w:hAnsi="Times New Roman"/>
        </w:rPr>
        <w:t xml:space="preserve"> </w:t>
      </w:r>
      <w:r w:rsidR="0008682D">
        <w:rPr>
          <w:rFonts w:ascii="Times New Roman" w:hAnsi="Times New Roman"/>
        </w:rPr>
        <w:t>FI</w:t>
      </w:r>
      <w:r w:rsidRPr="00FD23DF">
        <w:rPr>
          <w:rFonts w:ascii="Times New Roman" w:hAnsi="Times New Roman"/>
        </w:rPr>
        <w:t xml:space="preserve"> Manual includes specific instructions to FIs for introducing both themselves and the study. Additionally, an entire chapter is devoted to </w:t>
      </w:r>
      <w:r w:rsidRPr="00FD23DF" w:rsidR="00F64A39">
        <w:rPr>
          <w:rFonts w:ascii="Times New Roman" w:hAnsi="Times New Roman"/>
        </w:rPr>
        <w:t>“</w:t>
      </w:r>
      <w:r w:rsidRPr="00FD23DF">
        <w:rPr>
          <w:rFonts w:ascii="Times New Roman" w:hAnsi="Times New Roman"/>
        </w:rPr>
        <w:t>Obtaining Participation</w:t>
      </w:r>
      <w:r w:rsidRPr="00FD23DF" w:rsidR="00F64A39">
        <w:rPr>
          <w:rFonts w:ascii="Times New Roman" w:hAnsi="Times New Roman"/>
        </w:rPr>
        <w:t xml:space="preserve">” </w:t>
      </w:r>
      <w:r w:rsidRPr="00FD23DF">
        <w:rPr>
          <w:rFonts w:ascii="Times New Roman" w:hAnsi="Times New Roman"/>
        </w:rPr>
        <w:t>and lists the tools available to field staff along with tips for answering questions and overcoming objections.</w:t>
      </w:r>
    </w:p>
    <w:p w:rsidR="00463312" w:rsidRPr="00FD23DF" w:rsidP="00B56144" w14:paraId="7129DD75" w14:textId="77777777">
      <w:pPr>
        <w:pStyle w:val="ListParagraph"/>
        <w:widowControl/>
        <w:numPr>
          <w:ilvl w:val="0"/>
          <w:numId w:val="4"/>
        </w:numPr>
        <w:autoSpaceDE/>
        <w:autoSpaceDN/>
        <w:adjustRightInd/>
        <w:spacing w:after="120"/>
        <w:ind w:left="1890"/>
        <w:contextualSpacing w:val="0"/>
        <w:rPr>
          <w:rFonts w:ascii="Times New Roman" w:hAnsi="Times New Roman"/>
        </w:rPr>
      </w:pPr>
      <w:r w:rsidRPr="00FD23DF">
        <w:rPr>
          <w:rFonts w:ascii="Times New Roman" w:hAnsi="Times New Roman"/>
        </w:rPr>
        <w:t xml:space="preserve">During new-to-project FI training, trainers cover details for contacting </w:t>
      </w:r>
      <w:r w:rsidR="00CE6E99">
        <w:rPr>
          <w:rFonts w:ascii="Times New Roman" w:hAnsi="Times New Roman"/>
        </w:rPr>
        <w:t>DUs</w:t>
      </w:r>
      <w:r w:rsidRPr="00FD23DF">
        <w:rPr>
          <w:rFonts w:ascii="Times New Roman" w:hAnsi="Times New Roman"/>
        </w:rPr>
        <w:t xml:space="preserve"> and how to deal with reluctant respondents and difficult situations. During exercises and mock interviews, FIs practice answering questions and using letters and handouts to obtain cooperation.</w:t>
      </w:r>
    </w:p>
    <w:bookmarkEnd w:id="4"/>
    <w:p w:rsidR="00463312" w:rsidRPr="00FD23DF" w:rsidP="00B56144" w14:paraId="6E21B4EE" w14:textId="77777777">
      <w:pPr>
        <w:pStyle w:val="ListParagraph"/>
        <w:widowControl/>
        <w:numPr>
          <w:ilvl w:val="0"/>
          <w:numId w:val="4"/>
        </w:numPr>
        <w:autoSpaceDE/>
        <w:autoSpaceDN/>
        <w:adjustRightInd/>
        <w:spacing w:after="240"/>
        <w:ind w:left="1890"/>
        <w:contextualSpacing w:val="0"/>
        <w:rPr>
          <w:rFonts w:ascii="Times New Roman" w:hAnsi="Times New Roman"/>
        </w:rPr>
      </w:pPr>
      <w:r w:rsidRPr="00FD23DF">
        <w:rPr>
          <w:rFonts w:ascii="Times New Roman" w:hAnsi="Times New Roman"/>
        </w:rPr>
        <w:t>During veteran FI training, time is spent reviewing various techniques for overcoming refusals. The exercises and ideas presented help FIs improve their skills and thus increase their confidence and ability to handle the many situations encountered in the field.</w:t>
      </w:r>
    </w:p>
    <w:p w:rsidR="00463312" w:rsidP="004F072E" w14:paraId="1E27102A" w14:textId="6BB6746E">
      <w:pPr>
        <w:widowControl/>
        <w:autoSpaceDE/>
        <w:autoSpaceDN/>
        <w:adjustRightInd/>
        <w:spacing w:after="120"/>
        <w:ind w:left="720"/>
        <w:rPr>
          <w:rFonts w:ascii="Times New Roman" w:hAnsi="Times New Roman"/>
        </w:rPr>
      </w:pPr>
      <w:r>
        <w:rPr>
          <w:rFonts w:ascii="Times New Roman" w:hAnsi="Times New Roman"/>
        </w:rPr>
        <w:t>D</w:t>
      </w:r>
      <w:r w:rsidRPr="00FD23DF" w:rsidR="00B56144">
        <w:rPr>
          <w:rFonts w:ascii="Times New Roman" w:hAnsi="Times New Roman"/>
        </w:rPr>
        <w:t xml:space="preserve">ata have </w:t>
      </w:r>
      <w:r>
        <w:rPr>
          <w:rFonts w:ascii="Times New Roman" w:hAnsi="Times New Roman"/>
        </w:rPr>
        <w:t xml:space="preserve">also </w:t>
      </w:r>
      <w:r w:rsidRPr="00FD23DF" w:rsidR="00B56144">
        <w:rPr>
          <w:rFonts w:ascii="Times New Roman" w:hAnsi="Times New Roman"/>
        </w:rPr>
        <w:t xml:space="preserve">shown that experienced FIs are more successful in converting refusals. </w:t>
      </w:r>
      <w:r w:rsidRPr="00FD23DF" w:rsidR="0045483A">
        <w:rPr>
          <w:rFonts w:ascii="Times New Roman" w:hAnsi="Times New Roman"/>
        </w:rPr>
        <w:t xml:space="preserve">Beginning in </w:t>
      </w:r>
      <w:r w:rsidRPr="00FD23DF" w:rsidR="00B56144">
        <w:rPr>
          <w:rFonts w:ascii="Times New Roman" w:hAnsi="Times New Roman"/>
        </w:rPr>
        <w:t xml:space="preserve">2018, </w:t>
      </w:r>
      <w:r w:rsidR="00BD6C2B">
        <w:rPr>
          <w:rFonts w:ascii="Times New Roman" w:hAnsi="Times New Roman"/>
        </w:rPr>
        <w:t>NSDUH</w:t>
      </w:r>
      <w:r w:rsidRPr="00FD23DF" w:rsidR="002B2A00">
        <w:rPr>
          <w:rFonts w:ascii="Times New Roman" w:hAnsi="Times New Roman"/>
        </w:rPr>
        <w:t xml:space="preserve"> </w:t>
      </w:r>
      <w:r w:rsidRPr="00FD23DF" w:rsidR="00B56144">
        <w:rPr>
          <w:rFonts w:ascii="Times New Roman" w:hAnsi="Times New Roman"/>
        </w:rPr>
        <w:t xml:space="preserve">implemented a yearly FI Tenure-Incentive Plan to reward FIs monetarily for their dedication to the project and ultimately to reduce FI attrition </w:t>
      </w:r>
      <w:r w:rsidRPr="00FD23DF" w:rsidR="0045483A">
        <w:rPr>
          <w:rFonts w:ascii="Times New Roman" w:hAnsi="Times New Roman"/>
        </w:rPr>
        <w:t>and</w:t>
      </w:r>
      <w:r w:rsidRPr="00FD23DF" w:rsidR="00B56144">
        <w:rPr>
          <w:rFonts w:ascii="Times New Roman" w:hAnsi="Times New Roman"/>
        </w:rPr>
        <w:t xml:space="preserve"> ensure more experienced FIs</w:t>
      </w:r>
      <w:r w:rsidRPr="00FD23DF" w:rsidR="0045483A">
        <w:rPr>
          <w:rFonts w:ascii="Times New Roman" w:hAnsi="Times New Roman"/>
        </w:rPr>
        <w:t xml:space="preserve"> are retained</w:t>
      </w:r>
      <w:r w:rsidRPr="00FD23DF" w:rsidR="00B56144">
        <w:rPr>
          <w:rFonts w:ascii="Times New Roman" w:hAnsi="Times New Roman"/>
        </w:rPr>
        <w:t>.</w:t>
      </w:r>
    </w:p>
    <w:p w:rsidR="00D62746" w:rsidP="004F072E" w14:paraId="5BA3DEEB" w14:textId="278EF793">
      <w:pPr>
        <w:widowControl/>
        <w:autoSpaceDE/>
        <w:autoSpaceDN/>
        <w:adjustRightInd/>
        <w:spacing w:after="120"/>
        <w:ind w:left="720"/>
        <w:rPr>
          <w:rFonts w:ascii="Times New Roman" w:hAnsi="Times New Roman"/>
        </w:rPr>
      </w:pPr>
      <w:r>
        <w:rPr>
          <w:rFonts w:ascii="Times New Roman" w:hAnsi="Times New Roman"/>
        </w:rPr>
        <w:t xml:space="preserve">Also, </w:t>
      </w:r>
      <w:r w:rsidR="00BD6C2B">
        <w:rPr>
          <w:rFonts w:ascii="Times New Roman" w:hAnsi="Times New Roman"/>
        </w:rPr>
        <w:t>NSDUH</w:t>
      </w:r>
      <w:r w:rsidRPr="000F7FD7">
        <w:rPr>
          <w:rFonts w:ascii="Times New Roman" w:hAnsi="Times New Roman"/>
        </w:rPr>
        <w:t xml:space="preserve"> data will </w:t>
      </w:r>
      <w:r>
        <w:rPr>
          <w:rFonts w:ascii="Times New Roman" w:hAnsi="Times New Roman"/>
        </w:rPr>
        <w:t xml:space="preserve">continue to </w:t>
      </w:r>
      <w:r w:rsidRPr="000F7FD7">
        <w:rPr>
          <w:rFonts w:ascii="Times New Roman" w:hAnsi="Times New Roman"/>
        </w:rPr>
        <w:t>be collected from respondents using a combination of in-person and web-based data collection modes</w:t>
      </w:r>
      <w:r>
        <w:rPr>
          <w:rFonts w:ascii="Times New Roman" w:hAnsi="Times New Roman"/>
        </w:rPr>
        <w:t xml:space="preserve">. Like respondent incentives and FI training and procedures, the web option has the potential to address nonresponse factors observed in recent </w:t>
      </w:r>
      <w:r w:rsidR="00BD6C2B">
        <w:rPr>
          <w:rFonts w:ascii="Times New Roman" w:hAnsi="Times New Roman"/>
        </w:rPr>
        <w:t>NSDUH</w:t>
      </w:r>
      <w:r w:rsidR="002800E3">
        <w:rPr>
          <w:rFonts w:ascii="Times New Roman" w:hAnsi="Times New Roman"/>
        </w:rPr>
        <w:t xml:space="preserve"> </w:t>
      </w:r>
      <w:r>
        <w:rPr>
          <w:rFonts w:ascii="Times New Roman" w:hAnsi="Times New Roman"/>
        </w:rPr>
        <w:t>data. First, a second mode for completing the survey offers an alternative to respondents who would prefer not to complete the survey with an FI. A significant portion of respondents might simply have a strong preference for participating via web mode vs. with an FI-administered mode (Olson, Smyth &amp; Wood, 2012). Others might be uncomfortable allowing an FI in their home and be more comfortable completing the survey via web mode. Web mode provides an option to respondents who would otherwise not participate due to their preferences or concerns regarding FI administration.</w:t>
      </w:r>
    </w:p>
    <w:p w:rsidR="00D62746" w:rsidP="004F072E" w14:paraId="38ABB809" w14:textId="51649CB0">
      <w:pPr>
        <w:widowControl/>
        <w:autoSpaceDE/>
        <w:autoSpaceDN/>
        <w:adjustRightInd/>
        <w:spacing w:after="120"/>
        <w:ind w:left="720"/>
      </w:pPr>
      <w:r>
        <w:t xml:space="preserve">Second, adding web mode has the potential to address historical response rate challenges affecting </w:t>
      </w:r>
      <w:r w:rsidR="00BD6C2B">
        <w:t>NSDUH</w:t>
      </w:r>
      <w:r w:rsidR="002800E3">
        <w:t xml:space="preserve"> </w:t>
      </w:r>
      <w:r>
        <w:t xml:space="preserve">data collection. As noted in </w:t>
      </w:r>
      <w:r w:rsidR="000D1E26">
        <w:t>S</w:t>
      </w:r>
      <w:r>
        <w:t>ection B.3, controlled access barriers such as</w:t>
      </w:r>
      <w:r w:rsidRPr="00FD23DF">
        <w:rPr>
          <w:rFonts w:ascii="Times New Roman" w:hAnsi="Times New Roman"/>
        </w:rPr>
        <w:t xml:space="preserve"> gated communities</w:t>
      </w:r>
      <w:r>
        <w:rPr>
          <w:rFonts w:ascii="Times New Roman" w:hAnsi="Times New Roman"/>
        </w:rPr>
        <w:t xml:space="preserve"> and </w:t>
      </w:r>
      <w:r w:rsidRPr="00FD23DF">
        <w:rPr>
          <w:rFonts w:ascii="Times New Roman" w:hAnsi="Times New Roman"/>
        </w:rPr>
        <w:t>secured buildings</w:t>
      </w:r>
      <w:r>
        <w:rPr>
          <w:rFonts w:ascii="Times New Roman" w:hAnsi="Times New Roman"/>
        </w:rPr>
        <w:t xml:space="preserve"> have increased significantly in the past 1</w:t>
      </w:r>
      <w:r w:rsidR="002800E3">
        <w:rPr>
          <w:rFonts w:ascii="Times New Roman" w:hAnsi="Times New Roman"/>
        </w:rPr>
        <w:t>2</w:t>
      </w:r>
      <w:r>
        <w:rPr>
          <w:rFonts w:ascii="Times New Roman" w:hAnsi="Times New Roman"/>
        </w:rPr>
        <w:t xml:space="preserve"> years. Despite the controlled access procedures and materials field developed and refined for overcoming barriers, FIs are frequently unable to access these properties. Web mode provides an alternative means of response for members of sample </w:t>
      </w:r>
      <w:r w:rsidR="00CE6E99">
        <w:rPr>
          <w:rFonts w:ascii="Times New Roman" w:hAnsi="Times New Roman"/>
        </w:rPr>
        <w:t>DUs</w:t>
      </w:r>
      <w:r>
        <w:rPr>
          <w:rFonts w:ascii="Times New Roman" w:hAnsi="Times New Roman"/>
        </w:rPr>
        <w:t xml:space="preserve"> in controlled access settings to which FIs cannot gain access. Other increasingly common barriers include </w:t>
      </w:r>
      <w:r>
        <w:t xml:space="preserve">people not answering door to unexpected visitors and community forums that broadcasting false information about </w:t>
      </w:r>
      <w:r w:rsidR="00BD6C2B">
        <w:t>NSDUH</w:t>
      </w:r>
      <w:r w:rsidR="002800E3">
        <w:t xml:space="preserve"> </w:t>
      </w:r>
      <w:r>
        <w:t xml:space="preserve">of the FI assigned to their area. Web mode provides members of SDUs another option to determine the legitimacy and purpose of </w:t>
      </w:r>
      <w:r w:rsidR="00BD6C2B">
        <w:t>NSDUH</w:t>
      </w:r>
      <w:r w:rsidR="002800E3">
        <w:t xml:space="preserve"> </w:t>
      </w:r>
      <w:r>
        <w:t>and how to participate in the study without interacting in person with an FI.</w:t>
      </w:r>
    </w:p>
    <w:p w:rsidR="00501DD2" w:rsidRPr="005753CE" w:rsidP="00703946" w14:paraId="2EC002DE" w14:textId="77777777">
      <w:pPr>
        <w:pStyle w:val="Heading2"/>
        <w:rPr>
          <w:rFonts w:ascii="Times New Roman" w:hAnsi="Times New Roman" w:cs="Times New Roman"/>
        </w:rPr>
      </w:pPr>
      <w:r w:rsidRPr="005753CE">
        <w:rPr>
          <w:rFonts w:ascii="Times New Roman" w:hAnsi="Times New Roman" w:cs="Times New Roman"/>
        </w:rPr>
        <w:t>Nonresponse Bias Studies</w:t>
      </w:r>
      <w:r w:rsidRPr="005753CE" w:rsidR="004F072E">
        <w:rPr>
          <w:rFonts w:ascii="Times New Roman" w:hAnsi="Times New Roman" w:cs="Times New Roman"/>
        </w:rPr>
        <w:t>:</w:t>
      </w:r>
    </w:p>
    <w:p w:rsidR="00501DD2" w:rsidRPr="00FD23DF" w:rsidP="00703946" w14:paraId="173AD113" w14:textId="4AF265C7">
      <w:pPr>
        <w:pStyle w:val="BodyText"/>
        <w:rPr>
          <w:rFonts w:ascii="Times New Roman" w:hAnsi="Times New Roman" w:cs="Times New Roman"/>
        </w:rPr>
      </w:pPr>
      <w:bookmarkStart w:id="5" w:name="_Hlk78833837"/>
      <w:r w:rsidRPr="00FD23DF">
        <w:rPr>
          <w:rFonts w:ascii="Times New Roman" w:hAnsi="Times New Roman" w:cs="Times New Roman"/>
        </w:rPr>
        <w:t xml:space="preserve">In addition to the investigations noted above, </w:t>
      </w:r>
      <w:bookmarkEnd w:id="5"/>
      <w:r w:rsidRPr="00FD23DF">
        <w:rPr>
          <w:rFonts w:ascii="Times New Roman" w:hAnsi="Times New Roman" w:cs="Times New Roman"/>
        </w:rPr>
        <w:t xml:space="preserve">several studies have been conducted over the years to assess nonresponse bias in </w:t>
      </w:r>
      <w:r w:rsidR="00BD6C2B">
        <w:rPr>
          <w:rFonts w:ascii="Times New Roman" w:hAnsi="Times New Roman" w:cs="Times New Roman"/>
        </w:rPr>
        <w:t>NSDUH</w:t>
      </w:r>
      <w:r w:rsidRPr="00FD23DF">
        <w:rPr>
          <w:rFonts w:ascii="Times New Roman" w:hAnsi="Times New Roman" w:cs="Times New Roman"/>
        </w:rPr>
        <w:t xml:space="preserve">. For example, the 1990 </w:t>
      </w:r>
      <w:r w:rsidR="00BD6C2B">
        <w:rPr>
          <w:rFonts w:ascii="Times New Roman" w:hAnsi="Times New Roman" w:cs="Times New Roman"/>
        </w:rPr>
        <w:t>NSDUH</w:t>
      </w:r>
      <w:r>
        <w:rPr>
          <w:rStyle w:val="FootnoteReference"/>
          <w:rFonts w:ascii="Times New Roman" w:hAnsi="Times New Roman" w:cs="Times New Roman"/>
          <w:color w:val="000000"/>
          <w:vertAlign w:val="superscript"/>
        </w:rPr>
        <w:footnoteReference w:id="4"/>
      </w:r>
      <w:r w:rsidRPr="00FD23DF">
        <w:rPr>
          <w:rFonts w:ascii="Times New Roman" w:hAnsi="Times New Roman" w:cs="Times New Roman"/>
          <w:vertAlign w:val="superscript"/>
        </w:rPr>
        <w:t xml:space="preserve"> </w:t>
      </w:r>
      <w:r w:rsidRPr="00FD23DF">
        <w:rPr>
          <w:rFonts w:ascii="Times New Roman" w:hAnsi="Times New Roman" w:cs="Times New Roman"/>
        </w:rPr>
        <w:t xml:space="preserve">was one of six large </w:t>
      </w:r>
      <w:r w:rsidRPr="00FD23DF" w:rsidR="00CC17CC">
        <w:rPr>
          <w:rFonts w:ascii="Times New Roman" w:hAnsi="Times New Roman" w:cs="Times New Roman"/>
        </w:rPr>
        <w:t xml:space="preserve">federal </w:t>
      </w:r>
      <w:r w:rsidRPr="00FD23DF">
        <w:rPr>
          <w:rFonts w:ascii="Times New Roman" w:hAnsi="Times New Roman" w:cs="Times New Roman"/>
        </w:rPr>
        <w:t xml:space="preserve">or </w:t>
      </w:r>
      <w:r w:rsidRPr="00FD23DF" w:rsidR="00CC17CC">
        <w:rPr>
          <w:rFonts w:ascii="Times New Roman" w:hAnsi="Times New Roman" w:cs="Times New Roman"/>
        </w:rPr>
        <w:t>federally-</w:t>
      </w:r>
      <w:r w:rsidRPr="00FD23DF">
        <w:rPr>
          <w:rFonts w:ascii="Times New Roman" w:hAnsi="Times New Roman" w:cs="Times New Roman"/>
        </w:rPr>
        <w:t xml:space="preserve">sponsored surveys used in the compilation of a dataset that then was matched to the 1990 decennial census for </w:t>
      </w:r>
      <w:r w:rsidRPr="00B7346B">
        <w:rPr>
          <w:rFonts w:ascii="Times New Roman" w:hAnsi="Times New Roman" w:cs="Times New Roman"/>
        </w:rPr>
        <w:t>analyzing</w:t>
      </w:r>
      <w:r w:rsidRPr="00FD23DF">
        <w:rPr>
          <w:rFonts w:ascii="Times New Roman" w:hAnsi="Times New Roman" w:cs="Times New Roman"/>
        </w:rPr>
        <w:t xml:space="preserve"> the correlates of nonresponse (Groves and Couper, 1998). In addition, data from surveys of </w:t>
      </w:r>
      <w:r w:rsidR="00BD6C2B">
        <w:rPr>
          <w:rFonts w:ascii="Times New Roman" w:hAnsi="Times New Roman" w:cs="Times New Roman"/>
        </w:rPr>
        <w:t>NSDUH</w:t>
      </w:r>
      <w:r w:rsidRPr="00FD23DF">
        <w:rPr>
          <w:rFonts w:ascii="Times New Roman" w:hAnsi="Times New Roman" w:cs="Times New Roman"/>
        </w:rPr>
        <w:t xml:space="preserve"> FIs were combined with those from these other surveys to examine the effects of FI characteristics on nonresponse. One of the main findings was that those households with lower socioeconomic status were no less likely to cooperate than those with higher socioeconomic status; there was instead a tendency for those in high-cost housing to refuse survey requests, which was partially accounted for by residence in high-density urban areas. There was also some evidence that FIs with higher levels of confidence in their ability to gain participation achieved higher cooperation rates. </w:t>
      </w:r>
    </w:p>
    <w:p w:rsidR="00501DD2" w:rsidRPr="00FD23DF" w:rsidP="00703946" w14:paraId="467371E3" w14:textId="6637CBCA">
      <w:pPr>
        <w:pStyle w:val="BodyText"/>
        <w:rPr>
          <w:rFonts w:ascii="Times New Roman" w:hAnsi="Times New Roman" w:cs="Times New Roman"/>
        </w:rPr>
      </w:pPr>
      <w:r w:rsidRPr="00FD23DF">
        <w:rPr>
          <w:rFonts w:ascii="Times New Roman" w:hAnsi="Times New Roman" w:cs="Times New Roman"/>
        </w:rPr>
        <w:t xml:space="preserve">In follow-up to this research, a special study was undertaken on a subset of nonrespondents to the 1990 </w:t>
      </w:r>
      <w:r w:rsidR="00BD6C2B">
        <w:rPr>
          <w:rFonts w:ascii="Times New Roman" w:hAnsi="Times New Roman" w:cs="Times New Roman"/>
        </w:rPr>
        <w:t>NSDUH</w:t>
      </w:r>
      <w:r w:rsidRPr="00FD23DF">
        <w:rPr>
          <w:rFonts w:ascii="Times New Roman" w:hAnsi="Times New Roman" w:cs="Times New Roman"/>
        </w:rPr>
        <w:t xml:space="preserve"> to assess the impact of the nonresponse (Caspar, 1992). The aim was to understand the reasons people chose not to participate, or were otherwise missed in the survey, and to use this information in assessing the extent of the bias, if any, that nonresponse introduced into the 1990 </w:t>
      </w:r>
      <w:r w:rsidR="00BD6C2B">
        <w:rPr>
          <w:rFonts w:ascii="Times New Roman" w:hAnsi="Times New Roman" w:cs="Times New Roman"/>
        </w:rPr>
        <w:t>NSDUH</w:t>
      </w:r>
      <w:r w:rsidRPr="00FD23DF">
        <w:rPr>
          <w:rFonts w:ascii="Times New Roman" w:hAnsi="Times New Roman" w:cs="Times New Roman"/>
        </w:rPr>
        <w:t xml:space="preserve"> estimates. The study was conducted in the Washington, DC, area, a region with a traditionally high nonresponse rate. The follow-up survey design included a $10 incentive and a shortened version of the instrument. The response rate for the follow-up survey was 38 percent. Follow-up respondents appeared to have similar demographic characteristics to the original </w:t>
      </w:r>
      <w:r w:rsidR="00BD6C2B">
        <w:rPr>
          <w:rFonts w:ascii="Times New Roman" w:hAnsi="Times New Roman" w:cs="Times New Roman"/>
        </w:rPr>
        <w:t>NSDUH</w:t>
      </w:r>
      <w:r w:rsidRPr="00FD23DF">
        <w:rPr>
          <w:rFonts w:ascii="Times New Roman" w:hAnsi="Times New Roman" w:cs="Times New Roman"/>
        </w:rPr>
        <w:t xml:space="preserve"> respondents. Estimates of drug use for follow-up respondents showed patterns that were similar to the regular </w:t>
      </w:r>
      <w:r w:rsidR="00BD6C2B">
        <w:rPr>
          <w:rFonts w:ascii="Times New Roman" w:hAnsi="Times New Roman" w:cs="Times New Roman"/>
        </w:rPr>
        <w:t>NSDUH</w:t>
      </w:r>
      <w:r w:rsidRPr="00FD23DF">
        <w:rPr>
          <w:rFonts w:ascii="Times New Roman" w:hAnsi="Times New Roman" w:cs="Times New Roman"/>
        </w:rPr>
        <w:t xml:space="preserve"> respondents. Another finding was that among those who participated in the follow-up survey, one-third were judged by FIs to have participated in the follow-up because they were unavailable for the main survey request. Finally, 27 percent were judged to have been swayed by the incentive, and another 13 percent were judged to have participated in the follow-up due to the shorter instrument. Overall, the results did not demonstrate definitively either the presence or absence of a serious nonresponse bias in the 1990 </w:t>
      </w:r>
      <w:r w:rsidR="00BD6C2B">
        <w:rPr>
          <w:rFonts w:ascii="Times New Roman" w:hAnsi="Times New Roman" w:cs="Times New Roman"/>
        </w:rPr>
        <w:t>NSDUH</w:t>
      </w:r>
      <w:r w:rsidRPr="00FD23DF">
        <w:rPr>
          <w:rFonts w:ascii="Times New Roman" w:hAnsi="Times New Roman" w:cs="Times New Roman"/>
        </w:rPr>
        <w:t xml:space="preserve">. Based on these findings, no changes were made to </w:t>
      </w:r>
      <w:r w:rsidR="00BD6C2B">
        <w:rPr>
          <w:rFonts w:ascii="Times New Roman" w:hAnsi="Times New Roman" w:cs="Times New Roman"/>
        </w:rPr>
        <w:t>NSDUH</w:t>
      </w:r>
      <w:r w:rsidRPr="00FD23DF">
        <w:rPr>
          <w:rFonts w:ascii="Times New Roman" w:hAnsi="Times New Roman" w:cs="Times New Roman"/>
        </w:rPr>
        <w:t xml:space="preserve"> procedures.</w:t>
      </w:r>
    </w:p>
    <w:p w:rsidR="00501DD2" w:rsidRPr="00FD23DF" w:rsidP="00703946" w14:paraId="55E4DCD7" w14:textId="377EEE7A">
      <w:pPr>
        <w:pStyle w:val="BodyText"/>
        <w:rPr>
          <w:rFonts w:ascii="Times New Roman" w:hAnsi="Times New Roman" w:cs="Times New Roman"/>
        </w:rPr>
      </w:pPr>
      <w:r w:rsidRPr="00D3431F">
        <w:rPr>
          <w:rFonts w:ascii="Times New Roman" w:hAnsi="Times New Roman" w:cs="Times New Roman"/>
        </w:rPr>
        <w:t>CBHSQ</w:t>
      </w:r>
      <w:r w:rsidRPr="00FD23DF">
        <w:rPr>
          <w:rFonts w:ascii="Times New Roman" w:hAnsi="Times New Roman" w:cs="Times New Roman"/>
        </w:rPr>
        <w:t xml:space="preserve"> produced a report to address the nonresponse patterns obtained in the 1999 </w:t>
      </w:r>
      <w:r w:rsidR="00BD6C2B">
        <w:rPr>
          <w:rFonts w:ascii="Times New Roman" w:hAnsi="Times New Roman" w:cs="Times New Roman"/>
        </w:rPr>
        <w:t>NSDUH</w:t>
      </w:r>
      <w:r w:rsidRPr="00FD23DF">
        <w:rPr>
          <w:rFonts w:ascii="Times New Roman" w:hAnsi="Times New Roman" w:cs="Times New Roman"/>
        </w:rPr>
        <w:t xml:space="preserve"> (</w:t>
      </w:r>
      <w:r w:rsidRPr="00FD23DF">
        <w:rPr>
          <w:rFonts w:ascii="Times New Roman" w:hAnsi="Times New Roman" w:cs="Times New Roman"/>
        </w:rPr>
        <w:t>Eyerman</w:t>
      </w:r>
      <w:r w:rsidRPr="00FD23DF">
        <w:rPr>
          <w:rFonts w:ascii="Times New Roman" w:hAnsi="Times New Roman" w:cs="Times New Roman"/>
        </w:rPr>
        <w:t xml:space="preserve"> et al., 2002). In 1999, the </w:t>
      </w:r>
      <w:r w:rsidR="00BD6C2B">
        <w:rPr>
          <w:rFonts w:ascii="Times New Roman" w:hAnsi="Times New Roman" w:cs="Times New Roman"/>
        </w:rPr>
        <w:t>NSDUH</w:t>
      </w:r>
      <w:r w:rsidRPr="00FD23DF">
        <w:rPr>
          <w:rFonts w:ascii="Times New Roman" w:hAnsi="Times New Roman" w:cs="Times New Roman"/>
        </w:rPr>
        <w:t xml:space="preserve"> changed from PAPI to CAI instruments. The report was motivated by the relatively low response rates in the 1999 </w:t>
      </w:r>
      <w:r w:rsidR="00BD6C2B">
        <w:rPr>
          <w:rFonts w:ascii="Times New Roman" w:hAnsi="Times New Roman" w:cs="Times New Roman"/>
        </w:rPr>
        <w:t>NSDUH</w:t>
      </w:r>
      <w:r w:rsidRPr="00FD23DF">
        <w:rPr>
          <w:rFonts w:ascii="Times New Roman" w:hAnsi="Times New Roman" w:cs="Times New Roman"/>
        </w:rPr>
        <w:t xml:space="preserve">. The analyses presented in </w:t>
      </w:r>
      <w:r w:rsidRPr="00FD23DF" w:rsidR="0045483A">
        <w:rPr>
          <w:rFonts w:ascii="Times New Roman" w:hAnsi="Times New Roman" w:cs="Times New Roman"/>
        </w:rPr>
        <w:t xml:space="preserve">that </w:t>
      </w:r>
      <w:r w:rsidRPr="00FD23DF">
        <w:rPr>
          <w:rFonts w:ascii="Times New Roman" w:hAnsi="Times New Roman" w:cs="Times New Roman"/>
        </w:rPr>
        <w:t xml:space="preserve">report were produced to help provide an explanation for the rates in the 1999 </w:t>
      </w:r>
      <w:r w:rsidR="00BD6C2B">
        <w:rPr>
          <w:rFonts w:ascii="Times New Roman" w:hAnsi="Times New Roman" w:cs="Times New Roman"/>
        </w:rPr>
        <w:t>NSDUH</w:t>
      </w:r>
      <w:r w:rsidRPr="00FD23DF" w:rsidR="00B7346B">
        <w:rPr>
          <w:rFonts w:ascii="Times New Roman" w:hAnsi="Times New Roman" w:cs="Times New Roman"/>
        </w:rPr>
        <w:t xml:space="preserve"> </w:t>
      </w:r>
      <w:r w:rsidRPr="00FD23DF">
        <w:rPr>
          <w:rFonts w:ascii="Times New Roman" w:hAnsi="Times New Roman" w:cs="Times New Roman"/>
        </w:rPr>
        <w:t xml:space="preserve">and guidance for the management of future projects. The report describes </w:t>
      </w:r>
      <w:r w:rsidR="00BD6C2B">
        <w:rPr>
          <w:rFonts w:ascii="Times New Roman" w:hAnsi="Times New Roman" w:cs="Times New Roman"/>
        </w:rPr>
        <w:t>NSDUH</w:t>
      </w:r>
      <w:r w:rsidRPr="00FD23DF" w:rsidR="00B7346B">
        <w:rPr>
          <w:rFonts w:ascii="Times New Roman" w:hAnsi="Times New Roman" w:cs="Times New Roman"/>
        </w:rPr>
        <w:t xml:space="preserve"> </w:t>
      </w:r>
      <w:r w:rsidRPr="00FD23DF">
        <w:rPr>
          <w:rFonts w:ascii="Times New Roman" w:hAnsi="Times New Roman" w:cs="Times New Roman"/>
        </w:rPr>
        <w:t xml:space="preserve">data collection patterns from 1994 through 1998. It also describes the data collection process in 1999 with a detailed discussion of design changes, summary figures and statistics, and a series of logistic regressions comparing 1998 with 1999 nonresponse patterns. The results of this study </w:t>
      </w:r>
      <w:r w:rsidRPr="00FD23DF" w:rsidR="0045483A">
        <w:rPr>
          <w:rFonts w:ascii="Times New Roman" w:hAnsi="Times New Roman" w:cs="Times New Roman"/>
        </w:rPr>
        <w:t xml:space="preserve">were </w:t>
      </w:r>
      <w:r w:rsidRPr="00FD23DF">
        <w:rPr>
          <w:rFonts w:ascii="Times New Roman" w:hAnsi="Times New Roman" w:cs="Times New Roman"/>
        </w:rPr>
        <w:t xml:space="preserve">consistent with conventional wisdom within the professional survey research field and general findings in survey research literature: the nonresponse can be attributed to a set of FI influences, </w:t>
      </w:r>
      <w:r w:rsidRPr="00FD23DF">
        <w:rPr>
          <w:rFonts w:ascii="Times New Roman" w:hAnsi="Times New Roman" w:cs="Times New Roman"/>
        </w:rPr>
        <w:t xml:space="preserve">respondent influences, design features, and environmental characteristics. The nonresponse followed the demographic patterns observed in other studies, with urban and high crime areas having the worst rates. Finally, efforts taken in 1999 to improve the response rates were effective. Unfortunately, the tight labor market combined with the large increase in sample size caused these efforts to lag behind the data collection calendar. The authors used the results to generate several suggestions for the management of future projects. No major changes were made to </w:t>
      </w:r>
      <w:r w:rsidR="00BD6C2B">
        <w:rPr>
          <w:rFonts w:ascii="Times New Roman" w:hAnsi="Times New Roman" w:cs="Times New Roman"/>
        </w:rPr>
        <w:t>NSDUH</w:t>
      </w:r>
      <w:r w:rsidRPr="00FD23DF">
        <w:rPr>
          <w:rFonts w:ascii="Times New Roman" w:hAnsi="Times New Roman" w:cs="Times New Roman"/>
        </w:rPr>
        <w:t xml:space="preserve"> as a result of this research, although it—along with other general survey research findings—has led to minor tweaks to respondent cooperation approaches.</w:t>
      </w:r>
    </w:p>
    <w:p w:rsidR="00501DD2" w:rsidRPr="00FD23DF" w:rsidP="00703946" w14:paraId="47F919F8" w14:textId="6EC1AF15">
      <w:pPr>
        <w:pStyle w:val="BodyText"/>
        <w:rPr>
          <w:rFonts w:ascii="Times New Roman" w:hAnsi="Times New Roman" w:cs="Times New Roman"/>
        </w:rPr>
      </w:pPr>
      <w:r w:rsidRPr="00FD23DF">
        <w:rPr>
          <w:rFonts w:ascii="Times New Roman" w:hAnsi="Times New Roman" w:cs="Times New Roman"/>
        </w:rPr>
        <w:t xml:space="preserve">In 2004, focus groups were conducted with </w:t>
      </w:r>
      <w:r w:rsidR="00BD6C2B">
        <w:rPr>
          <w:rFonts w:ascii="Times New Roman" w:hAnsi="Times New Roman" w:cs="Times New Roman"/>
        </w:rPr>
        <w:t>NSDUH</w:t>
      </w:r>
      <w:r w:rsidRPr="00FD23DF" w:rsidR="00B7346B">
        <w:rPr>
          <w:rFonts w:ascii="Times New Roman" w:hAnsi="Times New Roman" w:cs="Times New Roman"/>
        </w:rPr>
        <w:t xml:space="preserve"> </w:t>
      </w:r>
      <w:r w:rsidRPr="00FD23DF">
        <w:rPr>
          <w:rFonts w:ascii="Times New Roman" w:hAnsi="Times New Roman" w:cs="Times New Roman"/>
        </w:rPr>
        <w:t xml:space="preserve">FIs on the topic of nonresponse among the 50 or older age group to gather information on the root causes for differential response by age. The study examined the components of nonresponse (refusals, noncontacts, and other incompletes) among the 50 or older age group. It also examined respondent, environmental, and FI characteristics in order to identify the correlates of nonresponse among the 50 or older group, including relationships that are unique to this group. Finally, they considered the root causes for differential nonresponse by age, drawing from focus group sessions with </w:t>
      </w:r>
      <w:r w:rsidR="00BD6C2B">
        <w:rPr>
          <w:rFonts w:ascii="Times New Roman" w:hAnsi="Times New Roman" w:cs="Times New Roman"/>
        </w:rPr>
        <w:t>NSDUH</w:t>
      </w:r>
      <w:r w:rsidRPr="00FD23DF" w:rsidR="00B7346B">
        <w:rPr>
          <w:rFonts w:ascii="Times New Roman" w:hAnsi="Times New Roman" w:cs="Times New Roman"/>
        </w:rPr>
        <w:t xml:space="preserve"> </w:t>
      </w:r>
      <w:r w:rsidRPr="00FD23DF">
        <w:rPr>
          <w:rFonts w:ascii="Times New Roman" w:hAnsi="Times New Roman" w:cs="Times New Roman"/>
        </w:rPr>
        <w:t xml:space="preserve">FIs on the topic of nonresponse among the 50 or older group. The results indicated that the high rate of nonresponse among the 50 or older age group was primarily due to a high rate of refusals, especially among sample members aged 50 to 69, and a high rate of physical and mental incapability among those 70 or older. It appeared that the higher rate of refusals among the 50 or older age group may, in part, have been due to fears and misperceptions about the survey and </w:t>
      </w:r>
      <w:r w:rsidRPr="00FD23DF" w:rsidR="0045483A">
        <w:rPr>
          <w:rFonts w:ascii="Times New Roman" w:hAnsi="Times New Roman" w:cs="Times New Roman"/>
        </w:rPr>
        <w:t xml:space="preserve">FIs’ </w:t>
      </w:r>
      <w:r w:rsidRPr="00FD23DF">
        <w:rPr>
          <w:rFonts w:ascii="Times New Roman" w:hAnsi="Times New Roman" w:cs="Times New Roman"/>
        </w:rPr>
        <w:t xml:space="preserve">intentions. It was suggested that increased public awareness about the study may allay these fears (Murphy et al., 2004). </w:t>
      </w:r>
    </w:p>
    <w:p w:rsidR="00501DD2" w:rsidRPr="00FD23DF" w:rsidP="00703946" w14:paraId="3A660E38" w14:textId="3DE78991">
      <w:pPr>
        <w:pStyle w:val="BodyText"/>
        <w:rPr>
          <w:rFonts w:ascii="Times New Roman" w:hAnsi="Times New Roman" w:cs="Times New Roman"/>
        </w:rPr>
      </w:pPr>
      <w:r w:rsidRPr="00FD23DF">
        <w:rPr>
          <w:rFonts w:ascii="Times New Roman" w:hAnsi="Times New Roman" w:cs="Times New Roman"/>
        </w:rPr>
        <w:t>In 2005, Murphy et al. sought a better understanding of nonresponse among the population 50 or older in order to tailor methods to improve response rates and reduce the threat of nonresponse error (</w:t>
      </w:r>
      <w:r w:rsidRPr="00391FB1">
        <w:rPr>
          <w:rFonts w:ascii="Times New Roman" w:hAnsi="Times New Roman" w:cs="Times New Roman"/>
          <w:b/>
          <w:bCs/>
        </w:rPr>
        <w:t xml:space="preserve">Attachment </w:t>
      </w:r>
      <w:r w:rsidRPr="00391FB1" w:rsidR="00D3431F">
        <w:rPr>
          <w:rFonts w:ascii="Times New Roman" w:hAnsi="Times New Roman" w:cs="Times New Roman"/>
          <w:b/>
          <w:bCs/>
        </w:rPr>
        <w:t>X</w:t>
      </w:r>
      <w:r w:rsidRPr="00FD23DF">
        <w:rPr>
          <w:rFonts w:ascii="Times New Roman" w:hAnsi="Times New Roman" w:cs="Times New Roman"/>
        </w:rPr>
        <w:t xml:space="preserve">, Nonresponse among Sample Members Aged 50 and Older Report). Nonresponse to the </w:t>
      </w:r>
      <w:r w:rsidR="00BD6C2B">
        <w:rPr>
          <w:rFonts w:ascii="Times New Roman" w:hAnsi="Times New Roman" w:cs="Times New Roman"/>
        </w:rPr>
        <w:t>NSDUH</w:t>
      </w:r>
      <w:r w:rsidRPr="00FD23DF" w:rsidR="00B7346B">
        <w:rPr>
          <w:rFonts w:ascii="Times New Roman" w:hAnsi="Times New Roman" w:cs="Times New Roman"/>
        </w:rPr>
        <w:t xml:space="preserve"> </w:t>
      </w:r>
      <w:r w:rsidRPr="00FD23DF">
        <w:rPr>
          <w:rFonts w:ascii="Times New Roman" w:hAnsi="Times New Roman" w:cs="Times New Roman"/>
        </w:rPr>
        <w:t xml:space="preserve">is historically higher among the 50 or older age group than lower age groups. Focus groups were again conducted, this time with potential </w:t>
      </w:r>
      <w:r w:rsidR="00BD6C2B">
        <w:rPr>
          <w:rFonts w:ascii="Times New Roman" w:hAnsi="Times New Roman" w:cs="Times New Roman"/>
        </w:rPr>
        <w:t>NSDUH</w:t>
      </w:r>
      <w:r w:rsidRPr="00FD23DF" w:rsidR="00B7346B">
        <w:rPr>
          <w:rFonts w:ascii="Times New Roman" w:hAnsi="Times New Roman" w:cs="Times New Roman"/>
        </w:rPr>
        <w:t xml:space="preserve"> </w:t>
      </w:r>
      <w:r w:rsidRPr="00FD23DF">
        <w:rPr>
          <w:rFonts w:ascii="Times New Roman" w:hAnsi="Times New Roman" w:cs="Times New Roman"/>
        </w:rPr>
        <w:t xml:space="preserve">respondents to examine the issue of nonresponse among persons 50 or older. Participants in these groups recommended that the </w:t>
      </w:r>
      <w:r w:rsidR="00BD6C2B">
        <w:rPr>
          <w:rFonts w:ascii="Times New Roman" w:hAnsi="Times New Roman" w:cs="Times New Roman"/>
        </w:rPr>
        <w:t>NSDUH</w:t>
      </w:r>
      <w:r w:rsidRPr="00FD23DF" w:rsidR="00B7346B">
        <w:rPr>
          <w:rFonts w:ascii="Times New Roman" w:hAnsi="Times New Roman" w:cs="Times New Roman"/>
        </w:rPr>
        <w:t xml:space="preserve"> </w:t>
      </w:r>
      <w:r w:rsidRPr="00FD23DF">
        <w:rPr>
          <w:rFonts w:ascii="Times New Roman" w:hAnsi="Times New Roman" w:cs="Times New Roman"/>
        </w:rPr>
        <w:t xml:space="preserve">contact materials focus more on establishing the legitimacy of the sponsoring and research organizations, clearly conveying the survey objectives, describing the selection process, and emphasizing the importance of the selected individual’s participation. </w:t>
      </w:r>
    </w:p>
    <w:p w:rsidR="00501DD2" w:rsidRPr="00FD23DF" w:rsidP="00703946" w14:paraId="783C4CFD" w14:textId="76954D39">
      <w:pPr>
        <w:pStyle w:val="BodyText"/>
        <w:rPr>
          <w:rFonts w:ascii="Times New Roman" w:hAnsi="Times New Roman" w:cs="Times New Roman"/>
        </w:rPr>
      </w:pPr>
      <w:r w:rsidRPr="00FD23DF">
        <w:rPr>
          <w:rFonts w:ascii="Times New Roman" w:hAnsi="Times New Roman" w:cs="Times New Roman"/>
        </w:rPr>
        <w:t xml:space="preserve">Another examination of nonresponse was done in 2005. The primary goal was to develop a methodology to reduce item nonresponse to critical items in the ACASI portion of the </w:t>
      </w:r>
      <w:r w:rsidR="00BD6C2B">
        <w:rPr>
          <w:rFonts w:ascii="Times New Roman" w:hAnsi="Times New Roman" w:cs="Times New Roman"/>
        </w:rPr>
        <w:t>NSDUH</w:t>
      </w:r>
      <w:r w:rsidRPr="00FD23DF" w:rsidR="00B7346B">
        <w:rPr>
          <w:rFonts w:ascii="Times New Roman" w:hAnsi="Times New Roman" w:cs="Times New Roman"/>
        </w:rPr>
        <w:t xml:space="preserve"> </w:t>
      </w:r>
      <w:r w:rsidRPr="00FD23DF">
        <w:rPr>
          <w:rFonts w:ascii="Times New Roman" w:hAnsi="Times New Roman" w:cs="Times New Roman"/>
        </w:rPr>
        <w:t xml:space="preserve">questionnaire (Caspar et al., 2005). Respondents providing </w:t>
      </w:r>
      <w:r w:rsidRPr="00FD23DF" w:rsidR="0045483A">
        <w:rPr>
          <w:rFonts w:ascii="Times New Roman" w:hAnsi="Times New Roman" w:cs="Times New Roman"/>
        </w:rPr>
        <w:t xml:space="preserve">“Don’t </w:t>
      </w:r>
      <w:r w:rsidRPr="00FD23DF">
        <w:rPr>
          <w:rFonts w:ascii="Times New Roman" w:hAnsi="Times New Roman" w:cs="Times New Roman"/>
        </w:rPr>
        <w:t>know</w:t>
      </w:r>
      <w:r w:rsidRPr="00FD23DF" w:rsidR="0045483A">
        <w:rPr>
          <w:rFonts w:ascii="Times New Roman" w:hAnsi="Times New Roman" w:cs="Times New Roman"/>
        </w:rPr>
        <w:t xml:space="preserve">” </w:t>
      </w:r>
      <w:r w:rsidRPr="00FD23DF">
        <w:rPr>
          <w:rFonts w:ascii="Times New Roman" w:hAnsi="Times New Roman" w:cs="Times New Roman"/>
        </w:rPr>
        <w:t xml:space="preserve">or </w:t>
      </w:r>
      <w:r w:rsidRPr="00FD23DF" w:rsidR="0045483A">
        <w:rPr>
          <w:rFonts w:ascii="Times New Roman" w:hAnsi="Times New Roman" w:cs="Times New Roman"/>
        </w:rPr>
        <w:t>“</w:t>
      </w:r>
      <w:r w:rsidRPr="00FD23DF">
        <w:rPr>
          <w:rFonts w:ascii="Times New Roman" w:hAnsi="Times New Roman" w:cs="Times New Roman"/>
        </w:rPr>
        <w:t>Refused</w:t>
      </w:r>
      <w:r w:rsidRPr="00FD23DF" w:rsidR="0045483A">
        <w:rPr>
          <w:rFonts w:ascii="Times New Roman" w:hAnsi="Times New Roman" w:cs="Times New Roman"/>
        </w:rPr>
        <w:t xml:space="preserve">” </w:t>
      </w:r>
      <w:r w:rsidRPr="00FD23DF">
        <w:rPr>
          <w:rFonts w:ascii="Times New Roman" w:hAnsi="Times New Roman" w:cs="Times New Roman"/>
        </w:rPr>
        <w:t xml:space="preserve">responses to items designated as essential to the study's objectives received tailored follow-up questions designed to simulate FI probes. Logistic regression was used to determine what respondent characteristics tended to be associated with triggering follow-up questions. The analyses showed that item nonresponse to the critical items is quite low, so the authors caution the reader to interpret the data with care. However, the findings suggest the follow-up methodology is a useful strategy for reducing item nonresponse, particularly when the nonresponse is due to </w:t>
      </w:r>
      <w:r w:rsidRPr="00FD23DF" w:rsidR="0045483A">
        <w:rPr>
          <w:rFonts w:ascii="Times New Roman" w:hAnsi="Times New Roman" w:cs="Times New Roman"/>
        </w:rPr>
        <w:t>“</w:t>
      </w:r>
      <w:r w:rsidRPr="00FD23DF">
        <w:rPr>
          <w:rFonts w:ascii="Times New Roman" w:hAnsi="Times New Roman" w:cs="Times New Roman"/>
        </w:rPr>
        <w:t>Don</w:t>
      </w:r>
      <w:r w:rsidRPr="00FD23DF" w:rsidR="0045483A">
        <w:rPr>
          <w:rFonts w:ascii="Times New Roman" w:hAnsi="Times New Roman" w:cs="Times New Roman"/>
        </w:rPr>
        <w:t>’</w:t>
      </w:r>
      <w:r w:rsidRPr="00FD23DF">
        <w:rPr>
          <w:rFonts w:ascii="Times New Roman" w:hAnsi="Times New Roman" w:cs="Times New Roman"/>
        </w:rPr>
        <w:t>t know</w:t>
      </w:r>
      <w:r w:rsidRPr="00FD23DF" w:rsidR="0045483A">
        <w:rPr>
          <w:rFonts w:ascii="Times New Roman" w:hAnsi="Times New Roman" w:cs="Times New Roman"/>
        </w:rPr>
        <w:t>”</w:t>
      </w:r>
      <w:r w:rsidRPr="00FD23DF">
        <w:rPr>
          <w:rFonts w:ascii="Times New Roman" w:hAnsi="Times New Roman" w:cs="Times New Roman"/>
        </w:rPr>
        <w:t xml:space="preserve"> responses. In response, follow</w:t>
      </w:r>
      <w:r w:rsidRPr="00FD23DF" w:rsidR="0045483A">
        <w:rPr>
          <w:rFonts w:ascii="Times New Roman" w:hAnsi="Times New Roman" w:cs="Times New Roman"/>
        </w:rPr>
        <w:t>-</w:t>
      </w:r>
      <w:r w:rsidRPr="00FD23DF">
        <w:rPr>
          <w:rFonts w:ascii="Times New Roman" w:hAnsi="Times New Roman" w:cs="Times New Roman"/>
        </w:rPr>
        <w:t xml:space="preserve">up questions were added to the survey and asked when respondents </w:t>
      </w:r>
      <w:r w:rsidRPr="00FD23DF">
        <w:rPr>
          <w:rFonts w:ascii="Times New Roman" w:hAnsi="Times New Roman" w:cs="Times New Roman"/>
        </w:rPr>
        <w:t xml:space="preserve">indicated they did not know the answer to a question or refused to answer a question. These follow-up items encouraged respondents to provide their best </w:t>
      </w:r>
      <w:r w:rsidRPr="00FD23DF" w:rsidR="00C45982">
        <w:rPr>
          <w:rFonts w:ascii="Times New Roman" w:hAnsi="Times New Roman" w:cs="Times New Roman"/>
        </w:rPr>
        <w:t>guess or</w:t>
      </w:r>
      <w:r w:rsidRPr="00FD23DF">
        <w:rPr>
          <w:rFonts w:ascii="Times New Roman" w:hAnsi="Times New Roman" w:cs="Times New Roman"/>
        </w:rPr>
        <w:t xml:space="preserve"> presented an assurance of data confidentiality in order to encourage response.</w:t>
      </w:r>
    </w:p>
    <w:p w:rsidR="00501DD2" w:rsidRPr="00FD23DF" w:rsidP="00703946" w14:paraId="3C626D29" w14:textId="58C083D5">
      <w:pPr>
        <w:pStyle w:val="BodyText"/>
        <w:rPr>
          <w:rFonts w:ascii="Times New Roman" w:hAnsi="Times New Roman" w:cs="Times New Roman"/>
        </w:rPr>
      </w:pPr>
      <w:r w:rsidRPr="00FD23DF">
        <w:rPr>
          <w:rFonts w:ascii="Times New Roman" w:hAnsi="Times New Roman" w:cs="Times New Roman"/>
        </w:rPr>
        <w:t xml:space="preserve">Biemer and Link (2007) conducted additional nonresponse research to provide a general method for nonresponse adjustment that relaxed the ignorable nonresponse assumption. Their method, which extended the ideas of Drew and Fuller (1980), used level-of-effort (LOE) indicators based on call attempts to model the response propensity. In most surveys, call history data are available for all sample members, including nonrespondents. Because the LOE required to interview a sample member is likely to be highly correlated with response propensity, this method is ideally suited for modeling the nonignorable nonresponse. The approach was first studied in a telephone survey setting and then applied to data from the 2006 </w:t>
      </w:r>
      <w:r w:rsidR="00BD6C2B">
        <w:rPr>
          <w:rFonts w:ascii="Times New Roman" w:hAnsi="Times New Roman" w:cs="Times New Roman"/>
        </w:rPr>
        <w:t>NSDUH</w:t>
      </w:r>
      <w:r w:rsidRPr="00FD23DF">
        <w:rPr>
          <w:rFonts w:ascii="Times New Roman" w:hAnsi="Times New Roman" w:cs="Times New Roman"/>
        </w:rPr>
        <w:t xml:space="preserve">, where LOE was measured by contact attempts (or callbacks) made by FIs. </w:t>
      </w:r>
    </w:p>
    <w:p w:rsidR="00501DD2" w:rsidRPr="00FD23DF" w:rsidP="00703946" w14:paraId="2702A36D" w14:textId="2FF579AB">
      <w:pPr>
        <w:pStyle w:val="BodyText"/>
        <w:rPr>
          <w:rFonts w:ascii="Times New Roman" w:hAnsi="Times New Roman" w:cs="Times New Roman"/>
          <w:color w:val="000000"/>
        </w:rPr>
      </w:pPr>
      <w:r w:rsidRPr="00FD23DF">
        <w:rPr>
          <w:rFonts w:ascii="Times New Roman" w:hAnsi="Times New Roman" w:cs="Times New Roman"/>
          <w:color w:val="000000"/>
        </w:rPr>
        <w:t xml:space="preserve">The callback modeling approach investigation confirmed what was known from other studies on nonresponse adjustment approaches (i.e., there is no uniformly best approach for reducing the effects of nonresponse on survey estimates). All models under consideration were the best in eliminating nonresponse bias in different situations using various measures. Furthermore, possible errors in the callback data reported by FIs, such as underreporting of callback attempts, raise concerns about the accuracy of the bias estimates. Unfortunately, it is very difficult to apply uniform callback reporting procedures amongst the large </w:t>
      </w:r>
      <w:r w:rsidR="00BD6C2B">
        <w:rPr>
          <w:rFonts w:ascii="Times New Roman" w:hAnsi="Times New Roman" w:cs="Times New Roman"/>
          <w:color w:val="000000"/>
        </w:rPr>
        <w:t>NSDUH</w:t>
      </w:r>
      <w:r w:rsidRPr="00FD23DF" w:rsidR="00B7346B">
        <w:rPr>
          <w:rFonts w:ascii="Times New Roman" w:hAnsi="Times New Roman" w:cs="Times New Roman"/>
          <w:color w:val="000000"/>
        </w:rPr>
        <w:t xml:space="preserve"> </w:t>
      </w:r>
      <w:r w:rsidRPr="00FD23DF">
        <w:rPr>
          <w:rFonts w:ascii="Times New Roman" w:hAnsi="Times New Roman" w:cs="Times New Roman"/>
          <w:color w:val="000000"/>
        </w:rPr>
        <w:t>interviewing staff, which is spread across the country. An updated study of the callback modeling approach was completed in 2013 and similar conclusions were reached on errors in the callback data reported by FIs (Biemer, Chen, and Wang, 2013).</w:t>
      </w:r>
      <w:r w:rsidRPr="00FD23DF" w:rsidR="00F256E7">
        <w:rPr>
          <w:rFonts w:ascii="Times New Roman" w:hAnsi="Times New Roman" w:cs="Times New Roman"/>
          <w:color w:val="000000"/>
        </w:rPr>
        <w:t xml:space="preserve"> </w:t>
      </w:r>
      <w:r w:rsidRPr="00FD23DF">
        <w:rPr>
          <w:rFonts w:ascii="Times New Roman" w:hAnsi="Times New Roman" w:cs="Times New Roman"/>
          <w:color w:val="000000"/>
        </w:rPr>
        <w:t xml:space="preserve">For these reasons, the callback modeling approach was not implemented in the </w:t>
      </w:r>
      <w:r w:rsidR="00BD6C2B">
        <w:rPr>
          <w:rFonts w:ascii="Times New Roman" w:hAnsi="Times New Roman" w:cs="Times New Roman"/>
          <w:color w:val="000000"/>
        </w:rPr>
        <w:t>NSDUH</w:t>
      </w:r>
      <w:r w:rsidRPr="00FD23DF" w:rsidR="00B7346B">
        <w:rPr>
          <w:rFonts w:ascii="Times New Roman" w:hAnsi="Times New Roman" w:cs="Times New Roman"/>
          <w:color w:val="000000"/>
        </w:rPr>
        <w:t xml:space="preserve"> </w:t>
      </w:r>
      <w:r w:rsidRPr="00FD23DF">
        <w:rPr>
          <w:rFonts w:ascii="Times New Roman" w:hAnsi="Times New Roman" w:cs="Times New Roman"/>
          <w:color w:val="000000"/>
        </w:rPr>
        <w:t>nonresponse weighting adjustment process (Biemer and Link, 2007; Biemer, Chen, and Wang, 2013).</w:t>
      </w:r>
    </w:p>
    <w:p w:rsidR="00501DD2" w:rsidRPr="00FD23DF" w:rsidP="00703946" w14:paraId="2B4444CC" w14:textId="77495AE0">
      <w:pPr>
        <w:spacing w:after="120"/>
        <w:ind w:left="720"/>
        <w:rPr>
          <w:rFonts w:ascii="Times New Roman" w:hAnsi="Times New Roman"/>
          <w:color w:val="000000"/>
        </w:rPr>
      </w:pPr>
      <w:r w:rsidRPr="00FD23DF">
        <w:rPr>
          <w:rFonts w:ascii="Times New Roman" w:hAnsi="Times New Roman"/>
          <w:color w:val="000000"/>
        </w:rPr>
        <w:t xml:space="preserve">Methods to assess nonresponse bias vary and each has its limitations (Groves, 2006). Some methods include follow-up studies, comparisons to other surveys, comparing alternative post-survey adjustments to examine imbalances in the data, and analysis of trend data that may suggest a change in the characteristics of respondents. When comparing to other surveys such as Monitoring the Future (MTF), comparable trends </w:t>
      </w:r>
      <w:r w:rsidRPr="00FD23DF" w:rsidR="0045483A">
        <w:rPr>
          <w:rFonts w:ascii="Times New Roman" w:hAnsi="Times New Roman"/>
          <w:color w:val="000000"/>
        </w:rPr>
        <w:t xml:space="preserve">were found </w:t>
      </w:r>
      <w:r w:rsidRPr="00FD23DF">
        <w:rPr>
          <w:rFonts w:ascii="Times New Roman" w:hAnsi="Times New Roman"/>
          <w:color w:val="000000"/>
        </w:rPr>
        <w:t>even though the estimates themselves differ in magnitude (mostly due to differences in survey designs). For example, trends in </w:t>
      </w:r>
      <w:r w:rsidR="00BD6C2B">
        <w:rPr>
          <w:rFonts w:ascii="Times New Roman" w:hAnsi="Times New Roman"/>
          <w:color w:val="000000"/>
        </w:rPr>
        <w:t>NSDUH</w:t>
      </w:r>
      <w:r w:rsidRPr="00FD23DF" w:rsidR="00B7346B">
        <w:rPr>
          <w:rFonts w:ascii="Times New Roman" w:hAnsi="Times New Roman"/>
          <w:color w:val="000000"/>
        </w:rPr>
        <w:t xml:space="preserve"> </w:t>
      </w:r>
      <w:r w:rsidRPr="00FD23DF">
        <w:rPr>
          <w:rFonts w:ascii="Times New Roman" w:hAnsi="Times New Roman"/>
          <w:color w:val="000000"/>
        </w:rPr>
        <w:t>and MTF cigarette use between 2002 and 2012 show a consistent pattern</w:t>
      </w:r>
      <w:r w:rsidRPr="00FD23DF" w:rsidR="00240AA2">
        <w:rPr>
          <w:rFonts w:ascii="Times New Roman" w:hAnsi="Times New Roman"/>
          <w:color w:val="000000"/>
        </w:rPr>
        <w:t xml:space="preserve">: </w:t>
      </w:r>
    </w:p>
    <w:p w:rsidR="0045483A" w:rsidRPr="00FD23DF" w:rsidP="004F072E" w14:paraId="7510026C" w14:textId="77777777">
      <w:pPr>
        <w:spacing w:after="120"/>
        <w:ind w:left="720"/>
        <w:rPr>
          <w:rFonts w:ascii="Times New Roman" w:hAnsi="Times New Roman"/>
          <w:color w:val="000000"/>
        </w:rPr>
      </w:pPr>
      <w:hyperlink r:id="rId29" w:anchor="fig8.2" w:history="1">
        <w:r w:rsidRPr="00FD23DF" w:rsidR="00AA0F61">
          <w:rPr>
            <w:rStyle w:val="Hyperlink"/>
            <w:rFonts w:ascii="Times New Roman" w:hAnsi="Times New Roman" w:cs="Times New Roman"/>
          </w:rPr>
          <w:t>https://www.samhsa.gov/data/sites/default/files/NSDUHresults2012/NSDUHresults2012.htm#fig8.2</w:t>
        </w:r>
      </w:hyperlink>
    </w:p>
    <w:p w:rsidR="0045483A" w:rsidRPr="00FD23DF" w:rsidP="004F072E" w14:paraId="0239F1E8" w14:textId="543047B3">
      <w:pPr>
        <w:spacing w:after="120"/>
        <w:ind w:left="720"/>
        <w:rPr>
          <w:rFonts w:ascii="Times New Roman" w:hAnsi="Times New Roman"/>
          <w:color w:val="000000"/>
        </w:rPr>
      </w:pPr>
      <w:r w:rsidRPr="00FD23DF">
        <w:rPr>
          <w:rFonts w:ascii="Times New Roman" w:hAnsi="Times New Roman"/>
          <w:color w:val="000000"/>
        </w:rPr>
        <w:t>Using a different approach, information in a </w:t>
      </w:r>
      <w:r w:rsidR="00BD6C2B">
        <w:rPr>
          <w:rFonts w:ascii="Times New Roman" w:hAnsi="Times New Roman"/>
          <w:color w:val="000000"/>
        </w:rPr>
        <w:t>NSDUH</w:t>
      </w:r>
      <w:r w:rsidRPr="00FD23DF" w:rsidR="00B7346B">
        <w:rPr>
          <w:rFonts w:ascii="Times New Roman" w:hAnsi="Times New Roman"/>
          <w:color w:val="000000"/>
        </w:rPr>
        <w:t xml:space="preserve"> </w:t>
      </w:r>
      <w:r w:rsidRPr="00FD23DF">
        <w:rPr>
          <w:rFonts w:ascii="Times New Roman" w:hAnsi="Times New Roman"/>
          <w:color w:val="000000"/>
        </w:rPr>
        <w:t>report suggests that alternative weighting methods based on variables correlated with nonresponse were not better or only slightly better than the current weighting procedure</w:t>
      </w:r>
      <w:r w:rsidRPr="00FD23DF" w:rsidR="00240AA2">
        <w:rPr>
          <w:rFonts w:ascii="Times New Roman" w:hAnsi="Times New Roman"/>
          <w:color w:val="000000"/>
        </w:rPr>
        <w:t xml:space="preserve">: </w:t>
      </w:r>
      <w:r w:rsidRPr="00FD23DF">
        <w:rPr>
          <w:rFonts w:ascii="Times New Roman" w:hAnsi="Times New Roman"/>
          <w:color w:val="000000"/>
        </w:rPr>
        <w:t xml:space="preserve"> </w:t>
      </w:r>
    </w:p>
    <w:p w:rsidR="002B5483" w:rsidRPr="00FD23DF" w:rsidP="004F072E" w14:paraId="040210C0" w14:textId="77777777">
      <w:pPr>
        <w:spacing w:after="120"/>
        <w:ind w:left="720"/>
        <w:rPr>
          <w:rFonts w:ascii="Times New Roman" w:hAnsi="Times New Roman"/>
          <w:color w:val="000000"/>
        </w:rPr>
      </w:pPr>
      <w:r w:rsidRPr="00FD23DF">
        <w:rPr>
          <w:rStyle w:val="Hyperlink"/>
          <w:rFonts w:ascii="Times New Roman" w:hAnsi="Times New Roman"/>
        </w:rPr>
        <w:t>https://www.samhsa.gov/data/sites/default/files/NSDUHCallbackModelReport2013/NSDUHCallbackModelReport2013.pdf</w:t>
      </w:r>
      <w:r w:rsidRPr="00FD23DF" w:rsidR="00501DD2">
        <w:rPr>
          <w:rFonts w:ascii="Times New Roman" w:hAnsi="Times New Roman"/>
          <w:color w:val="000000"/>
        </w:rPr>
        <w:t xml:space="preserve"> </w:t>
      </w:r>
    </w:p>
    <w:p w:rsidR="002B5483" w:rsidRPr="00FD23DF" w:rsidP="004F072E" w14:paraId="5E494375" w14:textId="77777777">
      <w:pPr>
        <w:spacing w:after="120"/>
        <w:ind w:left="720"/>
        <w:rPr>
          <w:rFonts w:ascii="Times New Roman" w:hAnsi="Times New Roman"/>
          <w:color w:val="000000"/>
        </w:rPr>
      </w:pPr>
      <w:r w:rsidRPr="00FD23DF">
        <w:rPr>
          <w:rFonts w:ascii="Times New Roman" w:hAnsi="Times New Roman"/>
          <w:color w:val="000000"/>
        </w:rPr>
        <w:t>In April 2015, a study was conducted on the potential for declines in the screen</w:t>
      </w:r>
      <w:r w:rsidRPr="00FD23DF" w:rsidR="007F2075">
        <w:rPr>
          <w:rFonts w:ascii="Times New Roman" w:hAnsi="Times New Roman"/>
          <w:color w:val="000000"/>
        </w:rPr>
        <w:t>ing</w:t>
      </w:r>
      <w:r w:rsidRPr="00FD23DF">
        <w:rPr>
          <w:rFonts w:ascii="Times New Roman" w:hAnsi="Times New Roman"/>
          <w:color w:val="000000"/>
        </w:rPr>
        <w:t xml:space="preserve"> response rate to introduce nonresponse bias for trend estimates. The primary purpose of </w:t>
      </w:r>
      <w:r w:rsidRPr="00FD23DF">
        <w:rPr>
          <w:rFonts w:ascii="Times New Roman" w:hAnsi="Times New Roman"/>
          <w:color w:val="000000"/>
        </w:rPr>
        <w:t xml:space="preserve">these analyses was to examine any potential impact of steep declines in the </w:t>
      </w:r>
      <w:r w:rsidRPr="00FD23DF" w:rsidR="007F2075">
        <w:rPr>
          <w:rFonts w:ascii="Times New Roman" w:hAnsi="Times New Roman"/>
          <w:color w:val="000000"/>
        </w:rPr>
        <w:t>screening</w:t>
      </w:r>
      <w:r w:rsidRPr="00FD23DF">
        <w:rPr>
          <w:rFonts w:ascii="Times New Roman" w:hAnsi="Times New Roman"/>
          <w:color w:val="000000"/>
        </w:rPr>
        <w:t xml:space="preserve"> response rate observed in 2013 and the first three quarters of 2014 on nonresponse bias. The common approach in these analyses was to examine changes over time from 2007 through 2014, rather than estimating nonresponse bias only at one point in time.</w:t>
      </w:r>
    </w:p>
    <w:p w:rsidR="002B5483" w:rsidRPr="00FD23DF" w:rsidP="004F072E" w14:paraId="3BADC8B2" w14:textId="77777777">
      <w:pPr>
        <w:spacing w:after="120"/>
        <w:ind w:left="720"/>
        <w:rPr>
          <w:rFonts w:ascii="Times New Roman" w:hAnsi="Times New Roman"/>
          <w:color w:val="000000"/>
        </w:rPr>
      </w:pPr>
      <w:r w:rsidRPr="00FD23DF">
        <w:rPr>
          <w:rFonts w:ascii="Times New Roman" w:hAnsi="Times New Roman"/>
          <w:color w:val="000000"/>
        </w:rPr>
        <w:t xml:space="preserve">The first analysis evaluated whether there were any apparent changes in the reliance on variables in the </w:t>
      </w:r>
      <w:r w:rsidRPr="00FD23DF" w:rsidR="007F2075">
        <w:rPr>
          <w:rFonts w:ascii="Times New Roman" w:hAnsi="Times New Roman"/>
          <w:color w:val="000000"/>
        </w:rPr>
        <w:t>screening</w:t>
      </w:r>
      <w:r w:rsidRPr="00FD23DF">
        <w:rPr>
          <w:rFonts w:ascii="Times New Roman" w:hAnsi="Times New Roman"/>
          <w:color w:val="000000"/>
        </w:rPr>
        <w:t xml:space="preserve"> nonresponse </w:t>
      </w:r>
      <w:r w:rsidRPr="00FD23DF" w:rsidR="008A4E0A">
        <w:rPr>
          <w:rFonts w:ascii="Times New Roman" w:hAnsi="Times New Roman"/>
          <w:color w:val="000000"/>
        </w:rPr>
        <w:t xml:space="preserve">weighting </w:t>
      </w:r>
      <w:r w:rsidRPr="00FD23DF">
        <w:rPr>
          <w:rFonts w:ascii="Times New Roman" w:hAnsi="Times New Roman"/>
          <w:color w:val="000000"/>
        </w:rPr>
        <w:t>adjustment models over time.</w:t>
      </w:r>
    </w:p>
    <w:p w:rsidR="002B5483" w:rsidRPr="00FD23DF" w:rsidP="004F072E" w14:paraId="14F9201F" w14:textId="64D83C6C">
      <w:pPr>
        <w:spacing w:after="120"/>
        <w:ind w:left="720"/>
        <w:rPr>
          <w:rFonts w:ascii="Times New Roman" w:hAnsi="Times New Roman"/>
          <w:color w:val="000000"/>
        </w:rPr>
      </w:pPr>
      <w:r w:rsidRPr="00FD23DF">
        <w:rPr>
          <w:rFonts w:ascii="Times New Roman" w:hAnsi="Times New Roman"/>
          <w:color w:val="000000"/>
        </w:rPr>
        <w:t xml:space="preserve">The second analysis used household level demographic estimates from the Current Population Survey (CPS) as a “gold standard” basis of comparison for similar estimates constructed from the </w:t>
      </w:r>
      <w:r w:rsidR="00BD6C2B">
        <w:rPr>
          <w:rFonts w:ascii="Times New Roman" w:hAnsi="Times New Roman"/>
          <w:color w:val="000000"/>
        </w:rPr>
        <w:t>NSDUH</w:t>
      </w:r>
      <w:r w:rsidRPr="00FD23DF" w:rsidR="00B7346B">
        <w:rPr>
          <w:rFonts w:ascii="Times New Roman" w:hAnsi="Times New Roman"/>
          <w:color w:val="000000"/>
        </w:rPr>
        <w:t xml:space="preserve"> </w:t>
      </w:r>
      <w:r w:rsidRPr="00FD23DF" w:rsidR="007F2075">
        <w:rPr>
          <w:rFonts w:ascii="Times New Roman" w:hAnsi="Times New Roman"/>
          <w:color w:val="000000"/>
        </w:rPr>
        <w:t>screening</w:t>
      </w:r>
      <w:r w:rsidRPr="00FD23DF">
        <w:rPr>
          <w:rFonts w:ascii="Times New Roman" w:hAnsi="Times New Roman"/>
          <w:color w:val="000000"/>
        </w:rPr>
        <w:t xml:space="preserve">. CPS quarterly estimates related to household size, age, gender, race, Hispanic origin and active military duty status were compared with </w:t>
      </w:r>
      <w:r w:rsidR="00BD6C2B">
        <w:rPr>
          <w:rFonts w:ascii="Times New Roman" w:hAnsi="Times New Roman"/>
          <w:color w:val="000000"/>
        </w:rPr>
        <w:t>NSDUH</w:t>
      </w:r>
      <w:r w:rsidRPr="00FD23DF" w:rsidR="00B7346B">
        <w:rPr>
          <w:rFonts w:ascii="Times New Roman" w:hAnsi="Times New Roman"/>
          <w:color w:val="000000"/>
        </w:rPr>
        <w:t xml:space="preserve"> </w:t>
      </w:r>
      <w:r w:rsidRPr="00FD23DF">
        <w:rPr>
          <w:rFonts w:ascii="Times New Roman" w:hAnsi="Times New Roman"/>
          <w:color w:val="000000"/>
        </w:rPr>
        <w:t>selection weighted estimates (</w:t>
      </w:r>
      <w:r w:rsidRPr="00FD23DF" w:rsidR="008A4E0A">
        <w:rPr>
          <w:rFonts w:ascii="Times New Roman" w:hAnsi="Times New Roman"/>
          <w:color w:val="000000"/>
        </w:rPr>
        <w:t>i.e.</w:t>
      </w:r>
      <w:r w:rsidR="004F072E">
        <w:rPr>
          <w:rFonts w:ascii="Times New Roman" w:hAnsi="Times New Roman"/>
          <w:color w:val="000000"/>
        </w:rPr>
        <w:t>,</w:t>
      </w:r>
      <w:r w:rsidRPr="00FD23DF" w:rsidR="008A4E0A">
        <w:rPr>
          <w:rFonts w:ascii="Times New Roman" w:hAnsi="Times New Roman"/>
          <w:color w:val="000000"/>
        </w:rPr>
        <w:t xml:space="preserve"> </w:t>
      </w:r>
      <w:r w:rsidR="00BD6C2B">
        <w:rPr>
          <w:rFonts w:ascii="Times New Roman" w:hAnsi="Times New Roman"/>
          <w:color w:val="000000"/>
        </w:rPr>
        <w:t>NSDUH</w:t>
      </w:r>
      <w:r w:rsidRPr="00FD23DF" w:rsidR="00B7346B">
        <w:rPr>
          <w:rFonts w:ascii="Times New Roman" w:hAnsi="Times New Roman"/>
          <w:color w:val="000000"/>
        </w:rPr>
        <w:t xml:space="preserve"> </w:t>
      </w:r>
      <w:r w:rsidRPr="00FD23DF" w:rsidR="008A4E0A">
        <w:rPr>
          <w:rFonts w:ascii="Times New Roman" w:hAnsi="Times New Roman"/>
          <w:color w:val="000000"/>
        </w:rPr>
        <w:t xml:space="preserve">base </w:t>
      </w:r>
      <w:r w:rsidRPr="00FD23DF">
        <w:rPr>
          <w:rFonts w:ascii="Times New Roman" w:hAnsi="Times New Roman"/>
          <w:color w:val="000000"/>
        </w:rPr>
        <w:t>weights that do not adjust for nonresponse and are not adjusted to population control totals).</w:t>
      </w:r>
    </w:p>
    <w:p w:rsidR="002B5483" w:rsidP="004F072E" w14:paraId="3451F55E" w14:textId="5D7D439C">
      <w:pPr>
        <w:spacing w:after="120"/>
        <w:ind w:left="720"/>
        <w:rPr>
          <w:rFonts w:ascii="Times New Roman" w:hAnsi="Times New Roman"/>
          <w:color w:val="000000"/>
        </w:rPr>
      </w:pPr>
      <w:r w:rsidRPr="00FD23DF">
        <w:rPr>
          <w:rFonts w:ascii="Times New Roman" w:hAnsi="Times New Roman"/>
          <w:color w:val="000000"/>
        </w:rPr>
        <w:t xml:space="preserve">The third analysis used data from the National Health Interview Survey (NHIS) to compare estimates of cigarette smoking and alcohol consumption over time with estimates from </w:t>
      </w:r>
      <w:r w:rsidR="00BD6C2B">
        <w:rPr>
          <w:rFonts w:ascii="Times New Roman" w:hAnsi="Times New Roman"/>
          <w:color w:val="000000"/>
        </w:rPr>
        <w:t>NSDUH</w:t>
      </w:r>
      <w:r w:rsidRPr="00FD23DF">
        <w:rPr>
          <w:rFonts w:ascii="Times New Roman" w:hAnsi="Times New Roman"/>
          <w:color w:val="000000"/>
        </w:rPr>
        <w:t xml:space="preserve">. Overall, the results of these analyses provided little evidence of any systematic change </w:t>
      </w:r>
      <w:r w:rsidRPr="00FD23DF" w:rsidR="008A4E0A">
        <w:rPr>
          <w:rFonts w:ascii="Times New Roman" w:hAnsi="Times New Roman"/>
          <w:color w:val="000000"/>
        </w:rPr>
        <w:t xml:space="preserve">in </w:t>
      </w:r>
      <w:r w:rsidRPr="00FD23DF">
        <w:rPr>
          <w:rFonts w:ascii="Times New Roman" w:hAnsi="Times New Roman"/>
          <w:color w:val="000000"/>
        </w:rPr>
        <w:t xml:space="preserve">trend estimates during a period of relatively steeper declines in screening response rates. In January 2018, </w:t>
      </w:r>
      <w:r w:rsidR="00BD6C2B">
        <w:rPr>
          <w:rFonts w:ascii="Times New Roman" w:hAnsi="Times New Roman"/>
          <w:color w:val="000000"/>
        </w:rPr>
        <w:t>NSDUH</w:t>
      </w:r>
      <w:r w:rsidRPr="00FD23DF" w:rsidR="00B7346B">
        <w:rPr>
          <w:rFonts w:ascii="Times New Roman" w:hAnsi="Times New Roman"/>
          <w:color w:val="000000"/>
        </w:rPr>
        <w:t xml:space="preserve"> </w:t>
      </w:r>
      <w:r w:rsidRPr="00FD23DF">
        <w:rPr>
          <w:rFonts w:ascii="Times New Roman" w:hAnsi="Times New Roman"/>
          <w:color w:val="000000"/>
        </w:rPr>
        <w:t>benchmark comparisons with CPS and NHIS were reproduced through the 2016 survey year</w:t>
      </w:r>
      <w:r w:rsidRPr="00FD23DF" w:rsidR="008A4E0A">
        <w:rPr>
          <w:rFonts w:ascii="Times New Roman" w:hAnsi="Times New Roman"/>
          <w:color w:val="000000"/>
        </w:rPr>
        <w:t xml:space="preserve"> which confirmed earlier findings</w:t>
      </w:r>
      <w:r w:rsidRPr="00FD23DF">
        <w:rPr>
          <w:rFonts w:ascii="Times New Roman" w:hAnsi="Times New Roman"/>
          <w:color w:val="000000"/>
        </w:rPr>
        <w:t>.</w:t>
      </w:r>
    </w:p>
    <w:p w:rsidR="00A107C6" w:rsidRPr="00A107C6" w:rsidP="004F072E" w14:paraId="473EE227" w14:textId="2997B002">
      <w:pPr>
        <w:spacing w:after="120"/>
        <w:ind w:left="720"/>
        <w:rPr>
          <w:rFonts w:ascii="Times New Roman" w:hAnsi="Times New Roman"/>
          <w:color w:val="000000"/>
        </w:rPr>
      </w:pPr>
      <w:r w:rsidRPr="00A107C6">
        <w:rPr>
          <w:rFonts w:ascii="Times New Roman" w:hAnsi="Times New Roman"/>
          <w:color w:val="000000"/>
        </w:rPr>
        <w:t xml:space="preserve">In accordance with Office of Management and Budget </w:t>
      </w:r>
      <w:r w:rsidR="00374EAB">
        <w:rPr>
          <w:rFonts w:ascii="Times New Roman" w:hAnsi="Times New Roman"/>
          <w:color w:val="000000"/>
        </w:rPr>
        <w:t xml:space="preserve">(OMB) </w:t>
      </w:r>
      <w:r w:rsidRPr="00A107C6">
        <w:rPr>
          <w:rFonts w:ascii="Times New Roman" w:hAnsi="Times New Roman"/>
          <w:color w:val="000000"/>
        </w:rPr>
        <w:t xml:space="preserve">standards, SAMHSA conducted a new nonresponse bias study in 2022 using 2021 </w:t>
      </w:r>
      <w:r w:rsidR="00BD6C2B">
        <w:rPr>
          <w:rFonts w:ascii="Times New Roman" w:hAnsi="Times New Roman"/>
          <w:color w:val="000000"/>
        </w:rPr>
        <w:t>NSDUH</w:t>
      </w:r>
      <w:r w:rsidRPr="00A107C6">
        <w:rPr>
          <w:rFonts w:ascii="Times New Roman" w:hAnsi="Times New Roman"/>
          <w:color w:val="000000"/>
        </w:rPr>
        <w:t xml:space="preserve"> data. The goals of this nonresponse bias analysis were (1) to identify potential sources of bias in the survey estimates due to the nonresponse and (2) to determine the degree to which survey weight adjustments alleviate any bias that is found. The final report addressing both components of the</w:t>
      </w:r>
      <w:r>
        <w:rPr>
          <w:rFonts w:ascii="Times New Roman" w:hAnsi="Times New Roman"/>
          <w:color w:val="000000"/>
        </w:rPr>
        <w:t xml:space="preserve"> </w:t>
      </w:r>
      <w:r w:rsidRPr="00A107C6">
        <w:rPr>
          <w:rFonts w:ascii="Times New Roman" w:hAnsi="Times New Roman"/>
          <w:color w:val="000000"/>
        </w:rPr>
        <w:t>nonresponse bias investigation conducted in 2022 was peer-reviewed but two external experts on nonresponse bias.</w:t>
      </w:r>
    </w:p>
    <w:p w:rsidR="00A107C6" w:rsidRPr="00A107C6" w:rsidP="004F072E" w14:paraId="5276C530" w14:textId="3B480BA0">
      <w:pPr>
        <w:spacing w:after="120"/>
        <w:ind w:left="720"/>
        <w:rPr>
          <w:rFonts w:ascii="Times New Roman" w:hAnsi="Times New Roman"/>
          <w:color w:val="000000"/>
        </w:rPr>
      </w:pPr>
      <w:r w:rsidRPr="00A107C6">
        <w:rPr>
          <w:rFonts w:ascii="Times New Roman" w:hAnsi="Times New Roman"/>
          <w:color w:val="000000"/>
        </w:rPr>
        <w:t xml:space="preserve">The first analysis examined potential nonresponse bias due to impeded in-person data collection by evaluating (1) the impact of omitting in-person data collection and (2) the impact of having reduced in-person data collection in some periods. For the former, population-weighted estimates based on the web data were compared with the population-weighted estimates based on the combined web and in-person data. This comparison provided estimates of nonignorable nonresponse bias if no in-person data collection is used—nonresponse bias that cannot be corrected through weighting. For the latter, the estimated nonresponse bias as described in the former was compared between the first half of 2021, when there was substantially limited in-person data collection, and the second half of 2021, when there were fewer restrictions on in-person data collection. This comparison provided estimates of nonignorable nonresponse bias due to limited in-person data collection. Three findings on mode-related nonresponse bias have several implications, including whether and when to pool data across years, whether and when to compare data across years, and how to weight the multimode design data. First, if in-person data collection is not possible, </w:t>
      </w:r>
      <w:r w:rsidR="00BD6C2B">
        <w:rPr>
          <w:rFonts w:ascii="Times New Roman" w:hAnsi="Times New Roman"/>
          <w:color w:val="000000"/>
        </w:rPr>
        <w:t>NSDUH</w:t>
      </w:r>
      <w:r w:rsidRPr="00A107C6">
        <w:rPr>
          <w:rFonts w:ascii="Times New Roman" w:hAnsi="Times New Roman"/>
          <w:color w:val="000000"/>
        </w:rPr>
        <w:t xml:space="preserve"> estimates will be affected after weighting adjustments. The magnitude of the impact varies across estimates, and cigarette use estimates are of particular concern. Second, the average estimated bias is almost three times as large for youth aged 12 to 17, compared to adults aged 18 and older. This bias is </w:t>
      </w:r>
      <w:r w:rsidRPr="00A107C6">
        <w:rPr>
          <w:rFonts w:ascii="Times New Roman" w:hAnsi="Times New Roman"/>
          <w:color w:val="000000"/>
        </w:rPr>
        <w:t xml:space="preserve">likely larger, because the bias was highest for the only mental health outcome reported for this age group from the outcomes used in the evaluation. Third, the estimated bias from omitting the in-person data in the first and second halves of the year is remarkably similar, at least for the variation in in-person data collection observed during 2021. This finding means that as in-person data collection varied over 2021 as a function of COVID-19, the weighted estimates remain virtually unaffected. In addition, and perhaps even more importantly, it implies that going forward, fluctuations in in person data collection are unlikely to affect key survey estimates meaningfully. </w:t>
      </w:r>
    </w:p>
    <w:p w:rsidR="00A107C6" w:rsidP="00A107C6" w14:paraId="3177A62B" w14:textId="72283E33">
      <w:pPr>
        <w:spacing w:after="120"/>
        <w:ind w:left="720"/>
        <w:rPr>
          <w:rFonts w:ascii="Times New Roman" w:hAnsi="Times New Roman"/>
          <w:color w:val="000000"/>
        </w:rPr>
      </w:pPr>
      <w:r w:rsidRPr="00A107C6">
        <w:rPr>
          <w:rFonts w:ascii="Times New Roman" w:hAnsi="Times New Roman"/>
          <w:color w:val="000000"/>
        </w:rPr>
        <w:t xml:space="preserve">The second analysis investigated the impact on several key </w:t>
      </w:r>
      <w:r w:rsidR="00BD6C2B">
        <w:rPr>
          <w:rFonts w:ascii="Times New Roman" w:hAnsi="Times New Roman"/>
          <w:color w:val="000000"/>
        </w:rPr>
        <w:t>NSDUH</w:t>
      </w:r>
      <w:r w:rsidRPr="00A107C6">
        <w:rPr>
          <w:rFonts w:ascii="Times New Roman" w:hAnsi="Times New Roman"/>
          <w:color w:val="000000"/>
        </w:rPr>
        <w:t xml:space="preserve"> estimates of the two weighting factors dedicated to nonresponse adjustment, among the 16 factors used to create </w:t>
      </w:r>
      <w:r w:rsidR="00BD6C2B">
        <w:rPr>
          <w:rFonts w:ascii="Times New Roman" w:hAnsi="Times New Roman"/>
          <w:color w:val="000000"/>
        </w:rPr>
        <w:t>NSDUH</w:t>
      </w:r>
      <w:r w:rsidRPr="00A107C6" w:rsidR="00722098">
        <w:rPr>
          <w:rFonts w:ascii="Times New Roman" w:hAnsi="Times New Roman"/>
          <w:color w:val="000000"/>
        </w:rPr>
        <w:t xml:space="preserve"> </w:t>
      </w:r>
      <w:r w:rsidRPr="00A107C6">
        <w:rPr>
          <w:rFonts w:ascii="Times New Roman" w:hAnsi="Times New Roman"/>
          <w:color w:val="000000"/>
        </w:rPr>
        <w:t xml:space="preserve">person-level weights. Specifically, this investigation included factors (1) the adjustment for dwelling unit nonresponse and (2) the adjustment for person-level nonresponse. To reduce variances, both weighting factors and the final poststratification to Census-derived totals currently trim input weights and bound the fit of the general exponential model used in the adjustment. The second analysis further investigated the impact of these practices in the New England census district on bias and variance estimation. This analysis found that the two nonresponse adjustments reduce biases significantly for four estimated proportions investigated – alcohol use disorder in the past year, cocaine use in the past year, marijuana use in the past month, and serious mental illness in the past year. The person-level adjustments appear to do more than the dwelling unit-level adjustments, in terms of greater relative differences and stronger statistical significances. Given the limitations of this initial analysis, further investigation is needed before any changes will be considered to the current </w:t>
      </w:r>
      <w:r w:rsidR="00BD6C2B">
        <w:rPr>
          <w:rFonts w:ascii="Times New Roman" w:hAnsi="Times New Roman"/>
          <w:color w:val="000000"/>
        </w:rPr>
        <w:t>NSDUH</w:t>
      </w:r>
      <w:r w:rsidRPr="00A107C6">
        <w:rPr>
          <w:rFonts w:ascii="Times New Roman" w:hAnsi="Times New Roman"/>
          <w:color w:val="000000"/>
        </w:rPr>
        <w:t xml:space="preserve"> weighting procedures. SAMHSA anticipates replicating and expanding the analysis on the impact of (1) trimming input weights and (2) bounding the fit of the general exponential model used in the adjustment to all Census districts.</w:t>
      </w:r>
    </w:p>
    <w:p w:rsidR="00870788" w:rsidRPr="004F072E" w:rsidP="002B5483" w14:paraId="562E9065" w14:textId="0CE72CE8">
      <w:pPr>
        <w:spacing w:after="120"/>
        <w:ind w:left="720"/>
        <w:rPr>
          <w:rFonts w:ascii="Times New Roman" w:hAnsi="Times New Roman"/>
          <w:color w:val="000000"/>
        </w:rPr>
      </w:pPr>
      <w:r w:rsidRPr="005753CE">
        <w:rPr>
          <w:rFonts w:ascii="Times New Roman" w:hAnsi="Times New Roman"/>
          <w:b/>
          <w:bCs/>
          <w:color w:val="000000"/>
        </w:rPr>
        <w:t xml:space="preserve">Multimode Response Rate Improvement Ideas for Future </w:t>
      </w:r>
      <w:r w:rsidR="00BD6C2B">
        <w:rPr>
          <w:rFonts w:ascii="Times New Roman" w:hAnsi="Times New Roman"/>
          <w:b/>
          <w:bCs/>
          <w:color w:val="000000"/>
        </w:rPr>
        <w:t>NSDUH</w:t>
      </w:r>
      <w:r w:rsidRPr="005753CE" w:rsidR="00B7346B">
        <w:rPr>
          <w:rFonts w:ascii="Times New Roman" w:hAnsi="Times New Roman"/>
          <w:b/>
          <w:bCs/>
          <w:color w:val="000000"/>
        </w:rPr>
        <w:t>s</w:t>
      </w:r>
      <w:r w:rsidRPr="004F072E" w:rsidR="004F072E">
        <w:rPr>
          <w:rFonts w:ascii="Times New Roman" w:hAnsi="Times New Roman"/>
          <w:color w:val="000000"/>
        </w:rPr>
        <w:t>:</w:t>
      </w:r>
    </w:p>
    <w:p w:rsidR="00870788" w:rsidP="002B5483" w14:paraId="53664530" w14:textId="0BD93F23">
      <w:pPr>
        <w:spacing w:after="120"/>
        <w:ind w:left="720"/>
        <w:rPr>
          <w:rFonts w:ascii="Times New Roman" w:hAnsi="Times New Roman"/>
        </w:rPr>
      </w:pPr>
      <w:r>
        <w:rPr>
          <w:rFonts w:ascii="Times New Roman" w:hAnsi="Times New Roman"/>
        </w:rPr>
        <w:t xml:space="preserve">The use of multi-mode data collection, with the mix of in-person and web-based options, was initially implemented in October 2020 in response to the COVID-19 pandemic. This multi-mode data collection allowed for successful </w:t>
      </w:r>
      <w:r w:rsidRPr="00B9654C">
        <w:rPr>
          <w:rFonts w:ascii="Times New Roman" w:hAnsi="Times New Roman"/>
        </w:rPr>
        <w:t xml:space="preserve">collection of </w:t>
      </w:r>
      <w:r w:rsidR="00BD6C2B">
        <w:rPr>
          <w:rFonts w:ascii="Times New Roman" w:hAnsi="Times New Roman"/>
        </w:rPr>
        <w:t>NSDUH</w:t>
      </w:r>
      <w:r w:rsidR="00B7346B">
        <w:rPr>
          <w:rFonts w:ascii="Times New Roman" w:hAnsi="Times New Roman"/>
        </w:rPr>
        <w:t xml:space="preserve"> </w:t>
      </w:r>
      <w:r w:rsidRPr="00B9654C">
        <w:rPr>
          <w:rFonts w:ascii="Times New Roman" w:hAnsi="Times New Roman"/>
        </w:rPr>
        <w:t xml:space="preserve">data to provide </w:t>
      </w:r>
      <w:r w:rsidRPr="00E40E0D">
        <w:rPr>
          <w:rFonts w:ascii="Times New Roman" w:hAnsi="Times New Roman"/>
        </w:rPr>
        <w:t>nationally representative estimates on the effects of COVID-19</w:t>
      </w:r>
      <w:r w:rsidRPr="00573515">
        <w:rPr>
          <w:rFonts w:ascii="Times New Roman" w:hAnsi="Times New Roman"/>
        </w:rPr>
        <w:t xml:space="preserve"> on substance use and mental health in the United States. </w:t>
      </w:r>
      <w:r w:rsidR="00BD6C2B">
        <w:rPr>
          <w:rFonts w:ascii="Times New Roman" w:hAnsi="Times New Roman"/>
          <w:color w:val="000000"/>
        </w:rPr>
        <w:t>NSDUH</w:t>
      </w:r>
      <w:r w:rsidRPr="00573515" w:rsidR="00B7346B">
        <w:rPr>
          <w:rFonts w:ascii="Times New Roman" w:hAnsi="Times New Roman"/>
          <w:color w:val="000000"/>
        </w:rPr>
        <w:t xml:space="preserve"> </w:t>
      </w:r>
      <w:r w:rsidRPr="00E40E0D" w:rsidR="00E40E0D">
        <w:rPr>
          <w:rFonts w:ascii="Times New Roman" w:hAnsi="Times New Roman"/>
          <w:color w:val="000000"/>
        </w:rPr>
        <w:t xml:space="preserve">continues to explore ideas for </w:t>
      </w:r>
      <w:r w:rsidRPr="00E40E0D" w:rsidR="00E40E0D">
        <w:rPr>
          <w:rFonts w:ascii="Times New Roman" w:hAnsi="Times New Roman"/>
        </w:rPr>
        <w:t>maximizing respondent participation across modes. I</w:t>
      </w:r>
      <w:r w:rsidRPr="00E40E0D" w:rsidR="00907446">
        <w:rPr>
          <w:rFonts w:ascii="Times New Roman" w:hAnsi="Times New Roman"/>
        </w:rPr>
        <w:t xml:space="preserve">n addition to the </w:t>
      </w:r>
      <w:r w:rsidRPr="00E40E0D" w:rsidR="00DB2F21">
        <w:rPr>
          <w:rFonts w:ascii="Times New Roman" w:hAnsi="Times New Roman"/>
        </w:rPr>
        <w:t>method</w:t>
      </w:r>
      <w:r w:rsidRPr="00E40E0D" w:rsidR="00B62E6B">
        <w:rPr>
          <w:rFonts w:ascii="Times New Roman" w:hAnsi="Times New Roman"/>
        </w:rPr>
        <w:t>s</w:t>
      </w:r>
      <w:r w:rsidRPr="00E40E0D" w:rsidR="00DB2F21">
        <w:rPr>
          <w:rFonts w:ascii="Times New Roman" w:hAnsi="Times New Roman"/>
        </w:rPr>
        <w:t xml:space="preserve"> </w:t>
      </w:r>
      <w:r w:rsidRPr="00E40E0D" w:rsidR="0093476C">
        <w:rPr>
          <w:rFonts w:ascii="Times New Roman" w:hAnsi="Times New Roman"/>
        </w:rPr>
        <w:t xml:space="preserve">already </w:t>
      </w:r>
      <w:r w:rsidRPr="00573515" w:rsidR="0093476C">
        <w:rPr>
          <w:rFonts w:ascii="Times New Roman" w:hAnsi="Times New Roman"/>
        </w:rPr>
        <w:t>discussed in this section</w:t>
      </w:r>
      <w:r w:rsidRPr="00E40E0D" w:rsidR="0093476C">
        <w:rPr>
          <w:rFonts w:ascii="Times New Roman" w:hAnsi="Times New Roman"/>
        </w:rPr>
        <w:t>,</w:t>
      </w:r>
      <w:r w:rsidRPr="00E40E0D" w:rsidR="00DB2F21">
        <w:rPr>
          <w:rFonts w:ascii="Times New Roman" w:hAnsi="Times New Roman"/>
        </w:rPr>
        <w:t xml:space="preserve"> </w:t>
      </w:r>
      <w:r w:rsidRPr="00E40E0D" w:rsidR="00B62E6B">
        <w:rPr>
          <w:rFonts w:ascii="Times New Roman" w:hAnsi="Times New Roman"/>
        </w:rPr>
        <w:t xml:space="preserve">SAMHSA is considering the following ideas for improving </w:t>
      </w:r>
      <w:r w:rsidR="00BD6C2B">
        <w:rPr>
          <w:rFonts w:ascii="Times New Roman" w:hAnsi="Times New Roman"/>
        </w:rPr>
        <w:t>NSDUH</w:t>
      </w:r>
      <w:r w:rsidRPr="00E40E0D" w:rsidR="00B7346B">
        <w:rPr>
          <w:rFonts w:ascii="Times New Roman" w:hAnsi="Times New Roman"/>
        </w:rPr>
        <w:t xml:space="preserve"> </w:t>
      </w:r>
      <w:r w:rsidRPr="00E40E0D" w:rsidR="00B62E6B">
        <w:rPr>
          <w:rFonts w:ascii="Times New Roman" w:hAnsi="Times New Roman"/>
        </w:rPr>
        <w:t>multimode response rates</w:t>
      </w:r>
      <w:r w:rsidR="008728EA">
        <w:rPr>
          <w:rFonts w:ascii="Times New Roman" w:hAnsi="Times New Roman"/>
        </w:rPr>
        <w:t xml:space="preserve"> in the future:</w:t>
      </w:r>
    </w:p>
    <w:p w:rsidR="00B62E6B" w:rsidRPr="00FD23DF" w:rsidP="00B62E6B" w14:paraId="15791BC1" w14:textId="77777777">
      <w:pPr>
        <w:pStyle w:val="ListParagraph"/>
        <w:widowControl/>
        <w:numPr>
          <w:ilvl w:val="0"/>
          <w:numId w:val="4"/>
        </w:numPr>
        <w:autoSpaceDE/>
        <w:autoSpaceDN/>
        <w:adjustRightInd/>
        <w:spacing w:after="120"/>
        <w:ind w:left="1890"/>
        <w:contextualSpacing w:val="0"/>
        <w:rPr>
          <w:rFonts w:ascii="Times New Roman" w:hAnsi="Times New Roman"/>
        </w:rPr>
      </w:pPr>
      <w:r>
        <w:rPr>
          <w:rFonts w:ascii="Times New Roman" w:hAnsi="Times New Roman"/>
        </w:rPr>
        <w:t>Conducting a s</w:t>
      </w:r>
      <w:r w:rsidR="00807A72">
        <w:rPr>
          <w:rFonts w:ascii="Times New Roman" w:hAnsi="Times New Roman"/>
        </w:rPr>
        <w:t xml:space="preserve">creening </w:t>
      </w:r>
      <w:r w:rsidR="008728EA">
        <w:rPr>
          <w:rFonts w:ascii="Times New Roman" w:hAnsi="Times New Roman"/>
        </w:rPr>
        <w:t>and/or</w:t>
      </w:r>
      <w:r w:rsidR="00807A72">
        <w:rPr>
          <w:rFonts w:ascii="Times New Roman" w:hAnsi="Times New Roman"/>
        </w:rPr>
        <w:t xml:space="preserve"> interview incentive experiment</w:t>
      </w:r>
      <w:r w:rsidR="00EA5806">
        <w:rPr>
          <w:rFonts w:ascii="Times New Roman" w:hAnsi="Times New Roman"/>
        </w:rPr>
        <w:t xml:space="preserve"> in 2024</w:t>
      </w:r>
      <w:r w:rsidR="0080061C">
        <w:rPr>
          <w:rFonts w:ascii="Times New Roman" w:hAnsi="Times New Roman"/>
        </w:rPr>
        <w:t>;</w:t>
      </w:r>
    </w:p>
    <w:p w:rsidR="00B62E6B" w:rsidP="00B62E6B" w14:paraId="622A825E" w14:textId="77777777">
      <w:pPr>
        <w:pStyle w:val="ListParagraph"/>
        <w:widowControl/>
        <w:numPr>
          <w:ilvl w:val="0"/>
          <w:numId w:val="4"/>
        </w:numPr>
        <w:autoSpaceDE/>
        <w:autoSpaceDN/>
        <w:adjustRightInd/>
        <w:spacing w:after="120"/>
        <w:ind w:left="1890"/>
        <w:contextualSpacing w:val="0"/>
        <w:rPr>
          <w:rFonts w:ascii="Times New Roman" w:hAnsi="Times New Roman"/>
        </w:rPr>
      </w:pPr>
      <w:r>
        <w:rPr>
          <w:rFonts w:ascii="Times New Roman" w:hAnsi="Times New Roman"/>
        </w:rPr>
        <w:t>Conducting n</w:t>
      </w:r>
      <w:r w:rsidR="00807A72">
        <w:rPr>
          <w:rFonts w:ascii="Times New Roman" w:hAnsi="Times New Roman"/>
        </w:rPr>
        <w:t>onresponse bias analyses</w:t>
      </w:r>
      <w:r w:rsidR="0080061C">
        <w:rPr>
          <w:rFonts w:ascii="Times New Roman" w:hAnsi="Times New Roman"/>
        </w:rPr>
        <w:t>;</w:t>
      </w:r>
    </w:p>
    <w:p w:rsidR="00807A72" w:rsidP="00B62E6B" w14:paraId="13D84663" w14:textId="77777777">
      <w:pPr>
        <w:pStyle w:val="ListParagraph"/>
        <w:widowControl/>
        <w:numPr>
          <w:ilvl w:val="0"/>
          <w:numId w:val="4"/>
        </w:numPr>
        <w:autoSpaceDE/>
        <w:autoSpaceDN/>
        <w:adjustRightInd/>
        <w:spacing w:after="120"/>
        <w:ind w:left="1890"/>
        <w:contextualSpacing w:val="0"/>
        <w:rPr>
          <w:rFonts w:ascii="Times New Roman" w:hAnsi="Times New Roman"/>
        </w:rPr>
      </w:pPr>
      <w:r>
        <w:rPr>
          <w:rFonts w:ascii="Times New Roman" w:hAnsi="Times New Roman"/>
        </w:rPr>
        <w:t xml:space="preserve">Conducting </w:t>
      </w:r>
      <w:r w:rsidR="008728EA">
        <w:rPr>
          <w:rFonts w:ascii="Times New Roman" w:hAnsi="Times New Roman"/>
        </w:rPr>
        <w:t xml:space="preserve">expert reviews and focus groups on </w:t>
      </w:r>
      <w:r>
        <w:rPr>
          <w:rFonts w:ascii="Times New Roman" w:hAnsi="Times New Roman"/>
        </w:rPr>
        <w:t>multimode</w:t>
      </w:r>
      <w:r w:rsidR="00D95C4C">
        <w:rPr>
          <w:rFonts w:ascii="Times New Roman" w:hAnsi="Times New Roman"/>
        </w:rPr>
        <w:t xml:space="preserve"> and controlled access</w:t>
      </w:r>
      <w:r>
        <w:rPr>
          <w:rFonts w:ascii="Times New Roman" w:hAnsi="Times New Roman"/>
        </w:rPr>
        <w:t xml:space="preserve"> material</w:t>
      </w:r>
      <w:r w:rsidR="008728EA">
        <w:rPr>
          <w:rFonts w:ascii="Times New Roman" w:hAnsi="Times New Roman"/>
        </w:rPr>
        <w:t>s</w:t>
      </w:r>
      <w:r>
        <w:rPr>
          <w:rFonts w:ascii="Times New Roman" w:hAnsi="Times New Roman"/>
        </w:rPr>
        <w:t xml:space="preserve"> </w:t>
      </w:r>
      <w:r w:rsidR="0080061C">
        <w:rPr>
          <w:rFonts w:ascii="Times New Roman" w:hAnsi="Times New Roman"/>
        </w:rPr>
        <w:t xml:space="preserve">for potential </w:t>
      </w:r>
      <w:r>
        <w:rPr>
          <w:rFonts w:ascii="Times New Roman" w:hAnsi="Times New Roman"/>
        </w:rPr>
        <w:t>improvements</w:t>
      </w:r>
      <w:r w:rsidR="0080061C">
        <w:rPr>
          <w:rFonts w:ascii="Times New Roman" w:hAnsi="Times New Roman"/>
        </w:rPr>
        <w:t>;</w:t>
      </w:r>
    </w:p>
    <w:p w:rsidR="0080061C" w:rsidP="00B62E6B" w14:paraId="6B110F91" w14:textId="77777777">
      <w:pPr>
        <w:pStyle w:val="ListParagraph"/>
        <w:widowControl/>
        <w:numPr>
          <w:ilvl w:val="0"/>
          <w:numId w:val="4"/>
        </w:numPr>
        <w:autoSpaceDE/>
        <w:autoSpaceDN/>
        <w:adjustRightInd/>
        <w:spacing w:after="120"/>
        <w:ind w:left="1890"/>
        <w:contextualSpacing w:val="0"/>
        <w:rPr>
          <w:rFonts w:ascii="Times New Roman" w:hAnsi="Times New Roman"/>
        </w:rPr>
      </w:pPr>
      <w:r>
        <w:rPr>
          <w:rFonts w:ascii="Times New Roman" w:hAnsi="Times New Roman"/>
        </w:rPr>
        <w:t>for parental permission for web-based interviews</w:t>
      </w:r>
      <w:r w:rsidR="00EA5806">
        <w:rPr>
          <w:rFonts w:ascii="Times New Roman" w:hAnsi="Times New Roman"/>
        </w:rPr>
        <w:t xml:space="preserve"> and potentially conducting experiments</w:t>
      </w:r>
      <w:r>
        <w:rPr>
          <w:rFonts w:ascii="Times New Roman" w:hAnsi="Times New Roman"/>
        </w:rPr>
        <w:t>;</w:t>
      </w:r>
      <w:r w:rsidR="00EA5806">
        <w:rPr>
          <w:rFonts w:ascii="Times New Roman" w:hAnsi="Times New Roman"/>
        </w:rPr>
        <w:t xml:space="preserve"> and</w:t>
      </w:r>
    </w:p>
    <w:p w:rsidR="00807A72" w:rsidP="00B62E6B" w14:paraId="088F1215" w14:textId="77777777">
      <w:pPr>
        <w:pStyle w:val="ListParagraph"/>
        <w:widowControl/>
        <w:numPr>
          <w:ilvl w:val="0"/>
          <w:numId w:val="4"/>
        </w:numPr>
        <w:autoSpaceDE/>
        <w:autoSpaceDN/>
        <w:adjustRightInd/>
        <w:spacing w:after="120"/>
        <w:ind w:left="1890"/>
        <w:contextualSpacing w:val="0"/>
        <w:rPr>
          <w:rFonts w:ascii="Times New Roman" w:hAnsi="Times New Roman"/>
        </w:rPr>
      </w:pPr>
      <w:r>
        <w:rPr>
          <w:rFonts w:ascii="Times New Roman" w:hAnsi="Times New Roman"/>
        </w:rPr>
        <w:t>Implement</w:t>
      </w:r>
      <w:r w:rsidR="0080061C">
        <w:rPr>
          <w:rFonts w:ascii="Times New Roman" w:hAnsi="Times New Roman"/>
        </w:rPr>
        <w:t xml:space="preserve">ing </w:t>
      </w:r>
      <w:r>
        <w:rPr>
          <w:rFonts w:ascii="Times New Roman" w:hAnsi="Times New Roman"/>
        </w:rPr>
        <w:t>phone and/or text interview and parental consent reminders</w:t>
      </w:r>
      <w:r w:rsidR="00EA5806">
        <w:rPr>
          <w:rFonts w:ascii="Times New Roman" w:hAnsi="Times New Roman"/>
        </w:rPr>
        <w:t>.</w:t>
      </w:r>
    </w:p>
    <w:p w:rsidR="00501DD2" w:rsidRPr="00FD23DF" w:rsidP="00501DD2" w14:paraId="73B57263" w14:textId="77777777">
      <w:pPr>
        <w:pStyle w:val="Heading1"/>
        <w:rPr>
          <w:rFonts w:ascii="Times New Roman" w:hAnsi="Times New Roman" w:cs="Times New Roman"/>
        </w:rPr>
      </w:pPr>
      <w:r w:rsidRPr="00FD23DF">
        <w:rPr>
          <w:rFonts w:ascii="Times New Roman" w:hAnsi="Times New Roman" w:cs="Times New Roman"/>
        </w:rPr>
        <w:t>4.</w:t>
      </w:r>
      <w:r w:rsidRPr="00FD23DF">
        <w:rPr>
          <w:rFonts w:ascii="Times New Roman" w:hAnsi="Times New Roman" w:cs="Times New Roman"/>
        </w:rPr>
        <w:tab/>
      </w:r>
      <w:r w:rsidRPr="00FD23DF">
        <w:rPr>
          <w:rFonts w:ascii="Times New Roman" w:hAnsi="Times New Roman" w:cs="Times New Roman"/>
          <w:u w:val="single"/>
        </w:rPr>
        <w:t>Tests of Procedures</w:t>
      </w:r>
    </w:p>
    <w:p w:rsidR="00903526" w:rsidRPr="00FD23DF" w:rsidP="00ED7BF5" w14:paraId="12F23A1A" w14:textId="2857D412">
      <w:pPr>
        <w:pStyle w:val="BodyText"/>
        <w:rPr>
          <w:rFonts w:ascii="Times New Roman" w:hAnsi="Times New Roman"/>
        </w:rPr>
      </w:pPr>
      <w:r w:rsidRPr="00B7564A">
        <w:rPr>
          <w:rFonts w:ascii="Times New Roman" w:hAnsi="Times New Roman"/>
          <w:iCs/>
        </w:rPr>
        <w:t>There are no plans for additional field testing prior to the start of data collection</w:t>
      </w:r>
      <w:r w:rsidRPr="00B7564A" w:rsidR="00501DD2">
        <w:rPr>
          <w:rFonts w:ascii="Times New Roman" w:hAnsi="Times New Roman"/>
        </w:rPr>
        <w:t>.</w:t>
      </w:r>
      <w:r w:rsidRPr="00FD23DF" w:rsidR="00501DD2">
        <w:rPr>
          <w:rFonts w:ascii="Times New Roman" w:hAnsi="Times New Roman"/>
        </w:rPr>
        <w:t xml:space="preserve"> </w:t>
      </w:r>
      <w:r>
        <w:rPr>
          <w:rFonts w:ascii="Times New Roman" w:hAnsi="Times New Roman"/>
        </w:rPr>
        <w:t>The use of multi-mode data collection, with the mix of in-person and web-based options</w:t>
      </w:r>
      <w:r w:rsidR="005504CF">
        <w:rPr>
          <w:rFonts w:ascii="Times New Roman" w:hAnsi="Times New Roman"/>
        </w:rPr>
        <w:t>,</w:t>
      </w:r>
      <w:r>
        <w:rPr>
          <w:rFonts w:ascii="Times New Roman" w:hAnsi="Times New Roman"/>
        </w:rPr>
        <w:t xml:space="preserve"> was initially implemented in October 2020 in response to the COVID-19 pandemic</w:t>
      </w:r>
      <w:r w:rsidR="005504CF">
        <w:rPr>
          <w:rFonts w:ascii="Times New Roman" w:hAnsi="Times New Roman"/>
        </w:rPr>
        <w:t xml:space="preserve">. This multi-mode data collection </w:t>
      </w:r>
      <w:r>
        <w:rPr>
          <w:rFonts w:ascii="Times New Roman" w:hAnsi="Times New Roman"/>
        </w:rPr>
        <w:t xml:space="preserve">allowed for successful </w:t>
      </w:r>
      <w:r w:rsidRPr="00B9654C">
        <w:rPr>
          <w:rFonts w:ascii="Times New Roman" w:hAnsi="Times New Roman"/>
        </w:rPr>
        <w:t xml:space="preserve">collection of </w:t>
      </w:r>
      <w:r w:rsidR="00BD6C2B">
        <w:rPr>
          <w:rFonts w:ascii="Times New Roman" w:hAnsi="Times New Roman"/>
        </w:rPr>
        <w:t>NSDUH</w:t>
      </w:r>
      <w:r w:rsidR="00B7346B">
        <w:rPr>
          <w:rFonts w:ascii="Times New Roman" w:hAnsi="Times New Roman"/>
        </w:rPr>
        <w:t xml:space="preserve"> </w:t>
      </w:r>
      <w:r w:rsidRPr="00B9654C">
        <w:rPr>
          <w:rFonts w:ascii="Times New Roman" w:hAnsi="Times New Roman"/>
        </w:rPr>
        <w:t xml:space="preserve">data to provide nationally representative estimates on the effects of </w:t>
      </w:r>
      <w:r>
        <w:rPr>
          <w:rFonts w:ascii="Times New Roman" w:hAnsi="Times New Roman"/>
        </w:rPr>
        <w:t>COVID-19</w:t>
      </w:r>
      <w:r w:rsidRPr="00B9654C">
        <w:rPr>
          <w:rFonts w:ascii="Times New Roman" w:hAnsi="Times New Roman"/>
        </w:rPr>
        <w:t xml:space="preserve"> on substance use and mental health in the United States</w:t>
      </w:r>
      <w:r>
        <w:rPr>
          <w:rFonts w:ascii="Times New Roman" w:hAnsi="Times New Roman"/>
        </w:rPr>
        <w:t xml:space="preserve">. </w:t>
      </w:r>
    </w:p>
    <w:p w:rsidR="00501DD2" w:rsidRPr="00FD23DF" w:rsidP="00501DD2" w14:paraId="71ABADEA" w14:textId="77777777">
      <w:pPr>
        <w:pStyle w:val="Heading1"/>
        <w:rPr>
          <w:rFonts w:ascii="Times New Roman" w:hAnsi="Times New Roman" w:cs="Times New Roman"/>
        </w:rPr>
      </w:pPr>
      <w:r w:rsidRPr="00FD23DF">
        <w:rPr>
          <w:rFonts w:ascii="Times New Roman" w:hAnsi="Times New Roman" w:cs="Times New Roman"/>
        </w:rPr>
        <w:t>5.</w:t>
      </w:r>
      <w:r w:rsidRPr="00FD23DF">
        <w:rPr>
          <w:rFonts w:ascii="Times New Roman" w:hAnsi="Times New Roman" w:cs="Times New Roman"/>
        </w:rPr>
        <w:tab/>
      </w:r>
      <w:r w:rsidRPr="00FD23DF">
        <w:rPr>
          <w:rFonts w:ascii="Times New Roman" w:hAnsi="Times New Roman" w:cs="Times New Roman"/>
          <w:u w:val="single"/>
        </w:rPr>
        <w:t>Statistical Consultants</w:t>
      </w:r>
    </w:p>
    <w:p w:rsidR="00501DD2" w:rsidRPr="00FD23DF" w:rsidP="00501DD2" w14:paraId="623BEC3B" w14:textId="699EE8FC">
      <w:pPr>
        <w:pStyle w:val="BodyText"/>
        <w:rPr>
          <w:rFonts w:ascii="Times New Roman" w:hAnsi="Times New Roman" w:cs="Times New Roman"/>
        </w:rPr>
      </w:pPr>
      <w:r w:rsidRPr="00FD23DF">
        <w:rPr>
          <w:rFonts w:ascii="Times New Roman" w:hAnsi="Times New Roman" w:cs="Times New Roman"/>
        </w:rPr>
        <w:t xml:space="preserve">The basic </w:t>
      </w:r>
      <w:r w:rsidR="00BD6C2B">
        <w:rPr>
          <w:rFonts w:ascii="Times New Roman" w:hAnsi="Times New Roman" w:cs="Times New Roman"/>
        </w:rPr>
        <w:t>NSDUH</w:t>
      </w:r>
      <w:r w:rsidRPr="00FD23DF" w:rsidR="00B7346B">
        <w:rPr>
          <w:rFonts w:ascii="Times New Roman" w:hAnsi="Times New Roman" w:cs="Times New Roman"/>
        </w:rPr>
        <w:t xml:space="preserve"> </w:t>
      </w:r>
      <w:r w:rsidRPr="00FD23DF">
        <w:rPr>
          <w:rFonts w:ascii="Times New Roman" w:hAnsi="Times New Roman" w:cs="Times New Roman"/>
        </w:rPr>
        <w:t xml:space="preserve">design was reviewed by statistical experts, both within and outside SAMHSA. Statistical experts reviewing portions of prior </w:t>
      </w:r>
      <w:r w:rsidR="00BD6C2B">
        <w:rPr>
          <w:rFonts w:ascii="Times New Roman" w:hAnsi="Times New Roman" w:cs="Times New Roman"/>
        </w:rPr>
        <w:t>NSDUH</w:t>
      </w:r>
      <w:r w:rsidRPr="00FD23DF" w:rsidR="00B7346B">
        <w:rPr>
          <w:rFonts w:ascii="Times New Roman" w:hAnsi="Times New Roman" w:cs="Times New Roman"/>
        </w:rPr>
        <w:t xml:space="preserve">s </w:t>
      </w:r>
      <w:r w:rsidRPr="00FD23DF">
        <w:rPr>
          <w:rFonts w:ascii="Times New Roman" w:hAnsi="Times New Roman" w:cs="Times New Roman"/>
        </w:rPr>
        <w:t>designs include William Kalsbeek, PhD, University of North Carolina; Robert Groves, PhD, Georgetown University; and Michael Hidiroglou, PhD, Statistics Canada. Monroe Sirken, PhD, National Center for Health Statistics (NCHS)</w:t>
      </w:r>
      <w:r w:rsidRPr="00FD23DF" w:rsidR="00D35C7C">
        <w:rPr>
          <w:rFonts w:ascii="Times New Roman" w:hAnsi="Times New Roman" w:cs="Times New Roman"/>
        </w:rPr>
        <w:t xml:space="preserve"> (deceased)</w:t>
      </w:r>
      <w:r w:rsidRPr="00FD23DF">
        <w:rPr>
          <w:rFonts w:ascii="Times New Roman" w:hAnsi="Times New Roman" w:cs="Times New Roman"/>
        </w:rPr>
        <w:t>; Arthur Hughes, CBHSQ, SAMHSA</w:t>
      </w:r>
      <w:r w:rsidRPr="00FD23DF" w:rsidR="00630653">
        <w:rPr>
          <w:rFonts w:ascii="Times New Roman" w:hAnsi="Times New Roman" w:cs="Times New Roman"/>
        </w:rPr>
        <w:t xml:space="preserve"> (retired)</w:t>
      </w:r>
      <w:r w:rsidRPr="00FD23DF">
        <w:rPr>
          <w:rFonts w:ascii="Times New Roman" w:hAnsi="Times New Roman" w:cs="Times New Roman"/>
        </w:rPr>
        <w:t xml:space="preserve">; James Massey, PhD, (deceased) also of NCHS; Douglas Wright, CBHSQ, SAMHSA (retired); and Joseph Gfroerer, CBHSQ, SAMHSA (retired) were consulted on the 1992 and subsequent survey designs. </w:t>
      </w:r>
      <w:r w:rsidR="00615AC6">
        <w:rPr>
          <w:rFonts w:ascii="Times New Roman" w:hAnsi="Times New Roman" w:cs="Times New Roman"/>
        </w:rPr>
        <w:t>Marlon Daniel</w:t>
      </w:r>
      <w:r w:rsidRPr="00ED7BF5">
        <w:rPr>
          <w:rFonts w:ascii="Times New Roman" w:hAnsi="Times New Roman" w:cs="Times New Roman"/>
        </w:rPr>
        <w:t>, CBHSQ, SAMHSA is the Government Project Officer responsible for overall project management, (240) 276-12</w:t>
      </w:r>
      <w:r w:rsidR="00615AC6">
        <w:rPr>
          <w:rFonts w:ascii="Times New Roman" w:hAnsi="Times New Roman" w:cs="Times New Roman"/>
        </w:rPr>
        <w:t>51</w:t>
      </w:r>
      <w:r w:rsidRPr="00ED7BF5">
        <w:rPr>
          <w:rFonts w:ascii="Times New Roman" w:hAnsi="Times New Roman" w:cs="Times New Roman"/>
        </w:rPr>
        <w:t xml:space="preserve">. </w:t>
      </w:r>
      <w:r w:rsidR="005D093A">
        <w:rPr>
          <w:rFonts w:ascii="Times New Roman" w:hAnsi="Times New Roman" w:cs="Times New Roman"/>
        </w:rPr>
        <w:t>Jennifer Hoenig</w:t>
      </w:r>
      <w:r w:rsidR="002E2C67">
        <w:rPr>
          <w:rFonts w:ascii="Times New Roman" w:hAnsi="Times New Roman" w:cs="Times New Roman"/>
        </w:rPr>
        <w:t>, PhD</w:t>
      </w:r>
      <w:r w:rsidRPr="00ED7BF5" w:rsidR="00630653">
        <w:rPr>
          <w:rFonts w:ascii="Times New Roman" w:hAnsi="Times New Roman" w:cs="Times New Roman"/>
        </w:rPr>
        <w:t xml:space="preserve">, </w:t>
      </w:r>
      <w:r w:rsidR="0096348B">
        <w:t>Director</w:t>
      </w:r>
      <w:r w:rsidRPr="00ED7BF5" w:rsidR="00630653">
        <w:t xml:space="preserve">, </w:t>
      </w:r>
      <w:r w:rsidR="0096348B">
        <w:t xml:space="preserve">Office of </w:t>
      </w:r>
      <w:r w:rsidRPr="00ED7BF5" w:rsidR="00630653">
        <w:t xml:space="preserve">Population Surveys, </w:t>
      </w:r>
      <w:r w:rsidRPr="00ED7BF5">
        <w:rPr>
          <w:rFonts w:ascii="Times New Roman" w:hAnsi="Times New Roman" w:cs="Times New Roman"/>
        </w:rPr>
        <w:t>CBHSQ, SAMHSA is the primary statistician. RTI senior statisticians contributing to the design are Ralph Folsom, PhD</w:t>
      </w:r>
      <w:r w:rsidRPr="00ED7BF5" w:rsidR="00630653">
        <w:rPr>
          <w:rFonts w:ascii="Times New Roman" w:hAnsi="Times New Roman" w:cs="Times New Roman"/>
        </w:rPr>
        <w:t xml:space="preserve"> (retired)</w:t>
      </w:r>
      <w:r w:rsidRPr="00ED7BF5">
        <w:rPr>
          <w:rFonts w:ascii="Times New Roman" w:hAnsi="Times New Roman" w:cs="Times New Roman"/>
        </w:rPr>
        <w:t>, Rachel Harter, PhD</w:t>
      </w:r>
      <w:r w:rsidR="005D61C9">
        <w:rPr>
          <w:rFonts w:ascii="Times New Roman" w:hAnsi="Times New Roman" w:cs="Times New Roman"/>
        </w:rPr>
        <w:t xml:space="preserve"> (retired)</w:t>
      </w:r>
      <w:r w:rsidRPr="00ED7BF5">
        <w:rPr>
          <w:rFonts w:ascii="Times New Roman" w:hAnsi="Times New Roman" w:cs="Times New Roman"/>
        </w:rPr>
        <w:t>,</w:t>
      </w:r>
      <w:r w:rsidR="008A3CA5">
        <w:rPr>
          <w:rFonts w:ascii="Times New Roman" w:hAnsi="Times New Roman" w:cs="Times New Roman"/>
        </w:rPr>
        <w:t xml:space="preserve"> Matt Williams, PhD,</w:t>
      </w:r>
      <w:r w:rsidRPr="00ED7BF5">
        <w:rPr>
          <w:rFonts w:ascii="Times New Roman" w:hAnsi="Times New Roman" w:cs="Times New Roman"/>
        </w:rPr>
        <w:t xml:space="preserve"> and Akhil Vaish, PhD.</w:t>
      </w:r>
    </w:p>
    <w:p w:rsidR="00501DD2" w:rsidRPr="00FD23DF" w:rsidP="00501DD2" w14:paraId="2FE287F3" w14:textId="63D7A13E">
      <w:pPr>
        <w:pStyle w:val="BodyText"/>
        <w:rPr>
          <w:rFonts w:ascii="Times New Roman" w:hAnsi="Times New Roman" w:cs="Times New Roman"/>
        </w:rPr>
      </w:pPr>
      <w:bookmarkStart w:id="6" w:name="_Hlk504558787"/>
      <w:r w:rsidRPr="00FD23DF">
        <w:rPr>
          <w:rFonts w:ascii="Times New Roman" w:hAnsi="Times New Roman" w:cs="Times New Roman"/>
        </w:rPr>
        <w:t xml:space="preserve">The </w:t>
      </w:r>
      <w:r w:rsidR="002001C9">
        <w:rPr>
          <w:rFonts w:ascii="Times New Roman" w:hAnsi="Times New Roman" w:cs="Times New Roman"/>
        </w:rPr>
        <w:t>2023-2027</w:t>
      </w:r>
      <w:r w:rsidRPr="00FD23DF" w:rsidR="00630653">
        <w:rPr>
          <w:rFonts w:ascii="Times New Roman" w:hAnsi="Times New Roman" w:cs="Times New Roman"/>
        </w:rPr>
        <w:t xml:space="preserve"> </w:t>
      </w:r>
      <w:r w:rsidRPr="00FD23DF">
        <w:rPr>
          <w:rFonts w:ascii="Times New Roman" w:hAnsi="Times New Roman" w:cs="Times New Roman"/>
        </w:rPr>
        <w:t xml:space="preserve">National Survey on Drug Use and Health contract was awarded to </w:t>
      </w:r>
      <w:r w:rsidRPr="00FD23DF" w:rsidR="00630653">
        <w:rPr>
          <w:rFonts w:ascii="Times New Roman" w:hAnsi="Times New Roman" w:cs="Times New Roman"/>
        </w:rPr>
        <w:t>RTI International (RTI)</w:t>
      </w:r>
      <w:r w:rsidRPr="00FD23DF">
        <w:rPr>
          <w:rFonts w:ascii="Times New Roman" w:hAnsi="Times New Roman" w:cs="Times New Roman"/>
        </w:rPr>
        <w:t xml:space="preserve"> on </w:t>
      </w:r>
      <w:r w:rsidRPr="004F072E" w:rsidR="00601392">
        <w:rPr>
          <w:rFonts w:ascii="Times New Roman" w:hAnsi="Times New Roman" w:cs="Times New Roman"/>
        </w:rPr>
        <w:t>May</w:t>
      </w:r>
      <w:r w:rsidRPr="004F072E" w:rsidR="00630653">
        <w:rPr>
          <w:rFonts w:ascii="Times New Roman" w:hAnsi="Times New Roman" w:cs="Times New Roman"/>
        </w:rPr>
        <w:t xml:space="preserve"> </w:t>
      </w:r>
      <w:r w:rsidRPr="004F072E" w:rsidR="004F072E">
        <w:rPr>
          <w:rFonts w:ascii="Times New Roman" w:hAnsi="Times New Roman" w:cs="Times New Roman"/>
        </w:rPr>
        <w:t>12,</w:t>
      </w:r>
      <w:r w:rsidRPr="004F072E">
        <w:rPr>
          <w:rFonts w:ascii="Times New Roman" w:hAnsi="Times New Roman" w:cs="Times New Roman"/>
        </w:rPr>
        <w:t xml:space="preserve"> </w:t>
      </w:r>
      <w:r w:rsidRPr="004F072E" w:rsidR="00630653">
        <w:rPr>
          <w:rFonts w:ascii="Times New Roman" w:hAnsi="Times New Roman" w:cs="Times New Roman"/>
        </w:rPr>
        <w:t>20</w:t>
      </w:r>
      <w:r w:rsidRPr="004F072E" w:rsidR="00601392">
        <w:rPr>
          <w:rFonts w:ascii="Times New Roman" w:hAnsi="Times New Roman" w:cs="Times New Roman"/>
        </w:rPr>
        <w:t>22</w:t>
      </w:r>
      <w:r w:rsidRPr="004F072E">
        <w:rPr>
          <w:rFonts w:ascii="Times New Roman" w:hAnsi="Times New Roman" w:cs="Times New Roman"/>
        </w:rPr>
        <w:t>,</w:t>
      </w:r>
      <w:r w:rsidRPr="004F072E">
        <w:rPr>
          <w:rFonts w:ascii="Times New Roman" w:hAnsi="Times New Roman" w:cs="Times New Roman"/>
          <w:color w:val="000000"/>
        </w:rPr>
        <w:t xml:space="preserve"> with only the Base Award (</w:t>
      </w:r>
      <w:r w:rsidRPr="004F072E" w:rsidR="00601392">
        <w:rPr>
          <w:rFonts w:ascii="Times New Roman" w:hAnsi="Times New Roman" w:cs="Times New Roman"/>
          <w:color w:val="000000"/>
        </w:rPr>
        <w:t>2023</w:t>
      </w:r>
      <w:r w:rsidRPr="004F072E" w:rsidR="00630653">
        <w:rPr>
          <w:rFonts w:ascii="Times New Roman" w:hAnsi="Times New Roman" w:cs="Times New Roman"/>
          <w:color w:val="000000"/>
        </w:rPr>
        <w:t xml:space="preserve"> </w:t>
      </w:r>
      <w:r w:rsidR="00BD6C2B">
        <w:rPr>
          <w:rFonts w:ascii="Times New Roman" w:hAnsi="Times New Roman" w:cs="Times New Roman"/>
          <w:color w:val="000000"/>
        </w:rPr>
        <w:t>NSDUH</w:t>
      </w:r>
      <w:r w:rsidRPr="004F072E">
        <w:rPr>
          <w:rFonts w:ascii="Times New Roman" w:hAnsi="Times New Roman" w:cs="Times New Roman"/>
          <w:color w:val="000000"/>
        </w:rPr>
        <w:t>) exercised initially</w:t>
      </w:r>
      <w:bookmarkEnd w:id="6"/>
      <w:r w:rsidRPr="004F072E">
        <w:rPr>
          <w:rFonts w:ascii="Times New Roman" w:hAnsi="Times New Roman" w:cs="Times New Roman"/>
          <w:color w:val="000000"/>
        </w:rPr>
        <w:t>.</w:t>
      </w:r>
      <w:r w:rsidRPr="004F072E">
        <w:rPr>
          <w:rFonts w:ascii="Times New Roman" w:hAnsi="Times New Roman" w:cs="Times New Roman"/>
        </w:rPr>
        <w:t xml:space="preserve"> </w:t>
      </w:r>
      <w:r w:rsidRPr="004F072E" w:rsidR="00292917">
        <w:rPr>
          <w:rFonts w:ascii="Times New Roman" w:hAnsi="Times New Roman" w:cs="Times New Roman"/>
        </w:rPr>
        <w:t xml:space="preserve">The </w:t>
      </w:r>
      <w:r w:rsidRPr="004F072E" w:rsidR="00147AB3">
        <w:rPr>
          <w:rFonts w:ascii="Times New Roman" w:hAnsi="Times New Roman" w:cs="Times New Roman"/>
        </w:rPr>
        <w:t>202</w:t>
      </w:r>
      <w:r w:rsidRPr="004F072E" w:rsidR="00601392">
        <w:rPr>
          <w:rFonts w:ascii="Times New Roman" w:hAnsi="Times New Roman" w:cs="Times New Roman"/>
        </w:rPr>
        <w:t>5</w:t>
      </w:r>
      <w:r w:rsidRPr="004F072E" w:rsidR="00147AB3">
        <w:rPr>
          <w:rFonts w:ascii="Times New Roman" w:hAnsi="Times New Roman" w:cs="Times New Roman"/>
        </w:rPr>
        <w:t xml:space="preserve"> </w:t>
      </w:r>
      <w:r w:rsidR="00BD6C2B">
        <w:rPr>
          <w:rFonts w:ascii="Times New Roman" w:hAnsi="Times New Roman" w:cs="Times New Roman"/>
        </w:rPr>
        <w:t>NSDUH</w:t>
      </w:r>
      <w:r w:rsidRPr="00FD23DF" w:rsidR="00B7346B">
        <w:rPr>
          <w:rFonts w:ascii="Times New Roman" w:hAnsi="Times New Roman" w:cs="Times New Roman"/>
        </w:rPr>
        <w:t xml:space="preserve"> </w:t>
      </w:r>
      <w:r w:rsidRPr="00FD23DF" w:rsidR="00292917">
        <w:rPr>
          <w:rFonts w:ascii="Times New Roman" w:hAnsi="Times New Roman" w:cs="Times New Roman"/>
        </w:rPr>
        <w:t xml:space="preserve">was </w:t>
      </w:r>
      <w:r w:rsidRPr="00FD23DF" w:rsidR="00D521BE">
        <w:rPr>
          <w:rFonts w:ascii="Times New Roman" w:hAnsi="Times New Roman" w:cs="Times New Roman"/>
        </w:rPr>
        <w:t xml:space="preserve">exercised </w:t>
      </w:r>
      <w:r w:rsidRPr="00FD23DF" w:rsidR="00292917">
        <w:rPr>
          <w:rFonts w:ascii="Times New Roman" w:hAnsi="Times New Roman" w:cs="Times New Roman"/>
        </w:rPr>
        <w:t xml:space="preserve">by SAMHSA </w:t>
      </w:r>
      <w:r w:rsidRPr="00FD23DF" w:rsidR="00D521BE">
        <w:rPr>
          <w:rFonts w:ascii="Times New Roman" w:hAnsi="Times New Roman" w:cs="Times New Roman"/>
        </w:rPr>
        <w:t xml:space="preserve">for RTI </w:t>
      </w:r>
      <w:r w:rsidRPr="00FD23DF" w:rsidR="00292917">
        <w:rPr>
          <w:rFonts w:ascii="Times New Roman" w:hAnsi="Times New Roman" w:cs="Times New Roman"/>
        </w:rPr>
        <w:t xml:space="preserve">on October </w:t>
      </w:r>
      <w:r w:rsidRPr="00FD23DF" w:rsidR="00D521BE">
        <w:rPr>
          <w:rFonts w:ascii="Times New Roman" w:hAnsi="Times New Roman" w:cs="Times New Roman"/>
        </w:rPr>
        <w:t>1</w:t>
      </w:r>
      <w:r w:rsidRPr="00FD23DF" w:rsidR="00292917">
        <w:rPr>
          <w:rFonts w:ascii="Times New Roman" w:hAnsi="Times New Roman" w:cs="Times New Roman"/>
        </w:rPr>
        <w:t xml:space="preserve">, </w:t>
      </w:r>
      <w:r w:rsidRPr="00FD23DF" w:rsidR="006C7498">
        <w:rPr>
          <w:rFonts w:ascii="Times New Roman" w:hAnsi="Times New Roman" w:cs="Times New Roman"/>
        </w:rPr>
        <w:t>20</w:t>
      </w:r>
      <w:r w:rsidR="00147AB3">
        <w:rPr>
          <w:rFonts w:ascii="Times New Roman" w:hAnsi="Times New Roman" w:cs="Times New Roman"/>
        </w:rPr>
        <w:t>2</w:t>
      </w:r>
      <w:r w:rsidR="00601392">
        <w:rPr>
          <w:rFonts w:ascii="Times New Roman" w:hAnsi="Times New Roman" w:cs="Times New Roman"/>
        </w:rPr>
        <w:t>3</w:t>
      </w:r>
      <w:r w:rsidRPr="00FD23DF" w:rsidR="00292917">
        <w:rPr>
          <w:rFonts w:ascii="Times New Roman" w:hAnsi="Times New Roman" w:cs="Times New Roman"/>
        </w:rPr>
        <w:t xml:space="preserve">. </w:t>
      </w:r>
      <w:r w:rsidRPr="00FD23DF">
        <w:rPr>
          <w:rFonts w:ascii="Times New Roman" w:hAnsi="Times New Roman" w:cs="Times New Roman"/>
        </w:rPr>
        <w:t>Contractor personnel will implement the sample design; recruit FSs and FIs</w:t>
      </w:r>
      <w:r w:rsidRPr="00FD23DF" w:rsidR="00ED52A1">
        <w:rPr>
          <w:rFonts w:ascii="Times New Roman" w:hAnsi="Times New Roman" w:cs="Times New Roman"/>
        </w:rPr>
        <w:t xml:space="preserve">; </w:t>
      </w:r>
      <w:r w:rsidRPr="00FD23DF">
        <w:rPr>
          <w:rFonts w:ascii="Times New Roman" w:hAnsi="Times New Roman" w:cs="Times New Roman"/>
        </w:rPr>
        <w:t>train FIs</w:t>
      </w:r>
      <w:r w:rsidRPr="00FD23DF" w:rsidR="00ED52A1">
        <w:rPr>
          <w:rFonts w:ascii="Times New Roman" w:hAnsi="Times New Roman" w:cs="Times New Roman"/>
        </w:rPr>
        <w:t xml:space="preserve">; </w:t>
      </w:r>
      <w:r w:rsidRPr="00FD23DF">
        <w:rPr>
          <w:rFonts w:ascii="Times New Roman" w:hAnsi="Times New Roman" w:cs="Times New Roman"/>
        </w:rPr>
        <w:t xml:space="preserve">conduct data collection; conduct data receipt, editing, coding, and keying; conduct data analysis; and develop and deliver to CBHSQ statistical reports and data files. CBHSQ will provide direction and review functions to the Contractor. </w:t>
      </w:r>
    </w:p>
    <w:p w:rsidR="00501DD2" w:rsidRPr="00FD23DF" w:rsidP="00501DD2" w14:paraId="20863A10" w14:textId="77777777">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288"/>
        <w:rPr>
          <w:rFonts w:ascii="Times New Roman" w:hAnsi="Times New Roman"/>
          <w:color w:val="000000" w:themeColor="text1"/>
        </w:rPr>
      </w:pPr>
    </w:p>
    <w:p w:rsidR="00501DD2" w:rsidRPr="00FD23DF" w:rsidP="00501DD2" w14:paraId="586E47E9" w14:textId="77777777">
      <w:pPr>
        <w:pStyle w:val="apptitle"/>
        <w:rPr>
          <w:rFonts w:ascii="Times New Roman" w:hAnsi="Times New Roman" w:cs="Times New Roman"/>
        </w:rPr>
      </w:pPr>
      <w:bookmarkStart w:id="7" w:name="_Hlk150162013"/>
      <w:r w:rsidRPr="00FD23DF">
        <w:rPr>
          <w:rFonts w:ascii="Times New Roman" w:hAnsi="Times New Roman" w:cs="Times New Roman"/>
        </w:rPr>
        <w:t>Appendix A</w:t>
      </w:r>
    </w:p>
    <w:p w:rsidR="00501DD2" w:rsidRPr="00FD23DF" w:rsidP="00501DD2" w14:paraId="19C99628" w14:textId="6251AAF4">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center"/>
        <w:rPr>
          <w:rFonts w:ascii="Times New Roman" w:hAnsi="Times New Roman"/>
          <w:i/>
          <w:color w:val="000000" w:themeColor="text1"/>
        </w:rPr>
      </w:pPr>
      <w:r w:rsidRPr="00FD23DF">
        <w:rPr>
          <w:rFonts w:ascii="Times New Roman" w:hAnsi="Times New Roman"/>
          <w:i/>
          <w:color w:val="000000" w:themeColor="text1"/>
        </w:rPr>
        <w:t xml:space="preserve">Potential </w:t>
      </w:r>
      <w:r w:rsidR="00BD6C2B">
        <w:rPr>
          <w:rFonts w:ascii="Times New Roman" w:hAnsi="Times New Roman"/>
          <w:i/>
          <w:color w:val="000000" w:themeColor="text1"/>
        </w:rPr>
        <w:t>NSDUH</w:t>
      </w:r>
      <w:r w:rsidRPr="00FD23DF" w:rsidR="00B7346B">
        <w:rPr>
          <w:rFonts w:ascii="Times New Roman" w:hAnsi="Times New Roman"/>
          <w:i/>
          <w:color w:val="000000" w:themeColor="text1"/>
        </w:rPr>
        <w:t xml:space="preserve"> </w:t>
      </w:r>
      <w:r w:rsidRPr="00FD23DF">
        <w:rPr>
          <w:rFonts w:ascii="Times New Roman" w:hAnsi="Times New Roman"/>
          <w:i/>
          <w:color w:val="000000" w:themeColor="text1"/>
        </w:rPr>
        <w:t xml:space="preserve">Consultants </w:t>
      </w:r>
    </w:p>
    <w:p w:rsidR="00501DD2" w:rsidRPr="00FD23DF" w:rsidP="00501DD2" w14:paraId="65922E35"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olor w:val="000000" w:themeColor="text1"/>
        </w:rPr>
      </w:pPr>
    </w:p>
    <w:p w:rsidR="00501DD2" w:rsidRPr="00FD23DF" w:rsidP="00A32DA9" w14:paraId="34039181" w14:textId="77777777">
      <w:pPr>
        <w:pStyle w:val="ListingName"/>
        <w:tabs>
          <w:tab w:val="right" w:pos="9360"/>
          <w:tab w:val="right" w:pos="9630"/>
        </w:tabs>
        <w:spacing w:before="0" w:line="240" w:lineRule="auto"/>
        <w:rPr>
          <w:rFonts w:ascii="Times New Roman" w:hAnsi="Times New Roman"/>
          <w:color w:val="000000" w:themeColor="text1"/>
          <w:sz w:val="24"/>
          <w:szCs w:val="24"/>
        </w:rPr>
      </w:pPr>
      <w:r w:rsidRPr="00FD23DF">
        <w:rPr>
          <w:rFonts w:ascii="Times New Roman" w:hAnsi="Times New Roman"/>
          <w:color w:val="000000" w:themeColor="text1"/>
          <w:sz w:val="24"/>
          <w:szCs w:val="24"/>
        </w:rPr>
        <w:t xml:space="preserve">Raul Caetano, </w:t>
      </w:r>
      <w:r w:rsidRPr="00FD23DF">
        <w:rPr>
          <w:rFonts w:ascii="Times New Roman" w:hAnsi="Times New Roman"/>
          <w:i w:val="0"/>
          <w:color w:val="000000" w:themeColor="text1"/>
          <w:sz w:val="24"/>
          <w:szCs w:val="24"/>
        </w:rPr>
        <w:t xml:space="preserve">M.D., </w:t>
      </w:r>
      <w:r w:rsidR="006930BC">
        <w:rPr>
          <w:rFonts w:ascii="Times New Roman" w:hAnsi="Times New Roman"/>
          <w:i w:val="0"/>
          <w:color w:val="000000" w:themeColor="text1"/>
          <w:sz w:val="24"/>
          <w:szCs w:val="24"/>
        </w:rPr>
        <w:t xml:space="preserve">MPH, </w:t>
      </w:r>
      <w:r w:rsidRPr="00FD23DF">
        <w:rPr>
          <w:rFonts w:ascii="Times New Roman" w:hAnsi="Times New Roman"/>
          <w:i w:val="0"/>
          <w:color w:val="000000" w:themeColor="text1"/>
          <w:sz w:val="24"/>
          <w:szCs w:val="24"/>
        </w:rPr>
        <w:t>PhD,</w:t>
      </w:r>
      <w:r w:rsidRPr="00FD23DF">
        <w:rPr>
          <w:rFonts w:ascii="Times New Roman" w:hAnsi="Times New Roman"/>
          <w:color w:val="000000" w:themeColor="text1"/>
          <w:sz w:val="24"/>
          <w:szCs w:val="24"/>
        </w:rPr>
        <w:t xml:space="preserve"> </w:t>
      </w:r>
      <w:r w:rsidR="006930BC">
        <w:rPr>
          <w:rFonts w:ascii="Times New Roman" w:hAnsi="Times New Roman"/>
          <w:i w:val="0"/>
          <w:color w:val="000000" w:themeColor="text1"/>
          <w:sz w:val="24"/>
          <w:szCs w:val="24"/>
        </w:rPr>
        <w:t>Senior Research Scientist</w:t>
      </w:r>
      <w:r w:rsidRPr="00FD23DF">
        <w:rPr>
          <w:rFonts w:ascii="Times New Roman" w:hAnsi="Times New Roman"/>
          <w:i w:val="0"/>
          <w:color w:val="000000" w:themeColor="text1"/>
          <w:sz w:val="24"/>
          <w:szCs w:val="24"/>
        </w:rPr>
        <w:tab/>
        <w:t>(</w:t>
      </w:r>
      <w:r w:rsidR="006930BC">
        <w:rPr>
          <w:rFonts w:ascii="Times New Roman" w:hAnsi="Times New Roman"/>
          <w:i w:val="0"/>
          <w:color w:val="000000" w:themeColor="text1"/>
          <w:sz w:val="24"/>
          <w:szCs w:val="24"/>
        </w:rPr>
        <w:t>510</w:t>
      </w:r>
      <w:r w:rsidRPr="00FD23DF">
        <w:rPr>
          <w:rFonts w:ascii="Times New Roman" w:hAnsi="Times New Roman"/>
          <w:i w:val="0"/>
          <w:color w:val="000000" w:themeColor="text1"/>
          <w:sz w:val="24"/>
          <w:szCs w:val="24"/>
        </w:rPr>
        <w:t xml:space="preserve">) </w:t>
      </w:r>
      <w:r w:rsidR="006930BC">
        <w:rPr>
          <w:rFonts w:ascii="Times New Roman" w:hAnsi="Times New Roman"/>
          <w:i w:val="0"/>
          <w:color w:val="000000" w:themeColor="text1"/>
          <w:sz w:val="24"/>
          <w:szCs w:val="24"/>
        </w:rPr>
        <w:t>486-1111</w:t>
      </w:r>
    </w:p>
    <w:p w:rsidR="00501DD2" w:rsidRPr="00FD23DF" w:rsidP="00A32DA9" w14:paraId="07F1CB12" w14:textId="77777777">
      <w:pPr>
        <w:tabs>
          <w:tab w:val="right" w:pos="9360"/>
          <w:tab w:val="right" w:pos="9630"/>
          <w:tab w:val="right" w:pos="9936"/>
        </w:tabs>
        <w:rPr>
          <w:rFonts w:ascii="Times New Roman" w:hAnsi="Times New Roman"/>
          <w:color w:val="000000" w:themeColor="text1"/>
        </w:rPr>
      </w:pPr>
      <w:r>
        <w:rPr>
          <w:rFonts w:ascii="Times New Roman" w:hAnsi="Times New Roman"/>
          <w:color w:val="000000" w:themeColor="text1"/>
        </w:rPr>
        <w:t>Prevention Research Center</w:t>
      </w:r>
      <w:r w:rsidRPr="00FD23DF">
        <w:rPr>
          <w:rFonts w:ascii="Times New Roman" w:hAnsi="Times New Roman"/>
          <w:color w:val="000000" w:themeColor="text1"/>
        </w:rPr>
        <w:tab/>
      </w:r>
    </w:p>
    <w:p w:rsidR="00A32DA9" w:rsidP="00A32DA9" w14:paraId="620836C5" w14:textId="77777777">
      <w:pPr>
        <w:pStyle w:val="ListingName"/>
        <w:tabs>
          <w:tab w:val="right" w:pos="9360"/>
          <w:tab w:val="right" w:pos="9630"/>
        </w:tabs>
        <w:spacing w:before="0" w:line="240" w:lineRule="auto"/>
        <w:rPr>
          <w:rFonts w:ascii="Times New Roman" w:hAnsi="Times New Roman"/>
          <w:color w:val="000000" w:themeColor="text1"/>
          <w:sz w:val="24"/>
          <w:szCs w:val="24"/>
        </w:rPr>
      </w:pPr>
    </w:p>
    <w:p w:rsidR="00501DD2" w:rsidRPr="00FD23DF" w:rsidP="00A32DA9" w14:paraId="702A1D79" w14:textId="77777777">
      <w:pPr>
        <w:pStyle w:val="ListingName"/>
        <w:tabs>
          <w:tab w:val="right" w:pos="9360"/>
          <w:tab w:val="right" w:pos="9630"/>
        </w:tabs>
        <w:spacing w:before="0" w:line="240" w:lineRule="auto"/>
        <w:rPr>
          <w:rFonts w:ascii="Times New Roman" w:hAnsi="Times New Roman"/>
          <w:color w:val="000000" w:themeColor="text1"/>
          <w:sz w:val="24"/>
          <w:szCs w:val="24"/>
        </w:rPr>
      </w:pPr>
      <w:r w:rsidRPr="00FD23DF">
        <w:rPr>
          <w:rFonts w:ascii="Times New Roman" w:hAnsi="Times New Roman"/>
          <w:color w:val="000000" w:themeColor="text1"/>
          <w:sz w:val="24"/>
          <w:szCs w:val="24"/>
        </w:rPr>
        <w:t xml:space="preserve">John Carnevale, </w:t>
      </w:r>
      <w:r w:rsidRPr="00FD23DF">
        <w:rPr>
          <w:rFonts w:ascii="Times New Roman" w:hAnsi="Times New Roman"/>
          <w:i w:val="0"/>
          <w:color w:val="000000" w:themeColor="text1"/>
          <w:sz w:val="24"/>
          <w:szCs w:val="24"/>
        </w:rPr>
        <w:t>PhD,</w:t>
      </w:r>
      <w:r w:rsidRPr="00FD23DF">
        <w:rPr>
          <w:rFonts w:ascii="Times New Roman" w:hAnsi="Times New Roman"/>
          <w:color w:val="000000" w:themeColor="text1"/>
          <w:sz w:val="24"/>
          <w:szCs w:val="24"/>
        </w:rPr>
        <w:t xml:space="preserve"> </w:t>
      </w:r>
      <w:r w:rsidR="008A3CA5">
        <w:rPr>
          <w:rFonts w:ascii="Times New Roman" w:hAnsi="Times New Roman"/>
          <w:i w:val="0"/>
          <w:color w:val="000000" w:themeColor="text1"/>
          <w:sz w:val="24"/>
          <w:szCs w:val="24"/>
        </w:rPr>
        <w:t>Senior Advisor</w:t>
      </w:r>
      <w:r w:rsidRPr="00FD23DF">
        <w:rPr>
          <w:rFonts w:ascii="Times New Roman" w:hAnsi="Times New Roman"/>
          <w:i w:val="0"/>
          <w:color w:val="000000" w:themeColor="text1"/>
          <w:sz w:val="24"/>
          <w:szCs w:val="24"/>
        </w:rPr>
        <w:tab/>
        <w:t>(301) 977-3600</w:t>
      </w:r>
    </w:p>
    <w:p w:rsidR="00501DD2" w:rsidRPr="00FD23DF" w:rsidP="00A32DA9" w14:paraId="1AB9991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 w:val="right" w:pos="9936"/>
        </w:tabs>
        <w:rPr>
          <w:rFonts w:ascii="Times New Roman" w:hAnsi="Times New Roman"/>
          <w:color w:val="000000" w:themeColor="text1"/>
        </w:rPr>
      </w:pPr>
      <w:r w:rsidRPr="00FD23DF">
        <w:rPr>
          <w:rFonts w:ascii="Times New Roman" w:hAnsi="Times New Roman"/>
          <w:color w:val="000000" w:themeColor="text1"/>
        </w:rPr>
        <w:t>Carnevale Associates, LLC</w:t>
      </w:r>
    </w:p>
    <w:p w:rsidR="00A32DA9" w:rsidP="00A32DA9" w14:paraId="5D3354E2" w14:textId="77777777">
      <w:pPr>
        <w:tabs>
          <w:tab w:val="right" w:pos="9360"/>
          <w:tab w:val="right" w:pos="9630"/>
        </w:tabs>
        <w:rPr>
          <w:rFonts w:ascii="Times New Roman" w:hAnsi="Times New Roman"/>
          <w:i/>
          <w:color w:val="000000" w:themeColor="text1"/>
        </w:rPr>
      </w:pPr>
    </w:p>
    <w:p w:rsidR="00501DD2" w:rsidRPr="00FD23DF" w:rsidP="00A32DA9" w14:paraId="154C4529" w14:textId="77777777">
      <w:pPr>
        <w:tabs>
          <w:tab w:val="right" w:pos="9360"/>
          <w:tab w:val="right" w:pos="9630"/>
        </w:tabs>
        <w:rPr>
          <w:rFonts w:ascii="Times New Roman" w:hAnsi="Times New Roman"/>
          <w:color w:val="000000" w:themeColor="text1"/>
        </w:rPr>
      </w:pPr>
      <w:r w:rsidRPr="00FD23DF">
        <w:rPr>
          <w:rFonts w:ascii="Times New Roman" w:hAnsi="Times New Roman"/>
          <w:i/>
          <w:color w:val="000000" w:themeColor="text1"/>
        </w:rPr>
        <w:t>William D. Kalsbeek</w:t>
      </w:r>
      <w:r w:rsidRPr="00FD23DF">
        <w:rPr>
          <w:rFonts w:ascii="Times New Roman" w:hAnsi="Times New Roman"/>
          <w:color w:val="000000" w:themeColor="text1"/>
        </w:rPr>
        <w:t>, PhD, Professor/Founder</w:t>
      </w:r>
      <w:r w:rsidR="008A3CA5">
        <w:rPr>
          <w:rFonts w:ascii="Times New Roman" w:hAnsi="Times New Roman"/>
          <w:color w:val="000000" w:themeColor="text1"/>
        </w:rPr>
        <w:t>/Emeritus Director</w:t>
      </w:r>
      <w:r w:rsidRPr="00FD23DF">
        <w:rPr>
          <w:rFonts w:ascii="Times New Roman" w:hAnsi="Times New Roman"/>
          <w:color w:val="000000" w:themeColor="text1"/>
        </w:rPr>
        <w:tab/>
        <w:t xml:space="preserve">(919) </w:t>
      </w:r>
      <w:r w:rsidR="00F516CF">
        <w:rPr>
          <w:rFonts w:ascii="Times New Roman" w:hAnsi="Times New Roman"/>
          <w:color w:val="000000" w:themeColor="text1"/>
        </w:rPr>
        <w:t>445-6945</w:t>
      </w:r>
    </w:p>
    <w:p w:rsidR="00501DD2" w:rsidRPr="00FD23DF" w:rsidP="00A32DA9" w14:paraId="2A05EE5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s>
        <w:rPr>
          <w:rFonts w:ascii="Times New Roman" w:hAnsi="Times New Roman"/>
          <w:color w:val="000000" w:themeColor="text1"/>
        </w:rPr>
      </w:pPr>
      <w:r w:rsidRPr="00FD23DF">
        <w:rPr>
          <w:rFonts w:ascii="Times New Roman" w:hAnsi="Times New Roman"/>
          <w:color w:val="000000" w:themeColor="text1"/>
        </w:rPr>
        <w:t xml:space="preserve">Carolina </w:t>
      </w:r>
      <w:r w:rsidR="00F516CF">
        <w:rPr>
          <w:rFonts w:ascii="Times New Roman" w:hAnsi="Times New Roman"/>
          <w:color w:val="000000" w:themeColor="text1"/>
        </w:rPr>
        <w:t>Population Center</w:t>
      </w:r>
    </w:p>
    <w:p w:rsidR="00501DD2" w:rsidRPr="00FD23DF" w:rsidP="00A32DA9" w14:paraId="40946AA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s>
        <w:rPr>
          <w:rFonts w:ascii="Times New Roman" w:hAnsi="Times New Roman"/>
          <w:color w:val="000000" w:themeColor="text1"/>
        </w:rPr>
      </w:pPr>
      <w:r w:rsidRPr="00FD23DF">
        <w:rPr>
          <w:rFonts w:ascii="Times New Roman" w:hAnsi="Times New Roman"/>
          <w:color w:val="000000" w:themeColor="text1"/>
        </w:rPr>
        <w:t>University of North Carolina at Chapel Hill</w:t>
      </w:r>
    </w:p>
    <w:p w:rsidR="00A32DA9" w:rsidP="00A32DA9" w14:paraId="18CC3840" w14:textId="77777777">
      <w:pPr>
        <w:pStyle w:val="ListingName"/>
        <w:tabs>
          <w:tab w:val="right" w:pos="9360"/>
          <w:tab w:val="right" w:pos="9630"/>
        </w:tabs>
        <w:spacing w:before="0" w:line="240" w:lineRule="auto"/>
        <w:rPr>
          <w:rFonts w:ascii="Times New Roman" w:hAnsi="Times New Roman"/>
          <w:color w:val="000000" w:themeColor="text1"/>
          <w:sz w:val="24"/>
          <w:szCs w:val="24"/>
        </w:rPr>
      </w:pPr>
    </w:p>
    <w:p w:rsidR="00501DD2" w:rsidRPr="00FD23DF" w:rsidP="00A32DA9" w14:paraId="6D96AFD6" w14:textId="77777777">
      <w:pPr>
        <w:pStyle w:val="ListingName"/>
        <w:tabs>
          <w:tab w:val="right" w:pos="9360"/>
          <w:tab w:val="right" w:pos="9630"/>
        </w:tabs>
        <w:spacing w:before="0" w:line="240" w:lineRule="auto"/>
        <w:rPr>
          <w:rFonts w:ascii="Times New Roman" w:hAnsi="Times New Roman"/>
          <w:color w:val="000000" w:themeColor="text1"/>
          <w:sz w:val="24"/>
          <w:szCs w:val="24"/>
        </w:rPr>
      </w:pPr>
      <w:r w:rsidRPr="00FD23DF">
        <w:rPr>
          <w:rFonts w:ascii="Times New Roman" w:hAnsi="Times New Roman"/>
          <w:color w:val="000000" w:themeColor="text1"/>
          <w:sz w:val="24"/>
          <w:szCs w:val="24"/>
        </w:rPr>
        <w:t>Graham Kalton</w:t>
      </w:r>
      <w:r w:rsidRPr="00FD23DF">
        <w:rPr>
          <w:rFonts w:ascii="Times New Roman" w:hAnsi="Times New Roman"/>
          <w:i w:val="0"/>
          <w:iCs/>
          <w:color w:val="000000" w:themeColor="text1"/>
          <w:sz w:val="24"/>
          <w:szCs w:val="24"/>
        </w:rPr>
        <w:t xml:space="preserve">, PhD, </w:t>
      </w:r>
      <w:r w:rsidR="008A3CA5">
        <w:rPr>
          <w:rFonts w:ascii="Times New Roman" w:hAnsi="Times New Roman"/>
          <w:i w:val="0"/>
          <w:iCs/>
          <w:color w:val="000000" w:themeColor="text1"/>
          <w:sz w:val="24"/>
          <w:szCs w:val="24"/>
        </w:rPr>
        <w:t>Research Professor</w:t>
      </w:r>
      <w:r w:rsidRPr="00FD23DF">
        <w:rPr>
          <w:rFonts w:ascii="Times New Roman" w:hAnsi="Times New Roman"/>
          <w:color w:val="000000" w:themeColor="text1"/>
          <w:sz w:val="24"/>
          <w:szCs w:val="24"/>
        </w:rPr>
        <w:tab/>
      </w:r>
      <w:r w:rsidRPr="00FD23DF">
        <w:rPr>
          <w:rFonts w:ascii="Times New Roman" w:hAnsi="Times New Roman"/>
          <w:i w:val="0"/>
          <w:color w:val="000000" w:themeColor="text1"/>
          <w:sz w:val="24"/>
          <w:szCs w:val="24"/>
        </w:rPr>
        <w:t xml:space="preserve">(301) </w:t>
      </w:r>
      <w:r w:rsidR="00564157">
        <w:rPr>
          <w:rFonts w:ascii="Times New Roman" w:hAnsi="Times New Roman"/>
          <w:i w:val="0"/>
          <w:color w:val="000000" w:themeColor="text1"/>
          <w:sz w:val="24"/>
          <w:szCs w:val="24"/>
        </w:rPr>
        <w:t>314-7911</w:t>
      </w:r>
    </w:p>
    <w:p w:rsidR="008A3CA5" w:rsidP="00A32DA9" w14:paraId="48E4949C" w14:textId="77777777">
      <w:pPr>
        <w:tabs>
          <w:tab w:val="left" w:pos="-720"/>
          <w:tab w:val="left" w:pos="1440"/>
          <w:tab w:val="left" w:pos="2160"/>
          <w:tab w:val="left" w:pos="2880"/>
          <w:tab w:val="left" w:pos="3600"/>
          <w:tab w:val="left" w:pos="4320"/>
          <w:tab w:val="left" w:pos="5040"/>
          <w:tab w:val="left" w:pos="5760"/>
          <w:tab w:val="left" w:pos="6480"/>
          <w:tab w:val="left" w:pos="7200"/>
          <w:tab w:val="right" w:pos="9360"/>
          <w:tab w:val="right" w:pos="9630"/>
        </w:tabs>
        <w:rPr>
          <w:rFonts w:ascii="Times New Roman" w:hAnsi="Times New Roman"/>
          <w:color w:val="000000" w:themeColor="text1"/>
        </w:rPr>
      </w:pPr>
      <w:r>
        <w:rPr>
          <w:rFonts w:ascii="Times New Roman" w:hAnsi="Times New Roman"/>
          <w:color w:val="000000" w:themeColor="text1"/>
        </w:rPr>
        <w:t>Joint Program in Survey Methodology</w:t>
      </w:r>
    </w:p>
    <w:p w:rsidR="008A3CA5" w:rsidP="00A32DA9" w14:paraId="042605DC" w14:textId="77777777">
      <w:pPr>
        <w:tabs>
          <w:tab w:val="left" w:pos="-720"/>
          <w:tab w:val="left" w:pos="1440"/>
          <w:tab w:val="left" w:pos="2160"/>
          <w:tab w:val="left" w:pos="2880"/>
          <w:tab w:val="left" w:pos="3600"/>
          <w:tab w:val="left" w:pos="4320"/>
          <w:tab w:val="left" w:pos="5040"/>
          <w:tab w:val="left" w:pos="5760"/>
          <w:tab w:val="left" w:pos="6480"/>
          <w:tab w:val="left" w:pos="7200"/>
          <w:tab w:val="right" w:pos="9360"/>
          <w:tab w:val="right" w:pos="9630"/>
        </w:tabs>
        <w:rPr>
          <w:rFonts w:ascii="Times New Roman" w:hAnsi="Times New Roman"/>
          <w:color w:val="000000" w:themeColor="text1"/>
        </w:rPr>
      </w:pPr>
      <w:r>
        <w:rPr>
          <w:rFonts w:ascii="Times New Roman" w:hAnsi="Times New Roman"/>
          <w:color w:val="000000" w:themeColor="text1"/>
        </w:rPr>
        <w:t>University of Maryland</w:t>
      </w:r>
    </w:p>
    <w:p w:rsidR="00A32DA9" w:rsidP="00A32DA9" w14:paraId="41BB6C97" w14:textId="77777777">
      <w:pPr>
        <w:keepNext/>
        <w:keepLines/>
        <w:tabs>
          <w:tab w:val="right" w:pos="9360"/>
          <w:tab w:val="right" w:pos="9630"/>
        </w:tabs>
        <w:rPr>
          <w:rFonts w:ascii="Times New Roman" w:hAnsi="Times New Roman"/>
          <w:color w:val="000000" w:themeColor="text1"/>
          <w:lang w:val="da-DK"/>
        </w:rPr>
      </w:pPr>
    </w:p>
    <w:p w:rsidR="00501DD2" w:rsidRPr="00FD23DF" w:rsidP="00A32DA9" w14:paraId="4E41A204" w14:textId="77777777">
      <w:pPr>
        <w:keepNext/>
        <w:keepLines/>
        <w:tabs>
          <w:tab w:val="right" w:pos="9360"/>
          <w:tab w:val="right" w:pos="9630"/>
        </w:tabs>
        <w:rPr>
          <w:rFonts w:ascii="Times New Roman" w:hAnsi="Times New Roman"/>
          <w:color w:val="000000" w:themeColor="text1"/>
        </w:rPr>
      </w:pPr>
      <w:r w:rsidRPr="00FD23DF">
        <w:rPr>
          <w:rFonts w:ascii="Times New Roman" w:hAnsi="Times New Roman"/>
          <w:i/>
          <w:color w:val="000000" w:themeColor="text1"/>
        </w:rPr>
        <w:t>Philip Leaf</w:t>
      </w:r>
      <w:r w:rsidRPr="00FD23DF">
        <w:rPr>
          <w:rFonts w:ascii="Times New Roman" w:hAnsi="Times New Roman"/>
          <w:color w:val="000000" w:themeColor="text1"/>
        </w:rPr>
        <w:t>, PhD, Professor</w:t>
      </w:r>
      <w:r w:rsidR="00564157">
        <w:rPr>
          <w:rFonts w:ascii="Times New Roman" w:hAnsi="Times New Roman"/>
          <w:color w:val="000000" w:themeColor="text1"/>
        </w:rPr>
        <w:t xml:space="preserve"> Emeritus</w:t>
      </w:r>
      <w:r w:rsidRPr="00FD23DF">
        <w:rPr>
          <w:rFonts w:ascii="Times New Roman" w:hAnsi="Times New Roman"/>
          <w:color w:val="000000" w:themeColor="text1"/>
        </w:rPr>
        <w:tab/>
        <w:t>(410) 955</w:t>
      </w:r>
      <w:r w:rsidRPr="00FD23DF">
        <w:rPr>
          <w:rFonts w:ascii="Times New Roman" w:hAnsi="Times New Roman"/>
          <w:color w:val="000000" w:themeColor="text1"/>
        </w:rPr>
        <w:noBreakHyphen/>
        <w:t>3962</w:t>
      </w:r>
    </w:p>
    <w:p w:rsidR="00501DD2" w:rsidRPr="00FD23DF" w:rsidP="00A32DA9" w14:paraId="46F14008" w14:textId="7777777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s>
        <w:rPr>
          <w:rFonts w:ascii="Times New Roman" w:hAnsi="Times New Roman"/>
          <w:color w:val="000000" w:themeColor="text1"/>
        </w:rPr>
      </w:pPr>
      <w:r w:rsidRPr="00FD23DF">
        <w:rPr>
          <w:rFonts w:ascii="Times New Roman" w:hAnsi="Times New Roman"/>
          <w:color w:val="000000" w:themeColor="text1"/>
        </w:rPr>
        <w:t xml:space="preserve">Department of Mental Health </w:t>
      </w:r>
    </w:p>
    <w:p w:rsidR="00501DD2" w:rsidRPr="00FD23DF" w:rsidP="00A32DA9" w14:paraId="30323EC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s>
        <w:rPr>
          <w:rFonts w:ascii="Times New Roman" w:hAnsi="Times New Roman"/>
          <w:color w:val="000000" w:themeColor="text1"/>
        </w:rPr>
      </w:pPr>
      <w:r w:rsidRPr="00FD23DF">
        <w:rPr>
          <w:rFonts w:ascii="Times New Roman" w:hAnsi="Times New Roman"/>
          <w:color w:val="000000" w:themeColor="text1"/>
        </w:rPr>
        <w:t xml:space="preserve">School of </w:t>
      </w:r>
      <w:r w:rsidR="00CC03A2">
        <w:rPr>
          <w:rFonts w:ascii="Times New Roman" w:hAnsi="Times New Roman"/>
          <w:color w:val="000000" w:themeColor="text1"/>
        </w:rPr>
        <w:t>Education</w:t>
      </w:r>
    </w:p>
    <w:p w:rsidR="00501DD2" w:rsidRPr="00FD23DF" w:rsidP="00A32DA9" w14:paraId="12A0651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s>
        <w:rPr>
          <w:rFonts w:ascii="Times New Roman" w:hAnsi="Times New Roman"/>
          <w:color w:val="000000" w:themeColor="text1"/>
        </w:rPr>
      </w:pPr>
      <w:r w:rsidRPr="00FD23DF">
        <w:rPr>
          <w:rFonts w:ascii="Times New Roman" w:hAnsi="Times New Roman"/>
          <w:color w:val="000000" w:themeColor="text1"/>
        </w:rPr>
        <w:t>Johns Hopkins University</w:t>
      </w:r>
    </w:p>
    <w:p w:rsidR="00A32DA9" w:rsidP="00A32DA9" w14:paraId="2E53E22D" w14:textId="77777777">
      <w:pPr>
        <w:tabs>
          <w:tab w:val="right" w:pos="9360"/>
          <w:tab w:val="right" w:pos="9630"/>
        </w:tabs>
        <w:rPr>
          <w:rFonts w:ascii="Times New Roman" w:hAnsi="Times New Roman"/>
          <w:i/>
        </w:rPr>
      </w:pPr>
    </w:p>
    <w:p w:rsidR="00501DD2" w:rsidRPr="00FD23DF" w:rsidP="00A32DA9" w14:paraId="6318AD9D" w14:textId="77777777">
      <w:pPr>
        <w:tabs>
          <w:tab w:val="right" w:pos="9360"/>
          <w:tab w:val="right" w:pos="9630"/>
        </w:tabs>
        <w:rPr>
          <w:rFonts w:ascii="Times New Roman" w:hAnsi="Times New Roman"/>
        </w:rPr>
      </w:pPr>
      <w:r w:rsidRPr="00FD23DF">
        <w:rPr>
          <w:rFonts w:ascii="Times New Roman" w:hAnsi="Times New Roman"/>
          <w:i/>
        </w:rPr>
        <w:t xml:space="preserve">Patrick O’Malley, </w:t>
      </w:r>
      <w:r w:rsidRPr="00FD23DF">
        <w:rPr>
          <w:rFonts w:ascii="Times New Roman" w:hAnsi="Times New Roman"/>
        </w:rPr>
        <w:t>PhD,</w:t>
      </w:r>
      <w:r w:rsidRPr="00FD23DF">
        <w:rPr>
          <w:rFonts w:ascii="Times New Roman" w:hAnsi="Times New Roman"/>
          <w:i/>
        </w:rPr>
        <w:t xml:space="preserve"> </w:t>
      </w:r>
      <w:r w:rsidR="00CC03A2">
        <w:rPr>
          <w:rFonts w:ascii="Times New Roman" w:hAnsi="Times New Roman"/>
        </w:rPr>
        <w:t>Research Professor Emeritus</w:t>
      </w:r>
      <w:r w:rsidRPr="00FD23DF">
        <w:rPr>
          <w:rFonts w:ascii="Times New Roman" w:hAnsi="Times New Roman"/>
        </w:rPr>
        <w:tab/>
        <w:t xml:space="preserve">(734) </w:t>
      </w:r>
      <w:r w:rsidR="00CC03A2">
        <w:rPr>
          <w:rFonts w:ascii="Times New Roman" w:hAnsi="Times New Roman"/>
        </w:rPr>
        <w:t>647-1474</w:t>
      </w:r>
    </w:p>
    <w:p w:rsidR="00501DD2" w:rsidRPr="00FD23DF" w:rsidP="00A32DA9" w14:paraId="44C95500" w14:textId="7777777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 w:val="right" w:pos="9936"/>
        </w:tabs>
        <w:rPr>
          <w:rFonts w:ascii="Times New Roman" w:hAnsi="Times New Roman"/>
          <w:color w:val="000000" w:themeColor="text1"/>
        </w:rPr>
      </w:pPr>
      <w:r>
        <w:rPr>
          <w:rFonts w:ascii="Times New Roman" w:hAnsi="Times New Roman"/>
          <w:color w:val="000000" w:themeColor="text1"/>
        </w:rPr>
        <w:t>Youth and Social Issues</w:t>
      </w:r>
      <w:r w:rsidRPr="00FD23DF">
        <w:rPr>
          <w:rFonts w:ascii="Times New Roman" w:hAnsi="Times New Roman"/>
          <w:color w:val="000000" w:themeColor="text1"/>
        </w:rPr>
        <w:t xml:space="preserve">, The Institute for Social Research </w:t>
      </w:r>
    </w:p>
    <w:p w:rsidR="00501DD2" w:rsidRPr="00FD23DF" w:rsidP="00A32DA9" w14:paraId="7ACEA93A" w14:textId="7777777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 w:val="right" w:pos="9936"/>
        </w:tabs>
        <w:rPr>
          <w:rFonts w:ascii="Times New Roman" w:hAnsi="Times New Roman"/>
          <w:color w:val="000000" w:themeColor="text1"/>
        </w:rPr>
      </w:pPr>
      <w:r w:rsidRPr="00FD23DF">
        <w:rPr>
          <w:rFonts w:ascii="Times New Roman" w:hAnsi="Times New Roman"/>
          <w:color w:val="000000" w:themeColor="text1"/>
        </w:rPr>
        <w:t>University of Michigan</w:t>
      </w:r>
    </w:p>
    <w:p w:rsidR="00501DD2" w:rsidRPr="00FD23DF" w:rsidP="00A32DA9" w14:paraId="653F1A2B" w14:textId="77777777">
      <w:pPr>
        <w:keepNext/>
        <w:keepLines/>
        <w:tabs>
          <w:tab w:val="right" w:pos="9360"/>
          <w:tab w:val="right" w:pos="9630"/>
        </w:tabs>
        <w:rPr>
          <w:rFonts w:ascii="Times New Roman" w:hAnsi="Times New Roman"/>
          <w:i/>
          <w:color w:val="000000" w:themeColor="text1"/>
        </w:rPr>
      </w:pPr>
    </w:p>
    <w:p w:rsidR="00501DD2" w:rsidRPr="00FD23DF" w:rsidP="00A32DA9" w14:paraId="40DBC674" w14:textId="77777777">
      <w:pPr>
        <w:keepNext/>
        <w:keepLines/>
        <w:tabs>
          <w:tab w:val="right" w:pos="9360"/>
          <w:tab w:val="right" w:pos="9630"/>
        </w:tabs>
        <w:rPr>
          <w:rFonts w:ascii="Times New Roman" w:hAnsi="Times New Roman"/>
          <w:color w:val="000000" w:themeColor="text1"/>
        </w:rPr>
      </w:pPr>
      <w:r w:rsidRPr="00FD23DF">
        <w:rPr>
          <w:rFonts w:ascii="Times New Roman" w:hAnsi="Times New Roman"/>
          <w:i/>
          <w:color w:val="000000" w:themeColor="text1"/>
        </w:rPr>
        <w:t>Peter Reuter</w:t>
      </w:r>
      <w:r w:rsidRPr="00FD23DF">
        <w:rPr>
          <w:rFonts w:ascii="Times New Roman" w:hAnsi="Times New Roman"/>
          <w:color w:val="000000" w:themeColor="text1"/>
        </w:rPr>
        <w:t>, PhD, Professor</w:t>
      </w:r>
      <w:r w:rsidRPr="00FD23DF">
        <w:rPr>
          <w:rFonts w:ascii="Times New Roman" w:hAnsi="Times New Roman"/>
          <w:color w:val="000000" w:themeColor="text1"/>
        </w:rPr>
        <w:tab/>
        <w:t>(</w:t>
      </w:r>
      <w:r w:rsidR="00D5532B">
        <w:rPr>
          <w:rFonts w:ascii="Times New Roman" w:hAnsi="Times New Roman"/>
          <w:color w:val="000000" w:themeColor="text1"/>
        </w:rPr>
        <w:t>240</w:t>
      </w:r>
      <w:r w:rsidRPr="00FD23DF">
        <w:rPr>
          <w:rFonts w:ascii="Times New Roman" w:hAnsi="Times New Roman"/>
          <w:color w:val="000000" w:themeColor="text1"/>
        </w:rPr>
        <w:t xml:space="preserve">) </w:t>
      </w:r>
      <w:r w:rsidR="00D5532B">
        <w:rPr>
          <w:rFonts w:ascii="Times New Roman" w:hAnsi="Times New Roman"/>
          <w:color w:val="000000" w:themeColor="text1"/>
        </w:rPr>
        <w:t>988</w:t>
      </w:r>
      <w:r w:rsidRPr="00FD23DF">
        <w:rPr>
          <w:rFonts w:ascii="Times New Roman" w:hAnsi="Times New Roman"/>
          <w:color w:val="000000" w:themeColor="text1"/>
        </w:rPr>
        <w:t>-</w:t>
      </w:r>
      <w:r w:rsidR="00D5532B">
        <w:rPr>
          <w:rFonts w:ascii="Times New Roman" w:hAnsi="Times New Roman"/>
          <w:color w:val="000000" w:themeColor="text1"/>
        </w:rPr>
        <w:t>6605</w:t>
      </w:r>
    </w:p>
    <w:p w:rsidR="00961CB2" w:rsidP="00A32DA9" w14:paraId="4A591A05" w14:textId="7777777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s>
        <w:rPr>
          <w:rFonts w:ascii="Times New Roman" w:hAnsi="Times New Roman"/>
          <w:color w:val="000000" w:themeColor="text1"/>
        </w:rPr>
      </w:pPr>
      <w:r>
        <w:rPr>
          <w:rFonts w:ascii="Times New Roman" w:hAnsi="Times New Roman"/>
          <w:color w:val="000000" w:themeColor="text1"/>
        </w:rPr>
        <w:t xml:space="preserve">Department of Criminology </w:t>
      </w:r>
    </w:p>
    <w:p w:rsidR="00501DD2" w:rsidRPr="00FD23DF" w:rsidP="00A32DA9" w14:paraId="57480F67" w14:textId="7777777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s>
        <w:rPr>
          <w:rFonts w:ascii="Times New Roman" w:hAnsi="Times New Roman"/>
          <w:color w:val="000000" w:themeColor="text1"/>
        </w:rPr>
      </w:pPr>
      <w:r w:rsidRPr="00FD23DF">
        <w:rPr>
          <w:rFonts w:ascii="Times New Roman" w:hAnsi="Times New Roman"/>
          <w:color w:val="000000" w:themeColor="text1"/>
        </w:rPr>
        <w:t xml:space="preserve">School of Public Policy </w:t>
      </w:r>
    </w:p>
    <w:p w:rsidR="00501DD2" w:rsidRPr="00FD23DF" w:rsidP="00A32DA9" w14:paraId="0283B73E" w14:textId="7777777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30"/>
        </w:tabs>
        <w:rPr>
          <w:rFonts w:ascii="Times New Roman" w:hAnsi="Times New Roman"/>
          <w:color w:val="000000" w:themeColor="text1"/>
        </w:rPr>
      </w:pPr>
      <w:r w:rsidRPr="00FD23DF">
        <w:rPr>
          <w:rFonts w:ascii="Times New Roman" w:hAnsi="Times New Roman"/>
          <w:color w:val="000000" w:themeColor="text1"/>
        </w:rPr>
        <w:t>University of Maryland</w:t>
      </w:r>
    </w:p>
    <w:bookmarkEnd w:id="7"/>
    <w:p w:rsidR="005504CF" w:rsidP="00501DD2" w14:paraId="12196A51" w14:textId="77777777">
      <w:pPr>
        <w:pStyle w:val="Heading2"/>
        <w:tabs>
          <w:tab w:val="clear" w:pos="0"/>
          <w:tab w:val="left" w:pos="540"/>
          <w:tab w:val="clear" w:pos="720"/>
          <w:tab w:val="clear" w:pos="2160"/>
        </w:tabs>
        <w:ind w:left="0"/>
        <w:rPr>
          <w:rFonts w:ascii="Times New Roman" w:hAnsi="Times New Roman" w:cs="Times New Roman"/>
          <w:b w:val="0"/>
          <w:color w:val="auto"/>
        </w:rPr>
      </w:pPr>
    </w:p>
    <w:p w:rsidR="005504CF" w:rsidP="00501DD2" w14:paraId="74106005" w14:textId="77777777">
      <w:pPr>
        <w:pStyle w:val="Heading2"/>
        <w:tabs>
          <w:tab w:val="clear" w:pos="0"/>
          <w:tab w:val="left" w:pos="540"/>
          <w:tab w:val="clear" w:pos="720"/>
          <w:tab w:val="clear" w:pos="2160"/>
        </w:tabs>
        <w:ind w:left="0"/>
        <w:rPr>
          <w:rFonts w:ascii="Times New Roman" w:hAnsi="Times New Roman" w:cs="Times New Roman"/>
          <w:b w:val="0"/>
          <w:color w:val="auto"/>
        </w:rPr>
      </w:pPr>
    </w:p>
    <w:p w:rsidR="005504CF" w:rsidP="00501DD2" w14:paraId="3340924F" w14:textId="77777777">
      <w:pPr>
        <w:pStyle w:val="Heading2"/>
        <w:tabs>
          <w:tab w:val="clear" w:pos="0"/>
          <w:tab w:val="left" w:pos="540"/>
          <w:tab w:val="clear" w:pos="720"/>
          <w:tab w:val="clear" w:pos="2160"/>
        </w:tabs>
        <w:ind w:left="0"/>
        <w:rPr>
          <w:rFonts w:ascii="Times New Roman" w:hAnsi="Times New Roman" w:cs="Times New Roman"/>
          <w:b w:val="0"/>
          <w:color w:val="auto"/>
        </w:rPr>
      </w:pPr>
    </w:p>
    <w:p w:rsidR="005504CF" w:rsidP="00501DD2" w14:paraId="4F39A927" w14:textId="77777777">
      <w:pPr>
        <w:pStyle w:val="Heading2"/>
        <w:tabs>
          <w:tab w:val="clear" w:pos="0"/>
          <w:tab w:val="left" w:pos="540"/>
          <w:tab w:val="clear" w:pos="720"/>
          <w:tab w:val="clear" w:pos="2160"/>
        </w:tabs>
        <w:ind w:left="0"/>
        <w:rPr>
          <w:rFonts w:ascii="Times New Roman" w:hAnsi="Times New Roman" w:cs="Times New Roman"/>
          <w:b w:val="0"/>
          <w:color w:val="auto"/>
        </w:rPr>
      </w:pPr>
    </w:p>
    <w:p w:rsidR="005504CF" w:rsidP="00501DD2" w14:paraId="721B2FCE" w14:textId="77777777">
      <w:pPr>
        <w:pStyle w:val="Heading2"/>
        <w:tabs>
          <w:tab w:val="clear" w:pos="0"/>
          <w:tab w:val="left" w:pos="540"/>
          <w:tab w:val="clear" w:pos="720"/>
          <w:tab w:val="clear" w:pos="2160"/>
        </w:tabs>
        <w:ind w:left="0"/>
        <w:rPr>
          <w:rFonts w:ascii="Times New Roman" w:hAnsi="Times New Roman" w:cs="Times New Roman"/>
          <w:b w:val="0"/>
          <w:color w:val="auto"/>
        </w:rPr>
      </w:pPr>
    </w:p>
    <w:p w:rsidR="005504CF" w:rsidP="00501DD2" w14:paraId="1805EE98" w14:textId="77777777">
      <w:pPr>
        <w:pStyle w:val="Heading2"/>
        <w:tabs>
          <w:tab w:val="clear" w:pos="0"/>
          <w:tab w:val="left" w:pos="540"/>
          <w:tab w:val="clear" w:pos="720"/>
          <w:tab w:val="clear" w:pos="2160"/>
        </w:tabs>
        <w:ind w:left="0"/>
        <w:rPr>
          <w:rFonts w:ascii="Times New Roman" w:hAnsi="Times New Roman" w:cs="Times New Roman"/>
          <w:b w:val="0"/>
          <w:color w:val="auto"/>
        </w:rPr>
      </w:pPr>
    </w:p>
    <w:p w:rsidR="005504CF" w:rsidP="00501DD2" w14:paraId="369F0154" w14:textId="77777777">
      <w:pPr>
        <w:pStyle w:val="Heading2"/>
        <w:tabs>
          <w:tab w:val="clear" w:pos="0"/>
          <w:tab w:val="left" w:pos="540"/>
          <w:tab w:val="clear" w:pos="720"/>
          <w:tab w:val="clear" w:pos="2160"/>
        </w:tabs>
        <w:ind w:left="0"/>
        <w:rPr>
          <w:rFonts w:ascii="Times New Roman" w:hAnsi="Times New Roman" w:cs="Times New Roman"/>
          <w:b w:val="0"/>
          <w:color w:val="auto"/>
        </w:rPr>
      </w:pPr>
    </w:p>
    <w:p w:rsidR="005504CF" w:rsidP="00501DD2" w14:paraId="0D02D1A1" w14:textId="77777777">
      <w:pPr>
        <w:pStyle w:val="Heading2"/>
        <w:tabs>
          <w:tab w:val="clear" w:pos="0"/>
          <w:tab w:val="left" w:pos="540"/>
          <w:tab w:val="clear" w:pos="720"/>
          <w:tab w:val="clear" w:pos="2160"/>
        </w:tabs>
        <w:ind w:left="0"/>
        <w:rPr>
          <w:rFonts w:ascii="Times New Roman" w:hAnsi="Times New Roman" w:cs="Times New Roman"/>
          <w:b w:val="0"/>
          <w:color w:val="auto"/>
        </w:rPr>
      </w:pPr>
    </w:p>
    <w:p w:rsidR="005504CF" w:rsidRPr="00FD23DF" w:rsidP="00501DD2" w14:paraId="4030C65C" w14:textId="77777777">
      <w:pPr>
        <w:pStyle w:val="Heading2"/>
        <w:tabs>
          <w:tab w:val="clear" w:pos="0"/>
          <w:tab w:val="left" w:pos="540"/>
          <w:tab w:val="clear" w:pos="720"/>
          <w:tab w:val="clear" w:pos="2160"/>
        </w:tabs>
        <w:ind w:left="0"/>
        <w:rPr>
          <w:rFonts w:ascii="Times New Roman" w:hAnsi="Times New Roman" w:cs="Times New Roman"/>
        </w:rPr>
      </w:pPr>
    </w:p>
    <w:p w:rsidR="005504CF" w:rsidRPr="00FD23DF" w:rsidP="00501DD2" w14:paraId="2A368C18" w14:textId="77777777">
      <w:pPr>
        <w:tabs>
          <w:tab w:val="right" w:pos="9360"/>
          <w:tab w:val="right" w:pos="9630"/>
        </w:tabs>
        <w:rPr>
          <w:rFonts w:ascii="Times New Roman" w:hAnsi="Times New Roman"/>
        </w:rPr>
      </w:pPr>
    </w:p>
    <w:p w:rsidR="00A32DA9" w:rsidP="00501DD2" w14:paraId="09A931F0"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themeColor="text1"/>
          <w:sz w:val="28"/>
          <w:szCs w:val="28"/>
        </w:rPr>
      </w:pPr>
    </w:p>
    <w:p w:rsidR="00A32DA9" w:rsidP="00501DD2" w14:paraId="3AED8706"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themeColor="text1"/>
          <w:sz w:val="28"/>
          <w:szCs w:val="28"/>
        </w:rPr>
      </w:pPr>
    </w:p>
    <w:p w:rsidR="00501DD2" w:rsidRPr="00FD23DF" w:rsidP="00501DD2" w14:paraId="4561CBEB"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themeColor="text1"/>
          <w:sz w:val="28"/>
          <w:szCs w:val="28"/>
        </w:rPr>
      </w:pPr>
      <w:r w:rsidRPr="00FD23DF">
        <w:rPr>
          <w:rFonts w:ascii="Times New Roman" w:hAnsi="Times New Roman"/>
          <w:b/>
          <w:color w:val="000000" w:themeColor="text1"/>
          <w:sz w:val="28"/>
          <w:szCs w:val="28"/>
        </w:rPr>
        <w:t>References</w:t>
      </w:r>
    </w:p>
    <w:p w:rsidR="00501DD2" w:rsidRPr="00FD23DF" w:rsidP="00501DD2" w14:paraId="53D8CEEF"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themeColor="text1"/>
        </w:rPr>
      </w:pPr>
    </w:p>
    <w:p w:rsidR="00501DD2" w:rsidRPr="00FD23DF" w:rsidP="00501DD2" w14:paraId="3F879B7D" w14:textId="77777777">
      <w:pPr>
        <w:pStyle w:val="ReferenceCitation"/>
        <w:rPr>
          <w:color w:val="000000" w:themeColor="text1"/>
          <w:szCs w:val="22"/>
        </w:rPr>
      </w:pPr>
      <w:r w:rsidRPr="00FD23DF">
        <w:rPr>
          <w:color w:val="000000" w:themeColor="text1"/>
          <w:szCs w:val="22"/>
        </w:rPr>
        <w:t xml:space="preserve">Biemer, P., &amp; Link, M. (2007). Evaluating and modeling early cooperator bias in RDD surveys. In Lepkowski, J. et al. (Eds.), </w:t>
      </w:r>
      <w:r w:rsidRPr="00FD23DF">
        <w:rPr>
          <w:i/>
          <w:color w:val="000000" w:themeColor="text1"/>
          <w:szCs w:val="22"/>
        </w:rPr>
        <w:t>Advances in telephone survey methodology</w:t>
      </w:r>
      <w:r w:rsidRPr="00FD23DF">
        <w:rPr>
          <w:color w:val="000000" w:themeColor="text1"/>
          <w:szCs w:val="22"/>
        </w:rPr>
        <w:t>. Hoboken, NJ: John Wiley &amp; Sons.</w:t>
      </w:r>
    </w:p>
    <w:p w:rsidR="00501DD2" w:rsidRPr="00FD23DF" w:rsidP="00501DD2" w14:paraId="5064DD21" w14:textId="77777777">
      <w:pPr>
        <w:pStyle w:val="NormalCentered"/>
        <w:ind w:left="720" w:hanging="720"/>
        <w:jc w:val="left"/>
      </w:pPr>
      <w:r w:rsidRPr="00FD23DF">
        <w:rPr>
          <w:color w:val="000000"/>
        </w:rPr>
        <w:t xml:space="preserve">Biemer, P., Chen, P., and Wang, K. (2013). Incorporating level of effort paradata in </w:t>
      </w:r>
      <w:r w:rsidRPr="00FD23DF">
        <w:t>the NSDUH nonresponse adjustment process</w:t>
      </w:r>
      <w:r w:rsidRPr="00FD23DF">
        <w:rPr>
          <w:color w:val="000000"/>
        </w:rPr>
        <w:t xml:space="preserve">. </w:t>
      </w:r>
      <w:r w:rsidRPr="00FD23DF">
        <w:t>Rockville, MD:</w:t>
      </w:r>
      <w:r w:rsidRPr="00FD23DF">
        <w:rPr>
          <w:color w:val="000000"/>
        </w:rPr>
        <w:t xml:space="preserve"> </w:t>
      </w:r>
      <w:r w:rsidRPr="00FD23DF">
        <w:t>U.S. Department of Health and Human Services, Substance Abuse and Mental Health Services Administration, Center for Behavioral, Health Statistics and Quality.</w:t>
      </w:r>
    </w:p>
    <w:p w:rsidR="00501DD2" w:rsidRPr="00FD23DF" w:rsidP="00501DD2" w14:paraId="48842935" w14:textId="77777777">
      <w:pPr>
        <w:pStyle w:val="NormalCentered"/>
        <w:rPr>
          <w:color w:val="000000" w:themeColor="text1"/>
          <w:szCs w:val="22"/>
        </w:rPr>
      </w:pPr>
      <w:r w:rsidRPr="00FD23DF">
        <w:rPr>
          <w:color w:val="000000"/>
        </w:rPr>
        <w:t xml:space="preserve">  </w:t>
      </w:r>
    </w:p>
    <w:p w:rsidR="00501DD2" w:rsidRPr="00F56FDA" w:rsidP="00501DD2" w14:paraId="112DB784" w14:textId="77777777">
      <w:pPr>
        <w:pStyle w:val="ReferenceCitation"/>
      </w:pPr>
      <w:r w:rsidRPr="00FD23DF">
        <w:t xml:space="preserve">Caspar, R.A. (1992). A follow-up study of nonrespondents to the 1990 National Household Survey on Drug Abuse. In </w:t>
      </w:r>
      <w:r w:rsidRPr="00FD23DF">
        <w:rPr>
          <w:i/>
          <w:iCs/>
        </w:rPr>
        <w:t xml:space="preserve">Proceedings of the1992 American Statistical Association, Survey Research Section, Boston, MA </w:t>
      </w:r>
      <w:r w:rsidRPr="00FD23DF">
        <w:t xml:space="preserve">(pp. 476-481). Alexandria, VA: American </w:t>
      </w:r>
      <w:r w:rsidRPr="00F56FDA">
        <w:t>Statistical Association.</w:t>
      </w:r>
    </w:p>
    <w:p w:rsidR="00501DD2" w:rsidRPr="00F56FDA" w:rsidP="00501DD2" w14:paraId="21E5ED97" w14:textId="77777777">
      <w:pPr>
        <w:pStyle w:val="ReferenceCitation"/>
        <w:rPr>
          <w:szCs w:val="22"/>
        </w:rPr>
      </w:pPr>
      <w:r w:rsidRPr="00F56FDA">
        <w:rPr>
          <w:color w:val="000000" w:themeColor="text1"/>
          <w:szCs w:val="22"/>
        </w:rPr>
        <w:t>Caspar, R. A., Penne, M. A., &amp; Dean, E. (2005). Evaluation of follow-up probes to reduce</w:t>
      </w:r>
      <w:r w:rsidRPr="00F56FDA">
        <w:rPr>
          <w:szCs w:val="22"/>
        </w:rPr>
        <w:t xml:space="preserve"> item nonresponse in NSDUH. In J. Kennet &amp; J. Gfroerer (Eds.), </w:t>
      </w:r>
      <w:r w:rsidRPr="00F56FDA">
        <w:rPr>
          <w:i/>
          <w:iCs/>
          <w:szCs w:val="22"/>
        </w:rPr>
        <w:t xml:space="preserve">Evaluating and improving methods used in the National Survey on Drug Use and Health </w:t>
      </w:r>
      <w:r w:rsidRPr="00F56FDA">
        <w:rPr>
          <w:szCs w:val="22"/>
        </w:rPr>
        <w:t>(HHS Publication No. SMA 05-4044, Methodology Series M-5, pp. 121-148). Rockville, MD: Substance Abuse and Mental Health Services Administration, Office of Applied Studies.</w:t>
      </w:r>
    </w:p>
    <w:p w:rsidR="005C79F2" w:rsidRPr="00F56FDA" w:rsidP="00501DD2" w14:paraId="0CD87AE6" w14:textId="77777777">
      <w:pPr>
        <w:pStyle w:val="ReferenceCitation"/>
        <w:rPr>
          <w:szCs w:val="22"/>
        </w:rPr>
      </w:pPr>
      <w:r w:rsidRPr="00F56FDA">
        <w:rPr>
          <w:szCs w:val="22"/>
        </w:rPr>
        <w:t>Center for Behavioral Health Statistics and Quality. (2012). Comparing and evaluating youth substance use estimates from the National Survey on Drug Use and Health and other surveys (HHS Publication No. SMA 12-4727, Methodology Series M-9). Substance Abuse and Mental Health Services Administration.</w:t>
      </w:r>
    </w:p>
    <w:p w:rsidR="00383395" w:rsidRPr="00F56FDA" w:rsidP="00501DD2" w14:paraId="67EF7024" w14:textId="77777777">
      <w:pPr>
        <w:pStyle w:val="ReferenceCitation"/>
        <w:rPr>
          <w:szCs w:val="22"/>
        </w:rPr>
      </w:pPr>
      <w:r w:rsidRPr="00F56FDA">
        <w:rPr>
          <w:szCs w:val="22"/>
        </w:rPr>
        <w:t xml:space="preserve">National Center for Health Statistics. </w:t>
      </w:r>
      <w:r w:rsidRPr="00F56FDA" w:rsidR="007A4948">
        <w:rPr>
          <w:szCs w:val="22"/>
        </w:rPr>
        <w:t xml:space="preserve">(2023). </w:t>
      </w:r>
      <w:r w:rsidRPr="00F56FDA">
        <w:rPr>
          <w:szCs w:val="22"/>
        </w:rPr>
        <w:t>U.S. Census Bureau, Household Pulse Survey, 2020-2023. Anxiety and Depression. Generated interactively: from https://www.cdc.gov/nchs/covid19/pulse/mental-health.htm</w:t>
      </w:r>
    </w:p>
    <w:p w:rsidR="009B6B39" w:rsidRPr="00F56FDA" w:rsidP="00501DD2" w14:paraId="67AE03D2" w14:textId="77777777">
      <w:pPr>
        <w:pStyle w:val="ReferenceCitation"/>
      </w:pPr>
      <w:r w:rsidRPr="00F56FDA">
        <w:t>Drew, J.H. and Fuller, W.A. (1980). Modeling Nonresponse in Surveys with Callbacks. Proceedings of the American Statistical Association, Survey Research Methods Section, 639–642.</w:t>
      </w:r>
    </w:p>
    <w:p w:rsidR="00501DD2" w:rsidRPr="00F56FDA" w:rsidP="00501DD2" w14:paraId="19D57AF7" w14:textId="77777777">
      <w:pPr>
        <w:pStyle w:val="ReferenceCitation"/>
      </w:pPr>
      <w:r w:rsidRPr="00F56FDA">
        <w:t>Eyerman, J., Odom, D., Butler, D., Wu, S., and Caspar, R. (2002). Nonresponse in the 1999 NHSDA. In J. Gfroerer, J. Eyerman, &amp; J. Chromy (Eds.),</w:t>
      </w:r>
      <w:r w:rsidRPr="00F56FDA">
        <w:rPr>
          <w:i/>
        </w:rPr>
        <w:t xml:space="preserve"> Redesigning an ongoing national household survey: Methodological issues</w:t>
      </w:r>
      <w:r w:rsidRPr="00F56FDA">
        <w:t xml:space="preserve"> (HHS Publication No. SMA 03-3768). Rockville, MD: Substance Abuse and Mental Health Services Administration, Office of Applied Studies.</w:t>
      </w:r>
    </w:p>
    <w:p w:rsidR="00F869A5" w:rsidRPr="00F56FDA" w:rsidP="00501DD2" w14:paraId="2DDB09E2" w14:textId="77777777">
      <w:pPr>
        <w:pStyle w:val="ReferenceCitation"/>
      </w:pPr>
      <w:r w:rsidRPr="00F56FDA">
        <w:t xml:space="preserve">Fowler, F. J., &amp; Stringfellow, V. L. (2001). Learning from experience: Estimating teen use of alcohol, cigarettes, and marijuana from three survey protocols. Journal of Drug Issues, 31, 643-664. </w:t>
      </w:r>
      <w:hyperlink r:id="rId30" w:history="1">
        <w:r w:rsidRPr="00F56FDA" w:rsidR="00B71537">
          <w:rPr>
            <w:rStyle w:val="Hyperlink"/>
            <w:rFonts w:ascii="Times New Roman" w:hAnsi="Times New Roman" w:cs="Times New Roman"/>
          </w:rPr>
          <w:t>https://doi.org/10.1177/002204260103100304</w:t>
        </w:r>
      </w:hyperlink>
    </w:p>
    <w:p w:rsidR="00B71537" w:rsidRPr="00F56FDA" w:rsidP="00501DD2" w14:paraId="4716E6C3" w14:textId="77777777">
      <w:pPr>
        <w:pStyle w:val="ReferenceCitation"/>
      </w:pPr>
      <w:r w:rsidRPr="00F56FDA">
        <w:t>Gelman, A., Stevens, M., &amp; Chan, V. (2002). Regression modeling and meta-analysis for decision making: A cost-benefit analysis of incentives in telephone surveys. Journal of Business &amp; Economic Statistics, 21, 213-225. https://doi.org/10.1198/073500103288618909</w:t>
      </w:r>
    </w:p>
    <w:p w:rsidR="00501DD2" w:rsidRPr="00F56FDA" w:rsidP="00501DD2" w14:paraId="549FA181" w14:textId="77777777">
      <w:pPr>
        <w:pStyle w:val="ReferenceCitation"/>
      </w:pPr>
      <w:r w:rsidRPr="00F56FDA">
        <w:t xml:space="preserve">Gfroerer, J., Wright, D., &amp; Kopstein, A. (1997). Prevalence of youth substance use: The impact of methodological differences between two national surveys. </w:t>
      </w:r>
      <w:r w:rsidRPr="00F56FDA">
        <w:rPr>
          <w:i/>
          <w:iCs/>
        </w:rPr>
        <w:t>Drug and Alcohol Dependence, 47,</w:t>
      </w:r>
      <w:r w:rsidRPr="00F56FDA">
        <w:t xml:space="preserve"> 19–30.</w:t>
      </w:r>
    </w:p>
    <w:p w:rsidR="009B6B39" w:rsidRPr="00F56FDA" w:rsidP="00501DD2" w14:paraId="0B03A377" w14:textId="77777777">
      <w:pPr>
        <w:pStyle w:val="ReferenceCitation"/>
      </w:pPr>
      <w:r w:rsidRPr="00F56FDA">
        <w:t xml:space="preserve">Groves, R. M., and M.P. Couper. (1998). </w:t>
      </w:r>
      <w:r w:rsidRPr="00F56FDA">
        <w:rPr>
          <w:i/>
          <w:iCs/>
        </w:rPr>
        <w:t>Nonresponse in Household Interview Surveys</w:t>
      </w:r>
      <w:r w:rsidRPr="00F56FDA">
        <w:t>. New York: Wiley.</w:t>
      </w:r>
    </w:p>
    <w:p w:rsidR="00501DD2" w:rsidRPr="00F56FDA" w:rsidP="00501DD2" w14:paraId="25A2B84A" w14:textId="77777777">
      <w:pPr>
        <w:spacing w:after="120"/>
        <w:ind w:left="720" w:hanging="720"/>
        <w:rPr>
          <w:color w:val="000000"/>
        </w:rPr>
      </w:pPr>
      <w:r w:rsidRPr="00F56FDA">
        <w:rPr>
          <w:rFonts w:ascii="Times New Roman" w:hAnsi="Times New Roman"/>
          <w:color w:val="000000"/>
        </w:rPr>
        <w:t xml:space="preserve">Groves, R. M. (2006). Nonresponse Rates and Nonresponse Bias in Household Surveys, </w:t>
      </w:r>
      <w:r w:rsidRPr="00F56FDA">
        <w:rPr>
          <w:rFonts w:ascii="Times New Roman" w:hAnsi="Times New Roman"/>
          <w:i/>
          <w:iCs/>
          <w:color w:val="000000"/>
        </w:rPr>
        <w:t>Public Opinion Quarterly</w:t>
      </w:r>
      <w:r w:rsidRPr="00F56FDA">
        <w:rPr>
          <w:rFonts w:ascii="Times New Roman" w:hAnsi="Times New Roman"/>
          <w:color w:val="000000"/>
        </w:rPr>
        <w:t>, 70(5), pp. 646-675.</w:t>
      </w:r>
    </w:p>
    <w:p w:rsidR="00501DD2" w:rsidRPr="00F56FDA" w:rsidP="00501DD2" w14:paraId="6E84C13A" w14:textId="77777777">
      <w:pPr>
        <w:pStyle w:val="ReferenceCitation"/>
      </w:pPr>
      <w:r w:rsidRPr="00F56FDA">
        <w:t xml:space="preserve">Groves, R. (1989). </w:t>
      </w:r>
      <w:r w:rsidRPr="00F56FDA">
        <w:rPr>
          <w:i/>
          <w:iCs/>
        </w:rPr>
        <w:t>Survey Errors and Survey Costs</w:t>
      </w:r>
      <w:r w:rsidRPr="00F56FDA">
        <w:t>. New York: Wiley.</w:t>
      </w:r>
    </w:p>
    <w:p w:rsidR="00501DD2" w:rsidRPr="00F56FDA" w:rsidP="00501DD2" w14:paraId="75F5BFCF" w14:textId="77777777">
      <w:pPr>
        <w:pStyle w:val="ReferenceCitation"/>
      </w:pPr>
      <w:r w:rsidRPr="00F56FDA">
        <w:t xml:space="preserve">Grucza, R. A., Abbacchi, A. M., Przybeck, T. R., &amp; Gfroerer, J. C. (2007). Discrepancies in estimates of prevalence and correlates of substance use and disorders between two national surveys. </w:t>
      </w:r>
      <w:r w:rsidRPr="00F56FDA">
        <w:rPr>
          <w:i/>
          <w:iCs/>
        </w:rPr>
        <w:t>Addiction, 102</w:t>
      </w:r>
      <w:r w:rsidRPr="00F56FDA">
        <w:t>, 623-629.</w:t>
      </w:r>
    </w:p>
    <w:p w:rsidR="00595656" w:rsidRPr="00F56FDA" w:rsidP="00595656" w14:paraId="6FCC5E35" w14:textId="77777777">
      <w:pPr>
        <w:pStyle w:val="ReferenceCitation"/>
        <w:rPr>
          <w:color w:val="000000" w:themeColor="text1"/>
        </w:rPr>
      </w:pPr>
      <w:r w:rsidRPr="00F56FDA">
        <w:rPr>
          <w:color w:val="000000" w:themeColor="text1"/>
        </w:rPr>
        <w:t>Haro, J. M., Arbabzadeh‐Bouchez, S., Brugha, T. S., De Girolamo, G., Guyer, M. E., Jin, R., ... &amp; Sampson, N. A. (2006). Concordance of the Composite International Diagnostic Interview Version 3.0 (CIDI 3.0) with standardized clinical assessments in the WHO World Mental Health surveys. </w:t>
      </w:r>
      <w:r w:rsidRPr="00F56FDA">
        <w:rPr>
          <w:i/>
          <w:iCs/>
          <w:color w:val="000000" w:themeColor="text1"/>
        </w:rPr>
        <w:t>International journal of methods in psychiatric research</w:t>
      </w:r>
      <w:r w:rsidRPr="00F56FDA">
        <w:rPr>
          <w:color w:val="000000" w:themeColor="text1"/>
        </w:rPr>
        <w:t>, </w:t>
      </w:r>
      <w:r w:rsidRPr="00F56FDA">
        <w:rPr>
          <w:i/>
          <w:iCs/>
          <w:color w:val="000000" w:themeColor="text1"/>
        </w:rPr>
        <w:t>15</w:t>
      </w:r>
      <w:r w:rsidRPr="00F56FDA">
        <w:rPr>
          <w:color w:val="000000" w:themeColor="text1"/>
        </w:rPr>
        <w:t>(4), 167-180.</w:t>
      </w:r>
    </w:p>
    <w:p w:rsidR="009C48EE" w:rsidRPr="00F56FDA" w:rsidP="00595656" w14:paraId="0E471AC2" w14:textId="77777777">
      <w:pPr>
        <w:pStyle w:val="ReferenceCitation"/>
        <w:rPr>
          <w:color w:val="000000" w:themeColor="text1"/>
        </w:rPr>
      </w:pPr>
      <w:r w:rsidRPr="00F56FDA">
        <w:rPr>
          <w:color w:val="000000" w:themeColor="text1"/>
        </w:rPr>
        <w:t xml:space="preserve">Harrison, L. D. (2001). Understanding the differences in youth drug prevalence rates produced by the MTF, NHSDA, and YRBS studies. </w:t>
      </w:r>
      <w:r w:rsidRPr="00F56FDA">
        <w:rPr>
          <w:i/>
          <w:iCs/>
          <w:color w:val="000000" w:themeColor="text1"/>
        </w:rPr>
        <w:t>Journal of Drug Issues</w:t>
      </w:r>
      <w:r w:rsidRPr="00F56FDA">
        <w:rPr>
          <w:color w:val="000000" w:themeColor="text1"/>
        </w:rPr>
        <w:t xml:space="preserve">, </w:t>
      </w:r>
      <w:r w:rsidRPr="00F56FDA">
        <w:rPr>
          <w:i/>
          <w:iCs/>
          <w:color w:val="000000" w:themeColor="text1"/>
        </w:rPr>
        <w:t>31</w:t>
      </w:r>
      <w:r w:rsidRPr="00F56FDA">
        <w:rPr>
          <w:color w:val="000000" w:themeColor="text1"/>
        </w:rPr>
        <w:t>, 665-694.</w:t>
      </w:r>
    </w:p>
    <w:p w:rsidR="00595656" w:rsidRPr="00F56FDA" w:rsidP="00595656" w14:paraId="58DA2F8F" w14:textId="77777777">
      <w:pPr>
        <w:pStyle w:val="ReferenceCitation"/>
        <w:rPr>
          <w:color w:val="000000" w:themeColor="text1"/>
        </w:rPr>
      </w:pPr>
      <w:r w:rsidRPr="00F56FDA">
        <w:rPr>
          <w:color w:val="000000" w:themeColor="text1"/>
        </w:rPr>
        <w:t>Hasin, D. S., Greenstein, E., Aivadyan, C., Stohl, M., Aharonovich, E., Saha, T., ... &amp; Grant, B. F. (2015). The Alcohol Use Disorder and Associated Disabilities Interview Schedule-5 (AUDADIS-5): procedural validity of substance use disorders modules through clinical re-appraisal in a general population sample. </w:t>
      </w:r>
      <w:r w:rsidRPr="00F56FDA">
        <w:rPr>
          <w:i/>
          <w:iCs/>
          <w:color w:val="000000" w:themeColor="text1"/>
        </w:rPr>
        <w:t>Drug and alcohol dependence</w:t>
      </w:r>
      <w:r w:rsidRPr="00F56FDA">
        <w:rPr>
          <w:color w:val="000000" w:themeColor="text1"/>
        </w:rPr>
        <w:t>, </w:t>
      </w:r>
      <w:r w:rsidRPr="00F56FDA">
        <w:rPr>
          <w:i/>
          <w:iCs/>
          <w:color w:val="000000" w:themeColor="text1"/>
        </w:rPr>
        <w:t>148</w:t>
      </w:r>
      <w:r w:rsidRPr="00F56FDA">
        <w:rPr>
          <w:color w:val="000000" w:themeColor="text1"/>
        </w:rPr>
        <w:t>, 40-46.</w:t>
      </w:r>
    </w:p>
    <w:p w:rsidR="00501DD2" w:rsidRPr="00F56FDA" w:rsidP="00501DD2" w14:paraId="455F6BCC" w14:textId="77777777">
      <w:pPr>
        <w:pStyle w:val="ReferenceCitation"/>
      </w:pPr>
      <w:r w:rsidRPr="00F56FDA">
        <w:t xml:space="preserve">Hennessy, K., &amp; Ginsberg, C. (Eds.). (2001). Substance use survey data collection methodologies [Special issue]. </w:t>
      </w:r>
      <w:r w:rsidRPr="00F56FDA">
        <w:rPr>
          <w:rStyle w:val="Emphasis"/>
          <w:color w:val="000000" w:themeColor="text1"/>
        </w:rPr>
        <w:t>Journal of Drug Issues, 31</w:t>
      </w:r>
      <w:r w:rsidRPr="00F56FDA">
        <w:t>(3), 595–727.</w:t>
      </w:r>
    </w:p>
    <w:p w:rsidR="00595656" w:rsidRPr="00F56FDA" w:rsidP="00595656" w14:paraId="78B74BB2" w14:textId="77777777">
      <w:pPr>
        <w:pStyle w:val="ReferenceCitation"/>
        <w:rPr>
          <w:color w:val="000000" w:themeColor="text1"/>
        </w:rPr>
      </w:pPr>
      <w:r w:rsidRPr="00F56FDA">
        <w:rPr>
          <w:color w:val="000000" w:themeColor="text1"/>
        </w:rPr>
        <w:t>Jordan, B. K., Karg, R. S., Batts, K. R., Epstein, J. F., &amp; Wiesen, C. (2008). A clinical validation of the National Survey on Drug Use and Health assessment of substance use disorders. </w:t>
      </w:r>
      <w:r w:rsidRPr="00F56FDA">
        <w:rPr>
          <w:i/>
          <w:iCs/>
          <w:color w:val="000000" w:themeColor="text1"/>
        </w:rPr>
        <w:t>Addictive Behaviors</w:t>
      </w:r>
      <w:r w:rsidRPr="00F56FDA">
        <w:rPr>
          <w:color w:val="000000" w:themeColor="text1"/>
        </w:rPr>
        <w:t>, </w:t>
      </w:r>
      <w:r w:rsidRPr="00F56FDA">
        <w:rPr>
          <w:i/>
          <w:iCs/>
          <w:color w:val="000000" w:themeColor="text1"/>
        </w:rPr>
        <w:t>33</w:t>
      </w:r>
      <w:r w:rsidRPr="00F56FDA">
        <w:rPr>
          <w:color w:val="000000" w:themeColor="text1"/>
        </w:rPr>
        <w:t>(6), 782-798.</w:t>
      </w:r>
    </w:p>
    <w:p w:rsidR="009B6B39" w:rsidRPr="00F56FDA" w:rsidP="00595656" w14:paraId="2ADFDCA8" w14:textId="77777777">
      <w:pPr>
        <w:pStyle w:val="ReferenceCitation"/>
        <w:rPr>
          <w:color w:val="000000" w:themeColor="text1"/>
        </w:rPr>
      </w:pPr>
      <w:r w:rsidRPr="00F56FDA">
        <w:rPr>
          <w:color w:val="000000" w:themeColor="text1"/>
        </w:rPr>
        <w:t>Kessler, R. C., Adler, L., Barkley, R., Biederman, J., Conners, C. K., Demler, O., ... &amp; Spencer, T. (2006). The prevalence and correlates of adult ADHD in the United States: results from the National Comorbidity Survey Replication. </w:t>
      </w:r>
      <w:r w:rsidRPr="00F56FDA">
        <w:rPr>
          <w:i/>
          <w:iCs/>
          <w:color w:val="000000" w:themeColor="text1"/>
        </w:rPr>
        <w:t>American Journal of psychiatry</w:t>
      </w:r>
      <w:r w:rsidRPr="00F56FDA">
        <w:rPr>
          <w:color w:val="000000" w:themeColor="text1"/>
        </w:rPr>
        <w:t>, </w:t>
      </w:r>
      <w:r w:rsidRPr="00F56FDA">
        <w:rPr>
          <w:i/>
          <w:iCs/>
          <w:color w:val="000000" w:themeColor="text1"/>
        </w:rPr>
        <w:t>163</w:t>
      </w:r>
      <w:r w:rsidRPr="00F56FDA">
        <w:rPr>
          <w:color w:val="000000" w:themeColor="text1"/>
        </w:rPr>
        <w:t>(4), 716-723.</w:t>
      </w:r>
    </w:p>
    <w:p w:rsidR="00941DC3" w:rsidRPr="00F56FDA" w:rsidP="00595656" w14:paraId="6920EF92" w14:textId="77777777">
      <w:pPr>
        <w:pStyle w:val="ReferenceCitation"/>
        <w:rPr>
          <w:color w:val="000000" w:themeColor="text1"/>
        </w:rPr>
      </w:pPr>
      <w:r w:rsidRPr="00F56FDA">
        <w:rPr>
          <w:color w:val="000000" w:themeColor="text1"/>
        </w:rPr>
        <w:t>Kessler, R. C., Barker, P. R., Colpe, L. J., Epstein, J. F., Gfroerer, J. C., Hiripi, E., Howes, M. J., Normand, S. L., Manderscheid, R. W., Walters, E. E., &amp; Zaslavsky, A. M. (2003). Screening for serious mental illness in the general population. Archives of General Psychiatry, 60, 184-189.</w:t>
      </w:r>
    </w:p>
    <w:p w:rsidR="00E12766" w:rsidRPr="00F56FDA" w:rsidP="00595656" w14:paraId="2F93AC60" w14:textId="77777777">
      <w:pPr>
        <w:pStyle w:val="ReferenceCitation"/>
        <w:rPr>
          <w:color w:val="000000" w:themeColor="text1"/>
        </w:rPr>
      </w:pPr>
      <w:r w:rsidRPr="00F56FDA">
        <w:rPr>
          <w:color w:val="000000" w:themeColor="text1"/>
        </w:rPr>
        <w:t>Lohr, S. L. (1999). Sampling: Design and analysis. Belmont, CA: Duxbury Press.</w:t>
      </w:r>
    </w:p>
    <w:p w:rsidR="00501DD2" w:rsidRPr="00F56FDA" w:rsidP="00501DD2" w14:paraId="4F48ADC6" w14:textId="77777777">
      <w:pPr>
        <w:pStyle w:val="ReferenceCitation"/>
        <w:rPr>
          <w:i/>
          <w:iCs/>
          <w:color w:val="000000" w:themeColor="text1"/>
        </w:rPr>
      </w:pPr>
      <w:r w:rsidRPr="00F56FDA">
        <w:t xml:space="preserve">Miller, J. W., Gfroerer, J. C., Brewer, R. D., Naimi, T. S., Mokdad, A., &amp; Giles, W. H. (2004). </w:t>
      </w:r>
      <w:r w:rsidRPr="00F56FDA">
        <w:rPr>
          <w:color w:val="000000" w:themeColor="text1"/>
        </w:rPr>
        <w:t xml:space="preserve">Prevalence of adult binge drinking: A comparison of two national surveys. </w:t>
      </w:r>
      <w:r w:rsidRPr="00F56FDA">
        <w:rPr>
          <w:i/>
          <w:iCs/>
          <w:color w:val="000000" w:themeColor="text1"/>
        </w:rPr>
        <w:t>American Journal of Preventive Medicine, 27</w:t>
      </w:r>
      <w:r w:rsidRPr="00F56FDA">
        <w:rPr>
          <w:color w:val="000000" w:themeColor="text1"/>
        </w:rPr>
        <w:t>, 197-204.</w:t>
      </w:r>
    </w:p>
    <w:p w:rsidR="00501DD2" w:rsidRPr="00F56FDA" w:rsidP="00501DD2" w14:paraId="323F6909" w14:textId="77777777">
      <w:pPr>
        <w:pStyle w:val="ReferenceCitation"/>
      </w:pPr>
      <w:r w:rsidRPr="00F56FDA">
        <w:rPr>
          <w:color w:val="000000" w:themeColor="text1"/>
        </w:rPr>
        <w:t xml:space="preserve">Murphy, J., Eyerman, J., &amp; Kennet, J. (2004). Nonresponse among persons aged 50 </w:t>
      </w:r>
      <w:r w:rsidRPr="00F56FDA">
        <w:t xml:space="preserve">or older in the National Survey on Drug Use and Health. In S. B. Cohen &amp; J. M. Lepkowski (Eds.), </w:t>
      </w:r>
      <w:r w:rsidRPr="00F56FDA">
        <w:rPr>
          <w:i/>
          <w:iCs/>
        </w:rPr>
        <w:t xml:space="preserve">Eighth Conference on Health Survey Research Methods </w:t>
      </w:r>
      <w:r w:rsidRPr="00F56FDA">
        <w:t>(HHS Publication No. PHS 04-1013, pp. 73-78). Hyattsville, MD: U.S. Department of Health and Human Services, Public Health Service, Centers for Disease Control and Prevention, National Center for Health Statistics.</w:t>
      </w:r>
    </w:p>
    <w:p w:rsidR="005C79F2" w:rsidRPr="00F56FDA" w:rsidP="009C48EE" w14:paraId="45AD4B85" w14:textId="77777777">
      <w:pPr>
        <w:pStyle w:val="ReferenceCitation"/>
      </w:pPr>
      <w:r w:rsidRPr="00F56FDA">
        <w:t xml:space="preserve">National Center for Health Statistics. (2022). National Health Interview Survey, 2021 survey description.  Retrieved from </w:t>
      </w:r>
      <w:hyperlink r:id="rId31" w:history="1">
        <w:r w:rsidRPr="00F56FDA">
          <w:rPr>
            <w:rStyle w:val="Hyperlink"/>
            <w:rFonts w:ascii="Times New Roman" w:hAnsi="Times New Roman" w:cs="Times New Roman"/>
          </w:rPr>
          <w:t>https://ftp.cdc.gov/pub/Health_Statistics/NCHS/Dataset_Documentation/NHIS/2021/srvydesc-508.pdf</w:t>
        </w:r>
      </w:hyperlink>
    </w:p>
    <w:p w:rsidR="00270763" w:rsidRPr="00F56FDA" w:rsidP="00D62746" w14:paraId="24371193" w14:textId="77777777">
      <w:pPr>
        <w:pStyle w:val="ReferenceCitation"/>
      </w:pPr>
      <w:r w:rsidRPr="00F56FDA">
        <w:t xml:space="preserve">Olson, K., Smyth, J., and Wood, H. (2012). Does giving people their preferred survey mode actually increase survey participation rates? An experimental examination. </w:t>
      </w:r>
      <w:r w:rsidRPr="00F56FDA">
        <w:rPr>
          <w:i/>
          <w:iCs/>
        </w:rPr>
        <w:t>Public Opinion Quarterly 76</w:t>
      </w:r>
      <w:r w:rsidRPr="00F56FDA">
        <w:t>: 611-635</w:t>
      </w:r>
    </w:p>
    <w:p w:rsidR="009C21D3" w:rsidRPr="00F56FDA" w:rsidP="00D62746" w14:paraId="6FA9E939" w14:textId="77777777">
      <w:pPr>
        <w:pStyle w:val="ReferenceCitation"/>
      </w:pPr>
      <w:r w:rsidRPr="00F56FDA">
        <w:t>Singer, E. (2002). The use of incentives to reduce nonresponse in household surveys. In R. M. Groves, D. A. Dillman, J. L. Eltinge, &amp; R. J. A. Little (Eds.), Survey nonresponse (pp. 163-177). New York, NY: Wiley.</w:t>
      </w:r>
    </w:p>
    <w:p w:rsidR="009C21D3" w:rsidRPr="00F56FDA" w:rsidP="00D62746" w14:paraId="64653215" w14:textId="77777777">
      <w:pPr>
        <w:pStyle w:val="ReferenceCitation"/>
      </w:pPr>
      <w:r w:rsidRPr="00F56FDA">
        <w:t>Singer, E., &amp; Ye, C. (2013). The use and effects of incentives in surveys. The Annals of the American Academy of Political and Social Science, 645, 112–141.</w:t>
      </w:r>
    </w:p>
    <w:p w:rsidR="00501DD2" w:rsidRPr="00F56FDA" w:rsidP="00501DD2" w14:paraId="193F2B92" w14:textId="77777777">
      <w:pPr>
        <w:pStyle w:val="ReferenceCitation"/>
        <w:rPr>
          <w:color w:val="000000" w:themeColor="text1"/>
        </w:rPr>
      </w:pPr>
      <w:r w:rsidRPr="00F56FDA">
        <w:t>Wright, D., Bowman, K., But</w:t>
      </w:r>
      <w:bookmarkStart w:id="8" w:name="lastplace_rdh"/>
      <w:bookmarkEnd w:id="8"/>
      <w:r w:rsidRPr="00F56FDA">
        <w:t xml:space="preserve">ler, D., &amp; Eyerman, J. (2005). Non-response bias from the National </w:t>
      </w:r>
      <w:r w:rsidRPr="00F56FDA">
        <w:rPr>
          <w:color w:val="000000" w:themeColor="text1"/>
        </w:rPr>
        <w:t xml:space="preserve">Household Survey on Drug Abuse incentive experiment. </w:t>
      </w:r>
      <w:r w:rsidRPr="00F56FDA">
        <w:rPr>
          <w:i/>
          <w:iCs/>
          <w:color w:val="000000" w:themeColor="text1"/>
        </w:rPr>
        <w:t>Journal for Social and Economic Measurement, 30</w:t>
      </w:r>
      <w:r w:rsidRPr="00F56FDA">
        <w:rPr>
          <w:color w:val="000000" w:themeColor="text1"/>
        </w:rPr>
        <w:t>(2-3), 219-231.</w:t>
      </w:r>
    </w:p>
    <w:p w:rsidR="00595656" w:rsidRPr="00F56FDA" w:rsidP="00501DD2" w14:paraId="27772EA5" w14:textId="77777777">
      <w:pPr>
        <w:pStyle w:val="ReferenceCitation"/>
        <w:rPr>
          <w:color w:val="000000" w:themeColor="text1"/>
        </w:rPr>
      </w:pPr>
    </w:p>
    <w:p w:rsidR="00595656" w:rsidRPr="00F56FDA" w:rsidP="00501DD2" w14:paraId="22454909" w14:textId="77777777">
      <w:pPr>
        <w:pStyle w:val="ReferenceCitation"/>
        <w:rPr>
          <w:color w:val="000000" w:themeColor="text1"/>
        </w:rPr>
      </w:pPr>
    </w:p>
    <w:p w:rsidR="0033549C" w:rsidRPr="00F56FDA" w14:paraId="570F909F" w14:textId="77777777">
      <w:pPr>
        <w:widowControl/>
        <w:autoSpaceDE/>
        <w:autoSpaceDN/>
        <w:adjustRightInd/>
        <w:spacing w:after="200" w:line="276" w:lineRule="auto"/>
        <w:rPr>
          <w:rFonts w:ascii="Times New Roman" w:hAnsi="Times New Roman"/>
          <w:szCs w:val="20"/>
        </w:rPr>
      </w:pPr>
      <w:r w:rsidRPr="00F56FDA">
        <w:br w:type="page"/>
      </w:r>
    </w:p>
    <w:p w:rsidR="0033549C" w:rsidRPr="00FD23DF" w:rsidP="0033549C" w14:paraId="0B2C0001" w14:textId="77777777">
      <w:pPr>
        <w:pStyle w:val="apptitle"/>
        <w:rPr>
          <w:rFonts w:ascii="Times New Roman" w:hAnsi="Times New Roman" w:cs="Times New Roman"/>
        </w:rPr>
      </w:pPr>
      <w:r w:rsidRPr="00F56FDA">
        <w:rPr>
          <w:rFonts w:ascii="Times New Roman" w:hAnsi="Times New Roman" w:cs="Times New Roman"/>
        </w:rPr>
        <w:t>Attachments</w:t>
      </w:r>
    </w:p>
    <w:p w:rsidR="0033549C" w:rsidP="0033549C" w14:paraId="3208CA7B"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Attachment A.</w:t>
      </w:r>
      <w:r w:rsidRPr="00FD23DF">
        <w:rPr>
          <w:rFonts w:ascii="Times New Roman" w:hAnsi="Times New Roman" w:cs="Times New Roman"/>
        </w:rPr>
        <w:tab/>
      </w:r>
      <w:r w:rsidR="007744B6">
        <w:rPr>
          <w:rFonts w:ascii="Times New Roman" w:hAnsi="Times New Roman" w:cs="Times New Roman"/>
        </w:rPr>
        <w:t>Lead Letter</w:t>
      </w:r>
    </w:p>
    <w:p w:rsidR="007744B6" w:rsidRPr="00FD23DF" w:rsidP="007744B6" w14:paraId="164C994B"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Attachment B.</w:t>
      </w:r>
      <w:r w:rsidRPr="00FD23DF">
        <w:rPr>
          <w:rFonts w:ascii="Times New Roman" w:hAnsi="Times New Roman" w:cs="Times New Roman"/>
        </w:rPr>
        <w:tab/>
      </w:r>
      <w:r>
        <w:rPr>
          <w:rFonts w:ascii="Times New Roman" w:hAnsi="Times New Roman" w:cs="Times New Roman"/>
        </w:rPr>
        <w:t>In-Person Question &amp; Answer Brochure</w:t>
      </w:r>
    </w:p>
    <w:p w:rsidR="007744B6" w:rsidP="0033549C" w14:paraId="13A18619"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C</w:t>
      </w:r>
      <w:r w:rsidRPr="00FD23DF">
        <w:rPr>
          <w:rFonts w:ascii="Times New Roman" w:hAnsi="Times New Roman" w:cs="Times New Roman"/>
        </w:rPr>
        <w:t>.</w:t>
      </w:r>
      <w:r w:rsidRPr="00FD23DF">
        <w:rPr>
          <w:rFonts w:ascii="Times New Roman" w:hAnsi="Times New Roman" w:cs="Times New Roman"/>
        </w:rPr>
        <w:tab/>
        <w:t>Tablet Screening Video Scripts</w:t>
      </w:r>
    </w:p>
    <w:p w:rsidR="00F56FDA" w:rsidP="0033549C" w14:paraId="36A23B3C"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D</w:t>
      </w:r>
      <w:r w:rsidRPr="00FD23DF">
        <w:rPr>
          <w:rFonts w:ascii="Times New Roman" w:hAnsi="Times New Roman" w:cs="Times New Roman"/>
        </w:rPr>
        <w:t>.</w:t>
      </w:r>
      <w:r w:rsidRPr="00FD23DF">
        <w:rPr>
          <w:rFonts w:ascii="Times New Roman" w:hAnsi="Times New Roman" w:cs="Times New Roman"/>
        </w:rPr>
        <w:tab/>
        <w:t xml:space="preserve">Contact Cards – Sorry I Missed You Card and Appointment </w:t>
      </w:r>
      <w:r w:rsidR="00263B2A">
        <w:rPr>
          <w:rFonts w:ascii="Times New Roman" w:hAnsi="Times New Roman" w:cs="Times New Roman"/>
        </w:rPr>
        <w:t>Cards</w:t>
      </w:r>
    </w:p>
    <w:p w:rsidR="007744B6" w:rsidP="0033549C" w14:paraId="08C73196"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E</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 xml:space="preserve">In-Person </w:t>
      </w:r>
      <w:r w:rsidRPr="00FD23DF">
        <w:rPr>
          <w:rFonts w:ascii="Times New Roman" w:hAnsi="Times New Roman" w:cs="Times New Roman"/>
        </w:rPr>
        <w:t>Study Description</w:t>
      </w:r>
    </w:p>
    <w:p w:rsidR="007744B6" w:rsidRPr="00FD23DF" w:rsidP="007744B6" w14:paraId="5CC5F13A"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F</w:t>
      </w:r>
      <w:r w:rsidRPr="00FD23DF">
        <w:rPr>
          <w:rFonts w:ascii="Times New Roman" w:hAnsi="Times New Roman" w:cs="Times New Roman"/>
        </w:rPr>
        <w:t>.</w:t>
      </w:r>
      <w:r w:rsidRPr="00FD23DF">
        <w:rPr>
          <w:rFonts w:ascii="Times New Roman" w:hAnsi="Times New Roman" w:cs="Times New Roman"/>
        </w:rPr>
        <w:tab/>
        <w:t>Unable-to-Contact</w:t>
      </w:r>
      <w:r>
        <w:rPr>
          <w:rFonts w:ascii="Times New Roman" w:hAnsi="Times New Roman" w:cs="Times New Roman"/>
        </w:rPr>
        <w:t xml:space="preserve"> and</w:t>
      </w:r>
      <w:r w:rsidRPr="00FD23DF">
        <w:rPr>
          <w:rFonts w:ascii="Times New Roman" w:hAnsi="Times New Roman" w:cs="Times New Roman"/>
        </w:rPr>
        <w:t xml:space="preserve"> Controlled Access Letters</w:t>
      </w:r>
    </w:p>
    <w:p w:rsidR="007744B6" w:rsidRPr="00FD23DF" w:rsidP="007744B6" w14:paraId="30C41E94"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G</w:t>
      </w:r>
      <w:r w:rsidRPr="00FD23DF">
        <w:rPr>
          <w:rFonts w:ascii="Times New Roman" w:hAnsi="Times New Roman" w:cs="Times New Roman"/>
        </w:rPr>
        <w:t>.</w:t>
      </w:r>
      <w:r w:rsidRPr="00FD23DF">
        <w:rPr>
          <w:rFonts w:ascii="Times New Roman" w:hAnsi="Times New Roman" w:cs="Times New Roman"/>
        </w:rPr>
        <w:tab/>
        <w:t>Refusal Letters</w:t>
      </w:r>
    </w:p>
    <w:p w:rsidR="007744B6" w:rsidRPr="00FD23DF" w:rsidP="007744B6" w14:paraId="6ED5EBCE"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H</w:t>
      </w:r>
      <w:r w:rsidRPr="00FD23DF">
        <w:rPr>
          <w:rFonts w:ascii="Times New Roman" w:hAnsi="Times New Roman" w:cs="Times New Roman"/>
        </w:rPr>
        <w:t>.</w:t>
      </w:r>
      <w:r w:rsidRPr="00FD23DF">
        <w:rPr>
          <w:rFonts w:ascii="Times New Roman" w:hAnsi="Times New Roman" w:cs="Times New Roman"/>
        </w:rPr>
        <w:tab/>
        <w:t>Interview Incentive Receipt</w:t>
      </w:r>
    </w:p>
    <w:p w:rsidR="007744B6" w:rsidRPr="00FD23DF" w:rsidP="007744B6" w14:paraId="1FC42816"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I</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Federalwide Assurance</w:t>
      </w:r>
    </w:p>
    <w:p w:rsidR="007744B6" w:rsidP="007744B6" w14:paraId="43429D59"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J</w:t>
      </w:r>
      <w:r w:rsidRPr="00FD23DF">
        <w:rPr>
          <w:rFonts w:ascii="Times New Roman" w:hAnsi="Times New Roman" w:cs="Times New Roman"/>
        </w:rPr>
        <w:t>.</w:t>
      </w:r>
      <w:r w:rsidRPr="00FD23DF">
        <w:rPr>
          <w:rFonts w:ascii="Times New Roman" w:hAnsi="Times New Roman" w:cs="Times New Roman"/>
        </w:rPr>
        <w:tab/>
        <w:t>Introduction and Informed Consent Scripts</w:t>
      </w:r>
    </w:p>
    <w:p w:rsidR="007744B6" w:rsidRPr="00FD23DF" w:rsidP="007744B6" w14:paraId="6D9B3280"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K</w:t>
      </w:r>
      <w:r w:rsidRPr="00FD23DF">
        <w:rPr>
          <w:rFonts w:ascii="Times New Roman" w:hAnsi="Times New Roman" w:cs="Times New Roman"/>
        </w:rPr>
        <w:t>.</w:t>
      </w:r>
      <w:r w:rsidRPr="00FD23DF">
        <w:rPr>
          <w:rFonts w:ascii="Times New Roman" w:hAnsi="Times New Roman" w:cs="Times New Roman"/>
        </w:rPr>
        <w:tab/>
        <w:t>Showcard Booklet</w:t>
      </w:r>
    </w:p>
    <w:p w:rsidR="007744B6" w:rsidP="007744B6" w14:paraId="75ED4A2A"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L</w:t>
      </w:r>
      <w:r w:rsidRPr="00FD23DF">
        <w:rPr>
          <w:rFonts w:ascii="Times New Roman" w:hAnsi="Times New Roman" w:cs="Times New Roman"/>
        </w:rPr>
        <w:t>.</w:t>
      </w:r>
      <w:r w:rsidRPr="00FD23DF">
        <w:rPr>
          <w:rFonts w:ascii="Times New Roman" w:hAnsi="Times New Roman" w:cs="Times New Roman"/>
        </w:rPr>
        <w:tab/>
      </w:r>
      <w:r w:rsidRPr="00FD23DF" w:rsidR="00736403">
        <w:rPr>
          <w:rFonts w:ascii="Times New Roman" w:hAnsi="Times New Roman" w:cs="Times New Roman"/>
        </w:rPr>
        <w:t>Parental Introductory Script</w:t>
      </w:r>
    </w:p>
    <w:p w:rsidR="00736403" w:rsidP="00736403" w14:paraId="2B431C3A"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w:t>
      </w:r>
      <w:r w:rsidRPr="00FD23DF">
        <w:rPr>
          <w:rFonts w:ascii="Times New Roman" w:hAnsi="Times New Roman" w:cs="Times New Roman"/>
        </w:rPr>
        <w:t>.</w:t>
      </w:r>
      <w:r w:rsidRPr="00FD23DF">
        <w:rPr>
          <w:rFonts w:ascii="Times New Roman" w:hAnsi="Times New Roman" w:cs="Times New Roman"/>
        </w:rPr>
        <w:tab/>
        <w:t>Confidentiality Agreement and Data Collection Agreement</w:t>
      </w:r>
    </w:p>
    <w:p w:rsidR="00736403" w:rsidP="00736403" w14:paraId="489EB75C"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N</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 xml:space="preserve">In-Person </w:t>
      </w:r>
      <w:r w:rsidRPr="00FD23DF">
        <w:rPr>
          <w:rFonts w:ascii="Times New Roman" w:hAnsi="Times New Roman" w:cs="Times New Roman"/>
        </w:rPr>
        <w:t>CAI Questionnaire</w:t>
      </w:r>
    </w:p>
    <w:p w:rsidR="00263B2A" w:rsidP="00263B2A" w14:paraId="0BED198B" w14:textId="1491E34D">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O</w:t>
      </w:r>
      <w:r w:rsidRPr="00FD23DF">
        <w:rPr>
          <w:rFonts w:ascii="Times New Roman" w:hAnsi="Times New Roman" w:cs="Times New Roman"/>
        </w:rPr>
        <w:t>.</w:t>
      </w:r>
      <w:r w:rsidRPr="00FD23DF">
        <w:rPr>
          <w:rFonts w:ascii="Times New Roman" w:hAnsi="Times New Roman" w:cs="Times New Roman"/>
        </w:rPr>
        <w:tab/>
      </w:r>
      <w:r w:rsidR="00BD6C2B">
        <w:rPr>
          <w:rFonts w:ascii="Times New Roman" w:hAnsi="Times New Roman" w:cs="Times New Roman"/>
        </w:rPr>
        <w:t>NSDUH</w:t>
      </w:r>
      <w:r w:rsidRPr="00FD23DF">
        <w:rPr>
          <w:rFonts w:ascii="Times New Roman" w:hAnsi="Times New Roman" w:cs="Times New Roman"/>
        </w:rPr>
        <w:t xml:space="preserve"> Highlights</w:t>
      </w:r>
    </w:p>
    <w:p w:rsidR="00263B2A" w:rsidP="00263B2A" w14:paraId="21F9AA29"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P</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Participant Code Card</w:t>
      </w:r>
    </w:p>
    <w:p w:rsidR="00263B2A" w:rsidP="00263B2A" w14:paraId="0201B75F"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Q</w:t>
      </w:r>
      <w:r w:rsidRPr="00FD23DF">
        <w:rPr>
          <w:rFonts w:ascii="Times New Roman" w:hAnsi="Times New Roman" w:cs="Times New Roman"/>
        </w:rPr>
        <w:t>.</w:t>
      </w:r>
      <w:r w:rsidRPr="00FD23DF">
        <w:rPr>
          <w:rFonts w:ascii="Times New Roman" w:hAnsi="Times New Roman" w:cs="Times New Roman"/>
        </w:rPr>
        <w:tab/>
      </w:r>
      <w:r w:rsidRPr="00263B2A">
        <w:rPr>
          <w:rFonts w:ascii="Times New Roman" w:hAnsi="Times New Roman" w:cs="Times New Roman"/>
        </w:rPr>
        <w:t>Engaging Respondents Handout</w:t>
      </w:r>
    </w:p>
    <w:p w:rsidR="00263B2A" w:rsidP="00263B2A" w14:paraId="16E46E23"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R</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Data Security Handout</w:t>
      </w:r>
    </w:p>
    <w:p w:rsidR="00263B2A" w:rsidP="00263B2A" w14:paraId="5461F827"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S</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State Highlight</w:t>
      </w:r>
    </w:p>
    <w:p w:rsidR="00263B2A" w:rsidP="00263B2A" w14:paraId="4D79CCEE"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T</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 xml:space="preserve">In-Person </w:t>
      </w:r>
      <w:r w:rsidRPr="00FD23DF">
        <w:rPr>
          <w:rFonts w:ascii="Times New Roman" w:hAnsi="Times New Roman" w:cs="Times New Roman"/>
        </w:rPr>
        <w:t>Screening Questions</w:t>
      </w:r>
    </w:p>
    <w:p w:rsidR="00263B2A" w:rsidP="00263B2A" w14:paraId="54B79B5B"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U</w:t>
      </w:r>
      <w:r w:rsidRPr="00FD23DF">
        <w:rPr>
          <w:rFonts w:ascii="Times New Roman" w:hAnsi="Times New Roman" w:cs="Times New Roman"/>
        </w:rPr>
        <w:t>.</w:t>
      </w:r>
      <w:r w:rsidRPr="00FD23DF">
        <w:rPr>
          <w:rFonts w:ascii="Times New Roman" w:hAnsi="Times New Roman" w:cs="Times New Roman"/>
        </w:rPr>
        <w:tab/>
        <w:t>Certificate of Participation</w:t>
      </w:r>
    </w:p>
    <w:p w:rsidR="00263B2A" w:rsidP="00263B2A" w14:paraId="22CFC42F"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V</w:t>
      </w:r>
      <w:r w:rsidRPr="00FD23DF">
        <w:rPr>
          <w:rFonts w:ascii="Times New Roman" w:hAnsi="Times New Roman" w:cs="Times New Roman"/>
        </w:rPr>
        <w:t>.</w:t>
      </w:r>
      <w:r w:rsidRPr="00FD23DF">
        <w:rPr>
          <w:rFonts w:ascii="Times New Roman" w:hAnsi="Times New Roman" w:cs="Times New Roman"/>
        </w:rPr>
        <w:tab/>
        <w:t>CATI Verification Scripts</w:t>
      </w:r>
    </w:p>
    <w:p w:rsidR="00263B2A" w:rsidP="00263B2A" w14:paraId="17A5F58D"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W</w:t>
      </w:r>
      <w:r w:rsidRPr="00FD23DF">
        <w:rPr>
          <w:rFonts w:ascii="Times New Roman" w:hAnsi="Times New Roman" w:cs="Times New Roman"/>
        </w:rPr>
        <w:t>.</w:t>
      </w:r>
      <w:r w:rsidRPr="00FD23DF">
        <w:rPr>
          <w:rFonts w:ascii="Times New Roman" w:hAnsi="Times New Roman" w:cs="Times New Roman"/>
        </w:rPr>
        <w:tab/>
        <w:t>Doorperson Card</w:t>
      </w:r>
    </w:p>
    <w:p w:rsidR="00263B2A" w:rsidP="00263B2A" w14:paraId="54C9D7B8"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X</w:t>
      </w:r>
      <w:r w:rsidRPr="00FD23DF">
        <w:rPr>
          <w:rFonts w:ascii="Times New Roman" w:hAnsi="Times New Roman" w:cs="Times New Roman"/>
        </w:rPr>
        <w:t>.</w:t>
      </w:r>
      <w:r w:rsidRPr="00FD23DF">
        <w:rPr>
          <w:rFonts w:ascii="Times New Roman" w:hAnsi="Times New Roman" w:cs="Times New Roman"/>
        </w:rPr>
        <w:tab/>
        <w:t xml:space="preserve">Nonresponse among Sample Members Aged 50 and Older Report </w:t>
      </w:r>
    </w:p>
    <w:p w:rsidR="00051172" w:rsidP="00263B2A" w14:paraId="5E65A235" w14:textId="77777777">
      <w:pPr>
        <w:pStyle w:val="BodyText"/>
        <w:tabs>
          <w:tab w:val="left" w:pos="2430"/>
        </w:tabs>
        <w:ind w:left="0"/>
        <w:rPr>
          <w:rFonts w:ascii="Times New Roman" w:hAnsi="Times New Roman" w:cs="Times New Roman"/>
        </w:rPr>
      </w:pPr>
      <w:r>
        <w:rPr>
          <w:rFonts w:ascii="Times New Roman" w:hAnsi="Times New Roman" w:cs="Times New Roman"/>
        </w:rPr>
        <w:t>Attachment Y.</w:t>
      </w:r>
      <w:r>
        <w:rPr>
          <w:rFonts w:ascii="Times New Roman" w:hAnsi="Times New Roman" w:cs="Times New Roman"/>
        </w:rPr>
        <w:tab/>
      </w:r>
      <w:r w:rsidRPr="003E09F4">
        <w:rPr>
          <w:color w:val="auto"/>
        </w:rPr>
        <w:t>Public Comments Response Matrix</w:t>
      </w:r>
    </w:p>
    <w:p w:rsidR="00225AD2" w:rsidP="00225AD2" w14:paraId="7C0CA876"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WEB-1</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Web-based Question &amp; Answer Brochure</w:t>
      </w:r>
    </w:p>
    <w:p w:rsidR="00225AD2" w:rsidP="00225AD2" w14:paraId="0CA7B593"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WEB-2</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Web-based Study Description</w:t>
      </w:r>
    </w:p>
    <w:p w:rsidR="00225AD2" w:rsidP="00225AD2" w14:paraId="18ED81E0"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WEB-3</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Web-based Follow-up Letters</w:t>
      </w:r>
    </w:p>
    <w:p w:rsidR="00225AD2" w:rsidP="00225AD2" w14:paraId="6A9C2E10"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WEB-4</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Web-based CAI Questionnaire</w:t>
      </w:r>
    </w:p>
    <w:p w:rsidR="00001FCF" w:rsidP="00001FCF" w14:paraId="04A004CA"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WEB-5</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Parental Permission Script</w:t>
      </w:r>
    </w:p>
    <w:p w:rsidR="00001FCF" w:rsidP="00001FCF" w14:paraId="09E47F38"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WEB-6</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Web-based Screening Questions</w:t>
      </w:r>
    </w:p>
    <w:p w:rsidR="00001FCF" w:rsidP="00001FCF" w14:paraId="1DF145E9"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WEB-7</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Incentive Thank You Letters</w:t>
      </w:r>
    </w:p>
    <w:p w:rsidR="00001FCF" w:rsidP="00001FCF" w14:paraId="4C13C8D2"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sidR="00CA5996">
        <w:rPr>
          <w:rFonts w:ascii="Times New Roman" w:hAnsi="Times New Roman" w:cs="Times New Roman"/>
        </w:rPr>
        <w:t>MICS-1</w:t>
      </w:r>
      <w:r w:rsidRPr="00FD23DF">
        <w:rPr>
          <w:rFonts w:ascii="Times New Roman" w:hAnsi="Times New Roman" w:cs="Times New Roman"/>
        </w:rPr>
        <w:t>.</w:t>
      </w:r>
      <w:r w:rsidRPr="00FD23DF">
        <w:rPr>
          <w:rFonts w:ascii="Times New Roman" w:hAnsi="Times New Roman" w:cs="Times New Roman"/>
        </w:rPr>
        <w:tab/>
      </w:r>
      <w:r w:rsidR="00CA5996">
        <w:rPr>
          <w:rFonts w:ascii="Times New Roman" w:hAnsi="Times New Roman" w:cs="Times New Roman"/>
        </w:rPr>
        <w:t>NetSCID Instrument Specs</w:t>
      </w:r>
    </w:p>
    <w:p w:rsidR="00CA5996" w:rsidP="00CA5996" w14:paraId="2E0BFD94"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MICS-2</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Follow-up Interview Recruitment Scripts</w:t>
      </w:r>
    </w:p>
    <w:p w:rsidR="00CA5996" w:rsidP="00CA5996" w14:paraId="1D0BCFB7"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MICS-3</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Follow-up Interview Field Scheduler Card</w:t>
      </w:r>
    </w:p>
    <w:p w:rsidR="00CA5996" w:rsidP="00CA5996" w14:paraId="692C54C1"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MICS-4</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MICS Blaise Instrument</w:t>
      </w:r>
    </w:p>
    <w:p w:rsidR="00CA5996" w:rsidP="00CA5996" w14:paraId="64BC4F92"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MICS-5</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Follow-up Interview Informed Consent</w:t>
      </w:r>
    </w:p>
    <w:p w:rsidR="00CA5996" w:rsidP="00CA5996" w14:paraId="27457D9D"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MICS-6</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Follow-up Interview Extended Informed Consent</w:t>
      </w:r>
    </w:p>
    <w:p w:rsidR="00CA5996" w:rsidP="00CA5996" w14:paraId="2FF0C741"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MICS-7</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Follow-up Study Description</w:t>
      </w:r>
    </w:p>
    <w:p w:rsidR="00CA5996" w:rsidP="00CA5996" w14:paraId="4318CC93"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MICS-8</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Follow-up Interview Incentive Receipt</w:t>
      </w:r>
    </w:p>
    <w:p w:rsidR="00CA5996" w:rsidP="00CA5996" w14:paraId="296CF394"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MICS-9</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Follow-up Interview Distressed Respondent Protocol</w:t>
      </w:r>
    </w:p>
    <w:p w:rsidR="00CA5996" w:rsidP="00CA5996" w14:paraId="53C935E1"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MICS-10</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Scheduler Automated Emails</w:t>
      </w:r>
    </w:p>
    <w:p w:rsidR="00CA5996" w:rsidP="00CA5996" w14:paraId="6924CCA8"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MICS-11</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Follow-up Interview Text System Messages</w:t>
      </w:r>
    </w:p>
    <w:p w:rsidR="00CA5996" w:rsidP="00CA5996" w14:paraId="43CC33A8"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MICS-12</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Email</w:t>
      </w:r>
      <w:r>
        <w:rPr>
          <w:rFonts w:ascii="Times New Roman" w:hAnsi="Times New Roman" w:cs="Times New Roman"/>
        </w:rPr>
        <w:t xml:space="preserve"> and </w:t>
      </w:r>
      <w:r w:rsidRPr="00CA5996">
        <w:rPr>
          <w:rFonts w:ascii="Times New Roman" w:hAnsi="Times New Roman" w:cs="Times New Roman"/>
        </w:rPr>
        <w:t>Voicemail Contacting Scripts</w:t>
      </w:r>
    </w:p>
    <w:p w:rsidR="00CA5996" w:rsidP="00CA5996" w14:paraId="0BE679B8"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MICS-13</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 xml:space="preserve">Follow-up </w:t>
      </w:r>
      <w:r w:rsidRPr="00CA5996">
        <w:rPr>
          <w:rFonts w:ascii="Times New Roman" w:hAnsi="Times New Roman" w:cs="Times New Roman"/>
        </w:rPr>
        <w:t>Interview Confirmation Scripts</w:t>
      </w:r>
    </w:p>
    <w:p w:rsidR="00CA5996" w:rsidP="00CA5996" w14:paraId="23D83879"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MICS-14</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Follow-up Interview Refusal Letter Template</w:t>
      </w:r>
    </w:p>
    <w:p w:rsidR="00CA5996" w:rsidP="00CA5996" w14:paraId="38FB4F60"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MICS-15</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Follow-up Interview Unable to Contact Letter Template</w:t>
      </w:r>
    </w:p>
    <w:p w:rsidR="00FA5F9E" w:rsidP="00722E12" w14:paraId="1C20F26A"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MICS-16</w:t>
      </w:r>
      <w:r w:rsidRPr="00FD23DF">
        <w:rPr>
          <w:rFonts w:ascii="Times New Roman" w:hAnsi="Times New Roman" w:cs="Times New Roman"/>
        </w:rPr>
        <w:t>.</w:t>
      </w:r>
      <w:r w:rsidRPr="00FD23DF">
        <w:rPr>
          <w:rFonts w:ascii="Times New Roman" w:hAnsi="Times New Roman" w:cs="Times New Roman"/>
        </w:rPr>
        <w:tab/>
      </w:r>
      <w:r w:rsidRPr="00722E12">
        <w:rPr>
          <w:rFonts w:ascii="Times New Roman" w:hAnsi="Times New Roman" w:cs="Times New Roman"/>
        </w:rPr>
        <w:t>Follow-up Interview Scheduling Letter Template</w:t>
      </w:r>
    </w:p>
    <w:p w:rsidR="00B941DF" w:rsidRPr="00E80D63" w:rsidP="00722E12" w14:paraId="37008C7F" w14:textId="77777777">
      <w:pPr>
        <w:pStyle w:val="BodyText"/>
        <w:tabs>
          <w:tab w:val="left" w:pos="2430"/>
        </w:tabs>
        <w:ind w:left="0"/>
        <w:rPr>
          <w:rFonts w:ascii="Times New Roman" w:hAnsi="Times New Roman"/>
          <w:b/>
        </w:rPr>
      </w:pPr>
      <w:r>
        <w:rPr>
          <w:rFonts w:ascii="Times New Roman" w:hAnsi="Times New Roman" w:cs="Times New Roman"/>
        </w:rPr>
        <w:t>Attachment MICS-17.</w:t>
      </w:r>
      <w:r>
        <w:rPr>
          <w:rFonts w:ascii="Times New Roman" w:hAnsi="Times New Roman" w:cs="Times New Roman"/>
        </w:rPr>
        <w:tab/>
        <w:t>CATI-CMS Phone Prompting Scripts</w:t>
      </w:r>
    </w:p>
    <w:sectPr w:rsidSect="00501DD2">
      <w:footerReference w:type="default" r:id="rId32"/>
      <w:pgSz w:w="12240" w:h="15840"/>
      <w:pgMar w:top="1440" w:right="1440" w:bottom="1440" w:left="1440" w:header="1152"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83263897"/>
      <w:docPartObj>
        <w:docPartGallery w:val="Page Numbers (Bottom of Page)"/>
        <w:docPartUnique/>
      </w:docPartObj>
    </w:sdtPr>
    <w:sdtEndPr>
      <w:rPr>
        <w:noProof/>
      </w:rPr>
    </w:sdtEndPr>
    <w:sdtContent>
      <w:p w:rsidR="009E2750" w14:paraId="624A4DF2" w14:textId="77777777">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rsidR="009E2750" w:rsidRPr="00223A54" w:rsidP="00EF7760" w14:paraId="579D32A0"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653E0" w:rsidP="00501DD2" w14:paraId="1242E623" w14:textId="77777777">
      <w:r>
        <w:separator/>
      </w:r>
    </w:p>
  </w:footnote>
  <w:footnote w:type="continuationSeparator" w:id="1">
    <w:p w:rsidR="000653E0" w:rsidP="00501DD2" w14:paraId="6ED3E9BB" w14:textId="77777777">
      <w:r>
        <w:continuationSeparator/>
      </w:r>
    </w:p>
  </w:footnote>
  <w:footnote w:id="2">
    <w:p w:rsidR="00785836" w:rsidP="00785836" w14:paraId="5DFD00CC" w14:textId="77777777">
      <w:pPr>
        <w:pStyle w:val="FootnoteText"/>
        <w:ind w:firstLine="720"/>
      </w:pPr>
      <w:r>
        <w:rPr>
          <w:rStyle w:val="FootnoteReference"/>
        </w:rPr>
        <w:footnoteRef/>
      </w:r>
      <w:r>
        <w:t xml:space="preserve"> Other studies that have employed a hybrid ABS design include the National Health Interview Survey, the Residential Energy Consumption Survey, and the U.S. Food &amp; Drug Administration Tobacco Consumer Studies Panel. </w:t>
      </w:r>
    </w:p>
  </w:footnote>
  <w:footnote w:id="3">
    <w:p w:rsidR="00785836" w:rsidP="00785836" w14:paraId="4E147E88" w14:textId="77777777">
      <w:pPr>
        <w:pStyle w:val="FootnoteText"/>
        <w:ind w:firstLine="720"/>
      </w:pPr>
      <w:r>
        <w:rPr>
          <w:rStyle w:val="FootnoteReference"/>
        </w:rPr>
        <w:footnoteRef/>
      </w:r>
      <w:r>
        <w:t xml:space="preserve"> A drop point is a mail receptacle that is shared by multiple housing units (drop units). The ABS frame indicates the number of units at a drop point but does not include unit identifiers (e.g., apartment numbers). Drop points present additional challenges for sample implementation because of their one-to-many relationship to dwelling units.</w:t>
      </w:r>
    </w:p>
  </w:footnote>
  <w:footnote w:id="4">
    <w:p w:rsidR="009E2750" w:rsidP="00501DD2" w14:paraId="0346FAE1" w14:textId="46F0D0DC">
      <w:pPr>
        <w:pStyle w:val="FootnoteText"/>
        <w:ind w:left="180" w:hanging="180"/>
      </w:pPr>
      <w:r w:rsidRPr="00281A1C">
        <w:rPr>
          <w:rStyle w:val="FootnoteReference"/>
          <w:vertAlign w:val="superscript"/>
        </w:rPr>
        <w:footnoteRef/>
      </w:r>
      <w:r>
        <w:t xml:space="preserve"> Prior to 2002, the </w:t>
      </w:r>
      <w:r w:rsidR="00BD6C2B">
        <w:t>NSDUH</w:t>
      </w:r>
      <w:r>
        <w:t xml:space="preserve"> was referred to as the National Household Survey on Drug Abuse (NHSDA). In this document the term </w:t>
      </w:r>
      <w:r w:rsidR="00BD6C2B">
        <w:t>NSDUH</w:t>
      </w:r>
      <w:r>
        <w:t xml:space="preserve"> is used for all survey years.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AA1E22"/>
    <w:multiLevelType w:val="hybridMultilevel"/>
    <w:tmpl w:val="E73EEB00"/>
    <w:lvl w:ilvl="0">
      <w:start w:val="1"/>
      <w:numFmt w:val="decimal"/>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08C0418"/>
    <w:multiLevelType w:val="hybridMultilevel"/>
    <w:tmpl w:val="7610C51E"/>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5226E69"/>
    <w:multiLevelType w:val="hybridMultilevel"/>
    <w:tmpl w:val="25DCAC5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F4C6CE4"/>
    <w:multiLevelType w:val="hybridMultilevel"/>
    <w:tmpl w:val="56A2ED7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34FC677F"/>
    <w:multiLevelType w:val="hybridMultilevel"/>
    <w:tmpl w:val="9E2EC77A"/>
    <w:lvl w:ilvl="0">
      <w:start w:val="1"/>
      <w:numFmt w:val="bullet"/>
      <w:pStyle w:val="Bullett1"/>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5">
    <w:nsid w:val="3FD21A55"/>
    <w:multiLevelType w:val="hybridMultilevel"/>
    <w:tmpl w:val="E33C1E7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46514BB0"/>
    <w:multiLevelType w:val="hybridMultilevel"/>
    <w:tmpl w:val="A6DA9066"/>
    <w:lvl w:ilvl="0">
      <w:start w:val="1"/>
      <w:numFmt w:val="bullet"/>
      <w:lvlText w:val=""/>
      <w:lvlJc w:val="left"/>
      <w:pPr>
        <w:ind w:left="1440" w:hanging="360"/>
      </w:pPr>
      <w:rPr>
        <w:rFonts w:ascii="Symbol" w:hAnsi="Symbol" w:hint="default"/>
        <w:strike w: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51805CEC"/>
    <w:multiLevelType w:val="hybridMultilevel"/>
    <w:tmpl w:val="C0A63F5C"/>
    <w:lvl w:ilvl="0">
      <w:start w:val="1"/>
      <w:numFmt w:val="decimal"/>
      <w:lvlText w:val="%1."/>
      <w:lvlJc w:val="left"/>
      <w:pPr>
        <w:ind w:left="1080" w:hanging="360"/>
      </w:pPr>
      <w:rPr>
        <w:rFonts w:ascii="Times New Roman" w:eastAsia="Times New Roman" w:hAnsi="Times New Roman" w:cs="Times New Roman"/>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5552784E"/>
    <w:multiLevelType w:val="hybridMultilevel"/>
    <w:tmpl w:val="387C603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642B1DEA"/>
    <w:multiLevelType w:val="hybridMultilevel"/>
    <w:tmpl w:val="C19C12E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6CC476F1"/>
    <w:multiLevelType w:val="hybridMultilevel"/>
    <w:tmpl w:val="990E2D6A"/>
    <w:lvl w:ilvl="0">
      <w:start w:val="1"/>
      <w:numFmt w:val="bullet"/>
      <w:lvlText w:val="–"/>
      <w:lvlJc w:val="left"/>
      <w:pPr>
        <w:ind w:left="1440" w:hanging="360"/>
      </w:pPr>
      <w:rPr>
        <w:rFonts w:ascii="Arial" w:hAnsi="Arial" w:hint="default"/>
        <w:strike w: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6E7C59AD"/>
    <w:multiLevelType w:val="hybridMultilevel"/>
    <w:tmpl w:val="2C342C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1FD58E0"/>
    <w:multiLevelType w:val="hybridMultilevel"/>
    <w:tmpl w:val="8E3C1D02"/>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13">
    <w:nsid w:val="76C711E6"/>
    <w:multiLevelType w:val="hybridMultilevel"/>
    <w:tmpl w:val="95DEE2C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78244E2C"/>
    <w:multiLevelType w:val="hybridMultilevel"/>
    <w:tmpl w:val="8024840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78E71B21"/>
    <w:multiLevelType w:val="hybridMultilevel"/>
    <w:tmpl w:val="ED3E274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7B803AEF"/>
    <w:multiLevelType w:val="hybridMultilevel"/>
    <w:tmpl w:val="DE7485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75902064">
    <w:abstractNumId w:val="4"/>
  </w:num>
  <w:num w:numId="2" w16cid:durableId="605313479">
    <w:abstractNumId w:val="10"/>
  </w:num>
  <w:num w:numId="3" w16cid:durableId="1104569910">
    <w:abstractNumId w:val="7"/>
  </w:num>
  <w:num w:numId="4" w16cid:durableId="282462140">
    <w:abstractNumId w:val="15"/>
  </w:num>
  <w:num w:numId="5" w16cid:durableId="604847086">
    <w:abstractNumId w:val="16"/>
  </w:num>
  <w:num w:numId="6" w16cid:durableId="1075855361">
    <w:abstractNumId w:val="2"/>
  </w:num>
  <w:num w:numId="7" w16cid:durableId="1428577770">
    <w:abstractNumId w:val="6"/>
  </w:num>
  <w:num w:numId="8" w16cid:durableId="2040739913">
    <w:abstractNumId w:val="5"/>
  </w:num>
  <w:num w:numId="9" w16cid:durableId="1442724216">
    <w:abstractNumId w:val="0"/>
  </w:num>
  <w:num w:numId="10" w16cid:durableId="627778963">
    <w:abstractNumId w:val="1"/>
  </w:num>
  <w:num w:numId="11" w16cid:durableId="700546153">
    <w:abstractNumId w:val="14"/>
  </w:num>
  <w:num w:numId="12" w16cid:durableId="213078127">
    <w:abstractNumId w:val="13"/>
  </w:num>
  <w:num w:numId="13" w16cid:durableId="2126459444">
    <w:abstractNumId w:val="12"/>
  </w:num>
  <w:num w:numId="14" w16cid:durableId="1800604352">
    <w:abstractNumId w:val="11"/>
  </w:num>
  <w:num w:numId="15" w16cid:durableId="648484687">
    <w:abstractNumId w:val="9"/>
  </w:num>
  <w:num w:numId="16" w16cid:durableId="1877154092">
    <w:abstractNumId w:val="8"/>
  </w:num>
  <w:num w:numId="17" w16cid:durableId="17006262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DD2"/>
    <w:rsid w:val="00000A41"/>
    <w:rsid w:val="00001FCF"/>
    <w:rsid w:val="0000304A"/>
    <w:rsid w:val="00004BDD"/>
    <w:rsid w:val="0000748E"/>
    <w:rsid w:val="000079F3"/>
    <w:rsid w:val="00022F09"/>
    <w:rsid w:val="000235C4"/>
    <w:rsid w:val="00026558"/>
    <w:rsid w:val="00030D8F"/>
    <w:rsid w:val="00031B3D"/>
    <w:rsid w:val="0003372F"/>
    <w:rsid w:val="00034767"/>
    <w:rsid w:val="000347B8"/>
    <w:rsid w:val="000442EA"/>
    <w:rsid w:val="000500EC"/>
    <w:rsid w:val="00050C95"/>
    <w:rsid w:val="00051172"/>
    <w:rsid w:val="00051C87"/>
    <w:rsid w:val="000531D5"/>
    <w:rsid w:val="00053E7B"/>
    <w:rsid w:val="00056ADB"/>
    <w:rsid w:val="00056D1A"/>
    <w:rsid w:val="00061AAE"/>
    <w:rsid w:val="00062170"/>
    <w:rsid w:val="00062A0C"/>
    <w:rsid w:val="000653E0"/>
    <w:rsid w:val="00065764"/>
    <w:rsid w:val="00067D00"/>
    <w:rsid w:val="0007273B"/>
    <w:rsid w:val="00074352"/>
    <w:rsid w:val="000763E0"/>
    <w:rsid w:val="000814F3"/>
    <w:rsid w:val="0008157D"/>
    <w:rsid w:val="0008295F"/>
    <w:rsid w:val="00084013"/>
    <w:rsid w:val="0008682D"/>
    <w:rsid w:val="00094286"/>
    <w:rsid w:val="000948C6"/>
    <w:rsid w:val="000A11D3"/>
    <w:rsid w:val="000C0F79"/>
    <w:rsid w:val="000C3C8E"/>
    <w:rsid w:val="000D1E26"/>
    <w:rsid w:val="000D5608"/>
    <w:rsid w:val="000D6D41"/>
    <w:rsid w:val="000E07C9"/>
    <w:rsid w:val="000E2A6B"/>
    <w:rsid w:val="000E3A34"/>
    <w:rsid w:val="000E4970"/>
    <w:rsid w:val="000E731A"/>
    <w:rsid w:val="000F1490"/>
    <w:rsid w:val="000F4649"/>
    <w:rsid w:val="000F7FD7"/>
    <w:rsid w:val="00104774"/>
    <w:rsid w:val="0011151A"/>
    <w:rsid w:val="00111C77"/>
    <w:rsid w:val="00113C53"/>
    <w:rsid w:val="00114267"/>
    <w:rsid w:val="00114BDF"/>
    <w:rsid w:val="00123686"/>
    <w:rsid w:val="001237C5"/>
    <w:rsid w:val="00124F33"/>
    <w:rsid w:val="001374EF"/>
    <w:rsid w:val="00141503"/>
    <w:rsid w:val="00142B38"/>
    <w:rsid w:val="001446BD"/>
    <w:rsid w:val="001469DA"/>
    <w:rsid w:val="00147AB3"/>
    <w:rsid w:val="00154D1C"/>
    <w:rsid w:val="00170BF0"/>
    <w:rsid w:val="00173248"/>
    <w:rsid w:val="0017577D"/>
    <w:rsid w:val="001769CF"/>
    <w:rsid w:val="00181071"/>
    <w:rsid w:val="00190A38"/>
    <w:rsid w:val="00190F56"/>
    <w:rsid w:val="001912E1"/>
    <w:rsid w:val="001946D1"/>
    <w:rsid w:val="001969D8"/>
    <w:rsid w:val="001A0052"/>
    <w:rsid w:val="001A672D"/>
    <w:rsid w:val="001B1BA2"/>
    <w:rsid w:val="001C0EC3"/>
    <w:rsid w:val="001C17F8"/>
    <w:rsid w:val="001C2123"/>
    <w:rsid w:val="001C4F81"/>
    <w:rsid w:val="001D0568"/>
    <w:rsid w:val="001D307E"/>
    <w:rsid w:val="001D621B"/>
    <w:rsid w:val="001D729B"/>
    <w:rsid w:val="001E0E94"/>
    <w:rsid w:val="001F6142"/>
    <w:rsid w:val="001F6E64"/>
    <w:rsid w:val="002001C9"/>
    <w:rsid w:val="00213CF5"/>
    <w:rsid w:val="00222573"/>
    <w:rsid w:val="00223A54"/>
    <w:rsid w:val="002243AE"/>
    <w:rsid w:val="00225AD2"/>
    <w:rsid w:val="00227436"/>
    <w:rsid w:val="00232AFB"/>
    <w:rsid w:val="00237076"/>
    <w:rsid w:val="0023746A"/>
    <w:rsid w:val="002377C5"/>
    <w:rsid w:val="00240AA2"/>
    <w:rsid w:val="00241B27"/>
    <w:rsid w:val="002560B4"/>
    <w:rsid w:val="0026364C"/>
    <w:rsid w:val="00263B2A"/>
    <w:rsid w:val="00270763"/>
    <w:rsid w:val="002748B2"/>
    <w:rsid w:val="002748D8"/>
    <w:rsid w:val="0027642A"/>
    <w:rsid w:val="002800E3"/>
    <w:rsid w:val="00281819"/>
    <w:rsid w:val="002849AB"/>
    <w:rsid w:val="00285243"/>
    <w:rsid w:val="002852CD"/>
    <w:rsid w:val="00292917"/>
    <w:rsid w:val="002B2A00"/>
    <w:rsid w:val="002B5483"/>
    <w:rsid w:val="002C25F0"/>
    <w:rsid w:val="002D3ABD"/>
    <w:rsid w:val="002D5B34"/>
    <w:rsid w:val="002E18BB"/>
    <w:rsid w:val="002E2C67"/>
    <w:rsid w:val="002E7C53"/>
    <w:rsid w:val="002F21B0"/>
    <w:rsid w:val="002F23D7"/>
    <w:rsid w:val="002F6C48"/>
    <w:rsid w:val="00303777"/>
    <w:rsid w:val="0030552D"/>
    <w:rsid w:val="00312C4D"/>
    <w:rsid w:val="00317C6F"/>
    <w:rsid w:val="00321E6B"/>
    <w:rsid w:val="00323171"/>
    <w:rsid w:val="003264BE"/>
    <w:rsid w:val="00330F35"/>
    <w:rsid w:val="0033263D"/>
    <w:rsid w:val="00333BA4"/>
    <w:rsid w:val="003346F5"/>
    <w:rsid w:val="0033549C"/>
    <w:rsid w:val="00340A1C"/>
    <w:rsid w:val="00346B2C"/>
    <w:rsid w:val="00347963"/>
    <w:rsid w:val="00351AC5"/>
    <w:rsid w:val="00352456"/>
    <w:rsid w:val="003572A5"/>
    <w:rsid w:val="00357F5C"/>
    <w:rsid w:val="0036304E"/>
    <w:rsid w:val="0036671F"/>
    <w:rsid w:val="003703C4"/>
    <w:rsid w:val="0037326F"/>
    <w:rsid w:val="00374EAB"/>
    <w:rsid w:val="00375629"/>
    <w:rsid w:val="00376C6C"/>
    <w:rsid w:val="00383395"/>
    <w:rsid w:val="0038414E"/>
    <w:rsid w:val="00391FB1"/>
    <w:rsid w:val="00392B03"/>
    <w:rsid w:val="003A2F6B"/>
    <w:rsid w:val="003A3043"/>
    <w:rsid w:val="003C045D"/>
    <w:rsid w:val="003C2513"/>
    <w:rsid w:val="003C78CD"/>
    <w:rsid w:val="003D0802"/>
    <w:rsid w:val="003D2F8E"/>
    <w:rsid w:val="003D481E"/>
    <w:rsid w:val="003D58C1"/>
    <w:rsid w:val="003E09F4"/>
    <w:rsid w:val="003E690C"/>
    <w:rsid w:val="003F292E"/>
    <w:rsid w:val="00404580"/>
    <w:rsid w:val="00405C18"/>
    <w:rsid w:val="004126B5"/>
    <w:rsid w:val="00413CD9"/>
    <w:rsid w:val="00414E87"/>
    <w:rsid w:val="00421ECB"/>
    <w:rsid w:val="00423918"/>
    <w:rsid w:val="004244E9"/>
    <w:rsid w:val="00424DB2"/>
    <w:rsid w:val="004255AC"/>
    <w:rsid w:val="0042687E"/>
    <w:rsid w:val="00442269"/>
    <w:rsid w:val="00442D4F"/>
    <w:rsid w:val="00442DDD"/>
    <w:rsid w:val="0045468C"/>
    <w:rsid w:val="0045483A"/>
    <w:rsid w:val="004560EC"/>
    <w:rsid w:val="00463312"/>
    <w:rsid w:val="004653AF"/>
    <w:rsid w:val="0048380A"/>
    <w:rsid w:val="00491808"/>
    <w:rsid w:val="004950B0"/>
    <w:rsid w:val="004A135C"/>
    <w:rsid w:val="004A1F3B"/>
    <w:rsid w:val="004A2862"/>
    <w:rsid w:val="004B592F"/>
    <w:rsid w:val="004C1F5E"/>
    <w:rsid w:val="004C56DA"/>
    <w:rsid w:val="004C6C17"/>
    <w:rsid w:val="004D21DB"/>
    <w:rsid w:val="004D3EBE"/>
    <w:rsid w:val="004D4623"/>
    <w:rsid w:val="004E2F1C"/>
    <w:rsid w:val="004E3E2B"/>
    <w:rsid w:val="004E5ACC"/>
    <w:rsid w:val="004F072E"/>
    <w:rsid w:val="004F64B7"/>
    <w:rsid w:val="00500C8F"/>
    <w:rsid w:val="00501DD2"/>
    <w:rsid w:val="00504EF4"/>
    <w:rsid w:val="00506A3E"/>
    <w:rsid w:val="005137D9"/>
    <w:rsid w:val="005145EC"/>
    <w:rsid w:val="00520479"/>
    <w:rsid w:val="00527C90"/>
    <w:rsid w:val="00533AFF"/>
    <w:rsid w:val="005359DD"/>
    <w:rsid w:val="00542965"/>
    <w:rsid w:val="00543746"/>
    <w:rsid w:val="0054641D"/>
    <w:rsid w:val="005468E2"/>
    <w:rsid w:val="005504CF"/>
    <w:rsid w:val="00564157"/>
    <w:rsid w:val="00570B7B"/>
    <w:rsid w:val="00573515"/>
    <w:rsid w:val="0057498F"/>
    <w:rsid w:val="005753CE"/>
    <w:rsid w:val="00581372"/>
    <w:rsid w:val="00583260"/>
    <w:rsid w:val="0059222C"/>
    <w:rsid w:val="00594DC1"/>
    <w:rsid w:val="00595656"/>
    <w:rsid w:val="00595993"/>
    <w:rsid w:val="005A2FA9"/>
    <w:rsid w:val="005A59D5"/>
    <w:rsid w:val="005A5EC0"/>
    <w:rsid w:val="005B16CC"/>
    <w:rsid w:val="005B2866"/>
    <w:rsid w:val="005B7B3F"/>
    <w:rsid w:val="005C3DD9"/>
    <w:rsid w:val="005C5B3C"/>
    <w:rsid w:val="005C79F2"/>
    <w:rsid w:val="005D093A"/>
    <w:rsid w:val="005D61C9"/>
    <w:rsid w:val="005E028F"/>
    <w:rsid w:val="005E359A"/>
    <w:rsid w:val="005E4E7C"/>
    <w:rsid w:val="005E538B"/>
    <w:rsid w:val="005F1F6B"/>
    <w:rsid w:val="00601392"/>
    <w:rsid w:val="00603119"/>
    <w:rsid w:val="00605DAC"/>
    <w:rsid w:val="00610ACD"/>
    <w:rsid w:val="00612C0A"/>
    <w:rsid w:val="0061464B"/>
    <w:rsid w:val="00614C9C"/>
    <w:rsid w:val="00615AC6"/>
    <w:rsid w:val="006241D1"/>
    <w:rsid w:val="00626647"/>
    <w:rsid w:val="00630653"/>
    <w:rsid w:val="0063227D"/>
    <w:rsid w:val="0063601D"/>
    <w:rsid w:val="00637D49"/>
    <w:rsid w:val="00641A4D"/>
    <w:rsid w:val="00642D0E"/>
    <w:rsid w:val="00646D71"/>
    <w:rsid w:val="006473A0"/>
    <w:rsid w:val="006574D2"/>
    <w:rsid w:val="00657CBF"/>
    <w:rsid w:val="00662EC3"/>
    <w:rsid w:val="00664320"/>
    <w:rsid w:val="00667040"/>
    <w:rsid w:val="006743C8"/>
    <w:rsid w:val="00681267"/>
    <w:rsid w:val="0068188B"/>
    <w:rsid w:val="00682482"/>
    <w:rsid w:val="00692A34"/>
    <w:rsid w:val="006930BC"/>
    <w:rsid w:val="00693CF4"/>
    <w:rsid w:val="00695AD9"/>
    <w:rsid w:val="0069681A"/>
    <w:rsid w:val="006A14CC"/>
    <w:rsid w:val="006B00C9"/>
    <w:rsid w:val="006B724D"/>
    <w:rsid w:val="006C3EB3"/>
    <w:rsid w:val="006C7498"/>
    <w:rsid w:val="006D08BA"/>
    <w:rsid w:val="006D7EEC"/>
    <w:rsid w:val="006E0851"/>
    <w:rsid w:val="006E4F20"/>
    <w:rsid w:val="006F0E3A"/>
    <w:rsid w:val="00703946"/>
    <w:rsid w:val="00707DBC"/>
    <w:rsid w:val="0071458F"/>
    <w:rsid w:val="00717112"/>
    <w:rsid w:val="00721395"/>
    <w:rsid w:val="00722098"/>
    <w:rsid w:val="00722E12"/>
    <w:rsid w:val="00725148"/>
    <w:rsid w:val="00730A2B"/>
    <w:rsid w:val="00731A34"/>
    <w:rsid w:val="00731FA5"/>
    <w:rsid w:val="007321E2"/>
    <w:rsid w:val="0073221F"/>
    <w:rsid w:val="00732CBF"/>
    <w:rsid w:val="00733A36"/>
    <w:rsid w:val="007341A1"/>
    <w:rsid w:val="00736403"/>
    <w:rsid w:val="00736BFB"/>
    <w:rsid w:val="007416E7"/>
    <w:rsid w:val="00741EDA"/>
    <w:rsid w:val="00742289"/>
    <w:rsid w:val="00744733"/>
    <w:rsid w:val="00750320"/>
    <w:rsid w:val="007564E7"/>
    <w:rsid w:val="00763024"/>
    <w:rsid w:val="0076585D"/>
    <w:rsid w:val="007675EB"/>
    <w:rsid w:val="00771FD0"/>
    <w:rsid w:val="00772CD7"/>
    <w:rsid w:val="007744B6"/>
    <w:rsid w:val="0077715B"/>
    <w:rsid w:val="00777D3D"/>
    <w:rsid w:val="00785836"/>
    <w:rsid w:val="0079137A"/>
    <w:rsid w:val="007963F6"/>
    <w:rsid w:val="007979F7"/>
    <w:rsid w:val="007A1C96"/>
    <w:rsid w:val="007A2101"/>
    <w:rsid w:val="007A279C"/>
    <w:rsid w:val="007A4212"/>
    <w:rsid w:val="007A4948"/>
    <w:rsid w:val="007A6238"/>
    <w:rsid w:val="007B17ED"/>
    <w:rsid w:val="007B1AEB"/>
    <w:rsid w:val="007B3E8C"/>
    <w:rsid w:val="007C2361"/>
    <w:rsid w:val="007D3A0B"/>
    <w:rsid w:val="007E1A0C"/>
    <w:rsid w:val="007E4F5E"/>
    <w:rsid w:val="007E71B5"/>
    <w:rsid w:val="007F2075"/>
    <w:rsid w:val="007F36AA"/>
    <w:rsid w:val="007F3C83"/>
    <w:rsid w:val="0080061C"/>
    <w:rsid w:val="008025FD"/>
    <w:rsid w:val="00805540"/>
    <w:rsid w:val="00807A72"/>
    <w:rsid w:val="008129C8"/>
    <w:rsid w:val="0081726B"/>
    <w:rsid w:val="00820FD2"/>
    <w:rsid w:val="00831907"/>
    <w:rsid w:val="00834FB7"/>
    <w:rsid w:val="00837470"/>
    <w:rsid w:val="00841579"/>
    <w:rsid w:val="00852699"/>
    <w:rsid w:val="00853F2F"/>
    <w:rsid w:val="00856CDE"/>
    <w:rsid w:val="00857F96"/>
    <w:rsid w:val="00860C7E"/>
    <w:rsid w:val="00864374"/>
    <w:rsid w:val="00865AF6"/>
    <w:rsid w:val="00870788"/>
    <w:rsid w:val="008728EA"/>
    <w:rsid w:val="0087412E"/>
    <w:rsid w:val="008832E9"/>
    <w:rsid w:val="00891221"/>
    <w:rsid w:val="00895B06"/>
    <w:rsid w:val="00896BAD"/>
    <w:rsid w:val="008A2497"/>
    <w:rsid w:val="008A3CA5"/>
    <w:rsid w:val="008A4E0A"/>
    <w:rsid w:val="008B1FEE"/>
    <w:rsid w:val="008B534D"/>
    <w:rsid w:val="008C0FDB"/>
    <w:rsid w:val="008C264D"/>
    <w:rsid w:val="008C6259"/>
    <w:rsid w:val="008C67CF"/>
    <w:rsid w:val="008C7FF9"/>
    <w:rsid w:val="008D2A6E"/>
    <w:rsid w:val="008D615B"/>
    <w:rsid w:val="008E18ED"/>
    <w:rsid w:val="008E4F36"/>
    <w:rsid w:val="008F29E8"/>
    <w:rsid w:val="008F446A"/>
    <w:rsid w:val="008F7C63"/>
    <w:rsid w:val="0090118F"/>
    <w:rsid w:val="00903526"/>
    <w:rsid w:val="00903664"/>
    <w:rsid w:val="00907446"/>
    <w:rsid w:val="009101B4"/>
    <w:rsid w:val="00911616"/>
    <w:rsid w:val="00912E87"/>
    <w:rsid w:val="009132FC"/>
    <w:rsid w:val="00914C65"/>
    <w:rsid w:val="0092105E"/>
    <w:rsid w:val="00921FE0"/>
    <w:rsid w:val="00922AE9"/>
    <w:rsid w:val="00922F88"/>
    <w:rsid w:val="00933B0E"/>
    <w:rsid w:val="00933EED"/>
    <w:rsid w:val="0093476C"/>
    <w:rsid w:val="009376EF"/>
    <w:rsid w:val="00940191"/>
    <w:rsid w:val="00941952"/>
    <w:rsid w:val="00941DC3"/>
    <w:rsid w:val="009423F1"/>
    <w:rsid w:val="00945B46"/>
    <w:rsid w:val="00946FE5"/>
    <w:rsid w:val="0095446E"/>
    <w:rsid w:val="009551E0"/>
    <w:rsid w:val="00961CB2"/>
    <w:rsid w:val="009633AC"/>
    <w:rsid w:val="0096348B"/>
    <w:rsid w:val="009660A6"/>
    <w:rsid w:val="00966377"/>
    <w:rsid w:val="009705AD"/>
    <w:rsid w:val="00974696"/>
    <w:rsid w:val="00977937"/>
    <w:rsid w:val="009A2817"/>
    <w:rsid w:val="009A3C26"/>
    <w:rsid w:val="009B3063"/>
    <w:rsid w:val="009B356B"/>
    <w:rsid w:val="009B5084"/>
    <w:rsid w:val="009B56CB"/>
    <w:rsid w:val="009B6B39"/>
    <w:rsid w:val="009C21D3"/>
    <w:rsid w:val="009C23AC"/>
    <w:rsid w:val="009C4119"/>
    <w:rsid w:val="009C48EE"/>
    <w:rsid w:val="009C7114"/>
    <w:rsid w:val="009D0BF4"/>
    <w:rsid w:val="009E2358"/>
    <w:rsid w:val="009E23A7"/>
    <w:rsid w:val="009E2750"/>
    <w:rsid w:val="009E2AA9"/>
    <w:rsid w:val="009E7695"/>
    <w:rsid w:val="009F117A"/>
    <w:rsid w:val="009F3A2B"/>
    <w:rsid w:val="009F5D1B"/>
    <w:rsid w:val="00A0212D"/>
    <w:rsid w:val="00A107C6"/>
    <w:rsid w:val="00A16D0D"/>
    <w:rsid w:val="00A17C47"/>
    <w:rsid w:val="00A24D27"/>
    <w:rsid w:val="00A267A3"/>
    <w:rsid w:val="00A26A69"/>
    <w:rsid w:val="00A2727F"/>
    <w:rsid w:val="00A32791"/>
    <w:rsid w:val="00A32DA9"/>
    <w:rsid w:val="00A331A4"/>
    <w:rsid w:val="00A43B40"/>
    <w:rsid w:val="00A45694"/>
    <w:rsid w:val="00A47490"/>
    <w:rsid w:val="00A504CC"/>
    <w:rsid w:val="00A50C07"/>
    <w:rsid w:val="00A5281F"/>
    <w:rsid w:val="00A70894"/>
    <w:rsid w:val="00A763CE"/>
    <w:rsid w:val="00A76E4C"/>
    <w:rsid w:val="00A8171D"/>
    <w:rsid w:val="00A82571"/>
    <w:rsid w:val="00A8748D"/>
    <w:rsid w:val="00AA0F61"/>
    <w:rsid w:val="00AA316C"/>
    <w:rsid w:val="00AA6413"/>
    <w:rsid w:val="00AA7047"/>
    <w:rsid w:val="00AB150D"/>
    <w:rsid w:val="00AB1FE6"/>
    <w:rsid w:val="00AB48CE"/>
    <w:rsid w:val="00AB6CEF"/>
    <w:rsid w:val="00AD73CE"/>
    <w:rsid w:val="00AD7901"/>
    <w:rsid w:val="00AD7D90"/>
    <w:rsid w:val="00AE664C"/>
    <w:rsid w:val="00AF0212"/>
    <w:rsid w:val="00B005D6"/>
    <w:rsid w:val="00B024FB"/>
    <w:rsid w:val="00B03347"/>
    <w:rsid w:val="00B05111"/>
    <w:rsid w:val="00B07F0B"/>
    <w:rsid w:val="00B12529"/>
    <w:rsid w:val="00B232F5"/>
    <w:rsid w:val="00B315B1"/>
    <w:rsid w:val="00B3712A"/>
    <w:rsid w:val="00B46DBA"/>
    <w:rsid w:val="00B47A89"/>
    <w:rsid w:val="00B53EFC"/>
    <w:rsid w:val="00B56144"/>
    <w:rsid w:val="00B608F4"/>
    <w:rsid w:val="00B62E6B"/>
    <w:rsid w:val="00B674A7"/>
    <w:rsid w:val="00B67A5B"/>
    <w:rsid w:val="00B71537"/>
    <w:rsid w:val="00B727DF"/>
    <w:rsid w:val="00B7346B"/>
    <w:rsid w:val="00B7564A"/>
    <w:rsid w:val="00B85063"/>
    <w:rsid w:val="00B90486"/>
    <w:rsid w:val="00B937BD"/>
    <w:rsid w:val="00B941DF"/>
    <w:rsid w:val="00B9654C"/>
    <w:rsid w:val="00BA154D"/>
    <w:rsid w:val="00BB38C2"/>
    <w:rsid w:val="00BC120B"/>
    <w:rsid w:val="00BC1C19"/>
    <w:rsid w:val="00BC7A57"/>
    <w:rsid w:val="00BD2D75"/>
    <w:rsid w:val="00BD3A50"/>
    <w:rsid w:val="00BD3BD6"/>
    <w:rsid w:val="00BD5A96"/>
    <w:rsid w:val="00BD6C2B"/>
    <w:rsid w:val="00BE3098"/>
    <w:rsid w:val="00BF4151"/>
    <w:rsid w:val="00C02D4E"/>
    <w:rsid w:val="00C03593"/>
    <w:rsid w:val="00C16208"/>
    <w:rsid w:val="00C210A8"/>
    <w:rsid w:val="00C2373C"/>
    <w:rsid w:val="00C239C1"/>
    <w:rsid w:val="00C3123F"/>
    <w:rsid w:val="00C314A8"/>
    <w:rsid w:val="00C34138"/>
    <w:rsid w:val="00C34260"/>
    <w:rsid w:val="00C35216"/>
    <w:rsid w:val="00C35850"/>
    <w:rsid w:val="00C42D2B"/>
    <w:rsid w:val="00C45315"/>
    <w:rsid w:val="00C45982"/>
    <w:rsid w:val="00C46697"/>
    <w:rsid w:val="00C55277"/>
    <w:rsid w:val="00C600E6"/>
    <w:rsid w:val="00C631FD"/>
    <w:rsid w:val="00C779D6"/>
    <w:rsid w:val="00C832B8"/>
    <w:rsid w:val="00C84C6A"/>
    <w:rsid w:val="00C91A66"/>
    <w:rsid w:val="00C950F9"/>
    <w:rsid w:val="00CA4726"/>
    <w:rsid w:val="00CA5996"/>
    <w:rsid w:val="00CA72B8"/>
    <w:rsid w:val="00CB0325"/>
    <w:rsid w:val="00CB200B"/>
    <w:rsid w:val="00CB5691"/>
    <w:rsid w:val="00CB79E1"/>
    <w:rsid w:val="00CC03A2"/>
    <w:rsid w:val="00CC17CC"/>
    <w:rsid w:val="00CD04BD"/>
    <w:rsid w:val="00CD5354"/>
    <w:rsid w:val="00CD7A89"/>
    <w:rsid w:val="00CE1E98"/>
    <w:rsid w:val="00CE20BC"/>
    <w:rsid w:val="00CE6E99"/>
    <w:rsid w:val="00CF3951"/>
    <w:rsid w:val="00CF3DDB"/>
    <w:rsid w:val="00CF5994"/>
    <w:rsid w:val="00CF6E57"/>
    <w:rsid w:val="00CF7B8B"/>
    <w:rsid w:val="00D01988"/>
    <w:rsid w:val="00D04166"/>
    <w:rsid w:val="00D0720C"/>
    <w:rsid w:val="00D101BE"/>
    <w:rsid w:val="00D24473"/>
    <w:rsid w:val="00D27410"/>
    <w:rsid w:val="00D30056"/>
    <w:rsid w:val="00D3431F"/>
    <w:rsid w:val="00D35C7C"/>
    <w:rsid w:val="00D44769"/>
    <w:rsid w:val="00D521BE"/>
    <w:rsid w:val="00D5532B"/>
    <w:rsid w:val="00D62746"/>
    <w:rsid w:val="00D64F35"/>
    <w:rsid w:val="00D651F7"/>
    <w:rsid w:val="00D75039"/>
    <w:rsid w:val="00D811FA"/>
    <w:rsid w:val="00D9569C"/>
    <w:rsid w:val="00D95B4C"/>
    <w:rsid w:val="00D95C4C"/>
    <w:rsid w:val="00D95E5F"/>
    <w:rsid w:val="00D95F91"/>
    <w:rsid w:val="00DA148D"/>
    <w:rsid w:val="00DA21A3"/>
    <w:rsid w:val="00DA4615"/>
    <w:rsid w:val="00DA4805"/>
    <w:rsid w:val="00DB2F21"/>
    <w:rsid w:val="00DC2882"/>
    <w:rsid w:val="00DC2BED"/>
    <w:rsid w:val="00DD4D5F"/>
    <w:rsid w:val="00DD71FF"/>
    <w:rsid w:val="00DE226F"/>
    <w:rsid w:val="00DE6A4A"/>
    <w:rsid w:val="00DF7124"/>
    <w:rsid w:val="00E0339B"/>
    <w:rsid w:val="00E06F25"/>
    <w:rsid w:val="00E12074"/>
    <w:rsid w:val="00E122E7"/>
    <w:rsid w:val="00E12766"/>
    <w:rsid w:val="00E166C4"/>
    <w:rsid w:val="00E25C4E"/>
    <w:rsid w:val="00E25FDB"/>
    <w:rsid w:val="00E31973"/>
    <w:rsid w:val="00E326FB"/>
    <w:rsid w:val="00E34D6A"/>
    <w:rsid w:val="00E40E0D"/>
    <w:rsid w:val="00E43AC5"/>
    <w:rsid w:val="00E451BA"/>
    <w:rsid w:val="00E50E6F"/>
    <w:rsid w:val="00E61E6C"/>
    <w:rsid w:val="00E665B1"/>
    <w:rsid w:val="00E6754E"/>
    <w:rsid w:val="00E70439"/>
    <w:rsid w:val="00E71031"/>
    <w:rsid w:val="00E7151A"/>
    <w:rsid w:val="00E716C3"/>
    <w:rsid w:val="00E805C0"/>
    <w:rsid w:val="00E80D63"/>
    <w:rsid w:val="00E845CA"/>
    <w:rsid w:val="00E86B84"/>
    <w:rsid w:val="00E90094"/>
    <w:rsid w:val="00E96B59"/>
    <w:rsid w:val="00EA02A8"/>
    <w:rsid w:val="00EA03C7"/>
    <w:rsid w:val="00EA4BA8"/>
    <w:rsid w:val="00EA5806"/>
    <w:rsid w:val="00EB3358"/>
    <w:rsid w:val="00EC0955"/>
    <w:rsid w:val="00EC5A2C"/>
    <w:rsid w:val="00ED0DA9"/>
    <w:rsid w:val="00ED52A1"/>
    <w:rsid w:val="00ED6280"/>
    <w:rsid w:val="00ED7BF5"/>
    <w:rsid w:val="00EE1D4E"/>
    <w:rsid w:val="00EE350A"/>
    <w:rsid w:val="00EE4EB5"/>
    <w:rsid w:val="00EF163C"/>
    <w:rsid w:val="00EF19D2"/>
    <w:rsid w:val="00EF28FF"/>
    <w:rsid w:val="00EF5CBE"/>
    <w:rsid w:val="00EF7760"/>
    <w:rsid w:val="00F066FF"/>
    <w:rsid w:val="00F078B2"/>
    <w:rsid w:val="00F1328A"/>
    <w:rsid w:val="00F21219"/>
    <w:rsid w:val="00F24E0B"/>
    <w:rsid w:val="00F256E7"/>
    <w:rsid w:val="00F3053D"/>
    <w:rsid w:val="00F316CD"/>
    <w:rsid w:val="00F35A4B"/>
    <w:rsid w:val="00F51623"/>
    <w:rsid w:val="00F516CF"/>
    <w:rsid w:val="00F55955"/>
    <w:rsid w:val="00F56FDA"/>
    <w:rsid w:val="00F63546"/>
    <w:rsid w:val="00F64A39"/>
    <w:rsid w:val="00F6797F"/>
    <w:rsid w:val="00F74785"/>
    <w:rsid w:val="00F7525D"/>
    <w:rsid w:val="00F77FAC"/>
    <w:rsid w:val="00F869A5"/>
    <w:rsid w:val="00F92F54"/>
    <w:rsid w:val="00F94367"/>
    <w:rsid w:val="00F951F1"/>
    <w:rsid w:val="00FA374A"/>
    <w:rsid w:val="00FA5F8D"/>
    <w:rsid w:val="00FA5F9E"/>
    <w:rsid w:val="00FB1C32"/>
    <w:rsid w:val="00FB4F77"/>
    <w:rsid w:val="00FD1C24"/>
    <w:rsid w:val="00FD23DF"/>
    <w:rsid w:val="00FD4AAF"/>
    <w:rsid w:val="00FD5F28"/>
    <w:rsid w:val="00FE0FE7"/>
    <w:rsid w:val="00FE4798"/>
    <w:rsid w:val="00FF2A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1FEF99"/>
  <w15:docId w15:val="{522034A0-FAAC-4BE4-BACA-8BD47323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DD2"/>
    <w:pPr>
      <w:widowControl w:val="0"/>
      <w:autoSpaceDE w:val="0"/>
      <w:autoSpaceDN w:val="0"/>
      <w:adjustRightInd w:val="0"/>
      <w:spacing w:after="0" w:line="240" w:lineRule="auto"/>
    </w:pPr>
    <w:rPr>
      <w:rFonts w:ascii="CG Times" w:eastAsia="Times New Roman" w:hAnsi="CG Times" w:cs="Times New Roman"/>
      <w:sz w:val="24"/>
      <w:szCs w:val="24"/>
    </w:rPr>
  </w:style>
  <w:style w:type="paragraph" w:styleId="Heading1">
    <w:name w:val="heading 1"/>
    <w:basedOn w:val="Normal"/>
    <w:next w:val="Normal"/>
    <w:link w:val="Heading1Char"/>
    <w:qFormat/>
    <w:rsid w:val="00501DD2"/>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outlineLvl w:val="0"/>
    </w:pPr>
    <w:rPr>
      <w:rFonts w:asciiTheme="majorBidi" w:hAnsiTheme="majorBidi" w:cstheme="majorBidi"/>
      <w:b/>
      <w:color w:val="000000" w:themeColor="text1"/>
    </w:rPr>
  </w:style>
  <w:style w:type="paragraph" w:styleId="Heading4">
    <w:name w:val="heading 4"/>
    <w:basedOn w:val="Normal"/>
    <w:next w:val="Normal"/>
    <w:link w:val="Heading4Char"/>
    <w:uiPriority w:val="9"/>
    <w:semiHidden/>
    <w:unhideWhenUsed/>
    <w:qFormat/>
    <w:rsid w:val="00113C5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1DD2"/>
    <w:rPr>
      <w:rFonts w:eastAsia="Times New Roman" w:asciiTheme="majorBidi" w:hAnsiTheme="majorBidi" w:cstheme="majorBidi"/>
      <w:b/>
      <w:color w:val="000000" w:themeColor="text1"/>
      <w:sz w:val="24"/>
      <w:szCs w:val="24"/>
    </w:rPr>
  </w:style>
  <w:style w:type="character" w:styleId="FootnoteReference">
    <w:name w:val="footnote reference"/>
    <w:uiPriority w:val="99"/>
    <w:semiHidden/>
    <w:rsid w:val="00501DD2"/>
  </w:style>
  <w:style w:type="character" w:styleId="Hyperlink">
    <w:name w:val="Hyperlink"/>
    <w:basedOn w:val="DefaultParagraphFont"/>
    <w:rsid w:val="00501DD2"/>
    <w:rPr>
      <w:rFonts w:ascii="Arial" w:hAnsi="Arial" w:cs="Arial" w:hint="default"/>
      <w:color w:val="005A9C"/>
      <w:u w:val="single"/>
    </w:rPr>
  </w:style>
  <w:style w:type="paragraph" w:styleId="Footer">
    <w:name w:val="footer"/>
    <w:basedOn w:val="Normal"/>
    <w:link w:val="FooterChar"/>
    <w:uiPriority w:val="99"/>
    <w:rsid w:val="00501DD2"/>
    <w:pPr>
      <w:tabs>
        <w:tab w:val="center" w:pos="4320"/>
        <w:tab w:val="right" w:pos="8640"/>
      </w:tabs>
    </w:pPr>
  </w:style>
  <w:style w:type="character" w:customStyle="1" w:styleId="FooterChar">
    <w:name w:val="Footer Char"/>
    <w:basedOn w:val="DefaultParagraphFont"/>
    <w:link w:val="Footer"/>
    <w:uiPriority w:val="99"/>
    <w:rsid w:val="00501DD2"/>
    <w:rPr>
      <w:rFonts w:ascii="CG Times" w:eastAsia="Times New Roman" w:hAnsi="CG Times" w:cs="Times New Roman"/>
      <w:sz w:val="24"/>
      <w:szCs w:val="24"/>
    </w:rPr>
  </w:style>
  <w:style w:type="paragraph" w:customStyle="1" w:styleId="ListingName">
    <w:name w:val="Listing_Name"/>
    <w:basedOn w:val="Normal"/>
    <w:rsid w:val="00501DD2"/>
    <w:pPr>
      <w:widowControl/>
      <w:autoSpaceDE/>
      <w:autoSpaceDN/>
      <w:adjustRightInd/>
      <w:spacing w:before="120" w:line="240" w:lineRule="exact"/>
    </w:pPr>
    <w:rPr>
      <w:i/>
      <w:sz w:val="22"/>
      <w:szCs w:val="22"/>
    </w:rPr>
  </w:style>
  <w:style w:type="paragraph" w:styleId="BodyText">
    <w:name w:val="Body Text"/>
    <w:basedOn w:val="ListParagraph"/>
    <w:link w:val="BodyTextChar"/>
    <w:rsid w:val="00501DD2"/>
    <w:pPr>
      <w:widowControl/>
      <w:autoSpaceDE/>
      <w:autoSpaceDN/>
      <w:adjustRightInd/>
      <w:spacing w:after="120"/>
      <w:contextualSpacing w:val="0"/>
    </w:pPr>
    <w:rPr>
      <w:rFonts w:asciiTheme="majorBidi" w:eastAsiaTheme="minorHAnsi" w:hAnsiTheme="majorBidi" w:cstheme="majorBidi"/>
      <w:color w:val="000000" w:themeColor="text1"/>
    </w:rPr>
  </w:style>
  <w:style w:type="character" w:customStyle="1" w:styleId="BodyTextChar">
    <w:name w:val="Body Text Char"/>
    <w:basedOn w:val="DefaultParagraphFont"/>
    <w:link w:val="BodyText"/>
    <w:rsid w:val="00501DD2"/>
    <w:rPr>
      <w:rFonts w:asciiTheme="majorBidi" w:hAnsiTheme="majorBidi" w:cstheme="majorBidi"/>
      <w:color w:val="000000" w:themeColor="text1"/>
      <w:sz w:val="24"/>
      <w:szCs w:val="24"/>
    </w:rPr>
  </w:style>
  <w:style w:type="paragraph" w:styleId="FootnoteText">
    <w:name w:val="footnote text"/>
    <w:aliases w:val="F1"/>
    <w:basedOn w:val="Normal"/>
    <w:link w:val="FootnoteTextChar"/>
    <w:uiPriority w:val="99"/>
    <w:rsid w:val="00501DD2"/>
    <w:pPr>
      <w:widowControl/>
      <w:autoSpaceDE/>
      <w:autoSpaceDN/>
      <w:adjustRightInd/>
    </w:pPr>
    <w:rPr>
      <w:rFonts w:ascii="Times New Roman" w:hAnsi="Times New Roman"/>
      <w:sz w:val="20"/>
      <w:szCs w:val="20"/>
    </w:rPr>
  </w:style>
  <w:style w:type="character" w:customStyle="1" w:styleId="FootnoteTextChar">
    <w:name w:val="Footnote Text Char"/>
    <w:aliases w:val="F1 Char"/>
    <w:basedOn w:val="DefaultParagraphFont"/>
    <w:link w:val="FootnoteText"/>
    <w:uiPriority w:val="99"/>
    <w:rsid w:val="00501DD2"/>
    <w:rPr>
      <w:rFonts w:ascii="Times New Roman" w:eastAsia="Times New Roman" w:hAnsi="Times New Roman" w:cs="Times New Roman"/>
      <w:sz w:val="20"/>
      <w:szCs w:val="20"/>
    </w:rPr>
  </w:style>
  <w:style w:type="character" w:styleId="Emphasis">
    <w:name w:val="Emphasis"/>
    <w:basedOn w:val="DefaultParagraphFont"/>
    <w:uiPriority w:val="20"/>
    <w:qFormat/>
    <w:rsid w:val="00501DD2"/>
    <w:rPr>
      <w:i/>
      <w:iCs/>
    </w:rPr>
  </w:style>
  <w:style w:type="paragraph" w:customStyle="1" w:styleId="ReferenceCitation">
    <w:name w:val="Reference Citation"/>
    <w:basedOn w:val="Normal"/>
    <w:qFormat/>
    <w:rsid w:val="00501DD2"/>
    <w:pPr>
      <w:keepLines/>
      <w:widowControl/>
      <w:overflowPunct w:val="0"/>
      <w:spacing w:after="240"/>
      <w:ind w:left="720" w:hanging="720"/>
      <w:textAlignment w:val="baseline"/>
    </w:pPr>
    <w:rPr>
      <w:rFonts w:ascii="Times New Roman" w:hAnsi="Times New Roman"/>
      <w:szCs w:val="20"/>
    </w:rPr>
  </w:style>
  <w:style w:type="paragraph" w:customStyle="1" w:styleId="apptitle">
    <w:name w:val="apptitle"/>
    <w:basedOn w:val="Heading1"/>
    <w:rsid w:val="00501DD2"/>
    <w:pPr>
      <w:keepNext w:val="0"/>
      <w:pageBreakBefore/>
      <w:numPr>
        <w:ilvl w:val="12"/>
      </w:numPr>
      <w:spacing w:line="276" w:lineRule="auto"/>
      <w:ind w:left="720" w:hanging="720"/>
      <w:contextualSpacing/>
      <w:jc w:val="center"/>
    </w:pPr>
    <w:rPr>
      <w:rFonts w:eastAsiaTheme="majorEastAsia"/>
      <w:bCs/>
      <w:sz w:val="28"/>
      <w:szCs w:val="28"/>
      <w:lang w:bidi="en-US"/>
    </w:rPr>
  </w:style>
  <w:style w:type="paragraph" w:customStyle="1" w:styleId="HeadingA">
    <w:name w:val="HeadingA"/>
    <w:basedOn w:val="Normal"/>
    <w:qFormat/>
    <w:rsid w:val="00501DD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120"/>
      <w:ind w:left="720" w:hanging="720"/>
    </w:pPr>
    <w:rPr>
      <w:rFonts w:asciiTheme="majorBidi" w:hAnsiTheme="majorBidi" w:cstheme="majorBidi"/>
      <w:b/>
      <w:color w:val="000000" w:themeColor="text1"/>
    </w:rPr>
  </w:style>
  <w:style w:type="paragraph" w:customStyle="1" w:styleId="Heading2">
    <w:name w:val="Heading2"/>
    <w:basedOn w:val="Normal"/>
    <w:qFormat/>
    <w:rsid w:val="00501DD2"/>
    <w:pPr>
      <w:keepNext/>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Bullett1">
    <w:name w:val="Bullett1"/>
    <w:basedOn w:val="BodyText"/>
    <w:qFormat/>
    <w:rsid w:val="00501DD2"/>
    <w:pPr>
      <w:numPr>
        <w:numId w:val="1"/>
      </w:numPr>
      <w:tabs>
        <w:tab w:val="num" w:pos="360"/>
      </w:tabs>
      <w:ind w:left="1267" w:firstLine="0"/>
    </w:pPr>
  </w:style>
  <w:style w:type="paragraph" w:customStyle="1" w:styleId="NormalCentered">
    <w:name w:val="Normal Centered"/>
    <w:basedOn w:val="Normal"/>
    <w:uiPriority w:val="99"/>
    <w:rsid w:val="00501DD2"/>
    <w:pPr>
      <w:widowControl/>
      <w:autoSpaceDE/>
      <w:autoSpaceDN/>
      <w:adjustRightInd/>
      <w:jc w:val="center"/>
    </w:pPr>
    <w:rPr>
      <w:rFonts w:ascii="Times New Roman" w:hAnsi="Times New Roman"/>
    </w:rPr>
  </w:style>
  <w:style w:type="paragraph" w:styleId="ListParagraph">
    <w:name w:val="List Paragraph"/>
    <w:basedOn w:val="Normal"/>
    <w:uiPriority w:val="34"/>
    <w:qFormat/>
    <w:rsid w:val="00501DD2"/>
    <w:pPr>
      <w:ind w:left="720"/>
      <w:contextualSpacing/>
    </w:pPr>
  </w:style>
  <w:style w:type="paragraph" w:styleId="Header">
    <w:name w:val="header"/>
    <w:basedOn w:val="Normal"/>
    <w:link w:val="HeaderChar"/>
    <w:uiPriority w:val="99"/>
    <w:unhideWhenUsed/>
    <w:rsid w:val="00946FE5"/>
    <w:pPr>
      <w:tabs>
        <w:tab w:val="center" w:pos="4680"/>
        <w:tab w:val="right" w:pos="9360"/>
      </w:tabs>
    </w:pPr>
  </w:style>
  <w:style w:type="character" w:customStyle="1" w:styleId="HeaderChar">
    <w:name w:val="Header Char"/>
    <w:basedOn w:val="DefaultParagraphFont"/>
    <w:link w:val="Header"/>
    <w:uiPriority w:val="99"/>
    <w:rsid w:val="00946FE5"/>
    <w:rPr>
      <w:rFonts w:ascii="CG Times" w:eastAsia="Times New Roman" w:hAnsi="CG Times" w:cs="Times New Roman"/>
      <w:sz w:val="24"/>
      <w:szCs w:val="24"/>
    </w:rPr>
  </w:style>
  <w:style w:type="paragraph" w:styleId="BalloonText">
    <w:name w:val="Balloon Text"/>
    <w:basedOn w:val="Normal"/>
    <w:link w:val="BalloonTextChar"/>
    <w:uiPriority w:val="99"/>
    <w:semiHidden/>
    <w:unhideWhenUsed/>
    <w:rsid w:val="000E2A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A6B"/>
    <w:rPr>
      <w:rFonts w:ascii="Segoe UI" w:eastAsia="Times New Roman" w:hAnsi="Segoe UI" w:cs="Segoe UI"/>
      <w:sz w:val="18"/>
      <w:szCs w:val="18"/>
    </w:rPr>
  </w:style>
  <w:style w:type="character" w:styleId="CommentReference">
    <w:name w:val="annotation reference"/>
    <w:basedOn w:val="DefaultParagraphFont"/>
    <w:uiPriority w:val="99"/>
    <w:unhideWhenUsed/>
    <w:rsid w:val="00C91A66"/>
    <w:rPr>
      <w:sz w:val="16"/>
      <w:szCs w:val="16"/>
    </w:rPr>
  </w:style>
  <w:style w:type="paragraph" w:styleId="CommentText">
    <w:name w:val="annotation text"/>
    <w:basedOn w:val="Normal"/>
    <w:link w:val="CommentTextChar"/>
    <w:unhideWhenUsed/>
    <w:rsid w:val="00C91A66"/>
    <w:rPr>
      <w:sz w:val="20"/>
      <w:szCs w:val="20"/>
    </w:rPr>
  </w:style>
  <w:style w:type="character" w:customStyle="1" w:styleId="CommentTextChar">
    <w:name w:val="Comment Text Char"/>
    <w:basedOn w:val="DefaultParagraphFont"/>
    <w:link w:val="CommentText"/>
    <w:rsid w:val="00C91A66"/>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C91A66"/>
    <w:rPr>
      <w:b/>
      <w:bCs/>
    </w:rPr>
  </w:style>
  <w:style w:type="character" w:customStyle="1" w:styleId="CommentSubjectChar">
    <w:name w:val="Comment Subject Char"/>
    <w:basedOn w:val="CommentTextChar"/>
    <w:link w:val="CommentSubject"/>
    <w:uiPriority w:val="99"/>
    <w:semiHidden/>
    <w:rsid w:val="00C91A66"/>
    <w:rPr>
      <w:rFonts w:ascii="CG Times" w:eastAsia="Times New Roman" w:hAnsi="CG Times" w:cs="Times New Roman"/>
      <w:b/>
      <w:bCs/>
      <w:sz w:val="20"/>
      <w:szCs w:val="20"/>
    </w:rPr>
  </w:style>
  <w:style w:type="table" w:styleId="TableGrid">
    <w:name w:val="Table Grid"/>
    <w:basedOn w:val="TableNormal"/>
    <w:uiPriority w:val="59"/>
    <w:rsid w:val="00667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6144"/>
    <w:pPr>
      <w:spacing w:after="0" w:line="240" w:lineRule="auto"/>
    </w:pPr>
    <w:rPr>
      <w:rFonts w:ascii="CG Times" w:eastAsia="Times New Roman" w:hAnsi="CG Times" w:cs="Times New Roman"/>
      <w:sz w:val="24"/>
      <w:szCs w:val="24"/>
    </w:rPr>
  </w:style>
  <w:style w:type="paragraph" w:styleId="BlockText">
    <w:name w:val="Block Text"/>
    <w:basedOn w:val="Normal"/>
    <w:uiPriority w:val="99"/>
    <w:unhideWhenUsed/>
    <w:rsid w:val="00B03347"/>
    <w:pPr>
      <w:widowControl/>
      <w:autoSpaceDE/>
      <w:autoSpaceDN/>
      <w:adjustRightInd/>
      <w:spacing w:before="120" w:after="240"/>
      <w:ind w:left="720" w:right="1152"/>
    </w:pPr>
    <w:rPr>
      <w:rFonts w:ascii="Times New Roman" w:hAnsi="Times New Roman" w:eastAsiaTheme="minorEastAsia" w:cstheme="minorBidi"/>
      <w:iCs/>
      <w:szCs w:val="22"/>
    </w:rPr>
  </w:style>
  <w:style w:type="character" w:styleId="FollowedHyperlink">
    <w:name w:val="FollowedHyperlink"/>
    <w:basedOn w:val="DefaultParagraphFont"/>
    <w:rsid w:val="00903526"/>
    <w:rPr>
      <w:color w:val="800080"/>
      <w:u w:val="single"/>
    </w:rPr>
  </w:style>
  <w:style w:type="character" w:customStyle="1" w:styleId="UnresolvedMention1">
    <w:name w:val="Unresolved Mention1"/>
    <w:basedOn w:val="DefaultParagraphFont"/>
    <w:uiPriority w:val="99"/>
    <w:semiHidden/>
    <w:unhideWhenUsed/>
    <w:rsid w:val="0045483A"/>
    <w:rPr>
      <w:color w:val="605E5C"/>
      <w:shd w:val="clear" w:color="auto" w:fill="E1DFDD"/>
    </w:rPr>
  </w:style>
  <w:style w:type="paragraph" w:customStyle="1" w:styleId="TOCHeader">
    <w:name w:val="TOC Header"/>
    <w:basedOn w:val="Normal"/>
    <w:rsid w:val="00922F88"/>
    <w:pPr>
      <w:widowControl/>
      <w:tabs>
        <w:tab w:val="right" w:pos="9360"/>
      </w:tabs>
      <w:autoSpaceDE/>
      <w:autoSpaceDN/>
      <w:adjustRightInd/>
      <w:spacing w:before="240" w:after="240"/>
    </w:pPr>
    <w:rPr>
      <w:rFonts w:ascii="Times New Roman Bold" w:hAnsi="Times New Roman Bold"/>
      <w:b/>
    </w:rPr>
  </w:style>
  <w:style w:type="character" w:customStyle="1" w:styleId="Heading4Char">
    <w:name w:val="Heading 4 Char"/>
    <w:basedOn w:val="DefaultParagraphFont"/>
    <w:link w:val="Heading4"/>
    <w:rsid w:val="00113C53"/>
    <w:rPr>
      <w:rFonts w:asciiTheme="majorHAnsi" w:eastAsiaTheme="majorEastAsia" w:hAnsiTheme="majorHAnsi" w:cstheme="majorBidi"/>
      <w:i/>
      <w:iCs/>
      <w:color w:val="365F91" w:themeColor="accent1" w:themeShade="BF"/>
      <w:sz w:val="24"/>
      <w:szCs w:val="24"/>
    </w:rPr>
  </w:style>
  <w:style w:type="character" w:styleId="UnresolvedMention">
    <w:name w:val="Unresolved Mention"/>
    <w:basedOn w:val="DefaultParagraphFont"/>
    <w:uiPriority w:val="99"/>
    <w:semiHidden/>
    <w:unhideWhenUsed/>
    <w:rsid w:val="009C48EE"/>
    <w:rPr>
      <w:color w:val="605E5C"/>
      <w:shd w:val="clear" w:color="auto" w:fill="E1DFDD"/>
    </w:rPr>
  </w:style>
  <w:style w:type="character" w:customStyle="1" w:styleId="voice">
    <w:name w:val="voice"/>
    <w:basedOn w:val="DefaultParagraphFont"/>
    <w:rsid w:val="00E326FB"/>
  </w:style>
  <w:style w:type="character" w:customStyle="1" w:styleId="TableTitleChar">
    <w:name w:val="Table Title Char"/>
    <w:basedOn w:val="DefaultParagraphFont"/>
    <w:link w:val="TableTitle"/>
    <w:locked/>
    <w:rsid w:val="00E451BA"/>
    <w:rPr>
      <w:rFonts w:ascii="Times New Roman" w:eastAsia="Times New Roman" w:hAnsi="Times New Roman" w:cs="Times New Roman"/>
      <w:b/>
      <w:bCs/>
      <w:szCs w:val="20"/>
    </w:rPr>
  </w:style>
  <w:style w:type="paragraph" w:customStyle="1" w:styleId="TableTitle">
    <w:name w:val="Table Title"/>
    <w:basedOn w:val="Caption"/>
    <w:link w:val="TableTitleChar"/>
    <w:rsid w:val="00E451BA"/>
    <w:pPr>
      <w:keepNext/>
      <w:keepLines/>
      <w:widowControl/>
      <w:autoSpaceDE/>
      <w:autoSpaceDN/>
      <w:adjustRightInd/>
      <w:spacing w:before="240" w:after="120"/>
      <w:ind w:left="873" w:hanging="873"/>
    </w:pPr>
    <w:rPr>
      <w:rFonts w:ascii="Times New Roman" w:hAnsi="Times New Roman"/>
      <w:b/>
      <w:bCs/>
      <w:i w:val="0"/>
      <w:iCs w:val="0"/>
      <w:color w:val="auto"/>
      <w:sz w:val="22"/>
      <w:szCs w:val="20"/>
    </w:rPr>
  </w:style>
  <w:style w:type="paragraph" w:styleId="Caption">
    <w:name w:val="caption"/>
    <w:basedOn w:val="Normal"/>
    <w:next w:val="Normal"/>
    <w:uiPriority w:val="35"/>
    <w:semiHidden/>
    <w:unhideWhenUsed/>
    <w:qFormat/>
    <w:rsid w:val="00E451BA"/>
    <w:pPr>
      <w:spacing w:after="200"/>
    </w:pPr>
    <w:rPr>
      <w:i/>
      <w:iCs/>
      <w:color w:val="1F497D" w:themeColor="text2"/>
      <w:sz w:val="18"/>
      <w:szCs w:val="18"/>
    </w:rPr>
  </w:style>
  <w:style w:type="paragraph" w:customStyle="1" w:styleId="Sourcenote">
    <w:name w:val="Source_note"/>
    <w:basedOn w:val="Normal"/>
    <w:qFormat/>
    <w:rsid w:val="00B85063"/>
    <w:pPr>
      <w:widowControl/>
      <w:autoSpaceDE/>
      <w:autoSpaceDN/>
      <w:adjustRightInd/>
      <w:spacing w:before="20"/>
      <w:ind w:left="720" w:hanging="720"/>
    </w:pPr>
    <w:rPr>
      <w:rFonts w:ascii="Times New Roman" w:hAnsi="Times New Roman"/>
      <w:sz w:val="20"/>
    </w:rPr>
  </w:style>
  <w:style w:type="paragraph" w:styleId="NormalWeb">
    <w:name w:val="Normal (Web)"/>
    <w:basedOn w:val="Normal"/>
    <w:uiPriority w:val="99"/>
    <w:semiHidden/>
    <w:unhideWhenUsed/>
    <w:rsid w:val="00323171"/>
    <w:pPr>
      <w:widowControl/>
      <w:autoSpaceDE/>
      <w:autoSpaceDN/>
      <w:adjustRightInd/>
      <w:spacing w:before="100" w:beforeAutospacing="1" w:after="100" w:afterAutospacing="1"/>
    </w:pPr>
    <w:rPr>
      <w:rFonts w:ascii="Times New Roman" w:hAnsi="Times New Roman"/>
    </w:rPr>
  </w:style>
  <w:style w:type="character" w:styleId="Strong">
    <w:name w:val="Strong"/>
    <w:basedOn w:val="DefaultParagraphFont"/>
    <w:uiPriority w:val="22"/>
    <w:qFormat/>
    <w:rsid w:val="003231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cid:image011.png@01D4413F.79F52100" TargetMode="External" /><Relationship Id="rId11" Type="http://schemas.openxmlformats.org/officeDocument/2006/relationships/image" Target="media/image2.png" /><Relationship Id="rId12" Type="http://schemas.openxmlformats.org/officeDocument/2006/relationships/image" Target="cid:image012.png@01D4413F.79F52100" TargetMode="External" /><Relationship Id="rId13" Type="http://schemas.openxmlformats.org/officeDocument/2006/relationships/image" Target="media/image3.png" /><Relationship Id="rId14" Type="http://schemas.openxmlformats.org/officeDocument/2006/relationships/image" Target="cid:image013.png@01D4413F.79F52100" TargetMode="External" /><Relationship Id="rId15" Type="http://schemas.openxmlformats.org/officeDocument/2006/relationships/image" Target="media/image4.png" /><Relationship Id="rId16" Type="http://schemas.openxmlformats.org/officeDocument/2006/relationships/image" Target="cid:image014.png@01D4413F.79F52100" TargetMode="External" /><Relationship Id="rId17" Type="http://schemas.openxmlformats.org/officeDocument/2006/relationships/image" Target="media/image5.png" /><Relationship Id="rId18" Type="http://schemas.openxmlformats.org/officeDocument/2006/relationships/image" Target="cid:image015.png@01D4413F.79F52100" TargetMode="External" /><Relationship Id="rId19" Type="http://schemas.openxmlformats.org/officeDocument/2006/relationships/image" Target="media/image6.png" /><Relationship Id="rId2" Type="http://schemas.openxmlformats.org/officeDocument/2006/relationships/settings" Target="settings.xml" /><Relationship Id="rId20" Type="http://schemas.openxmlformats.org/officeDocument/2006/relationships/image" Target="cid:image016.png@01D4413F.79F52100" TargetMode="External" /><Relationship Id="rId21" Type="http://schemas.openxmlformats.org/officeDocument/2006/relationships/image" Target="media/image7.png" /><Relationship Id="rId22" Type="http://schemas.openxmlformats.org/officeDocument/2006/relationships/image" Target="cid:image017.png@01D4413F.79F52100" TargetMode="External" /><Relationship Id="rId23" Type="http://schemas.openxmlformats.org/officeDocument/2006/relationships/image" Target="media/image8.png" /><Relationship Id="rId24" Type="http://schemas.openxmlformats.org/officeDocument/2006/relationships/image" Target="cid:image018.png@01D4413F.79F52100" TargetMode="External" /><Relationship Id="rId25" Type="http://schemas.openxmlformats.org/officeDocument/2006/relationships/image" Target="media/image9.png" /><Relationship Id="rId26" Type="http://schemas.openxmlformats.org/officeDocument/2006/relationships/image" Target="cid:image019.png@01D4413F.79F52100" TargetMode="External" /><Relationship Id="rId27" Type="http://schemas.openxmlformats.org/officeDocument/2006/relationships/image" Target="media/image10.png" /><Relationship Id="rId28" Type="http://schemas.openxmlformats.org/officeDocument/2006/relationships/image" Target="cid:image020.png@01D4413F.79F52100" TargetMode="External" /><Relationship Id="rId29" Type="http://schemas.openxmlformats.org/officeDocument/2006/relationships/hyperlink" Target="https://www.samhsa.gov/data/sites/default/files/NSDUHresults2012/NSDUHresults2012.htm" TargetMode="External" /><Relationship Id="rId3" Type="http://schemas.openxmlformats.org/officeDocument/2006/relationships/webSettings" Target="webSettings.xml" /><Relationship Id="rId30" Type="http://schemas.openxmlformats.org/officeDocument/2006/relationships/hyperlink" Target="https://doi.org/10.1177/002204260103100304" TargetMode="External" /><Relationship Id="rId31" Type="http://schemas.openxmlformats.org/officeDocument/2006/relationships/hyperlink" Target="https://ftp.cdc.gov/pub/Health_Statistics/NCHS/Dataset_Documentation/NHIS/2021/srvydesc-508.pdf" TargetMode="External" /><Relationship Id="rId32" Type="http://schemas.openxmlformats.org/officeDocument/2006/relationships/footer" Target="footer1.xm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01FC24B4D24A43A6705DE15AAE1D90" ma:contentTypeVersion="12" ma:contentTypeDescription="Create a new document." ma:contentTypeScope="" ma:versionID="f6175f5d3c9058376b5af32ce8037fe8">
  <xsd:schema xmlns:xsd="http://www.w3.org/2001/XMLSchema" xmlns:xs="http://www.w3.org/2001/XMLSchema" xmlns:p="http://schemas.microsoft.com/office/2006/metadata/properties" xmlns:ns2="7dc42e71-dc94-404c-aeda-ac6d44bf8972" xmlns:ns3="cd6055f7-362e-411f-87a5-d842deb093d8" targetNamespace="http://schemas.microsoft.com/office/2006/metadata/properties" ma:root="true" ma:fieldsID="f0aef33dd85e56570f66177d9cbda56b" ns2:_="" ns3:_="">
    <xsd:import namespace="7dc42e71-dc94-404c-aeda-ac6d44bf8972"/>
    <xsd:import namespace="cd6055f7-362e-411f-87a5-d842deb093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42e71-dc94-404c-aeda-ac6d44bf8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6055f7-362e-411f-87a5-d842deb093d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105AFD-CCF9-451C-B912-226601660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42e71-dc94-404c-aeda-ac6d44bf8972"/>
    <ds:schemaRef ds:uri="cd6055f7-362e-411f-87a5-d842deb09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88A28E-05E3-4EE0-9C8D-E2329F394457}">
  <ds:schemaRefs>
    <ds:schemaRef ds:uri="http://schemas.openxmlformats.org/officeDocument/2006/bibliography"/>
  </ds:schemaRefs>
</ds:datastoreItem>
</file>

<file path=customXml/itemProps3.xml><?xml version="1.0" encoding="utf-8"?>
<ds:datastoreItem xmlns:ds="http://schemas.openxmlformats.org/officeDocument/2006/customXml" ds:itemID="{25A427B8-06F1-4371-A8A3-FB5C4E7D7B1D}">
  <ds:schemaRefs>
    <ds:schemaRef ds:uri="7dc42e71-dc94-404c-aeda-ac6d44bf8972"/>
    <ds:schemaRef ds:uri="http://purl.org/dc/terms/"/>
    <ds:schemaRef ds:uri="http://schemas.openxmlformats.org/package/2006/metadata/core-properties"/>
    <ds:schemaRef ds:uri="http://purl.org/dc/dcmitype/"/>
    <ds:schemaRef ds:uri="http://schemas.microsoft.com/office/2006/documentManagement/types"/>
    <ds:schemaRef ds:uri="cd6055f7-362e-411f-87a5-d842deb093d8"/>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C2DCE67-12B9-4FA6-986B-C49E3CBEFE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13856</Words>
  <Characters>78982</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92653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Medley</dc:creator>
  <cp:lastModifiedBy>Jewett, Christopher</cp:lastModifiedBy>
  <cp:revision>3</cp:revision>
  <cp:lastPrinted>2019-01-31T19:35:00Z</cp:lastPrinted>
  <dcterms:created xsi:type="dcterms:W3CDTF">2024-08-19T20:07:00Z</dcterms:created>
  <dcterms:modified xsi:type="dcterms:W3CDTF">2024-08-19T20:09:00Z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0x0101005201FC24B4D24A43A6705DE15AAE1D90</vt:lpwstr>
  </property>
</Properties>
</file>