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25B55" w:rsidRPr="00D2494B" w:rsidP="00D61301" w14:paraId="6C723956" w14:textId="77777777">
      <w:pPr>
        <w:spacing w:after="0" w:line="240" w:lineRule="auto"/>
        <w:rPr>
          <w:b/>
          <w:bCs/>
        </w:rPr>
      </w:pPr>
      <w:r w:rsidRPr="00D2494B">
        <w:rPr>
          <w:b/>
          <w:bCs/>
        </w:rPr>
        <w:t>AGENCY FOR RESEARCH AND QUALITY</w:t>
      </w:r>
    </w:p>
    <w:p w:rsidR="00D61301" w:rsidP="00D61301" w14:paraId="750E8C74" w14:textId="530C27A5">
      <w:pPr>
        <w:spacing w:after="0" w:line="240" w:lineRule="auto"/>
      </w:pPr>
      <w:r w:rsidRPr="00D2494B">
        <w:rPr>
          <w:b/>
          <w:bCs/>
        </w:rPr>
        <w:t xml:space="preserve">Center for Quality </w:t>
      </w:r>
      <w:r w:rsidR="00F14DFD">
        <w:rPr>
          <w:b/>
          <w:bCs/>
        </w:rPr>
        <w:t xml:space="preserve">Improvement </w:t>
      </w:r>
      <w:r w:rsidRPr="00D2494B">
        <w:rPr>
          <w:b/>
          <w:bCs/>
        </w:rPr>
        <w:t>and Patient Safety</w:t>
      </w:r>
      <w:r w:rsidR="000A6E83">
        <w:rPr>
          <w:b/>
          <w:bCs/>
        </w:rPr>
        <w:t xml:space="preserve"> (</w:t>
      </w:r>
      <w:r w:rsidR="000A6E83">
        <w:rPr>
          <w:b/>
          <w:bCs/>
        </w:rPr>
        <w:t>CQuIPS</w:t>
      </w:r>
      <w:r w:rsidR="000A6E83">
        <w:rPr>
          <w:b/>
          <w:bCs/>
        </w:rPr>
        <w:t>)</w:t>
      </w:r>
    </w:p>
    <w:p w:rsidR="00D61301" w:rsidP="00D61301" w14:paraId="4A2F33DA" w14:textId="77777777">
      <w:pPr>
        <w:spacing w:after="0" w:line="240" w:lineRule="auto"/>
      </w:pPr>
    </w:p>
    <w:p w:rsidR="00347824" w:rsidP="00D61301" w14:paraId="0D41BED0" w14:textId="0133E00A">
      <w:pPr>
        <w:spacing w:after="0" w:line="240" w:lineRule="auto"/>
      </w:pPr>
      <w:r>
        <w:t xml:space="preserve">Subject: Updates to </w:t>
      </w:r>
      <w:r w:rsidR="000A6E83">
        <w:t>AHRQ</w:t>
      </w:r>
      <w:r w:rsidR="009A21F3">
        <w:t>’s</w:t>
      </w:r>
      <w:r w:rsidRPr="009A21F3" w:rsidR="009A21F3">
        <w:t xml:space="preserve"> Quality Indicators Customer Survey</w:t>
      </w:r>
    </w:p>
    <w:p w:rsidR="00347824" w:rsidP="00D61301" w14:paraId="795F4868" w14:textId="77777777">
      <w:pPr>
        <w:spacing w:after="0" w:line="240" w:lineRule="auto"/>
      </w:pPr>
    </w:p>
    <w:p w:rsidR="00A20B72" w:rsidP="00D61301" w14:paraId="439874A2" w14:textId="4CD36050">
      <w:pPr>
        <w:spacing w:after="0" w:line="240" w:lineRule="auto"/>
      </w:pPr>
      <w:r>
        <w:t>Date: 1/15/2025</w:t>
      </w:r>
    </w:p>
    <w:p w:rsidR="00134EF6" w:rsidP="00D61301" w14:paraId="2798B045" w14:textId="28C51FE3">
      <w:pPr>
        <w:spacing w:after="0" w:line="240" w:lineRule="auto"/>
      </w:pP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</w:t>
      </w:r>
      <w:r>
        <w:br/>
      </w:r>
    </w:p>
    <w:p w:rsidR="00347824" w:rsidP="00D61301" w14:paraId="0B3AA5DF" w14:textId="1437C4EA">
      <w:pPr>
        <w:spacing w:after="0" w:line="240" w:lineRule="auto"/>
      </w:pPr>
      <w:r>
        <w:t xml:space="preserve">The AHRQ Quality Indicators (QI) Program has an active clearance for a survey under </w:t>
      </w:r>
      <w:r w:rsidR="00900AD4">
        <w:t xml:space="preserve">an umbrella clearance. The survey was run in 2018, and we wish to re-run this survey in 2025. Over the past </w:t>
      </w:r>
      <w:r w:rsidR="004838D0">
        <w:t>seven years</w:t>
      </w:r>
      <w:r w:rsidR="00900AD4">
        <w:t xml:space="preserve">, some measures have been retired and </w:t>
      </w:r>
      <w:r w:rsidR="00824D25">
        <w:t xml:space="preserve">others </w:t>
      </w:r>
      <w:r w:rsidR="00900AD4">
        <w:t xml:space="preserve">have been introduced. </w:t>
      </w:r>
      <w:r w:rsidR="008A6328">
        <w:t xml:space="preserve">We would like to update the 2018 survey </w:t>
      </w:r>
      <w:r w:rsidR="00824D25">
        <w:t xml:space="preserve">reflect the QI program of </w:t>
      </w:r>
      <w:r w:rsidR="008A6328">
        <w:t>2025.</w:t>
      </w:r>
    </w:p>
    <w:p w:rsidR="00FF42CB" w:rsidP="00D61301" w14:paraId="227EF522" w14:textId="77777777">
      <w:pPr>
        <w:spacing w:after="0" w:line="240" w:lineRule="auto"/>
      </w:pPr>
    </w:p>
    <w:p w:rsidR="008A6328" w:rsidP="00D61301" w14:paraId="63ED6508" w14:textId="5C4B5DDF">
      <w:pPr>
        <w:spacing w:after="0" w:line="240" w:lineRule="auto"/>
      </w:pPr>
      <w:r>
        <w:t>The following is a summary of changes:</w:t>
      </w:r>
    </w:p>
    <w:p w:rsidR="000056F2" w:rsidP="00D61301" w14:paraId="634EA97A" w14:textId="56DEFB81">
      <w:pPr>
        <w:spacing w:after="0" w:line="240" w:lineRule="auto"/>
        <w:rPr>
          <w:u w:val="single"/>
        </w:rPr>
      </w:pPr>
    </w:p>
    <w:tbl>
      <w:tblPr>
        <w:tblStyle w:val="TableGrid"/>
        <w:tblW w:w="0" w:type="auto"/>
        <w:tblLook w:val="04A0"/>
      </w:tblPr>
      <w:tblGrid>
        <w:gridCol w:w="4765"/>
        <w:gridCol w:w="3060"/>
        <w:gridCol w:w="1525"/>
      </w:tblGrid>
      <w:tr w14:paraId="47192CF4" w14:textId="77777777" w:rsidTr="004838D0">
        <w:tblPrEx>
          <w:tblW w:w="0" w:type="auto"/>
          <w:tblLook w:val="04A0"/>
        </w:tblPrEx>
        <w:tc>
          <w:tcPr>
            <w:tcW w:w="4765" w:type="dxa"/>
            <w:shd w:val="clear" w:color="auto" w:fill="E7E6E6" w:themeFill="background2"/>
          </w:tcPr>
          <w:p w:rsidR="00F30DD8" w:rsidRPr="00297D3C" w:rsidP="00D61301" w14:paraId="7F0EE593" w14:textId="7B733FC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97D3C">
              <w:rPr>
                <w:rFonts w:cstheme="minorHAns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3060" w:type="dxa"/>
            <w:shd w:val="clear" w:color="auto" w:fill="E7E6E6" w:themeFill="background2"/>
          </w:tcPr>
          <w:p w:rsidR="00F30DD8" w:rsidRPr="00297D3C" w:rsidP="00D61301" w14:paraId="798A3382" w14:textId="1E2D231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97D3C">
              <w:rPr>
                <w:rFonts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525" w:type="dxa"/>
            <w:shd w:val="clear" w:color="auto" w:fill="E7E6E6" w:themeFill="background2"/>
          </w:tcPr>
          <w:p w:rsidR="00F30DD8" w:rsidRPr="00297D3C" w:rsidP="00D61301" w14:paraId="45E6ECD9" w14:textId="1FB0D3F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97D3C">
              <w:rPr>
                <w:rFonts w:cstheme="minorHAnsi"/>
                <w:b/>
                <w:bCs/>
                <w:sz w:val="20"/>
                <w:szCs w:val="20"/>
              </w:rPr>
              <w:t>Change</w:t>
            </w:r>
          </w:p>
        </w:tc>
      </w:tr>
      <w:tr w14:paraId="625B8F27" w14:textId="77777777" w:rsidTr="004838D0">
        <w:tblPrEx>
          <w:tblW w:w="0" w:type="auto"/>
          <w:tblLook w:val="04A0"/>
        </w:tblPrEx>
        <w:tc>
          <w:tcPr>
            <w:tcW w:w="4765" w:type="dxa"/>
          </w:tcPr>
          <w:p w:rsidR="00F30DD8" w:rsidRPr="00297D3C" w:rsidP="00D61301" w14:paraId="2BDE6A9A" w14:textId="33B20701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CloudQI</w:t>
            </w:r>
          </w:p>
        </w:tc>
        <w:tc>
          <w:tcPr>
            <w:tcW w:w="3060" w:type="dxa"/>
          </w:tcPr>
          <w:p w:rsidR="00F30DD8" w:rsidRPr="00297D3C" w:rsidP="00D61301" w14:paraId="0EAC673F" w14:textId="60BB7CFB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New AHRQ QI software platform</w:t>
            </w:r>
          </w:p>
        </w:tc>
        <w:tc>
          <w:tcPr>
            <w:tcW w:w="1525" w:type="dxa"/>
          </w:tcPr>
          <w:p w:rsidR="00F30DD8" w:rsidRPr="00297D3C" w:rsidP="00D61301" w14:paraId="07019270" w14:textId="57D12935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ADD</w:t>
            </w:r>
          </w:p>
        </w:tc>
      </w:tr>
      <w:tr w14:paraId="25AF9124" w14:textId="77777777" w:rsidTr="004838D0">
        <w:tblPrEx>
          <w:tblW w:w="0" w:type="auto"/>
          <w:tblLook w:val="04A0"/>
        </w:tblPrEx>
        <w:tc>
          <w:tcPr>
            <w:tcW w:w="4765" w:type="dxa"/>
          </w:tcPr>
          <w:p w:rsidR="00F30DD8" w:rsidRPr="00297D3C" w:rsidP="00D61301" w14:paraId="6D8FBB68" w14:textId="3F4AC000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Prevention Quality Indicators in Emergency Department Settings (PQE)</w:t>
            </w:r>
          </w:p>
        </w:tc>
        <w:tc>
          <w:tcPr>
            <w:tcW w:w="3060" w:type="dxa"/>
          </w:tcPr>
          <w:p w:rsidR="00F30DD8" w:rsidRPr="00297D3C" w:rsidP="00D61301" w14:paraId="3E1588BB" w14:textId="25AF11E2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New AHRQ QI software module</w:t>
            </w:r>
          </w:p>
        </w:tc>
        <w:tc>
          <w:tcPr>
            <w:tcW w:w="1525" w:type="dxa"/>
          </w:tcPr>
          <w:p w:rsidR="00F30DD8" w:rsidRPr="00297D3C" w:rsidP="00D61301" w14:paraId="5B2B42D3" w14:textId="698DE145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ADD</w:t>
            </w:r>
          </w:p>
        </w:tc>
      </w:tr>
      <w:tr w14:paraId="71598F7B" w14:textId="77777777" w:rsidTr="004838D0">
        <w:tblPrEx>
          <w:tblW w:w="0" w:type="auto"/>
          <w:tblLook w:val="04A0"/>
        </w:tblPrEx>
        <w:tc>
          <w:tcPr>
            <w:tcW w:w="4765" w:type="dxa"/>
          </w:tcPr>
          <w:p w:rsidR="00514BD3" w:rsidRPr="00297D3C" w:rsidP="00514BD3" w14:paraId="5B5FC88D" w14:textId="0FA30842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Maternal Health Indicators (MHI)</w:t>
            </w:r>
          </w:p>
        </w:tc>
        <w:tc>
          <w:tcPr>
            <w:tcW w:w="3060" w:type="dxa"/>
          </w:tcPr>
          <w:p w:rsidR="00514BD3" w:rsidRPr="00297D3C" w:rsidP="00514BD3" w14:paraId="049DA517" w14:textId="6EB6605E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New AHRQ QI software module</w:t>
            </w:r>
          </w:p>
        </w:tc>
        <w:tc>
          <w:tcPr>
            <w:tcW w:w="1525" w:type="dxa"/>
          </w:tcPr>
          <w:p w:rsidR="00514BD3" w:rsidRPr="00297D3C" w:rsidP="00514BD3" w14:paraId="2ED30AFE" w14:textId="0B75D4EA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ADD</w:t>
            </w:r>
          </w:p>
        </w:tc>
      </w:tr>
      <w:tr w14:paraId="01835F7C" w14:textId="77777777" w:rsidTr="004838D0">
        <w:tblPrEx>
          <w:tblW w:w="0" w:type="auto"/>
          <w:tblLook w:val="04A0"/>
        </w:tblPrEx>
        <w:tc>
          <w:tcPr>
            <w:tcW w:w="4765" w:type="dxa"/>
          </w:tcPr>
          <w:p w:rsidR="002B73C5" w:rsidRPr="00297D3C" w:rsidP="002B73C5" w14:paraId="07D34D67" w14:textId="6FB363B7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IQI 90 Mortality for Selected Inpatient Procedures</w:t>
            </w:r>
          </w:p>
        </w:tc>
        <w:tc>
          <w:tcPr>
            <w:tcW w:w="3060" w:type="dxa"/>
          </w:tcPr>
          <w:p w:rsidR="002B73C5" w:rsidRPr="00297D3C" w:rsidP="002B73C5" w14:paraId="504D0F01" w14:textId="500559F1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New Measure</w:t>
            </w:r>
          </w:p>
        </w:tc>
        <w:tc>
          <w:tcPr>
            <w:tcW w:w="1525" w:type="dxa"/>
          </w:tcPr>
          <w:p w:rsidR="002B73C5" w:rsidRPr="00297D3C" w:rsidP="002B73C5" w14:paraId="3745881C" w14:textId="23989C26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ADD</w:t>
            </w:r>
          </w:p>
        </w:tc>
      </w:tr>
      <w:tr w14:paraId="17216B5D" w14:textId="77777777" w:rsidTr="004838D0">
        <w:tblPrEx>
          <w:tblW w:w="0" w:type="auto"/>
          <w:tblLook w:val="04A0"/>
        </w:tblPrEx>
        <w:tc>
          <w:tcPr>
            <w:tcW w:w="4765" w:type="dxa"/>
          </w:tcPr>
          <w:p w:rsidR="002B73C5" w:rsidRPr="00297D3C" w:rsidP="002B73C5" w14:paraId="12B25228" w14:textId="51EDE025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IQI 91 Mortality for Selected Inpatient Conditions</w:t>
            </w:r>
          </w:p>
        </w:tc>
        <w:tc>
          <w:tcPr>
            <w:tcW w:w="3060" w:type="dxa"/>
          </w:tcPr>
          <w:p w:rsidR="002B73C5" w:rsidRPr="00297D3C" w:rsidP="002B73C5" w14:paraId="5E068FF0" w14:textId="2DBCD3AB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New Measure</w:t>
            </w:r>
          </w:p>
        </w:tc>
        <w:tc>
          <w:tcPr>
            <w:tcW w:w="1525" w:type="dxa"/>
          </w:tcPr>
          <w:p w:rsidR="002B73C5" w:rsidRPr="00297D3C" w:rsidP="002B73C5" w14:paraId="3CCCC800" w14:textId="3105D343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ADD</w:t>
            </w:r>
          </w:p>
        </w:tc>
      </w:tr>
      <w:tr w14:paraId="0E941F8A" w14:textId="77777777" w:rsidTr="004838D0">
        <w:tblPrEx>
          <w:tblW w:w="0" w:type="auto"/>
          <w:tblLook w:val="04A0"/>
        </w:tblPrEx>
        <w:tc>
          <w:tcPr>
            <w:tcW w:w="4765" w:type="dxa"/>
          </w:tcPr>
          <w:p w:rsidR="00D14AE9" w:rsidRPr="00297D3C" w:rsidP="00D14AE9" w14:paraId="5B5BA759" w14:textId="3E0DABDD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PQE 01 Visits for Non-Traumatic Dental Conditions in ED</w:t>
            </w:r>
          </w:p>
        </w:tc>
        <w:tc>
          <w:tcPr>
            <w:tcW w:w="3060" w:type="dxa"/>
          </w:tcPr>
          <w:p w:rsidR="00D14AE9" w:rsidRPr="00297D3C" w:rsidP="00D14AE9" w14:paraId="662FE97B" w14:textId="2D87122E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New Measure</w:t>
            </w:r>
          </w:p>
        </w:tc>
        <w:tc>
          <w:tcPr>
            <w:tcW w:w="1525" w:type="dxa"/>
          </w:tcPr>
          <w:p w:rsidR="00D14AE9" w:rsidRPr="00297D3C" w:rsidP="00D14AE9" w14:paraId="571CFFF4" w14:textId="31D140D5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ADD</w:t>
            </w:r>
          </w:p>
        </w:tc>
      </w:tr>
      <w:tr w14:paraId="2C24ED66" w14:textId="77777777" w:rsidTr="004838D0">
        <w:tblPrEx>
          <w:tblW w:w="0" w:type="auto"/>
          <w:tblLook w:val="04A0"/>
        </w:tblPrEx>
        <w:tc>
          <w:tcPr>
            <w:tcW w:w="4765" w:type="dxa"/>
          </w:tcPr>
          <w:p w:rsidR="00D14AE9" w:rsidRPr="00297D3C" w:rsidP="00D14AE9" w14:paraId="5D50AF26" w14:textId="43B10837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PQE 02 Visits for Chronic Ambulatory Care Sensitive Conditions in ED</w:t>
            </w:r>
          </w:p>
        </w:tc>
        <w:tc>
          <w:tcPr>
            <w:tcW w:w="3060" w:type="dxa"/>
          </w:tcPr>
          <w:p w:rsidR="00D14AE9" w:rsidRPr="00297D3C" w:rsidP="00D14AE9" w14:paraId="7B5C26E2" w14:textId="799501D7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New Measure</w:t>
            </w:r>
          </w:p>
        </w:tc>
        <w:tc>
          <w:tcPr>
            <w:tcW w:w="1525" w:type="dxa"/>
          </w:tcPr>
          <w:p w:rsidR="00D14AE9" w:rsidRPr="00297D3C" w:rsidP="00D14AE9" w14:paraId="194CA364" w14:textId="64748978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ADD</w:t>
            </w:r>
          </w:p>
        </w:tc>
      </w:tr>
      <w:tr w14:paraId="0ADDB4D5" w14:textId="77777777" w:rsidTr="004838D0">
        <w:tblPrEx>
          <w:tblW w:w="0" w:type="auto"/>
          <w:tblLook w:val="04A0"/>
        </w:tblPrEx>
        <w:tc>
          <w:tcPr>
            <w:tcW w:w="4765" w:type="dxa"/>
          </w:tcPr>
          <w:p w:rsidR="00D14AE9" w:rsidRPr="00297D3C" w:rsidP="00D14AE9" w14:paraId="3C9C41F1" w14:textId="65CA9DE1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PQE 03 Visits for Acute Ambulatory Care Sensitive Conditions in ED</w:t>
            </w:r>
          </w:p>
        </w:tc>
        <w:tc>
          <w:tcPr>
            <w:tcW w:w="3060" w:type="dxa"/>
          </w:tcPr>
          <w:p w:rsidR="00D14AE9" w:rsidRPr="00297D3C" w:rsidP="00D14AE9" w14:paraId="519A98E2" w14:textId="2917A00C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New Measure</w:t>
            </w:r>
          </w:p>
        </w:tc>
        <w:tc>
          <w:tcPr>
            <w:tcW w:w="1525" w:type="dxa"/>
          </w:tcPr>
          <w:p w:rsidR="00D14AE9" w:rsidRPr="00297D3C" w:rsidP="00D14AE9" w14:paraId="32E80A3E" w14:textId="0A63C800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ADD</w:t>
            </w:r>
          </w:p>
        </w:tc>
      </w:tr>
      <w:tr w14:paraId="2FF1C18F" w14:textId="77777777" w:rsidTr="004838D0">
        <w:tblPrEx>
          <w:tblW w:w="0" w:type="auto"/>
          <w:tblLook w:val="04A0"/>
        </w:tblPrEx>
        <w:tc>
          <w:tcPr>
            <w:tcW w:w="4765" w:type="dxa"/>
          </w:tcPr>
          <w:p w:rsidR="00D14AE9" w:rsidRPr="00297D3C" w:rsidP="00D14AE9" w14:paraId="500F1E3E" w14:textId="30FC6119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PQE 04 Visits for Asthma in ED</w:t>
            </w:r>
          </w:p>
        </w:tc>
        <w:tc>
          <w:tcPr>
            <w:tcW w:w="3060" w:type="dxa"/>
          </w:tcPr>
          <w:p w:rsidR="00D14AE9" w:rsidRPr="00297D3C" w:rsidP="00D14AE9" w14:paraId="6F081D18" w14:textId="5D25BF4B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New Measure</w:t>
            </w:r>
          </w:p>
        </w:tc>
        <w:tc>
          <w:tcPr>
            <w:tcW w:w="1525" w:type="dxa"/>
          </w:tcPr>
          <w:p w:rsidR="00D14AE9" w:rsidRPr="00297D3C" w:rsidP="00D14AE9" w14:paraId="25510321" w14:textId="0C287777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ADD</w:t>
            </w:r>
          </w:p>
        </w:tc>
      </w:tr>
      <w:tr w14:paraId="166A0617" w14:textId="77777777" w:rsidTr="004838D0">
        <w:tblPrEx>
          <w:tblW w:w="0" w:type="auto"/>
          <w:tblLook w:val="04A0"/>
        </w:tblPrEx>
        <w:tc>
          <w:tcPr>
            <w:tcW w:w="4765" w:type="dxa"/>
          </w:tcPr>
          <w:p w:rsidR="00D14AE9" w:rsidRPr="00297D3C" w:rsidP="00D14AE9" w14:paraId="46FFD66A" w14:textId="077BD432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PQE 05 Visits for Back Pain in ED</w:t>
            </w:r>
          </w:p>
        </w:tc>
        <w:tc>
          <w:tcPr>
            <w:tcW w:w="3060" w:type="dxa"/>
          </w:tcPr>
          <w:p w:rsidR="00D14AE9" w:rsidRPr="00297D3C" w:rsidP="00D14AE9" w14:paraId="5FD183B6" w14:textId="34882BFA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New Measure</w:t>
            </w:r>
          </w:p>
        </w:tc>
        <w:tc>
          <w:tcPr>
            <w:tcW w:w="1525" w:type="dxa"/>
          </w:tcPr>
          <w:p w:rsidR="00D14AE9" w:rsidRPr="00297D3C" w:rsidP="00D14AE9" w14:paraId="03B6C9D8" w14:textId="670BD6EE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ADD</w:t>
            </w:r>
          </w:p>
        </w:tc>
      </w:tr>
      <w:tr w14:paraId="5E87E32F" w14:textId="77777777" w:rsidTr="004838D0">
        <w:tblPrEx>
          <w:tblW w:w="0" w:type="auto"/>
          <w:tblLook w:val="04A0"/>
        </w:tblPrEx>
        <w:tc>
          <w:tcPr>
            <w:tcW w:w="4765" w:type="dxa"/>
          </w:tcPr>
          <w:p w:rsidR="00D14AE9" w:rsidRPr="00297D3C" w:rsidP="00D14AE9" w14:paraId="31F3CD2D" w14:textId="4C4162BE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MHI 01 Severe Maternal Morbidity Rate (20 indicators)</w:t>
            </w:r>
          </w:p>
        </w:tc>
        <w:tc>
          <w:tcPr>
            <w:tcW w:w="3060" w:type="dxa"/>
          </w:tcPr>
          <w:p w:rsidR="00D14AE9" w:rsidRPr="00297D3C" w:rsidP="00D14AE9" w14:paraId="7113159B" w14:textId="0375FDA7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New Measure</w:t>
            </w:r>
          </w:p>
        </w:tc>
        <w:tc>
          <w:tcPr>
            <w:tcW w:w="1525" w:type="dxa"/>
          </w:tcPr>
          <w:p w:rsidR="00D14AE9" w:rsidRPr="00297D3C" w:rsidP="00D14AE9" w14:paraId="0430C87C" w14:textId="60908EFD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ADD</w:t>
            </w:r>
          </w:p>
        </w:tc>
      </w:tr>
      <w:tr w14:paraId="38874329" w14:textId="77777777" w:rsidTr="004838D0">
        <w:tblPrEx>
          <w:tblW w:w="0" w:type="auto"/>
          <w:tblLook w:val="04A0"/>
        </w:tblPrEx>
        <w:tc>
          <w:tcPr>
            <w:tcW w:w="4765" w:type="dxa"/>
          </w:tcPr>
          <w:p w:rsidR="00D14AE9" w:rsidRPr="00297D3C" w:rsidP="00D14AE9" w14:paraId="6C418855" w14:textId="24CA56E7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MHI 02 Severe Maternal Morbidity (20 Indicators) Plus In-Hospital Mortality Rate</w:t>
            </w:r>
          </w:p>
        </w:tc>
        <w:tc>
          <w:tcPr>
            <w:tcW w:w="3060" w:type="dxa"/>
          </w:tcPr>
          <w:p w:rsidR="00D14AE9" w:rsidRPr="00297D3C" w:rsidP="00D14AE9" w14:paraId="29180F34" w14:textId="0174B157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New Measure</w:t>
            </w:r>
          </w:p>
        </w:tc>
        <w:tc>
          <w:tcPr>
            <w:tcW w:w="1525" w:type="dxa"/>
          </w:tcPr>
          <w:p w:rsidR="00D14AE9" w:rsidRPr="00297D3C" w:rsidP="00D14AE9" w14:paraId="1B0C0E24" w14:textId="74C40CC7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ADD</w:t>
            </w:r>
          </w:p>
        </w:tc>
      </w:tr>
      <w:tr w14:paraId="7E2CF723" w14:textId="77777777" w:rsidTr="004838D0">
        <w:tblPrEx>
          <w:tblW w:w="0" w:type="auto"/>
          <w:tblLook w:val="04A0"/>
        </w:tblPrEx>
        <w:tc>
          <w:tcPr>
            <w:tcW w:w="4765" w:type="dxa"/>
          </w:tcPr>
          <w:p w:rsidR="00D14AE9" w:rsidRPr="00297D3C" w:rsidP="00D14AE9" w14:paraId="6CCE6B1E" w14:textId="202B14A6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MHI 03 Refined Severe Maternal Morbidity (20 Indicators) Plus In-Hospital Mortality Rate, Beta</w:t>
            </w:r>
          </w:p>
        </w:tc>
        <w:tc>
          <w:tcPr>
            <w:tcW w:w="3060" w:type="dxa"/>
          </w:tcPr>
          <w:p w:rsidR="00D14AE9" w:rsidRPr="00297D3C" w:rsidP="00D14AE9" w14:paraId="45F05E07" w14:textId="2FC3E7F7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New Measure</w:t>
            </w:r>
          </w:p>
        </w:tc>
        <w:tc>
          <w:tcPr>
            <w:tcW w:w="1525" w:type="dxa"/>
          </w:tcPr>
          <w:p w:rsidR="00D14AE9" w:rsidRPr="00297D3C" w:rsidP="00D14AE9" w14:paraId="3153FD66" w14:textId="09A6C966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ADD</w:t>
            </w:r>
          </w:p>
        </w:tc>
      </w:tr>
      <w:tr w14:paraId="147BA306" w14:textId="77777777" w:rsidTr="004838D0">
        <w:tblPrEx>
          <w:tblW w:w="0" w:type="auto"/>
          <w:tblLook w:val="04A0"/>
        </w:tblPrEx>
        <w:tc>
          <w:tcPr>
            <w:tcW w:w="4765" w:type="dxa"/>
          </w:tcPr>
          <w:p w:rsidR="00D14AE9" w:rsidRPr="00297D3C" w:rsidP="00D14AE9" w14:paraId="13E26064" w14:textId="70E7E446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IQI 01 Esophageal Resection Volume</w:t>
            </w:r>
          </w:p>
        </w:tc>
        <w:tc>
          <w:tcPr>
            <w:tcW w:w="3060" w:type="dxa"/>
          </w:tcPr>
          <w:p w:rsidR="00D14AE9" w:rsidRPr="00297D3C" w:rsidP="00D14AE9" w14:paraId="6E9895CC" w14:textId="370D9FD3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Old Measure</w:t>
            </w:r>
          </w:p>
        </w:tc>
        <w:tc>
          <w:tcPr>
            <w:tcW w:w="1525" w:type="dxa"/>
          </w:tcPr>
          <w:p w:rsidR="00D14AE9" w:rsidRPr="00297D3C" w:rsidP="00D14AE9" w14:paraId="6EB79929" w14:textId="56E5BCEE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Remove</w:t>
            </w:r>
          </w:p>
        </w:tc>
      </w:tr>
      <w:tr w14:paraId="1038DE6A" w14:textId="77777777" w:rsidTr="004838D0">
        <w:tblPrEx>
          <w:tblW w:w="0" w:type="auto"/>
          <w:tblLook w:val="04A0"/>
        </w:tblPrEx>
        <w:tc>
          <w:tcPr>
            <w:tcW w:w="4765" w:type="dxa"/>
          </w:tcPr>
          <w:p w:rsidR="00D14AE9" w:rsidRPr="00297D3C" w:rsidP="00D14AE9" w14:paraId="4DE7865B" w14:textId="70B94CC4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IQI 02 Pancreatic Resection Volume</w:t>
            </w:r>
          </w:p>
        </w:tc>
        <w:tc>
          <w:tcPr>
            <w:tcW w:w="3060" w:type="dxa"/>
          </w:tcPr>
          <w:p w:rsidR="00D14AE9" w:rsidRPr="00297D3C" w:rsidP="00D14AE9" w14:paraId="461A28E0" w14:textId="64891353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Old Measure</w:t>
            </w:r>
          </w:p>
        </w:tc>
        <w:tc>
          <w:tcPr>
            <w:tcW w:w="1525" w:type="dxa"/>
          </w:tcPr>
          <w:p w:rsidR="00D14AE9" w:rsidRPr="00297D3C" w:rsidP="00D14AE9" w14:paraId="749EEEB7" w14:textId="4926AF86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Remove</w:t>
            </w:r>
          </w:p>
        </w:tc>
      </w:tr>
      <w:tr w14:paraId="5B28B1AA" w14:textId="77777777" w:rsidTr="004838D0">
        <w:tblPrEx>
          <w:tblW w:w="0" w:type="auto"/>
          <w:tblLook w:val="04A0"/>
        </w:tblPrEx>
        <w:tc>
          <w:tcPr>
            <w:tcW w:w="4765" w:type="dxa"/>
          </w:tcPr>
          <w:p w:rsidR="00D14AE9" w:rsidRPr="00297D3C" w:rsidP="00D14AE9" w14:paraId="7579F1DE" w14:textId="4334B0EE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IQI 04 Abdominal Aortic Aneurysm (AAA) Repair Volume</w:t>
            </w:r>
          </w:p>
        </w:tc>
        <w:tc>
          <w:tcPr>
            <w:tcW w:w="3060" w:type="dxa"/>
          </w:tcPr>
          <w:p w:rsidR="00D14AE9" w:rsidRPr="00297D3C" w:rsidP="00D14AE9" w14:paraId="6240B8BF" w14:textId="79B74B5D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Old Measure</w:t>
            </w:r>
          </w:p>
        </w:tc>
        <w:tc>
          <w:tcPr>
            <w:tcW w:w="1525" w:type="dxa"/>
          </w:tcPr>
          <w:p w:rsidR="00D14AE9" w:rsidRPr="00297D3C" w:rsidP="00D14AE9" w14:paraId="67FC7530" w14:textId="6C28899C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Remove</w:t>
            </w:r>
          </w:p>
        </w:tc>
      </w:tr>
      <w:tr w14:paraId="53A9D231" w14:textId="77777777" w:rsidTr="004838D0">
        <w:tblPrEx>
          <w:tblW w:w="0" w:type="auto"/>
          <w:tblLook w:val="04A0"/>
        </w:tblPrEx>
        <w:tc>
          <w:tcPr>
            <w:tcW w:w="4765" w:type="dxa"/>
          </w:tcPr>
          <w:p w:rsidR="00D14AE9" w:rsidRPr="00297D3C" w:rsidP="00D14AE9" w14:paraId="0780610E" w14:textId="34F18C93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IQI 05 Coronary Artery Bypass Graft (CABG)</w:t>
            </w:r>
          </w:p>
        </w:tc>
        <w:tc>
          <w:tcPr>
            <w:tcW w:w="3060" w:type="dxa"/>
          </w:tcPr>
          <w:p w:rsidR="00D14AE9" w:rsidRPr="00297D3C" w:rsidP="00D14AE9" w14:paraId="6317F840" w14:textId="07D3246D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Old Measure</w:t>
            </w:r>
          </w:p>
        </w:tc>
        <w:tc>
          <w:tcPr>
            <w:tcW w:w="1525" w:type="dxa"/>
          </w:tcPr>
          <w:p w:rsidR="00D14AE9" w:rsidRPr="00297D3C" w:rsidP="00D14AE9" w14:paraId="299BA8DC" w14:textId="6A340F05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Remove</w:t>
            </w:r>
          </w:p>
        </w:tc>
      </w:tr>
      <w:tr w14:paraId="17564DE4" w14:textId="77777777" w:rsidTr="004838D0">
        <w:tblPrEx>
          <w:tblW w:w="0" w:type="auto"/>
          <w:tblLook w:val="04A0"/>
        </w:tblPrEx>
        <w:tc>
          <w:tcPr>
            <w:tcW w:w="4765" w:type="dxa"/>
          </w:tcPr>
          <w:p w:rsidR="00D14AE9" w:rsidRPr="00297D3C" w:rsidP="00D14AE9" w14:paraId="02B75D23" w14:textId="64F6EBFB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IQI 06 Percutaneous Coronary Intervention (PCI) Volume</w:t>
            </w:r>
          </w:p>
        </w:tc>
        <w:tc>
          <w:tcPr>
            <w:tcW w:w="3060" w:type="dxa"/>
          </w:tcPr>
          <w:p w:rsidR="00D14AE9" w:rsidRPr="00297D3C" w:rsidP="00D14AE9" w14:paraId="4F7CAC6E" w14:textId="4A2923F7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Old Measure</w:t>
            </w:r>
          </w:p>
        </w:tc>
        <w:tc>
          <w:tcPr>
            <w:tcW w:w="1525" w:type="dxa"/>
          </w:tcPr>
          <w:p w:rsidR="00D14AE9" w:rsidRPr="00297D3C" w:rsidP="00D14AE9" w14:paraId="7CEFD1F3" w14:textId="6A311BA4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Remove</w:t>
            </w:r>
          </w:p>
        </w:tc>
      </w:tr>
      <w:tr w14:paraId="67282EF3" w14:textId="77777777" w:rsidTr="004838D0">
        <w:tblPrEx>
          <w:tblW w:w="0" w:type="auto"/>
          <w:tblLook w:val="04A0"/>
        </w:tblPrEx>
        <w:tc>
          <w:tcPr>
            <w:tcW w:w="4765" w:type="dxa"/>
          </w:tcPr>
          <w:p w:rsidR="00D14AE9" w:rsidRPr="00297D3C" w:rsidP="00D14AE9" w14:paraId="64A58917" w14:textId="0B9DFF97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IQI 07 Carotid Endarterectomy Volume.</w:t>
            </w:r>
          </w:p>
        </w:tc>
        <w:tc>
          <w:tcPr>
            <w:tcW w:w="3060" w:type="dxa"/>
          </w:tcPr>
          <w:p w:rsidR="00D14AE9" w:rsidRPr="00297D3C" w:rsidP="00D14AE9" w14:paraId="3D891C49" w14:textId="2755A7AE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Old Measure</w:t>
            </w:r>
          </w:p>
        </w:tc>
        <w:tc>
          <w:tcPr>
            <w:tcW w:w="1525" w:type="dxa"/>
          </w:tcPr>
          <w:p w:rsidR="00D14AE9" w:rsidRPr="00297D3C" w:rsidP="00D14AE9" w14:paraId="500EE9B2" w14:textId="78FE40D6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Remove</w:t>
            </w:r>
          </w:p>
        </w:tc>
      </w:tr>
      <w:tr w14:paraId="211C47D2" w14:textId="77777777" w:rsidTr="004838D0">
        <w:tblPrEx>
          <w:tblW w:w="0" w:type="auto"/>
          <w:tblLook w:val="04A0"/>
        </w:tblPrEx>
        <w:tc>
          <w:tcPr>
            <w:tcW w:w="4765" w:type="dxa"/>
          </w:tcPr>
          <w:p w:rsidR="00D14AE9" w:rsidRPr="00297D3C" w:rsidP="00D14AE9" w14:paraId="1958107B" w14:textId="7FE73086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IQI 13 Craniotomy Mortality Rate</w:t>
            </w:r>
          </w:p>
        </w:tc>
        <w:tc>
          <w:tcPr>
            <w:tcW w:w="3060" w:type="dxa"/>
          </w:tcPr>
          <w:p w:rsidR="00D14AE9" w:rsidRPr="00297D3C" w:rsidP="00D14AE9" w14:paraId="627CFA8D" w14:textId="51E461FB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Old Measure</w:t>
            </w:r>
          </w:p>
        </w:tc>
        <w:tc>
          <w:tcPr>
            <w:tcW w:w="1525" w:type="dxa"/>
          </w:tcPr>
          <w:p w:rsidR="00D14AE9" w:rsidRPr="00297D3C" w:rsidP="00D14AE9" w14:paraId="6FA4D214" w14:textId="4C992FA4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Remove</w:t>
            </w:r>
          </w:p>
        </w:tc>
      </w:tr>
      <w:tr w14:paraId="47737AB0" w14:textId="77777777" w:rsidTr="004838D0">
        <w:tblPrEx>
          <w:tblW w:w="0" w:type="auto"/>
          <w:tblLook w:val="04A0"/>
        </w:tblPrEx>
        <w:tc>
          <w:tcPr>
            <w:tcW w:w="4765" w:type="dxa"/>
          </w:tcPr>
          <w:p w:rsidR="00D14AE9" w:rsidRPr="00297D3C" w:rsidP="00D14AE9" w14:paraId="17587FFF" w14:textId="633D7479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IQI 14 Hip Replacement Mortality Rate</w:t>
            </w:r>
          </w:p>
        </w:tc>
        <w:tc>
          <w:tcPr>
            <w:tcW w:w="3060" w:type="dxa"/>
          </w:tcPr>
          <w:p w:rsidR="00D14AE9" w:rsidRPr="00297D3C" w:rsidP="00D14AE9" w14:paraId="3933058C" w14:textId="026FB4E8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Old Measure</w:t>
            </w:r>
          </w:p>
        </w:tc>
        <w:tc>
          <w:tcPr>
            <w:tcW w:w="1525" w:type="dxa"/>
          </w:tcPr>
          <w:p w:rsidR="00D14AE9" w:rsidRPr="00297D3C" w:rsidP="00D14AE9" w14:paraId="75689044" w14:textId="127BCB33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Remove</w:t>
            </w:r>
          </w:p>
        </w:tc>
      </w:tr>
      <w:tr w14:paraId="756B82F8" w14:textId="77777777" w:rsidTr="004838D0">
        <w:tblPrEx>
          <w:tblW w:w="0" w:type="auto"/>
          <w:tblLook w:val="04A0"/>
        </w:tblPrEx>
        <w:tc>
          <w:tcPr>
            <w:tcW w:w="4765" w:type="dxa"/>
          </w:tcPr>
          <w:p w:rsidR="00D14AE9" w:rsidRPr="00297D3C" w:rsidP="00D14AE9" w14:paraId="3FD61E90" w14:textId="12829459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IQI 32 Acute Myocardial Infarction (AMI) Mortality Rate, Without Transfer Cases</w:t>
            </w:r>
          </w:p>
        </w:tc>
        <w:tc>
          <w:tcPr>
            <w:tcW w:w="3060" w:type="dxa"/>
          </w:tcPr>
          <w:p w:rsidR="00D14AE9" w:rsidRPr="00297D3C" w:rsidP="00D14AE9" w14:paraId="145F477E" w14:textId="6BA8D0C0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Old Measure</w:t>
            </w:r>
          </w:p>
        </w:tc>
        <w:tc>
          <w:tcPr>
            <w:tcW w:w="1525" w:type="dxa"/>
          </w:tcPr>
          <w:p w:rsidR="00D14AE9" w:rsidRPr="00297D3C" w:rsidP="00D14AE9" w14:paraId="264663B3" w14:textId="465D4205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Remove</w:t>
            </w:r>
          </w:p>
        </w:tc>
      </w:tr>
      <w:tr w14:paraId="55C75AFA" w14:textId="77777777" w:rsidTr="004838D0">
        <w:tblPrEx>
          <w:tblW w:w="0" w:type="auto"/>
          <w:tblLook w:val="04A0"/>
        </w:tblPrEx>
        <w:tc>
          <w:tcPr>
            <w:tcW w:w="4765" w:type="dxa"/>
          </w:tcPr>
          <w:p w:rsidR="00D14AE9" w:rsidRPr="00297D3C" w:rsidP="00D14AE9" w14:paraId="734721BA" w14:textId="73954264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NQI 01 Neonatal Iatrogenic Pneumothorax Rate</w:t>
            </w:r>
          </w:p>
        </w:tc>
        <w:tc>
          <w:tcPr>
            <w:tcW w:w="3060" w:type="dxa"/>
          </w:tcPr>
          <w:p w:rsidR="00D14AE9" w:rsidRPr="00297D3C" w:rsidP="00D14AE9" w14:paraId="0AE5CE8A" w14:textId="52A22E06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Old Measure</w:t>
            </w:r>
          </w:p>
        </w:tc>
        <w:tc>
          <w:tcPr>
            <w:tcW w:w="1525" w:type="dxa"/>
          </w:tcPr>
          <w:p w:rsidR="00D14AE9" w:rsidRPr="00297D3C" w:rsidP="00D14AE9" w14:paraId="2D314240" w14:textId="32CC7CFD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Remove</w:t>
            </w:r>
          </w:p>
        </w:tc>
      </w:tr>
      <w:tr w14:paraId="17D5643E" w14:textId="77777777" w:rsidTr="004838D0">
        <w:tblPrEx>
          <w:tblW w:w="0" w:type="auto"/>
          <w:tblLook w:val="04A0"/>
        </w:tblPrEx>
        <w:tc>
          <w:tcPr>
            <w:tcW w:w="4765" w:type="dxa"/>
          </w:tcPr>
          <w:p w:rsidR="00D14AE9" w:rsidRPr="00297D3C" w:rsidP="00D14AE9" w14:paraId="7DDFE61E" w14:textId="4020E0CD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NQI 02 Neonatal Mortality Rate</w:t>
            </w:r>
          </w:p>
        </w:tc>
        <w:tc>
          <w:tcPr>
            <w:tcW w:w="3060" w:type="dxa"/>
          </w:tcPr>
          <w:p w:rsidR="00D14AE9" w:rsidRPr="00297D3C" w:rsidP="00D14AE9" w14:paraId="118C0649" w14:textId="12783487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Old Measure</w:t>
            </w:r>
          </w:p>
        </w:tc>
        <w:tc>
          <w:tcPr>
            <w:tcW w:w="1525" w:type="dxa"/>
          </w:tcPr>
          <w:p w:rsidR="00D14AE9" w:rsidRPr="00297D3C" w:rsidP="00D14AE9" w14:paraId="43D9DBE3" w14:textId="2883D18C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Remove</w:t>
            </w:r>
          </w:p>
        </w:tc>
      </w:tr>
      <w:tr w14:paraId="1C14C394" w14:textId="77777777" w:rsidTr="004838D0">
        <w:tblPrEx>
          <w:tblW w:w="0" w:type="auto"/>
          <w:tblLook w:val="04A0"/>
        </w:tblPrEx>
        <w:tc>
          <w:tcPr>
            <w:tcW w:w="4765" w:type="dxa"/>
          </w:tcPr>
          <w:p w:rsidR="00D14AE9" w:rsidRPr="00297D3C" w:rsidP="00D14AE9" w14:paraId="6539A1D4" w14:textId="49C31B82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PDI 02 Pressure Ulcer Rate</w:t>
            </w:r>
          </w:p>
        </w:tc>
        <w:tc>
          <w:tcPr>
            <w:tcW w:w="3060" w:type="dxa"/>
          </w:tcPr>
          <w:p w:rsidR="00D14AE9" w:rsidRPr="00297D3C" w:rsidP="00D14AE9" w14:paraId="6F022A77" w14:textId="533FD7D1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Old Measure</w:t>
            </w:r>
          </w:p>
        </w:tc>
        <w:tc>
          <w:tcPr>
            <w:tcW w:w="1525" w:type="dxa"/>
          </w:tcPr>
          <w:p w:rsidR="00D14AE9" w:rsidRPr="00297D3C" w:rsidP="00D14AE9" w14:paraId="4123F903" w14:textId="534742B8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Remove</w:t>
            </w:r>
          </w:p>
        </w:tc>
      </w:tr>
      <w:tr w14:paraId="6855D093" w14:textId="77777777" w:rsidTr="004838D0">
        <w:tblPrEx>
          <w:tblW w:w="0" w:type="auto"/>
          <w:tblLook w:val="04A0"/>
        </w:tblPrEx>
        <w:tc>
          <w:tcPr>
            <w:tcW w:w="4765" w:type="dxa"/>
          </w:tcPr>
          <w:p w:rsidR="00D14AE9" w:rsidRPr="00297D3C" w:rsidP="00D14AE9" w14:paraId="43233B86" w14:textId="5D032EEE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PDI 03 Retained Surgical Item or Unretrieved Device Fragment Count</w:t>
            </w:r>
          </w:p>
        </w:tc>
        <w:tc>
          <w:tcPr>
            <w:tcW w:w="3060" w:type="dxa"/>
          </w:tcPr>
          <w:p w:rsidR="00D14AE9" w:rsidRPr="00297D3C" w:rsidP="00D14AE9" w14:paraId="39AF51AE" w14:textId="6E43BA47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Old Measure</w:t>
            </w:r>
          </w:p>
        </w:tc>
        <w:tc>
          <w:tcPr>
            <w:tcW w:w="1525" w:type="dxa"/>
          </w:tcPr>
          <w:p w:rsidR="00D14AE9" w:rsidRPr="00297D3C" w:rsidP="00D14AE9" w14:paraId="15DD5D6D" w14:textId="374E32A0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Remove</w:t>
            </w:r>
          </w:p>
        </w:tc>
      </w:tr>
      <w:tr w14:paraId="2D90C42B" w14:textId="77777777" w:rsidTr="004838D0">
        <w:tblPrEx>
          <w:tblW w:w="0" w:type="auto"/>
          <w:tblLook w:val="04A0"/>
        </w:tblPrEx>
        <w:tc>
          <w:tcPr>
            <w:tcW w:w="4765" w:type="dxa"/>
          </w:tcPr>
          <w:p w:rsidR="00D14AE9" w:rsidRPr="00297D3C" w:rsidP="00D14AE9" w14:paraId="7B900C01" w14:textId="425C6D0A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PDI 06 RACHS-1 Pediatric Heart Surgery Mortality Rate</w:t>
            </w:r>
          </w:p>
        </w:tc>
        <w:tc>
          <w:tcPr>
            <w:tcW w:w="3060" w:type="dxa"/>
          </w:tcPr>
          <w:p w:rsidR="00D14AE9" w:rsidRPr="00297D3C" w:rsidP="00D14AE9" w14:paraId="6029748D" w14:textId="0E8FB099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Old Measure</w:t>
            </w:r>
          </w:p>
        </w:tc>
        <w:tc>
          <w:tcPr>
            <w:tcW w:w="1525" w:type="dxa"/>
          </w:tcPr>
          <w:p w:rsidR="00D14AE9" w:rsidRPr="00297D3C" w:rsidP="00D14AE9" w14:paraId="31693E88" w14:textId="3976873E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Remove</w:t>
            </w:r>
          </w:p>
        </w:tc>
      </w:tr>
      <w:tr w14:paraId="78BA499B" w14:textId="77777777" w:rsidTr="004838D0">
        <w:tblPrEx>
          <w:tblW w:w="0" w:type="auto"/>
          <w:tblLook w:val="04A0"/>
        </w:tblPrEx>
        <w:tc>
          <w:tcPr>
            <w:tcW w:w="4765" w:type="dxa"/>
          </w:tcPr>
          <w:p w:rsidR="00D14AE9" w:rsidRPr="00297D3C" w:rsidP="00D14AE9" w14:paraId="50B9580B" w14:textId="6ECFE3C9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PDI 07 RACHS-1 Pediatric Heart Surgery Volume</w:t>
            </w:r>
          </w:p>
        </w:tc>
        <w:tc>
          <w:tcPr>
            <w:tcW w:w="3060" w:type="dxa"/>
          </w:tcPr>
          <w:p w:rsidR="00D14AE9" w:rsidRPr="00297D3C" w:rsidP="00D14AE9" w14:paraId="71737822" w14:textId="287E3B0C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Old Measure</w:t>
            </w:r>
          </w:p>
        </w:tc>
        <w:tc>
          <w:tcPr>
            <w:tcW w:w="1525" w:type="dxa"/>
          </w:tcPr>
          <w:p w:rsidR="00D14AE9" w:rsidRPr="00297D3C" w:rsidP="00D14AE9" w14:paraId="75D49DE5" w14:textId="0DAC0C96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Remove</w:t>
            </w:r>
          </w:p>
        </w:tc>
      </w:tr>
      <w:tr w14:paraId="47612B4F" w14:textId="77777777" w:rsidTr="004838D0">
        <w:tblPrEx>
          <w:tblW w:w="0" w:type="auto"/>
          <w:tblLook w:val="04A0"/>
        </w:tblPrEx>
        <w:tc>
          <w:tcPr>
            <w:tcW w:w="4765" w:type="dxa"/>
          </w:tcPr>
          <w:p w:rsidR="00D14AE9" w:rsidRPr="00297D3C" w:rsidP="00D14AE9" w14:paraId="36DA0EC4" w14:textId="473B27BC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PDI 11 Postoperative Wound Dehiscence Rate</w:t>
            </w:r>
          </w:p>
        </w:tc>
        <w:tc>
          <w:tcPr>
            <w:tcW w:w="3060" w:type="dxa"/>
          </w:tcPr>
          <w:p w:rsidR="00D14AE9" w:rsidRPr="00297D3C" w:rsidP="00D14AE9" w14:paraId="667533C4" w14:textId="55704171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Old Measure</w:t>
            </w:r>
          </w:p>
        </w:tc>
        <w:tc>
          <w:tcPr>
            <w:tcW w:w="1525" w:type="dxa"/>
          </w:tcPr>
          <w:p w:rsidR="00D14AE9" w:rsidRPr="00297D3C" w:rsidP="00D14AE9" w14:paraId="394FD9BE" w14:textId="4E8B7207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Remove</w:t>
            </w:r>
          </w:p>
        </w:tc>
      </w:tr>
      <w:tr w14:paraId="1E7B64D2" w14:textId="77777777" w:rsidTr="004838D0">
        <w:tblPrEx>
          <w:tblW w:w="0" w:type="auto"/>
          <w:tblLook w:val="04A0"/>
        </w:tblPrEx>
        <w:tc>
          <w:tcPr>
            <w:tcW w:w="4765" w:type="dxa"/>
          </w:tcPr>
          <w:p w:rsidR="00D14AE9" w:rsidRPr="00297D3C" w:rsidP="00D14AE9" w14:paraId="22EF3CA1" w14:textId="78669390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PDI 13 Transfusion Reaction Count</w:t>
            </w:r>
          </w:p>
        </w:tc>
        <w:tc>
          <w:tcPr>
            <w:tcW w:w="3060" w:type="dxa"/>
          </w:tcPr>
          <w:p w:rsidR="00D14AE9" w:rsidRPr="00297D3C" w:rsidP="00D14AE9" w14:paraId="4EF5B325" w14:textId="49D268AF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Old Measure</w:t>
            </w:r>
          </w:p>
        </w:tc>
        <w:tc>
          <w:tcPr>
            <w:tcW w:w="1525" w:type="dxa"/>
          </w:tcPr>
          <w:p w:rsidR="00D14AE9" w:rsidRPr="00297D3C" w:rsidP="00D14AE9" w14:paraId="42E6774C" w14:textId="2806D246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Remove</w:t>
            </w:r>
          </w:p>
        </w:tc>
      </w:tr>
      <w:tr w14:paraId="3CB91F5E" w14:textId="77777777" w:rsidTr="004838D0">
        <w:tblPrEx>
          <w:tblW w:w="0" w:type="auto"/>
          <w:tblLook w:val="04A0"/>
        </w:tblPrEx>
        <w:tc>
          <w:tcPr>
            <w:tcW w:w="4765" w:type="dxa"/>
          </w:tcPr>
          <w:p w:rsidR="00D14AE9" w:rsidRPr="00297D3C" w:rsidP="00D14AE9" w14:paraId="129FE58D" w14:textId="30C83626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PDI 19 Pediatric Safety for Selected Indicators</w:t>
            </w:r>
          </w:p>
        </w:tc>
        <w:tc>
          <w:tcPr>
            <w:tcW w:w="3060" w:type="dxa"/>
          </w:tcPr>
          <w:p w:rsidR="00D14AE9" w:rsidRPr="00297D3C" w:rsidP="00D14AE9" w14:paraId="1B361FC7" w14:textId="188C30FA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Old Measure</w:t>
            </w:r>
          </w:p>
        </w:tc>
        <w:tc>
          <w:tcPr>
            <w:tcW w:w="1525" w:type="dxa"/>
          </w:tcPr>
          <w:p w:rsidR="00D14AE9" w:rsidRPr="00297D3C" w:rsidP="00D14AE9" w14:paraId="066DC8B3" w14:textId="553FA862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Remove</w:t>
            </w:r>
          </w:p>
        </w:tc>
      </w:tr>
      <w:tr w14:paraId="67EEB920" w14:textId="77777777" w:rsidTr="004838D0">
        <w:tblPrEx>
          <w:tblW w:w="0" w:type="auto"/>
          <w:tblLook w:val="04A0"/>
        </w:tblPrEx>
        <w:tc>
          <w:tcPr>
            <w:tcW w:w="4765" w:type="dxa"/>
          </w:tcPr>
          <w:p w:rsidR="00D14AE9" w:rsidRPr="00297D3C" w:rsidP="00D14AE9" w14:paraId="23C37A44" w14:textId="1BBDD3A4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PQI 02 Perforated Appendix Admission Rate</w:t>
            </w:r>
          </w:p>
        </w:tc>
        <w:tc>
          <w:tcPr>
            <w:tcW w:w="3060" w:type="dxa"/>
          </w:tcPr>
          <w:p w:rsidR="00D14AE9" w:rsidRPr="00297D3C" w:rsidP="00D14AE9" w14:paraId="1D364EC2" w14:textId="1282C1C1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Old Measure</w:t>
            </w:r>
          </w:p>
        </w:tc>
        <w:tc>
          <w:tcPr>
            <w:tcW w:w="1525" w:type="dxa"/>
          </w:tcPr>
          <w:p w:rsidR="00D14AE9" w:rsidRPr="00297D3C" w:rsidP="00D14AE9" w14:paraId="477829F7" w14:textId="3D4FCDF9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Remove</w:t>
            </w:r>
          </w:p>
        </w:tc>
      </w:tr>
      <w:tr w14:paraId="3CE02BF3" w14:textId="77777777" w:rsidTr="004838D0">
        <w:tblPrEx>
          <w:tblW w:w="0" w:type="auto"/>
          <w:tblLook w:val="04A0"/>
        </w:tblPrEx>
        <w:tc>
          <w:tcPr>
            <w:tcW w:w="4765" w:type="dxa"/>
          </w:tcPr>
          <w:p w:rsidR="00D14AE9" w:rsidRPr="00297D3C" w:rsidP="00D14AE9" w14:paraId="1AF9F45C" w14:textId="5152FC91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PQI 09 Low Birth Weight Rate</w:t>
            </w:r>
          </w:p>
        </w:tc>
        <w:tc>
          <w:tcPr>
            <w:tcW w:w="3060" w:type="dxa"/>
          </w:tcPr>
          <w:p w:rsidR="00D14AE9" w:rsidRPr="00297D3C" w:rsidP="00D14AE9" w14:paraId="0220276C" w14:textId="78FD5955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Old Measure</w:t>
            </w:r>
          </w:p>
        </w:tc>
        <w:tc>
          <w:tcPr>
            <w:tcW w:w="1525" w:type="dxa"/>
          </w:tcPr>
          <w:p w:rsidR="00D14AE9" w:rsidRPr="00297D3C" w:rsidP="00D14AE9" w14:paraId="2694FDFA" w14:textId="2A591801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Remove</w:t>
            </w:r>
          </w:p>
        </w:tc>
      </w:tr>
      <w:tr w14:paraId="168F9100" w14:textId="77777777" w:rsidTr="004838D0">
        <w:tblPrEx>
          <w:tblW w:w="0" w:type="auto"/>
          <w:tblLook w:val="04A0"/>
        </w:tblPrEx>
        <w:tc>
          <w:tcPr>
            <w:tcW w:w="4765" w:type="dxa"/>
          </w:tcPr>
          <w:p w:rsidR="00D14AE9" w:rsidRPr="00297D3C" w:rsidP="00D14AE9" w14:paraId="4788E6E6" w14:textId="77B036EA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PQI 10 Dehydration Admission Rate</w:t>
            </w:r>
          </w:p>
        </w:tc>
        <w:tc>
          <w:tcPr>
            <w:tcW w:w="3060" w:type="dxa"/>
          </w:tcPr>
          <w:p w:rsidR="00D14AE9" w:rsidRPr="00297D3C" w:rsidP="00D14AE9" w14:paraId="6A0ED7F9" w14:textId="0A2DC29A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Old Measure</w:t>
            </w:r>
          </w:p>
        </w:tc>
        <w:tc>
          <w:tcPr>
            <w:tcW w:w="1525" w:type="dxa"/>
          </w:tcPr>
          <w:p w:rsidR="00D14AE9" w:rsidRPr="00297D3C" w:rsidP="00D14AE9" w14:paraId="5680642A" w14:textId="188F3D27">
            <w:pPr>
              <w:rPr>
                <w:rFonts w:cstheme="minorHAnsi"/>
                <w:sz w:val="20"/>
                <w:szCs w:val="20"/>
              </w:rPr>
            </w:pPr>
            <w:r w:rsidRPr="00297D3C">
              <w:rPr>
                <w:rFonts w:cstheme="minorHAnsi"/>
                <w:sz w:val="20"/>
                <w:szCs w:val="20"/>
              </w:rPr>
              <w:t>Remove</w:t>
            </w:r>
          </w:p>
        </w:tc>
      </w:tr>
    </w:tbl>
    <w:p w:rsidR="004E1E44" w:rsidP="004E1E44" w14:paraId="53192A54" w14:textId="154D5514">
      <w:pPr>
        <w:spacing w:after="0" w:line="240" w:lineRule="auto"/>
        <w:rPr>
          <w:sz w:val="24"/>
          <w:szCs w:val="24"/>
        </w:rPr>
      </w:pPr>
    </w:p>
    <w:p w:rsidR="009B7374" w:rsidP="009B7374" w14:paraId="583098E1" w14:textId="2E6C2D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Thank you for your attention to this matter. </w:t>
      </w:r>
    </w:p>
    <w:p w:rsidR="00116321" w:rsidP="009B7374" w14:paraId="0B574696" w14:textId="77777777">
      <w:pPr>
        <w:spacing w:after="0" w:line="240" w:lineRule="auto"/>
        <w:rPr>
          <w:sz w:val="24"/>
          <w:szCs w:val="24"/>
        </w:rPr>
      </w:pPr>
    </w:p>
    <w:p w:rsidR="00116321" w:rsidP="009B7374" w14:paraId="40B00132" w14:textId="76B45D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Sincerely </w:t>
      </w:r>
    </w:p>
    <w:p w:rsidR="00116321" w:rsidP="009B7374" w14:paraId="23D0B439" w14:textId="77777777">
      <w:pPr>
        <w:spacing w:after="0" w:line="240" w:lineRule="auto"/>
        <w:rPr>
          <w:sz w:val="24"/>
          <w:szCs w:val="24"/>
        </w:rPr>
      </w:pPr>
    </w:p>
    <w:p w:rsidR="00116321" w:rsidP="009B7374" w14:paraId="19421C6E" w14:textId="50D808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Whitney Schott </w:t>
      </w:r>
    </w:p>
    <w:p w:rsidR="00116321" w:rsidP="009B7374" w14:paraId="740958F3" w14:textId="70E0A8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Health Statistician </w:t>
      </w:r>
    </w:p>
    <w:p w:rsidR="00116321" w:rsidP="009B7374" w14:paraId="34798D22" w14:textId="3B4BA9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AHRQ Quality Indicators Program</w:t>
      </w:r>
    </w:p>
    <w:p w:rsidR="00116321" w:rsidP="009B7374" w14:paraId="6CB7BAC1" w14:textId="2B2D16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Center for Quality </w:t>
      </w:r>
      <w:r w:rsidR="00031375">
        <w:rPr>
          <w:sz w:val="24"/>
          <w:szCs w:val="24"/>
        </w:rPr>
        <w:t xml:space="preserve">Improvement </w:t>
      </w:r>
      <w:r>
        <w:rPr>
          <w:sz w:val="24"/>
          <w:szCs w:val="24"/>
        </w:rPr>
        <w:t>and Patient Safety</w:t>
      </w:r>
    </w:p>
    <w:p w:rsidR="00116321" w:rsidRPr="005F508A" w:rsidP="009B7374" w14:paraId="0A98CEE1" w14:textId="1915C38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Agency for Healthcare Quality Research </w:t>
      </w:r>
    </w:p>
    <w:p w:rsidR="00F30DD8" w:rsidRPr="000056F2" w:rsidP="00D61301" w14:paraId="240A5580" w14:textId="77777777">
      <w:pPr>
        <w:spacing w:after="0" w:line="240" w:lineRule="auto"/>
        <w:rPr>
          <w:u w:val="single"/>
        </w:rPr>
      </w:pPr>
    </w:p>
    <w:sectPr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49909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6321" w14:paraId="4E445631" w14:textId="050B94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6321" w14:paraId="5B43B060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01"/>
    <w:rsid w:val="000056F2"/>
    <w:rsid w:val="00031375"/>
    <w:rsid w:val="000A6E83"/>
    <w:rsid w:val="00116321"/>
    <w:rsid w:val="0012598A"/>
    <w:rsid w:val="00134EF6"/>
    <w:rsid w:val="00145F96"/>
    <w:rsid w:val="001F66DC"/>
    <w:rsid w:val="002419D3"/>
    <w:rsid w:val="00275A4C"/>
    <w:rsid w:val="002856A9"/>
    <w:rsid w:val="00285A65"/>
    <w:rsid w:val="00297D3C"/>
    <w:rsid w:val="002B73C5"/>
    <w:rsid w:val="002F5372"/>
    <w:rsid w:val="00347824"/>
    <w:rsid w:val="003C4BB4"/>
    <w:rsid w:val="00406022"/>
    <w:rsid w:val="004838D0"/>
    <w:rsid w:val="00484B64"/>
    <w:rsid w:val="004E1E44"/>
    <w:rsid w:val="004F1D29"/>
    <w:rsid w:val="00514BD3"/>
    <w:rsid w:val="00525B55"/>
    <w:rsid w:val="005F508A"/>
    <w:rsid w:val="006475ED"/>
    <w:rsid w:val="006855A2"/>
    <w:rsid w:val="006C0537"/>
    <w:rsid w:val="0077511C"/>
    <w:rsid w:val="00824D25"/>
    <w:rsid w:val="008A6328"/>
    <w:rsid w:val="00900AD4"/>
    <w:rsid w:val="009A21F3"/>
    <w:rsid w:val="009B7374"/>
    <w:rsid w:val="00A20B72"/>
    <w:rsid w:val="00A3008F"/>
    <w:rsid w:val="00A97037"/>
    <w:rsid w:val="00AE0D2D"/>
    <w:rsid w:val="00C859CC"/>
    <w:rsid w:val="00D14AE9"/>
    <w:rsid w:val="00D2494B"/>
    <w:rsid w:val="00D61301"/>
    <w:rsid w:val="00DF56CD"/>
    <w:rsid w:val="00F14DFD"/>
    <w:rsid w:val="00F2038F"/>
    <w:rsid w:val="00F30DD8"/>
    <w:rsid w:val="00FF42C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3658CF0"/>
  <w15:chartTrackingRefBased/>
  <w15:docId w15:val="{9B593886-38A3-465F-ADE4-DD62C0F2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6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321"/>
  </w:style>
  <w:style w:type="paragraph" w:styleId="Footer">
    <w:name w:val="footer"/>
    <w:basedOn w:val="Normal"/>
    <w:link w:val="FooterChar"/>
    <w:uiPriority w:val="99"/>
    <w:unhideWhenUsed/>
    <w:rsid w:val="00116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 Schott (AHRQ)</dc:creator>
  <cp:lastModifiedBy>Carroll, William A. (AHRQ/CFACT)</cp:lastModifiedBy>
  <cp:revision>2</cp:revision>
  <dcterms:created xsi:type="dcterms:W3CDTF">2025-01-24T14:47:00Z</dcterms:created>
  <dcterms:modified xsi:type="dcterms:W3CDTF">2025-01-24T14:47:00Z</dcterms:modified>
</cp:coreProperties>
</file>