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56D2" w:rsidP="00C756D2" w:rsidRDefault="00B05ACA" w14:paraId="0A3F1950" w14:textId="14FAE75C">
      <w:r>
        <w:rPr>
          <w:sz w:val="28"/>
        </w:rPr>
        <w:t xml:space="preserve">Request for Approval under the </w:t>
      </w:r>
      <w:r w:rsidRPr="00F06866">
        <w:rPr>
          <w:sz w:val="28"/>
        </w:rPr>
        <w:t>“Generic Clearance for the Collection of Routine Customer Feedback”</w:t>
      </w:r>
      <w:r>
        <w:rPr>
          <w:sz w:val="28"/>
        </w:rPr>
        <w:t xml:space="preserve"> (OMB Control Number:</w:t>
      </w:r>
      <w:r w:rsidR="00C756D2">
        <w:rPr>
          <w:sz w:val="28"/>
        </w:rPr>
        <w:t xml:space="preserve"> </w:t>
      </w:r>
      <w:r w:rsidR="00E83EFC">
        <w:rPr>
          <w:sz w:val="28"/>
        </w:rPr>
        <w:t>0935-0179</w:t>
      </w:r>
      <w:r>
        <w:rPr>
          <w:sz w:val="28"/>
        </w:rPr>
        <w:t>)</w:t>
      </w:r>
    </w:p>
    <w:p w:rsidRPr="005C3455" w:rsidR="00C756D2" w:rsidP="005C3455" w:rsidRDefault="00C756D2" w14:paraId="647E3935" w14:textId="215E5CA5">
      <w:pPr>
        <w:spacing w:after="0"/>
        <w:rPr>
          <w:rFonts w:eastAsia="Times New Roman" w:cstheme="minorHAnsi"/>
          <w:bCs/>
        </w:rPr>
      </w:pPr>
      <w:r w:rsidRPr="005C3455">
        <w:rPr>
          <w:rFonts w:eastAsia="Times New Roman" w:cstheme="minorHAnsi"/>
          <w:bCs/>
        </w:rPr>
        <w:t xml:space="preserve">Submitting Institution: </w:t>
      </w:r>
      <w:r w:rsidR="008147C4">
        <w:rPr>
          <w:rFonts w:eastAsia="Times New Roman" w:cstheme="minorHAnsi"/>
          <w:bCs/>
        </w:rPr>
        <w:t>Agency for Healthcare Research and Quality (</w:t>
      </w:r>
      <w:r w:rsidRPr="005C3455">
        <w:rPr>
          <w:rFonts w:eastAsia="Times New Roman" w:cstheme="minorHAnsi"/>
          <w:bCs/>
        </w:rPr>
        <w:t>AHRQ</w:t>
      </w:r>
      <w:r w:rsidR="008147C4">
        <w:rPr>
          <w:rFonts w:eastAsia="Times New Roman" w:cstheme="minorHAnsi"/>
          <w:bCs/>
        </w:rPr>
        <w:t>)</w:t>
      </w:r>
    </w:p>
    <w:p w:rsidRPr="005C3455" w:rsidR="00C756D2" w:rsidP="005C3455" w:rsidRDefault="00C756D2" w14:paraId="04AE38CB" w14:textId="616FC846">
      <w:pPr>
        <w:spacing w:after="0"/>
        <w:rPr>
          <w:rFonts w:eastAsia="Times New Roman" w:cstheme="minorHAnsi"/>
          <w:bCs/>
        </w:rPr>
      </w:pPr>
      <w:r w:rsidRPr="005C3455">
        <w:rPr>
          <w:rFonts w:eastAsia="Times New Roman" w:cstheme="minorHAnsi"/>
          <w:bCs/>
        </w:rPr>
        <w:t xml:space="preserve">December </w:t>
      </w:r>
      <w:r w:rsidR="005E36D2">
        <w:rPr>
          <w:rFonts w:eastAsia="Times New Roman" w:cstheme="minorHAnsi"/>
          <w:bCs/>
        </w:rPr>
        <w:t>1</w:t>
      </w:r>
      <w:r w:rsidR="00821A12">
        <w:rPr>
          <w:rFonts w:eastAsia="Times New Roman" w:cstheme="minorHAnsi"/>
          <w:bCs/>
        </w:rPr>
        <w:t>7</w:t>
      </w:r>
      <w:r w:rsidRPr="005C3455">
        <w:rPr>
          <w:rFonts w:eastAsia="Times New Roman" w:cstheme="minorHAnsi"/>
          <w:bCs/>
        </w:rPr>
        <w:t>, 2021</w:t>
      </w:r>
    </w:p>
    <w:p w:rsidR="009B4B39" w:rsidP="009B4B39" w:rsidRDefault="009B4B39" w14:paraId="327FEDD9" w14:textId="137F3F66">
      <w:pPr>
        <w:pStyle w:val="Heading2"/>
        <w:tabs>
          <w:tab w:val="left" w:pos="900"/>
        </w:tabs>
        <w:ind w:right="-180"/>
      </w:pPr>
    </w:p>
    <w:p w:rsidRPr="009239AA" w:rsidR="00B05ACA" w:rsidP="00B05ACA" w:rsidRDefault="002D4D11" w14:paraId="459AE355" w14:textId="24AFF873">
      <w:pPr>
        <w:rPr>
          <w:b/>
        </w:rPr>
      </w:pPr>
      <w:r w:rsidRPr="00AC3C65">
        <w:rPr>
          <w:b/>
          <w:noProof/>
        </w:rPr>
        <mc:AlternateContent>
          <mc:Choice Requires="wps">
            <w:drawing>
              <wp:anchor distT="0" distB="0" distL="114300" distR="114300" simplePos="0" relativeHeight="251657216" behindDoc="0" locked="0" layoutInCell="0" allowOverlap="1" wp14:editId="592CAB86" wp14:anchorId="0A54256E">
                <wp:simplePos x="0" y="0"/>
                <wp:positionH relativeFrom="column">
                  <wp:posOffset>0</wp:posOffset>
                </wp:positionH>
                <wp:positionV relativeFrom="paragraph">
                  <wp:posOffset>0</wp:posOffset>
                </wp:positionV>
                <wp:extent cx="5943600" cy="0"/>
                <wp:effectExtent l="9525" t="18415"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C29C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AC3C65" w:rsidR="00B05ACA">
        <w:rPr>
          <w:b/>
        </w:rPr>
        <w:t>TITLE OF INFORMATION COLLECTION:</w:t>
      </w:r>
      <w:r w:rsidR="00B05ACA">
        <w:t xml:space="preserve">  </w:t>
      </w:r>
      <w:r w:rsidRPr="00D434F7" w:rsidR="00D434F7">
        <w:t>The AHRQ Safety Program for Improving Surgical Care and Recovery (ISCR) Qualitative Evaluation</w:t>
      </w:r>
      <w:r w:rsidR="00A70E98">
        <w:t xml:space="preserve"> </w:t>
      </w:r>
    </w:p>
    <w:p w:rsidR="00414DDC" w:rsidP="00B05ACA" w:rsidRDefault="00421FBC" w14:paraId="62101AFA" w14:textId="6CDAD5FA">
      <w:r w:rsidRPr="00421FBC">
        <w:t xml:space="preserve">The AHRQ Improving Surgical Care and Recovery (ISCR) project is designed to help hospitals implement evidence-based practices to improve outcomes and prevent complications among patients who undergo surgery. Enhanced recovery pathways include preoperative, intraoperative, and postoperative practices that decrease complications and accelerate recovery. </w:t>
      </w:r>
      <w:r w:rsidR="007F043C">
        <w:t xml:space="preserve"> Several</w:t>
      </w:r>
      <w:r w:rsidRPr="00421FBC">
        <w:t xml:space="preserve"> studies and meta-analyses have demonstrated successful results from the use of these pathways. In order to facilitate broader adoption of these evidence-based practices among U.S. hospitals, this AHRQ project used principles and methods from CUSP, which has been demonstrated to be an effective approach to reducing patient harms including healthcare associated infections, to enhance the recovery of surgical patients. The CUSP approach uses a combination of clinical and cultural (i.e., </w:t>
      </w:r>
      <w:proofErr w:type="gramStart"/>
      <w:r w:rsidRPr="00421FBC">
        <w:t>technical</w:t>
      </w:r>
      <w:proofErr w:type="gramEnd"/>
      <w:r w:rsidRPr="00421FBC">
        <w:t xml:space="preserve"> and adaptive) intervention components. The adaptive elements include promoting leadership and frontline staff engagement, improvement in safety culture, and close teamwork among surgeons, anesthesia providers, and nurses, as well as enhancing patient communication and engagement. Through this project, AHRQ helped over 200 hospitals implement surgical practices designed to reduce infections and other complications.</w:t>
      </w:r>
    </w:p>
    <w:p w:rsidR="00561B5D" w:rsidP="006B1813" w:rsidRDefault="00B05ACA" w14:paraId="11430951" w14:textId="3A574AD4">
      <w:r w:rsidRPr="00E44CC0">
        <w:rPr>
          <w:b/>
        </w:rPr>
        <w:t>PURPOSE:</w:t>
      </w:r>
      <w:r w:rsidRPr="009239AA">
        <w:rPr>
          <w:b/>
        </w:rPr>
        <w:t xml:space="preserve">  </w:t>
      </w:r>
      <w:r w:rsidR="00D434F7">
        <w:t>The purpose of the</w:t>
      </w:r>
      <w:r w:rsidRPr="00D434F7" w:rsidR="00D434F7">
        <w:t xml:space="preserve"> qualitative evaluation </w:t>
      </w:r>
      <w:r w:rsidR="00D434F7">
        <w:t xml:space="preserve">is </w:t>
      </w:r>
      <w:r w:rsidRPr="00D434F7" w:rsidR="00D434F7">
        <w:t xml:space="preserve">to understand hospitals’ experiences as they extended the ISCR enhanced recovery intervention from the colorectal surgical line to </w:t>
      </w:r>
      <w:r w:rsidR="006B1813">
        <w:t xml:space="preserve">hip/knee replacement, hip fracture, gynecological, and </w:t>
      </w:r>
      <w:r w:rsidR="00A70E98">
        <w:t>emergency general</w:t>
      </w:r>
      <w:r w:rsidR="006B1813">
        <w:t xml:space="preserve"> surgery. </w:t>
      </w:r>
      <w:r w:rsidRPr="00D434F7" w:rsidR="00D434F7">
        <w:t xml:space="preserve"> </w:t>
      </w:r>
      <w:r w:rsidR="00D87F1D">
        <w:t xml:space="preserve">In-depth, semi-structured </w:t>
      </w:r>
      <w:r w:rsidR="009C7852">
        <w:t xml:space="preserve">individual </w:t>
      </w:r>
      <w:r w:rsidR="00D87F1D">
        <w:t>interviews</w:t>
      </w:r>
      <w:r w:rsidRPr="00D434F7" w:rsidR="00D434F7">
        <w:t xml:space="preserve"> will be conducted with key staff from </w:t>
      </w:r>
      <w:r w:rsidR="00D87F1D">
        <w:t>six</w:t>
      </w:r>
      <w:r w:rsidRPr="00D434F7" w:rsidR="00D434F7">
        <w:t xml:space="preserve"> hospitals that initiated the interventi</w:t>
      </w:r>
      <w:r w:rsidR="00D146B8">
        <w:t xml:space="preserve">on in the colorectal line, </w:t>
      </w:r>
      <w:r w:rsidRPr="00D434F7" w:rsidR="00D434F7">
        <w:t xml:space="preserve">extended it to one or more surgical lines, and are currently participating in at least one of the surgical lines. </w:t>
      </w:r>
      <w:r w:rsidR="00A70E98">
        <w:t>Q</w:t>
      </w:r>
      <w:r w:rsidR="00467CF7">
        <w:t>uestions include:</w:t>
      </w:r>
    </w:p>
    <w:p w:rsidRPr="00093A31" w:rsidR="00561B5D" w:rsidP="005C3455" w:rsidRDefault="00561B5D" w14:paraId="4E2BE281" w14:textId="77777777">
      <w:pPr>
        <w:pStyle w:val="paragraph"/>
        <w:numPr>
          <w:ilvl w:val="0"/>
          <w:numId w:val="5"/>
        </w:numPr>
        <w:spacing w:before="0" w:beforeAutospacing="0" w:after="120" w:afterAutospacing="0"/>
        <w:textAlignment w:val="baseline"/>
        <w:rPr>
          <w:rStyle w:val="normaltextrun"/>
          <w:rFonts w:ascii="Calibri" w:hAnsi="Calibri" w:cs="Calibri" w:eastAsiaTheme="majorEastAsia"/>
        </w:rPr>
      </w:pPr>
      <w:r w:rsidRPr="00093A31">
        <w:rPr>
          <w:rStyle w:val="normaltextrun"/>
          <w:rFonts w:ascii="Calibri" w:hAnsi="Calibri" w:cs="Calibri" w:eastAsiaTheme="majorEastAsia"/>
          <w:sz w:val="22"/>
          <w:szCs w:val="22"/>
        </w:rPr>
        <w:t xml:space="preserve">What was the impetus for hospitals to participate in the ISCR intervention? </w:t>
      </w:r>
    </w:p>
    <w:p w:rsidR="00467CF7" w:rsidP="006B1813" w:rsidRDefault="00467CF7" w14:paraId="2C361F4E" w14:textId="40F3E98B">
      <w:pPr>
        <w:pStyle w:val="paragraph"/>
        <w:numPr>
          <w:ilvl w:val="0"/>
          <w:numId w:val="5"/>
        </w:numPr>
        <w:spacing w:before="0" w:beforeAutospacing="0" w:after="12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What were the hospitals’ experiences (successes, challenges, lessons learned) </w:t>
      </w:r>
      <w:r w:rsidR="001B7639">
        <w:rPr>
          <w:rStyle w:val="normaltextrun"/>
          <w:rFonts w:ascii="Calibri" w:hAnsi="Calibri" w:cs="Calibri" w:eastAsiaTheme="majorEastAsia"/>
          <w:sz w:val="22"/>
          <w:szCs w:val="22"/>
        </w:rPr>
        <w:t xml:space="preserve">in </w:t>
      </w:r>
      <w:r>
        <w:rPr>
          <w:rStyle w:val="normaltextrun"/>
          <w:rFonts w:ascii="Calibri" w:hAnsi="Calibri" w:cs="Calibri" w:eastAsiaTheme="majorEastAsia"/>
          <w:sz w:val="22"/>
          <w:szCs w:val="22"/>
        </w:rPr>
        <w:t xml:space="preserve">implementing the ISCR intervention in the colorectal surgical line?  </w:t>
      </w:r>
    </w:p>
    <w:p w:rsidR="00467CF7" w:rsidP="006B1813" w:rsidRDefault="00467CF7" w14:paraId="3E12412E" w14:textId="349F3B1B">
      <w:pPr>
        <w:pStyle w:val="paragraph"/>
        <w:numPr>
          <w:ilvl w:val="0"/>
          <w:numId w:val="5"/>
        </w:numPr>
        <w:spacing w:before="0" w:beforeAutospacing="0" w:after="12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What was the impetus for extending the intervention to additional surgical lines? </w:t>
      </w:r>
    </w:p>
    <w:p w:rsidR="00467CF7" w:rsidP="006B1813" w:rsidRDefault="00467CF7" w14:paraId="5D5B5FBF" w14:textId="55DE415B">
      <w:pPr>
        <w:pStyle w:val="paragraph"/>
        <w:numPr>
          <w:ilvl w:val="0"/>
          <w:numId w:val="5"/>
        </w:numPr>
        <w:spacing w:before="0" w:beforeAutospacing="0" w:after="12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What were the hospitals’ experiences (successes, challenges, lessons learned) implementing the ISCR intervention in subsequent lines?</w:t>
      </w:r>
    </w:p>
    <w:p w:rsidR="00467CF7" w:rsidP="006B1813" w:rsidRDefault="00467CF7" w14:paraId="7D0EE479" w14:textId="653E00FF">
      <w:pPr>
        <w:pStyle w:val="paragraph"/>
        <w:numPr>
          <w:ilvl w:val="0"/>
          <w:numId w:val="5"/>
        </w:numPr>
        <w:spacing w:before="0" w:beforeAutospacing="0" w:after="120" w:afterAutospacing="0"/>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What factors contributed to or challenged sustainability? </w:t>
      </w:r>
    </w:p>
    <w:p w:rsidR="00B05ACA" w:rsidP="00D87F1D" w:rsidRDefault="00B05ACA" w14:paraId="0D29723B" w14:textId="17DC8838">
      <w:pPr>
        <w:pStyle w:val="NoSpacing"/>
        <w:rPr>
          <w:b/>
        </w:rPr>
      </w:pPr>
    </w:p>
    <w:p w:rsidR="00C756D2" w:rsidRDefault="00C756D2" w14:paraId="4D640871" w14:textId="77777777">
      <w:pPr>
        <w:rPr>
          <w:rFonts w:ascii="Times New Roman" w:hAnsi="Times New Roman" w:eastAsia="Times New Roman" w:cs="Times New Roman"/>
          <w:b/>
          <w:snapToGrid w:val="0"/>
          <w:sz w:val="24"/>
          <w:szCs w:val="24"/>
        </w:rPr>
      </w:pPr>
      <w:r>
        <w:rPr>
          <w:b/>
        </w:rPr>
        <w:br w:type="page"/>
      </w:r>
    </w:p>
    <w:p w:rsidRPr="005C3455" w:rsidR="00B05ACA" w:rsidP="00DD6B05" w:rsidRDefault="00B05ACA" w14:paraId="0A100ACB" w14:textId="448F6D61">
      <w:pPr>
        <w:pStyle w:val="Header"/>
        <w:tabs>
          <w:tab w:val="clear" w:pos="4320"/>
          <w:tab w:val="clear" w:pos="8640"/>
        </w:tabs>
        <w:spacing w:after="200"/>
        <w:rPr>
          <w:rFonts w:asciiTheme="minorHAnsi" w:hAnsiTheme="minorHAnsi" w:cstheme="minorHAnsi"/>
          <w:i/>
          <w:snapToGrid/>
        </w:rPr>
      </w:pPr>
      <w:r w:rsidRPr="005C3455">
        <w:rPr>
          <w:rFonts w:asciiTheme="minorHAnsi" w:hAnsiTheme="minorHAnsi" w:cstheme="minorHAnsi"/>
          <w:b/>
        </w:rPr>
        <w:lastRenderedPageBreak/>
        <w:t>DESCRIPTION OF RESPONDENTS</w:t>
      </w:r>
      <w:r w:rsidRPr="005C3455">
        <w:rPr>
          <w:rFonts w:asciiTheme="minorHAnsi" w:hAnsiTheme="minorHAnsi" w:cstheme="minorHAnsi"/>
        </w:rPr>
        <w:t xml:space="preserve">: </w:t>
      </w:r>
    </w:p>
    <w:p w:rsidR="0038312A" w:rsidP="00B05ACA" w:rsidRDefault="008A7130" w14:paraId="247AC60F" w14:textId="200A9671">
      <w:r>
        <w:t xml:space="preserve">The types of respondents to </w:t>
      </w:r>
      <w:r w:rsidRPr="008A7130">
        <w:t xml:space="preserve">participate in the study </w:t>
      </w:r>
      <w:r>
        <w:t xml:space="preserve">will include </w:t>
      </w:r>
      <w:r w:rsidRPr="008A7130">
        <w:t xml:space="preserve">physicians, nurses, </w:t>
      </w:r>
      <w:r>
        <w:t xml:space="preserve">and </w:t>
      </w:r>
      <w:r w:rsidRPr="008A7130">
        <w:t>other staff who</w:t>
      </w:r>
      <w:r w:rsidR="006B1813">
        <w:t xml:space="preserve"> have been engaged</w:t>
      </w:r>
      <w:r w:rsidRPr="008A7130">
        <w:t xml:space="preserve"> with the ISCR program in each hospital. Interviews will include surgeons, anesthesiologists, nursing staff (pre-op</w:t>
      </w:r>
      <w:r w:rsidR="006E5D8E">
        <w:t>erative</w:t>
      </w:r>
      <w:r w:rsidRPr="008A7130">
        <w:t>, surgical, post-op</w:t>
      </w:r>
      <w:r w:rsidR="006E5D8E">
        <w:t>erative</w:t>
      </w:r>
      <w:r w:rsidRPr="008A7130">
        <w:t xml:space="preserve"> units), personnel involved in the hospital’s quality improvement (QI) program, and at least one senior leader, if possible.</w:t>
      </w:r>
    </w:p>
    <w:p w:rsidRPr="00F06866" w:rsidR="00B05ACA" w:rsidP="00B05ACA" w:rsidRDefault="00B05ACA" w14:paraId="2A220594" w14:textId="77777777">
      <w:pPr>
        <w:rPr>
          <w:b/>
        </w:rPr>
      </w:pPr>
      <w:r w:rsidRPr="009C4D03">
        <w:rPr>
          <w:b/>
        </w:rPr>
        <w:t>TYPE OF COLLECTION:</w:t>
      </w:r>
      <w:r w:rsidRPr="009C4D03">
        <w:t xml:space="preserve"> (Check one)</w:t>
      </w:r>
    </w:p>
    <w:p w:rsidRPr="00F06866" w:rsidR="00B05ACA" w:rsidP="00B05ACA" w:rsidRDefault="00B05ACA" w14:paraId="763CBEC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C076D9">
        <w:rPr>
          <w:bCs/>
          <w:sz w:val="24"/>
        </w:rPr>
        <w:t xml:space="preserve"> </w:t>
      </w:r>
      <w:r w:rsidRPr="00F06866">
        <w:rPr>
          <w:bCs/>
          <w:sz w:val="24"/>
        </w:rPr>
        <w:t xml:space="preserve">] Customer Satisfaction Survey    </w:t>
      </w:r>
    </w:p>
    <w:p w:rsidR="00B05ACA" w:rsidP="00B05ACA" w:rsidRDefault="00B05ACA" w14:paraId="13704089" w14:textId="5998295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05ACA" w:rsidP="00B05ACA" w:rsidRDefault="00B05ACA" w14:paraId="54688E47" w14:textId="2240B634">
      <w:pPr>
        <w:pStyle w:val="BodyTextIndent"/>
        <w:tabs>
          <w:tab w:val="left" w:pos="360"/>
        </w:tabs>
        <w:ind w:left="0"/>
        <w:rPr>
          <w:bCs/>
          <w:sz w:val="24"/>
        </w:rPr>
      </w:pPr>
      <w:proofErr w:type="gramStart"/>
      <w:r>
        <w:rPr>
          <w:bCs/>
          <w:sz w:val="24"/>
        </w:rPr>
        <w:t>[</w:t>
      </w:r>
      <w:r w:rsidR="004156AC">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47571">
        <w:rPr>
          <w:bCs/>
          <w:sz w:val="24"/>
        </w:rPr>
        <w:t>X</w:t>
      </w:r>
      <w:r w:rsidRPr="00F06866">
        <w:rPr>
          <w:bCs/>
          <w:sz w:val="24"/>
        </w:rPr>
        <w:t>]</w:t>
      </w:r>
      <w:r>
        <w:rPr>
          <w:bCs/>
          <w:sz w:val="24"/>
        </w:rPr>
        <w:t xml:space="preserve"> Other:</w:t>
      </w:r>
      <w:r w:rsidRPr="00F06866">
        <w:rPr>
          <w:bCs/>
          <w:sz w:val="24"/>
          <w:u w:val="single"/>
        </w:rPr>
        <w:t xml:space="preserve"> </w:t>
      </w:r>
      <w:r w:rsidR="00C076D9">
        <w:rPr>
          <w:bCs/>
          <w:sz w:val="24"/>
          <w:u w:val="single"/>
        </w:rPr>
        <w:t xml:space="preserve"> </w:t>
      </w:r>
      <w:r w:rsidR="00745136">
        <w:rPr>
          <w:bCs/>
          <w:sz w:val="24"/>
          <w:u w:val="single"/>
        </w:rPr>
        <w:t>Semi-structured</w:t>
      </w:r>
      <w:r w:rsidR="0099096F">
        <w:rPr>
          <w:bCs/>
          <w:sz w:val="24"/>
          <w:u w:val="single"/>
        </w:rPr>
        <w:t xml:space="preserve"> individual</w:t>
      </w:r>
      <w:r w:rsidR="00745136">
        <w:rPr>
          <w:bCs/>
          <w:sz w:val="24"/>
          <w:u w:val="single"/>
        </w:rPr>
        <w:t xml:space="preserve"> interviews</w:t>
      </w:r>
      <w:r w:rsidR="00A47571">
        <w:rPr>
          <w:bCs/>
          <w:sz w:val="24"/>
          <w:u w:val="single"/>
        </w:rPr>
        <w:t xml:space="preserve"> </w:t>
      </w:r>
    </w:p>
    <w:p w:rsidR="00B05ACA" w:rsidP="00B05ACA" w:rsidRDefault="00B05ACA" w14:paraId="4A2710B6" w14:textId="77777777">
      <w:pPr>
        <w:pStyle w:val="Header"/>
        <w:tabs>
          <w:tab w:val="clear" w:pos="4320"/>
          <w:tab w:val="clear" w:pos="8640"/>
        </w:tabs>
      </w:pPr>
    </w:p>
    <w:p w:rsidR="00B05ACA" w:rsidP="00B05ACA" w:rsidRDefault="00B05ACA" w14:paraId="57B8E491" w14:textId="77777777">
      <w:pPr>
        <w:rPr>
          <w:b/>
        </w:rPr>
      </w:pPr>
      <w:r w:rsidRPr="008865E5">
        <w:rPr>
          <w:b/>
        </w:rPr>
        <w:t>CERTIFICATION:</w:t>
      </w:r>
    </w:p>
    <w:p w:rsidRPr="009C13B9" w:rsidR="00B05ACA" w:rsidP="00B05ACA" w:rsidRDefault="00B05ACA" w14:paraId="6B256F55" w14:textId="77777777">
      <w:r>
        <w:t xml:space="preserve">I certify the following to be true: </w:t>
      </w:r>
    </w:p>
    <w:p w:rsidR="00B05ACA" w:rsidP="00B05ACA" w:rsidRDefault="00B05ACA" w14:paraId="162CF5DC" w14:textId="77777777">
      <w:pPr>
        <w:pStyle w:val="ListParagraph"/>
        <w:numPr>
          <w:ilvl w:val="0"/>
          <w:numId w:val="1"/>
        </w:numPr>
        <w:spacing w:after="0" w:line="240" w:lineRule="auto"/>
      </w:pPr>
      <w:r>
        <w:t>The collection is voluntary.</w:t>
      </w:r>
      <w:r w:rsidRPr="00C14CC4">
        <w:t xml:space="preserve"> </w:t>
      </w:r>
    </w:p>
    <w:p w:rsidR="00B05ACA" w:rsidP="00B05ACA" w:rsidRDefault="00B05ACA" w14:paraId="55E0B4A4" w14:textId="77777777">
      <w:pPr>
        <w:pStyle w:val="ListParagraph"/>
        <w:numPr>
          <w:ilvl w:val="0"/>
          <w:numId w:val="1"/>
        </w:numPr>
        <w:spacing w:after="0" w:line="240" w:lineRule="auto"/>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05ACA" w:rsidP="00B05ACA" w:rsidRDefault="00B05ACA" w14:paraId="287EC881" w14:textId="77777777">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B05ACA" w:rsidP="00B05ACA" w:rsidRDefault="00B05ACA" w14:paraId="22DEB6EF" w14:textId="77777777">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05ACA" w:rsidP="00B05ACA" w:rsidRDefault="00B05ACA" w14:paraId="551CBFE5" w14:textId="77777777">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05ACA" w:rsidP="00B05ACA" w:rsidRDefault="00B05ACA" w14:paraId="0C3B3725" w14:textId="01E128BB">
      <w:pPr>
        <w:pStyle w:val="ListParagraph"/>
        <w:numPr>
          <w:ilvl w:val="0"/>
          <w:numId w:val="1"/>
        </w:numPr>
        <w:spacing w:after="0" w:line="240" w:lineRule="auto"/>
      </w:pPr>
      <w:r w:rsidRPr="002925A3">
        <w:t>The collection is targeted to the solicitation of opinions from respondents who have experience with the program or may have experience with the program in the future.</w:t>
      </w:r>
    </w:p>
    <w:p w:rsidR="00C81B1C" w:rsidP="00C81B1C" w:rsidRDefault="00C81B1C" w14:paraId="35E43D70" w14:textId="77777777">
      <w:pPr>
        <w:pStyle w:val="ListParagraph"/>
        <w:spacing w:after="0" w:line="240" w:lineRule="auto"/>
        <w:ind w:left="360"/>
      </w:pPr>
    </w:p>
    <w:p w:rsidR="00B05ACA" w:rsidP="00C81B1C" w:rsidRDefault="00B05ACA" w14:paraId="044E1951" w14:textId="18631E38">
      <w:proofErr w:type="spellStart"/>
      <w:proofErr w:type="gramStart"/>
      <w:r w:rsidRPr="000E3D16">
        <w:t>Name:_</w:t>
      </w:r>
      <w:proofErr w:type="gramEnd"/>
      <w:r w:rsidRPr="000E3D16">
        <w:t>__</w:t>
      </w:r>
      <w:r w:rsidRPr="003A2B5C" w:rsidR="00A47571">
        <w:rPr>
          <w:highlight w:val="yellow"/>
          <w:u w:val="single"/>
        </w:rPr>
        <w:t>Darryl</w:t>
      </w:r>
      <w:proofErr w:type="spellEnd"/>
      <w:r w:rsidRPr="003A2B5C" w:rsidR="00A47571">
        <w:rPr>
          <w:highlight w:val="yellow"/>
          <w:u w:val="single"/>
        </w:rPr>
        <w:t xml:space="preserve"> </w:t>
      </w:r>
      <w:r w:rsidRPr="003A2B5C" w:rsidR="00D434F7">
        <w:rPr>
          <w:highlight w:val="yellow"/>
          <w:u w:val="single"/>
        </w:rPr>
        <w:t xml:space="preserve">T. </w:t>
      </w:r>
      <w:r w:rsidRPr="003A2B5C" w:rsidR="00A47571">
        <w:rPr>
          <w:highlight w:val="yellow"/>
          <w:u w:val="single"/>
        </w:rPr>
        <w:t>Gray</w:t>
      </w:r>
      <w:r w:rsidR="005E36D2">
        <w:rPr>
          <w:u w:val="single"/>
        </w:rPr>
        <w:t xml:space="preserve"> (AHRQ</w:t>
      </w:r>
      <w:r w:rsidR="00381E66">
        <w:rPr>
          <w:u w:val="single"/>
        </w:rPr>
        <w:t xml:space="preserve"> Task Order Officer</w:t>
      </w:r>
      <w:r w:rsidR="005E36D2">
        <w:rPr>
          <w:u w:val="single"/>
        </w:rPr>
        <w:t xml:space="preserve">) </w:t>
      </w:r>
    </w:p>
    <w:p w:rsidR="00B05ACA" w:rsidP="00B05ACA" w:rsidRDefault="00B05ACA" w14:paraId="432DFE56" w14:textId="77777777">
      <w:r>
        <w:t>To assist review, please provide answers to the following question:</w:t>
      </w:r>
    </w:p>
    <w:p w:rsidRPr="00C86E91" w:rsidR="00B05ACA" w:rsidP="00B05ACA" w:rsidRDefault="00B05ACA" w14:paraId="5682EEC6" w14:textId="77777777">
      <w:pPr>
        <w:rPr>
          <w:b/>
        </w:rPr>
      </w:pPr>
      <w:proofErr w:type="gramStart"/>
      <w:r w:rsidRPr="008B7ADA">
        <w:rPr>
          <w:b/>
        </w:rPr>
        <w:t>Personally</w:t>
      </w:r>
      <w:proofErr w:type="gramEnd"/>
      <w:r w:rsidRPr="008B7ADA">
        <w:rPr>
          <w:b/>
        </w:rPr>
        <w:t xml:space="preserve"> Identifiable Information:</w:t>
      </w:r>
    </w:p>
    <w:p w:rsidRPr="003B05F6" w:rsidR="00B05ACA" w:rsidP="00B05ACA" w:rsidRDefault="00B05ACA" w14:paraId="780F1158" w14:textId="3F704990">
      <w:pPr>
        <w:pStyle w:val="ListParagraph"/>
        <w:numPr>
          <w:ilvl w:val="0"/>
          <w:numId w:val="4"/>
        </w:numPr>
        <w:spacing w:after="0" w:line="240" w:lineRule="auto"/>
      </w:pPr>
      <w:r w:rsidRPr="003B05F6">
        <w:t>Is personally identifiable information (PII) collected?  [</w:t>
      </w:r>
      <w:r w:rsidRPr="003B05F6" w:rsidR="008A7130">
        <w:t>X</w:t>
      </w:r>
      <w:r w:rsidRPr="003B05F6">
        <w:t xml:space="preserve">] </w:t>
      </w:r>
      <w:proofErr w:type="gramStart"/>
      <w:r w:rsidRPr="003B05F6">
        <w:t>Yes  [</w:t>
      </w:r>
      <w:proofErr w:type="gramEnd"/>
      <w:r w:rsidRPr="003B05F6" w:rsidR="008A7130">
        <w:t xml:space="preserve"> </w:t>
      </w:r>
      <w:r w:rsidRPr="003B05F6">
        <w:t xml:space="preserve">]  No </w:t>
      </w:r>
    </w:p>
    <w:p w:rsidRPr="003B05F6" w:rsidR="00B05ACA" w:rsidP="00B05ACA" w:rsidRDefault="00B05ACA" w14:paraId="751960FD" w14:textId="50131EC3">
      <w:pPr>
        <w:pStyle w:val="ListParagraph"/>
        <w:numPr>
          <w:ilvl w:val="0"/>
          <w:numId w:val="4"/>
        </w:numPr>
        <w:spacing w:after="0" w:line="240" w:lineRule="auto"/>
      </w:pPr>
      <w:r w:rsidRPr="003B05F6">
        <w:t xml:space="preserve">If Yes, is the information that will be collected included in records that are subject to the Privacy Act of 1974?   </w:t>
      </w:r>
      <w:proofErr w:type="gramStart"/>
      <w:r w:rsidRPr="003B05F6">
        <w:t>[</w:t>
      </w:r>
      <w:r w:rsidR="005E36D2">
        <w:t xml:space="preserve"> </w:t>
      </w:r>
      <w:r w:rsidRPr="003B05F6">
        <w:t>]</w:t>
      </w:r>
      <w:proofErr w:type="gramEnd"/>
      <w:r w:rsidRPr="003B05F6">
        <w:t xml:space="preserve"> Yes [</w:t>
      </w:r>
      <w:r w:rsidRPr="003B05F6" w:rsidR="003B05F6">
        <w:t>X</w:t>
      </w:r>
      <w:r w:rsidRPr="003B05F6">
        <w:t xml:space="preserve"> ] No   </w:t>
      </w:r>
    </w:p>
    <w:p w:rsidRPr="00995A9A" w:rsidR="00B05ACA" w:rsidP="00B05ACA" w:rsidRDefault="00B05ACA" w14:paraId="69AACC35" w14:textId="3DC80F2C">
      <w:pPr>
        <w:pStyle w:val="ListParagraph"/>
        <w:numPr>
          <w:ilvl w:val="0"/>
          <w:numId w:val="4"/>
        </w:numPr>
        <w:spacing w:after="0" w:line="240" w:lineRule="auto"/>
      </w:pPr>
      <w:r w:rsidRPr="00995A9A">
        <w:t xml:space="preserve">If Applicable, has a System or Records Notice been published?  </w:t>
      </w:r>
      <w:proofErr w:type="gramStart"/>
      <w:r w:rsidRPr="00995A9A">
        <w:t>[  ]</w:t>
      </w:r>
      <w:proofErr w:type="gramEnd"/>
      <w:r w:rsidRPr="00995A9A">
        <w:t xml:space="preserve"> Yes  [</w:t>
      </w:r>
      <w:r w:rsidRPr="00995A9A" w:rsidR="009B4B39">
        <w:t>X</w:t>
      </w:r>
      <w:r w:rsidRPr="00995A9A">
        <w:t>] No</w:t>
      </w:r>
    </w:p>
    <w:p w:rsidR="00B05ACA" w:rsidP="00B05ACA" w:rsidRDefault="00B05ACA" w14:paraId="586908A9" w14:textId="77777777">
      <w:pPr>
        <w:pStyle w:val="ListParagraph"/>
        <w:ind w:left="0"/>
        <w:rPr>
          <w:b/>
        </w:rPr>
      </w:pPr>
    </w:p>
    <w:p w:rsidRPr="006B1813" w:rsidR="006B1813" w:rsidP="00B05ACA" w:rsidRDefault="006B1813" w14:paraId="62DBFDD2" w14:textId="781CA2C3">
      <w:pPr>
        <w:pStyle w:val="ListParagraph"/>
        <w:ind w:left="0"/>
      </w:pPr>
      <w:r w:rsidRPr="006B1813">
        <w:t>We will collect the following information for recruitment</w:t>
      </w:r>
      <w:r>
        <w:t xml:space="preserve"> and</w:t>
      </w:r>
      <w:r w:rsidR="006D1AD1">
        <w:t xml:space="preserve"> interview</w:t>
      </w:r>
      <w:r w:rsidR="001E47BB">
        <w:t xml:space="preserve"> </w:t>
      </w:r>
      <w:r>
        <w:t>scheduling</w:t>
      </w:r>
      <w:r w:rsidRPr="006B1813">
        <w:t xml:space="preserve"> purposes only. All </w:t>
      </w:r>
      <w:r>
        <w:t>data will be de-identified for analysis and the final report to AHRQ.</w:t>
      </w:r>
    </w:p>
    <w:p w:rsidR="006B1813" w:rsidP="00B05ACA" w:rsidRDefault="006B1813" w14:paraId="3D00D0A9" w14:textId="6351C5B3">
      <w:pPr>
        <w:pStyle w:val="ListParagraph"/>
        <w:ind w:left="0"/>
        <w:rPr>
          <w:b/>
        </w:rPr>
      </w:pPr>
    </w:p>
    <w:p w:rsidRPr="006B1813" w:rsidR="006B1813" w:rsidP="006B1813" w:rsidRDefault="006B1813" w14:paraId="531A49DB" w14:textId="7997BC7E">
      <w:pPr>
        <w:pStyle w:val="ListParagraph"/>
        <w:numPr>
          <w:ilvl w:val="0"/>
          <w:numId w:val="8"/>
        </w:numPr>
      </w:pPr>
      <w:r w:rsidRPr="006B1813">
        <w:t>Full name</w:t>
      </w:r>
    </w:p>
    <w:p w:rsidRPr="006B1813" w:rsidR="006B1813" w:rsidP="006B1813" w:rsidRDefault="006B1813" w14:paraId="4D271CE4" w14:textId="3EFAE5F3">
      <w:pPr>
        <w:pStyle w:val="ListParagraph"/>
        <w:numPr>
          <w:ilvl w:val="0"/>
          <w:numId w:val="8"/>
        </w:numPr>
      </w:pPr>
      <w:r w:rsidRPr="006B1813">
        <w:t>Address</w:t>
      </w:r>
      <w:r w:rsidR="006D1AD1">
        <w:t xml:space="preserve"> (needed for sending incentive checks)</w:t>
      </w:r>
    </w:p>
    <w:p w:rsidRPr="006B1813" w:rsidR="006B1813" w:rsidP="006B1813" w:rsidRDefault="006B1813" w14:paraId="4EEDD139" w14:textId="0CAD1D93">
      <w:pPr>
        <w:pStyle w:val="ListParagraph"/>
        <w:numPr>
          <w:ilvl w:val="0"/>
          <w:numId w:val="8"/>
        </w:numPr>
      </w:pPr>
      <w:r w:rsidRPr="006B1813">
        <w:t>Telephone number</w:t>
      </w:r>
    </w:p>
    <w:p w:rsidRPr="006B1813" w:rsidR="006B1813" w:rsidP="006B1813" w:rsidRDefault="006B1813" w14:paraId="5B8E819C" w14:textId="332C7F48">
      <w:pPr>
        <w:pStyle w:val="ListParagraph"/>
        <w:numPr>
          <w:ilvl w:val="0"/>
          <w:numId w:val="8"/>
        </w:numPr>
      </w:pPr>
      <w:r w:rsidRPr="006B1813">
        <w:t>Email address</w:t>
      </w:r>
    </w:p>
    <w:p w:rsidR="006B1813" w:rsidP="00B05ACA" w:rsidRDefault="006B1813" w14:paraId="5B895F43" w14:textId="77777777">
      <w:pPr>
        <w:pStyle w:val="ListParagraph"/>
        <w:ind w:left="0"/>
        <w:rPr>
          <w:b/>
        </w:rPr>
      </w:pPr>
    </w:p>
    <w:p w:rsidR="000F057F" w:rsidP="00B05ACA" w:rsidRDefault="000F057F" w14:paraId="6D695100" w14:textId="77777777">
      <w:pPr>
        <w:pStyle w:val="ListParagraph"/>
        <w:ind w:left="0"/>
        <w:rPr>
          <w:b/>
        </w:rPr>
      </w:pPr>
    </w:p>
    <w:p w:rsidRPr="00C86E91" w:rsidR="00B05ACA" w:rsidP="00B05ACA" w:rsidRDefault="00B05ACA" w14:paraId="507E1B74" w14:textId="34F9C78E">
      <w:pPr>
        <w:pStyle w:val="ListParagraph"/>
        <w:ind w:left="0"/>
        <w:rPr>
          <w:b/>
        </w:rPr>
      </w:pPr>
      <w:r w:rsidRPr="00606D93">
        <w:rPr>
          <w:b/>
        </w:rPr>
        <w:lastRenderedPageBreak/>
        <w:t>Gifts or Payments:</w:t>
      </w:r>
    </w:p>
    <w:p w:rsidR="003B05F6" w:rsidP="003B05F6" w:rsidRDefault="00B05ACA" w14:paraId="45448178" w14:textId="5AB05DC7">
      <w:pPr>
        <w:spacing w:after="120" w:line="240" w:lineRule="auto"/>
      </w:pPr>
      <w:r>
        <w:t>Is an incentive (e.g., money or reimbursement of expenses, token of appreciation) provide</w:t>
      </w:r>
      <w:r w:rsidR="00D434F7">
        <w:t xml:space="preserve">d to participants?  </w:t>
      </w:r>
    </w:p>
    <w:p w:rsidR="00B05ACA" w:rsidP="003B05F6" w:rsidRDefault="00D434F7" w14:paraId="10F005BD" w14:textId="08C23333">
      <w:pPr>
        <w:spacing w:after="120" w:line="240" w:lineRule="auto"/>
      </w:pPr>
      <w:r w:rsidRPr="009930AB">
        <w:t xml:space="preserve">[X] Yes </w:t>
      </w:r>
      <w:proofErr w:type="gramStart"/>
      <w:r w:rsidRPr="009930AB">
        <w:t xml:space="preserve">[ </w:t>
      </w:r>
      <w:r w:rsidRPr="009930AB" w:rsidR="00B05ACA">
        <w:t>]</w:t>
      </w:r>
      <w:proofErr w:type="gramEnd"/>
      <w:r w:rsidRPr="009930AB" w:rsidR="00B05ACA">
        <w:t xml:space="preserve"> No  </w:t>
      </w:r>
    </w:p>
    <w:p w:rsidR="005C58EC" w:rsidP="006830DC" w:rsidRDefault="005C58EC" w14:paraId="2C7CB0B5" w14:textId="783CC89E">
      <w:pPr>
        <w:spacing w:after="0"/>
        <w:rPr>
          <w:bCs/>
        </w:rPr>
      </w:pPr>
      <w:bookmarkStart w:name="_Hlk90542721" w:id="0"/>
      <w:r>
        <w:rPr>
          <w:bCs/>
        </w:rPr>
        <w:t>We are providing honoraria to participants.</w:t>
      </w:r>
      <w:r w:rsidR="00AE6B2E">
        <w:rPr>
          <w:bCs/>
        </w:rPr>
        <w:t xml:space="preserve"> </w:t>
      </w:r>
      <w:r w:rsidRPr="006C4515" w:rsidR="00AE6B2E">
        <w:t>Monetary</w:t>
      </w:r>
      <w:r w:rsidR="00AE6B2E">
        <w:t xml:space="preserve"> or material</w:t>
      </w:r>
      <w:r w:rsidRPr="006C4515" w:rsidR="00AE6B2E">
        <w:t xml:space="preserve"> honoraria are usually offered to healthcare staff for participation in research</w:t>
      </w:r>
      <w:r w:rsidR="00AE6B2E">
        <w:t xml:space="preserve"> as a token of appreciation</w:t>
      </w:r>
      <w:r w:rsidRPr="006C4515" w:rsidR="00AE6B2E">
        <w:t>.</w:t>
      </w:r>
      <w:r w:rsidRPr="00AE6B2E" w:rsidR="00AE6B2E">
        <w:rPr>
          <w:rStyle w:val="FootnoteReference"/>
        </w:rPr>
        <w:t xml:space="preserve"> </w:t>
      </w:r>
      <w:r w:rsidR="00AE6B2E">
        <w:rPr>
          <w:rStyle w:val="FootnoteReference"/>
        </w:rPr>
        <w:footnoteReference w:id="1"/>
      </w:r>
    </w:p>
    <w:p w:rsidR="005C58EC" w:rsidP="006830DC" w:rsidRDefault="005C58EC" w14:paraId="6D8170F6" w14:textId="77777777">
      <w:pPr>
        <w:spacing w:after="0"/>
        <w:rPr>
          <w:bCs/>
        </w:rPr>
      </w:pPr>
    </w:p>
    <w:p w:rsidRPr="009930AB" w:rsidR="006830DC" w:rsidP="006830DC" w:rsidRDefault="006830DC" w14:paraId="1791F4BE" w14:textId="39397D1C">
      <w:pPr>
        <w:spacing w:after="0"/>
        <w:rPr>
          <w:bCs/>
        </w:rPr>
      </w:pPr>
      <w:r w:rsidRPr="009930AB">
        <w:rPr>
          <w:bCs/>
        </w:rPr>
        <w:t>18</w:t>
      </w:r>
      <w:r w:rsidR="006D1AD1">
        <w:rPr>
          <w:bCs/>
        </w:rPr>
        <w:t xml:space="preserve"> hospital</w:t>
      </w:r>
      <w:r w:rsidR="0031092B">
        <w:rPr>
          <w:bCs/>
        </w:rPr>
        <w:t xml:space="preserve"> </w:t>
      </w:r>
      <w:r w:rsidRPr="009930AB">
        <w:rPr>
          <w:bCs/>
        </w:rPr>
        <w:t>physicians</w:t>
      </w:r>
      <w:r w:rsidR="006D1AD1">
        <w:rPr>
          <w:bCs/>
        </w:rPr>
        <w:t>/surgeons</w:t>
      </w:r>
      <w:r w:rsidRPr="009930AB">
        <w:rPr>
          <w:bCs/>
        </w:rPr>
        <w:t xml:space="preserve"> @ $</w:t>
      </w:r>
      <w:r w:rsidR="006D1AD1">
        <w:rPr>
          <w:bCs/>
        </w:rPr>
        <w:t>2</w:t>
      </w:r>
      <w:r w:rsidRPr="009930AB">
        <w:rPr>
          <w:bCs/>
        </w:rPr>
        <w:t>00</w:t>
      </w:r>
      <w:r>
        <w:rPr>
          <w:bCs/>
        </w:rPr>
        <w:t>/each = $</w:t>
      </w:r>
      <w:r w:rsidR="006D1AD1">
        <w:rPr>
          <w:bCs/>
        </w:rPr>
        <w:t>3,600</w:t>
      </w:r>
    </w:p>
    <w:p w:rsidR="006D1AD1" w:rsidP="006830DC" w:rsidRDefault="006D1AD1" w14:paraId="1BA0E087" w14:textId="5BFB16AF">
      <w:pPr>
        <w:spacing w:after="0"/>
        <w:rPr>
          <w:bCs/>
        </w:rPr>
      </w:pPr>
      <w:r>
        <w:rPr>
          <w:bCs/>
        </w:rPr>
        <w:t>18 hospital registered nurses @150/each = $2,700</w:t>
      </w:r>
    </w:p>
    <w:p w:rsidR="006D1AD1" w:rsidP="006830DC" w:rsidRDefault="006D1AD1" w14:paraId="42C0F9CF" w14:textId="4AFDCD94">
      <w:pPr>
        <w:spacing w:after="0"/>
        <w:rPr>
          <w:bCs/>
        </w:rPr>
      </w:pPr>
      <w:r>
        <w:rPr>
          <w:bCs/>
        </w:rPr>
        <w:t>18 hospital administrators/managers @$150/each = $2,700</w:t>
      </w:r>
    </w:p>
    <w:p w:rsidR="0031092B" w:rsidP="006D1AD1" w:rsidRDefault="006830DC" w14:paraId="35894DCA" w14:textId="6A95D877">
      <w:pPr>
        <w:spacing w:after="0"/>
        <w:rPr>
          <w:b/>
          <w:bCs/>
        </w:rPr>
      </w:pPr>
      <w:r>
        <w:rPr>
          <w:b/>
          <w:bCs/>
        </w:rPr>
        <w:t>TOTAL = $</w:t>
      </w:r>
      <w:r w:rsidR="006D1AD1">
        <w:rPr>
          <w:b/>
          <w:bCs/>
        </w:rPr>
        <w:t>9,000</w:t>
      </w:r>
    </w:p>
    <w:p w:rsidR="007F6CEF" w:rsidP="00B01C59" w:rsidRDefault="007F6CEF" w14:paraId="0404FB59" w14:textId="77777777">
      <w:pPr>
        <w:spacing w:after="0" w:line="285" w:lineRule="atLeast"/>
      </w:pPr>
    </w:p>
    <w:p w:rsidRPr="006C4515" w:rsidR="0085642E" w:rsidP="002F771D" w:rsidRDefault="0085642E" w14:paraId="194CF4E1" w14:textId="686FDA41">
      <w:pPr>
        <w:spacing w:line="285" w:lineRule="atLeast"/>
      </w:pPr>
      <w:r w:rsidRPr="002F771D">
        <w:t xml:space="preserve">Survey research literature uniformly demonstrates that </w:t>
      </w:r>
      <w:r w:rsidR="00AE6B2E">
        <w:t>honoraria</w:t>
      </w:r>
      <w:r w:rsidR="00AC46F6">
        <w:t xml:space="preserve"> </w:t>
      </w:r>
      <w:r w:rsidRPr="002F771D">
        <w:t xml:space="preserve">are an effective means of communicating the importance of the study to the respondent and </w:t>
      </w:r>
      <w:r w:rsidR="00BC13E4">
        <w:t xml:space="preserve">of </w:t>
      </w:r>
      <w:r w:rsidRPr="002F771D">
        <w:t xml:space="preserve">increasing participation. In a meta-analysis, Mercer, </w:t>
      </w:r>
      <w:proofErr w:type="spellStart"/>
      <w:r w:rsidRPr="002F771D">
        <w:t>Caporaso</w:t>
      </w:r>
      <w:proofErr w:type="spellEnd"/>
      <w:r w:rsidRPr="002F771D">
        <w:t>, Cantor, and Townsend (2015)</w:t>
      </w:r>
      <w:r w:rsidR="002F771D">
        <w:rPr>
          <w:rStyle w:val="FootnoteReference"/>
        </w:rPr>
        <w:footnoteReference w:id="2"/>
      </w:r>
      <w:r w:rsidRPr="00584184">
        <w:t xml:space="preserve"> </w:t>
      </w:r>
      <w:r w:rsidRPr="002F771D">
        <w:t>show that</w:t>
      </w:r>
      <w:r w:rsidR="00C70597">
        <w:t xml:space="preserve">, up </w:t>
      </w:r>
      <w:r w:rsidRPr="002F771D" w:rsidR="00C70597">
        <w:t>to a point</w:t>
      </w:r>
      <w:r w:rsidR="00C70597">
        <w:t>,</w:t>
      </w:r>
      <w:r w:rsidRPr="002F771D">
        <w:t xml:space="preserve"> </w:t>
      </w:r>
      <w:r w:rsidR="005C58EC">
        <w:t>remuneration</w:t>
      </w:r>
      <w:r w:rsidRPr="002F771D">
        <w:t xml:space="preserve"> follow a dose-response model – the greater the </w:t>
      </w:r>
      <w:r w:rsidR="005C58EC">
        <w:t>amount</w:t>
      </w:r>
      <w:r w:rsidRPr="002F771D">
        <w:t xml:space="preserve">, the greater the level of respondent participation. This is </w:t>
      </w:r>
      <w:r w:rsidR="00C70597">
        <w:t>also</w:t>
      </w:r>
      <w:r w:rsidRPr="002F771D" w:rsidR="00C70597">
        <w:t xml:space="preserve"> </w:t>
      </w:r>
      <w:r w:rsidRPr="002F771D">
        <w:t xml:space="preserve">true for the </w:t>
      </w:r>
      <w:r w:rsidR="00AC46F6">
        <w:t>honoraria</w:t>
      </w:r>
      <w:r w:rsidRPr="002F771D">
        <w:t xml:space="preserve"> offered in semi-structured in-depth interviews</w:t>
      </w:r>
      <w:r w:rsidRPr="002F771D" w:rsidR="003919B1">
        <w:t>.</w:t>
      </w:r>
      <w:r w:rsidRPr="006C4515">
        <w:t xml:space="preserve"> </w:t>
      </w:r>
      <w:r w:rsidR="00584184">
        <w:t xml:space="preserve">Recruitment of </w:t>
      </w:r>
      <w:r w:rsidRPr="006C4515">
        <w:t xml:space="preserve">clinical staff </w:t>
      </w:r>
      <w:r w:rsidR="00584184">
        <w:t xml:space="preserve">for research </w:t>
      </w:r>
      <w:r w:rsidRPr="006C4515">
        <w:t xml:space="preserve">is particularly challenging. </w:t>
      </w:r>
      <w:r w:rsidR="00D56577">
        <w:t xml:space="preserve">  </w:t>
      </w:r>
    </w:p>
    <w:p w:rsidR="00E4676C" w:rsidP="00E4676C" w:rsidRDefault="00E4676C" w14:paraId="5743112E" w14:textId="619E1BE5">
      <w:pPr>
        <w:shd w:val="clear" w:color="auto" w:fill="FFFFFF"/>
        <w:spacing w:line="285" w:lineRule="atLeast"/>
        <w:rPr>
          <w:rStyle w:val="CommentReference"/>
          <w:sz w:val="22"/>
          <w:szCs w:val="22"/>
        </w:rPr>
      </w:pPr>
      <w:r w:rsidRPr="006C4515">
        <w:t xml:space="preserve">In 2016, OMB approved a $150 remuneration for physicians, $100 remuneration for other healthcare administrators and registered nurses, and a $75 remuneration for other hospital support staff for 1-hour cognitive interviews for the AHRQ Hospital Survey on Patient Safety Culture Survey 2.0 (as approved under OMB control # 0935-0230, expiry: 01-21-2016). These amounts were paid to cognitive interview respondents to test their understanding of AHRQ Hospital Patient Safety Culture survey questions. The interviews occurred almost 5 years ago prior to the COVID-19 pandemic and </w:t>
      </w:r>
      <w:r w:rsidR="003919B1">
        <w:t xml:space="preserve">the </w:t>
      </w:r>
      <w:r w:rsidR="005C58EC">
        <w:t xml:space="preserve">honoraria </w:t>
      </w:r>
      <w:r w:rsidR="003919B1">
        <w:t xml:space="preserve">amounts used at that time </w:t>
      </w:r>
      <w:r w:rsidRPr="006C4515">
        <w:t xml:space="preserve">are likely not enough to recruit </w:t>
      </w:r>
      <w:r w:rsidR="00584184">
        <w:t xml:space="preserve">healthcare </w:t>
      </w:r>
      <w:r w:rsidRPr="006C4515">
        <w:t>providers and staff during the</w:t>
      </w:r>
      <w:r w:rsidR="00C70597">
        <w:t xml:space="preserve"> current</w:t>
      </w:r>
      <w:r w:rsidRPr="006C4515">
        <w:t xml:space="preserve"> COVID-19 pandemic.</w:t>
      </w:r>
      <w:r w:rsidRPr="006C4515">
        <w:rPr>
          <w:rStyle w:val="CommentReference"/>
          <w:sz w:val="22"/>
          <w:szCs w:val="22"/>
        </w:rPr>
        <w:t xml:space="preserve"> </w:t>
      </w:r>
    </w:p>
    <w:p w:rsidRPr="006C4515" w:rsidR="003919B1" w:rsidP="00AE59F7" w:rsidRDefault="003919B1" w14:paraId="7E95C9D2" w14:textId="52F43D76">
      <w:pPr>
        <w:shd w:val="clear" w:color="auto" w:fill="FFFFFF"/>
        <w:spacing w:line="285" w:lineRule="atLeast"/>
      </w:pPr>
      <w:r>
        <w:rPr>
          <w:rStyle w:val="CommentReference"/>
          <w:sz w:val="22"/>
          <w:szCs w:val="22"/>
        </w:rPr>
        <w:t>More recently, in 2020, OMB approved</w:t>
      </w:r>
      <w:r w:rsidR="00584184">
        <w:rPr>
          <w:rStyle w:val="CommentReference"/>
          <w:sz w:val="22"/>
          <w:szCs w:val="22"/>
        </w:rPr>
        <w:t xml:space="preserve"> $300 </w:t>
      </w:r>
      <w:r w:rsidR="005C58EC">
        <w:rPr>
          <w:rStyle w:val="CommentReference"/>
          <w:sz w:val="22"/>
          <w:szCs w:val="22"/>
        </w:rPr>
        <w:t>honorari</w:t>
      </w:r>
      <w:r w:rsidR="006947ED">
        <w:rPr>
          <w:rStyle w:val="CommentReference"/>
          <w:sz w:val="22"/>
          <w:szCs w:val="22"/>
        </w:rPr>
        <w:t xml:space="preserve">a </w:t>
      </w:r>
      <w:r w:rsidR="005C58EC">
        <w:rPr>
          <w:rStyle w:val="CommentReference"/>
          <w:sz w:val="22"/>
          <w:szCs w:val="22"/>
        </w:rPr>
        <w:t>m</w:t>
      </w:r>
      <w:r w:rsidR="00584184">
        <w:rPr>
          <w:rStyle w:val="CommentReference"/>
          <w:sz w:val="22"/>
          <w:szCs w:val="22"/>
        </w:rPr>
        <w:t xml:space="preserve"> for </w:t>
      </w:r>
      <w:r>
        <w:rPr>
          <w:rStyle w:val="CommentReference"/>
          <w:sz w:val="22"/>
          <w:szCs w:val="22"/>
        </w:rPr>
        <w:t>physician</w:t>
      </w:r>
      <w:r w:rsidR="00584184">
        <w:rPr>
          <w:rStyle w:val="CommentReference"/>
          <w:sz w:val="22"/>
          <w:szCs w:val="22"/>
        </w:rPr>
        <w:t>s</w:t>
      </w:r>
      <w:r>
        <w:rPr>
          <w:rStyle w:val="CommentReference"/>
          <w:sz w:val="22"/>
          <w:szCs w:val="22"/>
        </w:rPr>
        <w:t xml:space="preserve"> and </w:t>
      </w:r>
      <w:r w:rsidR="00584184">
        <w:rPr>
          <w:rStyle w:val="CommentReference"/>
          <w:sz w:val="22"/>
          <w:szCs w:val="22"/>
        </w:rPr>
        <w:t>$225</w:t>
      </w:r>
      <w:r w:rsidR="00E1032F">
        <w:rPr>
          <w:rStyle w:val="CommentReference"/>
          <w:sz w:val="22"/>
          <w:szCs w:val="22"/>
        </w:rPr>
        <w:t xml:space="preserve"> honoraria</w:t>
      </w:r>
      <w:r w:rsidR="00584184">
        <w:rPr>
          <w:rStyle w:val="CommentReference"/>
          <w:sz w:val="22"/>
          <w:szCs w:val="22"/>
        </w:rPr>
        <w:t xml:space="preserve"> for </w:t>
      </w:r>
      <w:r w:rsidR="00584184">
        <w:t>pharmacists, physician assistants, nurse practitioners, and nurse midwives</w:t>
      </w:r>
      <w:r w:rsidR="00584184">
        <w:rPr>
          <w:rStyle w:val="CommentReference"/>
          <w:sz w:val="22"/>
          <w:szCs w:val="22"/>
        </w:rPr>
        <w:t xml:space="preserve"> for 75-minute online </w:t>
      </w:r>
      <w:r>
        <w:rPr>
          <w:rStyle w:val="CommentReference"/>
          <w:sz w:val="22"/>
          <w:szCs w:val="22"/>
        </w:rPr>
        <w:t xml:space="preserve">focus groups for </w:t>
      </w:r>
      <w:r w:rsidR="0007357C">
        <w:rPr>
          <w:rStyle w:val="CommentReference"/>
          <w:sz w:val="22"/>
          <w:szCs w:val="22"/>
        </w:rPr>
        <w:t>an FDA</w:t>
      </w:r>
      <w:r>
        <w:rPr>
          <w:rStyle w:val="CommentReference"/>
          <w:sz w:val="22"/>
          <w:szCs w:val="22"/>
        </w:rPr>
        <w:t xml:space="preserve"> project entitled, </w:t>
      </w:r>
      <w:r w:rsidR="00584184">
        <w:rPr>
          <w:rStyle w:val="CommentReference"/>
          <w:sz w:val="22"/>
          <w:szCs w:val="22"/>
        </w:rPr>
        <w:t>“</w:t>
      </w:r>
      <w:r>
        <w:t>Pregnancy and Lactation Labeling Rule End-User Testing to Improve Health Communications and Prescribing Decisions in Pregnant Women</w:t>
      </w:r>
      <w:r w:rsidR="00584184">
        <w:t>”</w:t>
      </w:r>
      <w:r w:rsidR="0002402E">
        <w:t xml:space="preserve"> </w:t>
      </w:r>
      <w:r w:rsidRPr="00AE59F7" w:rsidR="0002402E">
        <w:t>(as approved under OMB control #</w:t>
      </w:r>
      <w:r w:rsidRPr="00AE59F7" w:rsidR="0002402E">
        <w:rPr>
          <w:rStyle w:val="CommentReference"/>
          <w:sz w:val="22"/>
          <w:szCs w:val="22"/>
        </w:rPr>
        <w:t xml:space="preserve"> 0910-0497</w:t>
      </w:r>
      <w:r w:rsidR="0002402E">
        <w:rPr>
          <w:rStyle w:val="CommentReference"/>
          <w:sz w:val="22"/>
          <w:szCs w:val="22"/>
        </w:rPr>
        <w:t>)</w:t>
      </w:r>
      <w:r>
        <w:t xml:space="preserve">. </w:t>
      </w:r>
    </w:p>
    <w:p w:rsidR="00C70597" w:rsidP="00C70597" w:rsidRDefault="006D1AD1" w14:paraId="43045295" w14:textId="592869CC">
      <w:pPr>
        <w:shd w:val="clear" w:color="auto" w:fill="FFFFFF"/>
        <w:spacing w:line="285" w:lineRule="atLeast"/>
      </w:pPr>
      <w:r w:rsidRPr="006C4515">
        <w:t xml:space="preserve">To successfully recruit 54 </w:t>
      </w:r>
      <w:r w:rsidR="0007357C">
        <w:t xml:space="preserve">healthcare providers and administrators during the current COVID-19 pandemic </w:t>
      </w:r>
      <w:r w:rsidRPr="006C4515">
        <w:t xml:space="preserve">for </w:t>
      </w:r>
      <w:r w:rsidR="00C70597">
        <w:t xml:space="preserve">   </w:t>
      </w:r>
      <w:r w:rsidRPr="006C4515">
        <w:t>1-hour in-depth, semi-structured interviews, we propose</w:t>
      </w:r>
      <w:r w:rsidR="00AC46F6">
        <w:t xml:space="preserve"> </w:t>
      </w:r>
      <w:r w:rsidRPr="006C4515">
        <w:t xml:space="preserve">$200 </w:t>
      </w:r>
      <w:r w:rsidR="00AC46F6">
        <w:t>honorari</w:t>
      </w:r>
      <w:r w:rsidR="00813C5E">
        <w:t xml:space="preserve">a </w:t>
      </w:r>
      <w:r w:rsidRPr="006C4515">
        <w:t xml:space="preserve">for hospital physicians/surgeons, </w:t>
      </w:r>
      <w:r w:rsidR="00813C5E">
        <w:t xml:space="preserve">and </w:t>
      </w:r>
      <w:r w:rsidRPr="006C4515">
        <w:t xml:space="preserve">$150 </w:t>
      </w:r>
      <w:r w:rsidR="00813C5E">
        <w:t>honoraria</w:t>
      </w:r>
      <w:r w:rsidRPr="006C4515" w:rsidR="00813C5E">
        <w:t xml:space="preserve"> </w:t>
      </w:r>
      <w:r w:rsidRPr="006C4515">
        <w:t>for registered nurses and for hospital administrators/manager</w:t>
      </w:r>
      <w:r w:rsidRPr="006C4515" w:rsidR="005E36D2">
        <w:t>s</w:t>
      </w:r>
      <w:r w:rsidRPr="006C4515">
        <w:t xml:space="preserve">. These amounts are higher than what was </w:t>
      </w:r>
      <w:r w:rsidR="0007357C">
        <w:t>approved</w:t>
      </w:r>
      <w:r w:rsidRPr="006C4515">
        <w:t xml:space="preserve"> in 2016 for 1-hour cognitive interviews for the AHRQ Hospital Survey on Patient Safety Culture 2.0 </w:t>
      </w:r>
      <w:r w:rsidRPr="006C4515" w:rsidR="005E0824">
        <w:t>but</w:t>
      </w:r>
      <w:r w:rsidRPr="006C4515">
        <w:t xml:space="preserve"> lower than </w:t>
      </w:r>
      <w:r w:rsidR="0007357C">
        <w:t xml:space="preserve">the </w:t>
      </w:r>
      <w:r w:rsidR="00AC46F6">
        <w:t>amounts</w:t>
      </w:r>
      <w:r w:rsidR="0007357C">
        <w:t xml:space="preserve"> approved in 2020 for FDA focus groups</w:t>
      </w:r>
      <w:r w:rsidRPr="006C4515">
        <w:t>.</w:t>
      </w:r>
      <w:r w:rsidR="00C70597">
        <w:t xml:space="preserve">  However, t</w:t>
      </w:r>
      <w:r w:rsidRPr="006C4515">
        <w:t xml:space="preserve">he amounts currently proposed for </w:t>
      </w:r>
      <w:r w:rsidR="00AC46F6">
        <w:t xml:space="preserve">these </w:t>
      </w:r>
      <w:r w:rsidRPr="006C4515">
        <w:t>interview</w:t>
      </w:r>
      <w:r w:rsidR="00AC46F6">
        <w:t>s</w:t>
      </w:r>
      <w:r w:rsidRPr="006C4515">
        <w:t xml:space="preserve"> are </w:t>
      </w:r>
      <w:r w:rsidR="006F254E">
        <w:t xml:space="preserve">also </w:t>
      </w:r>
      <w:r w:rsidRPr="006C4515">
        <w:t>lower than the average</w:t>
      </w:r>
      <w:r w:rsidR="00AC46F6">
        <w:t xml:space="preserve"> </w:t>
      </w:r>
      <w:r w:rsidRPr="006C4515">
        <w:t xml:space="preserve">amounts typically paid by research </w:t>
      </w:r>
      <w:r w:rsidRPr="006C4515">
        <w:lastRenderedPageBreak/>
        <w:t xml:space="preserve">recruitment vendors for these </w:t>
      </w:r>
      <w:r w:rsidR="006F254E">
        <w:t xml:space="preserve">healthcare </w:t>
      </w:r>
      <w:r w:rsidRPr="006C4515">
        <w:t>positions. Vendors</w:t>
      </w:r>
      <w:r w:rsidR="00821A12">
        <w:t xml:space="preserve"> </w:t>
      </w:r>
      <w:r w:rsidRPr="006C4515">
        <w:t>have indicated that they typically pay $300 for physicians</w:t>
      </w:r>
      <w:r w:rsidRPr="006C4515" w:rsidR="00B52D15">
        <w:t xml:space="preserve"> (e.g.</w:t>
      </w:r>
      <w:r w:rsidR="0012659C">
        <w:t>,</w:t>
      </w:r>
      <w:r w:rsidRPr="006C4515" w:rsidR="00B52D15">
        <w:t xml:space="preserve"> </w:t>
      </w:r>
      <w:proofErr w:type="spellStart"/>
      <w:r w:rsidRPr="006C4515" w:rsidR="00B52D15">
        <w:t>Sermo</w:t>
      </w:r>
      <w:proofErr w:type="spellEnd"/>
      <w:r w:rsidRPr="006C4515" w:rsidR="00B52D15">
        <w:t xml:space="preserve"> Inc.)</w:t>
      </w:r>
      <w:r w:rsidRPr="006C4515">
        <w:t xml:space="preserve"> and $200 for healthcare administrators and nurses</w:t>
      </w:r>
      <w:r w:rsidRPr="006C4515" w:rsidR="00B52D15">
        <w:t xml:space="preserve"> (Opinions, LTD)</w:t>
      </w:r>
      <w:r w:rsidRPr="006C4515">
        <w:t xml:space="preserve"> since these are very difficult positions to recruit for research participation unless </w:t>
      </w:r>
      <w:r w:rsidR="00AC46F6">
        <w:t>honoraria amounts</w:t>
      </w:r>
      <w:r w:rsidRPr="006C4515">
        <w:t xml:space="preserve"> are sufficient.</w:t>
      </w:r>
      <w:r w:rsidR="006C4515">
        <w:t xml:space="preserve"> </w:t>
      </w:r>
      <w:r w:rsidR="00C70597">
        <w:t xml:space="preserve"> </w:t>
      </w:r>
      <w:r w:rsidRPr="00D56577" w:rsidR="00D56577">
        <w:t>We note tha</w:t>
      </w:r>
      <w:r w:rsidRPr="001B5CA8" w:rsidR="00D56577">
        <w:t xml:space="preserve">t </w:t>
      </w:r>
      <w:r w:rsidRPr="00C367E6" w:rsidR="00D56577">
        <w:t>h</w:t>
      </w:r>
      <w:r w:rsidRPr="003443E9" w:rsidR="00D56577">
        <w:t>onoraria such as those we plan to offer often serve as a recognition of the respondents’ niche professional expertise and the value of their time.</w:t>
      </w:r>
    </w:p>
    <w:p w:rsidR="00C70597" w:rsidP="00C70597" w:rsidRDefault="00C70597" w14:paraId="159361FC" w14:textId="1D76B9A5">
      <w:pPr>
        <w:shd w:val="clear" w:color="auto" w:fill="FFFFFF"/>
        <w:spacing w:line="285" w:lineRule="atLeast"/>
        <w:rPr>
          <w:sz w:val="24"/>
          <w:szCs w:val="24"/>
        </w:rPr>
      </w:pPr>
      <w:r>
        <w:t>We note that t</w:t>
      </w:r>
      <w:r w:rsidRPr="0085642E">
        <w:t xml:space="preserve">his project is on a tight one-year timeline that cannot be extended. </w:t>
      </w:r>
      <w:r>
        <w:t xml:space="preserve"> </w:t>
      </w:r>
      <w:r w:rsidRPr="0085642E">
        <w:t>Therefore</w:t>
      </w:r>
      <w:r>
        <w:t>,</w:t>
      </w:r>
      <w:r w:rsidRPr="0085642E">
        <w:t xml:space="preserve"> we consider it vitally important that the </w:t>
      </w:r>
      <w:r w:rsidR="00B669E1">
        <w:t>honoraria</w:t>
      </w:r>
      <w:r w:rsidRPr="0085642E">
        <w:t xml:space="preserve"> be high enough to </w:t>
      </w:r>
      <w:r>
        <w:t>e</w:t>
      </w:r>
      <w:r w:rsidRPr="0085642E">
        <w:t>nsure adequate participation</w:t>
      </w:r>
      <w:r>
        <w:t xml:space="preserve"> when </w:t>
      </w:r>
      <w:r w:rsidRPr="0085642E">
        <w:t>initially offered</w:t>
      </w:r>
      <w:r>
        <w:t>.</w:t>
      </w:r>
    </w:p>
    <w:bookmarkEnd w:id="0"/>
    <w:p w:rsidRPr="005C3455" w:rsidR="00650D8D" w:rsidP="00D113B0" w:rsidRDefault="00650D8D" w14:paraId="6318D9E8" w14:textId="5D7839FB">
      <w:pPr>
        <w:rPr>
          <w:rFonts w:cstheme="minorHAnsi"/>
          <w:i/>
          <w:szCs w:val="24"/>
        </w:rPr>
      </w:pPr>
      <w:r w:rsidRPr="005C3455">
        <w:rPr>
          <w:rFonts w:cstheme="minorHAnsi"/>
          <w:b/>
          <w:szCs w:val="24"/>
        </w:rPr>
        <w:t>Category of Respondent</w:t>
      </w:r>
      <w:proofErr w:type="gramStart"/>
      <w:r w:rsidRPr="005C3455">
        <w:rPr>
          <w:rFonts w:cstheme="minorHAnsi"/>
          <w:b/>
          <w:szCs w:val="24"/>
        </w:rPr>
        <w:t>:</w:t>
      </w:r>
      <w:r w:rsidRPr="005C3455">
        <w:rPr>
          <w:rFonts w:cstheme="minorHAnsi"/>
          <w:szCs w:val="24"/>
        </w:rPr>
        <w:t xml:space="preserve">  </w:t>
      </w:r>
      <w:r w:rsidRPr="005C3455">
        <w:rPr>
          <w:rFonts w:cstheme="minorHAnsi"/>
          <w:i/>
          <w:szCs w:val="24"/>
        </w:rPr>
        <w:t>(</w:t>
      </w:r>
      <w:proofErr w:type="gramEnd"/>
      <w:r w:rsidRPr="005C3455">
        <w:rPr>
          <w:rFonts w:cstheme="minorHAnsi"/>
          <w:i/>
          <w:szCs w:val="24"/>
        </w:rPr>
        <w:t>the options here are Public Sector or Private Sector, or both)</w:t>
      </w:r>
    </w:p>
    <w:p w:rsidRPr="004B0C59" w:rsidR="00C756D2" w:rsidP="00C740FB" w:rsidRDefault="00D146B8" w14:paraId="4C22F74B" w14:textId="2AAE951F">
      <w:pPr>
        <w:pStyle w:val="L1-FlLSp12"/>
        <w:rPr>
          <w:rFonts w:asciiTheme="minorHAnsi" w:hAnsiTheme="minorHAnsi" w:cstheme="minorHAnsi"/>
          <w:sz w:val="22"/>
          <w:szCs w:val="22"/>
        </w:rPr>
      </w:pPr>
      <w:r w:rsidRPr="004B0C59">
        <w:rPr>
          <w:rFonts w:asciiTheme="minorHAnsi" w:hAnsiTheme="minorHAnsi" w:cstheme="minorHAnsi"/>
          <w:sz w:val="22"/>
          <w:szCs w:val="22"/>
        </w:rPr>
        <w:t>Private Sector</w:t>
      </w:r>
    </w:p>
    <w:p w:rsidR="00C756D2" w:rsidP="000F057F" w:rsidRDefault="00C756D2" w14:paraId="5A8FCCB2" w14:textId="77777777">
      <w:pPr>
        <w:pStyle w:val="L1-FlLSp12"/>
        <w:rPr>
          <w:b/>
        </w:rPr>
      </w:pPr>
    </w:p>
    <w:p w:rsidRPr="008147C4" w:rsidR="00B05ACA" w:rsidP="00B05ACA" w:rsidRDefault="00B05ACA" w14:paraId="1D9D5ECA" w14:textId="0C0FF0A6">
      <w:pPr>
        <w:rPr>
          <w:rFonts w:cstheme="minorHAnsi"/>
          <w:i/>
        </w:rPr>
      </w:pPr>
      <w:r w:rsidRPr="008147C4">
        <w:rPr>
          <w:rFonts w:cstheme="minorHAnsi"/>
          <w:b/>
        </w:rPr>
        <w:t>BURDEN HOURS</w:t>
      </w:r>
      <w:r w:rsidRPr="008147C4">
        <w:rPr>
          <w:rFonts w:cstheme="minorHAnsi"/>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Pr="008147C4" w:rsidR="00B05ACA" w:rsidTr="007C5E28" w14:paraId="43CD8FC6" w14:textId="77777777">
        <w:trPr>
          <w:trHeight w:val="274"/>
        </w:trPr>
        <w:tc>
          <w:tcPr>
            <w:tcW w:w="5418" w:type="dxa"/>
          </w:tcPr>
          <w:p w:rsidRPr="008147C4" w:rsidR="00B05ACA" w:rsidP="007C5E28" w:rsidRDefault="00B05ACA" w14:paraId="394A27ED" w14:textId="77777777">
            <w:pPr>
              <w:rPr>
                <w:rFonts w:asciiTheme="minorHAnsi" w:hAnsiTheme="minorHAnsi" w:cstheme="minorHAnsi"/>
                <w:b/>
                <w:sz w:val="22"/>
                <w:szCs w:val="22"/>
              </w:rPr>
            </w:pPr>
            <w:r w:rsidRPr="008147C4">
              <w:rPr>
                <w:rFonts w:asciiTheme="minorHAnsi" w:hAnsiTheme="minorHAnsi" w:cstheme="minorHAnsi"/>
                <w:b/>
                <w:sz w:val="22"/>
                <w:szCs w:val="22"/>
              </w:rPr>
              <w:t xml:space="preserve">Category of Respondent </w:t>
            </w:r>
          </w:p>
        </w:tc>
        <w:tc>
          <w:tcPr>
            <w:tcW w:w="1530" w:type="dxa"/>
          </w:tcPr>
          <w:p w:rsidRPr="008147C4" w:rsidR="00B05ACA" w:rsidP="008A7130" w:rsidRDefault="00B05ACA" w14:paraId="6CEA7FF1" w14:textId="77777777">
            <w:pPr>
              <w:rPr>
                <w:rFonts w:asciiTheme="minorHAnsi" w:hAnsiTheme="minorHAnsi" w:cstheme="minorHAnsi"/>
                <w:b/>
                <w:sz w:val="22"/>
                <w:szCs w:val="22"/>
                <w:highlight w:val="yellow"/>
              </w:rPr>
            </w:pPr>
            <w:r w:rsidRPr="008147C4">
              <w:rPr>
                <w:rFonts w:asciiTheme="minorHAnsi" w:hAnsiTheme="minorHAnsi" w:cstheme="minorHAnsi"/>
                <w:b/>
                <w:sz w:val="22"/>
                <w:szCs w:val="22"/>
              </w:rPr>
              <w:t>No. of Respondents</w:t>
            </w:r>
          </w:p>
        </w:tc>
        <w:tc>
          <w:tcPr>
            <w:tcW w:w="1710" w:type="dxa"/>
          </w:tcPr>
          <w:p w:rsidRPr="008147C4" w:rsidR="00B05ACA" w:rsidP="008A7130" w:rsidRDefault="00B05ACA" w14:paraId="7B3B4060" w14:textId="04A2EC65">
            <w:pPr>
              <w:rPr>
                <w:rFonts w:asciiTheme="minorHAnsi" w:hAnsiTheme="minorHAnsi" w:cstheme="minorHAnsi"/>
                <w:b/>
                <w:sz w:val="22"/>
                <w:szCs w:val="22"/>
              </w:rPr>
            </w:pPr>
            <w:r w:rsidRPr="008147C4">
              <w:rPr>
                <w:rFonts w:asciiTheme="minorHAnsi" w:hAnsiTheme="minorHAnsi" w:cstheme="minorHAnsi"/>
                <w:b/>
                <w:sz w:val="22"/>
                <w:szCs w:val="22"/>
              </w:rPr>
              <w:t>Participation Time</w:t>
            </w:r>
            <w:r w:rsidRPr="008147C4" w:rsidR="006E5D8E">
              <w:rPr>
                <w:rFonts w:asciiTheme="minorHAnsi" w:hAnsiTheme="minorHAnsi" w:cstheme="minorHAnsi"/>
                <w:b/>
                <w:sz w:val="22"/>
                <w:szCs w:val="22"/>
              </w:rPr>
              <w:t xml:space="preserve"> (hours)</w:t>
            </w:r>
          </w:p>
        </w:tc>
        <w:tc>
          <w:tcPr>
            <w:tcW w:w="1003" w:type="dxa"/>
          </w:tcPr>
          <w:p w:rsidRPr="008147C4" w:rsidR="00B05ACA" w:rsidP="008A7130" w:rsidRDefault="00B05ACA" w14:paraId="4FB65114" w14:textId="77777777">
            <w:pPr>
              <w:rPr>
                <w:rFonts w:asciiTheme="minorHAnsi" w:hAnsiTheme="minorHAnsi" w:cstheme="minorHAnsi"/>
                <w:b/>
                <w:sz w:val="22"/>
                <w:szCs w:val="22"/>
              </w:rPr>
            </w:pPr>
            <w:r w:rsidRPr="008147C4">
              <w:rPr>
                <w:rFonts w:asciiTheme="minorHAnsi" w:hAnsiTheme="minorHAnsi" w:cstheme="minorHAnsi"/>
                <w:b/>
                <w:sz w:val="22"/>
                <w:szCs w:val="22"/>
              </w:rPr>
              <w:t>Burden</w:t>
            </w:r>
          </w:p>
          <w:p w:rsidRPr="008147C4" w:rsidR="006E5D8E" w:rsidP="008A7130" w:rsidRDefault="006E5D8E" w14:paraId="2B219E95" w14:textId="07C6CF08">
            <w:pPr>
              <w:rPr>
                <w:rFonts w:asciiTheme="minorHAnsi" w:hAnsiTheme="minorHAnsi" w:cstheme="minorHAnsi"/>
                <w:b/>
                <w:sz w:val="22"/>
                <w:szCs w:val="22"/>
              </w:rPr>
            </w:pPr>
            <w:r w:rsidRPr="008147C4">
              <w:rPr>
                <w:rFonts w:asciiTheme="minorHAnsi" w:hAnsiTheme="minorHAnsi" w:cstheme="minorHAnsi"/>
                <w:b/>
                <w:sz w:val="22"/>
                <w:szCs w:val="22"/>
              </w:rPr>
              <w:t>(hours)</w:t>
            </w:r>
          </w:p>
        </w:tc>
      </w:tr>
      <w:tr w:rsidRPr="008147C4" w:rsidR="008A7130" w:rsidTr="007C5E28" w14:paraId="5443F7F9" w14:textId="77777777">
        <w:trPr>
          <w:trHeight w:val="274"/>
        </w:trPr>
        <w:tc>
          <w:tcPr>
            <w:tcW w:w="5418" w:type="dxa"/>
          </w:tcPr>
          <w:p w:rsidRPr="008147C4" w:rsidR="008A7130" w:rsidP="007C5E28" w:rsidRDefault="00EE53FF" w14:paraId="24EF966D" w14:textId="40AA138F">
            <w:pPr>
              <w:rPr>
                <w:rFonts w:asciiTheme="minorHAnsi" w:hAnsiTheme="minorHAnsi" w:cstheme="minorHAnsi"/>
                <w:sz w:val="22"/>
                <w:szCs w:val="22"/>
              </w:rPr>
            </w:pPr>
            <w:r w:rsidRPr="008147C4">
              <w:rPr>
                <w:rFonts w:asciiTheme="minorHAnsi" w:hAnsiTheme="minorHAnsi" w:cstheme="minorHAnsi"/>
                <w:sz w:val="22"/>
                <w:szCs w:val="22"/>
              </w:rPr>
              <w:t>Physician</w:t>
            </w:r>
            <w:r w:rsidR="00C70597">
              <w:rPr>
                <w:rFonts w:asciiTheme="minorHAnsi" w:hAnsiTheme="minorHAnsi" w:cstheme="minorHAnsi"/>
                <w:sz w:val="22"/>
                <w:szCs w:val="22"/>
              </w:rPr>
              <w:t>s</w:t>
            </w:r>
          </w:p>
          <w:p w:rsidRPr="008147C4" w:rsidR="00EE53FF" w:rsidP="00402671" w:rsidRDefault="00402671" w14:paraId="7D587313" w14:textId="799D67A1">
            <w:pPr>
              <w:rPr>
                <w:rFonts w:asciiTheme="minorHAnsi" w:hAnsiTheme="minorHAnsi" w:cstheme="minorHAnsi"/>
                <w:sz w:val="22"/>
                <w:szCs w:val="22"/>
              </w:rPr>
            </w:pPr>
            <w:r w:rsidRPr="008147C4">
              <w:rPr>
                <w:rFonts w:asciiTheme="minorHAnsi" w:hAnsiTheme="minorHAnsi" w:cstheme="minorHAnsi"/>
                <w:sz w:val="22"/>
                <w:szCs w:val="22"/>
              </w:rPr>
              <w:t>Surgeons, Except Ophthalmologists</w:t>
            </w:r>
            <w:r w:rsidRPr="008147C4" w:rsidR="00EE53FF">
              <w:rPr>
                <w:rFonts w:asciiTheme="minorHAnsi" w:hAnsiTheme="minorHAnsi" w:cstheme="minorHAnsi"/>
                <w:sz w:val="22"/>
                <w:szCs w:val="22"/>
              </w:rPr>
              <w:t xml:space="preserve"> </w:t>
            </w:r>
            <w:r w:rsidRPr="008147C4">
              <w:rPr>
                <w:rFonts w:asciiTheme="minorHAnsi" w:hAnsiTheme="minorHAnsi" w:cstheme="minorHAnsi"/>
                <w:sz w:val="22"/>
                <w:szCs w:val="22"/>
              </w:rPr>
              <w:t>(Code 29-1248)</w:t>
            </w:r>
          </w:p>
        </w:tc>
        <w:tc>
          <w:tcPr>
            <w:tcW w:w="1530" w:type="dxa"/>
          </w:tcPr>
          <w:p w:rsidRPr="008147C4" w:rsidR="008A7130" w:rsidP="004B0C59" w:rsidRDefault="003B05F6" w14:paraId="4543A9B2" w14:textId="16FD7BC4">
            <w:pPr>
              <w:jc w:val="center"/>
              <w:rPr>
                <w:rFonts w:asciiTheme="minorHAnsi" w:hAnsiTheme="minorHAnsi" w:cstheme="minorHAnsi"/>
                <w:sz w:val="22"/>
                <w:szCs w:val="22"/>
              </w:rPr>
            </w:pPr>
            <w:r w:rsidRPr="008147C4">
              <w:rPr>
                <w:rFonts w:asciiTheme="minorHAnsi" w:hAnsiTheme="minorHAnsi" w:cstheme="minorHAnsi"/>
                <w:sz w:val="22"/>
                <w:szCs w:val="22"/>
              </w:rPr>
              <w:t>18</w:t>
            </w:r>
          </w:p>
        </w:tc>
        <w:tc>
          <w:tcPr>
            <w:tcW w:w="1710" w:type="dxa"/>
          </w:tcPr>
          <w:p w:rsidRPr="008147C4" w:rsidR="008A7130" w:rsidP="004B0C59" w:rsidRDefault="008A7130" w14:paraId="4FD1ED00" w14:textId="23EB738A">
            <w:pPr>
              <w:jc w:val="center"/>
              <w:rPr>
                <w:rFonts w:asciiTheme="minorHAnsi" w:hAnsiTheme="minorHAnsi" w:cstheme="minorHAnsi"/>
                <w:sz w:val="22"/>
                <w:szCs w:val="22"/>
              </w:rPr>
            </w:pPr>
            <w:r w:rsidRPr="008147C4">
              <w:rPr>
                <w:rFonts w:asciiTheme="minorHAnsi" w:hAnsiTheme="minorHAnsi" w:cstheme="minorHAnsi"/>
                <w:sz w:val="22"/>
                <w:szCs w:val="22"/>
              </w:rPr>
              <w:t>1</w:t>
            </w:r>
          </w:p>
        </w:tc>
        <w:tc>
          <w:tcPr>
            <w:tcW w:w="1003" w:type="dxa"/>
          </w:tcPr>
          <w:p w:rsidRPr="008147C4" w:rsidR="008A7130" w:rsidP="004B0C59" w:rsidRDefault="003B05F6" w14:paraId="437E02F3" w14:textId="79EC333A">
            <w:pPr>
              <w:jc w:val="center"/>
              <w:rPr>
                <w:rFonts w:asciiTheme="minorHAnsi" w:hAnsiTheme="minorHAnsi" w:cstheme="minorHAnsi"/>
                <w:sz w:val="22"/>
                <w:szCs w:val="22"/>
              </w:rPr>
            </w:pPr>
            <w:r w:rsidRPr="008147C4">
              <w:rPr>
                <w:rFonts w:asciiTheme="minorHAnsi" w:hAnsiTheme="minorHAnsi" w:cstheme="minorHAnsi"/>
                <w:sz w:val="22"/>
                <w:szCs w:val="22"/>
              </w:rPr>
              <w:t>18</w:t>
            </w:r>
          </w:p>
        </w:tc>
      </w:tr>
      <w:tr w:rsidRPr="008147C4" w:rsidR="00B05ACA" w:rsidTr="007C5E28" w14:paraId="4F896ED6" w14:textId="77777777">
        <w:trPr>
          <w:trHeight w:val="274"/>
        </w:trPr>
        <w:tc>
          <w:tcPr>
            <w:tcW w:w="5418" w:type="dxa"/>
          </w:tcPr>
          <w:p w:rsidRPr="008147C4" w:rsidR="00B05ACA" w:rsidP="007C5E28" w:rsidRDefault="008A7130" w14:paraId="24B0C77C" w14:textId="77777777">
            <w:pPr>
              <w:rPr>
                <w:rFonts w:asciiTheme="minorHAnsi" w:hAnsiTheme="minorHAnsi" w:cstheme="minorHAnsi"/>
                <w:sz w:val="22"/>
                <w:szCs w:val="22"/>
              </w:rPr>
            </w:pPr>
            <w:r w:rsidRPr="008147C4">
              <w:rPr>
                <w:rFonts w:asciiTheme="minorHAnsi" w:hAnsiTheme="minorHAnsi" w:cstheme="minorHAnsi"/>
                <w:sz w:val="22"/>
                <w:szCs w:val="22"/>
              </w:rPr>
              <w:t>Nurses</w:t>
            </w:r>
          </w:p>
          <w:p w:rsidRPr="008147C4" w:rsidR="00EE53FF" w:rsidP="007C5E28" w:rsidRDefault="00EE53FF" w14:paraId="40116A02" w14:textId="57F634AB">
            <w:pPr>
              <w:rPr>
                <w:rFonts w:asciiTheme="minorHAnsi" w:hAnsiTheme="minorHAnsi" w:cstheme="minorHAnsi"/>
                <w:sz w:val="22"/>
                <w:szCs w:val="22"/>
              </w:rPr>
            </w:pPr>
            <w:r w:rsidRPr="008147C4">
              <w:rPr>
                <w:rFonts w:asciiTheme="minorHAnsi" w:hAnsiTheme="minorHAnsi" w:cstheme="minorHAnsi"/>
                <w:sz w:val="22"/>
                <w:szCs w:val="22"/>
              </w:rPr>
              <w:t>Registered Nurses (Code</w:t>
            </w:r>
            <w:r w:rsidRPr="008147C4" w:rsidR="00402671">
              <w:rPr>
                <w:rFonts w:asciiTheme="minorHAnsi" w:hAnsiTheme="minorHAnsi" w:cstheme="minorHAnsi"/>
                <w:sz w:val="22"/>
                <w:szCs w:val="22"/>
              </w:rPr>
              <w:t xml:space="preserve"> </w:t>
            </w:r>
            <w:r w:rsidRPr="008147C4" w:rsidR="00402671">
              <w:rPr>
                <w:rFonts w:asciiTheme="minorHAnsi" w:hAnsiTheme="minorHAnsi" w:cstheme="minorHAnsi"/>
                <w:bCs/>
                <w:sz w:val="22"/>
                <w:szCs w:val="22"/>
              </w:rPr>
              <w:t>29-1141)</w:t>
            </w:r>
            <w:r w:rsidRPr="008147C4">
              <w:rPr>
                <w:rFonts w:asciiTheme="minorHAnsi" w:hAnsiTheme="minorHAnsi" w:cstheme="minorHAnsi"/>
                <w:sz w:val="22"/>
                <w:szCs w:val="22"/>
              </w:rPr>
              <w:t xml:space="preserve"> </w:t>
            </w:r>
          </w:p>
        </w:tc>
        <w:tc>
          <w:tcPr>
            <w:tcW w:w="1530" w:type="dxa"/>
          </w:tcPr>
          <w:p w:rsidRPr="008147C4" w:rsidR="00B05ACA" w:rsidP="004B0C59" w:rsidRDefault="003B05F6" w14:paraId="771CA8B6" w14:textId="1D0D7C5B">
            <w:pPr>
              <w:jc w:val="center"/>
              <w:rPr>
                <w:rFonts w:asciiTheme="minorHAnsi" w:hAnsiTheme="minorHAnsi" w:cstheme="minorHAnsi"/>
                <w:sz w:val="22"/>
                <w:szCs w:val="22"/>
              </w:rPr>
            </w:pPr>
            <w:r w:rsidRPr="008147C4">
              <w:rPr>
                <w:rFonts w:asciiTheme="minorHAnsi" w:hAnsiTheme="minorHAnsi" w:cstheme="minorHAnsi"/>
                <w:sz w:val="22"/>
                <w:szCs w:val="22"/>
              </w:rPr>
              <w:t>18</w:t>
            </w:r>
          </w:p>
        </w:tc>
        <w:tc>
          <w:tcPr>
            <w:tcW w:w="1710" w:type="dxa"/>
          </w:tcPr>
          <w:p w:rsidRPr="008147C4" w:rsidR="00B05ACA" w:rsidP="004B0C59" w:rsidRDefault="008A7130" w14:paraId="21815417" w14:textId="1ABC2BFC">
            <w:pPr>
              <w:jc w:val="center"/>
              <w:rPr>
                <w:rFonts w:asciiTheme="minorHAnsi" w:hAnsiTheme="minorHAnsi" w:cstheme="minorHAnsi"/>
                <w:sz w:val="22"/>
                <w:szCs w:val="22"/>
              </w:rPr>
            </w:pPr>
            <w:r w:rsidRPr="008147C4">
              <w:rPr>
                <w:rFonts w:asciiTheme="minorHAnsi" w:hAnsiTheme="minorHAnsi" w:cstheme="minorHAnsi"/>
                <w:sz w:val="22"/>
                <w:szCs w:val="22"/>
              </w:rPr>
              <w:t>1</w:t>
            </w:r>
          </w:p>
        </w:tc>
        <w:tc>
          <w:tcPr>
            <w:tcW w:w="1003" w:type="dxa"/>
          </w:tcPr>
          <w:p w:rsidRPr="008147C4" w:rsidR="00B05ACA" w:rsidP="004B0C59" w:rsidRDefault="003B05F6" w14:paraId="7983C780" w14:textId="6D6C9710">
            <w:pPr>
              <w:jc w:val="center"/>
              <w:rPr>
                <w:rFonts w:asciiTheme="minorHAnsi" w:hAnsiTheme="minorHAnsi" w:cstheme="minorHAnsi"/>
                <w:sz w:val="22"/>
                <w:szCs w:val="22"/>
              </w:rPr>
            </w:pPr>
            <w:r w:rsidRPr="008147C4">
              <w:rPr>
                <w:rFonts w:asciiTheme="minorHAnsi" w:hAnsiTheme="minorHAnsi" w:cstheme="minorHAnsi"/>
                <w:sz w:val="22"/>
                <w:szCs w:val="22"/>
              </w:rPr>
              <w:t>18</w:t>
            </w:r>
          </w:p>
        </w:tc>
      </w:tr>
      <w:tr w:rsidRPr="008147C4" w:rsidR="008A7130" w:rsidTr="007C5E28" w14:paraId="3DFA0FCF" w14:textId="77777777">
        <w:trPr>
          <w:trHeight w:val="289"/>
        </w:trPr>
        <w:tc>
          <w:tcPr>
            <w:tcW w:w="5418" w:type="dxa"/>
          </w:tcPr>
          <w:p w:rsidRPr="008147C4" w:rsidR="008A7130" w:rsidP="007C5E28" w:rsidRDefault="008A7130" w14:paraId="299AC53F" w14:textId="0D90E5E3">
            <w:pPr>
              <w:rPr>
                <w:rFonts w:asciiTheme="minorHAnsi" w:hAnsiTheme="minorHAnsi" w:cstheme="minorHAnsi"/>
                <w:sz w:val="22"/>
                <w:szCs w:val="22"/>
              </w:rPr>
            </w:pPr>
            <w:r w:rsidRPr="008147C4">
              <w:rPr>
                <w:rFonts w:asciiTheme="minorHAnsi" w:hAnsiTheme="minorHAnsi" w:cstheme="minorHAnsi"/>
                <w:sz w:val="22"/>
                <w:szCs w:val="22"/>
              </w:rPr>
              <w:t>Hospital administrator</w:t>
            </w:r>
            <w:r w:rsidR="00C70597">
              <w:rPr>
                <w:rFonts w:asciiTheme="minorHAnsi" w:hAnsiTheme="minorHAnsi" w:cstheme="minorHAnsi"/>
                <w:sz w:val="22"/>
                <w:szCs w:val="22"/>
              </w:rPr>
              <w:t>s</w:t>
            </w:r>
            <w:r w:rsidRPr="008147C4">
              <w:rPr>
                <w:rFonts w:asciiTheme="minorHAnsi" w:hAnsiTheme="minorHAnsi" w:cstheme="minorHAnsi"/>
                <w:sz w:val="22"/>
                <w:szCs w:val="22"/>
              </w:rPr>
              <w:t>/senior leader</w:t>
            </w:r>
            <w:r w:rsidR="00C70597">
              <w:rPr>
                <w:rFonts w:asciiTheme="minorHAnsi" w:hAnsiTheme="minorHAnsi" w:cstheme="minorHAnsi"/>
                <w:sz w:val="22"/>
                <w:szCs w:val="22"/>
              </w:rPr>
              <w:t>s</w:t>
            </w:r>
          </w:p>
          <w:p w:rsidRPr="008147C4" w:rsidR="00EE53FF" w:rsidP="007C5E28" w:rsidRDefault="00EE53FF" w14:paraId="2471A0E5" w14:textId="62DE1DF5">
            <w:pPr>
              <w:rPr>
                <w:rFonts w:asciiTheme="minorHAnsi" w:hAnsiTheme="minorHAnsi" w:cstheme="minorHAnsi"/>
                <w:sz w:val="22"/>
                <w:szCs w:val="22"/>
              </w:rPr>
            </w:pPr>
            <w:r w:rsidRPr="008147C4">
              <w:rPr>
                <w:rFonts w:asciiTheme="minorHAnsi" w:hAnsiTheme="minorHAnsi" w:cstheme="minorHAnsi"/>
                <w:sz w:val="22"/>
                <w:szCs w:val="22"/>
              </w:rPr>
              <w:t>Medical and Health Services Managers (Code 11-9111)</w:t>
            </w:r>
          </w:p>
        </w:tc>
        <w:tc>
          <w:tcPr>
            <w:tcW w:w="1530" w:type="dxa"/>
          </w:tcPr>
          <w:p w:rsidRPr="008147C4" w:rsidR="008A7130" w:rsidP="004B0C59" w:rsidRDefault="00D146B8" w14:paraId="36362677" w14:textId="275EF380">
            <w:pPr>
              <w:jc w:val="center"/>
              <w:rPr>
                <w:rFonts w:asciiTheme="minorHAnsi" w:hAnsiTheme="minorHAnsi" w:cstheme="minorHAnsi"/>
                <w:sz w:val="22"/>
                <w:szCs w:val="22"/>
              </w:rPr>
            </w:pPr>
            <w:r w:rsidRPr="008147C4">
              <w:rPr>
                <w:rFonts w:asciiTheme="minorHAnsi" w:hAnsiTheme="minorHAnsi" w:cstheme="minorHAnsi"/>
                <w:sz w:val="22"/>
                <w:szCs w:val="22"/>
              </w:rPr>
              <w:t>18</w:t>
            </w:r>
          </w:p>
        </w:tc>
        <w:tc>
          <w:tcPr>
            <w:tcW w:w="1710" w:type="dxa"/>
          </w:tcPr>
          <w:p w:rsidRPr="008147C4" w:rsidR="008A7130" w:rsidP="004B0C59" w:rsidRDefault="008A7130" w14:paraId="566E82B0" w14:textId="3FF01486">
            <w:pPr>
              <w:jc w:val="center"/>
              <w:rPr>
                <w:rFonts w:asciiTheme="minorHAnsi" w:hAnsiTheme="minorHAnsi" w:cstheme="minorHAnsi"/>
                <w:sz w:val="22"/>
                <w:szCs w:val="22"/>
              </w:rPr>
            </w:pPr>
            <w:r w:rsidRPr="008147C4">
              <w:rPr>
                <w:rFonts w:asciiTheme="minorHAnsi" w:hAnsiTheme="minorHAnsi" w:cstheme="minorHAnsi"/>
                <w:sz w:val="22"/>
                <w:szCs w:val="22"/>
              </w:rPr>
              <w:t>1</w:t>
            </w:r>
          </w:p>
        </w:tc>
        <w:tc>
          <w:tcPr>
            <w:tcW w:w="1003" w:type="dxa"/>
          </w:tcPr>
          <w:p w:rsidRPr="008147C4" w:rsidR="008A7130" w:rsidP="004B0C59" w:rsidRDefault="00D146B8" w14:paraId="68988382" w14:textId="4CAB947E">
            <w:pPr>
              <w:jc w:val="center"/>
              <w:rPr>
                <w:rFonts w:asciiTheme="minorHAnsi" w:hAnsiTheme="minorHAnsi" w:cstheme="minorHAnsi"/>
                <w:sz w:val="22"/>
                <w:szCs w:val="22"/>
              </w:rPr>
            </w:pPr>
            <w:r w:rsidRPr="008147C4">
              <w:rPr>
                <w:rFonts w:asciiTheme="minorHAnsi" w:hAnsiTheme="minorHAnsi" w:cstheme="minorHAnsi"/>
                <w:sz w:val="22"/>
                <w:szCs w:val="22"/>
              </w:rPr>
              <w:t>18</w:t>
            </w:r>
          </w:p>
        </w:tc>
      </w:tr>
      <w:tr w:rsidRPr="008147C4" w:rsidR="00B05ACA" w:rsidTr="007C5E28" w14:paraId="6CAF99F2" w14:textId="77777777">
        <w:trPr>
          <w:trHeight w:val="289"/>
        </w:trPr>
        <w:tc>
          <w:tcPr>
            <w:tcW w:w="5418" w:type="dxa"/>
          </w:tcPr>
          <w:p w:rsidRPr="008147C4" w:rsidR="00B05ACA" w:rsidP="007C5E28" w:rsidRDefault="00B05ACA" w14:paraId="666DF2F6" w14:textId="3B3814D1">
            <w:pPr>
              <w:rPr>
                <w:rFonts w:asciiTheme="minorHAnsi" w:hAnsiTheme="minorHAnsi" w:cstheme="minorHAnsi"/>
                <w:b/>
                <w:sz w:val="22"/>
                <w:szCs w:val="22"/>
              </w:rPr>
            </w:pPr>
            <w:r w:rsidRPr="008147C4">
              <w:rPr>
                <w:rFonts w:asciiTheme="minorHAnsi" w:hAnsiTheme="minorHAnsi" w:cstheme="minorHAnsi"/>
                <w:b/>
                <w:sz w:val="22"/>
                <w:szCs w:val="22"/>
              </w:rPr>
              <w:t>Total</w:t>
            </w:r>
          </w:p>
        </w:tc>
        <w:tc>
          <w:tcPr>
            <w:tcW w:w="1530" w:type="dxa"/>
          </w:tcPr>
          <w:p w:rsidRPr="008147C4" w:rsidR="00B05ACA" w:rsidP="004B0C59" w:rsidRDefault="00B05ACA" w14:paraId="230EC4CD" w14:textId="0F57C7FF">
            <w:pPr>
              <w:jc w:val="center"/>
              <w:rPr>
                <w:rFonts w:asciiTheme="minorHAnsi" w:hAnsiTheme="minorHAnsi" w:cstheme="minorHAnsi"/>
                <w:b/>
                <w:sz w:val="22"/>
                <w:szCs w:val="22"/>
              </w:rPr>
            </w:pPr>
          </w:p>
        </w:tc>
        <w:tc>
          <w:tcPr>
            <w:tcW w:w="1710" w:type="dxa"/>
          </w:tcPr>
          <w:p w:rsidRPr="008147C4" w:rsidR="00B05ACA" w:rsidP="004B0C59" w:rsidRDefault="00B05ACA" w14:paraId="08A0A280" w14:textId="47222048">
            <w:pPr>
              <w:jc w:val="center"/>
              <w:rPr>
                <w:rFonts w:asciiTheme="minorHAnsi" w:hAnsiTheme="minorHAnsi" w:cstheme="minorHAnsi"/>
                <w:sz w:val="22"/>
                <w:szCs w:val="22"/>
              </w:rPr>
            </w:pPr>
          </w:p>
        </w:tc>
        <w:tc>
          <w:tcPr>
            <w:tcW w:w="1003" w:type="dxa"/>
          </w:tcPr>
          <w:p w:rsidRPr="008147C4" w:rsidR="00B05ACA" w:rsidP="004B0C59" w:rsidRDefault="00D146B8" w14:paraId="1586BA8E" w14:textId="2CF4F6C4">
            <w:pPr>
              <w:jc w:val="center"/>
              <w:rPr>
                <w:rFonts w:asciiTheme="minorHAnsi" w:hAnsiTheme="minorHAnsi" w:cstheme="minorHAnsi"/>
                <w:b/>
                <w:sz w:val="22"/>
                <w:szCs w:val="22"/>
              </w:rPr>
            </w:pPr>
            <w:r w:rsidRPr="008147C4">
              <w:rPr>
                <w:rFonts w:asciiTheme="minorHAnsi" w:hAnsiTheme="minorHAnsi" w:cstheme="minorHAnsi"/>
                <w:b/>
                <w:sz w:val="22"/>
                <w:szCs w:val="22"/>
              </w:rPr>
              <w:t>54</w:t>
            </w:r>
          </w:p>
        </w:tc>
      </w:tr>
    </w:tbl>
    <w:p w:rsidRPr="008147C4" w:rsidR="00C756D2" w:rsidP="000F057F" w:rsidRDefault="00C756D2" w14:paraId="5DA29106" w14:textId="77777777">
      <w:pPr>
        <w:spacing w:after="0"/>
        <w:rPr>
          <w:rFonts w:cstheme="minorHAnsi"/>
          <w:b/>
          <w:highlight w:val="green"/>
        </w:rPr>
      </w:pPr>
    </w:p>
    <w:p w:rsidR="00726A6D" w:rsidP="00C02632" w:rsidRDefault="00B05ACA" w14:paraId="0A14A8D2" w14:textId="44569976">
      <w:pPr>
        <w:rPr>
          <w:rFonts w:cstheme="minorHAnsi"/>
          <w:u w:val="single"/>
        </w:rPr>
      </w:pPr>
      <w:r w:rsidRPr="00C740FB">
        <w:rPr>
          <w:rFonts w:cstheme="minorHAnsi"/>
          <w:b/>
        </w:rPr>
        <w:t xml:space="preserve">FEDERAL COST:  </w:t>
      </w:r>
      <w:r w:rsidRPr="00C740FB">
        <w:rPr>
          <w:rFonts w:cstheme="minorHAnsi"/>
        </w:rPr>
        <w:t>The estimated annual cos</w:t>
      </w:r>
      <w:r w:rsidRPr="00C740FB" w:rsidR="00591F1F">
        <w:rPr>
          <w:rFonts w:cstheme="minorHAnsi"/>
        </w:rPr>
        <w:t xml:space="preserve">t to the Federal government is </w:t>
      </w:r>
      <w:r w:rsidRPr="008A5D8E" w:rsidR="00821A12">
        <w:rPr>
          <w:rFonts w:ascii="Calibri" w:hAnsi="Calibri" w:eastAsia="Times New Roman" w:cs="Calibri"/>
          <w:b/>
          <w:bCs/>
          <w:color w:val="000000"/>
        </w:rPr>
        <w:t>$38,544.80</w:t>
      </w:r>
    </w:p>
    <w:p w:rsidRPr="00095A44" w:rsidR="00BA4D86" w:rsidP="00BA4D86" w:rsidRDefault="00BA4D86" w14:paraId="247498D9" w14:textId="76553E6E">
      <w:pPr>
        <w:spacing w:before="120" w:after="0" w:line="240" w:lineRule="auto"/>
        <w:rPr>
          <w:rFonts w:cstheme="minorHAnsi"/>
        </w:rPr>
      </w:pPr>
      <w:r w:rsidRPr="00021B0C">
        <w:rPr>
          <w:rFonts w:cstheme="minorHAnsi"/>
        </w:rPr>
        <w:t>Estimated total and a</w:t>
      </w:r>
      <w:r w:rsidRPr="00095A44">
        <w:rPr>
          <w:rFonts w:cstheme="minorHAnsi"/>
        </w:rPr>
        <w:t>nnualized cost of Federal employee involvement in this one-year project-</w:t>
      </w:r>
    </w:p>
    <w:tbl>
      <w:tblPr>
        <w:tblStyle w:val="TableGrid"/>
        <w:tblW w:w="0" w:type="auto"/>
        <w:tblLook w:val="04A0" w:firstRow="1" w:lastRow="0" w:firstColumn="1" w:lastColumn="0" w:noHBand="0" w:noVBand="1"/>
      </w:tblPr>
      <w:tblGrid>
        <w:gridCol w:w="4855"/>
        <w:gridCol w:w="3150"/>
        <w:gridCol w:w="1890"/>
      </w:tblGrid>
      <w:tr w:rsidRPr="00021B0C" w:rsidR="00BA4D86" w:rsidTr="004B0C59" w14:paraId="347D7715" w14:textId="77777777">
        <w:tc>
          <w:tcPr>
            <w:tcW w:w="4855" w:type="dxa"/>
            <w:shd w:val="clear" w:color="auto" w:fill="auto"/>
          </w:tcPr>
          <w:p w:rsidRPr="008F7A33" w:rsidR="00BA4D86" w:rsidP="00B3596B" w:rsidRDefault="00BA4D86" w14:paraId="28189480" w14:textId="739224B7">
            <w:pPr>
              <w:spacing w:before="120"/>
              <w:rPr>
                <w:rFonts w:asciiTheme="minorHAnsi" w:hAnsiTheme="minorHAnsi" w:cstheme="minorHAnsi"/>
                <w:b/>
                <w:bCs/>
                <w:sz w:val="22"/>
                <w:szCs w:val="22"/>
              </w:rPr>
            </w:pPr>
            <w:r w:rsidRPr="00E645CE">
              <w:rPr>
                <w:rFonts w:asciiTheme="minorHAnsi" w:hAnsiTheme="minorHAnsi" w:cstheme="minorHAnsi"/>
                <w:b/>
                <w:bCs/>
              </w:rPr>
              <w:t>Cost Component</w:t>
            </w:r>
            <w:r w:rsidRPr="008F7A33" w:rsidR="00821A12">
              <w:rPr>
                <w:rFonts w:asciiTheme="minorHAnsi" w:hAnsiTheme="minorHAnsi" w:cstheme="minorHAnsi"/>
                <w:b/>
                <w:bCs/>
                <w:sz w:val="22"/>
                <w:szCs w:val="22"/>
              </w:rPr>
              <w:t>: Salaries</w:t>
            </w:r>
            <w:r w:rsidRPr="00E645CE">
              <w:rPr>
                <w:rFonts w:asciiTheme="minorHAnsi" w:hAnsiTheme="minorHAnsi" w:cstheme="minorHAnsi"/>
                <w:b/>
                <w:bCs/>
              </w:rPr>
              <w:t xml:space="preserve"> </w:t>
            </w:r>
          </w:p>
        </w:tc>
        <w:tc>
          <w:tcPr>
            <w:tcW w:w="3150" w:type="dxa"/>
            <w:tcBorders>
              <w:bottom w:val="single" w:color="auto" w:sz="4" w:space="0"/>
            </w:tcBorders>
            <w:shd w:val="clear" w:color="auto" w:fill="auto"/>
          </w:tcPr>
          <w:p w:rsidRPr="008F7A33" w:rsidR="00BA4D86" w:rsidP="00B3596B" w:rsidRDefault="00BA4D86" w14:paraId="5205B9E8" w14:textId="4EBC6848">
            <w:pPr>
              <w:spacing w:before="120"/>
              <w:rPr>
                <w:rFonts w:asciiTheme="minorHAnsi" w:hAnsiTheme="minorHAnsi" w:cstheme="minorHAnsi"/>
                <w:b/>
                <w:bCs/>
                <w:sz w:val="22"/>
                <w:szCs w:val="22"/>
              </w:rPr>
            </w:pPr>
            <w:r w:rsidRPr="00E645CE">
              <w:rPr>
                <w:rFonts w:asciiTheme="minorHAnsi" w:hAnsiTheme="minorHAnsi" w:cstheme="minorHAnsi"/>
                <w:b/>
                <w:bCs/>
              </w:rPr>
              <w:t>Total Cost (% effort)</w:t>
            </w:r>
          </w:p>
        </w:tc>
        <w:tc>
          <w:tcPr>
            <w:tcW w:w="1890" w:type="dxa"/>
            <w:tcBorders>
              <w:bottom w:val="single" w:color="auto" w:sz="4" w:space="0"/>
            </w:tcBorders>
            <w:shd w:val="clear" w:color="auto" w:fill="auto"/>
          </w:tcPr>
          <w:p w:rsidRPr="008F7A33" w:rsidR="00BA4D86" w:rsidP="00B3596B" w:rsidRDefault="00BA4D86" w14:paraId="40B9D717" w14:textId="77777777">
            <w:pPr>
              <w:spacing w:before="120"/>
              <w:rPr>
                <w:rFonts w:asciiTheme="minorHAnsi" w:hAnsiTheme="minorHAnsi" w:cstheme="minorHAnsi"/>
                <w:b/>
                <w:bCs/>
                <w:sz w:val="22"/>
                <w:szCs w:val="22"/>
              </w:rPr>
            </w:pPr>
            <w:r w:rsidRPr="00E645CE">
              <w:rPr>
                <w:rFonts w:asciiTheme="minorHAnsi" w:hAnsiTheme="minorHAnsi" w:cstheme="minorHAnsi"/>
                <w:b/>
                <w:bCs/>
              </w:rPr>
              <w:t>Annualized Cost</w:t>
            </w:r>
          </w:p>
        </w:tc>
      </w:tr>
      <w:tr w:rsidRPr="00021B0C" w:rsidR="00BA4D86" w:rsidTr="004B0C59" w14:paraId="1BAD06BF" w14:textId="77777777">
        <w:tc>
          <w:tcPr>
            <w:tcW w:w="4855" w:type="dxa"/>
            <w:shd w:val="clear" w:color="auto" w:fill="auto"/>
          </w:tcPr>
          <w:p w:rsidRPr="004B0C59" w:rsidR="00BA4D86" w:rsidP="00B3596B" w:rsidRDefault="00821A12" w14:paraId="4C4E1F6B" w14:textId="248AEB62">
            <w:pPr>
              <w:spacing w:before="120"/>
              <w:rPr>
                <w:rFonts w:asciiTheme="minorHAnsi" w:hAnsiTheme="minorHAnsi" w:cstheme="minorHAnsi"/>
                <w:sz w:val="22"/>
                <w:szCs w:val="22"/>
              </w:rPr>
            </w:pPr>
            <w:r>
              <w:rPr>
                <w:rFonts w:asciiTheme="minorHAnsi" w:hAnsiTheme="minorHAnsi" w:cstheme="minorHAnsi"/>
                <w:sz w:val="22"/>
                <w:szCs w:val="22"/>
              </w:rPr>
              <w:t>P</w:t>
            </w:r>
            <w:r w:rsidRPr="0088524C" w:rsidR="00BA4D86">
              <w:rPr>
                <w:rFonts w:cstheme="minorHAnsi"/>
              </w:rPr>
              <w:t>rimary oversight</w:t>
            </w:r>
            <w:r>
              <w:rPr>
                <w:rFonts w:asciiTheme="minorHAnsi" w:hAnsiTheme="minorHAnsi" w:cstheme="minorHAnsi"/>
                <w:sz w:val="22"/>
                <w:szCs w:val="22"/>
              </w:rPr>
              <w:t xml:space="preserve"> provided by </w:t>
            </w:r>
            <w:r w:rsidRPr="008A5D8E">
              <w:rPr>
                <w:rFonts w:asciiTheme="minorHAnsi" w:hAnsiTheme="minorHAnsi" w:cstheme="minorHAnsi"/>
                <w:sz w:val="22"/>
                <w:szCs w:val="22"/>
              </w:rPr>
              <w:t>AHRQ GS-15 Task Order Officer</w:t>
            </w:r>
          </w:p>
        </w:tc>
        <w:tc>
          <w:tcPr>
            <w:tcW w:w="3150" w:type="dxa"/>
            <w:shd w:val="clear" w:color="auto" w:fill="auto"/>
          </w:tcPr>
          <w:p w:rsidRPr="004B0C59" w:rsidR="00BA4D86" w:rsidP="004B0C59" w:rsidRDefault="00232FDD" w14:paraId="6C182DF3" w14:textId="1A947938">
            <w:pPr>
              <w:rPr>
                <w:rFonts w:asciiTheme="minorHAnsi" w:hAnsiTheme="minorHAnsi" w:cstheme="minorHAnsi"/>
                <w:color w:val="000000"/>
                <w:sz w:val="22"/>
                <w:szCs w:val="22"/>
              </w:rPr>
            </w:pPr>
            <w:r w:rsidRPr="004B0C59">
              <w:rPr>
                <w:rFonts w:asciiTheme="minorHAnsi" w:hAnsiTheme="minorHAnsi" w:cstheme="minorHAnsi"/>
                <w:color w:val="000000"/>
              </w:rPr>
              <w:t xml:space="preserve">$16,334.50 </w:t>
            </w:r>
            <w:r w:rsidRPr="0088524C" w:rsidR="00BA4D86">
              <w:rPr>
                <w:rFonts w:cstheme="minorHAnsi"/>
              </w:rPr>
              <w:t>(10</w:t>
            </w:r>
            <w:r w:rsidRPr="0088524C">
              <w:rPr>
                <w:rFonts w:cstheme="minorHAnsi"/>
              </w:rPr>
              <w:t xml:space="preserve"> </w:t>
            </w:r>
            <w:r w:rsidRPr="004B0C59" w:rsidR="00BA4D86">
              <w:rPr>
                <w:rFonts w:cstheme="minorHAnsi"/>
              </w:rPr>
              <w:t>%)</w:t>
            </w:r>
          </w:p>
        </w:tc>
        <w:tc>
          <w:tcPr>
            <w:tcW w:w="1890" w:type="dxa"/>
            <w:shd w:val="clear" w:color="auto" w:fill="auto"/>
          </w:tcPr>
          <w:p w:rsidRPr="004B0C59" w:rsidR="00BA4D86" w:rsidP="004B0C59" w:rsidRDefault="00021B0C" w14:paraId="76A7BA8F" w14:textId="3B0CCF19">
            <w:pPr>
              <w:spacing w:before="120"/>
              <w:jc w:val="center"/>
              <w:rPr>
                <w:rFonts w:asciiTheme="minorHAnsi" w:hAnsiTheme="minorHAnsi" w:cstheme="minorHAnsi"/>
                <w:sz w:val="22"/>
                <w:szCs w:val="22"/>
              </w:rPr>
            </w:pPr>
            <w:r w:rsidRPr="004B0C59">
              <w:rPr>
                <w:rFonts w:asciiTheme="minorHAnsi" w:hAnsiTheme="minorHAnsi" w:cstheme="minorHAnsi"/>
                <w:color w:val="000000"/>
              </w:rPr>
              <w:t>$16,334.50</w:t>
            </w:r>
          </w:p>
        </w:tc>
      </w:tr>
      <w:tr w:rsidRPr="00021B0C" w:rsidR="00BA4D86" w:rsidTr="004B0C59" w14:paraId="5E977836" w14:textId="77777777">
        <w:tc>
          <w:tcPr>
            <w:tcW w:w="4855" w:type="dxa"/>
            <w:shd w:val="clear" w:color="auto" w:fill="auto"/>
          </w:tcPr>
          <w:p w:rsidRPr="004B0C59" w:rsidR="00BA4D86" w:rsidP="00B3596B" w:rsidRDefault="00821A12" w14:paraId="57E89E88" w14:textId="58C1CD25">
            <w:pPr>
              <w:spacing w:before="120"/>
              <w:rPr>
                <w:rFonts w:asciiTheme="minorHAnsi" w:hAnsiTheme="minorHAnsi" w:cstheme="minorHAnsi"/>
                <w:sz w:val="22"/>
                <w:szCs w:val="22"/>
              </w:rPr>
            </w:pPr>
            <w:r>
              <w:rPr>
                <w:rFonts w:asciiTheme="minorHAnsi" w:hAnsiTheme="minorHAnsi" w:cstheme="minorHAnsi"/>
                <w:sz w:val="22"/>
                <w:szCs w:val="22"/>
              </w:rPr>
              <w:t>R</w:t>
            </w:r>
            <w:r w:rsidRPr="008A5D8E">
              <w:rPr>
                <w:rFonts w:asciiTheme="minorHAnsi" w:hAnsiTheme="minorHAnsi" w:cstheme="minorHAnsi"/>
                <w:sz w:val="22"/>
                <w:szCs w:val="22"/>
              </w:rPr>
              <w:t>eview and support</w:t>
            </w:r>
            <w:r>
              <w:rPr>
                <w:rFonts w:asciiTheme="minorHAnsi" w:hAnsiTheme="minorHAnsi" w:cstheme="minorHAnsi"/>
                <w:sz w:val="22"/>
                <w:szCs w:val="22"/>
              </w:rPr>
              <w:t xml:space="preserve"> provided by</w:t>
            </w:r>
            <w:r w:rsidRPr="00021B0C">
              <w:rPr>
                <w:rFonts w:cstheme="minorHAnsi"/>
              </w:rPr>
              <w:t xml:space="preserve"> </w:t>
            </w:r>
            <w:r w:rsidRPr="0088524C" w:rsidR="00BA4D86">
              <w:rPr>
                <w:rFonts w:cstheme="minorHAnsi"/>
              </w:rPr>
              <w:t xml:space="preserve">AHRQ GS-15 </w:t>
            </w:r>
          </w:p>
        </w:tc>
        <w:tc>
          <w:tcPr>
            <w:tcW w:w="3150" w:type="dxa"/>
            <w:shd w:val="clear" w:color="auto" w:fill="auto"/>
          </w:tcPr>
          <w:p w:rsidRPr="004B0C59" w:rsidR="00BA4D86" w:rsidP="00B3596B" w:rsidRDefault="00232FDD" w14:paraId="1216BCBF" w14:textId="2C5A3D01">
            <w:pPr>
              <w:spacing w:before="120"/>
              <w:rPr>
                <w:rFonts w:asciiTheme="minorHAnsi" w:hAnsiTheme="minorHAnsi" w:cstheme="minorHAnsi"/>
                <w:sz w:val="22"/>
                <w:szCs w:val="22"/>
              </w:rPr>
            </w:pPr>
            <w:r w:rsidRPr="004B0C59">
              <w:rPr>
                <w:rFonts w:asciiTheme="minorHAnsi" w:hAnsiTheme="minorHAnsi" w:cstheme="minorHAnsi"/>
                <w:color w:val="000000"/>
              </w:rPr>
              <w:t xml:space="preserve">$16,334.50 </w:t>
            </w:r>
            <w:r w:rsidRPr="0088524C">
              <w:rPr>
                <w:rFonts w:cstheme="minorHAnsi"/>
              </w:rPr>
              <w:t>(10 %)</w:t>
            </w:r>
          </w:p>
        </w:tc>
        <w:tc>
          <w:tcPr>
            <w:tcW w:w="1890" w:type="dxa"/>
            <w:shd w:val="clear" w:color="auto" w:fill="auto"/>
          </w:tcPr>
          <w:p w:rsidRPr="004B0C59" w:rsidR="00BA4D86" w:rsidP="004B0C59" w:rsidRDefault="00021B0C" w14:paraId="0D53B019" w14:textId="27250B61">
            <w:pPr>
              <w:spacing w:before="120"/>
              <w:jc w:val="center"/>
              <w:rPr>
                <w:rFonts w:asciiTheme="minorHAnsi" w:hAnsiTheme="minorHAnsi" w:cstheme="minorHAnsi"/>
                <w:sz w:val="22"/>
                <w:szCs w:val="22"/>
              </w:rPr>
            </w:pPr>
            <w:r w:rsidRPr="004B0C59">
              <w:rPr>
                <w:rFonts w:asciiTheme="minorHAnsi" w:hAnsiTheme="minorHAnsi" w:cstheme="minorHAnsi"/>
                <w:color w:val="000000"/>
              </w:rPr>
              <w:t>$16,334.50</w:t>
            </w:r>
          </w:p>
        </w:tc>
      </w:tr>
      <w:tr w:rsidRPr="00021B0C" w:rsidR="00BA4D86" w:rsidTr="004B0C59" w14:paraId="3F8C2FD3" w14:textId="77777777">
        <w:trPr>
          <w:trHeight w:val="215"/>
        </w:trPr>
        <w:tc>
          <w:tcPr>
            <w:tcW w:w="4855" w:type="dxa"/>
            <w:shd w:val="clear" w:color="auto" w:fill="auto"/>
          </w:tcPr>
          <w:p w:rsidRPr="004B0C59" w:rsidR="00BA4D86" w:rsidP="00B3596B" w:rsidRDefault="00821A12" w14:paraId="73EB943E" w14:textId="71D75B0E">
            <w:pPr>
              <w:spacing w:before="120"/>
              <w:rPr>
                <w:rFonts w:asciiTheme="minorHAnsi" w:hAnsiTheme="minorHAnsi" w:cstheme="minorHAnsi"/>
                <w:sz w:val="22"/>
                <w:szCs w:val="22"/>
              </w:rPr>
            </w:pPr>
            <w:r>
              <w:rPr>
                <w:rFonts w:asciiTheme="minorHAnsi" w:hAnsiTheme="minorHAnsi" w:cstheme="minorHAnsi"/>
                <w:sz w:val="22"/>
                <w:szCs w:val="22"/>
              </w:rPr>
              <w:t>A</w:t>
            </w:r>
            <w:r w:rsidRPr="008A5D8E">
              <w:rPr>
                <w:rFonts w:asciiTheme="minorHAnsi" w:hAnsiTheme="minorHAnsi" w:cstheme="minorHAnsi"/>
                <w:sz w:val="22"/>
                <w:szCs w:val="22"/>
              </w:rPr>
              <w:t>dministrati</w:t>
            </w:r>
            <w:r>
              <w:rPr>
                <w:rFonts w:asciiTheme="minorHAnsi" w:hAnsiTheme="minorHAnsi" w:cstheme="minorHAnsi"/>
                <w:sz w:val="22"/>
                <w:szCs w:val="22"/>
              </w:rPr>
              <w:t>ve support provided by</w:t>
            </w:r>
            <w:r w:rsidRPr="00021B0C">
              <w:rPr>
                <w:rFonts w:cstheme="minorHAnsi"/>
              </w:rPr>
              <w:t xml:space="preserve"> </w:t>
            </w:r>
            <w:r w:rsidRPr="0088524C" w:rsidR="00BA4D86">
              <w:rPr>
                <w:rFonts w:cstheme="minorHAnsi"/>
              </w:rPr>
              <w:t xml:space="preserve">AHRQ GS-13 Program Manager </w:t>
            </w:r>
          </w:p>
        </w:tc>
        <w:tc>
          <w:tcPr>
            <w:tcW w:w="3150" w:type="dxa"/>
            <w:tcBorders>
              <w:bottom w:val="nil"/>
            </w:tcBorders>
            <w:shd w:val="clear" w:color="auto" w:fill="auto"/>
          </w:tcPr>
          <w:p w:rsidRPr="004B0C59" w:rsidR="00BA4D86" w:rsidP="004B0C59" w:rsidRDefault="00232FDD" w14:paraId="2FA30C8E" w14:textId="00B63556">
            <w:pPr>
              <w:rPr>
                <w:rFonts w:asciiTheme="minorHAnsi" w:hAnsiTheme="minorHAnsi" w:cstheme="minorHAnsi"/>
                <w:color w:val="000000"/>
                <w:sz w:val="22"/>
                <w:szCs w:val="22"/>
              </w:rPr>
            </w:pPr>
            <w:r w:rsidRPr="004B0C59">
              <w:rPr>
                <w:rFonts w:asciiTheme="minorHAnsi" w:hAnsiTheme="minorHAnsi" w:cstheme="minorHAnsi"/>
                <w:color w:val="000000"/>
              </w:rPr>
              <w:t>$5,875.80</w:t>
            </w:r>
            <w:r w:rsidRPr="004B0C59" w:rsidR="000C15E4">
              <w:rPr>
                <w:rFonts w:asciiTheme="minorHAnsi" w:hAnsiTheme="minorHAnsi" w:cstheme="minorHAnsi"/>
                <w:color w:val="000000"/>
              </w:rPr>
              <w:t xml:space="preserve"> </w:t>
            </w:r>
            <w:r w:rsidRPr="0088524C" w:rsidR="00BA4D86">
              <w:rPr>
                <w:rFonts w:cstheme="minorHAnsi"/>
              </w:rPr>
              <w:t>(</w:t>
            </w:r>
            <w:r w:rsidRPr="0088524C">
              <w:rPr>
                <w:rFonts w:cstheme="minorHAnsi"/>
              </w:rPr>
              <w:t xml:space="preserve">5 </w:t>
            </w:r>
            <w:r w:rsidRPr="0088524C" w:rsidR="00BA4D86">
              <w:rPr>
                <w:rFonts w:cstheme="minorHAnsi"/>
              </w:rPr>
              <w:t>%)</w:t>
            </w:r>
          </w:p>
        </w:tc>
        <w:tc>
          <w:tcPr>
            <w:tcW w:w="1890" w:type="dxa"/>
            <w:tcBorders>
              <w:bottom w:val="nil"/>
            </w:tcBorders>
            <w:shd w:val="clear" w:color="auto" w:fill="auto"/>
          </w:tcPr>
          <w:p w:rsidRPr="004B0C59" w:rsidR="00BA4D86" w:rsidP="004B0C59" w:rsidRDefault="00021B0C" w14:paraId="1D256B25" w14:textId="264E9EA2">
            <w:pPr>
              <w:spacing w:before="120"/>
              <w:jc w:val="center"/>
              <w:rPr>
                <w:rFonts w:asciiTheme="minorHAnsi" w:hAnsiTheme="minorHAnsi" w:cstheme="minorHAnsi"/>
                <w:sz w:val="22"/>
                <w:szCs w:val="22"/>
              </w:rPr>
            </w:pPr>
            <w:r w:rsidRPr="004B0C59">
              <w:rPr>
                <w:rFonts w:asciiTheme="minorHAnsi" w:hAnsiTheme="minorHAnsi" w:cstheme="minorHAnsi"/>
                <w:color w:val="000000"/>
              </w:rPr>
              <w:t>$5,875.80</w:t>
            </w:r>
          </w:p>
        </w:tc>
      </w:tr>
      <w:tr w:rsidRPr="00095A44" w:rsidR="00821A12" w:rsidTr="00821A12" w14:paraId="4BBF3065" w14:textId="77777777">
        <w:tc>
          <w:tcPr>
            <w:tcW w:w="4855" w:type="dxa"/>
          </w:tcPr>
          <w:p w:rsidRPr="004B0C59" w:rsidR="00821A12" w:rsidP="008A5D8E" w:rsidRDefault="00821A12" w14:paraId="628D1A43" w14:textId="77777777">
            <w:pPr>
              <w:rPr>
                <w:rFonts w:asciiTheme="minorHAnsi" w:hAnsiTheme="minorHAnsi" w:cstheme="minorHAnsi"/>
                <w:b/>
                <w:bCs/>
                <w:sz w:val="22"/>
                <w:szCs w:val="22"/>
              </w:rPr>
            </w:pPr>
            <w:r w:rsidRPr="004B0C59">
              <w:rPr>
                <w:rFonts w:cstheme="minorHAnsi"/>
                <w:b/>
                <w:bCs/>
              </w:rPr>
              <w:t>Total</w:t>
            </w:r>
          </w:p>
        </w:tc>
        <w:tc>
          <w:tcPr>
            <w:tcW w:w="3150" w:type="dxa"/>
          </w:tcPr>
          <w:p w:rsidRPr="005C3455" w:rsidR="00821A12" w:rsidP="008A5D8E" w:rsidRDefault="00821A12" w14:paraId="5A3570A1" w14:textId="77777777">
            <w:pPr>
              <w:rPr>
                <w:rFonts w:asciiTheme="minorHAnsi" w:hAnsiTheme="minorHAnsi" w:cstheme="minorHAnsi"/>
                <w:bCs/>
                <w:sz w:val="22"/>
                <w:szCs w:val="22"/>
              </w:rPr>
            </w:pPr>
          </w:p>
        </w:tc>
        <w:tc>
          <w:tcPr>
            <w:tcW w:w="1890" w:type="dxa"/>
          </w:tcPr>
          <w:p w:rsidRPr="00095A44" w:rsidR="00821A12" w:rsidP="008A5D8E" w:rsidRDefault="00821A12" w14:paraId="4F2EA6BB" w14:textId="4411FA25">
            <w:pPr>
              <w:jc w:val="center"/>
              <w:rPr>
                <w:rFonts w:asciiTheme="minorHAnsi" w:hAnsiTheme="minorHAnsi" w:cstheme="minorHAnsi"/>
                <w:b/>
                <w:bCs/>
                <w:sz w:val="22"/>
                <w:szCs w:val="22"/>
                <w:u w:val="single"/>
              </w:rPr>
            </w:pPr>
            <w:r w:rsidRPr="008A5D8E">
              <w:rPr>
                <w:rFonts w:asciiTheme="minorHAnsi" w:hAnsiTheme="minorHAnsi" w:cstheme="minorHAnsi"/>
                <w:b/>
                <w:bCs/>
                <w:sz w:val="22"/>
                <w:szCs w:val="22"/>
                <w:u w:val="single"/>
              </w:rPr>
              <w:t>$</w:t>
            </w:r>
            <w:r w:rsidRPr="008A5D8E">
              <w:rPr>
                <w:rFonts w:asciiTheme="minorHAnsi" w:hAnsiTheme="minorHAnsi" w:cstheme="minorHAnsi"/>
                <w:b/>
                <w:bCs/>
                <w:sz w:val="22"/>
                <w:szCs w:val="22"/>
              </w:rPr>
              <w:t>3</w:t>
            </w:r>
            <w:r>
              <w:rPr>
                <w:rFonts w:asciiTheme="minorHAnsi" w:hAnsiTheme="minorHAnsi" w:cstheme="minorHAnsi"/>
                <w:b/>
                <w:bCs/>
                <w:sz w:val="22"/>
                <w:szCs w:val="22"/>
              </w:rPr>
              <w:t>8</w:t>
            </w:r>
            <w:r w:rsidRPr="008A5D8E">
              <w:rPr>
                <w:rFonts w:asciiTheme="minorHAnsi" w:hAnsiTheme="minorHAnsi" w:cstheme="minorHAnsi"/>
                <w:b/>
                <w:bCs/>
                <w:sz w:val="22"/>
                <w:szCs w:val="22"/>
              </w:rPr>
              <w:t>,</w:t>
            </w:r>
            <w:r>
              <w:rPr>
                <w:rFonts w:asciiTheme="minorHAnsi" w:hAnsiTheme="minorHAnsi" w:cstheme="minorHAnsi"/>
                <w:b/>
                <w:bCs/>
                <w:sz w:val="22"/>
                <w:szCs w:val="22"/>
              </w:rPr>
              <w:t>544</w:t>
            </w:r>
            <w:r w:rsidRPr="008A5D8E">
              <w:rPr>
                <w:rFonts w:asciiTheme="minorHAnsi" w:hAnsiTheme="minorHAnsi" w:cstheme="minorHAnsi"/>
                <w:b/>
                <w:bCs/>
                <w:sz w:val="22"/>
                <w:szCs w:val="22"/>
              </w:rPr>
              <w:t>.</w:t>
            </w:r>
            <w:r>
              <w:rPr>
                <w:rFonts w:asciiTheme="minorHAnsi" w:hAnsiTheme="minorHAnsi" w:cstheme="minorHAnsi"/>
                <w:b/>
                <w:bCs/>
                <w:sz w:val="22"/>
                <w:szCs w:val="22"/>
              </w:rPr>
              <w:t>80</w:t>
            </w:r>
          </w:p>
        </w:tc>
      </w:tr>
    </w:tbl>
    <w:p w:rsidR="00BA4D86" w:rsidP="00C02632" w:rsidRDefault="00BA4D86" w14:paraId="7BF8D4E2" w14:textId="6468B071">
      <w:pPr>
        <w:rPr>
          <w:rFonts w:cstheme="minorHAnsi"/>
          <w:u w:val="single"/>
        </w:rPr>
      </w:pPr>
    </w:p>
    <w:p w:rsidR="00C756D2" w:rsidP="00B01C59" w:rsidRDefault="00557A89" w14:paraId="1C7DB0D9" w14:textId="72D48D3E">
      <w:pPr>
        <w:spacing w:before="120" w:after="0" w:line="240" w:lineRule="auto"/>
      </w:pPr>
      <w:r>
        <w:t xml:space="preserve">Exhibit </w:t>
      </w:r>
      <w:r w:rsidR="007F6CEF">
        <w:t>A</w:t>
      </w:r>
      <w:r w:rsidRPr="004F0DD6" w:rsidR="004F0DD6">
        <w:t xml:space="preserve"> describes </w:t>
      </w:r>
      <w:r w:rsidR="003B78FB">
        <w:t>the estimated annualized cost burden to hospitals</w:t>
      </w:r>
      <w:r w:rsidRPr="004F0DD6" w:rsidR="004F0DD6">
        <w:t>.</w:t>
      </w:r>
      <w:r>
        <w:t xml:space="preserve"> </w:t>
      </w:r>
    </w:p>
    <w:p w:rsidR="007F6CEF" w:rsidP="00B01C59" w:rsidRDefault="007F6CEF" w14:paraId="510E9A5B" w14:textId="77777777">
      <w:pPr>
        <w:spacing w:before="120" w:after="0" w:line="240" w:lineRule="auto"/>
      </w:pPr>
    </w:p>
    <w:p w:rsidR="004F0DD6" w:rsidP="005C3455" w:rsidRDefault="00557A89" w14:paraId="0AAE4055" w14:textId="230BBB47">
      <w:pPr>
        <w:spacing w:after="0"/>
        <w:rPr>
          <w:b/>
        </w:rPr>
      </w:pPr>
      <w:r>
        <w:rPr>
          <w:b/>
        </w:rPr>
        <w:t xml:space="preserve">Exhibit </w:t>
      </w:r>
      <w:r w:rsidR="007F6CEF">
        <w:rPr>
          <w:b/>
        </w:rPr>
        <w:t>A</w:t>
      </w:r>
      <w:r w:rsidR="004F0DD6">
        <w:rPr>
          <w:b/>
        </w:rPr>
        <w:t xml:space="preserve">. </w:t>
      </w:r>
      <w:r w:rsidRPr="004F0DD6" w:rsidR="004F0DD6">
        <w:rPr>
          <w:b/>
        </w:rPr>
        <w:t>Estimated annualized cost burden</w:t>
      </w:r>
      <w:r w:rsidR="004F0DD6">
        <w:rPr>
          <w:b/>
        </w:rPr>
        <w:t xml:space="preserve"> on hospital</w:t>
      </w:r>
      <w:r w:rsidR="000F057F">
        <w:rPr>
          <w:b/>
        </w:rPr>
        <w:t>s</w:t>
      </w:r>
      <w:r w:rsidRPr="006D1AD1" w:rsidR="0031092B">
        <w:rPr>
          <w:b/>
          <w:vertAlign w:val="superscript"/>
        </w:rPr>
        <w:t>1</w:t>
      </w:r>
    </w:p>
    <w:tbl>
      <w:tblPr>
        <w:tblStyle w:val="TableGrid"/>
        <w:tblW w:w="0" w:type="auto"/>
        <w:tblLook w:val="04A0" w:firstRow="1" w:lastRow="0" w:firstColumn="1" w:lastColumn="0" w:noHBand="0" w:noVBand="1"/>
      </w:tblPr>
      <w:tblGrid>
        <w:gridCol w:w="3371"/>
        <w:gridCol w:w="3284"/>
        <w:gridCol w:w="3060"/>
      </w:tblGrid>
      <w:tr w:rsidR="0014139C" w:rsidTr="00120096" w14:paraId="10A46C0C" w14:textId="77777777">
        <w:tc>
          <w:tcPr>
            <w:tcW w:w="3371" w:type="dxa"/>
          </w:tcPr>
          <w:p w:rsidRPr="004B0C59" w:rsidR="0014139C" w:rsidP="00B05ACA" w:rsidRDefault="003A254B" w14:paraId="574B1F87" w14:textId="5D283F35">
            <w:pPr>
              <w:rPr>
                <w:rFonts w:asciiTheme="minorHAnsi" w:hAnsiTheme="minorHAnsi" w:cstheme="minorHAnsi"/>
                <w:b/>
                <w:bCs/>
                <w:sz w:val="22"/>
                <w:szCs w:val="22"/>
              </w:rPr>
            </w:pPr>
            <w:r w:rsidRPr="004B0C59">
              <w:rPr>
                <w:rFonts w:cstheme="minorHAnsi"/>
                <w:b/>
                <w:bCs/>
              </w:rPr>
              <w:t>Staff Position</w:t>
            </w:r>
          </w:p>
        </w:tc>
        <w:tc>
          <w:tcPr>
            <w:tcW w:w="3284" w:type="dxa"/>
          </w:tcPr>
          <w:p w:rsidRPr="004B0C59" w:rsidR="0014139C" w:rsidP="00B05ACA" w:rsidRDefault="0014139C" w14:paraId="78057028" w14:textId="26B91AF9">
            <w:pPr>
              <w:rPr>
                <w:rFonts w:asciiTheme="minorHAnsi" w:hAnsiTheme="minorHAnsi" w:cstheme="minorHAnsi"/>
                <w:b/>
                <w:bCs/>
                <w:sz w:val="22"/>
                <w:szCs w:val="22"/>
              </w:rPr>
            </w:pPr>
            <w:r w:rsidRPr="004B0C59">
              <w:rPr>
                <w:rFonts w:cstheme="minorHAnsi"/>
                <w:b/>
                <w:bCs/>
              </w:rPr>
              <w:t>Number of Hours</w:t>
            </w:r>
            <w:r w:rsidRPr="004B0C59" w:rsidR="003A254B">
              <w:rPr>
                <w:rFonts w:cstheme="minorHAnsi"/>
                <w:b/>
                <w:bCs/>
              </w:rPr>
              <w:t xml:space="preserve"> &amp; Hourly Wage</w:t>
            </w:r>
          </w:p>
        </w:tc>
        <w:tc>
          <w:tcPr>
            <w:tcW w:w="3060" w:type="dxa"/>
          </w:tcPr>
          <w:p w:rsidRPr="004B0C59" w:rsidR="0014139C" w:rsidP="004B0C59" w:rsidRDefault="00561B5D" w14:paraId="03ACA0E0" w14:textId="6C0DC698">
            <w:pPr>
              <w:jc w:val="center"/>
              <w:rPr>
                <w:rFonts w:asciiTheme="minorHAnsi" w:hAnsiTheme="minorHAnsi" w:cstheme="minorHAnsi"/>
                <w:b/>
                <w:bCs/>
                <w:sz w:val="22"/>
                <w:szCs w:val="22"/>
              </w:rPr>
            </w:pPr>
            <w:r w:rsidRPr="004B0C59">
              <w:rPr>
                <w:rFonts w:cstheme="minorHAnsi"/>
                <w:b/>
                <w:bCs/>
              </w:rPr>
              <w:t>Cost Burden</w:t>
            </w:r>
          </w:p>
        </w:tc>
      </w:tr>
      <w:tr w:rsidRPr="00EE53FF" w:rsidR="0014139C" w:rsidTr="00120096" w14:paraId="4FAF1E19" w14:textId="77777777">
        <w:tc>
          <w:tcPr>
            <w:tcW w:w="3371" w:type="dxa"/>
          </w:tcPr>
          <w:p w:rsidRPr="008147C4" w:rsidR="0014139C" w:rsidP="00B05ACA" w:rsidRDefault="00402671" w14:paraId="0ED1C475" w14:textId="1BFA1930">
            <w:pPr>
              <w:rPr>
                <w:rFonts w:asciiTheme="minorHAnsi" w:hAnsiTheme="minorHAnsi" w:cstheme="minorHAnsi"/>
                <w:bCs/>
                <w:sz w:val="22"/>
                <w:szCs w:val="22"/>
              </w:rPr>
            </w:pPr>
            <w:r w:rsidRPr="008147C4">
              <w:rPr>
                <w:rFonts w:asciiTheme="minorHAnsi" w:hAnsiTheme="minorHAnsi" w:cstheme="minorHAnsi"/>
                <w:bCs/>
                <w:sz w:val="22"/>
                <w:szCs w:val="22"/>
              </w:rPr>
              <w:t>Surgeons, Except Ophthalmologists (C</w:t>
            </w:r>
            <w:r w:rsidRPr="008147C4" w:rsidR="00EE53FF">
              <w:rPr>
                <w:rFonts w:asciiTheme="minorHAnsi" w:hAnsiTheme="minorHAnsi" w:cstheme="minorHAnsi"/>
                <w:bCs/>
                <w:sz w:val="22"/>
                <w:szCs w:val="22"/>
              </w:rPr>
              <w:t xml:space="preserve">ode </w:t>
            </w:r>
            <w:r w:rsidRPr="008147C4" w:rsidR="00EE53FF">
              <w:rPr>
                <w:rFonts w:asciiTheme="minorHAnsi" w:hAnsiTheme="minorHAnsi" w:cstheme="minorHAnsi"/>
                <w:color w:val="000000"/>
                <w:sz w:val="22"/>
                <w:szCs w:val="22"/>
                <w:shd w:val="clear" w:color="auto" w:fill="F6F6EF"/>
              </w:rPr>
              <w:t>29-1248)</w:t>
            </w:r>
          </w:p>
        </w:tc>
        <w:tc>
          <w:tcPr>
            <w:tcW w:w="3284" w:type="dxa"/>
          </w:tcPr>
          <w:p w:rsidRPr="008147C4" w:rsidR="0014139C" w:rsidP="00B05ACA" w:rsidRDefault="00120096" w14:paraId="206A638B" w14:textId="723C7AB3">
            <w:pPr>
              <w:rPr>
                <w:rFonts w:asciiTheme="minorHAnsi" w:hAnsiTheme="minorHAnsi" w:cstheme="minorHAnsi"/>
                <w:bCs/>
                <w:sz w:val="22"/>
                <w:szCs w:val="22"/>
              </w:rPr>
            </w:pPr>
            <w:r w:rsidRPr="008147C4">
              <w:rPr>
                <w:rFonts w:asciiTheme="minorHAnsi" w:hAnsiTheme="minorHAnsi" w:cstheme="minorHAnsi"/>
                <w:bCs/>
                <w:sz w:val="22"/>
                <w:szCs w:val="22"/>
              </w:rPr>
              <w:t>18</w:t>
            </w:r>
            <w:r w:rsidRPr="008147C4" w:rsidR="00EE53FF">
              <w:rPr>
                <w:rFonts w:asciiTheme="minorHAnsi" w:hAnsiTheme="minorHAnsi" w:cstheme="minorHAnsi"/>
                <w:bCs/>
                <w:sz w:val="22"/>
                <w:szCs w:val="22"/>
              </w:rPr>
              <w:t xml:space="preserve"> </w:t>
            </w:r>
            <w:r w:rsidRPr="008147C4" w:rsidR="00D146B8">
              <w:rPr>
                <w:rFonts w:asciiTheme="minorHAnsi" w:hAnsiTheme="minorHAnsi" w:cstheme="minorHAnsi"/>
                <w:bCs/>
                <w:sz w:val="22"/>
                <w:szCs w:val="22"/>
              </w:rPr>
              <w:t>(</w:t>
            </w:r>
            <w:r w:rsidRPr="008147C4" w:rsidR="00EE53FF">
              <w:rPr>
                <w:rFonts w:asciiTheme="minorHAnsi" w:hAnsiTheme="minorHAnsi" w:cstheme="minorHAnsi"/>
                <w:color w:val="000000"/>
                <w:sz w:val="22"/>
                <w:szCs w:val="22"/>
                <w:shd w:val="clear" w:color="auto" w:fill="FFFFFF"/>
              </w:rPr>
              <w:t>$105.43</w:t>
            </w:r>
            <w:r w:rsidRPr="008147C4" w:rsidR="00D146B8">
              <w:rPr>
                <w:rFonts w:asciiTheme="minorHAnsi" w:hAnsiTheme="minorHAnsi" w:cstheme="minorHAnsi"/>
                <w:color w:val="000000"/>
                <w:sz w:val="22"/>
                <w:szCs w:val="22"/>
                <w:shd w:val="clear" w:color="auto" w:fill="FFFFFF"/>
              </w:rPr>
              <w:t>/hr)</w:t>
            </w:r>
          </w:p>
        </w:tc>
        <w:tc>
          <w:tcPr>
            <w:tcW w:w="3060" w:type="dxa"/>
          </w:tcPr>
          <w:p w:rsidRPr="008147C4" w:rsidR="0014139C" w:rsidP="004B0C59" w:rsidRDefault="00402671" w14:paraId="2C799753" w14:textId="1BCBB09B">
            <w:pPr>
              <w:jc w:val="center"/>
              <w:rPr>
                <w:rFonts w:asciiTheme="minorHAnsi" w:hAnsiTheme="minorHAnsi" w:cstheme="minorHAnsi"/>
                <w:bCs/>
                <w:sz w:val="22"/>
                <w:szCs w:val="22"/>
              </w:rPr>
            </w:pPr>
            <w:r w:rsidRPr="008147C4">
              <w:rPr>
                <w:rFonts w:asciiTheme="minorHAnsi" w:hAnsiTheme="minorHAnsi" w:cstheme="minorHAnsi"/>
                <w:bCs/>
                <w:sz w:val="22"/>
                <w:szCs w:val="22"/>
              </w:rPr>
              <w:t>$</w:t>
            </w:r>
            <w:r w:rsidRPr="008147C4" w:rsidR="00120096">
              <w:rPr>
                <w:rFonts w:asciiTheme="minorHAnsi" w:hAnsiTheme="minorHAnsi" w:cstheme="minorHAnsi"/>
                <w:bCs/>
                <w:sz w:val="22"/>
                <w:szCs w:val="22"/>
              </w:rPr>
              <w:t>1,897.74</w:t>
            </w:r>
          </w:p>
        </w:tc>
      </w:tr>
      <w:tr w:rsidRPr="00EE53FF" w:rsidR="0014139C" w:rsidTr="00120096" w14:paraId="33264E1E" w14:textId="77777777">
        <w:tc>
          <w:tcPr>
            <w:tcW w:w="3371" w:type="dxa"/>
          </w:tcPr>
          <w:p w:rsidRPr="008147C4" w:rsidR="0014139C" w:rsidP="00B05ACA" w:rsidRDefault="005C16BA" w14:paraId="0C2281D9" w14:textId="32C7039B">
            <w:pPr>
              <w:rPr>
                <w:rFonts w:asciiTheme="minorHAnsi" w:hAnsiTheme="minorHAnsi" w:cstheme="minorHAnsi"/>
                <w:bCs/>
                <w:sz w:val="22"/>
                <w:szCs w:val="22"/>
              </w:rPr>
            </w:pPr>
            <w:r w:rsidRPr="008147C4">
              <w:rPr>
                <w:rFonts w:asciiTheme="minorHAnsi" w:hAnsiTheme="minorHAnsi" w:cstheme="minorHAnsi"/>
                <w:bCs/>
                <w:sz w:val="22"/>
                <w:szCs w:val="22"/>
              </w:rPr>
              <w:t>Registered Nurses</w:t>
            </w:r>
            <w:r w:rsidRPr="008147C4" w:rsidR="00402671">
              <w:rPr>
                <w:rFonts w:asciiTheme="minorHAnsi" w:hAnsiTheme="minorHAnsi" w:cstheme="minorHAnsi"/>
                <w:bCs/>
                <w:sz w:val="22"/>
                <w:szCs w:val="22"/>
              </w:rPr>
              <w:t xml:space="preserve"> (C</w:t>
            </w:r>
            <w:r w:rsidRPr="008147C4">
              <w:rPr>
                <w:rFonts w:asciiTheme="minorHAnsi" w:hAnsiTheme="minorHAnsi" w:cstheme="minorHAnsi"/>
                <w:bCs/>
                <w:sz w:val="22"/>
                <w:szCs w:val="22"/>
              </w:rPr>
              <w:t>ode 29-1141)</w:t>
            </w:r>
          </w:p>
        </w:tc>
        <w:tc>
          <w:tcPr>
            <w:tcW w:w="3284" w:type="dxa"/>
          </w:tcPr>
          <w:p w:rsidRPr="008147C4" w:rsidR="0014139C" w:rsidP="00D146B8" w:rsidRDefault="00120096" w14:paraId="22DC105D" w14:textId="4101ABB0">
            <w:pPr>
              <w:rPr>
                <w:rFonts w:asciiTheme="minorHAnsi" w:hAnsiTheme="minorHAnsi" w:cstheme="minorHAnsi"/>
                <w:bCs/>
                <w:sz w:val="22"/>
                <w:szCs w:val="22"/>
              </w:rPr>
            </w:pPr>
            <w:r w:rsidRPr="008147C4">
              <w:rPr>
                <w:rFonts w:asciiTheme="minorHAnsi" w:hAnsiTheme="minorHAnsi" w:cstheme="minorHAnsi"/>
                <w:bCs/>
                <w:sz w:val="22"/>
                <w:szCs w:val="22"/>
              </w:rPr>
              <w:t>18</w:t>
            </w:r>
            <w:r w:rsidRPr="008147C4" w:rsidR="00D146B8">
              <w:rPr>
                <w:rFonts w:asciiTheme="minorHAnsi" w:hAnsiTheme="minorHAnsi" w:cstheme="minorHAnsi"/>
                <w:bCs/>
                <w:sz w:val="22"/>
                <w:szCs w:val="22"/>
              </w:rPr>
              <w:t xml:space="preserve"> (</w:t>
            </w:r>
            <w:r w:rsidRPr="008147C4" w:rsidR="00EE53FF">
              <w:rPr>
                <w:rFonts w:asciiTheme="minorHAnsi" w:hAnsiTheme="minorHAnsi" w:cstheme="minorHAnsi"/>
                <w:bCs/>
                <w:sz w:val="22"/>
                <w:szCs w:val="22"/>
              </w:rPr>
              <w:t>$39.27</w:t>
            </w:r>
            <w:r w:rsidRPr="008147C4" w:rsidR="00D146B8">
              <w:rPr>
                <w:rFonts w:asciiTheme="minorHAnsi" w:hAnsiTheme="minorHAnsi" w:cstheme="minorHAnsi"/>
                <w:bCs/>
                <w:sz w:val="22"/>
                <w:szCs w:val="22"/>
              </w:rPr>
              <w:t>/hr)</w:t>
            </w:r>
          </w:p>
        </w:tc>
        <w:tc>
          <w:tcPr>
            <w:tcW w:w="3060" w:type="dxa"/>
          </w:tcPr>
          <w:p w:rsidRPr="008147C4" w:rsidR="0014139C" w:rsidP="004B0C59" w:rsidRDefault="00402671" w14:paraId="6F6C91E7" w14:textId="562C90AE">
            <w:pPr>
              <w:jc w:val="center"/>
              <w:rPr>
                <w:rFonts w:asciiTheme="minorHAnsi" w:hAnsiTheme="minorHAnsi" w:cstheme="minorHAnsi"/>
                <w:bCs/>
                <w:sz w:val="22"/>
                <w:szCs w:val="22"/>
              </w:rPr>
            </w:pPr>
            <w:r w:rsidRPr="008147C4">
              <w:rPr>
                <w:rFonts w:asciiTheme="minorHAnsi" w:hAnsiTheme="minorHAnsi" w:cstheme="minorHAnsi"/>
                <w:bCs/>
                <w:sz w:val="22"/>
                <w:szCs w:val="22"/>
              </w:rPr>
              <w:t>$</w:t>
            </w:r>
            <w:r w:rsidRPr="008147C4" w:rsidR="003A2B5C">
              <w:rPr>
                <w:rFonts w:asciiTheme="minorHAnsi" w:hAnsiTheme="minorHAnsi" w:cstheme="minorHAnsi"/>
                <w:bCs/>
                <w:sz w:val="22"/>
                <w:szCs w:val="22"/>
              </w:rPr>
              <w:t xml:space="preserve">   </w:t>
            </w:r>
            <w:r w:rsidRPr="008147C4" w:rsidR="00120096">
              <w:rPr>
                <w:rFonts w:asciiTheme="minorHAnsi" w:hAnsiTheme="minorHAnsi" w:cstheme="minorHAnsi"/>
                <w:bCs/>
                <w:sz w:val="22"/>
                <w:szCs w:val="22"/>
              </w:rPr>
              <w:t>706.86</w:t>
            </w:r>
          </w:p>
        </w:tc>
      </w:tr>
      <w:tr w:rsidRPr="00EE53FF" w:rsidR="0014139C" w:rsidTr="00120096" w14:paraId="329F12F8" w14:textId="77777777">
        <w:tc>
          <w:tcPr>
            <w:tcW w:w="3371" w:type="dxa"/>
          </w:tcPr>
          <w:p w:rsidRPr="008147C4" w:rsidR="0014139C" w:rsidP="00B05ACA" w:rsidRDefault="00EE53FF" w14:paraId="5F8FB0D5" w14:textId="10CFA86C">
            <w:pPr>
              <w:rPr>
                <w:rFonts w:asciiTheme="minorHAnsi" w:hAnsiTheme="minorHAnsi" w:cstheme="minorHAnsi"/>
                <w:bCs/>
                <w:sz w:val="22"/>
                <w:szCs w:val="22"/>
              </w:rPr>
            </w:pPr>
            <w:r w:rsidRPr="008147C4">
              <w:rPr>
                <w:rFonts w:asciiTheme="minorHAnsi" w:hAnsiTheme="minorHAnsi" w:cstheme="minorHAnsi"/>
                <w:bCs/>
                <w:sz w:val="22"/>
                <w:szCs w:val="22"/>
              </w:rPr>
              <w:lastRenderedPageBreak/>
              <w:t>Medical and Health Services Managers (</w:t>
            </w:r>
            <w:r w:rsidRPr="008147C4" w:rsidR="00402671">
              <w:rPr>
                <w:rFonts w:asciiTheme="minorHAnsi" w:hAnsiTheme="minorHAnsi" w:cstheme="minorHAnsi"/>
                <w:bCs/>
                <w:sz w:val="22"/>
                <w:szCs w:val="22"/>
              </w:rPr>
              <w:t xml:space="preserve">Code </w:t>
            </w:r>
            <w:r w:rsidRPr="008147C4">
              <w:rPr>
                <w:rFonts w:asciiTheme="minorHAnsi" w:hAnsiTheme="minorHAnsi" w:cstheme="minorHAnsi"/>
                <w:bCs/>
                <w:sz w:val="22"/>
                <w:szCs w:val="22"/>
              </w:rPr>
              <w:t>11-9111)</w:t>
            </w:r>
          </w:p>
        </w:tc>
        <w:tc>
          <w:tcPr>
            <w:tcW w:w="3284" w:type="dxa"/>
          </w:tcPr>
          <w:p w:rsidRPr="008147C4" w:rsidR="0014139C" w:rsidP="00D146B8" w:rsidRDefault="003A2B5C" w14:paraId="267FD6B6" w14:textId="38B5525C">
            <w:pPr>
              <w:rPr>
                <w:rFonts w:asciiTheme="minorHAnsi" w:hAnsiTheme="minorHAnsi" w:cstheme="minorHAnsi"/>
                <w:bCs/>
                <w:sz w:val="22"/>
                <w:szCs w:val="22"/>
              </w:rPr>
            </w:pPr>
            <w:r w:rsidRPr="008147C4">
              <w:rPr>
                <w:rFonts w:asciiTheme="minorHAnsi" w:hAnsiTheme="minorHAnsi" w:cstheme="minorHAnsi"/>
                <w:bCs/>
                <w:sz w:val="22"/>
                <w:szCs w:val="22"/>
              </w:rPr>
              <w:t>18</w:t>
            </w:r>
            <w:r w:rsidRPr="008147C4" w:rsidR="00D146B8">
              <w:rPr>
                <w:rFonts w:asciiTheme="minorHAnsi" w:hAnsiTheme="minorHAnsi" w:cstheme="minorHAnsi"/>
                <w:bCs/>
                <w:sz w:val="22"/>
                <w:szCs w:val="22"/>
              </w:rPr>
              <w:t xml:space="preserve"> (</w:t>
            </w:r>
            <w:r w:rsidRPr="008147C4" w:rsidR="00EE53FF">
              <w:rPr>
                <w:rFonts w:asciiTheme="minorHAnsi" w:hAnsiTheme="minorHAnsi" w:cstheme="minorHAnsi"/>
                <w:bCs/>
                <w:sz w:val="22"/>
                <w:szCs w:val="22"/>
              </w:rPr>
              <w:t>$61.22</w:t>
            </w:r>
            <w:r w:rsidRPr="008147C4" w:rsidR="00D146B8">
              <w:rPr>
                <w:rFonts w:asciiTheme="minorHAnsi" w:hAnsiTheme="minorHAnsi" w:cstheme="minorHAnsi"/>
                <w:bCs/>
                <w:sz w:val="22"/>
                <w:szCs w:val="22"/>
              </w:rPr>
              <w:t>/hr)</w:t>
            </w:r>
          </w:p>
        </w:tc>
        <w:tc>
          <w:tcPr>
            <w:tcW w:w="3060" w:type="dxa"/>
          </w:tcPr>
          <w:p w:rsidRPr="008147C4" w:rsidR="00A122D8" w:rsidP="004B0C59" w:rsidRDefault="00A122D8" w14:paraId="75BA4FEE" w14:textId="77777777">
            <w:pPr>
              <w:jc w:val="center"/>
              <w:rPr>
                <w:rFonts w:asciiTheme="minorHAnsi" w:hAnsiTheme="minorHAnsi" w:cstheme="minorHAnsi"/>
                <w:bCs/>
                <w:sz w:val="22"/>
                <w:szCs w:val="22"/>
              </w:rPr>
            </w:pPr>
          </w:p>
          <w:p w:rsidRPr="008147C4" w:rsidR="0014139C" w:rsidP="004B0C59" w:rsidRDefault="00402671" w14:paraId="115CDD36" w14:textId="566CAD46">
            <w:pPr>
              <w:jc w:val="center"/>
              <w:rPr>
                <w:rFonts w:asciiTheme="minorHAnsi" w:hAnsiTheme="minorHAnsi" w:cstheme="minorHAnsi"/>
                <w:bCs/>
                <w:sz w:val="22"/>
                <w:szCs w:val="22"/>
              </w:rPr>
            </w:pPr>
            <w:r w:rsidRPr="008147C4">
              <w:rPr>
                <w:rFonts w:asciiTheme="minorHAnsi" w:hAnsiTheme="minorHAnsi" w:cstheme="minorHAnsi"/>
                <w:bCs/>
                <w:sz w:val="22"/>
                <w:szCs w:val="22"/>
              </w:rPr>
              <w:t>$</w:t>
            </w:r>
            <w:r w:rsidRPr="008147C4" w:rsidR="003A2B5C">
              <w:rPr>
                <w:rFonts w:asciiTheme="minorHAnsi" w:hAnsiTheme="minorHAnsi" w:cstheme="minorHAnsi"/>
                <w:bCs/>
                <w:sz w:val="22"/>
                <w:szCs w:val="22"/>
              </w:rPr>
              <w:t>1,101.96</w:t>
            </w:r>
          </w:p>
        </w:tc>
      </w:tr>
      <w:tr w:rsidR="0014139C" w:rsidTr="00120096" w14:paraId="60DCBFC1" w14:textId="77777777">
        <w:tc>
          <w:tcPr>
            <w:tcW w:w="3371" w:type="dxa"/>
          </w:tcPr>
          <w:p w:rsidRPr="004B0C59" w:rsidR="0014139C" w:rsidP="00B05ACA" w:rsidRDefault="0014139C" w14:paraId="1BA79055" w14:textId="77777777">
            <w:pPr>
              <w:rPr>
                <w:rFonts w:asciiTheme="minorHAnsi" w:hAnsiTheme="minorHAnsi" w:cstheme="minorHAnsi"/>
                <w:b/>
                <w:bCs/>
                <w:sz w:val="22"/>
                <w:szCs w:val="22"/>
              </w:rPr>
            </w:pPr>
            <w:r w:rsidRPr="004B0C59">
              <w:rPr>
                <w:rFonts w:cstheme="minorHAnsi"/>
                <w:b/>
                <w:bCs/>
              </w:rPr>
              <w:t>Total</w:t>
            </w:r>
          </w:p>
        </w:tc>
        <w:tc>
          <w:tcPr>
            <w:tcW w:w="3284" w:type="dxa"/>
          </w:tcPr>
          <w:p w:rsidRPr="005C3455" w:rsidR="0014139C" w:rsidP="00B05ACA" w:rsidRDefault="0014139C" w14:paraId="0658D75D" w14:textId="77777777">
            <w:pPr>
              <w:rPr>
                <w:rFonts w:asciiTheme="minorHAnsi" w:hAnsiTheme="minorHAnsi" w:cstheme="minorHAnsi"/>
                <w:bCs/>
                <w:sz w:val="22"/>
                <w:szCs w:val="22"/>
              </w:rPr>
            </w:pPr>
          </w:p>
        </w:tc>
        <w:tc>
          <w:tcPr>
            <w:tcW w:w="3060" w:type="dxa"/>
          </w:tcPr>
          <w:p w:rsidRPr="00095A44" w:rsidR="0014139C" w:rsidP="004B0C59" w:rsidRDefault="00402671" w14:paraId="194AAD08" w14:textId="4951E3D0">
            <w:pPr>
              <w:jc w:val="center"/>
              <w:rPr>
                <w:rFonts w:asciiTheme="minorHAnsi" w:hAnsiTheme="minorHAnsi" w:cstheme="minorHAnsi"/>
                <w:b/>
                <w:bCs/>
                <w:sz w:val="22"/>
                <w:szCs w:val="22"/>
                <w:u w:val="single"/>
              </w:rPr>
            </w:pPr>
            <w:r w:rsidRPr="00095A44">
              <w:rPr>
                <w:rFonts w:cstheme="minorHAnsi"/>
                <w:b/>
                <w:bCs/>
                <w:u w:val="single"/>
              </w:rPr>
              <w:t>$</w:t>
            </w:r>
            <w:r w:rsidRPr="004B0C59" w:rsidR="003A2B5C">
              <w:rPr>
                <w:rFonts w:cstheme="minorHAnsi"/>
                <w:b/>
                <w:bCs/>
              </w:rPr>
              <w:t>3,706.56</w:t>
            </w:r>
          </w:p>
        </w:tc>
      </w:tr>
    </w:tbl>
    <w:p w:rsidR="00B05ACA" w:rsidP="000F057F" w:rsidRDefault="0031092B" w14:paraId="0FB543A1" w14:textId="7DF33809">
      <w:pPr>
        <w:spacing w:before="60" w:after="0"/>
        <w:rPr>
          <w:sz w:val="20"/>
          <w:szCs w:val="20"/>
        </w:rPr>
      </w:pPr>
      <w:r>
        <w:rPr>
          <w:bCs/>
          <w:vertAlign w:val="superscript"/>
        </w:rPr>
        <w:t>1</w:t>
      </w:r>
      <w:r w:rsidRPr="000F057F" w:rsidR="00C076D9">
        <w:rPr>
          <w:b/>
          <w:bCs/>
        </w:rPr>
        <w:t xml:space="preserve"> </w:t>
      </w:r>
      <w:r w:rsidR="003A254B">
        <w:rPr>
          <w:bCs/>
          <w:sz w:val="20"/>
          <w:szCs w:val="20"/>
          <w:u w:val="single"/>
        </w:rPr>
        <w:t xml:space="preserve">Estimated hourly wages for the staff positions and codes were obtained from the </w:t>
      </w:r>
      <w:r w:rsidRPr="001E47BB" w:rsidR="001E47BB">
        <w:rPr>
          <w:sz w:val="20"/>
          <w:szCs w:val="20"/>
        </w:rPr>
        <w:t xml:space="preserve">National Industry-Specific Occupational Employment and Wage Estimates, May 2020, from the Bureau of Labor Statistics (available at </w:t>
      </w:r>
      <w:hyperlink w:history="1" r:id="rId8">
        <w:r w:rsidRPr="001E47BB" w:rsidR="001E47BB">
          <w:rPr>
            <w:rStyle w:val="Hyperlink"/>
            <w:sz w:val="20"/>
            <w:szCs w:val="20"/>
          </w:rPr>
          <w:t>http://www.bls.gov/oes/current/naics4_621100.htm</w:t>
        </w:r>
      </w:hyperlink>
      <w:r w:rsidRPr="001E47BB" w:rsidR="001E47BB">
        <w:rPr>
          <w:sz w:val="20"/>
          <w:szCs w:val="20"/>
        </w:rPr>
        <w:t xml:space="preserve"> [for general medical and surgical hospitals, NAICS 622100]).</w:t>
      </w:r>
    </w:p>
    <w:p w:rsidR="000F057F" w:rsidP="000F057F" w:rsidRDefault="000F057F" w14:paraId="3EB21F5B" w14:textId="77777777">
      <w:pPr>
        <w:spacing w:before="60" w:after="0"/>
        <w:rPr>
          <w:b/>
          <w:bCs/>
          <w:u w:val="single"/>
        </w:rPr>
      </w:pPr>
    </w:p>
    <w:p w:rsidR="00C70597" w:rsidRDefault="00C70597" w14:paraId="68AECE9D" w14:textId="6F4C58C3">
      <w:pPr>
        <w:rPr>
          <w:b/>
          <w:bCs/>
          <w:u w:val="single"/>
        </w:rPr>
      </w:pPr>
    </w:p>
    <w:p w:rsidRPr="00F05FAC" w:rsidR="00B05ACA" w:rsidP="00B05ACA" w:rsidRDefault="00B05ACA" w14:paraId="37F03C46" w14:textId="0AD00079">
      <w:pPr>
        <w:rPr>
          <w:b/>
        </w:rPr>
      </w:pPr>
      <w:r w:rsidRPr="00F05FAC">
        <w:rPr>
          <w:b/>
          <w:bCs/>
          <w:u w:val="single"/>
        </w:rPr>
        <w:t>If you are conducting a focus group, survey, or plan to employ statistical methods, please provide answers to the following questions:</w:t>
      </w:r>
    </w:p>
    <w:p w:rsidR="00B05ACA" w:rsidP="00B05ACA" w:rsidRDefault="00B05ACA" w14:paraId="16451988" w14:textId="77777777">
      <w:pPr>
        <w:rPr>
          <w:b/>
        </w:rPr>
      </w:pPr>
      <w:r w:rsidRPr="00F05FAC">
        <w:rPr>
          <w:b/>
        </w:rPr>
        <w:t>The selection of your targeted respondents</w:t>
      </w:r>
    </w:p>
    <w:p w:rsidR="00B05ACA" w:rsidP="00B3596B" w:rsidRDefault="00B05ACA" w14:paraId="73F1308C" w14:textId="153940C5">
      <w:pPr>
        <w:pStyle w:val="ListParagraph"/>
        <w:numPr>
          <w:ilvl w:val="0"/>
          <w:numId w:val="2"/>
        </w:numPr>
        <w:spacing w:after="120" w:line="240" w:lineRule="auto"/>
      </w:pPr>
      <w:r>
        <w:t>Do you have a customer list or something similar that defines the universe of potential respondents and do you have a sampling plan for selecting from thi</w:t>
      </w:r>
      <w:r w:rsidR="0074191B">
        <w:t>s universe?</w:t>
      </w:r>
      <w:r w:rsidR="0074191B">
        <w:tab/>
      </w:r>
      <w:r w:rsidR="0074191B">
        <w:tab/>
      </w:r>
      <w:r w:rsidR="0074191B">
        <w:tab/>
      </w:r>
      <w:r w:rsidR="0074191B">
        <w:tab/>
      </w:r>
      <w:r w:rsidR="0074191B">
        <w:tab/>
      </w:r>
      <w:r w:rsidR="0074191B">
        <w:tab/>
      </w:r>
      <w:r w:rsidR="0074191B">
        <w:tab/>
      </w:r>
      <w:r w:rsidR="0074191B">
        <w:tab/>
      </w:r>
      <w:r w:rsidR="0074191B">
        <w:tab/>
      </w:r>
      <w:r w:rsidR="0074191B">
        <w:tab/>
      </w:r>
      <w:r w:rsidR="0074191B">
        <w:tab/>
        <w:t>[</w:t>
      </w:r>
      <w:proofErr w:type="gramStart"/>
      <w:r w:rsidR="00A122D8">
        <w:t>X</w:t>
      </w:r>
      <w:r w:rsidR="0074191B">
        <w:t xml:space="preserve"> ]</w:t>
      </w:r>
      <w:proofErr w:type="gramEnd"/>
      <w:r w:rsidR="0074191B">
        <w:t xml:space="preserve"> Yes</w:t>
      </w:r>
      <w:r w:rsidR="0074191B">
        <w:tab/>
        <w:t>[</w:t>
      </w:r>
      <w:r w:rsidR="00C70597">
        <w:t xml:space="preserve"> </w:t>
      </w:r>
      <w:r>
        <w:t>] No</w:t>
      </w:r>
    </w:p>
    <w:p w:rsidR="00B05ACA" w:rsidP="00770CDF" w:rsidRDefault="00B05ACA" w14:paraId="06E06944" w14:textId="77777777">
      <w:pPr>
        <w:pStyle w:val="ListParagraph"/>
        <w:spacing w:after="120" w:line="240" w:lineRule="auto"/>
        <w:ind w:left="360"/>
      </w:pPr>
    </w:p>
    <w:p w:rsidRPr="00770CDF" w:rsidR="00B05ACA" w:rsidP="00770CDF" w:rsidRDefault="00B05ACA" w14:paraId="6A3319A9" w14:textId="3AAF9341">
      <w:pPr>
        <w:pStyle w:val="ListParagraph"/>
        <w:numPr>
          <w:ilvl w:val="0"/>
          <w:numId w:val="2"/>
        </w:numPr>
        <w:rPr>
          <w:b/>
        </w:rPr>
      </w:pPr>
      <w:r w:rsidRPr="00770CDF">
        <w:rPr>
          <w:b/>
        </w:rPr>
        <w:t xml:space="preserve">If the answer is yes, please </w:t>
      </w:r>
      <w:proofErr w:type="gramStart"/>
      <w:r w:rsidRPr="00770CDF">
        <w:rPr>
          <w:b/>
        </w:rPr>
        <w:t>provide</w:t>
      </w:r>
      <w:proofErr w:type="gramEnd"/>
      <w:r w:rsidRPr="00770CDF">
        <w:rPr>
          <w:b/>
        </w:rPr>
        <w:t xml:space="preserve"> a description of both below (or attach the sampling plan)?   If the answer is no, please provide a description of how you plan to identify your potential group of respondents and how you will select them?</w:t>
      </w:r>
    </w:p>
    <w:p w:rsidRPr="009930AB" w:rsidR="006B70A1" w:rsidP="000F057F" w:rsidRDefault="00C81B1C" w14:paraId="456C5EEE" w14:textId="78EC19C3">
      <w:r>
        <w:t>A convenience sample of</w:t>
      </w:r>
      <w:r w:rsidR="00A122D8">
        <w:t xml:space="preserve"> six hospitals will be </w:t>
      </w:r>
      <w:r>
        <w:t>needed for the qualitative study. The six hospitals will be selected</w:t>
      </w:r>
      <w:r w:rsidR="00A122D8">
        <w:t xml:space="preserve"> from ISCR hospitals that </w:t>
      </w:r>
      <w:r w:rsidRPr="00D434F7" w:rsidR="00A122D8">
        <w:t>initiated the interventi</w:t>
      </w:r>
      <w:r w:rsidR="00A122D8">
        <w:t xml:space="preserve">on in the colorectal line, </w:t>
      </w:r>
      <w:r w:rsidRPr="00D434F7" w:rsidR="00A122D8">
        <w:t>extended it to one or more surgical lines, and are currently participating in at least one of the surgical lines.</w:t>
      </w:r>
      <w:r w:rsidR="00A122D8">
        <w:t xml:space="preserve"> ISCR program staff will communicate with </w:t>
      </w:r>
      <w:r w:rsidR="002165F2">
        <w:t xml:space="preserve">several </w:t>
      </w:r>
      <w:r w:rsidR="00A122D8">
        <w:t>hospitals</w:t>
      </w:r>
      <w:r w:rsidR="002165F2">
        <w:t xml:space="preserve"> meeting these criteria</w:t>
      </w:r>
      <w:r w:rsidR="00A122D8">
        <w:t xml:space="preserve"> </w:t>
      </w:r>
      <w:proofErr w:type="gramStart"/>
      <w:r w:rsidR="002165F2">
        <w:t>in order to</w:t>
      </w:r>
      <w:proofErr w:type="gramEnd"/>
      <w:r w:rsidR="002165F2">
        <w:t xml:space="preserve"> identify six that </w:t>
      </w:r>
      <w:r w:rsidR="00A122D8">
        <w:t xml:space="preserve">are willing to participate in the qualitative study. </w:t>
      </w:r>
      <w:r w:rsidR="001E47BB">
        <w:t>A</w:t>
      </w:r>
      <w:r>
        <w:t xml:space="preserve"> </w:t>
      </w:r>
      <w:r w:rsidR="00A122D8">
        <w:t xml:space="preserve">point-of-contact at each interested hospital </w:t>
      </w:r>
      <w:r w:rsidR="001E47BB">
        <w:t xml:space="preserve">will then be asked </w:t>
      </w:r>
      <w:r w:rsidR="00A122D8">
        <w:t xml:space="preserve">to identify potential individual surgeons, RNs, hospital administrators and managers </w:t>
      </w:r>
      <w:r>
        <w:t>within the hospital who</w:t>
      </w:r>
      <w:r w:rsidR="00A122D8">
        <w:t xml:space="preserve"> would be w</w:t>
      </w:r>
      <w:r>
        <w:t>illing to participate in individual qualitative</w:t>
      </w:r>
      <w:r w:rsidR="00A122D8">
        <w:t xml:space="preserve"> interviews.</w:t>
      </w:r>
      <w:r w:rsidRPr="00D434F7" w:rsidR="00A122D8">
        <w:t xml:space="preserve"> </w:t>
      </w:r>
      <w:r w:rsidR="00DC4A38">
        <w:t>The names and any identifying information from the hospitals and individuals that participate will be kept confidential and will not be disclosed in any reports or summaries of findings from the qualitative interviews.</w:t>
      </w:r>
      <w:r w:rsidR="006B1813">
        <w:t xml:space="preserve"> No forma</w:t>
      </w:r>
      <w:r w:rsidR="006D1AD1">
        <w:t>l quantitative</w:t>
      </w:r>
      <w:r w:rsidR="006B1813">
        <w:t xml:space="preserve"> statistical analysis is planned.</w:t>
      </w:r>
    </w:p>
    <w:p w:rsidR="00B05ACA" w:rsidP="00B05ACA" w:rsidRDefault="00B05ACA" w14:paraId="56D7461B" w14:textId="77777777">
      <w:pPr>
        <w:rPr>
          <w:b/>
        </w:rPr>
      </w:pPr>
      <w:r w:rsidRPr="00CC2440">
        <w:rPr>
          <w:b/>
        </w:rPr>
        <w:t>Administration of the Instrument</w:t>
      </w:r>
    </w:p>
    <w:p w:rsidR="00B05ACA" w:rsidP="00B05ACA" w:rsidRDefault="00B05ACA" w14:paraId="1BA9646F" w14:textId="77777777">
      <w:pPr>
        <w:pStyle w:val="ListParagraph"/>
        <w:numPr>
          <w:ilvl w:val="0"/>
          <w:numId w:val="3"/>
        </w:numPr>
        <w:spacing w:after="0" w:line="240" w:lineRule="auto"/>
      </w:pPr>
      <w:r>
        <w:t>How will you collect the information? (Check all that apply)</w:t>
      </w:r>
    </w:p>
    <w:p w:rsidR="00B05ACA" w:rsidP="000F057F" w:rsidRDefault="00B05ACA" w14:paraId="4C7EBC02" w14:textId="0CA6189F">
      <w:pPr>
        <w:spacing w:after="0"/>
        <w:ind w:left="720"/>
      </w:pPr>
      <w:proofErr w:type="gramStart"/>
      <w:r>
        <w:t>[</w:t>
      </w:r>
      <w:r w:rsidR="00434D2A">
        <w:t xml:space="preserve"> </w:t>
      </w:r>
      <w:r>
        <w:t xml:space="preserve"> ]</w:t>
      </w:r>
      <w:proofErr w:type="gramEnd"/>
      <w:r>
        <w:t xml:space="preserve"> Web-based or other forms of Social Media </w:t>
      </w:r>
    </w:p>
    <w:p w:rsidR="00B05ACA" w:rsidP="000F057F" w:rsidRDefault="00B05ACA" w14:paraId="34FF6FB8" w14:textId="076D5D03">
      <w:pPr>
        <w:spacing w:after="0"/>
        <w:ind w:left="720"/>
      </w:pPr>
      <w:r w:rsidRPr="00A47571">
        <w:t>[</w:t>
      </w:r>
      <w:r w:rsidR="00120096">
        <w:t>X</w:t>
      </w:r>
      <w:r w:rsidRPr="00A47571">
        <w:t>] Telephone</w:t>
      </w:r>
      <w:r>
        <w:tab/>
      </w:r>
    </w:p>
    <w:p w:rsidR="00B05ACA" w:rsidP="000F057F" w:rsidRDefault="00B05ACA" w14:paraId="466DBB43" w14:textId="77777777">
      <w:pPr>
        <w:spacing w:after="0"/>
        <w:ind w:left="720"/>
      </w:pPr>
      <w:proofErr w:type="gramStart"/>
      <w:r>
        <w:t>[  ]</w:t>
      </w:r>
      <w:proofErr w:type="gramEnd"/>
      <w:r>
        <w:t xml:space="preserve"> In-person</w:t>
      </w:r>
      <w:r>
        <w:tab/>
      </w:r>
    </w:p>
    <w:p w:rsidR="00B05ACA" w:rsidP="000F057F" w:rsidRDefault="00B05ACA" w14:paraId="7AB5D5DF" w14:textId="77777777">
      <w:pPr>
        <w:spacing w:after="0"/>
        <w:ind w:left="720"/>
      </w:pPr>
      <w:proofErr w:type="gramStart"/>
      <w:r>
        <w:t>[  ]</w:t>
      </w:r>
      <w:proofErr w:type="gramEnd"/>
      <w:r>
        <w:t xml:space="preserve"> Mail </w:t>
      </w:r>
    </w:p>
    <w:p w:rsidR="00B05ACA" w:rsidP="000F057F" w:rsidRDefault="00B05ACA" w14:paraId="2CDAD8BB" w14:textId="0995FD48">
      <w:pPr>
        <w:spacing w:after="0"/>
        <w:ind w:left="720"/>
      </w:pPr>
      <w:r>
        <w:t>[</w:t>
      </w:r>
      <w:r w:rsidR="00A47571">
        <w:t>X</w:t>
      </w:r>
      <w:r>
        <w:t>] Other, Explain</w:t>
      </w:r>
      <w:r w:rsidR="00A47571">
        <w:t xml:space="preserve"> – Zoom.gov</w:t>
      </w:r>
    </w:p>
    <w:p w:rsidR="000F057F" w:rsidP="000F057F" w:rsidRDefault="000F057F" w14:paraId="37AB9B85" w14:textId="77777777">
      <w:pPr>
        <w:spacing w:after="0"/>
        <w:ind w:left="720"/>
      </w:pPr>
    </w:p>
    <w:p w:rsidR="00B05ACA" w:rsidP="00B05ACA" w:rsidRDefault="00B05ACA" w14:paraId="62B93634" w14:textId="238886E3">
      <w:pPr>
        <w:pStyle w:val="ListParagraph"/>
        <w:numPr>
          <w:ilvl w:val="0"/>
          <w:numId w:val="3"/>
        </w:numPr>
        <w:spacing w:after="0" w:line="240" w:lineRule="auto"/>
      </w:pPr>
      <w:r>
        <w:t>Will interviewers or facilitators be used?  [</w:t>
      </w:r>
      <w:r w:rsidR="00A47571">
        <w:t>X</w:t>
      </w:r>
      <w:r>
        <w:t xml:space="preserve">] Yes </w:t>
      </w:r>
      <w:proofErr w:type="gramStart"/>
      <w:r>
        <w:t>[  ]</w:t>
      </w:r>
      <w:proofErr w:type="gramEnd"/>
      <w:r>
        <w:t xml:space="preserve"> No</w:t>
      </w:r>
    </w:p>
    <w:p w:rsidR="00B05ACA" w:rsidP="00B05ACA" w:rsidRDefault="00B05ACA" w14:paraId="76615289" w14:textId="77777777">
      <w:pPr>
        <w:pStyle w:val="ListParagraph"/>
        <w:ind w:left="360"/>
      </w:pPr>
    </w:p>
    <w:p w:rsidR="0098017D" w:rsidP="0098017D" w:rsidRDefault="0098017D" w14:paraId="1E3F9BE9" w14:textId="0F3605AB">
      <w:pPr>
        <w:rPr>
          <w:b/>
        </w:rPr>
      </w:pPr>
      <w:r w:rsidRPr="003C52FE">
        <w:rPr>
          <w:b/>
          <w:highlight w:val="yellow"/>
        </w:rPr>
        <w:t>Please make sure that all instruments, instructions, and scripts are submitted with the request.</w:t>
      </w:r>
    </w:p>
    <w:p w:rsidR="00B05ACA" w:rsidP="007B54AC" w:rsidRDefault="000F057F" w14:paraId="696CB477" w14:textId="5A2267AE">
      <w:pPr>
        <w:rPr>
          <w:rFonts w:ascii="Times New Roman" w:hAnsi="Times New Roman" w:eastAsia="Times New Roman" w:cs="Times New Roman"/>
          <w:b/>
          <w:bCs/>
          <w:sz w:val="28"/>
          <w:szCs w:val="24"/>
        </w:rPr>
      </w:pPr>
      <w:r w:rsidRPr="00995A9A">
        <w:lastRenderedPageBreak/>
        <w:t>See Appendix A: Interview Protocol</w:t>
      </w:r>
    </w:p>
    <w:sectPr w:rsidR="00B05ACA" w:rsidSect="00B05AC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6625B" w14:textId="77777777" w:rsidR="007803D7" w:rsidRDefault="007803D7" w:rsidP="002856F0">
      <w:pPr>
        <w:spacing w:after="0" w:line="240" w:lineRule="auto"/>
      </w:pPr>
      <w:r>
        <w:separator/>
      </w:r>
    </w:p>
  </w:endnote>
  <w:endnote w:type="continuationSeparator" w:id="0">
    <w:p w14:paraId="19106D83" w14:textId="77777777" w:rsidR="007803D7" w:rsidRDefault="007803D7" w:rsidP="0028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328863"/>
      <w:docPartObj>
        <w:docPartGallery w:val="Page Numbers (Bottom of Page)"/>
        <w:docPartUnique/>
      </w:docPartObj>
    </w:sdtPr>
    <w:sdtEndPr/>
    <w:sdtContent>
      <w:sdt>
        <w:sdtPr>
          <w:id w:val="-1769616900"/>
          <w:docPartObj>
            <w:docPartGallery w:val="Page Numbers (Top of Page)"/>
            <w:docPartUnique/>
          </w:docPartObj>
        </w:sdtPr>
        <w:sdtEndPr/>
        <w:sdtContent>
          <w:p w14:paraId="29C35E63" w14:textId="4F8B826F" w:rsidR="00C756D2" w:rsidRDefault="00C756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69E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69E1">
              <w:rPr>
                <w:b/>
                <w:bCs/>
                <w:noProof/>
              </w:rPr>
              <w:t>5</w:t>
            </w:r>
            <w:r>
              <w:rPr>
                <w:b/>
                <w:bCs/>
                <w:sz w:val="24"/>
                <w:szCs w:val="24"/>
              </w:rPr>
              <w:fldChar w:fldCharType="end"/>
            </w:r>
          </w:p>
        </w:sdtContent>
      </w:sdt>
    </w:sdtContent>
  </w:sdt>
  <w:p w14:paraId="1E180ECC" w14:textId="77777777" w:rsidR="00C756D2" w:rsidRDefault="00C7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B0E44" w14:textId="77777777" w:rsidR="007803D7" w:rsidRDefault="007803D7" w:rsidP="002856F0">
      <w:pPr>
        <w:spacing w:after="0" w:line="240" w:lineRule="auto"/>
      </w:pPr>
      <w:r>
        <w:separator/>
      </w:r>
    </w:p>
  </w:footnote>
  <w:footnote w:type="continuationSeparator" w:id="0">
    <w:p w14:paraId="16D46104" w14:textId="77777777" w:rsidR="007803D7" w:rsidRDefault="007803D7" w:rsidP="002856F0">
      <w:pPr>
        <w:spacing w:after="0" w:line="240" w:lineRule="auto"/>
      </w:pPr>
      <w:r>
        <w:continuationSeparator/>
      </w:r>
    </w:p>
  </w:footnote>
  <w:footnote w:id="1">
    <w:p w14:paraId="3521713F" w14:textId="77777777" w:rsidR="00AE6B2E" w:rsidRDefault="00AE6B2E" w:rsidP="00AE6B2E">
      <w:r>
        <w:rPr>
          <w:rStyle w:val="FootnoteReference"/>
        </w:rPr>
        <w:footnoteRef/>
      </w:r>
      <w:r>
        <w:t xml:space="preserve"> </w:t>
      </w:r>
      <w:r w:rsidRPr="00AC46F6">
        <w:rPr>
          <w:rFonts w:cstheme="minorHAnsi"/>
          <w:color w:val="333333"/>
          <w:shd w:val="clear" w:color="auto" w:fill="FCFCFC"/>
        </w:rPr>
        <w:t xml:space="preserve">Mohan, D., </w:t>
      </w:r>
      <w:proofErr w:type="spellStart"/>
      <w:r w:rsidRPr="00AC46F6">
        <w:rPr>
          <w:rFonts w:cstheme="minorHAnsi"/>
          <w:color w:val="333333"/>
          <w:shd w:val="clear" w:color="auto" w:fill="FCFCFC"/>
        </w:rPr>
        <w:t>Rosengart</w:t>
      </w:r>
      <w:proofErr w:type="spellEnd"/>
      <w:r w:rsidRPr="00AC46F6">
        <w:rPr>
          <w:rFonts w:cstheme="minorHAnsi"/>
          <w:color w:val="333333"/>
          <w:shd w:val="clear" w:color="auto" w:fill="FCFCFC"/>
        </w:rPr>
        <w:t xml:space="preserve">, M.R., </w:t>
      </w:r>
      <w:proofErr w:type="spellStart"/>
      <w:r w:rsidRPr="00AC46F6">
        <w:rPr>
          <w:rFonts w:cstheme="minorHAnsi"/>
          <w:color w:val="333333"/>
          <w:shd w:val="clear" w:color="auto" w:fill="FCFCFC"/>
        </w:rPr>
        <w:t>Fischhoff</w:t>
      </w:r>
      <w:proofErr w:type="spellEnd"/>
      <w:r w:rsidRPr="00AC46F6">
        <w:rPr>
          <w:rFonts w:cstheme="minorHAnsi"/>
          <w:color w:val="333333"/>
          <w:shd w:val="clear" w:color="auto" w:fill="FCFCFC"/>
        </w:rPr>
        <w:t>, B. </w:t>
      </w:r>
      <w:r w:rsidRPr="00AC46F6">
        <w:rPr>
          <w:rFonts w:cstheme="minorHAnsi"/>
          <w:i/>
          <w:iCs/>
          <w:color w:val="333333"/>
          <w:shd w:val="clear" w:color="auto" w:fill="FCFCFC"/>
        </w:rPr>
        <w:t>et al.</w:t>
      </w:r>
      <w:r w:rsidRPr="00AC46F6">
        <w:rPr>
          <w:rFonts w:cstheme="minorHAnsi"/>
          <w:color w:val="333333"/>
          <w:shd w:val="clear" w:color="auto" w:fill="FCFCFC"/>
        </w:rPr>
        <w:t> </w:t>
      </w:r>
      <w:r>
        <w:rPr>
          <w:rFonts w:cstheme="minorHAnsi"/>
          <w:color w:val="333333"/>
          <w:shd w:val="clear" w:color="auto" w:fill="FCFCFC"/>
        </w:rPr>
        <w:t xml:space="preserve">(2017). </w:t>
      </w:r>
      <w:r w:rsidRPr="00AC46F6">
        <w:rPr>
          <w:rFonts w:cstheme="minorHAnsi"/>
          <w:color w:val="333333"/>
          <w:shd w:val="clear" w:color="auto" w:fill="FCFCFC"/>
        </w:rPr>
        <w:t>Using incentives to recruit physicians into behavioral trials: lessons learned from four studies. </w:t>
      </w:r>
      <w:r w:rsidRPr="00AC46F6">
        <w:rPr>
          <w:rFonts w:cstheme="minorHAnsi"/>
          <w:i/>
          <w:iCs/>
          <w:color w:val="333333"/>
          <w:shd w:val="clear" w:color="auto" w:fill="FCFCFC"/>
        </w:rPr>
        <w:t>BMC Res Notes</w:t>
      </w:r>
      <w:r w:rsidRPr="00AC46F6">
        <w:rPr>
          <w:rFonts w:cstheme="minorHAnsi"/>
          <w:color w:val="333333"/>
          <w:shd w:val="clear" w:color="auto" w:fill="FCFCFC"/>
        </w:rPr>
        <w:t> </w:t>
      </w:r>
      <w:r w:rsidRPr="00AC46F6">
        <w:rPr>
          <w:rFonts w:cstheme="minorHAnsi"/>
          <w:bCs/>
          <w:color w:val="333333"/>
          <w:shd w:val="clear" w:color="auto" w:fill="FCFCFC"/>
        </w:rPr>
        <w:t>10</w:t>
      </w:r>
      <w:r>
        <w:rPr>
          <w:rFonts w:cstheme="minorHAnsi"/>
          <w:b/>
          <w:bCs/>
          <w:color w:val="333333"/>
          <w:shd w:val="clear" w:color="auto" w:fill="FCFCFC"/>
        </w:rPr>
        <w:t xml:space="preserve"> (</w:t>
      </w:r>
      <w:r w:rsidRPr="00AC46F6">
        <w:rPr>
          <w:rFonts w:cstheme="minorHAnsi"/>
          <w:color w:val="333333"/>
          <w:shd w:val="clear" w:color="auto" w:fill="FCFCFC"/>
        </w:rPr>
        <w:t>776</w:t>
      </w:r>
      <w:r>
        <w:rPr>
          <w:rFonts w:cstheme="minorHAnsi"/>
          <w:color w:val="333333"/>
          <w:shd w:val="clear" w:color="auto" w:fill="FCFCFC"/>
        </w:rPr>
        <w:t>)</w:t>
      </w:r>
      <w:r w:rsidRPr="00AC46F6">
        <w:rPr>
          <w:rFonts w:cstheme="minorHAnsi"/>
          <w:color w:val="333333"/>
          <w:shd w:val="clear" w:color="auto" w:fill="FCFCFC"/>
        </w:rPr>
        <w:t xml:space="preserve">. </w:t>
      </w:r>
      <w:hyperlink r:id="rId1" w:history="1">
        <w:r w:rsidRPr="00AC46F6">
          <w:rPr>
            <w:rStyle w:val="Hyperlink"/>
            <w:rFonts w:cstheme="minorHAnsi"/>
            <w:shd w:val="clear" w:color="auto" w:fill="FCFCFC"/>
          </w:rPr>
          <w:t>https://doi.org/10.1186/s13104-017-3101-z</w:t>
        </w:r>
      </w:hyperlink>
    </w:p>
    <w:p w14:paraId="5F0259D2" w14:textId="77777777" w:rsidR="00AE6B2E" w:rsidRDefault="00AE6B2E" w:rsidP="00AE6B2E">
      <w:pPr>
        <w:pStyle w:val="FootnoteText"/>
      </w:pPr>
    </w:p>
  </w:footnote>
  <w:footnote w:id="2">
    <w:p w14:paraId="2E950FEC" w14:textId="74F064B6" w:rsidR="00785F58" w:rsidRDefault="002F771D">
      <w:r>
        <w:rPr>
          <w:rStyle w:val="FootnoteReference"/>
        </w:rPr>
        <w:footnoteRef/>
      </w:r>
      <w:r>
        <w:t xml:space="preserve"> </w:t>
      </w:r>
      <w:r w:rsidRPr="002B0072">
        <w:t xml:space="preserve">Mercer A., </w:t>
      </w:r>
      <w:proofErr w:type="spellStart"/>
      <w:r w:rsidRPr="002B0072">
        <w:t>Caporaso</w:t>
      </w:r>
      <w:proofErr w:type="spellEnd"/>
      <w:r w:rsidRPr="002B0072">
        <w:t xml:space="preserve">, A., Cantor, D., and </w:t>
      </w:r>
      <w:r w:rsidRPr="00C758D4">
        <w:t xml:space="preserve">Townsend, R. (2015). How much gets you how much? Monetary incentives and response rates in household surveys. </w:t>
      </w:r>
      <w:r w:rsidRPr="00AC46F6">
        <w:rPr>
          <w:i/>
        </w:rPr>
        <w:t>Public Opinion Quarterly</w:t>
      </w:r>
      <w:r w:rsidRPr="00C758D4">
        <w:t>, 79(1), 105-129.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505C8"/>
    <w:multiLevelType w:val="multilevel"/>
    <w:tmpl w:val="34868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66EB7"/>
    <w:multiLevelType w:val="multilevel"/>
    <w:tmpl w:val="6F8CB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332CF1"/>
    <w:multiLevelType w:val="hybridMultilevel"/>
    <w:tmpl w:val="674C54B8"/>
    <w:lvl w:ilvl="0" w:tplc="DBCEEF4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530591"/>
    <w:multiLevelType w:val="hybridMultilevel"/>
    <w:tmpl w:val="6D9C9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252AF"/>
    <w:multiLevelType w:val="hybridMultilevel"/>
    <w:tmpl w:val="B7140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2"/>
  </w:num>
  <w:num w:numId="4">
    <w:abstractNumId w:val="4"/>
  </w:num>
  <w:num w:numId="5">
    <w:abstractNumId w:val="3"/>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CA"/>
    <w:rsid w:val="00007E2A"/>
    <w:rsid w:val="00014E3A"/>
    <w:rsid w:val="00016A11"/>
    <w:rsid w:val="00021B0C"/>
    <w:rsid w:val="0002402E"/>
    <w:rsid w:val="00050752"/>
    <w:rsid w:val="00060F2E"/>
    <w:rsid w:val="0006489E"/>
    <w:rsid w:val="000654FB"/>
    <w:rsid w:val="0007357C"/>
    <w:rsid w:val="00093A31"/>
    <w:rsid w:val="00095A44"/>
    <w:rsid w:val="000A59BF"/>
    <w:rsid w:val="000C15E4"/>
    <w:rsid w:val="000D1F25"/>
    <w:rsid w:val="000E3D16"/>
    <w:rsid w:val="000F00F3"/>
    <w:rsid w:val="000F057F"/>
    <w:rsid w:val="00110B92"/>
    <w:rsid w:val="00120096"/>
    <w:rsid w:val="0012659C"/>
    <w:rsid w:val="0014139C"/>
    <w:rsid w:val="00156E4F"/>
    <w:rsid w:val="0017520F"/>
    <w:rsid w:val="00181AD9"/>
    <w:rsid w:val="0018389B"/>
    <w:rsid w:val="00187A17"/>
    <w:rsid w:val="001A4DBD"/>
    <w:rsid w:val="001B2D35"/>
    <w:rsid w:val="001B427E"/>
    <w:rsid w:val="001B5CA8"/>
    <w:rsid w:val="001B7639"/>
    <w:rsid w:val="001C64CB"/>
    <w:rsid w:val="001E47BB"/>
    <w:rsid w:val="001F2573"/>
    <w:rsid w:val="002165F2"/>
    <w:rsid w:val="00231DD6"/>
    <w:rsid w:val="00232FDD"/>
    <w:rsid w:val="002570F6"/>
    <w:rsid w:val="002856F0"/>
    <w:rsid w:val="00290A08"/>
    <w:rsid w:val="002925A3"/>
    <w:rsid w:val="00293919"/>
    <w:rsid w:val="002D390D"/>
    <w:rsid w:val="002D4D11"/>
    <w:rsid w:val="002E0CCD"/>
    <w:rsid w:val="002F5944"/>
    <w:rsid w:val="002F5D1B"/>
    <w:rsid w:val="002F771D"/>
    <w:rsid w:val="0030165C"/>
    <w:rsid w:val="0031092B"/>
    <w:rsid w:val="003443E9"/>
    <w:rsid w:val="00346362"/>
    <w:rsid w:val="00351EE6"/>
    <w:rsid w:val="00364144"/>
    <w:rsid w:val="00367E72"/>
    <w:rsid w:val="00381E66"/>
    <w:rsid w:val="0038312A"/>
    <w:rsid w:val="00390127"/>
    <w:rsid w:val="003919B1"/>
    <w:rsid w:val="003A0870"/>
    <w:rsid w:val="003A254B"/>
    <w:rsid w:val="003A2B5C"/>
    <w:rsid w:val="003B05F6"/>
    <w:rsid w:val="003B154E"/>
    <w:rsid w:val="003B78FB"/>
    <w:rsid w:val="003C2D09"/>
    <w:rsid w:val="003C52FE"/>
    <w:rsid w:val="003C69DF"/>
    <w:rsid w:val="00402671"/>
    <w:rsid w:val="00410BFD"/>
    <w:rsid w:val="00411FDF"/>
    <w:rsid w:val="00414DDC"/>
    <w:rsid w:val="004156AC"/>
    <w:rsid w:val="00421FBC"/>
    <w:rsid w:val="00434D2A"/>
    <w:rsid w:val="00441ACB"/>
    <w:rsid w:val="0044242D"/>
    <w:rsid w:val="00452F80"/>
    <w:rsid w:val="0045380E"/>
    <w:rsid w:val="00467CF7"/>
    <w:rsid w:val="004701E1"/>
    <w:rsid w:val="004766D3"/>
    <w:rsid w:val="004B0C59"/>
    <w:rsid w:val="004D63B0"/>
    <w:rsid w:val="004F0DD6"/>
    <w:rsid w:val="00501A8F"/>
    <w:rsid w:val="00505A7F"/>
    <w:rsid w:val="00506BB1"/>
    <w:rsid w:val="0051590A"/>
    <w:rsid w:val="00525732"/>
    <w:rsid w:val="005474B4"/>
    <w:rsid w:val="00557A89"/>
    <w:rsid w:val="00561B5D"/>
    <w:rsid w:val="00584184"/>
    <w:rsid w:val="00591F1F"/>
    <w:rsid w:val="005A5222"/>
    <w:rsid w:val="005B1753"/>
    <w:rsid w:val="005C0405"/>
    <w:rsid w:val="005C13A0"/>
    <w:rsid w:val="005C16BA"/>
    <w:rsid w:val="005C3455"/>
    <w:rsid w:val="005C58EC"/>
    <w:rsid w:val="005C59CA"/>
    <w:rsid w:val="005E0824"/>
    <w:rsid w:val="005E2B27"/>
    <w:rsid w:val="005E36D2"/>
    <w:rsid w:val="005F0617"/>
    <w:rsid w:val="00606D93"/>
    <w:rsid w:val="006140A4"/>
    <w:rsid w:val="00617A8E"/>
    <w:rsid w:val="0063676A"/>
    <w:rsid w:val="00642C51"/>
    <w:rsid w:val="00650D8D"/>
    <w:rsid w:val="00661094"/>
    <w:rsid w:val="006830DC"/>
    <w:rsid w:val="006947ED"/>
    <w:rsid w:val="006B1813"/>
    <w:rsid w:val="006B5CB7"/>
    <w:rsid w:val="006B70A1"/>
    <w:rsid w:val="006C4515"/>
    <w:rsid w:val="006D0EF3"/>
    <w:rsid w:val="006D1AD1"/>
    <w:rsid w:val="006E16B5"/>
    <w:rsid w:val="006E5D8E"/>
    <w:rsid w:val="006E7FE6"/>
    <w:rsid w:val="006F254E"/>
    <w:rsid w:val="006F6FE6"/>
    <w:rsid w:val="00704527"/>
    <w:rsid w:val="00726A6D"/>
    <w:rsid w:val="0074191B"/>
    <w:rsid w:val="00745136"/>
    <w:rsid w:val="00766212"/>
    <w:rsid w:val="007676F3"/>
    <w:rsid w:val="00770CDF"/>
    <w:rsid w:val="00771C32"/>
    <w:rsid w:val="007803D7"/>
    <w:rsid w:val="00785F58"/>
    <w:rsid w:val="00786E99"/>
    <w:rsid w:val="007B4021"/>
    <w:rsid w:val="007B54AC"/>
    <w:rsid w:val="007C5E28"/>
    <w:rsid w:val="007D6DBD"/>
    <w:rsid w:val="007F043C"/>
    <w:rsid w:val="007F2858"/>
    <w:rsid w:val="007F6CEF"/>
    <w:rsid w:val="0080344F"/>
    <w:rsid w:val="008112B0"/>
    <w:rsid w:val="00813C5E"/>
    <w:rsid w:val="008147C4"/>
    <w:rsid w:val="00817296"/>
    <w:rsid w:val="008174DD"/>
    <w:rsid w:val="00821A12"/>
    <w:rsid w:val="008236BE"/>
    <w:rsid w:val="0083381A"/>
    <w:rsid w:val="00845202"/>
    <w:rsid w:val="00850A0E"/>
    <w:rsid w:val="0085642E"/>
    <w:rsid w:val="0088524C"/>
    <w:rsid w:val="00885D18"/>
    <w:rsid w:val="008865E5"/>
    <w:rsid w:val="00890AD2"/>
    <w:rsid w:val="008A7130"/>
    <w:rsid w:val="008B7ADA"/>
    <w:rsid w:val="008C5BD9"/>
    <w:rsid w:val="008C60B8"/>
    <w:rsid w:val="008F7A33"/>
    <w:rsid w:val="0092781E"/>
    <w:rsid w:val="0093355C"/>
    <w:rsid w:val="00944264"/>
    <w:rsid w:val="00951875"/>
    <w:rsid w:val="00961B78"/>
    <w:rsid w:val="0098017D"/>
    <w:rsid w:val="00985AFD"/>
    <w:rsid w:val="0099096F"/>
    <w:rsid w:val="009930AB"/>
    <w:rsid w:val="00995A9A"/>
    <w:rsid w:val="009A2DA3"/>
    <w:rsid w:val="009A6D8D"/>
    <w:rsid w:val="009A728D"/>
    <w:rsid w:val="009B4B39"/>
    <w:rsid w:val="009C4D03"/>
    <w:rsid w:val="009C7852"/>
    <w:rsid w:val="009D6E7C"/>
    <w:rsid w:val="00A122D8"/>
    <w:rsid w:val="00A1578F"/>
    <w:rsid w:val="00A24CDC"/>
    <w:rsid w:val="00A47571"/>
    <w:rsid w:val="00A70E98"/>
    <w:rsid w:val="00AB096B"/>
    <w:rsid w:val="00AB2DDB"/>
    <w:rsid w:val="00AC3C65"/>
    <w:rsid w:val="00AC46F6"/>
    <w:rsid w:val="00AD50CD"/>
    <w:rsid w:val="00AD7164"/>
    <w:rsid w:val="00AE59F7"/>
    <w:rsid w:val="00AE6B2E"/>
    <w:rsid w:val="00B01A08"/>
    <w:rsid w:val="00B01C59"/>
    <w:rsid w:val="00B05ACA"/>
    <w:rsid w:val="00B113E3"/>
    <w:rsid w:val="00B3596B"/>
    <w:rsid w:val="00B454FE"/>
    <w:rsid w:val="00B52D15"/>
    <w:rsid w:val="00B56670"/>
    <w:rsid w:val="00B6521D"/>
    <w:rsid w:val="00B66483"/>
    <w:rsid w:val="00B669E1"/>
    <w:rsid w:val="00B80588"/>
    <w:rsid w:val="00B80CD6"/>
    <w:rsid w:val="00BA02E5"/>
    <w:rsid w:val="00BA4D86"/>
    <w:rsid w:val="00BB21C8"/>
    <w:rsid w:val="00BC13E4"/>
    <w:rsid w:val="00BD1154"/>
    <w:rsid w:val="00BF7D4E"/>
    <w:rsid w:val="00C02632"/>
    <w:rsid w:val="00C076D9"/>
    <w:rsid w:val="00C11971"/>
    <w:rsid w:val="00C23BB3"/>
    <w:rsid w:val="00C30D9E"/>
    <w:rsid w:val="00C32060"/>
    <w:rsid w:val="00C33648"/>
    <w:rsid w:val="00C367E6"/>
    <w:rsid w:val="00C505F2"/>
    <w:rsid w:val="00C54591"/>
    <w:rsid w:val="00C70597"/>
    <w:rsid w:val="00C72898"/>
    <w:rsid w:val="00C740FB"/>
    <w:rsid w:val="00C756D2"/>
    <w:rsid w:val="00C77626"/>
    <w:rsid w:val="00C81B1C"/>
    <w:rsid w:val="00C85658"/>
    <w:rsid w:val="00CB43BF"/>
    <w:rsid w:val="00CC0DC5"/>
    <w:rsid w:val="00CC2440"/>
    <w:rsid w:val="00CE3BBF"/>
    <w:rsid w:val="00D06599"/>
    <w:rsid w:val="00D113B0"/>
    <w:rsid w:val="00D146B8"/>
    <w:rsid w:val="00D232DD"/>
    <w:rsid w:val="00D434F7"/>
    <w:rsid w:val="00D56577"/>
    <w:rsid w:val="00D60555"/>
    <w:rsid w:val="00D72F61"/>
    <w:rsid w:val="00D87F1D"/>
    <w:rsid w:val="00DC4330"/>
    <w:rsid w:val="00DC4A38"/>
    <w:rsid w:val="00DD24EF"/>
    <w:rsid w:val="00DD6B05"/>
    <w:rsid w:val="00DE06BC"/>
    <w:rsid w:val="00DF5DD8"/>
    <w:rsid w:val="00E1032F"/>
    <w:rsid w:val="00E138AB"/>
    <w:rsid w:val="00E23B3B"/>
    <w:rsid w:val="00E44CC0"/>
    <w:rsid w:val="00E4676C"/>
    <w:rsid w:val="00E645CE"/>
    <w:rsid w:val="00E75414"/>
    <w:rsid w:val="00E77452"/>
    <w:rsid w:val="00E83EFC"/>
    <w:rsid w:val="00E87B99"/>
    <w:rsid w:val="00EA5DFE"/>
    <w:rsid w:val="00EC7B56"/>
    <w:rsid w:val="00ED3976"/>
    <w:rsid w:val="00EE1E62"/>
    <w:rsid w:val="00EE229E"/>
    <w:rsid w:val="00EE53FF"/>
    <w:rsid w:val="00F008DC"/>
    <w:rsid w:val="00F05FAC"/>
    <w:rsid w:val="00F24244"/>
    <w:rsid w:val="00F50BC0"/>
    <w:rsid w:val="00F6078E"/>
    <w:rsid w:val="00F61B8E"/>
    <w:rsid w:val="00F63ADE"/>
    <w:rsid w:val="00F767B0"/>
    <w:rsid w:val="00F837C7"/>
    <w:rsid w:val="00F9452D"/>
    <w:rsid w:val="00FB475B"/>
    <w:rsid w:val="00FB6796"/>
    <w:rsid w:val="00FC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6CA0"/>
  <w15:docId w15:val="{85FC44F1-2783-446D-AF6A-9FDF3BE5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customStyle="1" w:styleId="p1">
    <w:name w:val="p1"/>
    <w:basedOn w:val="Normal"/>
    <w:rsid w:val="0038312A"/>
    <w:pPr>
      <w:spacing w:after="0" w:line="240" w:lineRule="auto"/>
    </w:pPr>
    <w:rPr>
      <w:rFonts w:ascii="Helvetica" w:hAnsi="Helvetica"/>
      <w:sz w:val="17"/>
      <w:szCs w:val="17"/>
    </w:rPr>
  </w:style>
  <w:style w:type="paragraph" w:styleId="BalloonText">
    <w:name w:val="Balloon Text"/>
    <w:basedOn w:val="Normal"/>
    <w:link w:val="BalloonTextChar"/>
    <w:uiPriority w:val="99"/>
    <w:semiHidden/>
    <w:unhideWhenUsed/>
    <w:rsid w:val="0038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2A"/>
    <w:rPr>
      <w:rFonts w:ascii="Tahoma" w:hAnsi="Tahoma" w:cs="Tahoma"/>
      <w:sz w:val="16"/>
      <w:szCs w:val="16"/>
    </w:rPr>
  </w:style>
  <w:style w:type="character" w:customStyle="1" w:styleId="Heading1Char">
    <w:name w:val="Heading 1 Char"/>
    <w:basedOn w:val="DefaultParagraphFont"/>
    <w:link w:val="Heading1"/>
    <w:uiPriority w:val="9"/>
    <w:rsid w:val="002D4D1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2D4D11"/>
  </w:style>
  <w:style w:type="character" w:styleId="CommentReference">
    <w:name w:val="annotation reference"/>
    <w:basedOn w:val="DefaultParagraphFont"/>
    <w:uiPriority w:val="99"/>
    <w:semiHidden/>
    <w:unhideWhenUsed/>
    <w:rsid w:val="002D4D11"/>
    <w:rPr>
      <w:sz w:val="16"/>
      <w:szCs w:val="16"/>
    </w:rPr>
  </w:style>
  <w:style w:type="paragraph" w:styleId="CommentText">
    <w:name w:val="annotation text"/>
    <w:basedOn w:val="Normal"/>
    <w:link w:val="CommentTextChar"/>
    <w:uiPriority w:val="99"/>
    <w:semiHidden/>
    <w:unhideWhenUsed/>
    <w:rsid w:val="002D4D11"/>
    <w:pPr>
      <w:spacing w:line="240" w:lineRule="auto"/>
    </w:pPr>
    <w:rPr>
      <w:sz w:val="20"/>
      <w:szCs w:val="20"/>
    </w:rPr>
  </w:style>
  <w:style w:type="character" w:customStyle="1" w:styleId="CommentTextChar">
    <w:name w:val="Comment Text Char"/>
    <w:basedOn w:val="DefaultParagraphFont"/>
    <w:link w:val="CommentText"/>
    <w:uiPriority w:val="99"/>
    <w:semiHidden/>
    <w:rsid w:val="002D4D11"/>
    <w:rPr>
      <w:sz w:val="20"/>
      <w:szCs w:val="20"/>
    </w:rPr>
  </w:style>
  <w:style w:type="paragraph" w:styleId="CommentSubject">
    <w:name w:val="annotation subject"/>
    <w:basedOn w:val="CommentText"/>
    <w:next w:val="CommentText"/>
    <w:link w:val="CommentSubjectChar"/>
    <w:uiPriority w:val="99"/>
    <w:semiHidden/>
    <w:unhideWhenUsed/>
    <w:rsid w:val="002D4D11"/>
    <w:rPr>
      <w:b/>
      <w:bCs/>
    </w:rPr>
  </w:style>
  <w:style w:type="character" w:customStyle="1" w:styleId="CommentSubjectChar">
    <w:name w:val="Comment Subject Char"/>
    <w:basedOn w:val="CommentTextChar"/>
    <w:link w:val="CommentSubject"/>
    <w:uiPriority w:val="99"/>
    <w:semiHidden/>
    <w:rsid w:val="002D4D11"/>
    <w:rPr>
      <w:b/>
      <w:bCs/>
      <w:sz w:val="20"/>
      <w:szCs w:val="20"/>
    </w:rPr>
  </w:style>
  <w:style w:type="paragraph" w:styleId="NoSpacing">
    <w:name w:val="No Spacing"/>
    <w:basedOn w:val="Normal"/>
    <w:uiPriority w:val="1"/>
    <w:qFormat/>
    <w:rsid w:val="0063676A"/>
    <w:pPr>
      <w:spacing w:after="0" w:line="240" w:lineRule="auto"/>
    </w:pPr>
    <w:rPr>
      <w:rFonts w:ascii="Calibri" w:eastAsiaTheme="minorHAnsi" w:hAnsi="Calibri" w:cs="Times New Roman"/>
    </w:rPr>
  </w:style>
  <w:style w:type="character" w:styleId="Hyperlink">
    <w:name w:val="Hyperlink"/>
    <w:basedOn w:val="DefaultParagraphFont"/>
    <w:uiPriority w:val="99"/>
    <w:unhideWhenUsed/>
    <w:rsid w:val="008865E5"/>
    <w:rPr>
      <w:color w:val="0000FF" w:themeColor="hyperlink"/>
      <w:u w:val="single"/>
    </w:rPr>
  </w:style>
  <w:style w:type="paragraph" w:styleId="NormalWeb">
    <w:name w:val="Normal (Web)"/>
    <w:basedOn w:val="Normal"/>
    <w:rsid w:val="00A475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67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7CF7"/>
  </w:style>
  <w:style w:type="paragraph" w:styleId="FootnoteText">
    <w:name w:val="footnote text"/>
    <w:basedOn w:val="Normal"/>
    <w:link w:val="FootnoteTextChar"/>
    <w:unhideWhenUsed/>
    <w:rsid w:val="002856F0"/>
    <w:pPr>
      <w:spacing w:after="0" w:line="240" w:lineRule="auto"/>
    </w:pPr>
    <w:rPr>
      <w:sz w:val="20"/>
      <w:szCs w:val="20"/>
    </w:rPr>
  </w:style>
  <w:style w:type="character" w:customStyle="1" w:styleId="FootnoteTextChar">
    <w:name w:val="Footnote Text Char"/>
    <w:basedOn w:val="DefaultParagraphFont"/>
    <w:link w:val="FootnoteText"/>
    <w:rsid w:val="002856F0"/>
    <w:rPr>
      <w:sz w:val="20"/>
      <w:szCs w:val="20"/>
    </w:rPr>
  </w:style>
  <w:style w:type="character" w:styleId="FootnoteReference">
    <w:name w:val="footnote reference"/>
    <w:basedOn w:val="DefaultParagraphFont"/>
    <w:semiHidden/>
    <w:unhideWhenUsed/>
    <w:rsid w:val="002856F0"/>
    <w:rPr>
      <w:vertAlign w:val="superscript"/>
    </w:rPr>
  </w:style>
  <w:style w:type="character" w:styleId="FollowedHyperlink">
    <w:name w:val="FollowedHyperlink"/>
    <w:basedOn w:val="DefaultParagraphFont"/>
    <w:uiPriority w:val="99"/>
    <w:semiHidden/>
    <w:unhideWhenUsed/>
    <w:rsid w:val="002856F0"/>
    <w:rPr>
      <w:color w:val="800080" w:themeColor="followedHyperlink"/>
      <w:u w:val="single"/>
    </w:rPr>
  </w:style>
  <w:style w:type="paragraph" w:styleId="Revision">
    <w:name w:val="Revision"/>
    <w:hidden/>
    <w:uiPriority w:val="99"/>
    <w:semiHidden/>
    <w:rsid w:val="001B7639"/>
    <w:pPr>
      <w:spacing w:after="0" w:line="240" w:lineRule="auto"/>
    </w:pPr>
  </w:style>
  <w:style w:type="paragraph" w:styleId="Footer">
    <w:name w:val="footer"/>
    <w:basedOn w:val="Normal"/>
    <w:link w:val="FooterChar"/>
    <w:uiPriority w:val="99"/>
    <w:unhideWhenUsed/>
    <w:rsid w:val="00C75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6D2"/>
  </w:style>
  <w:style w:type="paragraph" w:styleId="EndnoteText">
    <w:name w:val="endnote text"/>
    <w:basedOn w:val="Normal"/>
    <w:link w:val="EndnoteTextChar"/>
    <w:uiPriority w:val="99"/>
    <w:semiHidden/>
    <w:rsid w:val="00F0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008DC"/>
    <w:rPr>
      <w:rFonts w:ascii="Times New Roman" w:eastAsia="Times New Roman" w:hAnsi="Times New Roman" w:cs="Times New Roman"/>
      <w:sz w:val="20"/>
      <w:szCs w:val="20"/>
    </w:rPr>
  </w:style>
  <w:style w:type="character" w:styleId="EndnoteReference">
    <w:name w:val="endnote reference"/>
    <w:uiPriority w:val="99"/>
    <w:semiHidden/>
    <w:rsid w:val="00F00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768513">
      <w:bodyDiv w:val="1"/>
      <w:marLeft w:val="0"/>
      <w:marRight w:val="0"/>
      <w:marTop w:val="0"/>
      <w:marBottom w:val="0"/>
      <w:divBdr>
        <w:top w:val="none" w:sz="0" w:space="0" w:color="auto"/>
        <w:left w:val="none" w:sz="0" w:space="0" w:color="auto"/>
        <w:bottom w:val="none" w:sz="0" w:space="0" w:color="auto"/>
        <w:right w:val="none" w:sz="0" w:space="0" w:color="auto"/>
      </w:divBdr>
    </w:div>
    <w:div w:id="257760273">
      <w:bodyDiv w:val="1"/>
      <w:marLeft w:val="0"/>
      <w:marRight w:val="0"/>
      <w:marTop w:val="0"/>
      <w:marBottom w:val="0"/>
      <w:divBdr>
        <w:top w:val="none" w:sz="0" w:space="0" w:color="auto"/>
        <w:left w:val="none" w:sz="0" w:space="0" w:color="auto"/>
        <w:bottom w:val="none" w:sz="0" w:space="0" w:color="auto"/>
        <w:right w:val="none" w:sz="0" w:space="0" w:color="auto"/>
      </w:divBdr>
    </w:div>
    <w:div w:id="258224846">
      <w:bodyDiv w:val="1"/>
      <w:marLeft w:val="0"/>
      <w:marRight w:val="0"/>
      <w:marTop w:val="0"/>
      <w:marBottom w:val="0"/>
      <w:divBdr>
        <w:top w:val="none" w:sz="0" w:space="0" w:color="auto"/>
        <w:left w:val="none" w:sz="0" w:space="0" w:color="auto"/>
        <w:bottom w:val="none" w:sz="0" w:space="0" w:color="auto"/>
        <w:right w:val="none" w:sz="0" w:space="0" w:color="auto"/>
      </w:divBdr>
    </w:div>
    <w:div w:id="1045328278">
      <w:bodyDiv w:val="1"/>
      <w:marLeft w:val="0"/>
      <w:marRight w:val="0"/>
      <w:marTop w:val="0"/>
      <w:marBottom w:val="0"/>
      <w:divBdr>
        <w:top w:val="none" w:sz="0" w:space="0" w:color="auto"/>
        <w:left w:val="none" w:sz="0" w:space="0" w:color="auto"/>
        <w:bottom w:val="none" w:sz="0" w:space="0" w:color="auto"/>
        <w:right w:val="none" w:sz="0" w:space="0" w:color="auto"/>
      </w:divBdr>
    </w:div>
    <w:div w:id="1698039598">
      <w:bodyDiv w:val="1"/>
      <w:marLeft w:val="0"/>
      <w:marRight w:val="0"/>
      <w:marTop w:val="0"/>
      <w:marBottom w:val="0"/>
      <w:divBdr>
        <w:top w:val="none" w:sz="0" w:space="0" w:color="auto"/>
        <w:left w:val="none" w:sz="0" w:space="0" w:color="auto"/>
        <w:bottom w:val="none" w:sz="0" w:space="0" w:color="auto"/>
        <w:right w:val="none" w:sz="0" w:space="0" w:color="auto"/>
      </w:divBdr>
    </w:div>
    <w:div w:id="1990287493">
      <w:bodyDiv w:val="1"/>
      <w:marLeft w:val="0"/>
      <w:marRight w:val="0"/>
      <w:marTop w:val="0"/>
      <w:marBottom w:val="0"/>
      <w:divBdr>
        <w:top w:val="none" w:sz="0" w:space="0" w:color="auto"/>
        <w:left w:val="none" w:sz="0" w:space="0" w:color="auto"/>
        <w:bottom w:val="none" w:sz="0" w:space="0" w:color="auto"/>
        <w:right w:val="none" w:sz="0" w:space="0" w:color="auto"/>
      </w:divBdr>
    </w:div>
    <w:div w:id="21118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100.ht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86/s13104-017-3101-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34F4-214A-4AB4-9527-2658E0D1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Gray, Darryl (AHRQ/CQuIPS)</cp:lastModifiedBy>
  <cp:revision>2</cp:revision>
  <cp:lastPrinted>2017-12-13T18:50:00Z</cp:lastPrinted>
  <dcterms:created xsi:type="dcterms:W3CDTF">2022-01-10T13:20:00Z</dcterms:created>
  <dcterms:modified xsi:type="dcterms:W3CDTF">2022-01-10T13:20:00Z</dcterms:modified>
</cp:coreProperties>
</file>