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87B25" w:rsidP="706A198D" w14:paraId="58A9C8EE" w14:textId="3D5EAA81">
      <w:pPr>
        <w:pStyle w:val="Heading1"/>
        <w:spacing w:before="300" w:beforeAutospacing="0" w:after="120" w:afterAutospacing="0" w:line="300" w:lineRule="atLeast"/>
        <w:rPr>
          <w:rFonts w:ascii="Georgia" w:hAnsi="Georgia"/>
          <w:b w:val="0"/>
          <w:bCs w:val="0"/>
          <w:color w:val="000000"/>
        </w:rPr>
      </w:pPr>
      <w:r w:rsidRPr="69DC91EB">
        <w:rPr>
          <w:rFonts w:ascii="Georgia" w:hAnsi="Georgia"/>
          <w:b w:val="0"/>
          <w:bCs w:val="0"/>
          <w:color w:val="000000" w:themeColor="text1"/>
        </w:rPr>
        <w:t xml:space="preserve">HI </w:t>
      </w:r>
      <w:r w:rsidRPr="009574FE" w:rsidR="009574FE">
        <w:rPr>
          <w:rFonts w:ascii="Georgia" w:hAnsi="Georgia"/>
          <w:b w:val="0"/>
          <w:bCs w:val="0"/>
          <w:color w:val="000000" w:themeColor="text1"/>
        </w:rPr>
        <w:t>00805.38</w:t>
      </w:r>
      <w:r w:rsidR="00100727">
        <w:rPr>
          <w:rFonts w:ascii="Georgia" w:hAnsi="Georgia"/>
          <w:b w:val="0"/>
          <w:bCs w:val="0"/>
          <w:color w:val="000000" w:themeColor="text1"/>
        </w:rPr>
        <w:t>4</w:t>
      </w:r>
      <w:r w:rsidRPr="69DC91EB">
        <w:rPr>
          <w:rFonts w:ascii="Georgia" w:hAnsi="Georgia"/>
          <w:b w:val="0"/>
          <w:bCs w:val="0"/>
          <w:color w:val="000000" w:themeColor="text1"/>
        </w:rPr>
        <w:t xml:space="preserve"> Exceptional Conditions </w:t>
      </w:r>
      <w:bookmarkStart w:id="0" w:name="_GoBack"/>
      <w:bookmarkEnd w:id="0"/>
      <w:r w:rsidRPr="69DC91EB">
        <w:rPr>
          <w:rFonts w:ascii="Georgia" w:hAnsi="Georgia"/>
          <w:b w:val="0"/>
          <w:bCs w:val="0"/>
          <w:color w:val="000000" w:themeColor="text1"/>
        </w:rPr>
        <w:t>Special Enrollment Period (SEP) for</w:t>
      </w:r>
      <w:r w:rsidRPr="69DC91EB" w:rsidR="005451C9">
        <w:rPr>
          <w:rFonts w:ascii="Georgia" w:hAnsi="Georgia"/>
          <w:b w:val="0"/>
          <w:bCs w:val="0"/>
          <w:color w:val="000000" w:themeColor="text1"/>
        </w:rPr>
        <w:t xml:space="preserve"> </w:t>
      </w:r>
      <w:r w:rsidRPr="69DC91EB">
        <w:rPr>
          <w:rFonts w:ascii="Georgia" w:hAnsi="Georgia"/>
          <w:b w:val="0"/>
          <w:bCs w:val="0"/>
          <w:color w:val="000000" w:themeColor="text1"/>
        </w:rPr>
        <w:t xml:space="preserve">Group Health Plan (GHP) or Employer </w:t>
      </w:r>
      <w:r w:rsidRPr="69DC91EB" w:rsidR="002225D8">
        <w:rPr>
          <w:rFonts w:ascii="Georgia" w:hAnsi="Georgia"/>
          <w:b w:val="0"/>
          <w:bCs w:val="0"/>
          <w:color w:val="000000" w:themeColor="text1"/>
        </w:rPr>
        <w:t xml:space="preserve">Misrepresentation </w:t>
      </w:r>
    </w:p>
    <w:p w:rsidR="00887B25" w:rsidP="00887B25" w14:paraId="3A9110A1" w14:textId="77777777">
      <w:pPr>
        <w:pStyle w:val="Heading1"/>
        <w:spacing w:before="300" w:beforeAutospacing="0" w:after="120" w:afterAutospacing="0" w:line="300" w:lineRule="atLeast"/>
        <w:ind w:left="360"/>
        <w:rPr>
          <w:rFonts w:ascii="Cambria" w:hAnsi="Cambria"/>
          <w:bCs w:val="0"/>
          <w:color w:val="000000"/>
          <w:sz w:val="28"/>
        </w:rPr>
      </w:pPr>
      <w:r>
        <w:rPr>
          <w:rFonts w:ascii="Cambria" w:hAnsi="Cambria"/>
          <w:bCs w:val="0"/>
          <w:color w:val="000000"/>
          <w:sz w:val="28"/>
        </w:rPr>
        <w:t>A. Background</w:t>
      </w:r>
    </w:p>
    <w:p w:rsidR="00887B25" w:rsidRPr="00A758B2" w:rsidP="5776DB7C" w14:paraId="07F8F4B4" w14:textId="2575D69E">
      <w:pPr>
        <w:pStyle w:val="Heading1"/>
        <w:spacing w:before="300" w:beforeAutospacing="0" w:after="120" w:afterAutospacing="0" w:line="300" w:lineRule="atLeast"/>
        <w:ind w:left="360"/>
        <w:rPr>
          <w:rFonts w:ascii="Cambria" w:hAnsi="Cambria"/>
          <w:b w:val="0"/>
          <w:bCs w:val="0"/>
          <w:color w:val="000000"/>
          <w:sz w:val="24"/>
          <w:szCs w:val="24"/>
        </w:rPr>
      </w:pPr>
      <w:r w:rsidRPr="5776DB7C">
        <w:rPr>
          <w:rFonts w:ascii="Cambria" w:hAnsi="Cambria"/>
          <w:b w:val="0"/>
          <w:bCs w:val="0"/>
          <w:color w:val="000000" w:themeColor="text1"/>
          <w:sz w:val="24"/>
          <w:szCs w:val="24"/>
        </w:rPr>
        <w:t xml:space="preserve">Often, the primary source of information about Medicare for working individuals is their employer or the carrier of their GHP. </w:t>
      </w:r>
      <w:r w:rsidRPr="5776DB7C" w:rsidR="00AD2B0F">
        <w:rPr>
          <w:rFonts w:ascii="Cambria" w:hAnsi="Cambria"/>
          <w:b w:val="0"/>
          <w:bCs w:val="0"/>
          <w:color w:val="000000" w:themeColor="text1"/>
          <w:sz w:val="24"/>
          <w:szCs w:val="24"/>
        </w:rPr>
        <w:t xml:space="preserve">Despite the Centers for Medicare and Medicaid Services(CMS) </w:t>
      </w:r>
      <w:r w:rsidRPr="5776DB7C">
        <w:rPr>
          <w:rFonts w:ascii="Cambria" w:hAnsi="Cambria"/>
          <w:b w:val="0"/>
          <w:bCs w:val="0"/>
          <w:color w:val="000000" w:themeColor="text1"/>
          <w:sz w:val="24"/>
          <w:szCs w:val="24"/>
        </w:rPr>
        <w:t xml:space="preserve">efforts to provide information to the working population, the potential for the dissemination of misinformation exists. In some cases, individuals may receive erroneous information from their employer </w:t>
      </w:r>
      <w:r w:rsidRPr="5776DB7C" w:rsidR="002225D8">
        <w:rPr>
          <w:rFonts w:ascii="Cambria" w:hAnsi="Cambria"/>
          <w:b w:val="0"/>
          <w:bCs w:val="0"/>
          <w:color w:val="000000" w:themeColor="text1"/>
          <w:sz w:val="24"/>
          <w:szCs w:val="24"/>
        </w:rPr>
        <w:t xml:space="preserve">or GHP </w:t>
      </w:r>
      <w:r w:rsidRPr="5776DB7C">
        <w:rPr>
          <w:rFonts w:ascii="Cambria" w:hAnsi="Cambria"/>
          <w:b w:val="0"/>
          <w:bCs w:val="0"/>
          <w:color w:val="000000" w:themeColor="text1"/>
          <w:sz w:val="24"/>
          <w:szCs w:val="24"/>
        </w:rPr>
        <w:t>that results in the individual not engaging in timely Part B enrollment and consequently being assessed</w:t>
      </w:r>
      <w:r w:rsidRPr="5776DB7C" w:rsidR="0004488C">
        <w:rPr>
          <w:rFonts w:ascii="Cambria" w:hAnsi="Cambria"/>
          <w:b w:val="0"/>
          <w:bCs w:val="0"/>
          <w:color w:val="000000" w:themeColor="text1"/>
          <w:sz w:val="24"/>
          <w:szCs w:val="24"/>
        </w:rPr>
        <w:t xml:space="preserve"> a </w:t>
      </w:r>
      <w:r w:rsidRPr="5776DB7C" w:rsidR="00693D36">
        <w:rPr>
          <w:rFonts w:ascii="Cambria" w:hAnsi="Cambria"/>
          <w:b w:val="0"/>
          <w:bCs w:val="0"/>
          <w:color w:val="000000" w:themeColor="text1"/>
          <w:sz w:val="24"/>
          <w:szCs w:val="24"/>
        </w:rPr>
        <w:t xml:space="preserve">premium </w:t>
      </w:r>
      <w:r w:rsidRPr="5776DB7C" w:rsidR="0004488C">
        <w:rPr>
          <w:rFonts w:ascii="Cambria" w:hAnsi="Cambria"/>
          <w:b w:val="0"/>
          <w:bCs w:val="0"/>
          <w:color w:val="000000" w:themeColor="text1"/>
          <w:sz w:val="24"/>
          <w:szCs w:val="24"/>
        </w:rPr>
        <w:t>surcharge.</w:t>
      </w:r>
      <w:r w:rsidRPr="5776DB7C" w:rsidR="0084687E">
        <w:rPr>
          <w:rFonts w:ascii="Cambria" w:hAnsi="Cambria"/>
          <w:b w:val="0"/>
          <w:bCs w:val="0"/>
          <w:color w:val="000000" w:themeColor="text1"/>
          <w:sz w:val="24"/>
          <w:szCs w:val="24"/>
        </w:rPr>
        <w:t xml:space="preserve"> </w:t>
      </w:r>
    </w:p>
    <w:p w:rsidR="00887B25" w:rsidRPr="00CB5B49" w:rsidP="00887B25" w14:paraId="65F9D850" w14:textId="77777777">
      <w:pPr>
        <w:pStyle w:val="Heading1"/>
        <w:spacing w:before="300" w:beforeAutospacing="0" w:after="120" w:afterAutospacing="0" w:line="300" w:lineRule="atLeast"/>
        <w:ind w:left="360"/>
        <w:rPr>
          <w:rFonts w:ascii="Cambria" w:hAnsi="Cambria"/>
          <w:bCs w:val="0"/>
          <w:color w:val="000000"/>
          <w:sz w:val="28"/>
        </w:rPr>
      </w:pPr>
      <w:r>
        <w:rPr>
          <w:rFonts w:ascii="Cambria" w:hAnsi="Cambria"/>
          <w:bCs w:val="0"/>
          <w:color w:val="000000"/>
          <w:sz w:val="28"/>
        </w:rPr>
        <w:t xml:space="preserve">B. SEP </w:t>
      </w:r>
      <w:r w:rsidRPr="00CB5B49">
        <w:rPr>
          <w:rFonts w:ascii="Cambria" w:hAnsi="Cambria"/>
          <w:bCs w:val="0"/>
          <w:color w:val="000000"/>
          <w:sz w:val="28"/>
        </w:rPr>
        <w:t>Eligibility</w:t>
      </w:r>
    </w:p>
    <w:p w:rsidR="00887B25" w:rsidP="00887B25" w14:paraId="3B505B93" w14:textId="526BCC79">
      <w:pPr>
        <w:pStyle w:val="Heading1"/>
        <w:numPr>
          <w:ilvl w:val="0"/>
          <w:numId w:val="3"/>
        </w:numPr>
        <w:spacing w:before="300" w:beforeAutospacing="0" w:after="120" w:afterAutospacing="0" w:line="300" w:lineRule="atLeast"/>
        <w:rPr>
          <w:rFonts w:ascii="Cambria" w:hAnsi="Cambria"/>
          <w:b w:val="0"/>
          <w:bCs w:val="0"/>
          <w:color w:val="000000"/>
          <w:sz w:val="24"/>
        </w:rPr>
      </w:pPr>
      <w:r w:rsidRPr="00991D7B">
        <w:rPr>
          <w:rFonts w:ascii="Cambria" w:hAnsi="Cambria"/>
          <w:b w:val="0"/>
          <w:bCs w:val="0"/>
          <w:color w:val="000000"/>
          <w:sz w:val="24"/>
        </w:rPr>
        <w:t>This SEP appl</w:t>
      </w:r>
      <w:r>
        <w:rPr>
          <w:rFonts w:ascii="Cambria" w:hAnsi="Cambria"/>
          <w:b w:val="0"/>
          <w:bCs w:val="0"/>
          <w:color w:val="000000"/>
          <w:sz w:val="24"/>
        </w:rPr>
        <w:t>ies</w:t>
      </w:r>
      <w:r w:rsidRPr="00991D7B">
        <w:rPr>
          <w:rFonts w:ascii="Cambria" w:hAnsi="Cambria"/>
          <w:b w:val="0"/>
          <w:bCs w:val="0"/>
          <w:color w:val="000000"/>
          <w:sz w:val="24"/>
        </w:rPr>
        <w:t xml:space="preserve"> for individuals whose non-enrollment in premium Part A or Part B is unintentional, inadvertent, or erroneous and results from material misrepresentation or reliance on incorrect information provided by the individual’s </w:t>
      </w:r>
      <w:r w:rsidR="00BF1E37">
        <w:rPr>
          <w:rFonts w:ascii="Cambria" w:hAnsi="Cambria"/>
          <w:b w:val="0"/>
          <w:bCs w:val="0"/>
          <w:color w:val="000000"/>
          <w:sz w:val="24"/>
        </w:rPr>
        <w:t xml:space="preserve">or their spouse’s </w:t>
      </w:r>
      <w:r w:rsidRPr="00991D7B">
        <w:rPr>
          <w:rFonts w:ascii="Cambria" w:hAnsi="Cambria"/>
          <w:b w:val="0"/>
          <w:bCs w:val="0"/>
          <w:color w:val="000000"/>
          <w:sz w:val="24"/>
        </w:rPr>
        <w:t>employer or GHP</w:t>
      </w:r>
      <w:r w:rsidR="00D37E44">
        <w:rPr>
          <w:rFonts w:ascii="Cambria" w:hAnsi="Cambria"/>
          <w:b w:val="0"/>
          <w:bCs w:val="0"/>
          <w:color w:val="000000"/>
          <w:sz w:val="24"/>
        </w:rPr>
        <w:t xml:space="preserve"> or</w:t>
      </w:r>
      <w:r w:rsidRPr="002D78F0" w:rsidR="00040055">
        <w:rPr>
          <w:rFonts w:ascii="Cambria" w:hAnsi="Cambria"/>
          <w:b w:val="0"/>
          <w:bCs w:val="0"/>
          <w:color w:val="000000" w:themeColor="text1"/>
          <w:sz w:val="24"/>
          <w:szCs w:val="24"/>
        </w:rPr>
        <w:t xml:space="preserve"> brokers or agents of </w:t>
      </w:r>
      <w:r w:rsidR="00BA4D61">
        <w:rPr>
          <w:rFonts w:ascii="Cambria" w:hAnsi="Cambria"/>
          <w:b w:val="0"/>
          <w:bCs w:val="0"/>
          <w:color w:val="000000" w:themeColor="text1"/>
          <w:sz w:val="24"/>
          <w:szCs w:val="24"/>
        </w:rPr>
        <w:t xml:space="preserve">private </w:t>
      </w:r>
      <w:r w:rsidRPr="002D78F0" w:rsidR="00040055">
        <w:rPr>
          <w:rFonts w:ascii="Cambria" w:hAnsi="Cambria"/>
          <w:b w:val="0"/>
          <w:bCs w:val="0"/>
          <w:color w:val="000000" w:themeColor="text1"/>
          <w:sz w:val="24"/>
          <w:szCs w:val="24"/>
        </w:rPr>
        <w:t>health plans that may have been a source of misinformation</w:t>
      </w:r>
      <w:r w:rsidR="00040055">
        <w:rPr>
          <w:rFonts w:ascii="Cambria" w:hAnsi="Cambria"/>
          <w:b w:val="0"/>
          <w:bCs w:val="0"/>
          <w:color w:val="000000" w:themeColor="text1"/>
          <w:sz w:val="24"/>
          <w:szCs w:val="24"/>
        </w:rPr>
        <w:t>.</w:t>
      </w:r>
      <w:r w:rsidR="00040055">
        <w:rPr>
          <w:rFonts w:ascii="Cambria" w:hAnsi="Cambria"/>
          <w:b w:val="0"/>
          <w:bCs w:val="0"/>
          <w:color w:val="000000"/>
          <w:sz w:val="24"/>
        </w:rPr>
        <w:t xml:space="preserve"> </w:t>
      </w:r>
      <w:r w:rsidR="005F2F47">
        <w:rPr>
          <w:rFonts w:ascii="Cambria" w:hAnsi="Cambria"/>
          <w:b w:val="0"/>
          <w:bCs w:val="0"/>
          <w:color w:val="000000"/>
          <w:sz w:val="24"/>
        </w:rPr>
        <w:t xml:space="preserve"> Note that the agents or brokers of health plans are not required to be direct employees of the health plan in order to qualify as sources of misinformation for the purposes of this SEP.</w:t>
      </w:r>
    </w:p>
    <w:p w:rsidR="00887B25" w:rsidP="41E7725F" w14:paraId="5B931BEF" w14:textId="7549EDF1">
      <w:pPr>
        <w:pStyle w:val="Heading1"/>
        <w:numPr>
          <w:ilvl w:val="0"/>
          <w:numId w:val="3"/>
        </w:numPr>
        <w:spacing w:before="300" w:beforeAutospacing="0" w:after="120" w:afterAutospacing="0" w:line="300" w:lineRule="atLeast"/>
        <w:rPr>
          <w:rFonts w:ascii="Cambria" w:hAnsi="Cambria"/>
          <w:b w:val="0"/>
          <w:bCs w:val="0"/>
          <w:color w:val="000000"/>
          <w:sz w:val="24"/>
          <w:szCs w:val="24"/>
        </w:rPr>
      </w:pPr>
      <w:r w:rsidRPr="231CF5FA">
        <w:rPr>
          <w:rFonts w:ascii="Cambria" w:hAnsi="Cambria"/>
          <w:b w:val="0"/>
          <w:bCs w:val="0"/>
          <w:color w:val="000000" w:themeColor="text1"/>
          <w:sz w:val="24"/>
          <w:szCs w:val="24"/>
        </w:rPr>
        <w:t xml:space="preserve">To be eligible for this SEP, an individual must demonstrate that </w:t>
      </w:r>
      <w:r w:rsidR="00BA4D61">
        <w:rPr>
          <w:rFonts w:ascii="Cambria" w:hAnsi="Cambria"/>
          <w:b w:val="0"/>
          <w:bCs w:val="0"/>
          <w:color w:val="000000" w:themeColor="text1"/>
          <w:sz w:val="24"/>
          <w:szCs w:val="24"/>
        </w:rPr>
        <w:t>they</w:t>
      </w:r>
      <w:r w:rsidRPr="231CF5FA">
        <w:rPr>
          <w:rFonts w:ascii="Cambria" w:hAnsi="Cambria"/>
          <w:b w:val="0"/>
          <w:bCs w:val="0"/>
          <w:color w:val="000000" w:themeColor="text1"/>
          <w:sz w:val="24"/>
          <w:szCs w:val="24"/>
        </w:rPr>
        <w:t>:</w:t>
      </w:r>
    </w:p>
    <w:p w:rsidR="00887B25" w:rsidRPr="00BA6449" w:rsidP="577D3C83" w14:paraId="39CD3F05" w14:textId="7866DAF1">
      <w:pPr>
        <w:pStyle w:val="Heading1"/>
        <w:numPr>
          <w:ilvl w:val="1"/>
          <w:numId w:val="3"/>
        </w:numPr>
        <w:spacing w:before="300" w:beforeAutospacing="0" w:after="120" w:afterAutospacing="0" w:line="300" w:lineRule="atLeast"/>
        <w:rPr>
          <w:rFonts w:ascii="Cambria" w:hAnsi="Cambria"/>
          <w:b w:val="0"/>
          <w:bCs w:val="0"/>
          <w:color w:val="000000" w:themeColor="text1"/>
          <w:sz w:val="24"/>
          <w:szCs w:val="24"/>
        </w:rPr>
      </w:pPr>
      <w:r w:rsidRPr="577D3C83">
        <w:rPr>
          <w:rFonts w:ascii="Cambria" w:hAnsi="Cambria"/>
          <w:b w:val="0"/>
          <w:bCs w:val="0"/>
          <w:color w:val="000000" w:themeColor="text1"/>
          <w:sz w:val="24"/>
          <w:szCs w:val="24"/>
        </w:rPr>
        <w:t>Did not enroll in premium Part A or Part B during their IEP</w:t>
      </w:r>
      <w:r w:rsidRPr="577D3C83" w:rsidR="002225D8">
        <w:rPr>
          <w:rFonts w:ascii="Cambria" w:hAnsi="Cambria"/>
          <w:b w:val="0"/>
          <w:bCs w:val="0"/>
          <w:color w:val="000000" w:themeColor="text1"/>
          <w:sz w:val="24"/>
          <w:szCs w:val="24"/>
        </w:rPr>
        <w:t>, GEP</w:t>
      </w:r>
      <w:r w:rsidRPr="577D3C83">
        <w:rPr>
          <w:rFonts w:ascii="Cambria" w:hAnsi="Cambria"/>
          <w:b w:val="0"/>
          <w:bCs w:val="0"/>
          <w:color w:val="000000" w:themeColor="text1"/>
          <w:sz w:val="24"/>
          <w:szCs w:val="24"/>
        </w:rPr>
        <w:t xml:space="preserve"> or another SEP in which they were eligible based on information received from an employer or GHP,</w:t>
      </w:r>
      <w:r w:rsidRPr="577D3C83" w:rsidR="00D37E44">
        <w:rPr>
          <w:rFonts w:ascii="Cambria" w:hAnsi="Cambria"/>
          <w:b w:val="0"/>
          <w:bCs w:val="0"/>
          <w:color w:val="000000" w:themeColor="text1"/>
          <w:sz w:val="24"/>
          <w:szCs w:val="24"/>
        </w:rPr>
        <w:t xml:space="preserve"> or</w:t>
      </w:r>
      <w:r w:rsidRPr="577D3C83" w:rsidR="002D78F0">
        <w:rPr>
          <w:rFonts w:ascii="Cambria" w:hAnsi="Cambria"/>
          <w:b w:val="0"/>
          <w:bCs w:val="0"/>
          <w:color w:val="000000" w:themeColor="text1"/>
          <w:sz w:val="24"/>
          <w:szCs w:val="24"/>
        </w:rPr>
        <w:t xml:space="preserve"> brokers or agents of</w:t>
      </w:r>
      <w:r w:rsidR="0084687E">
        <w:rPr>
          <w:rFonts w:ascii="Cambria" w:hAnsi="Cambria"/>
          <w:b w:val="0"/>
          <w:bCs w:val="0"/>
          <w:color w:val="000000" w:themeColor="text1"/>
          <w:sz w:val="24"/>
          <w:szCs w:val="24"/>
        </w:rPr>
        <w:t xml:space="preserve"> private</w:t>
      </w:r>
      <w:r w:rsidRPr="577D3C83" w:rsidR="002D78F0">
        <w:rPr>
          <w:rFonts w:ascii="Cambria" w:hAnsi="Cambria"/>
          <w:b w:val="0"/>
          <w:bCs w:val="0"/>
          <w:color w:val="000000" w:themeColor="text1"/>
          <w:sz w:val="24"/>
          <w:szCs w:val="24"/>
        </w:rPr>
        <w:t xml:space="preserve"> health plans that may have been a source of misinformation</w:t>
      </w:r>
      <w:r w:rsidRPr="577D3C83" w:rsidR="00D37E44">
        <w:rPr>
          <w:rFonts w:ascii="Cambria" w:hAnsi="Cambria"/>
          <w:b w:val="0"/>
          <w:bCs w:val="0"/>
          <w:color w:val="000000" w:themeColor="text1"/>
          <w:sz w:val="24"/>
          <w:szCs w:val="24"/>
        </w:rPr>
        <w:t xml:space="preserve">, </w:t>
      </w:r>
      <w:r w:rsidR="00AD2B0F">
        <w:rPr>
          <w:rFonts w:ascii="Cambria" w:hAnsi="Cambria"/>
          <w:color w:val="000000" w:themeColor="text1"/>
          <w:sz w:val="24"/>
          <w:szCs w:val="24"/>
        </w:rPr>
        <w:t>and</w:t>
      </w:r>
    </w:p>
    <w:p w:rsidR="00887B25" w:rsidP="577D3C83" w14:paraId="350D4C50" w14:textId="63CEB330">
      <w:pPr>
        <w:pStyle w:val="Heading1"/>
        <w:numPr>
          <w:ilvl w:val="1"/>
          <w:numId w:val="3"/>
        </w:numPr>
        <w:spacing w:before="300" w:beforeAutospacing="0" w:after="120" w:afterAutospacing="0" w:line="300" w:lineRule="atLeast"/>
        <w:rPr>
          <w:rFonts w:asciiTheme="minorHAnsi" w:eastAsiaTheme="minorEastAsia" w:hAnsiTheme="minorHAnsi" w:cstheme="minorBidi"/>
          <w:b w:val="0"/>
          <w:bCs w:val="0"/>
          <w:color w:val="000000"/>
          <w:sz w:val="24"/>
          <w:szCs w:val="24"/>
        </w:rPr>
      </w:pPr>
      <w:r w:rsidRPr="577D3C83">
        <w:rPr>
          <w:rFonts w:ascii="Cambria" w:hAnsi="Cambria"/>
          <w:b w:val="0"/>
          <w:bCs w:val="0"/>
          <w:color w:val="000000" w:themeColor="text1"/>
          <w:sz w:val="24"/>
          <w:szCs w:val="24"/>
        </w:rPr>
        <w:t>an employer, GHP</w:t>
      </w:r>
      <w:r w:rsidRPr="577D3C83" w:rsidR="00D37E44">
        <w:rPr>
          <w:rFonts w:ascii="Cambria" w:hAnsi="Cambria"/>
          <w:b w:val="0"/>
          <w:bCs w:val="0"/>
          <w:color w:val="000000" w:themeColor="text1"/>
          <w:sz w:val="24"/>
          <w:szCs w:val="24"/>
        </w:rPr>
        <w:t>,</w:t>
      </w:r>
      <w:r w:rsidRPr="577D3C83">
        <w:rPr>
          <w:rFonts w:ascii="Cambria" w:hAnsi="Cambria"/>
          <w:b w:val="0"/>
          <w:bCs w:val="0"/>
          <w:color w:val="000000" w:themeColor="text1"/>
          <w:sz w:val="24"/>
          <w:szCs w:val="24"/>
        </w:rPr>
        <w:t xml:space="preserve"> or </w:t>
      </w:r>
      <w:r w:rsidRPr="577D3C83" w:rsidR="00040055">
        <w:rPr>
          <w:rFonts w:ascii="Cambria" w:hAnsi="Cambria"/>
          <w:b w:val="0"/>
          <w:bCs w:val="0"/>
          <w:color w:val="000000" w:themeColor="text1"/>
          <w:sz w:val="24"/>
          <w:szCs w:val="24"/>
        </w:rPr>
        <w:t xml:space="preserve"> broker</w:t>
      </w:r>
      <w:r w:rsidR="00AD2B0F">
        <w:rPr>
          <w:rFonts w:ascii="Cambria" w:hAnsi="Cambria"/>
          <w:b w:val="0"/>
          <w:bCs w:val="0"/>
          <w:color w:val="000000" w:themeColor="text1"/>
          <w:sz w:val="24"/>
          <w:szCs w:val="24"/>
        </w:rPr>
        <w:t>s</w:t>
      </w:r>
      <w:r w:rsidRPr="577D3C83" w:rsidR="00040055">
        <w:rPr>
          <w:rFonts w:ascii="Cambria" w:hAnsi="Cambria"/>
          <w:b w:val="0"/>
          <w:bCs w:val="0"/>
          <w:color w:val="000000" w:themeColor="text1"/>
          <w:sz w:val="24"/>
          <w:szCs w:val="24"/>
        </w:rPr>
        <w:t xml:space="preserve"> or agent</w:t>
      </w:r>
      <w:r w:rsidR="00AD2B0F">
        <w:rPr>
          <w:rFonts w:ascii="Cambria" w:hAnsi="Cambria"/>
          <w:b w:val="0"/>
          <w:bCs w:val="0"/>
          <w:color w:val="000000" w:themeColor="text1"/>
          <w:sz w:val="24"/>
          <w:szCs w:val="24"/>
        </w:rPr>
        <w:t>s</w:t>
      </w:r>
      <w:r w:rsidRPr="577D3C83" w:rsidR="00040055">
        <w:rPr>
          <w:rFonts w:ascii="Cambria" w:hAnsi="Cambria"/>
          <w:b w:val="0"/>
          <w:bCs w:val="0"/>
          <w:color w:val="000000" w:themeColor="text1"/>
          <w:sz w:val="24"/>
          <w:szCs w:val="24"/>
        </w:rPr>
        <w:t xml:space="preserve"> of a </w:t>
      </w:r>
      <w:r w:rsidR="0084687E">
        <w:rPr>
          <w:rFonts w:ascii="Cambria" w:hAnsi="Cambria"/>
          <w:b w:val="0"/>
          <w:bCs w:val="0"/>
          <w:color w:val="000000" w:themeColor="text1"/>
          <w:sz w:val="24"/>
          <w:szCs w:val="24"/>
        </w:rPr>
        <w:t xml:space="preserve">private </w:t>
      </w:r>
      <w:r w:rsidRPr="577D3C83" w:rsidR="00040055">
        <w:rPr>
          <w:rFonts w:ascii="Cambria" w:hAnsi="Cambria"/>
          <w:b w:val="0"/>
          <w:bCs w:val="0"/>
          <w:color w:val="000000" w:themeColor="text1"/>
          <w:sz w:val="24"/>
          <w:szCs w:val="24"/>
        </w:rPr>
        <w:t>health plan</w:t>
      </w:r>
      <w:r w:rsidRPr="577D3C83">
        <w:rPr>
          <w:rFonts w:ascii="Cambria" w:hAnsi="Cambria"/>
          <w:b w:val="0"/>
          <w:bCs w:val="0"/>
          <w:color w:val="000000" w:themeColor="text1"/>
          <w:sz w:val="24"/>
          <w:szCs w:val="24"/>
        </w:rPr>
        <w:t xml:space="preserve"> materially misrepresented information or provided incorrect information relating to enrollment in premium Part A or Part B.</w:t>
      </w:r>
    </w:p>
    <w:p w:rsidR="00887B25" w:rsidP="00BA6449" w14:paraId="5DBCA0CC" w14:textId="0BBD1640">
      <w:pPr>
        <w:pStyle w:val="Heading1"/>
        <w:spacing w:before="300" w:beforeAutospacing="0" w:after="120" w:afterAutospacing="0" w:line="300" w:lineRule="atLeast"/>
        <w:ind w:left="1440"/>
        <w:rPr>
          <w:color w:val="4472C4" w:themeColor="accent1"/>
        </w:rPr>
      </w:pPr>
      <w:r w:rsidRPr="6741CD9C">
        <w:rPr>
          <w:rFonts w:ascii="Cambria" w:hAnsi="Cambria"/>
          <w:b w:val="0"/>
          <w:bCs w:val="0"/>
          <w:color w:val="000000" w:themeColor="text1"/>
          <w:sz w:val="24"/>
          <w:szCs w:val="24"/>
        </w:rPr>
        <w:t xml:space="preserve">The material misrepresentation or incorrect information must have occurred on or after </w:t>
      </w:r>
      <w:r w:rsidR="00386A72">
        <w:rPr>
          <w:rFonts w:ascii="Cambria" w:hAnsi="Cambria"/>
          <w:b w:val="0"/>
          <w:bCs w:val="0"/>
          <w:color w:val="000000" w:themeColor="text1"/>
          <w:sz w:val="24"/>
          <w:szCs w:val="24"/>
        </w:rPr>
        <w:t>January 1, 2023</w:t>
      </w:r>
      <w:r w:rsidRPr="6741CD9C">
        <w:rPr>
          <w:rFonts w:ascii="Cambria" w:hAnsi="Cambria"/>
          <w:b w:val="0"/>
          <w:bCs w:val="0"/>
          <w:color w:val="000000" w:themeColor="text1"/>
          <w:sz w:val="24"/>
          <w:szCs w:val="24"/>
        </w:rPr>
        <w:t xml:space="preserve">. </w:t>
      </w:r>
    </w:p>
    <w:p w:rsidR="00887B25" w:rsidRPr="00BA6449" w:rsidP="5A758672" w14:paraId="5D3B5870" w14:textId="700B589C">
      <w:pPr>
        <w:pStyle w:val="Heading1"/>
        <w:spacing w:before="300" w:beforeAutospacing="0" w:after="120" w:afterAutospacing="0" w:line="300" w:lineRule="atLeast"/>
        <w:ind w:left="1440"/>
      </w:pPr>
      <w:r w:rsidRPr="630187B7">
        <w:rPr>
          <w:sz w:val="24"/>
          <w:szCs w:val="24"/>
        </w:rPr>
        <w:t>Note: The person must have missed an enrollment period to be eligible for this SEP.</w:t>
      </w:r>
      <w:r w:rsidRPr="630187B7" w:rsidR="00BF2914">
        <w:rPr>
          <w:sz w:val="24"/>
          <w:szCs w:val="24"/>
        </w:rPr>
        <w:t xml:space="preserve"> An </w:t>
      </w:r>
      <w:r w:rsidRPr="630187B7" w:rsidR="4163D2F6">
        <w:rPr>
          <w:sz w:val="24"/>
          <w:szCs w:val="24"/>
        </w:rPr>
        <w:t xml:space="preserve">CMS </w:t>
      </w:r>
      <w:r w:rsidRPr="630187B7" w:rsidR="00BF2914">
        <w:rPr>
          <w:sz w:val="24"/>
          <w:szCs w:val="24"/>
        </w:rPr>
        <w:t xml:space="preserve">L564 form </w:t>
      </w:r>
      <w:r w:rsidR="00B77F9B">
        <w:rPr>
          <w:sz w:val="24"/>
          <w:szCs w:val="24"/>
        </w:rPr>
        <w:t>is</w:t>
      </w:r>
      <w:r w:rsidRPr="630187B7" w:rsidR="00BF2914">
        <w:rPr>
          <w:sz w:val="24"/>
          <w:szCs w:val="24"/>
        </w:rPr>
        <w:t xml:space="preserve"> not required for this SEP enrollment. </w:t>
      </w:r>
    </w:p>
    <w:p w:rsidR="231CF5FA" w:rsidRPr="00BA6449" w:rsidP="2FC5A4E2" w14:paraId="5FED31FB" w14:textId="7FE117AC">
      <w:pPr>
        <w:pStyle w:val="Heading1"/>
        <w:spacing w:before="300" w:beforeAutospacing="0" w:after="120" w:afterAutospacing="0"/>
        <w:ind w:left="360"/>
        <w:rPr>
          <w:rFonts w:ascii="Cambria" w:hAnsi="Cambria"/>
          <w:color w:val="000000" w:themeColor="text1"/>
          <w:sz w:val="28"/>
          <w:szCs w:val="28"/>
        </w:rPr>
      </w:pPr>
      <w:r w:rsidRPr="577D3C83">
        <w:rPr>
          <w:rFonts w:ascii="Cambria" w:hAnsi="Cambria"/>
          <w:color w:val="000000" w:themeColor="text1"/>
          <w:sz w:val="28"/>
          <w:szCs w:val="28"/>
        </w:rPr>
        <w:t>C. Required Proof</w:t>
      </w:r>
    </w:p>
    <w:p w:rsidR="577D3C83" w:rsidRPr="00764AA2" w:rsidP="577D3C83" w14:paraId="670E3980" w14:textId="0A07EE02">
      <w:pPr>
        <w:pStyle w:val="Heading1"/>
        <w:spacing w:before="300" w:beforeAutospacing="0" w:after="120" w:afterAutospacing="0" w:line="300" w:lineRule="atLeast"/>
        <w:ind w:left="720"/>
        <w:rPr>
          <w:rFonts w:ascii="Cambria" w:hAnsi="Cambria"/>
          <w:b w:val="0"/>
          <w:bCs w:val="0"/>
          <w:color w:val="000000" w:themeColor="text1"/>
          <w:sz w:val="28"/>
          <w:szCs w:val="28"/>
        </w:rPr>
      </w:pPr>
      <w:r>
        <w:rPr>
          <w:rFonts w:ascii="Cambria" w:hAnsi="Cambria"/>
          <w:b w:val="0"/>
          <w:bCs w:val="0"/>
          <w:color w:val="000000" w:themeColor="text1"/>
          <w:sz w:val="28"/>
          <w:szCs w:val="28"/>
        </w:rPr>
        <w:t xml:space="preserve">1. </w:t>
      </w:r>
      <w:r w:rsidRPr="00764AA2">
        <w:rPr>
          <w:rFonts w:ascii="Cambria" w:hAnsi="Cambria"/>
          <w:b w:val="0"/>
          <w:bCs w:val="0"/>
          <w:color w:val="000000" w:themeColor="text1"/>
          <w:sz w:val="28"/>
          <w:szCs w:val="28"/>
        </w:rPr>
        <w:t xml:space="preserve">Primary Proof </w:t>
      </w:r>
    </w:p>
    <w:p w:rsidR="00887B25" w:rsidP="577D3C83" w14:paraId="1BF17FAB" w14:textId="3BBD2209">
      <w:pPr>
        <w:pStyle w:val="Heading1"/>
        <w:spacing w:before="300" w:beforeAutospacing="0" w:after="120" w:afterAutospacing="0" w:line="300" w:lineRule="atLeast"/>
        <w:ind w:left="720"/>
        <w:rPr>
          <w:rFonts w:ascii="Cambria" w:hAnsi="Cambria"/>
          <w:b w:val="0"/>
          <w:bCs w:val="0"/>
          <w:color w:val="000000" w:themeColor="text1"/>
          <w:sz w:val="24"/>
          <w:szCs w:val="24"/>
        </w:rPr>
      </w:pPr>
      <w:r w:rsidRPr="577D3C83">
        <w:rPr>
          <w:rFonts w:ascii="Cambria" w:hAnsi="Cambria"/>
          <w:b w:val="0"/>
          <w:bCs w:val="0"/>
          <w:color w:val="000000" w:themeColor="text1"/>
          <w:sz w:val="24"/>
          <w:szCs w:val="24"/>
        </w:rPr>
        <w:t xml:space="preserve">The individual will be required to provide documentation of the relevant misrepresentation to SSA. The documentation must show: </w:t>
      </w:r>
    </w:p>
    <w:p w:rsidR="00887B25" w:rsidP="630187B7" w14:paraId="59CFD5F1" w14:textId="24682E2D">
      <w:pPr>
        <w:pStyle w:val="Heading1"/>
        <w:numPr>
          <w:ilvl w:val="1"/>
          <w:numId w:val="2"/>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630187B7">
        <w:rPr>
          <w:rFonts w:ascii="Cambria" w:hAnsi="Cambria"/>
          <w:b w:val="0"/>
          <w:bCs w:val="0"/>
          <w:color w:val="000000" w:themeColor="text1"/>
          <w:sz w:val="24"/>
          <w:szCs w:val="24"/>
        </w:rPr>
        <w:t>i</w:t>
      </w:r>
      <w:r w:rsidRPr="630187B7" w:rsidR="1F71BD43">
        <w:rPr>
          <w:rFonts w:ascii="Cambria" w:hAnsi="Cambria"/>
          <w:b w:val="0"/>
          <w:bCs w:val="0"/>
          <w:color w:val="000000" w:themeColor="text1"/>
          <w:sz w:val="24"/>
          <w:szCs w:val="24"/>
        </w:rPr>
        <w:t>nformation</w:t>
      </w:r>
      <w:r w:rsidRPr="630187B7">
        <w:rPr>
          <w:rFonts w:ascii="Cambria" w:hAnsi="Cambria"/>
          <w:b w:val="0"/>
          <w:bCs w:val="0"/>
          <w:color w:val="000000" w:themeColor="text1"/>
          <w:sz w:val="24"/>
          <w:szCs w:val="24"/>
        </w:rPr>
        <w:t xml:space="preserve"> was provided directly from an employer, GHP</w:t>
      </w:r>
      <w:r w:rsidRPr="630187B7" w:rsidR="00D37E44">
        <w:rPr>
          <w:rFonts w:ascii="Cambria" w:hAnsi="Cambria"/>
          <w:b w:val="0"/>
          <w:bCs w:val="0"/>
          <w:color w:val="000000" w:themeColor="text1"/>
          <w:sz w:val="24"/>
          <w:szCs w:val="24"/>
        </w:rPr>
        <w:t xml:space="preserve">, or agent </w:t>
      </w:r>
      <w:r w:rsidRPr="630187B7" w:rsidR="00E442CE">
        <w:rPr>
          <w:rFonts w:ascii="Cambria" w:hAnsi="Cambria"/>
          <w:b w:val="0"/>
          <w:bCs w:val="0"/>
          <w:color w:val="000000" w:themeColor="text1"/>
          <w:sz w:val="24"/>
          <w:szCs w:val="24"/>
        </w:rPr>
        <w:t xml:space="preserve">or </w:t>
      </w:r>
      <w:r w:rsidRPr="630187B7" w:rsidR="00D37E44">
        <w:rPr>
          <w:rFonts w:ascii="Cambria" w:hAnsi="Cambria"/>
          <w:b w:val="0"/>
          <w:bCs w:val="0"/>
          <w:color w:val="000000" w:themeColor="text1"/>
          <w:sz w:val="24"/>
          <w:szCs w:val="24"/>
        </w:rPr>
        <w:t>brokers</w:t>
      </w:r>
      <w:r w:rsidRPr="630187B7">
        <w:rPr>
          <w:rFonts w:ascii="Cambria" w:hAnsi="Cambria"/>
          <w:b w:val="0"/>
          <w:bCs w:val="0"/>
          <w:color w:val="000000" w:themeColor="text1"/>
          <w:sz w:val="24"/>
          <w:szCs w:val="24"/>
        </w:rPr>
        <w:t xml:space="preserve"> prior to their IEP</w:t>
      </w:r>
      <w:r w:rsidRPr="630187B7" w:rsidR="00E036EA">
        <w:rPr>
          <w:rFonts w:ascii="Cambria" w:hAnsi="Cambria"/>
          <w:b w:val="0"/>
          <w:bCs w:val="0"/>
          <w:color w:val="000000" w:themeColor="text1"/>
          <w:sz w:val="24"/>
          <w:szCs w:val="24"/>
        </w:rPr>
        <w:t>, GEP</w:t>
      </w:r>
      <w:r w:rsidRPr="630187B7">
        <w:rPr>
          <w:rFonts w:ascii="Cambria" w:hAnsi="Cambria"/>
          <w:b w:val="0"/>
          <w:bCs w:val="0"/>
          <w:color w:val="000000" w:themeColor="text1"/>
          <w:sz w:val="24"/>
          <w:szCs w:val="24"/>
        </w:rPr>
        <w:t xml:space="preserve"> or another SEP, </w:t>
      </w:r>
      <w:r w:rsidRPr="00100727">
        <w:rPr>
          <w:rFonts w:ascii="Cambria" w:hAnsi="Cambria"/>
          <w:color w:val="000000" w:themeColor="text1"/>
          <w:sz w:val="24"/>
          <w:szCs w:val="24"/>
        </w:rPr>
        <w:t>and</w:t>
      </w:r>
    </w:p>
    <w:p w:rsidR="00887B25" w:rsidP="00764AA2" w14:paraId="49E2CF1A" w14:textId="7A582334">
      <w:pPr>
        <w:pStyle w:val="Heading1"/>
        <w:numPr>
          <w:ilvl w:val="1"/>
          <w:numId w:val="2"/>
        </w:numPr>
        <w:spacing w:before="300" w:beforeAutospacing="0" w:after="120" w:afterAutospacing="0" w:line="300" w:lineRule="atLeast"/>
        <w:rPr>
          <w:rFonts w:asciiTheme="minorHAnsi" w:eastAsiaTheme="minorEastAsia" w:hAnsiTheme="minorHAnsi" w:cstheme="minorBidi"/>
          <w:b w:val="0"/>
          <w:bCs w:val="0"/>
          <w:color w:val="000000"/>
          <w:sz w:val="24"/>
          <w:szCs w:val="24"/>
        </w:rPr>
      </w:pPr>
      <w:r w:rsidRPr="577D3C83">
        <w:rPr>
          <w:rFonts w:ascii="Cambria" w:hAnsi="Cambria"/>
          <w:b w:val="0"/>
          <w:bCs w:val="0"/>
          <w:color w:val="000000" w:themeColor="text1"/>
          <w:sz w:val="24"/>
          <w:szCs w:val="24"/>
        </w:rPr>
        <w:t xml:space="preserve"> the inaccuracy that caused the individual not to enroll timely.</w:t>
      </w:r>
    </w:p>
    <w:p w:rsidR="00887B25" w:rsidP="577D3C83" w14:paraId="47108C07" w14:textId="6F86B66E">
      <w:pPr>
        <w:pStyle w:val="Heading1"/>
        <w:spacing w:before="300" w:beforeAutospacing="0" w:after="120" w:afterAutospacing="0" w:line="300" w:lineRule="atLeast"/>
        <w:ind w:left="1440"/>
        <w:rPr>
          <w:rFonts w:ascii="Cambria" w:hAnsi="Cambria"/>
          <w:color w:val="000000" w:themeColor="text1"/>
          <w:sz w:val="24"/>
          <w:szCs w:val="24"/>
        </w:rPr>
      </w:pPr>
      <w:r w:rsidRPr="577D3C83">
        <w:rPr>
          <w:rFonts w:ascii="Cambria" w:hAnsi="Cambria"/>
          <w:color w:val="000000" w:themeColor="text1"/>
          <w:sz w:val="24"/>
          <w:szCs w:val="24"/>
        </w:rPr>
        <w:t>Example:</w:t>
      </w:r>
      <w:r w:rsidRPr="577D3C83">
        <w:rPr>
          <w:rFonts w:ascii="Cambria" w:hAnsi="Cambria"/>
          <w:b w:val="0"/>
          <w:bCs w:val="0"/>
          <w:color w:val="000000" w:themeColor="text1"/>
          <w:sz w:val="24"/>
          <w:szCs w:val="24"/>
        </w:rPr>
        <w:t xml:space="preserve"> The individual receives a letter (or GHP website public notice) from their employer or GHP that materially misrepresents the Medicare enrollment process which caused them to not enroll in Medicare during their IEP.</w:t>
      </w:r>
    </w:p>
    <w:p w:rsidR="577D3C83" w:rsidRPr="00764AA2" w:rsidP="00764AA2" w14:paraId="34733AA6" w14:textId="0AAC0A5A">
      <w:pPr>
        <w:pStyle w:val="Heading1"/>
        <w:spacing w:before="300" w:beforeAutospacing="0" w:after="120" w:afterAutospacing="0" w:line="300" w:lineRule="atLeast"/>
        <w:ind w:left="720"/>
        <w:rPr>
          <w:rFonts w:ascii="Cambria" w:hAnsi="Cambria"/>
          <w:b w:val="0"/>
          <w:bCs w:val="0"/>
          <w:color w:val="000000" w:themeColor="text1"/>
          <w:sz w:val="28"/>
          <w:szCs w:val="28"/>
        </w:rPr>
      </w:pPr>
      <w:r>
        <w:rPr>
          <w:rFonts w:ascii="Cambria" w:hAnsi="Cambria"/>
          <w:b w:val="0"/>
          <w:bCs w:val="0"/>
          <w:color w:val="000000" w:themeColor="text1"/>
          <w:sz w:val="28"/>
          <w:szCs w:val="28"/>
        </w:rPr>
        <w:t xml:space="preserve">2. </w:t>
      </w:r>
      <w:r w:rsidRPr="00764AA2">
        <w:rPr>
          <w:rFonts w:ascii="Cambria" w:hAnsi="Cambria"/>
          <w:b w:val="0"/>
          <w:bCs w:val="0"/>
          <w:color w:val="000000" w:themeColor="text1"/>
          <w:sz w:val="28"/>
          <w:szCs w:val="28"/>
        </w:rPr>
        <w:t>Secondary Proof</w:t>
      </w:r>
    </w:p>
    <w:p w:rsidR="26A21C06" w:rsidRPr="00334F84" w:rsidP="577D3C83" w14:paraId="697FC9B0" w14:textId="120A514C">
      <w:pPr>
        <w:pStyle w:val="Heading1"/>
        <w:spacing w:before="300" w:beforeAutospacing="0" w:after="120" w:afterAutospacing="0" w:line="300" w:lineRule="atLeast"/>
        <w:ind w:left="720"/>
        <w:rPr>
          <w:rFonts w:ascii="Cambria" w:hAnsi="Cambria"/>
          <w:b w:val="0"/>
          <w:bCs w:val="0"/>
          <w:color w:val="000000" w:themeColor="text1"/>
          <w:sz w:val="24"/>
          <w:szCs w:val="24"/>
        </w:rPr>
      </w:pPr>
      <w:r w:rsidRPr="577D3C83">
        <w:rPr>
          <w:rFonts w:ascii="Cambria" w:hAnsi="Cambria"/>
          <w:b w:val="0"/>
          <w:bCs w:val="0"/>
          <w:color w:val="000000" w:themeColor="text1"/>
          <w:sz w:val="24"/>
          <w:szCs w:val="24"/>
        </w:rPr>
        <w:t>Alternatively, a written and signed attestation from the beneficiary is sufficient evidence for eligibility for this SEP</w:t>
      </w:r>
      <w:r w:rsidRPr="577D3C83" w:rsidR="00334F84">
        <w:rPr>
          <w:rFonts w:ascii="Cambria" w:hAnsi="Cambria"/>
          <w:b w:val="0"/>
          <w:bCs w:val="0"/>
          <w:color w:val="000000" w:themeColor="text1"/>
          <w:sz w:val="24"/>
          <w:szCs w:val="24"/>
        </w:rPr>
        <w:t xml:space="preserve">. </w:t>
      </w:r>
    </w:p>
    <w:p w:rsidR="00C145A5" w:rsidRPr="00100727" w:rsidP="00100727" w14:paraId="06714087" w14:textId="085CB2CC">
      <w:pPr>
        <w:pStyle w:val="Heading1"/>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577D3C83">
        <w:rPr>
          <w:rFonts w:ascii="Cambria" w:hAnsi="Cambria"/>
          <w:b w:val="0"/>
          <w:bCs w:val="0"/>
          <w:color w:val="000000" w:themeColor="text1"/>
          <w:sz w:val="24"/>
          <w:szCs w:val="24"/>
        </w:rPr>
        <w:t>The written attestation must</w:t>
      </w:r>
      <w:r w:rsidR="004E159A">
        <w:rPr>
          <w:rFonts w:ascii="Cambria" w:hAnsi="Cambria"/>
          <w:b w:val="0"/>
          <w:bCs w:val="0"/>
          <w:color w:val="000000" w:themeColor="text1"/>
          <w:sz w:val="24"/>
          <w:szCs w:val="24"/>
        </w:rPr>
        <w:t xml:space="preserve"> </w:t>
      </w:r>
      <w:r w:rsidRPr="577D3C83">
        <w:rPr>
          <w:rFonts w:ascii="Cambria" w:hAnsi="Cambria"/>
          <w:b w:val="0"/>
          <w:bCs w:val="0"/>
          <w:color w:val="000000" w:themeColor="text1"/>
          <w:sz w:val="24"/>
          <w:szCs w:val="24"/>
        </w:rPr>
        <w:t xml:space="preserve"> include</w:t>
      </w:r>
      <w:r w:rsidR="004E159A">
        <w:rPr>
          <w:rFonts w:ascii="Cambria" w:hAnsi="Cambria"/>
          <w:b w:val="0"/>
          <w:bCs w:val="0"/>
          <w:color w:val="000000" w:themeColor="text1"/>
          <w:sz w:val="24"/>
          <w:szCs w:val="24"/>
        </w:rPr>
        <w:t xml:space="preserve"> a</w:t>
      </w:r>
      <w:r w:rsidRPr="577D3C83">
        <w:rPr>
          <w:rFonts w:ascii="Cambria" w:hAnsi="Cambria"/>
          <w:b w:val="0"/>
          <w:bCs w:val="0"/>
          <w:color w:val="000000" w:themeColor="text1"/>
          <w:sz w:val="24"/>
          <w:szCs w:val="24"/>
        </w:rPr>
        <w:t xml:space="preserve"> </w:t>
      </w:r>
      <w:r w:rsidRPr="577D3C83" w:rsidR="004E159A">
        <w:rPr>
          <w:rFonts w:ascii="Cambria" w:hAnsi="Cambria"/>
          <w:b w:val="0"/>
          <w:bCs w:val="0"/>
          <w:color w:val="000000" w:themeColor="text1"/>
          <w:sz w:val="24"/>
          <w:szCs w:val="24"/>
        </w:rPr>
        <w:t>detailed account of the incident including:</w:t>
      </w:r>
    </w:p>
    <w:p w:rsidR="00C145A5" w:rsidRPr="00100727" w:rsidP="00100727" w14:paraId="44265B08" w14:textId="44C0A730">
      <w:pPr>
        <w:pStyle w:val="Heading1"/>
        <w:numPr>
          <w:ilvl w:val="1"/>
          <w:numId w:val="1"/>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577D3C83">
        <w:rPr>
          <w:rFonts w:ascii="Cambria" w:hAnsi="Cambria"/>
          <w:b w:val="0"/>
          <w:bCs w:val="0"/>
          <w:color w:val="000000" w:themeColor="text1"/>
          <w:sz w:val="24"/>
          <w:szCs w:val="24"/>
        </w:rPr>
        <w:t>the name</w:t>
      </w:r>
      <w:r w:rsidR="00800CCE">
        <w:rPr>
          <w:rFonts w:ascii="Cambria" w:hAnsi="Cambria"/>
          <w:b w:val="0"/>
          <w:bCs w:val="0"/>
          <w:color w:val="000000" w:themeColor="text1"/>
          <w:sz w:val="24"/>
          <w:szCs w:val="24"/>
        </w:rPr>
        <w:t xml:space="preserve"> and title of the person who provided the misinformation</w:t>
      </w:r>
      <w:r w:rsidR="00F15FEB">
        <w:rPr>
          <w:rFonts w:ascii="Cambria" w:hAnsi="Cambria"/>
          <w:b w:val="0"/>
          <w:bCs w:val="0"/>
          <w:color w:val="000000" w:themeColor="text1"/>
          <w:sz w:val="24"/>
          <w:szCs w:val="24"/>
        </w:rPr>
        <w:t xml:space="preserve">; </w:t>
      </w:r>
    </w:p>
    <w:p w:rsidR="00C145A5" w:rsidRPr="00100727" w:rsidP="00100727" w14:paraId="2BD4854F" w14:textId="354813C9">
      <w:pPr>
        <w:pStyle w:val="Heading1"/>
        <w:numPr>
          <w:ilvl w:val="1"/>
          <w:numId w:val="1"/>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Pr>
          <w:rFonts w:ascii="Cambria" w:hAnsi="Cambria"/>
          <w:b w:val="0"/>
          <w:bCs w:val="0"/>
          <w:color w:val="000000" w:themeColor="text1"/>
          <w:sz w:val="24"/>
          <w:szCs w:val="24"/>
        </w:rPr>
        <w:t xml:space="preserve">the name of the </w:t>
      </w:r>
      <w:r w:rsidRPr="577D3C83" w:rsidR="00334F84">
        <w:rPr>
          <w:rFonts w:ascii="Cambria" w:hAnsi="Cambria"/>
          <w:b w:val="0"/>
          <w:bCs w:val="0"/>
          <w:color w:val="000000" w:themeColor="text1"/>
          <w:sz w:val="24"/>
          <w:szCs w:val="24"/>
        </w:rPr>
        <w:t>company</w:t>
      </w:r>
      <w:r w:rsidR="005843B4">
        <w:rPr>
          <w:rFonts w:ascii="Cambria" w:hAnsi="Cambria"/>
          <w:b w:val="0"/>
          <w:bCs w:val="0"/>
          <w:color w:val="000000" w:themeColor="text1"/>
          <w:sz w:val="24"/>
          <w:szCs w:val="24"/>
        </w:rPr>
        <w:t xml:space="preserve"> </w:t>
      </w:r>
    </w:p>
    <w:p w:rsidR="26A21C06" w:rsidRPr="00334F84" w:rsidP="00764AA2" w14:paraId="1EFE5F30" w14:textId="17E1DD31">
      <w:pPr>
        <w:pStyle w:val="Heading1"/>
        <w:numPr>
          <w:ilvl w:val="1"/>
          <w:numId w:val="1"/>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577D3C83">
        <w:rPr>
          <w:rFonts w:ascii="Cambria" w:hAnsi="Cambria"/>
          <w:b w:val="0"/>
          <w:bCs w:val="0"/>
          <w:color w:val="000000" w:themeColor="text1"/>
          <w:sz w:val="24"/>
          <w:szCs w:val="24"/>
        </w:rPr>
        <w:t>the approximate date in which the misinformation was provided; a</w:t>
      </w:r>
      <w:r w:rsidRPr="577D3C83" w:rsidR="005B4F33">
        <w:rPr>
          <w:rFonts w:ascii="Cambria" w:hAnsi="Cambria"/>
          <w:b w:val="0"/>
          <w:bCs w:val="0"/>
          <w:color w:val="000000" w:themeColor="text1"/>
          <w:sz w:val="24"/>
          <w:szCs w:val="24"/>
        </w:rPr>
        <w:t>nd</w:t>
      </w:r>
      <w:r w:rsidRPr="577D3C83" w:rsidR="00D37E44">
        <w:rPr>
          <w:rFonts w:ascii="Cambria" w:hAnsi="Cambria"/>
          <w:b w:val="0"/>
          <w:bCs w:val="0"/>
          <w:color w:val="000000" w:themeColor="text1"/>
          <w:sz w:val="24"/>
          <w:szCs w:val="24"/>
        </w:rPr>
        <w:t xml:space="preserve"> </w:t>
      </w:r>
    </w:p>
    <w:p w:rsidR="26A21C06" w:rsidRPr="00334F84" w:rsidP="00764AA2" w14:paraId="7ED79779" w14:textId="6727CE4B">
      <w:pPr>
        <w:pStyle w:val="Heading1"/>
        <w:numPr>
          <w:ilvl w:val="1"/>
          <w:numId w:val="1"/>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577D3C83">
        <w:rPr>
          <w:rFonts w:ascii="Cambria" w:hAnsi="Cambria"/>
          <w:b w:val="0"/>
          <w:bCs w:val="0"/>
          <w:color w:val="000000" w:themeColor="text1"/>
          <w:sz w:val="24"/>
          <w:szCs w:val="24"/>
        </w:rPr>
        <w:t xml:space="preserve">a description of what misinformation was provided. </w:t>
      </w:r>
    </w:p>
    <w:p w:rsidR="00887B25" w:rsidRPr="00CB5B49" w:rsidP="41E7725F" w14:paraId="415ADE07" w14:textId="292BCE07">
      <w:pPr>
        <w:pStyle w:val="Heading1"/>
        <w:spacing w:before="300" w:beforeAutospacing="0" w:after="120" w:afterAutospacing="0" w:line="300" w:lineRule="atLeast"/>
        <w:ind w:left="360"/>
        <w:rPr>
          <w:rFonts w:ascii="Cambria" w:hAnsi="Cambria"/>
          <w:color w:val="000000"/>
          <w:sz w:val="28"/>
          <w:szCs w:val="28"/>
        </w:rPr>
      </w:pPr>
      <w:r w:rsidRPr="11DD8132">
        <w:rPr>
          <w:rFonts w:ascii="Cambria" w:hAnsi="Cambria"/>
          <w:color w:val="000000" w:themeColor="text1"/>
          <w:sz w:val="28"/>
          <w:szCs w:val="28"/>
        </w:rPr>
        <w:t>D. SEP Duration</w:t>
      </w:r>
    </w:p>
    <w:p w:rsidR="00B77F9B" w:rsidRPr="001D310F" w:rsidP="00B77F9B" w14:paraId="7D82D6A0" w14:textId="41C6C6FD">
      <w:pPr>
        <w:pStyle w:val="Heading1"/>
        <w:numPr>
          <w:ilvl w:val="0"/>
          <w:numId w:val="4"/>
        </w:numPr>
        <w:spacing w:before="300" w:beforeAutospacing="0" w:after="120" w:afterAutospacing="0" w:line="300" w:lineRule="atLeast"/>
        <w:rPr>
          <w:rFonts w:ascii="Cambria" w:hAnsi="Cambria"/>
          <w:b w:val="0"/>
          <w:bCs w:val="0"/>
          <w:color w:val="000000"/>
          <w:sz w:val="24"/>
          <w:szCs w:val="24"/>
        </w:rPr>
      </w:pPr>
      <w:r w:rsidRPr="51C8BE68">
        <w:rPr>
          <w:rFonts w:ascii="Cambria" w:hAnsi="Cambria"/>
          <w:b w:val="0"/>
          <w:bCs w:val="0"/>
          <w:color w:val="000000" w:themeColor="text1"/>
          <w:sz w:val="24"/>
          <w:szCs w:val="24"/>
        </w:rPr>
        <w:t>The SEP duration begins the day the individual contacts SSA about being misinformed and ends  on the last day of the month</w:t>
      </w:r>
      <w:r>
        <w:rPr>
          <w:rFonts w:ascii="Cambria" w:hAnsi="Cambria"/>
          <w:b w:val="0"/>
          <w:bCs w:val="0"/>
          <w:color w:val="000000" w:themeColor="text1"/>
          <w:sz w:val="24"/>
          <w:szCs w:val="24"/>
        </w:rPr>
        <w:t>,</w:t>
      </w:r>
      <w:r w:rsidRPr="51C8BE68">
        <w:rPr>
          <w:rFonts w:ascii="Cambria" w:hAnsi="Cambria"/>
          <w:b w:val="0"/>
          <w:bCs w:val="0"/>
          <w:color w:val="000000" w:themeColor="text1"/>
          <w:sz w:val="24"/>
          <w:szCs w:val="24"/>
        </w:rPr>
        <w:t xml:space="preserve"> six months later.</w:t>
      </w:r>
    </w:p>
    <w:p w:rsidR="00887B25" w:rsidRPr="001C6CDE" w:rsidP="17B9530B" w14:paraId="59571EA7" w14:textId="4BF1E912">
      <w:pPr>
        <w:pStyle w:val="Heading1"/>
        <w:spacing w:before="300" w:beforeAutospacing="0" w:after="120" w:afterAutospacing="0" w:line="300" w:lineRule="atLeast"/>
        <w:ind w:left="1440"/>
        <w:rPr>
          <w:b w:val="0"/>
          <w:bCs w:val="0"/>
          <w:color w:val="000000" w:themeColor="text1"/>
          <w:sz w:val="24"/>
          <w:szCs w:val="24"/>
        </w:rPr>
      </w:pPr>
      <w:r w:rsidRPr="17B9530B">
        <w:rPr>
          <w:rFonts w:ascii="Cambria" w:hAnsi="Cambria"/>
          <w:color w:val="000000" w:themeColor="text1"/>
          <w:sz w:val="24"/>
          <w:szCs w:val="24"/>
        </w:rPr>
        <w:t>Example:</w:t>
      </w:r>
      <w:r w:rsidRPr="17B9530B">
        <w:rPr>
          <w:rFonts w:ascii="Cambria" w:hAnsi="Cambria"/>
          <w:b w:val="0"/>
          <w:bCs w:val="0"/>
          <w:color w:val="000000" w:themeColor="text1"/>
          <w:sz w:val="24"/>
          <w:szCs w:val="24"/>
        </w:rPr>
        <w:t xml:space="preserve"> </w:t>
      </w:r>
      <w:r w:rsidR="007306FB">
        <w:rPr>
          <w:rFonts w:ascii="Cambria" w:hAnsi="Cambria"/>
          <w:b w:val="0"/>
          <w:bCs w:val="0"/>
          <w:color w:val="000000" w:themeColor="text1"/>
          <w:sz w:val="24"/>
          <w:szCs w:val="24"/>
        </w:rPr>
        <w:t>A</w:t>
      </w:r>
      <w:r w:rsidRPr="17B9530B">
        <w:rPr>
          <w:rFonts w:ascii="Cambria" w:hAnsi="Cambria"/>
          <w:b w:val="0"/>
          <w:bCs w:val="0"/>
          <w:color w:val="000000" w:themeColor="text1"/>
          <w:sz w:val="24"/>
          <w:szCs w:val="24"/>
        </w:rPr>
        <w:t>n individual discovers they received erroneous information from their GHP</w:t>
      </w:r>
      <w:r w:rsidR="007306FB">
        <w:rPr>
          <w:rFonts w:ascii="Cambria" w:hAnsi="Cambria"/>
          <w:b w:val="0"/>
          <w:bCs w:val="0"/>
          <w:color w:val="000000" w:themeColor="text1"/>
          <w:sz w:val="24"/>
          <w:szCs w:val="24"/>
        </w:rPr>
        <w:t>.</w:t>
      </w:r>
      <w:r w:rsidRPr="17B9530B">
        <w:rPr>
          <w:rFonts w:ascii="Cambria" w:hAnsi="Cambria"/>
          <w:b w:val="0"/>
          <w:bCs w:val="0"/>
          <w:color w:val="000000" w:themeColor="text1"/>
          <w:sz w:val="24"/>
          <w:szCs w:val="24"/>
        </w:rPr>
        <w:t xml:space="preserve"> </w:t>
      </w:r>
      <w:r w:rsidR="007306FB">
        <w:rPr>
          <w:rFonts w:ascii="Cambria" w:hAnsi="Cambria"/>
          <w:b w:val="0"/>
          <w:bCs w:val="0"/>
          <w:color w:val="000000" w:themeColor="text1"/>
          <w:sz w:val="24"/>
          <w:szCs w:val="24"/>
        </w:rPr>
        <w:t>T</w:t>
      </w:r>
      <w:r w:rsidRPr="17B9530B">
        <w:rPr>
          <w:rFonts w:ascii="Cambria" w:hAnsi="Cambria"/>
          <w:b w:val="0"/>
          <w:bCs w:val="0"/>
          <w:color w:val="000000" w:themeColor="text1"/>
          <w:sz w:val="24"/>
          <w:szCs w:val="24"/>
        </w:rPr>
        <w:t>hey contact SSA with supporting documentation on May 16, 2023</w:t>
      </w:r>
      <w:r w:rsidR="00AD2B0F">
        <w:rPr>
          <w:rFonts w:ascii="Cambria" w:hAnsi="Cambria"/>
          <w:b w:val="0"/>
          <w:bCs w:val="0"/>
          <w:color w:val="000000" w:themeColor="text1"/>
          <w:sz w:val="24"/>
          <w:szCs w:val="24"/>
        </w:rPr>
        <w:t>, then</w:t>
      </w:r>
    </w:p>
    <w:p w:rsidR="00887B25" w:rsidP="17B9530B" w14:paraId="69C5700D" w14:textId="59412BD1">
      <w:pPr>
        <w:pStyle w:val="Heading1"/>
        <w:spacing w:before="300" w:beforeAutospacing="0" w:after="120" w:afterAutospacing="0" w:line="300" w:lineRule="atLeast"/>
        <w:ind w:left="1440"/>
        <w:rPr>
          <w:b w:val="0"/>
          <w:bCs w:val="0"/>
          <w:color w:val="000000" w:themeColor="text1"/>
          <w:sz w:val="24"/>
          <w:szCs w:val="24"/>
        </w:rPr>
      </w:pPr>
      <w:r w:rsidRPr="00764AA2">
        <w:rPr>
          <w:b w:val="0"/>
          <w:bCs w:val="0"/>
          <w:color w:val="000000" w:themeColor="text1"/>
          <w:sz w:val="24"/>
          <w:szCs w:val="24"/>
        </w:rPr>
        <w:t xml:space="preserve">The individual’s SEP begins on May 16, 2023 and ends on </w:t>
      </w:r>
      <w:r w:rsidR="00FB7C94">
        <w:rPr>
          <w:b w:val="0"/>
          <w:bCs w:val="0"/>
          <w:color w:val="000000" w:themeColor="text1"/>
          <w:sz w:val="24"/>
          <w:szCs w:val="24"/>
        </w:rPr>
        <w:t>November</w:t>
      </w:r>
      <w:r w:rsidRPr="00764AA2">
        <w:rPr>
          <w:b w:val="0"/>
          <w:bCs w:val="0"/>
          <w:color w:val="000000" w:themeColor="text1"/>
          <w:sz w:val="24"/>
          <w:szCs w:val="24"/>
        </w:rPr>
        <w:t xml:space="preserve"> 3</w:t>
      </w:r>
      <w:r w:rsidR="00FB7C94">
        <w:rPr>
          <w:b w:val="0"/>
          <w:bCs w:val="0"/>
          <w:color w:val="000000" w:themeColor="text1"/>
          <w:sz w:val="24"/>
          <w:szCs w:val="24"/>
        </w:rPr>
        <w:t>0</w:t>
      </w:r>
      <w:r w:rsidRPr="00764AA2">
        <w:rPr>
          <w:b w:val="0"/>
          <w:bCs w:val="0"/>
          <w:color w:val="000000" w:themeColor="text1"/>
          <w:sz w:val="24"/>
          <w:szCs w:val="24"/>
        </w:rPr>
        <w:t xml:space="preserve">, 2023. The individual has until </w:t>
      </w:r>
      <w:r w:rsidR="00FB7C94">
        <w:rPr>
          <w:b w:val="0"/>
          <w:bCs w:val="0"/>
          <w:color w:val="000000" w:themeColor="text1"/>
          <w:sz w:val="24"/>
          <w:szCs w:val="24"/>
        </w:rPr>
        <w:t>November</w:t>
      </w:r>
      <w:r w:rsidRPr="00764AA2">
        <w:rPr>
          <w:b w:val="0"/>
          <w:bCs w:val="0"/>
          <w:color w:val="000000" w:themeColor="text1"/>
          <w:sz w:val="24"/>
          <w:szCs w:val="24"/>
        </w:rPr>
        <w:t xml:space="preserve"> 3</w:t>
      </w:r>
      <w:r w:rsidR="00FB7C94">
        <w:rPr>
          <w:b w:val="0"/>
          <w:bCs w:val="0"/>
          <w:color w:val="000000" w:themeColor="text1"/>
          <w:sz w:val="24"/>
          <w:szCs w:val="24"/>
        </w:rPr>
        <w:t>0</w:t>
      </w:r>
      <w:r w:rsidRPr="00764AA2">
        <w:rPr>
          <w:b w:val="0"/>
          <w:bCs w:val="0"/>
          <w:color w:val="000000" w:themeColor="text1"/>
          <w:sz w:val="24"/>
          <w:szCs w:val="24"/>
        </w:rPr>
        <w:t>, 202</w:t>
      </w:r>
      <w:r w:rsidRPr="17B9530B">
        <w:rPr>
          <w:b w:val="0"/>
          <w:bCs w:val="0"/>
          <w:color w:val="000000" w:themeColor="text1"/>
          <w:sz w:val="24"/>
          <w:szCs w:val="24"/>
        </w:rPr>
        <w:t>3</w:t>
      </w:r>
      <w:r w:rsidRPr="00764AA2">
        <w:rPr>
          <w:b w:val="0"/>
          <w:bCs w:val="0"/>
          <w:color w:val="000000" w:themeColor="text1"/>
          <w:sz w:val="24"/>
          <w:szCs w:val="24"/>
        </w:rPr>
        <w:t xml:space="preserve"> to enroll under the </w:t>
      </w:r>
      <w:r w:rsidRPr="00764AA2" w:rsidR="577D3C83">
        <w:rPr>
          <w:b w:val="0"/>
          <w:bCs w:val="0"/>
          <w:color w:val="000000" w:themeColor="text1"/>
          <w:sz w:val="24"/>
          <w:szCs w:val="24"/>
        </w:rPr>
        <w:t xml:space="preserve">GHP or Employer </w:t>
      </w:r>
      <w:r w:rsidR="00693D36">
        <w:rPr>
          <w:b w:val="0"/>
          <w:bCs w:val="0"/>
          <w:color w:val="000000" w:themeColor="text1"/>
          <w:sz w:val="24"/>
          <w:szCs w:val="24"/>
        </w:rPr>
        <w:t xml:space="preserve">Misrepresentation </w:t>
      </w:r>
      <w:r w:rsidRPr="00764AA2" w:rsidR="577D3C83">
        <w:rPr>
          <w:b w:val="0"/>
          <w:bCs w:val="0"/>
          <w:color w:val="000000" w:themeColor="text1"/>
          <w:sz w:val="24"/>
          <w:szCs w:val="24"/>
        </w:rPr>
        <w:t xml:space="preserve">SEP. </w:t>
      </w:r>
    </w:p>
    <w:p w:rsidR="001A0DE9" w:rsidRPr="00764AA2" w:rsidP="5776DB7C" w14:paraId="18B4327B" w14:textId="70D84177">
      <w:pPr>
        <w:pStyle w:val="Heading1"/>
        <w:spacing w:before="300" w:beforeAutospacing="0" w:after="120" w:afterAutospacing="0" w:line="300" w:lineRule="atLeast"/>
        <w:ind w:left="1440"/>
        <w:rPr>
          <w:b w:val="0"/>
          <w:bCs w:val="0"/>
          <w:color w:val="000000" w:themeColor="text1"/>
          <w:sz w:val="24"/>
          <w:szCs w:val="24"/>
        </w:rPr>
      </w:pPr>
      <w:r w:rsidRPr="630187B7">
        <w:rPr>
          <w:b w:val="0"/>
          <w:bCs w:val="0"/>
          <w:color w:val="000000" w:themeColor="text1"/>
          <w:sz w:val="24"/>
          <w:szCs w:val="24"/>
        </w:rPr>
        <w:t xml:space="preserve">The </w:t>
      </w:r>
      <w:r w:rsidRPr="630187B7" w:rsidR="00F513EE">
        <w:rPr>
          <w:b w:val="0"/>
          <w:bCs w:val="0"/>
          <w:color w:val="000000" w:themeColor="text1"/>
          <w:sz w:val="24"/>
          <w:szCs w:val="24"/>
        </w:rPr>
        <w:t>six-month</w:t>
      </w:r>
      <w:r w:rsidRPr="630187B7" w:rsidR="008336C5">
        <w:rPr>
          <w:b w:val="0"/>
          <w:bCs w:val="0"/>
          <w:color w:val="000000" w:themeColor="text1"/>
          <w:sz w:val="24"/>
          <w:szCs w:val="24"/>
        </w:rPr>
        <w:t xml:space="preserve"> </w:t>
      </w:r>
      <w:r w:rsidRPr="630187B7">
        <w:rPr>
          <w:b w:val="0"/>
          <w:bCs w:val="0"/>
          <w:color w:val="000000" w:themeColor="text1"/>
          <w:sz w:val="24"/>
          <w:szCs w:val="24"/>
        </w:rPr>
        <w:t>duration of t</w:t>
      </w:r>
      <w:r w:rsidRPr="630187B7" w:rsidR="00C134CC">
        <w:rPr>
          <w:b w:val="0"/>
          <w:bCs w:val="0"/>
          <w:color w:val="000000" w:themeColor="text1"/>
          <w:sz w:val="24"/>
          <w:szCs w:val="24"/>
        </w:rPr>
        <w:t>his</w:t>
      </w:r>
      <w:r w:rsidRPr="630187B7">
        <w:rPr>
          <w:b w:val="0"/>
          <w:bCs w:val="0"/>
          <w:color w:val="000000" w:themeColor="text1"/>
          <w:sz w:val="24"/>
          <w:szCs w:val="24"/>
        </w:rPr>
        <w:t xml:space="preserve"> SEP starts from the </w:t>
      </w:r>
      <w:r w:rsidRPr="630187B7" w:rsidR="008336C5">
        <w:rPr>
          <w:b w:val="0"/>
          <w:bCs w:val="0"/>
          <w:color w:val="000000" w:themeColor="text1"/>
          <w:sz w:val="24"/>
          <w:szCs w:val="24"/>
        </w:rPr>
        <w:t>day</w:t>
      </w:r>
      <w:r w:rsidRPr="630187B7">
        <w:rPr>
          <w:b w:val="0"/>
          <w:bCs w:val="0"/>
          <w:color w:val="000000" w:themeColor="text1"/>
          <w:sz w:val="24"/>
          <w:szCs w:val="24"/>
        </w:rPr>
        <w:t xml:space="preserve"> the individual </w:t>
      </w:r>
      <w:r w:rsidRPr="630187B7" w:rsidR="582D0DD4">
        <w:rPr>
          <w:b w:val="0"/>
          <w:bCs w:val="0"/>
          <w:color w:val="000000" w:themeColor="text1"/>
          <w:sz w:val="24"/>
          <w:szCs w:val="24"/>
        </w:rPr>
        <w:t>contacts</w:t>
      </w:r>
      <w:r w:rsidRPr="630187B7">
        <w:rPr>
          <w:b w:val="0"/>
          <w:bCs w:val="0"/>
          <w:color w:val="000000" w:themeColor="text1"/>
          <w:sz w:val="24"/>
          <w:szCs w:val="24"/>
        </w:rPr>
        <w:t xml:space="preserve"> SSA</w:t>
      </w:r>
      <w:r w:rsidRPr="630187B7" w:rsidR="008336C5">
        <w:rPr>
          <w:b w:val="0"/>
          <w:bCs w:val="0"/>
          <w:color w:val="000000" w:themeColor="text1"/>
          <w:sz w:val="24"/>
          <w:szCs w:val="24"/>
        </w:rPr>
        <w:t>. In the example above the individual contacted SSA on May 16, 202</w:t>
      </w:r>
      <w:r w:rsidRPr="630187B7" w:rsidR="25913351">
        <w:rPr>
          <w:b w:val="0"/>
          <w:bCs w:val="0"/>
          <w:color w:val="000000" w:themeColor="text1"/>
          <w:sz w:val="24"/>
          <w:szCs w:val="24"/>
        </w:rPr>
        <w:t>3</w:t>
      </w:r>
      <w:r w:rsidRPr="630187B7" w:rsidR="008336C5">
        <w:rPr>
          <w:b w:val="0"/>
          <w:bCs w:val="0"/>
          <w:color w:val="000000" w:themeColor="text1"/>
          <w:sz w:val="24"/>
          <w:szCs w:val="24"/>
        </w:rPr>
        <w:t xml:space="preserve">. We count </w:t>
      </w:r>
      <w:r w:rsidRPr="630187B7" w:rsidR="008C7357">
        <w:rPr>
          <w:b w:val="0"/>
          <w:bCs w:val="0"/>
          <w:color w:val="000000" w:themeColor="text1"/>
          <w:sz w:val="24"/>
          <w:szCs w:val="24"/>
        </w:rPr>
        <w:t xml:space="preserve">the six months starting </w:t>
      </w:r>
      <w:r w:rsidRPr="630187B7" w:rsidR="00FD69C6">
        <w:rPr>
          <w:b w:val="0"/>
          <w:bCs w:val="0"/>
          <w:color w:val="000000" w:themeColor="text1"/>
          <w:sz w:val="24"/>
          <w:szCs w:val="24"/>
        </w:rPr>
        <w:t>from</w:t>
      </w:r>
      <w:r w:rsidRPr="630187B7" w:rsidR="008C7357">
        <w:rPr>
          <w:b w:val="0"/>
          <w:bCs w:val="0"/>
          <w:color w:val="000000" w:themeColor="text1"/>
          <w:sz w:val="24"/>
          <w:szCs w:val="24"/>
        </w:rPr>
        <w:t xml:space="preserve"> June</w:t>
      </w:r>
      <w:r w:rsidRPr="630187B7" w:rsidR="00F513EE">
        <w:rPr>
          <w:b w:val="0"/>
          <w:bCs w:val="0"/>
          <w:color w:val="000000" w:themeColor="text1"/>
          <w:sz w:val="24"/>
          <w:szCs w:val="24"/>
        </w:rPr>
        <w:t xml:space="preserve"> </w:t>
      </w:r>
      <w:r w:rsidRPr="630187B7" w:rsidR="28791FCC">
        <w:rPr>
          <w:b w:val="0"/>
          <w:bCs w:val="0"/>
          <w:color w:val="000000" w:themeColor="text1"/>
          <w:sz w:val="24"/>
          <w:szCs w:val="24"/>
        </w:rPr>
        <w:t xml:space="preserve">1, 2023 </w:t>
      </w:r>
      <w:r w:rsidRPr="630187B7" w:rsidR="00F513EE">
        <w:rPr>
          <w:b w:val="0"/>
          <w:bCs w:val="0"/>
          <w:color w:val="000000" w:themeColor="text1"/>
          <w:sz w:val="24"/>
          <w:szCs w:val="24"/>
        </w:rPr>
        <w:t>and the duration ends the last day of the six</w:t>
      </w:r>
      <w:r w:rsidR="00B77F9B">
        <w:rPr>
          <w:b w:val="0"/>
          <w:bCs w:val="0"/>
          <w:color w:val="000000" w:themeColor="text1"/>
          <w:sz w:val="24"/>
          <w:szCs w:val="24"/>
        </w:rPr>
        <w:t>th</w:t>
      </w:r>
      <w:r w:rsidRPr="630187B7" w:rsidR="00F513EE">
        <w:rPr>
          <w:b w:val="0"/>
          <w:bCs w:val="0"/>
          <w:color w:val="000000" w:themeColor="text1"/>
          <w:sz w:val="24"/>
          <w:szCs w:val="24"/>
        </w:rPr>
        <w:t xml:space="preserve"> month which is November 30, 2023. </w:t>
      </w:r>
    </w:p>
    <w:p w:rsidR="00887B25" w:rsidRPr="001C6CDE" w:rsidP="577D3C83" w14:paraId="6AF1E3B5" w14:textId="0B170990">
      <w:pPr>
        <w:pStyle w:val="Heading1"/>
        <w:spacing w:before="300" w:beforeAutospacing="0" w:after="120" w:afterAutospacing="0" w:line="300" w:lineRule="atLeast"/>
        <w:ind w:left="1440"/>
        <w:rPr>
          <w:color w:val="000000"/>
        </w:rPr>
      </w:pPr>
    </w:p>
    <w:p w:rsidR="00887B25" w:rsidP="41E7725F" w14:paraId="2F705175" w14:textId="4735DAD6">
      <w:pPr>
        <w:pStyle w:val="Heading1"/>
        <w:spacing w:before="300" w:beforeAutospacing="0" w:after="120" w:afterAutospacing="0" w:line="300" w:lineRule="atLeast"/>
        <w:ind w:left="360"/>
        <w:rPr>
          <w:rFonts w:ascii="Cambria" w:hAnsi="Cambria"/>
          <w:color w:val="000000"/>
          <w:sz w:val="28"/>
          <w:szCs w:val="28"/>
        </w:rPr>
      </w:pPr>
      <w:r w:rsidRPr="41E7725F">
        <w:rPr>
          <w:rFonts w:ascii="Cambria" w:hAnsi="Cambria"/>
          <w:color w:val="000000" w:themeColor="text1"/>
          <w:sz w:val="28"/>
          <w:szCs w:val="28"/>
        </w:rPr>
        <w:t>D.  Calculation of Premium</w:t>
      </w:r>
      <w:r w:rsidR="000F362B">
        <w:rPr>
          <w:rFonts w:ascii="Cambria" w:hAnsi="Cambria"/>
          <w:color w:val="000000" w:themeColor="text1"/>
          <w:sz w:val="28"/>
          <w:szCs w:val="28"/>
        </w:rPr>
        <w:t xml:space="preserve"> </w:t>
      </w:r>
      <w:r w:rsidRPr="41E7725F">
        <w:rPr>
          <w:rFonts w:ascii="Cambria" w:hAnsi="Cambria"/>
          <w:color w:val="000000" w:themeColor="text1"/>
          <w:sz w:val="28"/>
          <w:szCs w:val="28"/>
        </w:rPr>
        <w:t>Surcharge</w:t>
      </w:r>
    </w:p>
    <w:p w:rsidR="00887B25" w:rsidRPr="00BA6449" w:rsidP="7E78E384" w14:paraId="10CA208B" w14:textId="6AED4C67">
      <w:pPr>
        <w:pStyle w:val="Heading1"/>
        <w:spacing w:before="300" w:beforeAutospacing="0" w:after="120" w:afterAutospacing="0" w:line="300" w:lineRule="atLeast"/>
        <w:ind w:left="720"/>
        <w:rPr>
          <w:rFonts w:ascii="Cambria" w:hAnsi="Cambria"/>
          <w:b w:val="0"/>
          <w:bCs w:val="0"/>
          <w:color w:val="000000"/>
          <w:sz w:val="24"/>
          <w:szCs w:val="24"/>
        </w:rPr>
      </w:pPr>
      <w:r w:rsidRPr="00BA6449">
        <w:rPr>
          <w:rFonts w:ascii="Cambria" w:hAnsi="Cambria"/>
          <w:b w:val="0"/>
          <w:bCs w:val="0"/>
          <w:color w:val="000000" w:themeColor="text1"/>
          <w:sz w:val="24"/>
          <w:szCs w:val="24"/>
        </w:rPr>
        <w:t xml:space="preserve">There will be no </w:t>
      </w:r>
      <w:r w:rsidR="009D482C">
        <w:rPr>
          <w:rFonts w:ascii="Cambria" w:hAnsi="Cambria"/>
          <w:b w:val="0"/>
          <w:bCs w:val="0"/>
          <w:color w:val="000000" w:themeColor="text1"/>
          <w:sz w:val="24"/>
          <w:szCs w:val="24"/>
        </w:rPr>
        <w:t xml:space="preserve">premium surcharge </w:t>
      </w:r>
      <w:r w:rsidR="00C134CC">
        <w:rPr>
          <w:rFonts w:ascii="Cambria" w:hAnsi="Cambria"/>
          <w:b w:val="0"/>
          <w:bCs w:val="0"/>
          <w:color w:val="000000" w:themeColor="text1"/>
          <w:sz w:val="24"/>
          <w:szCs w:val="24"/>
        </w:rPr>
        <w:t xml:space="preserve">when </w:t>
      </w:r>
      <w:r w:rsidRPr="00BA6449">
        <w:rPr>
          <w:rFonts w:ascii="Cambria" w:hAnsi="Cambria"/>
          <w:b w:val="0"/>
          <w:bCs w:val="0"/>
          <w:color w:val="000000" w:themeColor="text1"/>
          <w:sz w:val="24"/>
          <w:szCs w:val="24"/>
        </w:rPr>
        <w:t xml:space="preserve"> enrolled </w:t>
      </w:r>
      <w:r w:rsidR="007306FB">
        <w:rPr>
          <w:rFonts w:ascii="Cambria" w:hAnsi="Cambria"/>
          <w:b w:val="0"/>
          <w:bCs w:val="0"/>
          <w:color w:val="000000" w:themeColor="text1"/>
          <w:sz w:val="24"/>
          <w:szCs w:val="24"/>
        </w:rPr>
        <w:t xml:space="preserve"> based on </w:t>
      </w:r>
      <w:r w:rsidRPr="00BA6449">
        <w:rPr>
          <w:rFonts w:ascii="Cambria" w:hAnsi="Cambria"/>
          <w:b w:val="0"/>
          <w:bCs w:val="0"/>
          <w:color w:val="000000" w:themeColor="text1"/>
          <w:sz w:val="24"/>
          <w:szCs w:val="24"/>
        </w:rPr>
        <w:t>this SEP.</w:t>
      </w:r>
    </w:p>
    <w:p w:rsidR="00887B25" w:rsidP="41E7725F" w14:paraId="0A874B0D" w14:textId="4A3FEA43">
      <w:pPr>
        <w:pStyle w:val="Heading1"/>
        <w:spacing w:before="300" w:beforeAutospacing="0" w:after="120" w:afterAutospacing="0" w:line="300" w:lineRule="atLeast"/>
        <w:ind w:left="360"/>
        <w:rPr>
          <w:rFonts w:ascii="Cambria" w:hAnsi="Cambria"/>
          <w:color w:val="000000"/>
          <w:sz w:val="28"/>
          <w:szCs w:val="28"/>
        </w:rPr>
      </w:pPr>
      <w:r w:rsidRPr="41E7725F">
        <w:rPr>
          <w:rFonts w:ascii="Cambria" w:hAnsi="Cambria"/>
          <w:color w:val="000000" w:themeColor="text1"/>
          <w:sz w:val="28"/>
          <w:szCs w:val="28"/>
        </w:rPr>
        <w:t>E. Effective Date</w:t>
      </w:r>
    </w:p>
    <w:p w:rsidR="00887B25" w:rsidRPr="00BA6449" w:rsidP="00887B25" w14:paraId="7C7AEAF7" w14:textId="77777777">
      <w:pPr>
        <w:pStyle w:val="Heading1"/>
        <w:spacing w:before="300" w:beforeAutospacing="0" w:after="120" w:afterAutospacing="0" w:line="300" w:lineRule="atLeast"/>
        <w:ind w:left="720"/>
        <w:rPr>
          <w:rFonts w:ascii="Cambria" w:hAnsi="Cambria"/>
          <w:b w:val="0"/>
          <w:bCs w:val="0"/>
          <w:color w:val="000000"/>
          <w:sz w:val="24"/>
          <w:szCs w:val="24"/>
        </w:rPr>
      </w:pPr>
      <w:r w:rsidRPr="17B9530B">
        <w:rPr>
          <w:rFonts w:ascii="Cambria" w:hAnsi="Cambria"/>
          <w:b w:val="0"/>
          <w:bCs w:val="0"/>
          <w:color w:val="000000" w:themeColor="text1"/>
          <w:sz w:val="24"/>
          <w:szCs w:val="24"/>
        </w:rPr>
        <w:t xml:space="preserve">The individual’s coverage begins the first day of the month following the month of enrollment. </w:t>
      </w:r>
    </w:p>
    <w:p w:rsidR="00887B25" w:rsidP="00764AA2" w14:paraId="672A6659" w14:textId="1039C2B4">
      <w:pPr>
        <w:pStyle w:val="Heading1"/>
        <w:spacing w:before="300" w:beforeAutospacing="0" w:after="120" w:afterAutospacing="0" w:line="300" w:lineRule="atLeast"/>
        <w:ind w:left="1440"/>
        <w:rPr>
          <w:rFonts w:ascii="Cambria" w:hAnsi="Cambria"/>
          <w:color w:val="000000"/>
          <w:sz w:val="24"/>
          <w:szCs w:val="24"/>
        </w:rPr>
      </w:pPr>
      <w:r w:rsidRPr="17B9530B">
        <w:rPr>
          <w:rFonts w:ascii="Cambria" w:hAnsi="Cambria"/>
          <w:color w:val="000000" w:themeColor="text1"/>
          <w:sz w:val="24"/>
          <w:szCs w:val="24"/>
        </w:rPr>
        <w:t xml:space="preserve">Example: </w:t>
      </w:r>
      <w:r w:rsidRPr="00100727">
        <w:rPr>
          <w:rFonts w:ascii="Cambria" w:hAnsi="Cambria"/>
          <w:b w:val="0"/>
          <w:color w:val="000000" w:themeColor="text1"/>
          <w:sz w:val="24"/>
          <w:szCs w:val="24"/>
        </w:rPr>
        <w:t>The individual enrolls on May 16, 2023. Coverage will begin on June 1, 2023.</w:t>
      </w:r>
      <w:r w:rsidRPr="17B9530B">
        <w:rPr>
          <w:rFonts w:ascii="Cambria" w:hAnsi="Cambria"/>
          <w:color w:val="000000" w:themeColor="text1"/>
          <w:sz w:val="24"/>
          <w:szCs w:val="24"/>
        </w:rPr>
        <w:t xml:space="preserve"> </w:t>
      </w:r>
    </w:p>
    <w:p w:rsidR="00887B25" w:rsidRPr="00826469" w:rsidP="41E7725F" w14:paraId="069D0800" w14:textId="110ADC97">
      <w:pPr>
        <w:pStyle w:val="Heading1"/>
        <w:spacing w:before="300" w:beforeAutospacing="0" w:after="120" w:afterAutospacing="0" w:line="300" w:lineRule="atLeast"/>
        <w:ind w:left="360"/>
        <w:rPr>
          <w:rFonts w:ascii="Cambria" w:hAnsi="Cambria"/>
          <w:color w:val="000000"/>
          <w:sz w:val="28"/>
          <w:szCs w:val="28"/>
        </w:rPr>
      </w:pPr>
      <w:r w:rsidRPr="26A21C06">
        <w:rPr>
          <w:rFonts w:ascii="Cambria" w:hAnsi="Cambria"/>
          <w:color w:val="000000" w:themeColor="text1"/>
          <w:sz w:val="28"/>
          <w:szCs w:val="28"/>
        </w:rPr>
        <w:t>F.  Processing Instructions</w:t>
      </w:r>
    </w:p>
    <w:p w:rsidR="003C5613" w:rsidRPr="00100727" w:rsidP="00BA6449" w14:paraId="78A97687" w14:textId="69E3F901">
      <w:pPr>
        <w:ind w:left="720"/>
        <w:rPr>
          <w:rFonts w:ascii="Cambria" w:eastAsia="Segoe UI" w:hAnsi="Cambria" w:cs="Segoe UI"/>
          <w:sz w:val="24"/>
          <w:szCs w:val="24"/>
        </w:rPr>
      </w:pPr>
      <w:r w:rsidRPr="00100727">
        <w:rPr>
          <w:rFonts w:ascii="Cambria" w:eastAsia="Segoe UI" w:hAnsi="Cambria" w:cs="Segoe UI"/>
          <w:sz w:val="24"/>
          <w:szCs w:val="24"/>
        </w:rPr>
        <w:t>See HI 00805.</w:t>
      </w:r>
      <w:r w:rsidRPr="00100727" w:rsidR="003141A7">
        <w:rPr>
          <w:rFonts w:ascii="Cambria" w:eastAsia="Segoe UI" w:hAnsi="Cambria" w:cs="Segoe UI"/>
          <w:sz w:val="24"/>
          <w:szCs w:val="24"/>
        </w:rPr>
        <w:t xml:space="preserve">277 </w:t>
      </w:r>
      <w:r w:rsidRPr="00100727">
        <w:rPr>
          <w:rFonts w:ascii="Cambria" w:eastAsia="Segoe UI" w:hAnsi="Cambria" w:cs="Segoe UI"/>
          <w:sz w:val="24"/>
          <w:szCs w:val="24"/>
        </w:rPr>
        <w:t>Processing SEP</w:t>
      </w:r>
      <w:r w:rsidRPr="00100727" w:rsidR="003141A7">
        <w:rPr>
          <w:rFonts w:ascii="Cambria" w:eastAsia="Segoe UI" w:hAnsi="Cambria" w:cs="Segoe UI"/>
          <w:sz w:val="24"/>
          <w:szCs w:val="24"/>
        </w:rPr>
        <w:t xml:space="preserve"> Enrollments</w:t>
      </w:r>
      <w:r w:rsidRPr="00100727">
        <w:rPr>
          <w:rFonts w:ascii="Cambria" w:eastAsia="Segoe UI" w:hAnsi="Cambria" w:cs="Segoe UI"/>
          <w:sz w:val="24"/>
          <w:szCs w:val="24"/>
        </w:rPr>
        <w:t xml:space="preserve"> for processing instructions.</w:t>
      </w:r>
    </w:p>
    <w:p w:rsidR="003C5613" w:rsidRPr="00BA6449" w:rsidP="00BA6449" w14:paraId="0A37501D" w14:textId="66EB4994">
      <w:pPr>
        <w:pStyle w:val="Heading1"/>
        <w:spacing w:before="300" w:beforeAutospacing="0" w:after="120" w:afterAutospacing="0"/>
        <w:ind w:left="360"/>
        <w:rPr>
          <w:rFonts w:ascii="Cambria" w:hAnsi="Cambria"/>
          <w:b w:val="0"/>
          <w:bCs w:val="0"/>
          <w:color w:val="000000" w:themeColor="text1"/>
          <w:sz w:val="28"/>
          <w:szCs w:val="28"/>
        </w:rPr>
      </w:pPr>
      <w:r w:rsidRPr="44164C03">
        <w:rPr>
          <w:rFonts w:ascii="Cambria" w:hAnsi="Cambria"/>
          <w:color w:val="000000" w:themeColor="text1"/>
          <w:sz w:val="28"/>
          <w:szCs w:val="28"/>
        </w:rPr>
        <w:t>G. References</w:t>
      </w:r>
    </w:p>
    <w:p w:rsidR="44164C03" w:rsidP="44164C03" w14:paraId="1ED83FF6" w14:textId="17A3DD64">
      <w:pPr>
        <w:ind w:left="720"/>
        <w:rPr>
          <w:rFonts w:ascii="Cambria" w:hAnsi="Cambria"/>
          <w:sz w:val="24"/>
          <w:szCs w:val="24"/>
        </w:rPr>
      </w:pPr>
      <w:r w:rsidRPr="44164C03">
        <w:rPr>
          <w:rFonts w:ascii="Cambria" w:hAnsi="Cambria"/>
          <w:sz w:val="24"/>
          <w:szCs w:val="24"/>
        </w:rPr>
        <w:t>HI 00805.</w:t>
      </w:r>
      <w:r w:rsidR="003141A7">
        <w:rPr>
          <w:rFonts w:ascii="Cambria" w:hAnsi="Cambria"/>
          <w:sz w:val="24"/>
          <w:szCs w:val="24"/>
        </w:rPr>
        <w:t>277</w:t>
      </w:r>
      <w:r w:rsidRPr="44164C03" w:rsidR="003141A7">
        <w:rPr>
          <w:rFonts w:ascii="Cambria" w:hAnsi="Cambria"/>
          <w:sz w:val="24"/>
          <w:szCs w:val="24"/>
        </w:rPr>
        <w:t xml:space="preserve"> </w:t>
      </w:r>
      <w:r w:rsidRPr="44164C03">
        <w:rPr>
          <w:rFonts w:ascii="Cambria" w:hAnsi="Cambria"/>
          <w:sz w:val="24"/>
          <w:szCs w:val="24"/>
        </w:rPr>
        <w:t>Processing SEP</w:t>
      </w:r>
      <w:r w:rsidR="003141A7">
        <w:rPr>
          <w:rFonts w:ascii="Cambria" w:hAnsi="Cambria"/>
          <w:sz w:val="24"/>
          <w:szCs w:val="24"/>
        </w:rPr>
        <w:t xml:space="preserve"> Enrollments</w:t>
      </w:r>
    </w:p>
    <w:p w:rsidR="3B4EFC3B" w:rsidRPr="00BA6449" w:rsidP="00BA6449" w14:paraId="2CFD1BF7" w14:textId="2E95CCAA">
      <w:pPr>
        <w:ind w:left="720"/>
        <w:rPr>
          <w:rFonts w:ascii="Cambria" w:hAnsi="Cambria"/>
          <w:sz w:val="24"/>
          <w:szCs w:val="24"/>
        </w:rPr>
      </w:pPr>
      <w:r w:rsidRPr="00BA6449">
        <w:rPr>
          <w:rFonts w:ascii="Cambria" w:hAnsi="Cambria"/>
          <w:sz w:val="24"/>
          <w:szCs w:val="24"/>
        </w:rPr>
        <w:t>SM 03040.XXX</w:t>
      </w:r>
    </w:p>
    <w:p w:rsidR="3B4EFC3B" w:rsidRPr="00BA6449" w:rsidP="00BA6449" w14:paraId="7282B9B8" w14:textId="0470FD14">
      <w:pPr>
        <w:ind w:left="720"/>
        <w:rPr>
          <w:rFonts w:ascii="Cambria" w:hAnsi="Cambria"/>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3663B9"/>
    <w:multiLevelType w:val="hybridMultilevel"/>
    <w:tmpl w:val="35C88A9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47B70CA"/>
    <w:multiLevelType w:val="hybridMultilevel"/>
    <w:tmpl w:val="6EF2BE9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DDB10DA"/>
    <w:multiLevelType w:val="hybridMultilevel"/>
    <w:tmpl w:val="35C88A9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7EF37B46"/>
    <w:multiLevelType w:val="hybridMultilevel"/>
    <w:tmpl w:val="1CBA76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25"/>
    <w:rsid w:val="00015879"/>
    <w:rsid w:val="00040055"/>
    <w:rsid w:val="0004121E"/>
    <w:rsid w:val="0004488C"/>
    <w:rsid w:val="000A7AC8"/>
    <w:rsid w:val="000C088D"/>
    <w:rsid w:val="000D5684"/>
    <w:rsid w:val="000E2B30"/>
    <w:rsid w:val="000F362B"/>
    <w:rsid w:val="00100727"/>
    <w:rsid w:val="00126938"/>
    <w:rsid w:val="001A0DE9"/>
    <w:rsid w:val="001C6CDE"/>
    <w:rsid w:val="001D310F"/>
    <w:rsid w:val="002225D8"/>
    <w:rsid w:val="002D78F0"/>
    <w:rsid w:val="003141A7"/>
    <w:rsid w:val="00334F84"/>
    <w:rsid w:val="0035185F"/>
    <w:rsid w:val="003737B0"/>
    <w:rsid w:val="00386A72"/>
    <w:rsid w:val="003C5613"/>
    <w:rsid w:val="003C7983"/>
    <w:rsid w:val="004603E1"/>
    <w:rsid w:val="00483033"/>
    <w:rsid w:val="004E159A"/>
    <w:rsid w:val="005451C9"/>
    <w:rsid w:val="0057250D"/>
    <w:rsid w:val="005843B4"/>
    <w:rsid w:val="005955AC"/>
    <w:rsid w:val="005B4F33"/>
    <w:rsid w:val="005F2F47"/>
    <w:rsid w:val="006042BA"/>
    <w:rsid w:val="006455F7"/>
    <w:rsid w:val="0065249E"/>
    <w:rsid w:val="00693D36"/>
    <w:rsid w:val="006A24B3"/>
    <w:rsid w:val="0070675A"/>
    <w:rsid w:val="007306FB"/>
    <w:rsid w:val="00735B88"/>
    <w:rsid w:val="00764AA2"/>
    <w:rsid w:val="007D425F"/>
    <w:rsid w:val="00800CCE"/>
    <w:rsid w:val="00826469"/>
    <w:rsid w:val="008275CA"/>
    <w:rsid w:val="008336C5"/>
    <w:rsid w:val="0084687E"/>
    <w:rsid w:val="00850721"/>
    <w:rsid w:val="00887B25"/>
    <w:rsid w:val="0089279C"/>
    <w:rsid w:val="008957E5"/>
    <w:rsid w:val="008C7357"/>
    <w:rsid w:val="009574FE"/>
    <w:rsid w:val="00991D7B"/>
    <w:rsid w:val="009D482C"/>
    <w:rsid w:val="00A15E2E"/>
    <w:rsid w:val="00A758B2"/>
    <w:rsid w:val="00A812BE"/>
    <w:rsid w:val="00AB7E1E"/>
    <w:rsid w:val="00AD2B0F"/>
    <w:rsid w:val="00AF323D"/>
    <w:rsid w:val="00B77F9B"/>
    <w:rsid w:val="00BA4D61"/>
    <w:rsid w:val="00BA4E9B"/>
    <w:rsid w:val="00BA6449"/>
    <w:rsid w:val="00BE085C"/>
    <w:rsid w:val="00BF1E37"/>
    <w:rsid w:val="00BF2914"/>
    <w:rsid w:val="00C134CC"/>
    <w:rsid w:val="00C145A5"/>
    <w:rsid w:val="00C1517F"/>
    <w:rsid w:val="00C27DCA"/>
    <w:rsid w:val="00C3220A"/>
    <w:rsid w:val="00C76B6E"/>
    <w:rsid w:val="00CB5B49"/>
    <w:rsid w:val="00CC2B58"/>
    <w:rsid w:val="00D37E44"/>
    <w:rsid w:val="00D64675"/>
    <w:rsid w:val="00DA50B6"/>
    <w:rsid w:val="00E036EA"/>
    <w:rsid w:val="00E442CE"/>
    <w:rsid w:val="00E82D92"/>
    <w:rsid w:val="00EF6BC0"/>
    <w:rsid w:val="00F15FEB"/>
    <w:rsid w:val="00F40784"/>
    <w:rsid w:val="00F513EE"/>
    <w:rsid w:val="00F573AE"/>
    <w:rsid w:val="00FB7C94"/>
    <w:rsid w:val="00FC4057"/>
    <w:rsid w:val="00FD69C6"/>
    <w:rsid w:val="02BE0174"/>
    <w:rsid w:val="0471F564"/>
    <w:rsid w:val="049DB99E"/>
    <w:rsid w:val="058AE096"/>
    <w:rsid w:val="060DC5C5"/>
    <w:rsid w:val="07899FCB"/>
    <w:rsid w:val="0959D79A"/>
    <w:rsid w:val="0B3FDFBB"/>
    <w:rsid w:val="0CBF0DDC"/>
    <w:rsid w:val="0FE1EF20"/>
    <w:rsid w:val="1184A406"/>
    <w:rsid w:val="11DD8132"/>
    <w:rsid w:val="1331C943"/>
    <w:rsid w:val="140653F1"/>
    <w:rsid w:val="1414A969"/>
    <w:rsid w:val="171964F9"/>
    <w:rsid w:val="17A69193"/>
    <w:rsid w:val="17B9530B"/>
    <w:rsid w:val="17DCFFCF"/>
    <w:rsid w:val="19B520AE"/>
    <w:rsid w:val="1A0910B4"/>
    <w:rsid w:val="1BBC1039"/>
    <w:rsid w:val="1CD0E814"/>
    <w:rsid w:val="1F71BD43"/>
    <w:rsid w:val="2216D52D"/>
    <w:rsid w:val="22214071"/>
    <w:rsid w:val="22F131C0"/>
    <w:rsid w:val="231CF5FA"/>
    <w:rsid w:val="248CCCAF"/>
    <w:rsid w:val="25913351"/>
    <w:rsid w:val="25CFBCEC"/>
    <w:rsid w:val="26A21C06"/>
    <w:rsid w:val="280F7DBC"/>
    <w:rsid w:val="28791FCC"/>
    <w:rsid w:val="2978232F"/>
    <w:rsid w:val="2C4A711E"/>
    <w:rsid w:val="2EB317E0"/>
    <w:rsid w:val="2FC5A4E2"/>
    <w:rsid w:val="2FCFB4C8"/>
    <w:rsid w:val="32795C03"/>
    <w:rsid w:val="33AE5CB1"/>
    <w:rsid w:val="361F5AB3"/>
    <w:rsid w:val="36338666"/>
    <w:rsid w:val="368E5AF4"/>
    <w:rsid w:val="36B9C23E"/>
    <w:rsid w:val="3B4EFC3B"/>
    <w:rsid w:val="3D5CBA52"/>
    <w:rsid w:val="405FCCD2"/>
    <w:rsid w:val="40C07328"/>
    <w:rsid w:val="4163D2F6"/>
    <w:rsid w:val="41E7725F"/>
    <w:rsid w:val="43F813EA"/>
    <w:rsid w:val="44164C03"/>
    <w:rsid w:val="480D9290"/>
    <w:rsid w:val="49226A6B"/>
    <w:rsid w:val="4A30A96F"/>
    <w:rsid w:val="4ABD1297"/>
    <w:rsid w:val="4F542CF1"/>
    <w:rsid w:val="51C8BE68"/>
    <w:rsid w:val="53EA0D26"/>
    <w:rsid w:val="5776DB7C"/>
    <w:rsid w:val="577D3C83"/>
    <w:rsid w:val="57839577"/>
    <w:rsid w:val="582D0DD4"/>
    <w:rsid w:val="585BDE86"/>
    <w:rsid w:val="5A758672"/>
    <w:rsid w:val="5BA2EEA7"/>
    <w:rsid w:val="5C2222A9"/>
    <w:rsid w:val="5F8858D3"/>
    <w:rsid w:val="606288E4"/>
    <w:rsid w:val="60BF7940"/>
    <w:rsid w:val="610E0EA2"/>
    <w:rsid w:val="61C4E877"/>
    <w:rsid w:val="61D718B2"/>
    <w:rsid w:val="630187B7"/>
    <w:rsid w:val="6741CD9C"/>
    <w:rsid w:val="67D683C2"/>
    <w:rsid w:val="69DC91EB"/>
    <w:rsid w:val="6A8DB7C3"/>
    <w:rsid w:val="6DE74A02"/>
    <w:rsid w:val="6E10E84B"/>
    <w:rsid w:val="6FAF69AB"/>
    <w:rsid w:val="70499641"/>
    <w:rsid w:val="706A198D"/>
    <w:rsid w:val="70A83F14"/>
    <w:rsid w:val="720CAF96"/>
    <w:rsid w:val="72CB3111"/>
    <w:rsid w:val="72D99FEB"/>
    <w:rsid w:val="751D0764"/>
    <w:rsid w:val="753375B4"/>
    <w:rsid w:val="77FE438F"/>
    <w:rsid w:val="786E0E86"/>
    <w:rsid w:val="789A289C"/>
    <w:rsid w:val="7BA5AF48"/>
    <w:rsid w:val="7C6759D4"/>
    <w:rsid w:val="7E78E384"/>
    <w:rsid w:val="7F889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DF209F"/>
  <w15:chartTrackingRefBased/>
  <w15:docId w15:val="{E3094DDF-38AB-41BC-A34D-FDC104D1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87B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25"/>
    <w:rPr>
      <w:rFonts w:ascii="Times New Roman" w:eastAsia="Times New Roman" w:hAnsi="Times New Roman" w:cs="Times New Roman"/>
      <w:b/>
      <w:bCs/>
      <w:kern w:val="3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7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8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4F84"/>
    <w:rPr>
      <w:b/>
      <w:bCs/>
    </w:rPr>
  </w:style>
  <w:style w:type="character" w:customStyle="1" w:styleId="CommentSubjectChar">
    <w:name w:val="Comment Subject Char"/>
    <w:basedOn w:val="CommentTextChar"/>
    <w:link w:val="CommentSubject"/>
    <w:uiPriority w:val="99"/>
    <w:semiHidden/>
    <w:rsid w:val="00334F84"/>
    <w:rPr>
      <w:b/>
      <w:bCs/>
      <w:sz w:val="20"/>
      <w:szCs w:val="20"/>
    </w:rPr>
  </w:style>
  <w:style w:type="paragraph" w:styleId="Revision">
    <w:name w:val="Revision"/>
    <w:hidden/>
    <w:uiPriority w:val="99"/>
    <w:semiHidden/>
    <w:rsid w:val="000A7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DEE72510AE7488158EFC384BB132F" ma:contentTypeVersion="2" ma:contentTypeDescription="Create a new document." ma:contentTypeScope="" ma:versionID="208382ff10fd84fb1fd4f94d58b3a629">
  <xsd:schema xmlns:xsd="http://www.w3.org/2001/XMLSchema" xmlns:xs="http://www.w3.org/2001/XMLSchema" xmlns:p="http://schemas.microsoft.com/office/2006/metadata/properties" xmlns:ns2="b7d64beb-c649-480a-8037-6649d005f0ce" xmlns:ns3="52674ffb-fe2d-4417-be1c-846b3a880163" targetNamespace="http://schemas.microsoft.com/office/2006/metadata/properties" ma:root="true" ma:fieldsID="fc2729edb4e257be0fc8a35819ff8cf3" ns2:_="" ns3:_="">
    <xsd:import namespace="b7d64beb-c649-480a-8037-6649d005f0ce"/>
    <xsd:import namespace="52674ffb-fe2d-4417-be1c-846b3a880163"/>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64beb-c649-480a-8037-6649d005f0ce"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Initial CMS Edits"/>
              <xsd:enumeration value="SSA Comments"/>
              <xsd:enumeration value="Final Version to Publish"/>
              <xsd:enumeration value="Meeting Minutes/Agenda"/>
              <xsd:enumeration value="RTC"/>
              <xsd:enumeration value="Supporting Docu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7d64beb-c649-480a-8037-6649d005f0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4EAABCAF-11B8-498A-88E4-28CAF589E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64beb-c649-480a-8037-6649d005f0ce"/>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EB92D-BF75-45F8-806D-C4C1462249F3}">
  <ds:schemaRefs>
    <ds:schemaRef ds:uri="http://schemas.microsoft.com/office/2006/metadata/properties"/>
    <ds:schemaRef ds:uri="http://schemas.microsoft.com/office/infopath/2007/PartnerControls"/>
    <ds:schemaRef ds:uri="b7d64beb-c649-480a-8037-6649d005f0ce"/>
  </ds:schemaRefs>
</ds:datastoreItem>
</file>

<file path=customXml/itemProps3.xml><?xml version="1.0" encoding="utf-8"?>
<ds:datastoreItem xmlns:ds="http://schemas.openxmlformats.org/officeDocument/2006/customXml" ds:itemID="{18AF8971-F3C3-4671-ABC8-C019E65762A9}">
  <ds:schemaRefs>
    <ds:schemaRef ds:uri="http://schemas.microsoft.com/sharepoint/v3/contenttype/forms"/>
  </ds:schemaRefs>
</ds:datastoreItem>
</file>

<file path=customXml/itemProps4.xml><?xml version="1.0" encoding="utf-8"?>
<ds:datastoreItem xmlns:ds="http://schemas.openxmlformats.org/officeDocument/2006/customXml" ds:itemID="{BF2127B6-6655-4D27-BDB8-7241AB7D5B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Manning</dc:creator>
  <cp:lastModifiedBy>Patterson, Carla (CMS/CM)</cp:lastModifiedBy>
  <cp:revision>3</cp:revision>
  <dcterms:created xsi:type="dcterms:W3CDTF">2022-11-03T19:22:00Z</dcterms:created>
  <dcterms:modified xsi:type="dcterms:W3CDTF">2022-11-03T19:24:00Z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0x010100644DEE72510AE7488158EFC384BB132F</vt:lpwstr>
  </property>
  <property fmtid="{D5CDD505-2E9C-101B-9397-08002B2CF9AE}" pid="3" name="_NewReviewCycle">
    <vt:lpwstr/>
  </property>
</Properties>
</file>