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tabs>
          <w:tab w:val="left" w:pos="1560"/>
        </w:tabs>
        <w:spacing w:before="78"/>
        <w:ind w:left="1560" w:right="166" w:hanging="1441"/>
      </w:pPr>
      <w:r>
        <w:rPr>
          <w:b/>
          <w:spacing w:val="-2"/>
        </w:rPr>
        <w:t>SUBJECT:</w:t>
      </w:r>
      <w:r>
        <w:rPr>
          <w:b/>
        </w:rPr>
        <w:tab/>
      </w:r>
      <w:r>
        <w:t>List of screening instruments for CY 2024 requirement to include one or more questions on</w:t>
      </w:r>
      <w:r>
        <w:rPr>
          <w:spacing w:val="-2"/>
        </w:rPr>
        <w:t xml:space="preserve"> </w:t>
      </w:r>
      <w:r>
        <w:t>housing</w:t>
      </w:r>
      <w:r>
        <w:rPr>
          <w:spacing w:val="-5"/>
        </w:rPr>
        <w:t xml:space="preserve"> </w:t>
      </w:r>
      <w:r>
        <w:t>stability,</w:t>
      </w:r>
      <w:r>
        <w:rPr>
          <w:spacing w:val="-2"/>
        </w:rPr>
        <w:t xml:space="preserve"> </w:t>
      </w:r>
      <w:r>
        <w:t>food</w:t>
      </w:r>
      <w:r>
        <w:rPr>
          <w:spacing w:val="-2"/>
        </w:rPr>
        <w:t xml:space="preserve"> </w:t>
      </w:r>
      <w:r>
        <w:t>security,</w:t>
      </w:r>
      <w:r>
        <w:rPr>
          <w:spacing w:val="-2"/>
        </w:rPr>
        <w:t xml:space="preserve"> </w:t>
      </w:r>
      <w:r>
        <w:t>and</w:t>
      </w:r>
      <w:r>
        <w:rPr>
          <w:spacing w:val="-5"/>
        </w:rPr>
        <w:t xml:space="preserve"> </w:t>
      </w:r>
      <w:r>
        <w:t>access</w:t>
      </w:r>
      <w:r>
        <w:rPr>
          <w:spacing w:val="-4"/>
        </w:rPr>
        <w:t xml:space="preserve"> </w:t>
      </w:r>
      <w:r>
        <w:t>to</w:t>
      </w:r>
      <w:r>
        <w:rPr>
          <w:spacing w:val="-5"/>
        </w:rPr>
        <w:t xml:space="preserve"> </w:t>
      </w:r>
      <w:r>
        <w:t>transportation</w:t>
      </w:r>
      <w:r>
        <w:rPr>
          <w:spacing w:val="-5"/>
        </w:rPr>
        <w:t xml:space="preserve"> </w:t>
      </w:r>
      <w:r>
        <w:t>in</w:t>
      </w:r>
      <w:r>
        <w:rPr>
          <w:spacing w:val="-2"/>
        </w:rPr>
        <w:t xml:space="preserve"> </w:t>
      </w:r>
      <w:r>
        <w:t>health</w:t>
      </w:r>
      <w:r>
        <w:rPr>
          <w:spacing w:val="-2"/>
        </w:rPr>
        <w:t xml:space="preserve"> </w:t>
      </w:r>
      <w:r>
        <w:t>risk</w:t>
      </w:r>
      <w:r>
        <w:rPr>
          <w:spacing w:val="-5"/>
        </w:rPr>
        <w:t xml:space="preserve"> </w:t>
      </w:r>
      <w:r>
        <w:t>assessments</w:t>
      </w:r>
    </w:p>
    <w:p>
      <w:pPr>
        <w:pStyle w:val="Heading1"/>
        <w:spacing w:before="162"/>
        <w:ind w:left="120"/>
      </w:pPr>
      <w:r>
        <w:rPr>
          <w:spacing w:val="-2"/>
        </w:rPr>
        <w:t>Purpose</w:t>
      </w:r>
    </w:p>
    <w:p>
      <w:pPr>
        <w:pStyle w:val="BodyText"/>
        <w:spacing w:before="160"/>
        <w:ind w:right="166"/>
      </w:pPr>
      <w:r>
        <w:t>The purpose of this memorandum is to provide guidance on the screening instruments available for Medicare</w:t>
      </w:r>
      <w:r>
        <w:rPr>
          <w:spacing w:val="-2"/>
        </w:rPr>
        <w:t xml:space="preserve"> </w:t>
      </w:r>
      <w:r>
        <w:t>Advantage</w:t>
      </w:r>
      <w:r>
        <w:rPr>
          <w:spacing w:val="-2"/>
        </w:rPr>
        <w:t xml:space="preserve"> </w:t>
      </w:r>
      <w:r>
        <w:t>(MA)</w:t>
      </w:r>
      <w:r>
        <w:rPr>
          <w:spacing w:val="-4"/>
        </w:rPr>
        <w:t xml:space="preserve"> </w:t>
      </w:r>
      <w:r>
        <w:t>special</w:t>
      </w:r>
      <w:r>
        <w:rPr>
          <w:spacing w:val="-4"/>
        </w:rPr>
        <w:t xml:space="preserve"> </w:t>
      </w:r>
      <w:r>
        <w:t>needs</w:t>
      </w:r>
      <w:r>
        <w:rPr>
          <w:spacing w:val="-2"/>
        </w:rPr>
        <w:t xml:space="preserve"> </w:t>
      </w:r>
      <w:r>
        <w:t>plans</w:t>
      </w:r>
      <w:r>
        <w:rPr>
          <w:spacing w:val="-4"/>
        </w:rPr>
        <w:t xml:space="preserve"> </w:t>
      </w:r>
      <w:r>
        <w:t>(SNPs)</w:t>
      </w:r>
      <w:r>
        <w:rPr>
          <w:spacing w:val="-4"/>
        </w:rPr>
        <w:t xml:space="preserve"> </w:t>
      </w:r>
      <w:r>
        <w:t>to</w:t>
      </w:r>
      <w:r>
        <w:rPr>
          <w:spacing w:val="-2"/>
        </w:rPr>
        <w:t xml:space="preserve"> </w:t>
      </w:r>
      <w:r>
        <w:t>meet</w:t>
      </w:r>
      <w:r>
        <w:rPr>
          <w:spacing w:val="-1"/>
        </w:rPr>
        <w:t xml:space="preserve"> </w:t>
      </w:r>
      <w:r>
        <w:t>the</w:t>
      </w:r>
      <w:r>
        <w:rPr>
          <w:spacing w:val="-2"/>
        </w:rPr>
        <w:t xml:space="preserve"> </w:t>
      </w:r>
      <w:r>
        <w:t>new</w:t>
      </w:r>
      <w:r>
        <w:rPr>
          <w:spacing w:val="-6"/>
        </w:rPr>
        <w:t xml:space="preserve"> </w:t>
      </w:r>
      <w:r>
        <w:t>requirement</w:t>
      </w:r>
      <w:r>
        <w:rPr>
          <w:spacing w:val="-1"/>
        </w:rPr>
        <w:t xml:space="preserve"> </w:t>
      </w:r>
      <w:r>
        <w:t>to</w:t>
      </w:r>
      <w:r>
        <w:rPr>
          <w:spacing w:val="-5"/>
        </w:rPr>
        <w:t xml:space="preserve"> </w:t>
      </w:r>
      <w:r>
        <w:t>include</w:t>
      </w:r>
      <w:r>
        <w:rPr>
          <w:spacing w:val="-2"/>
        </w:rPr>
        <w:t xml:space="preserve"> </w:t>
      </w:r>
      <w:r>
        <w:t>one</w:t>
      </w:r>
      <w:r>
        <w:rPr>
          <w:spacing w:val="-4"/>
        </w:rPr>
        <w:t xml:space="preserve"> </w:t>
      </w:r>
      <w:r>
        <w:t>or more questions on housing stability, food security, and access to transportation in their health risk assessments (HRAs) beginning in contract year (CY) 2024.</w:t>
      </w:r>
    </w:p>
    <w:p>
      <w:pPr>
        <w:pStyle w:val="Heading1"/>
        <w:spacing w:before="161"/>
      </w:pPr>
      <w:r>
        <w:rPr>
          <w:spacing w:val="-2"/>
        </w:rPr>
        <w:t>Background</w:t>
      </w:r>
    </w:p>
    <w:p>
      <w:pPr>
        <w:pStyle w:val="BodyText"/>
        <w:ind w:right="161" w:hanging="1"/>
      </w:pPr>
      <w:r>
        <w:t>New regulations at 42 CFR</w:t>
      </w:r>
      <w:r>
        <w:rPr>
          <w:spacing w:val="-1"/>
        </w:rPr>
        <w:t xml:space="preserve"> </w:t>
      </w:r>
      <w:r>
        <w:t>§ 422.101(f)(1)(i)</w:t>
      </w:r>
      <w:hyperlink w:anchor="_bookmark0" w:history="1">
        <w:r>
          <w:rPr>
            <w:vertAlign w:val="superscript"/>
          </w:rPr>
          <w:t>1</w:t>
        </w:r>
      </w:hyperlink>
      <w:r>
        <w:rPr>
          <w:vertAlign w:val="baseline"/>
        </w:rPr>
        <w:t xml:space="preserve"> require that all MA SNP HRAs must include at least one question from a list of screening instruments specified by CMS in sub-regulatory guidance on each of three</w:t>
      </w:r>
      <w:r>
        <w:rPr>
          <w:spacing w:val="-1"/>
          <w:vertAlign w:val="baseline"/>
        </w:rPr>
        <w:t xml:space="preserve"> </w:t>
      </w:r>
      <w:r>
        <w:rPr>
          <w:vertAlign w:val="baseline"/>
        </w:rPr>
        <w:t>domains</w:t>
      </w:r>
      <w:r>
        <w:rPr>
          <w:spacing w:val="-3"/>
          <w:vertAlign w:val="baseline"/>
        </w:rPr>
        <w:t xml:space="preserve"> </w:t>
      </w:r>
      <w:r>
        <w:rPr>
          <w:vertAlign w:val="baseline"/>
        </w:rPr>
        <w:t>(housing</w:t>
      </w:r>
      <w:r>
        <w:rPr>
          <w:spacing w:val="-4"/>
          <w:vertAlign w:val="baseline"/>
        </w:rPr>
        <w:t xml:space="preserve"> </w:t>
      </w:r>
      <w:r>
        <w:rPr>
          <w:vertAlign w:val="baseline"/>
        </w:rPr>
        <w:t>stability,</w:t>
      </w:r>
      <w:r>
        <w:rPr>
          <w:spacing w:val="-1"/>
          <w:vertAlign w:val="baseline"/>
        </w:rPr>
        <w:t xml:space="preserve"> </w:t>
      </w:r>
      <w:r>
        <w:rPr>
          <w:vertAlign w:val="baseline"/>
        </w:rPr>
        <w:t>food</w:t>
      </w:r>
      <w:r>
        <w:rPr>
          <w:spacing w:val="-1"/>
          <w:vertAlign w:val="baseline"/>
        </w:rPr>
        <w:t xml:space="preserve"> </w:t>
      </w:r>
      <w:r>
        <w:rPr>
          <w:vertAlign w:val="baseline"/>
        </w:rPr>
        <w:t>security,</w:t>
      </w:r>
      <w:r>
        <w:rPr>
          <w:spacing w:val="-1"/>
          <w:vertAlign w:val="baseline"/>
        </w:rPr>
        <w:t xml:space="preserve"> </w:t>
      </w:r>
      <w:r>
        <w:rPr>
          <w:vertAlign w:val="baseline"/>
        </w:rPr>
        <w:t>and</w:t>
      </w:r>
      <w:r>
        <w:rPr>
          <w:spacing w:val="-4"/>
          <w:vertAlign w:val="baseline"/>
        </w:rPr>
        <w:t xml:space="preserve"> </w:t>
      </w:r>
      <w:r>
        <w:rPr>
          <w:vertAlign w:val="baseline"/>
        </w:rPr>
        <w:t>access</w:t>
      </w:r>
      <w:r>
        <w:rPr>
          <w:spacing w:val="-3"/>
          <w:vertAlign w:val="baseline"/>
        </w:rPr>
        <w:t xml:space="preserve"> </w:t>
      </w:r>
      <w:r>
        <w:rPr>
          <w:vertAlign w:val="baseline"/>
        </w:rPr>
        <w:t>to</w:t>
      </w:r>
      <w:r>
        <w:rPr>
          <w:spacing w:val="-4"/>
          <w:vertAlign w:val="baseline"/>
        </w:rPr>
        <w:t xml:space="preserve"> </w:t>
      </w:r>
      <w:r>
        <w:rPr>
          <w:vertAlign w:val="baseline"/>
        </w:rPr>
        <w:t>transportation)</w:t>
      </w:r>
      <w:r>
        <w:rPr>
          <w:spacing w:val="-3"/>
          <w:vertAlign w:val="baseline"/>
        </w:rPr>
        <w:t xml:space="preserve"> </w:t>
      </w:r>
      <w:r>
        <w:rPr>
          <w:vertAlign w:val="baseline"/>
        </w:rPr>
        <w:t>beginning</w:t>
      </w:r>
      <w:r>
        <w:rPr>
          <w:spacing w:val="-4"/>
          <w:vertAlign w:val="baseline"/>
        </w:rPr>
        <w:t xml:space="preserve"> </w:t>
      </w:r>
      <w:r>
        <w:rPr>
          <w:vertAlign w:val="baseline"/>
        </w:rPr>
        <w:t>in</w:t>
      </w:r>
      <w:r>
        <w:rPr>
          <w:spacing w:val="-1"/>
          <w:vertAlign w:val="baseline"/>
        </w:rPr>
        <w:t xml:space="preserve"> </w:t>
      </w:r>
      <w:r>
        <w:rPr>
          <w:vertAlign w:val="baseline"/>
        </w:rPr>
        <w:t>CY</w:t>
      </w:r>
      <w:r>
        <w:rPr>
          <w:spacing w:val="-2"/>
          <w:vertAlign w:val="baseline"/>
        </w:rPr>
        <w:t xml:space="preserve"> </w:t>
      </w:r>
      <w:r>
        <w:rPr>
          <w:vertAlign w:val="baseline"/>
        </w:rPr>
        <w:t>2024.</w:t>
      </w:r>
      <w:r>
        <w:rPr>
          <w:spacing w:val="-4"/>
          <w:vertAlign w:val="baseline"/>
        </w:rPr>
        <w:t xml:space="preserve"> </w:t>
      </w:r>
      <w:r>
        <w:rPr>
          <w:vertAlign w:val="baseline"/>
        </w:rPr>
        <w:t>This new requirement will help better identify the risk factors that may inhibit enrollees from accessing care and</w:t>
      </w:r>
      <w:r>
        <w:rPr>
          <w:spacing w:val="-2"/>
          <w:vertAlign w:val="baseline"/>
        </w:rPr>
        <w:t xml:space="preserve"> </w:t>
      </w:r>
      <w:r>
        <w:rPr>
          <w:vertAlign w:val="baseline"/>
        </w:rPr>
        <w:t>achieving</w:t>
      </w:r>
      <w:r>
        <w:rPr>
          <w:spacing w:val="-4"/>
          <w:vertAlign w:val="baseline"/>
        </w:rPr>
        <w:t xml:space="preserve"> </w:t>
      </w:r>
      <w:r>
        <w:rPr>
          <w:vertAlign w:val="baseline"/>
        </w:rPr>
        <w:t>optimal</w:t>
      </w:r>
      <w:r>
        <w:rPr>
          <w:spacing w:val="-1"/>
          <w:vertAlign w:val="baseline"/>
        </w:rPr>
        <w:t xml:space="preserve"> </w:t>
      </w:r>
      <w:r>
        <w:rPr>
          <w:vertAlign w:val="baseline"/>
        </w:rPr>
        <w:t>health</w:t>
      </w:r>
      <w:r>
        <w:rPr>
          <w:spacing w:val="-2"/>
          <w:vertAlign w:val="baseline"/>
        </w:rPr>
        <w:t xml:space="preserve"> </w:t>
      </w:r>
      <w:r>
        <w:rPr>
          <w:vertAlign w:val="baseline"/>
        </w:rPr>
        <w:t>outcomes</w:t>
      </w:r>
      <w:r>
        <w:rPr>
          <w:spacing w:val="-2"/>
          <w:vertAlign w:val="baseline"/>
        </w:rPr>
        <w:t xml:space="preserve"> </w:t>
      </w:r>
      <w:r>
        <w:rPr>
          <w:vertAlign w:val="baseline"/>
        </w:rPr>
        <w:t>and</w:t>
      </w:r>
      <w:r>
        <w:rPr>
          <w:spacing w:val="-2"/>
          <w:vertAlign w:val="baseline"/>
        </w:rPr>
        <w:t xml:space="preserve"> </w:t>
      </w:r>
      <w:r>
        <w:rPr>
          <w:vertAlign w:val="baseline"/>
        </w:rPr>
        <w:t>independence</w:t>
      </w:r>
      <w:r>
        <w:rPr>
          <w:spacing w:val="-2"/>
          <w:vertAlign w:val="baseline"/>
        </w:rPr>
        <w:t xml:space="preserve"> </w:t>
      </w:r>
      <w:r>
        <w:rPr>
          <w:vertAlign w:val="baseline"/>
        </w:rPr>
        <w:t>and</w:t>
      </w:r>
      <w:r>
        <w:rPr>
          <w:spacing w:val="-4"/>
          <w:vertAlign w:val="baseline"/>
        </w:rPr>
        <w:t xml:space="preserve"> </w:t>
      </w:r>
      <w:r>
        <w:rPr>
          <w:vertAlign w:val="baseline"/>
        </w:rPr>
        <w:t>enable</w:t>
      </w:r>
      <w:r>
        <w:rPr>
          <w:spacing w:val="-3"/>
          <w:vertAlign w:val="baseline"/>
        </w:rPr>
        <w:t xml:space="preserve"> </w:t>
      </w:r>
      <w:r>
        <w:rPr>
          <w:vertAlign w:val="baseline"/>
        </w:rPr>
        <w:t>MA</w:t>
      </w:r>
      <w:r>
        <w:rPr>
          <w:spacing w:val="-3"/>
          <w:vertAlign w:val="baseline"/>
        </w:rPr>
        <w:t xml:space="preserve"> </w:t>
      </w:r>
      <w:r>
        <w:rPr>
          <w:vertAlign w:val="baseline"/>
        </w:rPr>
        <w:t>SNPs</w:t>
      </w:r>
      <w:r>
        <w:rPr>
          <w:spacing w:val="-2"/>
          <w:vertAlign w:val="baseline"/>
        </w:rPr>
        <w:t xml:space="preserve"> </w:t>
      </w:r>
      <w:r>
        <w:rPr>
          <w:vertAlign w:val="baseline"/>
        </w:rPr>
        <w:t>to</w:t>
      </w:r>
      <w:r>
        <w:rPr>
          <w:spacing w:val="-4"/>
          <w:vertAlign w:val="baseline"/>
        </w:rPr>
        <w:t xml:space="preserve"> </w:t>
      </w:r>
      <w:r>
        <w:rPr>
          <w:vertAlign w:val="baseline"/>
        </w:rPr>
        <w:t>take</w:t>
      </w:r>
      <w:r>
        <w:rPr>
          <w:spacing w:val="-2"/>
          <w:vertAlign w:val="baseline"/>
        </w:rPr>
        <w:t xml:space="preserve"> </w:t>
      </w:r>
      <w:r>
        <w:rPr>
          <w:vertAlign w:val="baseline"/>
        </w:rPr>
        <w:t>these</w:t>
      </w:r>
      <w:r>
        <w:rPr>
          <w:spacing w:val="-3"/>
          <w:vertAlign w:val="baseline"/>
        </w:rPr>
        <w:t xml:space="preserve"> </w:t>
      </w:r>
      <w:r>
        <w:rPr>
          <w:vertAlign w:val="baseline"/>
        </w:rPr>
        <w:t>risk</w:t>
      </w:r>
      <w:r>
        <w:rPr>
          <w:spacing w:val="-4"/>
          <w:vertAlign w:val="baseline"/>
        </w:rPr>
        <w:t xml:space="preserve"> </w:t>
      </w:r>
      <w:r>
        <w:rPr>
          <w:vertAlign w:val="baseline"/>
        </w:rPr>
        <w:t>factors into account in enrollee individualized care plans. This guidance provides the list of CMS-specified screening instruments available for SNPs to meet the new requirement.</w:t>
      </w:r>
    </w:p>
    <w:p>
      <w:pPr>
        <w:pStyle w:val="Heading1"/>
      </w:pPr>
      <w:r>
        <w:t>Instruments</w:t>
      </w:r>
      <w:r>
        <w:rPr>
          <w:spacing w:val="-8"/>
        </w:rPr>
        <w:t xml:space="preserve"> </w:t>
      </w:r>
      <w:r>
        <w:t>for</w:t>
      </w:r>
      <w:r>
        <w:rPr>
          <w:spacing w:val="-3"/>
        </w:rPr>
        <w:t xml:space="preserve"> </w:t>
      </w:r>
      <w:r>
        <w:t>Screening</w:t>
      </w:r>
      <w:r>
        <w:rPr>
          <w:spacing w:val="-6"/>
        </w:rPr>
        <w:t xml:space="preserve"> </w:t>
      </w:r>
      <w:r>
        <w:t>for</w:t>
      </w:r>
      <w:r>
        <w:rPr>
          <w:spacing w:val="-5"/>
        </w:rPr>
        <w:t xml:space="preserve"> </w:t>
      </w:r>
      <w:r>
        <w:t>Housing</w:t>
      </w:r>
      <w:r>
        <w:rPr>
          <w:spacing w:val="-3"/>
        </w:rPr>
        <w:t xml:space="preserve"> </w:t>
      </w:r>
      <w:r>
        <w:t>Stability,</w:t>
      </w:r>
      <w:r>
        <w:rPr>
          <w:spacing w:val="-6"/>
        </w:rPr>
        <w:t xml:space="preserve"> </w:t>
      </w:r>
      <w:r>
        <w:t>Food</w:t>
      </w:r>
      <w:r>
        <w:rPr>
          <w:spacing w:val="-5"/>
        </w:rPr>
        <w:t xml:space="preserve"> </w:t>
      </w:r>
      <w:r>
        <w:t>Security,</w:t>
      </w:r>
      <w:r>
        <w:rPr>
          <w:spacing w:val="-3"/>
        </w:rPr>
        <w:t xml:space="preserve"> </w:t>
      </w:r>
      <w:r>
        <w:t>and</w:t>
      </w:r>
      <w:r>
        <w:rPr>
          <w:spacing w:val="-4"/>
        </w:rPr>
        <w:t xml:space="preserve"> </w:t>
      </w:r>
      <w:r>
        <w:t>Access</w:t>
      </w:r>
      <w:r>
        <w:rPr>
          <w:spacing w:val="-5"/>
        </w:rPr>
        <w:t xml:space="preserve"> </w:t>
      </w:r>
      <w:r>
        <w:t>to</w:t>
      </w:r>
      <w:r>
        <w:rPr>
          <w:spacing w:val="-4"/>
        </w:rPr>
        <w:t xml:space="preserve"> </w:t>
      </w:r>
      <w:r>
        <w:rPr>
          <w:spacing w:val="-2"/>
        </w:rPr>
        <w:t>Transportation</w:t>
      </w:r>
    </w:p>
    <w:p>
      <w:pPr>
        <w:pStyle w:val="BodyText"/>
        <w:spacing w:before="163"/>
        <w:ind w:left="120"/>
      </w:pPr>
      <w:r>
        <w:t>SNPs</w:t>
      </w:r>
      <w:r>
        <w:rPr>
          <w:spacing w:val="-3"/>
        </w:rPr>
        <w:t xml:space="preserve"> </w:t>
      </w:r>
      <w:r>
        <w:t>can</w:t>
      </w:r>
      <w:r>
        <w:rPr>
          <w:spacing w:val="-2"/>
        </w:rPr>
        <w:t xml:space="preserve"> </w:t>
      </w:r>
      <w:r>
        <w:t>meet</w:t>
      </w:r>
      <w:r>
        <w:rPr>
          <w:spacing w:val="-4"/>
        </w:rPr>
        <w:t xml:space="preserve"> </w:t>
      </w:r>
      <w:r>
        <w:t>the</w:t>
      </w:r>
      <w:r>
        <w:rPr>
          <w:spacing w:val="-3"/>
        </w:rPr>
        <w:t xml:space="preserve"> </w:t>
      </w:r>
      <w:r>
        <w:t>new</w:t>
      </w:r>
      <w:r>
        <w:rPr>
          <w:spacing w:val="-3"/>
        </w:rPr>
        <w:t xml:space="preserve"> </w:t>
      </w:r>
      <w:r>
        <w:t>requirement</w:t>
      </w:r>
      <w:r>
        <w:rPr>
          <w:spacing w:val="-4"/>
        </w:rPr>
        <w:t xml:space="preserve"> </w:t>
      </w:r>
      <w:r>
        <w:t>at</w:t>
      </w:r>
      <w:r>
        <w:rPr>
          <w:spacing w:val="-2"/>
        </w:rPr>
        <w:t xml:space="preserve"> </w:t>
      </w:r>
      <w:r>
        <w:t>§</w:t>
      </w:r>
      <w:r>
        <w:rPr>
          <w:spacing w:val="-5"/>
        </w:rPr>
        <w:t xml:space="preserve"> </w:t>
      </w:r>
      <w:r>
        <w:t>422.101(f)(1)(i)</w:t>
      </w:r>
      <w:r>
        <w:rPr>
          <w:spacing w:val="-4"/>
        </w:rPr>
        <w:t xml:space="preserve"> </w:t>
      </w:r>
      <w:r>
        <w:t>in</w:t>
      </w:r>
      <w:r>
        <w:rPr>
          <w:spacing w:val="-2"/>
        </w:rPr>
        <w:t xml:space="preserve"> </w:t>
      </w:r>
      <w:r>
        <w:t>one</w:t>
      </w:r>
      <w:r>
        <w:rPr>
          <w:spacing w:val="-3"/>
        </w:rPr>
        <w:t xml:space="preserve"> </w:t>
      </w:r>
      <w:r>
        <w:t>of</w:t>
      </w:r>
      <w:r>
        <w:rPr>
          <w:spacing w:val="-1"/>
        </w:rPr>
        <w:t xml:space="preserve"> </w:t>
      </w:r>
      <w:r>
        <w:t>two</w:t>
      </w:r>
      <w:r>
        <w:rPr>
          <w:spacing w:val="-2"/>
        </w:rPr>
        <w:t xml:space="preserve"> ways:</w:t>
      </w:r>
    </w:p>
    <w:p>
      <w:pPr>
        <w:pStyle w:val="Heading1"/>
        <w:numPr>
          <w:ilvl w:val="0"/>
          <w:numId w:val="2"/>
        </w:numPr>
        <w:tabs>
          <w:tab w:val="left" w:pos="481"/>
        </w:tabs>
        <w:spacing w:before="159" w:after="0" w:line="240" w:lineRule="auto"/>
        <w:ind w:left="480" w:right="0" w:hanging="361"/>
        <w:jc w:val="left"/>
      </w:pPr>
      <w:r>
        <w:t>Use</w:t>
      </w:r>
      <w:r>
        <w:rPr>
          <w:spacing w:val="-7"/>
        </w:rPr>
        <w:t xml:space="preserve"> </w:t>
      </w:r>
      <w:r>
        <w:t>a</w:t>
      </w:r>
      <w:r>
        <w:rPr>
          <w:spacing w:val="-4"/>
        </w:rPr>
        <w:t xml:space="preserve"> </w:t>
      </w:r>
      <w:r>
        <w:t>state-required</w:t>
      </w:r>
      <w:r>
        <w:rPr>
          <w:spacing w:val="-6"/>
        </w:rPr>
        <w:t xml:space="preserve"> </w:t>
      </w:r>
      <w:r>
        <w:t>screening</w:t>
      </w:r>
      <w:r>
        <w:rPr>
          <w:spacing w:val="-4"/>
        </w:rPr>
        <w:t xml:space="preserve"> </w:t>
      </w:r>
      <w:r>
        <w:t>instrument</w:t>
      </w:r>
      <w:r>
        <w:rPr>
          <w:spacing w:val="-4"/>
        </w:rPr>
        <w:t xml:space="preserve"> </w:t>
      </w:r>
      <w:r>
        <w:t>that</w:t>
      </w:r>
      <w:r>
        <w:rPr>
          <w:spacing w:val="-6"/>
        </w:rPr>
        <w:t xml:space="preserve"> </w:t>
      </w:r>
      <w:r>
        <w:t>includes</w:t>
      </w:r>
      <w:r>
        <w:rPr>
          <w:spacing w:val="-5"/>
        </w:rPr>
        <w:t xml:space="preserve"> </w:t>
      </w:r>
      <w:r>
        <w:t>questions</w:t>
      </w:r>
      <w:r>
        <w:rPr>
          <w:spacing w:val="-4"/>
        </w:rPr>
        <w:t xml:space="preserve"> </w:t>
      </w:r>
      <w:r>
        <w:t>on</w:t>
      </w:r>
      <w:r>
        <w:rPr>
          <w:spacing w:val="-8"/>
        </w:rPr>
        <w:t xml:space="preserve"> </w:t>
      </w:r>
      <w:r>
        <w:t>the</w:t>
      </w:r>
      <w:r>
        <w:rPr>
          <w:spacing w:val="-4"/>
        </w:rPr>
        <w:t xml:space="preserve"> </w:t>
      </w:r>
      <w:r>
        <w:t>required</w:t>
      </w:r>
      <w:r>
        <w:rPr>
          <w:spacing w:val="-5"/>
        </w:rPr>
        <w:t xml:space="preserve"> </w:t>
      </w:r>
      <w:r>
        <w:rPr>
          <w:spacing w:val="-2"/>
        </w:rPr>
        <w:t>domains.</w:t>
      </w:r>
    </w:p>
    <w:p>
      <w:pPr>
        <w:pStyle w:val="BodyText"/>
        <w:ind w:left="120" w:right="161"/>
      </w:pPr>
      <w:r>
        <w:t>As discussed in the recent CY 2023 MA and Part D Final Rule (87 FR 27734), SNPs can use state- required Medicaid screening instruments that include questions on housing stability, food security, and access to transportation to satisfy the new HRA content requirement in § 422.101(f)(1)(i). By allowing SNPs to use the questions in state-required screening instruments, we aim to prevent duplication of screening</w:t>
      </w:r>
      <w:r>
        <w:rPr>
          <w:spacing w:val="-4"/>
        </w:rPr>
        <w:t xml:space="preserve"> </w:t>
      </w:r>
      <w:r>
        <w:t>efforts.</w:t>
      </w:r>
      <w:r>
        <w:rPr>
          <w:spacing w:val="-1"/>
        </w:rPr>
        <w:t xml:space="preserve"> </w:t>
      </w:r>
      <w:r>
        <w:t>For</w:t>
      </w:r>
      <w:r>
        <w:rPr>
          <w:spacing w:val="-3"/>
        </w:rPr>
        <w:t xml:space="preserve"> </w:t>
      </w:r>
      <w:r>
        <w:t>the</w:t>
      </w:r>
      <w:r>
        <w:rPr>
          <w:spacing w:val="-3"/>
        </w:rPr>
        <w:t xml:space="preserve"> </w:t>
      </w:r>
      <w:r>
        <w:t>purposes</w:t>
      </w:r>
      <w:r>
        <w:rPr>
          <w:spacing w:val="-1"/>
        </w:rPr>
        <w:t xml:space="preserve"> </w:t>
      </w:r>
      <w:r>
        <w:t>of this</w:t>
      </w:r>
      <w:r>
        <w:rPr>
          <w:spacing w:val="-3"/>
        </w:rPr>
        <w:t xml:space="preserve"> </w:t>
      </w:r>
      <w:r>
        <w:t>requirement,</w:t>
      </w:r>
      <w:r>
        <w:rPr>
          <w:spacing w:val="-4"/>
        </w:rPr>
        <w:t xml:space="preserve"> </w:t>
      </w:r>
      <w:r>
        <w:t>SNPs</w:t>
      </w:r>
      <w:r>
        <w:rPr>
          <w:spacing w:val="-1"/>
        </w:rPr>
        <w:t xml:space="preserve"> </w:t>
      </w:r>
      <w:r>
        <w:t>that are</w:t>
      </w:r>
      <w:r>
        <w:rPr>
          <w:spacing w:val="-3"/>
        </w:rPr>
        <w:t xml:space="preserve"> </w:t>
      </w:r>
      <w:r>
        <w:t>required</w:t>
      </w:r>
      <w:r>
        <w:rPr>
          <w:spacing w:val="-1"/>
        </w:rPr>
        <w:t xml:space="preserve"> </w:t>
      </w:r>
      <w:r>
        <w:t>by</w:t>
      </w:r>
      <w:r>
        <w:rPr>
          <w:spacing w:val="-4"/>
        </w:rPr>
        <w:t xml:space="preserve"> </w:t>
      </w:r>
      <w:r>
        <w:t>a</w:t>
      </w:r>
      <w:r>
        <w:rPr>
          <w:spacing w:val="-1"/>
        </w:rPr>
        <w:t xml:space="preserve"> </w:t>
      </w:r>
      <w:r>
        <w:t>state</w:t>
      </w:r>
      <w:r>
        <w:rPr>
          <w:spacing w:val="-3"/>
        </w:rPr>
        <w:t xml:space="preserve"> </w:t>
      </w:r>
      <w:r>
        <w:t>to</w:t>
      </w:r>
      <w:r>
        <w:rPr>
          <w:spacing w:val="-1"/>
        </w:rPr>
        <w:t xml:space="preserve"> </w:t>
      </w:r>
      <w:r>
        <w:t>use</w:t>
      </w:r>
      <w:r>
        <w:rPr>
          <w:spacing w:val="-1"/>
        </w:rPr>
        <w:t xml:space="preserve"> </w:t>
      </w:r>
      <w:r>
        <w:t>a</w:t>
      </w:r>
      <w:r>
        <w:rPr>
          <w:spacing w:val="-3"/>
        </w:rPr>
        <w:t xml:space="preserve"> </w:t>
      </w:r>
      <w:r>
        <w:t>certain screening instrument in the same contract year may use that state-required instrument to meet this requirement. For example, a SNP required by a state to use an assessment instrument in CY 2024 that includes questions on these domains could use that instrument to meet the requirement at § 422.101(f)(1)(i) for CY 2024.</w:t>
      </w:r>
    </w:p>
    <w:p>
      <w:pPr>
        <w:pStyle w:val="BodyText"/>
        <w:spacing w:before="159"/>
        <w:ind w:left="120" w:right="189"/>
      </w:pPr>
      <w:r>
        <w:t>In addition, we recognize that SNPs operating</w:t>
      </w:r>
      <w:r>
        <w:rPr>
          <w:spacing w:val="-2"/>
        </w:rPr>
        <w:t xml:space="preserve"> </w:t>
      </w:r>
      <w:r>
        <w:t>in a</w:t>
      </w:r>
      <w:r>
        <w:rPr>
          <w:spacing w:val="-1"/>
        </w:rPr>
        <w:t xml:space="preserve"> </w:t>
      </w:r>
      <w:r>
        <w:t>particular state</w:t>
      </w:r>
      <w:r>
        <w:rPr>
          <w:spacing w:val="-1"/>
        </w:rPr>
        <w:t xml:space="preserve"> </w:t>
      </w:r>
      <w:r>
        <w:t xml:space="preserve">that are </w:t>
      </w:r>
      <w:r>
        <w:rPr>
          <w:i/>
        </w:rPr>
        <w:t xml:space="preserve">not </w:t>
      </w:r>
      <w:r>
        <w:t>subject to</w:t>
      </w:r>
      <w:r>
        <w:rPr>
          <w:spacing w:val="-2"/>
        </w:rPr>
        <w:t xml:space="preserve"> </w:t>
      </w:r>
      <w:r>
        <w:t>state assessment requirements (e.g., chronic condition special needs plans [C-SNPs] and institutional special needs plans [I-SNPs] are not required to</w:t>
      </w:r>
      <w:r>
        <w:rPr>
          <w:spacing w:val="-1"/>
        </w:rPr>
        <w:t xml:space="preserve"> </w:t>
      </w:r>
      <w:r>
        <w:t>have contracts with</w:t>
      </w:r>
      <w:r>
        <w:rPr>
          <w:spacing w:val="-1"/>
        </w:rPr>
        <w:t xml:space="preserve"> </w:t>
      </w:r>
      <w:r>
        <w:t>states) may</w:t>
      </w:r>
      <w:r>
        <w:rPr>
          <w:spacing w:val="-1"/>
        </w:rPr>
        <w:t xml:space="preserve"> </w:t>
      </w:r>
      <w:r>
        <w:t>wish to use an</w:t>
      </w:r>
      <w:r>
        <w:rPr>
          <w:spacing w:val="-1"/>
        </w:rPr>
        <w:t xml:space="preserve"> </w:t>
      </w:r>
      <w:r>
        <w:t>assessment instrument a state requires for dual eligible special needs plans (D-SNPs) to satisfy the requirement at § 422.101(f)(1)(i) if that instrument includes questions in the three required domains. C-SNPs and I-SNPs may use such a state-required</w:t>
      </w:r>
      <w:r>
        <w:rPr>
          <w:spacing w:val="-3"/>
        </w:rPr>
        <w:t xml:space="preserve"> </w:t>
      </w:r>
      <w:r>
        <w:t>assessment</w:t>
      </w:r>
      <w:r>
        <w:rPr>
          <w:spacing w:val="-2"/>
        </w:rPr>
        <w:t xml:space="preserve"> </w:t>
      </w:r>
      <w:r>
        <w:t>instrument</w:t>
      </w:r>
      <w:r>
        <w:rPr>
          <w:spacing w:val="-2"/>
        </w:rPr>
        <w:t xml:space="preserve"> </w:t>
      </w:r>
      <w:r>
        <w:t>to</w:t>
      </w:r>
      <w:r>
        <w:rPr>
          <w:spacing w:val="-3"/>
        </w:rPr>
        <w:t xml:space="preserve"> </w:t>
      </w:r>
      <w:r>
        <w:t>meet</w:t>
      </w:r>
      <w:r>
        <w:rPr>
          <w:spacing w:val="-5"/>
        </w:rPr>
        <w:t xml:space="preserve"> </w:t>
      </w:r>
      <w:r>
        <w:t>this</w:t>
      </w:r>
      <w:r>
        <w:rPr>
          <w:spacing w:val="-3"/>
        </w:rPr>
        <w:t xml:space="preserve"> </w:t>
      </w:r>
      <w:r>
        <w:t>requirement</w:t>
      </w:r>
      <w:r>
        <w:rPr>
          <w:spacing w:val="-2"/>
        </w:rPr>
        <w:t xml:space="preserve"> </w:t>
      </w:r>
      <w:r>
        <w:t>as</w:t>
      </w:r>
      <w:r>
        <w:rPr>
          <w:spacing w:val="-3"/>
        </w:rPr>
        <w:t xml:space="preserve"> </w:t>
      </w:r>
      <w:r>
        <w:t>long</w:t>
      </w:r>
      <w:r>
        <w:rPr>
          <w:spacing w:val="-6"/>
        </w:rPr>
        <w:t xml:space="preserve"> </w:t>
      </w:r>
      <w:r>
        <w:t>as</w:t>
      </w:r>
      <w:r>
        <w:rPr>
          <w:spacing w:val="-3"/>
        </w:rPr>
        <w:t xml:space="preserve"> </w:t>
      </w:r>
      <w:r>
        <w:t>the</w:t>
      </w:r>
      <w:r>
        <w:rPr>
          <w:spacing w:val="-3"/>
        </w:rPr>
        <w:t xml:space="preserve"> </w:t>
      </w:r>
      <w:r>
        <w:t>state</w:t>
      </w:r>
      <w:r>
        <w:rPr>
          <w:spacing w:val="-5"/>
        </w:rPr>
        <w:t xml:space="preserve"> </w:t>
      </w:r>
      <w:r>
        <w:t>requires</w:t>
      </w:r>
      <w:r>
        <w:rPr>
          <w:spacing w:val="-3"/>
        </w:rPr>
        <w:t xml:space="preserve"> </w:t>
      </w:r>
      <w:r>
        <w:t>that</w:t>
      </w:r>
      <w:r>
        <w:rPr>
          <w:spacing w:val="-5"/>
        </w:rPr>
        <w:t xml:space="preserve"> </w:t>
      </w:r>
      <w:r>
        <w:t>instrument for D-SNPs in the same state in the same contract year, as outlined above. For example, a C-SNP operating</w:t>
      </w:r>
      <w:r>
        <w:rPr>
          <w:spacing w:val="-3"/>
        </w:rPr>
        <w:t xml:space="preserve"> </w:t>
      </w:r>
      <w:r>
        <w:t>in a state</w:t>
      </w:r>
      <w:r>
        <w:rPr>
          <w:spacing w:val="-2"/>
        </w:rPr>
        <w:t xml:space="preserve"> </w:t>
      </w:r>
      <w:r>
        <w:t>that requires D-SNPs to use a</w:t>
      </w:r>
      <w:r>
        <w:rPr>
          <w:spacing w:val="-2"/>
        </w:rPr>
        <w:t xml:space="preserve"> </w:t>
      </w:r>
      <w:r>
        <w:t>certain assessment instrument in</w:t>
      </w:r>
      <w:r>
        <w:rPr>
          <w:spacing w:val="-3"/>
        </w:rPr>
        <w:t xml:space="preserve"> </w:t>
      </w:r>
      <w:r>
        <w:t>CY</w:t>
      </w:r>
      <w:r>
        <w:rPr>
          <w:spacing w:val="-1"/>
        </w:rPr>
        <w:t xml:space="preserve"> </w:t>
      </w:r>
      <w:r>
        <w:t>2025 may</w:t>
      </w:r>
      <w:r>
        <w:rPr>
          <w:spacing w:val="-3"/>
        </w:rPr>
        <w:t xml:space="preserve"> </w:t>
      </w:r>
      <w:r>
        <w:t>use that instrument to meet this requirement in CY 2025 so long as that instrument includes the questions in the three required domains. We also clarify that such SNPs may use questions on the three required domains from a state-required assessment as part of their HRA without using the entire state-required assessment (i.e., adding questions on the three domains to the SNP’s own existing HRA instrument). Finally, we clarify that SNPs may use state-required screening instruments for plans whose service areas include a state that requires a particular state-specific screening instrument. For example, a SNP plan benefit package whose service area encompasses the Kansas City metro area could include counties in both Missouri and Kansas. In this example, if Missouri required a certain state-specific screening instrument</w:t>
      </w:r>
    </w:p>
    <w:p>
      <w:pPr>
        <w:pStyle w:val="BodyText"/>
        <w:spacing w:before="9"/>
        <w:ind w:left="0"/>
        <w:rPr>
          <w:sz w:val="23"/>
        </w:rPr>
      </w:pPr>
      <w:r>
        <w:pict>
          <v:rect id="_x0000_s1025" style="width:2in;height:0.72pt;margin-top:14.92pt;margin-left:1in;mso-position-horizontal-relative:page;mso-wrap-distance-left:0;mso-wrap-distance-right:0;position:absolute;z-index:-251658240" filled="t" fillcolor="black" stroked="f">
            <v:fill type="solid"/>
            <w10:wrap type="topAndBottom"/>
          </v:rect>
        </w:pict>
      </w:r>
    </w:p>
    <w:p>
      <w:pPr>
        <w:spacing w:before="101"/>
        <w:ind w:left="120" w:right="0" w:firstLine="0"/>
        <w:jc w:val="left"/>
        <w:rPr>
          <w:sz w:val="20"/>
        </w:rPr>
      </w:pPr>
      <w:bookmarkStart w:id="0" w:name="_bookmark0"/>
      <w:bookmarkEnd w:id="0"/>
      <w:r>
        <w:rPr>
          <w:spacing w:val="-2"/>
          <w:sz w:val="20"/>
          <w:vertAlign w:val="superscript"/>
        </w:rPr>
        <w:t>1</w:t>
      </w:r>
      <w:r>
        <w:rPr>
          <w:spacing w:val="60"/>
          <w:sz w:val="20"/>
          <w:vertAlign w:val="baseline"/>
        </w:rPr>
        <w:t xml:space="preserve"> </w:t>
      </w:r>
      <w:hyperlink r:id="rId4">
        <w:r>
          <w:rPr>
            <w:color w:val="0562C1"/>
            <w:spacing w:val="-2"/>
            <w:sz w:val="20"/>
            <w:u w:val="single" w:color="0562C1"/>
            <w:vertAlign w:val="baseline"/>
          </w:rPr>
          <w:t>https://www.govinfo.gov/content/pkg/FR-2022-05-09/pdf/2022-09375.pdf</w:t>
        </w:r>
      </w:hyperlink>
    </w:p>
    <w:p>
      <w:pPr>
        <w:spacing w:after="0"/>
        <w:jc w:val="left"/>
        <w:rPr>
          <w:sz w:val="20"/>
        </w:rPr>
        <w:sectPr>
          <w:footerReference w:type="default" r:id="rId5"/>
          <w:type w:val="continuous"/>
          <w:pgSz w:w="12240" w:h="15840"/>
          <w:pgMar w:top="1360" w:right="1320" w:bottom="960" w:left="1320" w:header="0" w:footer="765"/>
          <w:pgNumType w:start="1"/>
          <w:cols w:space="720"/>
        </w:sectPr>
      </w:pPr>
    </w:p>
    <w:p>
      <w:pPr>
        <w:pStyle w:val="BodyText"/>
        <w:spacing w:before="78"/>
        <w:ind w:left="120"/>
      </w:pPr>
      <w:r>
        <w:t>and</w:t>
      </w:r>
      <w:r>
        <w:rPr>
          <w:spacing w:val="-4"/>
        </w:rPr>
        <w:t xml:space="preserve"> </w:t>
      </w:r>
      <w:r>
        <w:t>Kansas</w:t>
      </w:r>
      <w:r>
        <w:rPr>
          <w:spacing w:val="-1"/>
        </w:rPr>
        <w:t xml:space="preserve"> </w:t>
      </w:r>
      <w:r>
        <w:t>did</w:t>
      </w:r>
      <w:r>
        <w:rPr>
          <w:spacing w:val="-1"/>
        </w:rPr>
        <w:t xml:space="preserve"> </w:t>
      </w:r>
      <w:r>
        <w:t>not,</w:t>
      </w:r>
      <w:r>
        <w:rPr>
          <w:spacing w:val="-4"/>
        </w:rPr>
        <w:t xml:space="preserve"> </w:t>
      </w:r>
      <w:r>
        <w:t>the</w:t>
      </w:r>
      <w:r>
        <w:rPr>
          <w:spacing w:val="-1"/>
        </w:rPr>
        <w:t xml:space="preserve"> </w:t>
      </w:r>
      <w:r>
        <w:t>plan</w:t>
      </w:r>
      <w:r>
        <w:rPr>
          <w:spacing w:val="-1"/>
        </w:rPr>
        <w:t xml:space="preserve"> </w:t>
      </w:r>
      <w:r>
        <w:t>may</w:t>
      </w:r>
      <w:r>
        <w:rPr>
          <w:spacing w:val="-4"/>
        </w:rPr>
        <w:t xml:space="preserve"> </w:t>
      </w:r>
      <w:r>
        <w:t>use</w:t>
      </w:r>
      <w:r>
        <w:rPr>
          <w:spacing w:val="-1"/>
        </w:rPr>
        <w:t xml:space="preserve"> </w:t>
      </w:r>
      <w:r>
        <w:t>the</w:t>
      </w:r>
      <w:r>
        <w:rPr>
          <w:spacing w:val="-3"/>
        </w:rPr>
        <w:t xml:space="preserve"> </w:t>
      </w:r>
      <w:r>
        <w:t>Missouri</w:t>
      </w:r>
      <w:r>
        <w:rPr>
          <w:spacing w:val="-3"/>
        </w:rPr>
        <w:t xml:space="preserve"> </w:t>
      </w:r>
      <w:r>
        <w:t>state-required</w:t>
      </w:r>
      <w:r>
        <w:rPr>
          <w:spacing w:val="-4"/>
        </w:rPr>
        <w:t xml:space="preserve"> </w:t>
      </w:r>
      <w:r>
        <w:t>screening</w:t>
      </w:r>
      <w:r>
        <w:rPr>
          <w:spacing w:val="-4"/>
        </w:rPr>
        <w:t xml:space="preserve"> </w:t>
      </w:r>
      <w:r>
        <w:t>instrument for all</w:t>
      </w:r>
      <w:r>
        <w:rPr>
          <w:spacing w:val="-3"/>
        </w:rPr>
        <w:t xml:space="preserve"> </w:t>
      </w:r>
      <w:r>
        <w:t>enrollees</w:t>
      </w:r>
      <w:r>
        <w:rPr>
          <w:spacing w:val="-1"/>
        </w:rPr>
        <w:t xml:space="preserve"> </w:t>
      </w:r>
      <w:r>
        <w:t>in that service area, including those who reside in Kansas.</w:t>
      </w:r>
    </w:p>
    <w:p>
      <w:pPr>
        <w:pStyle w:val="BodyText"/>
        <w:spacing w:before="159"/>
        <w:ind w:left="120" w:right="161"/>
      </w:pPr>
      <w:r>
        <w:t>Through our contractor, the Integrated Care Resource Center, we gathered information from states that currently require screening</w:t>
      </w:r>
      <w:r>
        <w:rPr>
          <w:spacing w:val="-3"/>
        </w:rPr>
        <w:t xml:space="preserve"> </w:t>
      </w:r>
      <w:r>
        <w:t>for social needs in these three areas in their Medicaid programs, including for D-SNPs. States take a variety of approaches to screening for social needs. Some states have established state-specific screening instruments and platforms, some encourage or require use of existing screening instruments such as PRAPARE or the Accountable Health Communities (AHC) instrument, and others require</w:t>
      </w:r>
      <w:r>
        <w:rPr>
          <w:spacing w:val="-4"/>
        </w:rPr>
        <w:t xml:space="preserve"> </w:t>
      </w:r>
      <w:r>
        <w:t>screening</w:t>
      </w:r>
      <w:r>
        <w:rPr>
          <w:spacing w:val="-5"/>
        </w:rPr>
        <w:t xml:space="preserve"> </w:t>
      </w:r>
      <w:r>
        <w:t>for</w:t>
      </w:r>
      <w:r>
        <w:rPr>
          <w:spacing w:val="-4"/>
        </w:rPr>
        <w:t xml:space="preserve"> </w:t>
      </w:r>
      <w:r>
        <w:t>certain</w:t>
      </w:r>
      <w:r>
        <w:rPr>
          <w:spacing w:val="-2"/>
        </w:rPr>
        <w:t xml:space="preserve"> </w:t>
      </w:r>
      <w:r>
        <w:t>domains</w:t>
      </w:r>
      <w:r>
        <w:rPr>
          <w:spacing w:val="-2"/>
        </w:rPr>
        <w:t xml:space="preserve"> </w:t>
      </w:r>
      <w:r>
        <w:t>but</w:t>
      </w:r>
      <w:r>
        <w:rPr>
          <w:spacing w:val="-1"/>
        </w:rPr>
        <w:t xml:space="preserve"> </w:t>
      </w:r>
      <w:r>
        <w:t>don’t</w:t>
      </w:r>
      <w:r>
        <w:rPr>
          <w:spacing w:val="-4"/>
        </w:rPr>
        <w:t xml:space="preserve"> </w:t>
      </w:r>
      <w:r>
        <w:t>require</w:t>
      </w:r>
      <w:r>
        <w:rPr>
          <w:spacing w:val="-4"/>
        </w:rPr>
        <w:t xml:space="preserve"> </w:t>
      </w:r>
      <w:r>
        <w:t>use</w:t>
      </w:r>
      <w:r>
        <w:rPr>
          <w:spacing w:val="-2"/>
        </w:rPr>
        <w:t xml:space="preserve"> </w:t>
      </w:r>
      <w:r>
        <w:t>of</w:t>
      </w:r>
      <w:r>
        <w:rPr>
          <w:spacing w:val="-1"/>
        </w:rPr>
        <w:t xml:space="preserve"> </w:t>
      </w:r>
      <w:r>
        <w:t>specific</w:t>
      </w:r>
      <w:r>
        <w:rPr>
          <w:spacing w:val="-2"/>
        </w:rPr>
        <w:t xml:space="preserve"> </w:t>
      </w:r>
      <w:r>
        <w:t>screening</w:t>
      </w:r>
      <w:r>
        <w:rPr>
          <w:spacing w:val="-5"/>
        </w:rPr>
        <w:t xml:space="preserve"> </w:t>
      </w:r>
      <w:r>
        <w:t>instruments.</w:t>
      </w:r>
      <w:r>
        <w:rPr>
          <w:spacing w:val="-2"/>
        </w:rPr>
        <w:t xml:space="preserve"> </w:t>
      </w:r>
      <w:r>
        <w:t>While</w:t>
      </w:r>
      <w:r>
        <w:rPr>
          <w:spacing w:val="-2"/>
        </w:rPr>
        <w:t xml:space="preserve"> </w:t>
      </w:r>
      <w:r>
        <w:t>many states</w:t>
      </w:r>
      <w:r>
        <w:rPr>
          <w:spacing w:val="-3"/>
        </w:rPr>
        <w:t xml:space="preserve"> </w:t>
      </w:r>
      <w:r>
        <w:t>require</w:t>
      </w:r>
      <w:r>
        <w:rPr>
          <w:spacing w:val="-1"/>
        </w:rPr>
        <w:t xml:space="preserve"> </w:t>
      </w:r>
      <w:r>
        <w:t>or incentivize</w:t>
      </w:r>
      <w:r>
        <w:rPr>
          <w:spacing w:val="-1"/>
        </w:rPr>
        <w:t xml:space="preserve"> </w:t>
      </w:r>
      <w:r>
        <w:t>social needs</w:t>
      </w:r>
      <w:r>
        <w:rPr>
          <w:spacing w:val="-1"/>
        </w:rPr>
        <w:t xml:space="preserve"> </w:t>
      </w:r>
      <w:r>
        <w:t>screening</w:t>
      </w:r>
      <w:r>
        <w:rPr>
          <w:spacing w:val="-4"/>
        </w:rPr>
        <w:t xml:space="preserve"> </w:t>
      </w:r>
      <w:r>
        <w:t>for their</w:t>
      </w:r>
      <w:r>
        <w:rPr>
          <w:spacing w:val="-3"/>
        </w:rPr>
        <w:t xml:space="preserve"> </w:t>
      </w:r>
      <w:r>
        <w:t>Medicaid</w:t>
      </w:r>
      <w:r>
        <w:rPr>
          <w:spacing w:val="-1"/>
        </w:rPr>
        <w:t xml:space="preserve"> </w:t>
      </w:r>
      <w:r>
        <w:t>managed</w:t>
      </w:r>
      <w:r>
        <w:rPr>
          <w:spacing w:val="-1"/>
        </w:rPr>
        <w:t xml:space="preserve"> </w:t>
      </w:r>
      <w:r>
        <w:t>care</w:t>
      </w:r>
      <w:r>
        <w:rPr>
          <w:spacing w:val="-1"/>
        </w:rPr>
        <w:t xml:space="preserve"> </w:t>
      </w:r>
      <w:r>
        <w:t>plans,</w:t>
      </w:r>
      <w:r>
        <w:rPr>
          <w:spacing w:val="-4"/>
        </w:rPr>
        <w:t xml:space="preserve"> </w:t>
      </w:r>
      <w:r>
        <w:t>few</w:t>
      </w:r>
      <w:r>
        <w:rPr>
          <w:spacing w:val="-2"/>
        </w:rPr>
        <w:t xml:space="preserve"> </w:t>
      </w:r>
      <w:r>
        <w:t>require</w:t>
      </w:r>
      <w:r>
        <w:rPr>
          <w:spacing w:val="-1"/>
        </w:rPr>
        <w:t xml:space="preserve"> </w:t>
      </w:r>
      <w:r>
        <w:t>D- SNPs to conduct such screening. As states place increasing emphasis on screening for health-related social needs in their Medicaid programs and as enrollment in SNPs continues to increase, we anticipate that more states may require D-SNPs to conduct social needs screening in the future, including in the three areas where § 422.101(f)(1)(i) requires HRAs to include questions. The option for SNPs to use a state-required assessment instrument to meet this requirement will allow flexibility for states to expand use of state-specific assessment tools to D-SNPs.</w:t>
      </w:r>
    </w:p>
    <w:p>
      <w:pPr>
        <w:pStyle w:val="BodyText"/>
        <w:spacing w:before="160"/>
        <w:ind w:right="146"/>
      </w:pPr>
      <w:r>
        <w:t>While many states that require screening for these three domains are using validated screening instruments, we understand that some state-required screening instruments may be state-specific and not meet the standards described below (e.g. not a validated, health information technology (IT)-encoded instrument). This could create a challenge for data standardization and interoperability. However, we believe</w:t>
      </w:r>
      <w:r>
        <w:rPr>
          <w:spacing w:val="-2"/>
        </w:rPr>
        <w:t xml:space="preserve"> </w:t>
      </w:r>
      <w:r>
        <w:t>the</w:t>
      </w:r>
      <w:r>
        <w:rPr>
          <w:spacing w:val="-4"/>
        </w:rPr>
        <w:t xml:space="preserve"> </w:t>
      </w:r>
      <w:r>
        <w:t>need</w:t>
      </w:r>
      <w:r>
        <w:rPr>
          <w:spacing w:val="-5"/>
        </w:rPr>
        <w:t xml:space="preserve"> </w:t>
      </w:r>
      <w:r>
        <w:t>for</w:t>
      </w:r>
      <w:r>
        <w:rPr>
          <w:spacing w:val="-1"/>
        </w:rPr>
        <w:t xml:space="preserve"> </w:t>
      </w:r>
      <w:r>
        <w:t>flexibility</w:t>
      </w:r>
      <w:r>
        <w:rPr>
          <w:spacing w:val="-5"/>
        </w:rPr>
        <w:t xml:space="preserve"> </w:t>
      </w:r>
      <w:r>
        <w:t>outweighs</w:t>
      </w:r>
      <w:r>
        <w:rPr>
          <w:spacing w:val="-2"/>
        </w:rPr>
        <w:t xml:space="preserve"> </w:t>
      </w:r>
      <w:r>
        <w:t>this</w:t>
      </w:r>
      <w:r>
        <w:rPr>
          <w:spacing w:val="-2"/>
        </w:rPr>
        <w:t xml:space="preserve"> </w:t>
      </w:r>
      <w:r>
        <w:t>potential</w:t>
      </w:r>
      <w:r>
        <w:rPr>
          <w:spacing w:val="-4"/>
        </w:rPr>
        <w:t xml:space="preserve"> </w:t>
      </w:r>
      <w:r>
        <w:t>challenge,</w:t>
      </w:r>
      <w:r>
        <w:rPr>
          <w:spacing w:val="-2"/>
        </w:rPr>
        <w:t xml:space="preserve"> </w:t>
      </w:r>
      <w:r>
        <w:t>at</w:t>
      </w:r>
      <w:r>
        <w:rPr>
          <w:spacing w:val="-1"/>
        </w:rPr>
        <w:t xml:space="preserve"> </w:t>
      </w:r>
      <w:r>
        <w:t>least</w:t>
      </w:r>
      <w:r>
        <w:rPr>
          <w:spacing w:val="-1"/>
        </w:rPr>
        <w:t xml:space="preserve"> </w:t>
      </w:r>
      <w:r>
        <w:t>as</w:t>
      </w:r>
      <w:r>
        <w:rPr>
          <w:spacing w:val="-2"/>
        </w:rPr>
        <w:t xml:space="preserve"> </w:t>
      </w:r>
      <w:r>
        <w:t>SNPs</w:t>
      </w:r>
      <w:r>
        <w:rPr>
          <w:spacing w:val="-4"/>
        </w:rPr>
        <w:t xml:space="preserve"> </w:t>
      </w:r>
      <w:r>
        <w:t>initially</w:t>
      </w:r>
      <w:r>
        <w:rPr>
          <w:spacing w:val="-5"/>
        </w:rPr>
        <w:t xml:space="preserve"> </w:t>
      </w:r>
      <w:r>
        <w:t>implement</w:t>
      </w:r>
      <w:r>
        <w:rPr>
          <w:spacing w:val="-1"/>
        </w:rPr>
        <w:t xml:space="preserve"> </w:t>
      </w:r>
      <w:r>
        <w:t>this requirement. We also encourage states with non-standardized state-specific screening instruments to</w:t>
      </w:r>
      <w:r>
        <w:rPr>
          <w:spacing w:val="40"/>
        </w:rPr>
        <w:t xml:space="preserve"> </w:t>
      </w:r>
      <w:r>
        <w:t xml:space="preserve">begin the process of creating health IT coding for their instruments, such as by submitting a </w:t>
      </w:r>
      <w:hyperlink r:id="rId6">
        <w:r>
          <w:rPr>
            <w:color w:val="0562C1"/>
            <w:u w:val="single" w:color="0562C1"/>
          </w:rPr>
          <w:t>terminology</w:t>
        </w:r>
      </w:hyperlink>
      <w:r>
        <w:rPr>
          <w:color w:val="0562C1"/>
        </w:rPr>
        <w:t xml:space="preserve"> </w:t>
      </w:r>
      <w:hyperlink r:id="rId6">
        <w:r>
          <w:rPr>
            <w:color w:val="0562C1"/>
            <w:u w:val="single" w:color="0562C1"/>
          </w:rPr>
          <w:t>request to the Regenstrief Institute</w:t>
        </w:r>
        <w:r>
          <w:t>,</w:t>
        </w:r>
      </w:hyperlink>
      <w:r>
        <w:t xml:space="preserve"> which maintains </w:t>
      </w:r>
      <w:hyperlink r:id="rId7">
        <w:r>
          <w:rPr>
            <w:color w:val="0562C1"/>
            <w:u w:val="single" w:color="0562C1"/>
          </w:rPr>
          <w:t>LOINC</w:t>
        </w:r>
      </w:hyperlink>
      <w:r>
        <w:rPr>
          <w:vertAlign w:val="superscript"/>
        </w:rPr>
        <w:t>®</w:t>
      </w:r>
      <w:r>
        <w:rPr>
          <w:vertAlign w:val="baseline"/>
        </w:rPr>
        <w:t xml:space="preserve"> coding terminology.</w:t>
      </w:r>
    </w:p>
    <w:p>
      <w:pPr>
        <w:pStyle w:val="Heading1"/>
        <w:numPr>
          <w:ilvl w:val="0"/>
          <w:numId w:val="2"/>
        </w:numPr>
        <w:tabs>
          <w:tab w:val="left" w:pos="480"/>
        </w:tabs>
        <w:spacing w:before="160" w:after="0" w:line="244" w:lineRule="auto"/>
        <w:ind w:left="479" w:right="376" w:hanging="360"/>
        <w:jc w:val="left"/>
      </w:pPr>
      <w:r>
        <w:t>Select</w:t>
      </w:r>
      <w:r>
        <w:rPr>
          <w:spacing w:val="-1"/>
        </w:rPr>
        <w:t xml:space="preserve"> </w:t>
      </w:r>
      <w:r>
        <w:t>questions</w:t>
      </w:r>
      <w:r>
        <w:rPr>
          <w:spacing w:val="-2"/>
        </w:rPr>
        <w:t xml:space="preserve"> </w:t>
      </w:r>
      <w:r>
        <w:t>on</w:t>
      </w:r>
      <w:r>
        <w:rPr>
          <w:spacing w:val="-5"/>
        </w:rPr>
        <w:t xml:space="preserve"> </w:t>
      </w:r>
      <w:r>
        <w:t>the</w:t>
      </w:r>
      <w:r>
        <w:rPr>
          <w:spacing w:val="-4"/>
        </w:rPr>
        <w:t xml:space="preserve"> </w:t>
      </w:r>
      <w:r>
        <w:t>required</w:t>
      </w:r>
      <w:r>
        <w:rPr>
          <w:spacing w:val="-3"/>
        </w:rPr>
        <w:t xml:space="preserve"> </w:t>
      </w:r>
      <w:r>
        <w:t>domains</w:t>
      </w:r>
      <w:r>
        <w:rPr>
          <w:spacing w:val="-4"/>
        </w:rPr>
        <w:t xml:space="preserve"> </w:t>
      </w:r>
      <w:r>
        <w:t>from</w:t>
      </w:r>
      <w:r>
        <w:rPr>
          <w:spacing w:val="-1"/>
        </w:rPr>
        <w:t xml:space="preserve"> </w:t>
      </w:r>
      <w:r>
        <w:t>validated,</w:t>
      </w:r>
      <w:r>
        <w:rPr>
          <w:spacing w:val="-2"/>
        </w:rPr>
        <w:t xml:space="preserve"> </w:t>
      </w:r>
      <w:r>
        <w:t>health</w:t>
      </w:r>
      <w:r>
        <w:rPr>
          <w:spacing w:val="-3"/>
        </w:rPr>
        <w:t xml:space="preserve"> </w:t>
      </w:r>
      <w:r>
        <w:t>information</w:t>
      </w:r>
      <w:r>
        <w:rPr>
          <w:spacing w:val="-5"/>
        </w:rPr>
        <w:t xml:space="preserve"> </w:t>
      </w:r>
      <w:r>
        <w:t>technology</w:t>
      </w:r>
      <w:r>
        <w:rPr>
          <w:spacing w:val="-5"/>
        </w:rPr>
        <w:t xml:space="preserve"> </w:t>
      </w:r>
      <w:r>
        <w:t>(IT)- encoded screening instruments.</w:t>
      </w:r>
    </w:p>
    <w:p>
      <w:pPr>
        <w:pStyle w:val="BodyText"/>
        <w:spacing w:before="152"/>
        <w:ind w:right="161"/>
      </w:pPr>
      <w:r>
        <w:t>Alternatively, if not using a state-required screening instrument, SNPs may select questions from other validated, health IT-encoded screening instruments. We provide a list in the table below of social needs screening</w:t>
      </w:r>
      <w:r>
        <w:rPr>
          <w:spacing w:val="-5"/>
        </w:rPr>
        <w:t xml:space="preserve"> </w:t>
      </w:r>
      <w:r>
        <w:t>instruments</w:t>
      </w:r>
      <w:r>
        <w:rPr>
          <w:spacing w:val="-4"/>
        </w:rPr>
        <w:t xml:space="preserve"> </w:t>
      </w:r>
      <w:r>
        <w:t>from</w:t>
      </w:r>
      <w:r>
        <w:rPr>
          <w:spacing w:val="-6"/>
        </w:rPr>
        <w:t xml:space="preserve"> </w:t>
      </w:r>
      <w:r>
        <w:t>which</w:t>
      </w:r>
      <w:r>
        <w:rPr>
          <w:spacing w:val="-2"/>
        </w:rPr>
        <w:t xml:space="preserve"> </w:t>
      </w:r>
      <w:r>
        <w:t>SNPs</w:t>
      </w:r>
      <w:r>
        <w:rPr>
          <w:spacing w:val="-2"/>
        </w:rPr>
        <w:t xml:space="preserve"> </w:t>
      </w:r>
      <w:r>
        <w:t>must</w:t>
      </w:r>
      <w:r>
        <w:rPr>
          <w:spacing w:val="-1"/>
        </w:rPr>
        <w:t xml:space="preserve"> </w:t>
      </w:r>
      <w:r>
        <w:t>select</w:t>
      </w:r>
      <w:r>
        <w:rPr>
          <w:spacing w:val="-4"/>
        </w:rPr>
        <w:t xml:space="preserve"> </w:t>
      </w:r>
      <w:r>
        <w:t>questions</w:t>
      </w:r>
      <w:r>
        <w:rPr>
          <w:spacing w:val="-4"/>
        </w:rPr>
        <w:t xml:space="preserve"> </w:t>
      </w:r>
      <w:r>
        <w:t>on</w:t>
      </w:r>
      <w:r>
        <w:rPr>
          <w:spacing w:val="-2"/>
        </w:rPr>
        <w:t xml:space="preserve"> </w:t>
      </w:r>
      <w:r>
        <w:t>the</w:t>
      </w:r>
      <w:r>
        <w:rPr>
          <w:spacing w:val="-2"/>
        </w:rPr>
        <w:t xml:space="preserve"> </w:t>
      </w:r>
      <w:r>
        <w:t>three</w:t>
      </w:r>
      <w:r>
        <w:rPr>
          <w:spacing w:val="-2"/>
        </w:rPr>
        <w:t xml:space="preserve"> </w:t>
      </w:r>
      <w:r>
        <w:t>required</w:t>
      </w:r>
      <w:r>
        <w:rPr>
          <w:spacing w:val="-2"/>
        </w:rPr>
        <w:t xml:space="preserve"> </w:t>
      </w:r>
      <w:r>
        <w:t>domains</w:t>
      </w:r>
      <w:r>
        <w:rPr>
          <w:spacing w:val="-2"/>
        </w:rPr>
        <w:t xml:space="preserve"> </w:t>
      </w:r>
      <w:r>
        <w:t>to</w:t>
      </w:r>
      <w:r>
        <w:rPr>
          <w:spacing w:val="-2"/>
        </w:rPr>
        <w:t xml:space="preserve"> </w:t>
      </w:r>
      <w:r>
        <w:t>meet</w:t>
      </w:r>
      <w:r>
        <w:rPr>
          <w:spacing w:val="-4"/>
        </w:rPr>
        <w:t xml:space="preserve"> </w:t>
      </w:r>
      <w:r>
        <w:t>the requirement at § 422.101(f)(1)(i) if the SNP does not use a state-required screening instrument that includes questions on the required topics (see the table below, Social Needs Screening Instruments).</w:t>
      </w:r>
    </w:p>
    <w:p>
      <w:pPr>
        <w:pStyle w:val="BodyText"/>
        <w:spacing w:before="160"/>
        <w:ind w:left="120" w:right="161"/>
      </w:pPr>
      <w:r>
        <w:t>We aimed to include validated, widely</w:t>
      </w:r>
      <w:r>
        <w:rPr>
          <w:spacing w:val="-2"/>
        </w:rPr>
        <w:t xml:space="preserve"> </w:t>
      </w:r>
      <w:r>
        <w:t>used screening</w:t>
      </w:r>
      <w:r>
        <w:rPr>
          <w:spacing w:val="-2"/>
        </w:rPr>
        <w:t xml:space="preserve"> </w:t>
      </w:r>
      <w:r>
        <w:t>instruments. We also considered</w:t>
      </w:r>
      <w:r>
        <w:rPr>
          <w:spacing w:val="-2"/>
        </w:rPr>
        <w:t xml:space="preserve"> </w:t>
      </w:r>
      <w:r>
        <w:t>the</w:t>
      </w:r>
      <w:r>
        <w:rPr>
          <w:spacing w:val="-1"/>
        </w:rPr>
        <w:t xml:space="preserve"> </w:t>
      </w:r>
      <w:r>
        <w:t>availability</w:t>
      </w:r>
      <w:r>
        <w:rPr>
          <w:spacing w:val="-2"/>
        </w:rPr>
        <w:t xml:space="preserve"> </w:t>
      </w:r>
      <w:r>
        <w:t>of screening instruments, including whether they are proprietary or require a fee. We included a number of screening instruments that are non-proprietary and/or available at no cost. We note that, for those screening</w:t>
      </w:r>
      <w:r>
        <w:rPr>
          <w:spacing w:val="-5"/>
        </w:rPr>
        <w:t xml:space="preserve"> </w:t>
      </w:r>
      <w:r>
        <w:t>instruments</w:t>
      </w:r>
      <w:r>
        <w:rPr>
          <w:spacing w:val="-4"/>
        </w:rPr>
        <w:t xml:space="preserve"> </w:t>
      </w:r>
      <w:r>
        <w:t>that</w:t>
      </w:r>
      <w:r>
        <w:rPr>
          <w:spacing w:val="-4"/>
        </w:rPr>
        <w:t xml:space="preserve"> </w:t>
      </w:r>
      <w:r>
        <w:t>are</w:t>
      </w:r>
      <w:r>
        <w:rPr>
          <w:spacing w:val="-2"/>
        </w:rPr>
        <w:t xml:space="preserve"> </w:t>
      </w:r>
      <w:r>
        <w:t>proprietary,</w:t>
      </w:r>
      <w:r>
        <w:rPr>
          <w:spacing w:val="-2"/>
        </w:rPr>
        <w:t xml:space="preserve"> </w:t>
      </w:r>
      <w:r>
        <w:t>SNPs</w:t>
      </w:r>
      <w:r>
        <w:rPr>
          <w:spacing w:val="-7"/>
        </w:rPr>
        <w:t xml:space="preserve"> </w:t>
      </w:r>
      <w:r>
        <w:t>are</w:t>
      </w:r>
      <w:r>
        <w:rPr>
          <w:spacing w:val="-2"/>
        </w:rPr>
        <w:t xml:space="preserve"> </w:t>
      </w:r>
      <w:r>
        <w:t>responsible</w:t>
      </w:r>
      <w:r>
        <w:rPr>
          <w:spacing w:val="-2"/>
        </w:rPr>
        <w:t xml:space="preserve"> </w:t>
      </w:r>
      <w:r>
        <w:t>for</w:t>
      </w:r>
      <w:r>
        <w:rPr>
          <w:spacing w:val="-1"/>
        </w:rPr>
        <w:t xml:space="preserve"> </w:t>
      </w:r>
      <w:r>
        <w:t>securing</w:t>
      </w:r>
      <w:r>
        <w:rPr>
          <w:spacing w:val="-5"/>
        </w:rPr>
        <w:t xml:space="preserve"> </w:t>
      </w:r>
      <w:r>
        <w:t>the</w:t>
      </w:r>
      <w:r>
        <w:rPr>
          <w:spacing w:val="-4"/>
        </w:rPr>
        <w:t xml:space="preserve"> </w:t>
      </w:r>
      <w:r>
        <w:t>necessary</w:t>
      </w:r>
      <w:r>
        <w:rPr>
          <w:spacing w:val="-5"/>
        </w:rPr>
        <w:t xml:space="preserve"> </w:t>
      </w:r>
      <w:r>
        <w:t>licenses</w:t>
      </w:r>
      <w:r>
        <w:rPr>
          <w:spacing w:val="-4"/>
        </w:rPr>
        <w:t xml:space="preserve"> </w:t>
      </w:r>
      <w:r>
        <w:t>to</w:t>
      </w:r>
      <w:r>
        <w:rPr>
          <w:spacing w:val="-2"/>
        </w:rPr>
        <w:t xml:space="preserve"> </w:t>
      </w:r>
      <w:r>
        <w:t>use the intellectual property of entities that own these instruments and the questions as formulated in them.</w:t>
      </w:r>
    </w:p>
    <w:p>
      <w:pPr>
        <w:pStyle w:val="BodyText"/>
        <w:ind w:left="120"/>
      </w:pPr>
      <w:r>
        <w:t>In addition, developers of some of the screening instruments included below allow users to make certain adaptations (e.g., translation into other languages). SNPs should consult with the relevant screening instrument developer to determine what adaptations may be acceptable and whether such adaptations require permission from the instrument developer. SNPs may also want to consult with the instrument developer to understand how any adaptations to the instrument questions might affect their validity. We remind SNPs that § 422.2267(a)(2) requires that MA organizations must translate required materials, including</w:t>
      </w:r>
      <w:r>
        <w:rPr>
          <w:spacing w:val="-4"/>
        </w:rPr>
        <w:t xml:space="preserve"> </w:t>
      </w:r>
      <w:r>
        <w:t>HRAs,</w:t>
      </w:r>
      <w:r>
        <w:rPr>
          <w:spacing w:val="-1"/>
        </w:rPr>
        <w:t xml:space="preserve"> </w:t>
      </w:r>
      <w:r>
        <w:t>into</w:t>
      </w:r>
      <w:r>
        <w:rPr>
          <w:spacing w:val="-4"/>
        </w:rPr>
        <w:t xml:space="preserve"> </w:t>
      </w:r>
      <w:r>
        <w:t>any</w:t>
      </w:r>
      <w:r>
        <w:rPr>
          <w:spacing w:val="-4"/>
        </w:rPr>
        <w:t xml:space="preserve"> </w:t>
      </w:r>
      <w:r>
        <w:t>non-English</w:t>
      </w:r>
      <w:r>
        <w:rPr>
          <w:spacing w:val="-1"/>
        </w:rPr>
        <w:t xml:space="preserve"> </w:t>
      </w:r>
      <w:r>
        <w:t>language</w:t>
      </w:r>
      <w:r>
        <w:rPr>
          <w:spacing w:val="-1"/>
        </w:rPr>
        <w:t xml:space="preserve"> </w:t>
      </w:r>
      <w:r>
        <w:t>that</w:t>
      </w:r>
      <w:r>
        <w:rPr>
          <w:spacing w:val="-3"/>
        </w:rPr>
        <w:t xml:space="preserve"> </w:t>
      </w:r>
      <w:r>
        <w:t>is</w:t>
      </w:r>
      <w:r>
        <w:rPr>
          <w:spacing w:val="-6"/>
        </w:rPr>
        <w:t xml:space="preserve"> </w:t>
      </w:r>
      <w:r>
        <w:t>the</w:t>
      </w:r>
      <w:r>
        <w:rPr>
          <w:spacing w:val="-1"/>
        </w:rPr>
        <w:t xml:space="preserve"> </w:t>
      </w:r>
      <w:r>
        <w:t>primary</w:t>
      </w:r>
      <w:r>
        <w:rPr>
          <w:spacing w:val="-4"/>
        </w:rPr>
        <w:t xml:space="preserve"> </w:t>
      </w:r>
      <w:r>
        <w:t>language</w:t>
      </w:r>
      <w:r>
        <w:rPr>
          <w:spacing w:val="-1"/>
        </w:rPr>
        <w:t xml:space="preserve"> </w:t>
      </w:r>
      <w:r>
        <w:t>of at least</w:t>
      </w:r>
      <w:r>
        <w:rPr>
          <w:spacing w:val="-3"/>
        </w:rPr>
        <w:t xml:space="preserve"> </w:t>
      </w:r>
      <w:r>
        <w:t>five</w:t>
      </w:r>
      <w:r>
        <w:rPr>
          <w:spacing w:val="-1"/>
        </w:rPr>
        <w:t xml:space="preserve"> </w:t>
      </w:r>
      <w:r>
        <w:t>percent</w:t>
      </w:r>
      <w:r>
        <w:rPr>
          <w:spacing w:val="-3"/>
        </w:rPr>
        <w:t xml:space="preserve"> </w:t>
      </w:r>
      <w:r>
        <w:t>of</w:t>
      </w:r>
      <w:r>
        <w:rPr>
          <w:spacing w:val="-3"/>
        </w:rPr>
        <w:t xml:space="preserve"> </w:t>
      </w:r>
      <w:r>
        <w:t>the individuals in a plan benefit package service area.</w:t>
      </w:r>
    </w:p>
    <w:p>
      <w:pPr>
        <w:spacing w:after="0"/>
        <w:sectPr>
          <w:pgSz w:w="12240" w:h="15840"/>
          <w:pgMar w:top="1360" w:right="1320" w:bottom="960" w:left="1320" w:header="0" w:footer="765"/>
          <w:cols w:space="720"/>
        </w:sectPr>
      </w:pPr>
    </w:p>
    <w:p>
      <w:pPr>
        <w:pStyle w:val="BodyText"/>
        <w:spacing w:before="78"/>
        <w:ind w:left="120"/>
      </w:pPr>
      <w:r>
        <w:t>In</w:t>
      </w:r>
      <w:r>
        <w:rPr>
          <w:spacing w:val="-1"/>
        </w:rPr>
        <w:t xml:space="preserve"> </w:t>
      </w:r>
      <w:r>
        <w:t>selecting</w:t>
      </w:r>
      <w:r>
        <w:rPr>
          <w:spacing w:val="-4"/>
        </w:rPr>
        <w:t xml:space="preserve"> </w:t>
      </w:r>
      <w:r>
        <w:t>the</w:t>
      </w:r>
      <w:r>
        <w:rPr>
          <w:spacing w:val="-1"/>
        </w:rPr>
        <w:t xml:space="preserve"> </w:t>
      </w:r>
      <w:r>
        <w:t>screening</w:t>
      </w:r>
      <w:r>
        <w:rPr>
          <w:spacing w:val="-4"/>
        </w:rPr>
        <w:t xml:space="preserve"> </w:t>
      </w:r>
      <w:r>
        <w:t>instruments</w:t>
      </w:r>
      <w:r>
        <w:rPr>
          <w:spacing w:val="-1"/>
        </w:rPr>
        <w:t xml:space="preserve"> </w:t>
      </w:r>
      <w:r>
        <w:t>from</w:t>
      </w:r>
      <w:r>
        <w:rPr>
          <w:spacing w:val="-5"/>
        </w:rPr>
        <w:t xml:space="preserve"> </w:t>
      </w:r>
      <w:r>
        <w:t>which</w:t>
      </w:r>
      <w:r>
        <w:rPr>
          <w:spacing w:val="-1"/>
        </w:rPr>
        <w:t xml:space="preserve"> </w:t>
      </w:r>
      <w:r>
        <w:t>a</w:t>
      </w:r>
      <w:r>
        <w:rPr>
          <w:spacing w:val="-1"/>
        </w:rPr>
        <w:t xml:space="preserve"> </w:t>
      </w:r>
      <w:r>
        <w:t>SNP</w:t>
      </w:r>
      <w:r>
        <w:rPr>
          <w:spacing w:val="-2"/>
        </w:rPr>
        <w:t xml:space="preserve"> </w:t>
      </w:r>
      <w:r>
        <w:t>may</w:t>
      </w:r>
      <w:r>
        <w:rPr>
          <w:spacing w:val="-4"/>
        </w:rPr>
        <w:t xml:space="preserve"> </w:t>
      </w:r>
      <w:r>
        <w:t>select</w:t>
      </w:r>
      <w:r>
        <w:rPr>
          <w:spacing w:val="-3"/>
        </w:rPr>
        <w:t xml:space="preserve"> </w:t>
      </w:r>
      <w:r>
        <w:t>questions</w:t>
      </w:r>
      <w:r>
        <w:rPr>
          <w:spacing w:val="-3"/>
        </w:rPr>
        <w:t xml:space="preserve"> </w:t>
      </w:r>
      <w:r>
        <w:t>to</w:t>
      </w:r>
      <w:r>
        <w:rPr>
          <w:spacing w:val="-4"/>
        </w:rPr>
        <w:t xml:space="preserve"> </w:t>
      </w:r>
      <w:r>
        <w:t>comply</w:t>
      </w:r>
      <w:r>
        <w:rPr>
          <w:spacing w:val="-4"/>
        </w:rPr>
        <w:t xml:space="preserve"> </w:t>
      </w:r>
      <w:r>
        <w:t>with</w:t>
      </w:r>
      <w:r>
        <w:rPr>
          <w:spacing w:val="-1"/>
        </w:rPr>
        <w:t xml:space="preserve"> </w:t>
      </w:r>
      <w:r>
        <w:t>§ 422.101(f)(1)(i), we applied the following criteria:</w:t>
      </w:r>
      <w:hyperlink w:anchor="_bookmark1" w:history="1">
        <w:r>
          <w:rPr>
            <w:vertAlign w:val="superscript"/>
          </w:rPr>
          <w:t>2</w:t>
        </w:r>
      </w:hyperlink>
    </w:p>
    <w:p>
      <w:pPr>
        <w:pStyle w:val="ListParagraph"/>
        <w:numPr>
          <w:ilvl w:val="1"/>
          <w:numId w:val="2"/>
        </w:numPr>
        <w:tabs>
          <w:tab w:val="left" w:pos="890"/>
          <w:tab w:val="left" w:pos="891"/>
        </w:tabs>
        <w:spacing w:before="160" w:after="0" w:line="240" w:lineRule="auto"/>
        <w:ind w:left="890" w:right="308" w:hanging="360"/>
        <w:jc w:val="left"/>
        <w:rPr>
          <w:sz w:val="22"/>
        </w:rPr>
      </w:pPr>
      <w:r>
        <w:rPr>
          <w:b/>
          <w:sz w:val="22"/>
        </w:rPr>
        <w:t>Screening</w:t>
      </w:r>
      <w:r>
        <w:rPr>
          <w:b/>
          <w:spacing w:val="-5"/>
          <w:sz w:val="22"/>
        </w:rPr>
        <w:t xml:space="preserve"> </w:t>
      </w:r>
      <w:r>
        <w:rPr>
          <w:b/>
          <w:sz w:val="22"/>
        </w:rPr>
        <w:t>instruments</w:t>
      </w:r>
      <w:r>
        <w:rPr>
          <w:b/>
          <w:spacing w:val="-5"/>
          <w:sz w:val="22"/>
        </w:rPr>
        <w:t xml:space="preserve"> </w:t>
      </w:r>
      <w:r>
        <w:rPr>
          <w:b/>
          <w:sz w:val="22"/>
        </w:rPr>
        <w:t>that</w:t>
      </w:r>
      <w:r>
        <w:rPr>
          <w:b/>
          <w:spacing w:val="-1"/>
          <w:sz w:val="22"/>
        </w:rPr>
        <w:t xml:space="preserve"> </w:t>
      </w:r>
      <w:r>
        <w:rPr>
          <w:b/>
          <w:sz w:val="22"/>
        </w:rPr>
        <w:t>are</w:t>
      </w:r>
      <w:r>
        <w:rPr>
          <w:b/>
          <w:spacing w:val="-2"/>
          <w:sz w:val="22"/>
        </w:rPr>
        <w:t xml:space="preserve"> </w:t>
      </w:r>
      <w:r>
        <w:rPr>
          <w:b/>
          <w:sz w:val="22"/>
        </w:rPr>
        <w:t>validated,</w:t>
      </w:r>
      <w:r>
        <w:rPr>
          <w:b/>
          <w:spacing w:val="-5"/>
          <w:sz w:val="22"/>
        </w:rPr>
        <w:t xml:space="preserve"> </w:t>
      </w:r>
      <w:r>
        <w:rPr>
          <w:b/>
          <w:sz w:val="22"/>
        </w:rPr>
        <w:t>widely</w:t>
      </w:r>
      <w:r>
        <w:rPr>
          <w:b/>
          <w:spacing w:val="-5"/>
          <w:sz w:val="22"/>
        </w:rPr>
        <w:t xml:space="preserve"> </w:t>
      </w:r>
      <w:r>
        <w:rPr>
          <w:b/>
          <w:sz w:val="22"/>
        </w:rPr>
        <w:t>used,</w:t>
      </w:r>
      <w:r>
        <w:rPr>
          <w:b/>
          <w:spacing w:val="-2"/>
          <w:sz w:val="22"/>
        </w:rPr>
        <w:t xml:space="preserve"> </w:t>
      </w:r>
      <w:r>
        <w:rPr>
          <w:b/>
          <w:sz w:val="22"/>
        </w:rPr>
        <w:t>and</w:t>
      </w:r>
      <w:r>
        <w:rPr>
          <w:b/>
          <w:spacing w:val="-3"/>
          <w:sz w:val="22"/>
        </w:rPr>
        <w:t xml:space="preserve"> </w:t>
      </w:r>
      <w:r>
        <w:rPr>
          <w:b/>
          <w:sz w:val="22"/>
        </w:rPr>
        <w:t>available</w:t>
      </w:r>
      <w:r>
        <w:rPr>
          <w:sz w:val="22"/>
        </w:rPr>
        <w:t>.</w:t>
      </w:r>
      <w:r>
        <w:rPr>
          <w:spacing w:val="-2"/>
          <w:sz w:val="22"/>
        </w:rPr>
        <w:t xml:space="preserve"> </w:t>
      </w:r>
      <w:r>
        <w:rPr>
          <w:sz w:val="22"/>
        </w:rPr>
        <w:t>CMS</w:t>
      </w:r>
      <w:r>
        <w:rPr>
          <w:spacing w:val="-3"/>
          <w:sz w:val="22"/>
        </w:rPr>
        <w:t xml:space="preserve"> </w:t>
      </w:r>
      <w:r>
        <w:rPr>
          <w:sz w:val="22"/>
        </w:rPr>
        <w:t>determined</w:t>
      </w:r>
      <w:r>
        <w:rPr>
          <w:spacing w:val="-5"/>
          <w:sz w:val="22"/>
        </w:rPr>
        <w:t xml:space="preserve"> </w:t>
      </w:r>
      <w:r>
        <w:rPr>
          <w:sz w:val="22"/>
        </w:rPr>
        <w:t xml:space="preserve">that the screening instruments the stakeholder-led </w:t>
      </w:r>
      <w:hyperlink r:id="rId8">
        <w:r>
          <w:rPr>
            <w:color w:val="0562C1"/>
            <w:sz w:val="22"/>
            <w:u w:val="single" w:color="0562C1"/>
          </w:rPr>
          <w:t>Gravity Project</w:t>
        </w:r>
      </w:hyperlink>
      <w:r>
        <w:rPr>
          <w:color w:val="0562C1"/>
          <w:sz w:val="22"/>
        </w:rPr>
        <w:t xml:space="preserve"> </w:t>
      </w:r>
      <w:r>
        <w:rPr>
          <w:sz w:val="22"/>
        </w:rPr>
        <w:t>has identified as appropriate to screen for the each of the three required domains meet this standard. The Gravity Project is a national public collaborative that convenes stakeholders through an open and transparent collaborative process to develop and test consensus-based standards to facilitate social determinants of health (SDOH) data capture.</w:t>
      </w:r>
      <w:hyperlink w:anchor="_bookmark2" w:history="1">
        <w:r>
          <w:rPr>
            <w:sz w:val="22"/>
            <w:vertAlign w:val="superscript"/>
          </w:rPr>
          <w:t>3</w:t>
        </w:r>
      </w:hyperlink>
    </w:p>
    <w:p>
      <w:pPr>
        <w:pStyle w:val="ListParagraph"/>
        <w:numPr>
          <w:ilvl w:val="1"/>
          <w:numId w:val="2"/>
        </w:numPr>
        <w:tabs>
          <w:tab w:val="left" w:pos="890"/>
          <w:tab w:val="left" w:pos="891"/>
        </w:tabs>
        <w:spacing w:before="0" w:after="0" w:line="240" w:lineRule="auto"/>
        <w:ind w:left="890" w:right="394" w:hanging="361"/>
        <w:jc w:val="left"/>
        <w:rPr>
          <w:sz w:val="22"/>
        </w:rPr>
      </w:pPr>
      <w:r>
        <w:rPr>
          <w:b/>
          <w:sz w:val="22"/>
        </w:rPr>
        <w:t>Screening instruments that maximize opportunities for SNPs to collect and analyze standardized,</w:t>
      </w:r>
      <w:r>
        <w:rPr>
          <w:b/>
          <w:spacing w:val="-3"/>
          <w:sz w:val="22"/>
        </w:rPr>
        <w:t xml:space="preserve"> </w:t>
      </w:r>
      <w:r>
        <w:rPr>
          <w:b/>
          <w:sz w:val="22"/>
        </w:rPr>
        <w:t>quantifiable,</w:t>
      </w:r>
      <w:r>
        <w:rPr>
          <w:b/>
          <w:spacing w:val="-3"/>
          <w:sz w:val="22"/>
        </w:rPr>
        <w:t xml:space="preserve"> </w:t>
      </w:r>
      <w:r>
        <w:rPr>
          <w:b/>
          <w:sz w:val="22"/>
        </w:rPr>
        <w:t>and</w:t>
      </w:r>
      <w:r>
        <w:rPr>
          <w:b/>
          <w:spacing w:val="-4"/>
          <w:sz w:val="22"/>
        </w:rPr>
        <w:t xml:space="preserve"> </w:t>
      </w:r>
      <w:r>
        <w:rPr>
          <w:b/>
          <w:sz w:val="22"/>
        </w:rPr>
        <w:t>actionable</w:t>
      </w:r>
      <w:r>
        <w:rPr>
          <w:b/>
          <w:spacing w:val="-5"/>
          <w:sz w:val="22"/>
        </w:rPr>
        <w:t xml:space="preserve"> </w:t>
      </w:r>
      <w:r>
        <w:rPr>
          <w:b/>
          <w:sz w:val="22"/>
        </w:rPr>
        <w:t>data.</w:t>
      </w:r>
      <w:r>
        <w:rPr>
          <w:b/>
          <w:spacing w:val="-3"/>
          <w:sz w:val="22"/>
        </w:rPr>
        <w:t xml:space="preserve"> </w:t>
      </w:r>
      <w:r>
        <w:rPr>
          <w:sz w:val="22"/>
        </w:rPr>
        <w:t>CMS</w:t>
      </w:r>
      <w:r>
        <w:rPr>
          <w:spacing w:val="-4"/>
          <w:sz w:val="22"/>
        </w:rPr>
        <w:t xml:space="preserve"> </w:t>
      </w:r>
      <w:r>
        <w:rPr>
          <w:sz w:val="22"/>
        </w:rPr>
        <w:t>determined</w:t>
      </w:r>
      <w:r>
        <w:rPr>
          <w:spacing w:val="-6"/>
          <w:sz w:val="22"/>
        </w:rPr>
        <w:t xml:space="preserve"> </w:t>
      </w:r>
      <w:r>
        <w:rPr>
          <w:sz w:val="22"/>
        </w:rPr>
        <w:t>that,</w:t>
      </w:r>
      <w:r>
        <w:rPr>
          <w:spacing w:val="-6"/>
          <w:sz w:val="22"/>
        </w:rPr>
        <w:t xml:space="preserve"> </w:t>
      </w:r>
      <w:r>
        <w:rPr>
          <w:sz w:val="22"/>
        </w:rPr>
        <w:t>in</w:t>
      </w:r>
      <w:r>
        <w:rPr>
          <w:spacing w:val="-3"/>
          <w:sz w:val="22"/>
        </w:rPr>
        <w:t xml:space="preserve"> </w:t>
      </w:r>
      <w:r>
        <w:rPr>
          <w:sz w:val="22"/>
        </w:rPr>
        <w:t>order</w:t>
      </w:r>
      <w:r>
        <w:rPr>
          <w:spacing w:val="-2"/>
          <w:sz w:val="22"/>
        </w:rPr>
        <w:t xml:space="preserve"> </w:t>
      </w:r>
      <w:r>
        <w:rPr>
          <w:sz w:val="22"/>
        </w:rPr>
        <w:t>to</w:t>
      </w:r>
      <w:r>
        <w:rPr>
          <w:spacing w:val="-3"/>
          <w:sz w:val="22"/>
        </w:rPr>
        <w:t xml:space="preserve"> </w:t>
      </w:r>
      <w:r>
        <w:rPr>
          <w:sz w:val="22"/>
        </w:rPr>
        <w:t>meet</w:t>
      </w:r>
      <w:r>
        <w:rPr>
          <w:spacing w:val="-2"/>
          <w:sz w:val="22"/>
        </w:rPr>
        <w:t xml:space="preserve"> </w:t>
      </w:r>
      <w:r>
        <w:rPr>
          <w:sz w:val="22"/>
        </w:rPr>
        <w:t xml:space="preserve">this standard, questions and responses in screening instruments should be mapped to health IT vocabulary standards (i.e., have available </w:t>
      </w:r>
      <w:hyperlink r:id="rId7">
        <w:r>
          <w:rPr>
            <w:color w:val="0562C1"/>
            <w:sz w:val="22"/>
            <w:u w:val="single" w:color="0562C1"/>
          </w:rPr>
          <w:t>LOINC</w:t>
        </w:r>
      </w:hyperlink>
      <w:r>
        <w:rPr>
          <w:sz w:val="22"/>
          <w:vertAlign w:val="superscript"/>
        </w:rPr>
        <w:t>®</w:t>
      </w:r>
      <w:r>
        <w:rPr>
          <w:sz w:val="22"/>
          <w:vertAlign w:val="baseline"/>
        </w:rPr>
        <w:t xml:space="preserve"> coding terminology).</w:t>
      </w:r>
    </w:p>
    <w:p>
      <w:pPr>
        <w:pStyle w:val="BodyText"/>
        <w:ind w:right="161"/>
      </w:pPr>
      <w:r>
        <w:t>As we described in the CY 2023 MA and Part D Final Rule, we considered the extensive work various stakeholders have already done to research and validate screening instruments in developing the above criteria.</w:t>
      </w:r>
      <w:r>
        <w:rPr>
          <w:spacing w:val="-5"/>
        </w:rPr>
        <w:t xml:space="preserve"> </w:t>
      </w:r>
      <w:r>
        <w:t>The</w:t>
      </w:r>
      <w:r>
        <w:rPr>
          <w:spacing w:val="-2"/>
        </w:rPr>
        <w:t xml:space="preserve"> </w:t>
      </w:r>
      <w:r>
        <w:t>above</w:t>
      </w:r>
      <w:r>
        <w:rPr>
          <w:spacing w:val="-2"/>
        </w:rPr>
        <w:t xml:space="preserve"> </w:t>
      </w:r>
      <w:r>
        <w:t>criteria</w:t>
      </w:r>
      <w:r>
        <w:rPr>
          <w:spacing w:val="-4"/>
        </w:rPr>
        <w:t xml:space="preserve"> </w:t>
      </w:r>
      <w:r>
        <w:t>also</w:t>
      </w:r>
      <w:r>
        <w:rPr>
          <w:spacing w:val="-5"/>
        </w:rPr>
        <w:t xml:space="preserve"> </w:t>
      </w:r>
      <w:r>
        <w:t>align</w:t>
      </w:r>
      <w:r>
        <w:rPr>
          <w:spacing w:val="-2"/>
        </w:rPr>
        <w:t xml:space="preserve"> </w:t>
      </w:r>
      <w:r>
        <w:t>with</w:t>
      </w:r>
      <w:r>
        <w:rPr>
          <w:spacing w:val="-5"/>
        </w:rPr>
        <w:t xml:space="preserve"> </w:t>
      </w:r>
      <w:r>
        <w:t>the</w:t>
      </w:r>
      <w:r>
        <w:rPr>
          <w:spacing w:val="-4"/>
        </w:rPr>
        <w:t xml:space="preserve"> </w:t>
      </w:r>
      <w:r>
        <w:t>data</w:t>
      </w:r>
      <w:r>
        <w:rPr>
          <w:spacing w:val="-2"/>
        </w:rPr>
        <w:t xml:space="preserve"> </w:t>
      </w:r>
      <w:r>
        <w:t>elements</w:t>
      </w:r>
      <w:r>
        <w:rPr>
          <w:spacing w:val="-2"/>
        </w:rPr>
        <w:t xml:space="preserve"> </w:t>
      </w:r>
      <w:r>
        <w:t>established</w:t>
      </w:r>
      <w:r>
        <w:rPr>
          <w:spacing w:val="-2"/>
        </w:rPr>
        <w:t xml:space="preserve"> </w:t>
      </w:r>
      <w:r>
        <w:t>as</w:t>
      </w:r>
      <w:r>
        <w:rPr>
          <w:spacing w:val="-4"/>
        </w:rPr>
        <w:t xml:space="preserve"> </w:t>
      </w:r>
      <w:r>
        <w:t>part</w:t>
      </w:r>
      <w:r>
        <w:rPr>
          <w:spacing w:val="-1"/>
        </w:rPr>
        <w:t xml:space="preserve"> </w:t>
      </w:r>
      <w:r>
        <w:t>of</w:t>
      </w:r>
      <w:r>
        <w:rPr>
          <w:spacing w:val="-4"/>
        </w:rPr>
        <w:t xml:space="preserve"> </w:t>
      </w:r>
      <w:r>
        <w:t>the</w:t>
      </w:r>
      <w:r>
        <w:rPr>
          <w:spacing w:val="-2"/>
        </w:rPr>
        <w:t xml:space="preserve"> </w:t>
      </w:r>
      <w:r>
        <w:t>United</w:t>
      </w:r>
      <w:r>
        <w:rPr>
          <w:spacing w:val="-2"/>
        </w:rPr>
        <w:t xml:space="preserve"> </w:t>
      </w:r>
      <w:r>
        <w:t>States</w:t>
      </w:r>
      <w:r>
        <w:rPr>
          <w:spacing w:val="-2"/>
        </w:rPr>
        <w:t xml:space="preserve"> </w:t>
      </w:r>
      <w:r>
        <w:t>Core Data</w:t>
      </w:r>
      <w:r>
        <w:rPr>
          <w:spacing w:val="-5"/>
        </w:rPr>
        <w:t xml:space="preserve"> </w:t>
      </w:r>
      <w:r>
        <w:t>for</w:t>
      </w:r>
      <w:r>
        <w:rPr>
          <w:spacing w:val="-1"/>
        </w:rPr>
        <w:t xml:space="preserve"> </w:t>
      </w:r>
      <w:r>
        <w:t>Interoperability,</w:t>
      </w:r>
      <w:r>
        <w:rPr>
          <w:spacing w:val="-2"/>
        </w:rPr>
        <w:t xml:space="preserve"> </w:t>
      </w:r>
      <w:r>
        <w:t>Version</w:t>
      </w:r>
      <w:r>
        <w:rPr>
          <w:spacing w:val="-2"/>
        </w:rPr>
        <w:t xml:space="preserve"> </w:t>
      </w:r>
      <w:r>
        <w:t>2,</w:t>
      </w:r>
      <w:r>
        <w:rPr>
          <w:spacing w:val="-5"/>
        </w:rPr>
        <w:t xml:space="preserve"> </w:t>
      </w:r>
      <w:r>
        <w:t>in</w:t>
      </w:r>
      <w:r>
        <w:rPr>
          <w:spacing w:val="-2"/>
        </w:rPr>
        <w:t xml:space="preserve"> </w:t>
      </w:r>
      <w:r>
        <w:t>which</w:t>
      </w:r>
      <w:r>
        <w:rPr>
          <w:spacing w:val="-2"/>
        </w:rPr>
        <w:t xml:space="preserve"> </w:t>
      </w:r>
      <w:r>
        <w:t>LOINC</w:t>
      </w:r>
      <w:r>
        <w:rPr>
          <w:vertAlign w:val="superscript"/>
        </w:rPr>
        <w:t>®</w:t>
      </w:r>
      <w:r>
        <w:rPr>
          <w:spacing w:val="-17"/>
          <w:vertAlign w:val="baseline"/>
        </w:rPr>
        <w:t xml:space="preserve"> </w:t>
      </w:r>
      <w:r>
        <w:rPr>
          <w:vertAlign w:val="baseline"/>
        </w:rPr>
        <w:t>is</w:t>
      </w:r>
      <w:r>
        <w:rPr>
          <w:spacing w:val="-2"/>
          <w:vertAlign w:val="baseline"/>
        </w:rPr>
        <w:t xml:space="preserve"> </w:t>
      </w:r>
      <w:r>
        <w:rPr>
          <w:vertAlign w:val="baseline"/>
        </w:rPr>
        <w:t>identified</w:t>
      </w:r>
      <w:r>
        <w:rPr>
          <w:spacing w:val="-2"/>
          <w:vertAlign w:val="baseline"/>
        </w:rPr>
        <w:t xml:space="preserve"> </w:t>
      </w:r>
      <w:r>
        <w:rPr>
          <w:vertAlign w:val="baseline"/>
        </w:rPr>
        <w:t>as</w:t>
      </w:r>
      <w:r>
        <w:rPr>
          <w:spacing w:val="-4"/>
          <w:vertAlign w:val="baseline"/>
        </w:rPr>
        <w:t xml:space="preserve"> </w:t>
      </w:r>
      <w:r>
        <w:rPr>
          <w:vertAlign w:val="baseline"/>
        </w:rPr>
        <w:t>an</w:t>
      </w:r>
      <w:r>
        <w:rPr>
          <w:spacing w:val="-2"/>
          <w:vertAlign w:val="baseline"/>
        </w:rPr>
        <w:t xml:space="preserve"> </w:t>
      </w:r>
      <w:r>
        <w:rPr>
          <w:vertAlign w:val="baseline"/>
        </w:rPr>
        <w:t>applicable</w:t>
      </w:r>
      <w:r>
        <w:rPr>
          <w:spacing w:val="-2"/>
          <w:vertAlign w:val="baseline"/>
        </w:rPr>
        <w:t xml:space="preserve"> </w:t>
      </w:r>
      <w:r>
        <w:rPr>
          <w:vertAlign w:val="baseline"/>
        </w:rPr>
        <w:t>vocabulary</w:t>
      </w:r>
      <w:r>
        <w:rPr>
          <w:spacing w:val="-5"/>
          <w:vertAlign w:val="baseline"/>
        </w:rPr>
        <w:t xml:space="preserve"> </w:t>
      </w:r>
      <w:r>
        <w:rPr>
          <w:vertAlign w:val="baseline"/>
        </w:rPr>
        <w:t>standard for SDOH assessments.</w:t>
      </w:r>
      <w:hyperlink w:anchor="_bookmark3" w:history="1">
        <w:r>
          <w:rPr>
            <w:vertAlign w:val="superscript"/>
          </w:rPr>
          <w:t>4</w:t>
        </w:r>
      </w:hyperlink>
      <w:r>
        <w:rPr>
          <w:vertAlign w:val="baseline"/>
        </w:rPr>
        <w:t xml:space="preserve"> By identifying validated screening instruments that use available health IT coding terminology as acceptable sources for the questions required by § 422.101(f)(1)(i), we aim to encourage</w:t>
      </w:r>
      <w:r>
        <w:rPr>
          <w:spacing w:val="-1"/>
          <w:vertAlign w:val="baseline"/>
        </w:rPr>
        <w:t xml:space="preserve"> </w:t>
      </w:r>
      <w:r>
        <w:rPr>
          <w:vertAlign w:val="baseline"/>
        </w:rPr>
        <w:t>greater standardization</w:t>
      </w:r>
      <w:r>
        <w:rPr>
          <w:spacing w:val="-1"/>
          <w:vertAlign w:val="baseline"/>
        </w:rPr>
        <w:t xml:space="preserve"> </w:t>
      </w:r>
      <w:r>
        <w:rPr>
          <w:vertAlign w:val="baseline"/>
        </w:rPr>
        <w:t>of social needs</w:t>
      </w:r>
      <w:r>
        <w:rPr>
          <w:spacing w:val="-3"/>
          <w:vertAlign w:val="baseline"/>
        </w:rPr>
        <w:t xml:space="preserve"> </w:t>
      </w:r>
      <w:r>
        <w:rPr>
          <w:vertAlign w:val="baseline"/>
        </w:rPr>
        <w:t>screening</w:t>
      </w:r>
      <w:r>
        <w:rPr>
          <w:spacing w:val="-4"/>
          <w:vertAlign w:val="baseline"/>
        </w:rPr>
        <w:t xml:space="preserve"> </w:t>
      </w:r>
      <w:r>
        <w:rPr>
          <w:vertAlign w:val="baseline"/>
        </w:rPr>
        <w:t>data</w:t>
      </w:r>
      <w:r>
        <w:rPr>
          <w:spacing w:val="-4"/>
          <w:vertAlign w:val="baseline"/>
        </w:rPr>
        <w:t xml:space="preserve"> </w:t>
      </w:r>
      <w:r>
        <w:rPr>
          <w:vertAlign w:val="baseline"/>
        </w:rPr>
        <w:t>and</w:t>
      </w:r>
      <w:r>
        <w:rPr>
          <w:spacing w:val="-4"/>
          <w:vertAlign w:val="baseline"/>
        </w:rPr>
        <w:t xml:space="preserve"> </w:t>
      </w:r>
      <w:r>
        <w:rPr>
          <w:vertAlign w:val="baseline"/>
        </w:rPr>
        <w:t>facilitate</w:t>
      </w:r>
      <w:r>
        <w:rPr>
          <w:spacing w:val="-1"/>
          <w:vertAlign w:val="baseline"/>
        </w:rPr>
        <w:t xml:space="preserve"> </w:t>
      </w:r>
      <w:r>
        <w:rPr>
          <w:vertAlign w:val="baseline"/>
        </w:rPr>
        <w:t>interoperable</w:t>
      </w:r>
      <w:r>
        <w:rPr>
          <w:spacing w:val="-1"/>
          <w:vertAlign w:val="baseline"/>
        </w:rPr>
        <w:t xml:space="preserve"> </w:t>
      </w:r>
      <w:r>
        <w:rPr>
          <w:vertAlign w:val="baseline"/>
        </w:rPr>
        <w:t>exchange</w:t>
      </w:r>
      <w:r>
        <w:rPr>
          <w:spacing w:val="-1"/>
          <w:vertAlign w:val="baseline"/>
        </w:rPr>
        <w:t xml:space="preserve"> </w:t>
      </w:r>
      <w:r>
        <w:rPr>
          <w:vertAlign w:val="baseline"/>
        </w:rPr>
        <w:t>of such data.</w:t>
      </w:r>
    </w:p>
    <w:p>
      <w:pPr>
        <w:pStyle w:val="BodyText"/>
        <w:spacing w:before="160"/>
      </w:pPr>
      <w:r>
        <w:t>The screening instruments in the below table meet the above criteria at the time we are issuing this guidance.</w:t>
      </w:r>
      <w:r>
        <w:rPr>
          <w:spacing w:val="-2"/>
        </w:rPr>
        <w:t xml:space="preserve"> </w:t>
      </w:r>
      <w:r>
        <w:t>However,</w:t>
      </w:r>
      <w:r>
        <w:rPr>
          <w:spacing w:val="-2"/>
        </w:rPr>
        <w:t xml:space="preserve"> </w:t>
      </w:r>
      <w:r>
        <w:t>we</w:t>
      </w:r>
      <w:r>
        <w:rPr>
          <w:spacing w:val="-2"/>
        </w:rPr>
        <w:t xml:space="preserve"> </w:t>
      </w:r>
      <w:r>
        <w:t>recognize</w:t>
      </w:r>
      <w:r>
        <w:rPr>
          <w:spacing w:val="-2"/>
        </w:rPr>
        <w:t xml:space="preserve"> </w:t>
      </w:r>
      <w:r>
        <w:t>that</w:t>
      </w:r>
      <w:r>
        <w:rPr>
          <w:spacing w:val="-4"/>
        </w:rPr>
        <w:t xml:space="preserve"> </w:t>
      </w:r>
      <w:r>
        <w:t>the</w:t>
      </w:r>
      <w:r>
        <w:rPr>
          <w:spacing w:val="-4"/>
        </w:rPr>
        <w:t xml:space="preserve"> </w:t>
      </w:r>
      <w:r>
        <w:t>social</w:t>
      </w:r>
      <w:r>
        <w:rPr>
          <w:spacing w:val="-1"/>
        </w:rPr>
        <w:t xml:space="preserve"> </w:t>
      </w:r>
      <w:r>
        <w:t>needs</w:t>
      </w:r>
      <w:r>
        <w:rPr>
          <w:spacing w:val="-4"/>
        </w:rPr>
        <w:t xml:space="preserve"> </w:t>
      </w:r>
      <w:r>
        <w:t>screening</w:t>
      </w:r>
      <w:r>
        <w:rPr>
          <w:spacing w:val="-5"/>
        </w:rPr>
        <w:t xml:space="preserve"> </w:t>
      </w:r>
      <w:r>
        <w:t>field</w:t>
      </w:r>
      <w:r>
        <w:rPr>
          <w:spacing w:val="-5"/>
        </w:rPr>
        <w:t xml:space="preserve"> </w:t>
      </w:r>
      <w:r>
        <w:t>is</w:t>
      </w:r>
      <w:r>
        <w:rPr>
          <w:spacing w:val="-2"/>
        </w:rPr>
        <w:t xml:space="preserve"> </w:t>
      </w:r>
      <w:r>
        <w:t>evolving</w:t>
      </w:r>
      <w:r>
        <w:rPr>
          <w:spacing w:val="-5"/>
        </w:rPr>
        <w:t xml:space="preserve"> </w:t>
      </w:r>
      <w:r>
        <w:t>quickly,</w:t>
      </w:r>
      <w:r>
        <w:rPr>
          <w:spacing w:val="-2"/>
        </w:rPr>
        <w:t xml:space="preserve"> </w:t>
      </w:r>
      <w:r>
        <w:t>and</w:t>
      </w:r>
      <w:r>
        <w:rPr>
          <w:spacing w:val="-2"/>
        </w:rPr>
        <w:t xml:space="preserve"> </w:t>
      </w:r>
      <w:r>
        <w:t>screening instruments that currently do not meet the criteria we outline above may meet those criteria in the future (e.g., new LOINC</w:t>
      </w:r>
      <w:r>
        <w:rPr>
          <w:vertAlign w:val="superscript"/>
        </w:rPr>
        <w:t>®</w:t>
      </w:r>
      <w:r>
        <w:rPr>
          <w:vertAlign w:val="baseline"/>
        </w:rPr>
        <w:t xml:space="preserve"> coding terminology may be created for a screening instrument for which it was previously not available).</w:t>
      </w:r>
    </w:p>
    <w:p>
      <w:pPr>
        <w:pStyle w:val="BodyText"/>
        <w:spacing w:before="161"/>
      </w:pPr>
      <w:r>
        <w:t>Therefore, in addition to the list of screening instruments below, SNPs can use questions on the three required domains from screening instruments included in the Gravity Project’s lists linked below of screening instruments by domain, which can be found in the National Library of Medicine Value Set Authority</w:t>
      </w:r>
      <w:r>
        <w:rPr>
          <w:spacing w:val="-4"/>
        </w:rPr>
        <w:t xml:space="preserve"> </w:t>
      </w:r>
      <w:r>
        <w:t>Center</w:t>
      </w:r>
      <w:r>
        <w:rPr>
          <w:spacing w:val="-3"/>
        </w:rPr>
        <w:t xml:space="preserve"> </w:t>
      </w:r>
      <w:r>
        <w:t>(VSAC).</w:t>
      </w:r>
      <w:hyperlink w:anchor="_bookmark4" w:history="1">
        <w:r>
          <w:rPr>
            <w:vertAlign w:val="superscript"/>
          </w:rPr>
          <w:t>5</w:t>
        </w:r>
      </w:hyperlink>
      <w:r>
        <w:rPr>
          <w:spacing w:val="-1"/>
          <w:vertAlign w:val="baseline"/>
        </w:rPr>
        <w:t xml:space="preserve"> </w:t>
      </w:r>
      <w:r>
        <w:rPr>
          <w:vertAlign w:val="baseline"/>
        </w:rPr>
        <w:t>The</w:t>
      </w:r>
      <w:r>
        <w:rPr>
          <w:spacing w:val="-3"/>
          <w:vertAlign w:val="baseline"/>
        </w:rPr>
        <w:t xml:space="preserve"> </w:t>
      </w:r>
      <w:r>
        <w:rPr>
          <w:vertAlign w:val="baseline"/>
        </w:rPr>
        <w:t>Gravity</w:t>
      </w:r>
      <w:r>
        <w:rPr>
          <w:spacing w:val="-4"/>
          <w:vertAlign w:val="baseline"/>
        </w:rPr>
        <w:t xml:space="preserve"> </w:t>
      </w:r>
      <w:r>
        <w:rPr>
          <w:vertAlign w:val="baseline"/>
        </w:rPr>
        <w:t>Project compiles</w:t>
      </w:r>
      <w:r>
        <w:rPr>
          <w:spacing w:val="-1"/>
          <w:vertAlign w:val="baseline"/>
        </w:rPr>
        <w:t xml:space="preserve"> </w:t>
      </w:r>
      <w:r>
        <w:rPr>
          <w:vertAlign w:val="baseline"/>
        </w:rPr>
        <w:t>these</w:t>
      </w:r>
      <w:r>
        <w:rPr>
          <w:spacing w:val="-3"/>
          <w:vertAlign w:val="baseline"/>
        </w:rPr>
        <w:t xml:space="preserve"> </w:t>
      </w:r>
      <w:r>
        <w:rPr>
          <w:vertAlign w:val="baseline"/>
        </w:rPr>
        <w:t>lists</w:t>
      </w:r>
      <w:r>
        <w:rPr>
          <w:spacing w:val="-1"/>
          <w:vertAlign w:val="baseline"/>
        </w:rPr>
        <w:t xml:space="preserve"> </w:t>
      </w:r>
      <w:r>
        <w:rPr>
          <w:vertAlign w:val="baseline"/>
        </w:rPr>
        <w:t>to</w:t>
      </w:r>
      <w:r>
        <w:rPr>
          <w:spacing w:val="-4"/>
          <w:vertAlign w:val="baseline"/>
        </w:rPr>
        <w:t xml:space="preserve"> </w:t>
      </w:r>
      <w:r>
        <w:rPr>
          <w:vertAlign w:val="baseline"/>
        </w:rPr>
        <w:t>include</w:t>
      </w:r>
      <w:r>
        <w:rPr>
          <w:spacing w:val="-1"/>
          <w:vertAlign w:val="baseline"/>
        </w:rPr>
        <w:t xml:space="preserve"> </w:t>
      </w:r>
      <w:r>
        <w:rPr>
          <w:vertAlign w:val="baseline"/>
        </w:rPr>
        <w:t>screening</w:t>
      </w:r>
      <w:r>
        <w:rPr>
          <w:spacing w:val="-4"/>
          <w:vertAlign w:val="baseline"/>
        </w:rPr>
        <w:t xml:space="preserve"> </w:t>
      </w:r>
      <w:r>
        <w:rPr>
          <w:vertAlign w:val="baseline"/>
        </w:rPr>
        <w:t>instruments</w:t>
      </w:r>
      <w:r>
        <w:rPr>
          <w:spacing w:val="-1"/>
          <w:vertAlign w:val="baseline"/>
        </w:rPr>
        <w:t xml:space="preserve"> </w:t>
      </w:r>
      <w:r>
        <w:rPr>
          <w:vertAlign w:val="baseline"/>
        </w:rPr>
        <w:t>with available LOINC</w:t>
      </w:r>
      <w:r>
        <w:rPr>
          <w:vertAlign w:val="superscript"/>
        </w:rPr>
        <w:t>®</w:t>
      </w:r>
      <w:r>
        <w:rPr>
          <w:spacing w:val="-15"/>
          <w:vertAlign w:val="baseline"/>
        </w:rPr>
        <w:t xml:space="preserve"> </w:t>
      </w:r>
      <w:r>
        <w:rPr>
          <w:vertAlign w:val="baseline"/>
        </w:rPr>
        <w:t>coding that its members have identified as appropriate to screen for each domain, and will update them if and when new screening instruments meet these standards. CMS has determined the assessment instruments on these lists meet the criteria described above and are permissible for a SNP to draw from for the required questions on housing stability, food security, and access to transportation.</w:t>
      </w:r>
    </w:p>
    <w:p>
      <w:pPr>
        <w:pStyle w:val="BodyText"/>
        <w:spacing w:before="1"/>
        <w:ind w:left="120"/>
      </w:pPr>
      <w:r>
        <w:t>Please</w:t>
      </w:r>
      <w:r>
        <w:rPr>
          <w:spacing w:val="-5"/>
        </w:rPr>
        <w:t xml:space="preserve"> </w:t>
      </w:r>
      <w:r>
        <w:t>note</w:t>
      </w:r>
      <w:r>
        <w:rPr>
          <w:spacing w:val="-4"/>
        </w:rPr>
        <w:t xml:space="preserve"> </w:t>
      </w:r>
      <w:r>
        <w:t>that</w:t>
      </w:r>
      <w:r>
        <w:rPr>
          <w:spacing w:val="-4"/>
        </w:rPr>
        <w:t xml:space="preserve"> </w:t>
      </w:r>
      <w:r>
        <w:t>VSAC</w:t>
      </w:r>
      <w:r>
        <w:rPr>
          <w:spacing w:val="-4"/>
        </w:rPr>
        <w:t xml:space="preserve"> </w:t>
      </w:r>
      <w:r>
        <w:t>users</w:t>
      </w:r>
      <w:r>
        <w:rPr>
          <w:spacing w:val="-2"/>
        </w:rPr>
        <w:t xml:space="preserve"> </w:t>
      </w:r>
      <w:r>
        <w:t>must</w:t>
      </w:r>
      <w:r>
        <w:rPr>
          <w:spacing w:val="-1"/>
        </w:rPr>
        <w:t xml:space="preserve"> </w:t>
      </w:r>
      <w:r>
        <w:t>create</w:t>
      </w:r>
      <w:r>
        <w:rPr>
          <w:spacing w:val="-4"/>
        </w:rPr>
        <w:t xml:space="preserve"> </w:t>
      </w:r>
      <w:r>
        <w:t>an</w:t>
      </w:r>
      <w:r>
        <w:rPr>
          <w:spacing w:val="-3"/>
        </w:rPr>
        <w:t xml:space="preserve"> </w:t>
      </w:r>
      <w:r>
        <w:t>account</w:t>
      </w:r>
      <w:r>
        <w:rPr>
          <w:spacing w:val="-1"/>
        </w:rPr>
        <w:t xml:space="preserve"> </w:t>
      </w:r>
      <w:r>
        <w:t>and</w:t>
      </w:r>
      <w:r>
        <w:rPr>
          <w:spacing w:val="-2"/>
        </w:rPr>
        <w:t xml:space="preserve"> </w:t>
      </w:r>
      <w:r>
        <w:t>be</w:t>
      </w:r>
      <w:r>
        <w:rPr>
          <w:spacing w:val="-3"/>
        </w:rPr>
        <w:t xml:space="preserve"> </w:t>
      </w:r>
      <w:r>
        <w:t>logged</w:t>
      </w:r>
      <w:r>
        <w:rPr>
          <w:spacing w:val="-2"/>
        </w:rPr>
        <w:t xml:space="preserve"> </w:t>
      </w:r>
      <w:r>
        <w:t>in</w:t>
      </w:r>
      <w:r>
        <w:rPr>
          <w:spacing w:val="-5"/>
        </w:rPr>
        <w:t xml:space="preserve"> </w:t>
      </w:r>
      <w:r>
        <w:t>to</w:t>
      </w:r>
      <w:r>
        <w:rPr>
          <w:spacing w:val="-3"/>
        </w:rPr>
        <w:t xml:space="preserve"> </w:t>
      </w:r>
      <w:r>
        <w:t>access</w:t>
      </w:r>
      <w:r>
        <w:rPr>
          <w:spacing w:val="-2"/>
        </w:rPr>
        <w:t xml:space="preserve"> </w:t>
      </w:r>
      <w:r>
        <w:t>the</w:t>
      </w:r>
      <w:r>
        <w:rPr>
          <w:spacing w:val="-4"/>
        </w:rPr>
        <w:t xml:space="preserve"> </w:t>
      </w:r>
      <w:r>
        <w:t>links</w:t>
      </w:r>
      <w:r>
        <w:rPr>
          <w:spacing w:val="-2"/>
        </w:rPr>
        <w:t xml:space="preserve"> below.</w:t>
      </w:r>
    </w:p>
    <w:p>
      <w:pPr>
        <w:pStyle w:val="ListParagraph"/>
        <w:numPr>
          <w:ilvl w:val="1"/>
          <w:numId w:val="2"/>
        </w:numPr>
        <w:tabs>
          <w:tab w:val="left" w:pos="840"/>
          <w:tab w:val="left" w:pos="841"/>
        </w:tabs>
        <w:spacing w:before="159" w:after="0" w:line="240" w:lineRule="auto"/>
        <w:ind w:left="840" w:right="0" w:hanging="361"/>
        <w:jc w:val="left"/>
        <w:rPr>
          <w:sz w:val="22"/>
        </w:rPr>
      </w:pPr>
      <w:r>
        <w:rPr>
          <w:b/>
          <w:sz w:val="22"/>
        </w:rPr>
        <w:t>Food</w:t>
      </w:r>
      <w:r>
        <w:rPr>
          <w:b/>
          <w:spacing w:val="-7"/>
          <w:sz w:val="22"/>
        </w:rPr>
        <w:t xml:space="preserve"> </w:t>
      </w:r>
      <w:r>
        <w:rPr>
          <w:b/>
          <w:sz w:val="22"/>
        </w:rPr>
        <w:t>Security:</w:t>
      </w:r>
      <w:r>
        <w:rPr>
          <w:b/>
          <w:spacing w:val="-6"/>
          <w:sz w:val="22"/>
        </w:rPr>
        <w:t xml:space="preserve"> </w:t>
      </w:r>
      <w:hyperlink r:id="rId9">
        <w:r>
          <w:rPr>
            <w:color w:val="0562C1"/>
            <w:sz w:val="22"/>
            <w:u w:val="single" w:color="0562C1"/>
          </w:rPr>
          <w:t>VSAC</w:t>
        </w:r>
        <w:r>
          <w:rPr>
            <w:color w:val="0562C1"/>
            <w:spacing w:val="-5"/>
            <w:sz w:val="22"/>
            <w:u w:val="single" w:color="0562C1"/>
          </w:rPr>
          <w:t xml:space="preserve"> </w:t>
        </w:r>
        <w:r>
          <w:rPr>
            <w:color w:val="0562C1"/>
            <w:sz w:val="22"/>
            <w:u w:val="single" w:color="0562C1"/>
          </w:rPr>
          <w:t>Food</w:t>
        </w:r>
        <w:r>
          <w:rPr>
            <w:color w:val="0562C1"/>
            <w:spacing w:val="-3"/>
            <w:sz w:val="22"/>
            <w:u w:val="single" w:color="0562C1"/>
          </w:rPr>
          <w:t xml:space="preserve"> </w:t>
        </w:r>
        <w:r>
          <w:rPr>
            <w:color w:val="0562C1"/>
            <w:sz w:val="22"/>
            <w:u w:val="single" w:color="0562C1"/>
          </w:rPr>
          <w:t>Insecurity</w:t>
        </w:r>
        <w:r>
          <w:rPr>
            <w:color w:val="0562C1"/>
            <w:spacing w:val="-7"/>
            <w:sz w:val="22"/>
            <w:u w:val="single" w:color="0562C1"/>
          </w:rPr>
          <w:t xml:space="preserve"> </w:t>
        </w:r>
        <w:r>
          <w:rPr>
            <w:color w:val="0562C1"/>
            <w:sz w:val="22"/>
            <w:u w:val="single" w:color="0562C1"/>
          </w:rPr>
          <w:t>Screening</w:t>
        </w:r>
        <w:r>
          <w:rPr>
            <w:color w:val="0562C1"/>
            <w:spacing w:val="-6"/>
            <w:sz w:val="22"/>
            <w:u w:val="single" w:color="0562C1"/>
          </w:rPr>
          <w:t xml:space="preserve"> </w:t>
        </w:r>
        <w:r>
          <w:rPr>
            <w:color w:val="0562C1"/>
            <w:spacing w:val="-2"/>
            <w:sz w:val="22"/>
            <w:u w:val="single" w:color="0562C1"/>
          </w:rPr>
          <w:t>Assessments</w:t>
        </w:r>
      </w:hyperlink>
    </w:p>
    <w:p>
      <w:pPr>
        <w:pStyle w:val="BodyText"/>
        <w:spacing w:before="0"/>
        <w:ind w:left="0"/>
        <w:rPr>
          <w:sz w:val="20"/>
        </w:rPr>
      </w:pPr>
    </w:p>
    <w:p>
      <w:pPr>
        <w:pStyle w:val="BodyText"/>
        <w:spacing w:before="3"/>
        <w:ind w:left="0"/>
        <w:rPr>
          <w:sz w:val="11"/>
        </w:rPr>
      </w:pPr>
      <w:r>
        <w:pict>
          <v:rect id="_x0000_s1026" style="width:2in;height:0.72pt;margin-top:7.7pt;margin-left:1in;mso-position-horizontal-relative:page;mso-wrap-distance-left:0;mso-wrap-distance-right:0;position:absolute;z-index:-251657216" filled="t" fillcolor="black" stroked="f">
            <v:fill type="solid"/>
            <w10:wrap type="topAndBottom"/>
          </v:rect>
        </w:pict>
      </w:r>
    </w:p>
    <w:p>
      <w:pPr>
        <w:spacing w:before="101"/>
        <w:ind w:left="120" w:right="161" w:hanging="1"/>
        <w:jc w:val="left"/>
        <w:rPr>
          <w:sz w:val="20"/>
        </w:rPr>
      </w:pPr>
      <w:bookmarkStart w:id="1" w:name="_bookmark1"/>
      <w:bookmarkEnd w:id="1"/>
      <w:r>
        <w:rPr>
          <w:sz w:val="20"/>
          <w:vertAlign w:val="superscript"/>
        </w:rPr>
        <w:t>2</w:t>
      </w:r>
      <w:r>
        <w:rPr>
          <w:spacing w:val="-3"/>
          <w:sz w:val="20"/>
          <w:vertAlign w:val="baseline"/>
        </w:rPr>
        <w:t xml:space="preserve"> </w:t>
      </w:r>
      <w:r>
        <w:rPr>
          <w:sz w:val="20"/>
          <w:vertAlign w:val="baseline"/>
        </w:rPr>
        <w:t>Furthermore, we note</w:t>
      </w:r>
      <w:r>
        <w:rPr>
          <w:spacing w:val="-3"/>
          <w:sz w:val="20"/>
          <w:vertAlign w:val="baseline"/>
        </w:rPr>
        <w:t xml:space="preserve"> </w:t>
      </w:r>
      <w:r>
        <w:rPr>
          <w:sz w:val="20"/>
          <w:vertAlign w:val="baseline"/>
        </w:rPr>
        <w:t>that</w:t>
      </w:r>
      <w:r>
        <w:rPr>
          <w:spacing w:val="-3"/>
          <w:sz w:val="20"/>
          <w:vertAlign w:val="baseline"/>
        </w:rPr>
        <w:t xml:space="preserve"> </w:t>
      </w:r>
      <w:r>
        <w:rPr>
          <w:sz w:val="20"/>
          <w:vertAlign w:val="baseline"/>
        </w:rPr>
        <w:t>the table</w:t>
      </w:r>
      <w:r>
        <w:rPr>
          <w:spacing w:val="-3"/>
          <w:sz w:val="20"/>
          <w:vertAlign w:val="baseline"/>
        </w:rPr>
        <w:t xml:space="preserve"> </w:t>
      </w:r>
      <w:r>
        <w:rPr>
          <w:sz w:val="20"/>
          <w:vertAlign w:val="baseline"/>
        </w:rPr>
        <w:t>below</w:t>
      </w:r>
      <w:r>
        <w:rPr>
          <w:spacing w:val="-8"/>
          <w:sz w:val="20"/>
          <w:vertAlign w:val="baseline"/>
        </w:rPr>
        <w:t xml:space="preserve"> </w:t>
      </w:r>
      <w:r>
        <w:rPr>
          <w:sz w:val="20"/>
          <w:vertAlign w:val="baseline"/>
        </w:rPr>
        <w:t>also</w:t>
      </w:r>
      <w:r>
        <w:rPr>
          <w:spacing w:val="-2"/>
          <w:sz w:val="20"/>
          <w:vertAlign w:val="baseline"/>
        </w:rPr>
        <w:t xml:space="preserve"> </w:t>
      </w:r>
      <w:r>
        <w:rPr>
          <w:sz w:val="20"/>
          <w:vertAlign w:val="baseline"/>
        </w:rPr>
        <w:t>incorporates</w:t>
      </w:r>
      <w:r>
        <w:rPr>
          <w:spacing w:val="-4"/>
          <w:sz w:val="20"/>
          <w:vertAlign w:val="baseline"/>
        </w:rPr>
        <w:t xml:space="preserve"> </w:t>
      </w:r>
      <w:r>
        <w:rPr>
          <w:sz w:val="20"/>
          <w:vertAlign w:val="baseline"/>
        </w:rPr>
        <w:t>screening</w:t>
      </w:r>
      <w:r>
        <w:rPr>
          <w:spacing w:val="-5"/>
          <w:sz w:val="20"/>
          <w:vertAlign w:val="baseline"/>
        </w:rPr>
        <w:t xml:space="preserve"> </w:t>
      </w:r>
      <w:r>
        <w:rPr>
          <w:sz w:val="20"/>
          <w:vertAlign w:val="baseline"/>
        </w:rPr>
        <w:t>instruments</w:t>
      </w:r>
      <w:r>
        <w:rPr>
          <w:spacing w:val="-4"/>
          <w:sz w:val="20"/>
          <w:vertAlign w:val="baseline"/>
        </w:rPr>
        <w:t xml:space="preserve"> </w:t>
      </w:r>
      <w:r>
        <w:rPr>
          <w:sz w:val="20"/>
          <w:vertAlign w:val="baseline"/>
        </w:rPr>
        <w:t>included</w:t>
      </w:r>
      <w:r>
        <w:rPr>
          <w:spacing w:val="-2"/>
          <w:sz w:val="20"/>
          <w:vertAlign w:val="baseline"/>
        </w:rPr>
        <w:t xml:space="preserve"> </w:t>
      </w:r>
      <w:r>
        <w:rPr>
          <w:sz w:val="20"/>
          <w:vertAlign w:val="baseline"/>
        </w:rPr>
        <w:t>in</w:t>
      </w:r>
      <w:r>
        <w:rPr>
          <w:spacing w:val="-4"/>
          <w:sz w:val="20"/>
          <w:vertAlign w:val="baseline"/>
        </w:rPr>
        <w:t xml:space="preserve"> </w:t>
      </w:r>
      <w:r>
        <w:rPr>
          <w:sz w:val="20"/>
          <w:vertAlign w:val="baseline"/>
        </w:rPr>
        <w:t>the</w:t>
      </w:r>
      <w:r>
        <w:rPr>
          <w:spacing w:val="-3"/>
          <w:sz w:val="20"/>
          <w:vertAlign w:val="baseline"/>
        </w:rPr>
        <w:t xml:space="preserve"> </w:t>
      </w:r>
      <w:r>
        <w:rPr>
          <w:sz w:val="20"/>
          <w:vertAlign w:val="baseline"/>
        </w:rPr>
        <w:t>specification</w:t>
      </w:r>
      <w:r>
        <w:rPr>
          <w:spacing w:val="-4"/>
          <w:sz w:val="20"/>
          <w:vertAlign w:val="baseline"/>
        </w:rPr>
        <w:t xml:space="preserve"> </w:t>
      </w:r>
      <w:r>
        <w:rPr>
          <w:sz w:val="20"/>
          <w:vertAlign w:val="baseline"/>
        </w:rPr>
        <w:t xml:space="preserve">for the National Committee for Quality Assurance’s (NCQA) Social Need Screening and Intervention” measure in </w:t>
      </w:r>
      <w:r>
        <w:rPr>
          <w:i/>
          <w:sz w:val="20"/>
          <w:vertAlign w:val="baseline"/>
        </w:rPr>
        <w:t xml:space="preserve">HEDIS Volume 2: Technical Specifications for Health Plans, </w:t>
      </w:r>
      <w:r>
        <w:rPr>
          <w:sz w:val="20"/>
          <w:vertAlign w:val="baseline"/>
        </w:rPr>
        <w:t>705-717.</w:t>
      </w:r>
    </w:p>
    <w:p>
      <w:pPr>
        <w:spacing w:before="0"/>
        <w:ind w:left="120" w:right="0" w:hanging="1"/>
        <w:jc w:val="left"/>
        <w:rPr>
          <w:sz w:val="20"/>
        </w:rPr>
      </w:pPr>
      <w:bookmarkStart w:id="2" w:name="_bookmark2"/>
      <w:bookmarkEnd w:id="2"/>
      <w:r>
        <w:rPr>
          <w:sz w:val="20"/>
          <w:vertAlign w:val="superscript"/>
        </w:rPr>
        <w:t>3</w:t>
      </w:r>
      <w:r>
        <w:rPr>
          <w:sz w:val="20"/>
          <w:vertAlign w:val="baseline"/>
        </w:rPr>
        <w:t xml:space="preserve"> The Gravity Project convenes subject matter experts to evaluate and vote on the validity and appropriateness of available assessment instruments to screen for various domains. For the purposes of this requirement, we have combined</w:t>
      </w:r>
      <w:r>
        <w:rPr>
          <w:spacing w:val="-4"/>
          <w:sz w:val="20"/>
          <w:vertAlign w:val="baseline"/>
        </w:rPr>
        <w:t xml:space="preserve"> </w:t>
      </w:r>
      <w:r>
        <w:rPr>
          <w:sz w:val="20"/>
          <w:vertAlign w:val="baseline"/>
        </w:rPr>
        <w:t>Gravity’s</w:t>
      </w:r>
      <w:r>
        <w:rPr>
          <w:spacing w:val="-6"/>
          <w:sz w:val="20"/>
          <w:vertAlign w:val="baseline"/>
        </w:rPr>
        <w:t xml:space="preserve"> </w:t>
      </w:r>
      <w:r>
        <w:rPr>
          <w:sz w:val="20"/>
          <w:vertAlign w:val="baseline"/>
        </w:rPr>
        <w:t>three</w:t>
      </w:r>
      <w:r>
        <w:rPr>
          <w:spacing w:val="-5"/>
          <w:sz w:val="20"/>
          <w:vertAlign w:val="baseline"/>
        </w:rPr>
        <w:t xml:space="preserve"> </w:t>
      </w:r>
      <w:r>
        <w:rPr>
          <w:sz w:val="20"/>
          <w:vertAlign w:val="baseline"/>
        </w:rPr>
        <w:t>housing-related</w:t>
      </w:r>
      <w:r>
        <w:rPr>
          <w:spacing w:val="-4"/>
          <w:sz w:val="20"/>
          <w:vertAlign w:val="baseline"/>
        </w:rPr>
        <w:t xml:space="preserve"> </w:t>
      </w:r>
      <w:r>
        <w:rPr>
          <w:sz w:val="20"/>
          <w:vertAlign w:val="baseline"/>
        </w:rPr>
        <w:t>domains</w:t>
      </w:r>
      <w:r>
        <w:rPr>
          <w:spacing w:val="-6"/>
          <w:sz w:val="20"/>
          <w:vertAlign w:val="baseline"/>
        </w:rPr>
        <w:t xml:space="preserve"> </w:t>
      </w:r>
      <w:r>
        <w:rPr>
          <w:sz w:val="20"/>
          <w:vertAlign w:val="baseline"/>
        </w:rPr>
        <w:t>(housing</w:t>
      </w:r>
      <w:r>
        <w:rPr>
          <w:spacing w:val="-4"/>
          <w:sz w:val="20"/>
          <w:vertAlign w:val="baseline"/>
        </w:rPr>
        <w:t xml:space="preserve"> </w:t>
      </w:r>
      <w:r>
        <w:rPr>
          <w:sz w:val="20"/>
          <w:vertAlign w:val="baseline"/>
        </w:rPr>
        <w:t>instability,</w:t>
      </w:r>
      <w:r>
        <w:rPr>
          <w:spacing w:val="-2"/>
          <w:sz w:val="20"/>
          <w:vertAlign w:val="baseline"/>
        </w:rPr>
        <w:t xml:space="preserve"> </w:t>
      </w:r>
      <w:r>
        <w:rPr>
          <w:sz w:val="20"/>
          <w:vertAlign w:val="baseline"/>
        </w:rPr>
        <w:t>homelessness,</w:t>
      </w:r>
      <w:r>
        <w:rPr>
          <w:spacing w:val="-4"/>
          <w:sz w:val="20"/>
          <w:vertAlign w:val="baseline"/>
        </w:rPr>
        <w:t xml:space="preserve"> </w:t>
      </w:r>
      <w:r>
        <w:rPr>
          <w:sz w:val="20"/>
          <w:vertAlign w:val="baseline"/>
        </w:rPr>
        <w:t>and</w:t>
      </w:r>
      <w:r>
        <w:rPr>
          <w:spacing w:val="-1"/>
          <w:sz w:val="20"/>
          <w:vertAlign w:val="baseline"/>
        </w:rPr>
        <w:t xml:space="preserve"> </w:t>
      </w:r>
      <w:r>
        <w:rPr>
          <w:sz w:val="20"/>
          <w:vertAlign w:val="baseline"/>
        </w:rPr>
        <w:t>inadequate</w:t>
      </w:r>
      <w:r>
        <w:rPr>
          <w:spacing w:val="-5"/>
          <w:sz w:val="20"/>
          <w:vertAlign w:val="baseline"/>
        </w:rPr>
        <w:t xml:space="preserve"> </w:t>
      </w:r>
      <w:r>
        <w:rPr>
          <w:sz w:val="20"/>
          <w:vertAlign w:val="baseline"/>
        </w:rPr>
        <w:t>housing)</w:t>
      </w:r>
      <w:r>
        <w:rPr>
          <w:spacing w:val="-4"/>
          <w:sz w:val="20"/>
          <w:vertAlign w:val="baseline"/>
        </w:rPr>
        <w:t xml:space="preserve"> </w:t>
      </w:r>
      <w:r>
        <w:rPr>
          <w:sz w:val="20"/>
          <w:vertAlign w:val="baseline"/>
        </w:rPr>
        <w:t>into one topic (“housing stability”).</w:t>
      </w:r>
    </w:p>
    <w:p>
      <w:pPr>
        <w:spacing w:before="1"/>
        <w:ind w:left="120" w:right="455" w:firstLine="0"/>
        <w:jc w:val="left"/>
        <w:rPr>
          <w:sz w:val="20"/>
        </w:rPr>
      </w:pPr>
      <w:bookmarkStart w:id="3" w:name="_bookmark3"/>
      <w:bookmarkEnd w:id="3"/>
      <w:r>
        <w:rPr>
          <w:sz w:val="20"/>
          <w:vertAlign w:val="superscript"/>
        </w:rPr>
        <w:t>4</w:t>
      </w:r>
      <w:r>
        <w:rPr>
          <w:spacing w:val="-6"/>
          <w:sz w:val="20"/>
          <w:vertAlign w:val="baseline"/>
        </w:rPr>
        <w:t xml:space="preserve"> </w:t>
      </w:r>
      <w:r>
        <w:rPr>
          <w:sz w:val="20"/>
          <w:vertAlign w:val="baseline"/>
        </w:rPr>
        <w:t>See</w:t>
      </w:r>
      <w:r>
        <w:rPr>
          <w:spacing w:val="-6"/>
          <w:sz w:val="20"/>
          <w:vertAlign w:val="baseline"/>
        </w:rPr>
        <w:t xml:space="preserve"> </w:t>
      </w:r>
      <w:r>
        <w:rPr>
          <w:sz w:val="20"/>
          <w:vertAlign w:val="baseline"/>
        </w:rPr>
        <w:t>the</w:t>
      </w:r>
      <w:r>
        <w:rPr>
          <w:spacing w:val="-6"/>
          <w:sz w:val="20"/>
          <w:vertAlign w:val="baseline"/>
        </w:rPr>
        <w:t xml:space="preserve"> </w:t>
      </w:r>
      <w:r>
        <w:rPr>
          <w:sz w:val="20"/>
          <w:vertAlign w:val="baseline"/>
        </w:rPr>
        <w:t>final</w:t>
      </w:r>
      <w:r>
        <w:rPr>
          <w:spacing w:val="-6"/>
          <w:sz w:val="20"/>
          <w:vertAlign w:val="baseline"/>
        </w:rPr>
        <w:t xml:space="preserve"> </w:t>
      </w:r>
      <w:r>
        <w:rPr>
          <w:sz w:val="20"/>
          <w:vertAlign w:val="baseline"/>
        </w:rPr>
        <w:t>USCDI</w:t>
      </w:r>
      <w:r>
        <w:rPr>
          <w:spacing w:val="-5"/>
          <w:sz w:val="20"/>
          <w:vertAlign w:val="baseline"/>
        </w:rPr>
        <w:t xml:space="preserve"> </w:t>
      </w:r>
      <w:r>
        <w:rPr>
          <w:sz w:val="20"/>
          <w:vertAlign w:val="baseline"/>
        </w:rPr>
        <w:t>v2</w:t>
      </w:r>
      <w:r>
        <w:rPr>
          <w:spacing w:val="-5"/>
          <w:sz w:val="20"/>
          <w:vertAlign w:val="baseline"/>
        </w:rPr>
        <w:t xml:space="preserve"> </w:t>
      </w:r>
      <w:r>
        <w:rPr>
          <w:sz w:val="20"/>
          <w:vertAlign w:val="baseline"/>
        </w:rPr>
        <w:t>document:</w:t>
      </w:r>
      <w:r>
        <w:rPr>
          <w:spacing w:val="-7"/>
          <w:sz w:val="20"/>
          <w:vertAlign w:val="baseline"/>
        </w:rPr>
        <w:t xml:space="preserve"> </w:t>
      </w:r>
      <w:hyperlink r:id="rId10">
        <w:r>
          <w:rPr>
            <w:color w:val="0562C1"/>
            <w:sz w:val="20"/>
            <w:u w:val="single" w:color="0562C1"/>
            <w:vertAlign w:val="baseline"/>
          </w:rPr>
          <w:t>https://www.healthit.gov/isa/sites/isa/files/2021-07/USCDI-Version-2-July-</w:t>
        </w:r>
      </w:hyperlink>
      <w:r>
        <w:rPr>
          <w:color w:val="0562C1"/>
          <w:sz w:val="20"/>
          <w:vertAlign w:val="baseline"/>
        </w:rPr>
        <w:t xml:space="preserve"> </w:t>
      </w:r>
      <w:hyperlink r:id="rId10">
        <w:r>
          <w:rPr>
            <w:color w:val="0562C1"/>
            <w:spacing w:val="-2"/>
            <w:sz w:val="20"/>
            <w:u w:val="single" w:color="0562C1"/>
            <w:vertAlign w:val="baseline"/>
          </w:rPr>
          <w:t>2021-Final.pdf</w:t>
        </w:r>
        <w:r>
          <w:rPr>
            <w:spacing w:val="-2"/>
            <w:sz w:val="20"/>
            <w:vertAlign w:val="baseline"/>
          </w:rPr>
          <w:t>.</w:t>
        </w:r>
      </w:hyperlink>
    </w:p>
    <w:p>
      <w:pPr>
        <w:spacing w:before="0"/>
        <w:ind w:left="120" w:right="0" w:hanging="1"/>
        <w:jc w:val="left"/>
        <w:rPr>
          <w:sz w:val="20"/>
        </w:rPr>
      </w:pPr>
      <w:bookmarkStart w:id="4" w:name="_bookmark4"/>
      <w:bookmarkEnd w:id="4"/>
      <w:r>
        <w:rPr>
          <w:sz w:val="20"/>
          <w:vertAlign w:val="superscript"/>
        </w:rPr>
        <w:t>5</w:t>
      </w:r>
      <w:r>
        <w:rPr>
          <w:spacing w:val="-2"/>
          <w:sz w:val="20"/>
          <w:vertAlign w:val="baseline"/>
        </w:rPr>
        <w:t xml:space="preserve"> </w:t>
      </w:r>
      <w:r>
        <w:rPr>
          <w:sz w:val="20"/>
          <w:vertAlign w:val="baseline"/>
        </w:rPr>
        <w:t>VSAC</w:t>
      </w:r>
      <w:r>
        <w:rPr>
          <w:spacing w:val="-3"/>
          <w:sz w:val="20"/>
          <w:vertAlign w:val="baseline"/>
        </w:rPr>
        <w:t xml:space="preserve"> </w:t>
      </w:r>
      <w:r>
        <w:rPr>
          <w:sz w:val="20"/>
          <w:vertAlign w:val="baseline"/>
        </w:rPr>
        <w:t>is</w:t>
      </w:r>
      <w:r>
        <w:rPr>
          <w:spacing w:val="-3"/>
          <w:sz w:val="20"/>
          <w:vertAlign w:val="baseline"/>
        </w:rPr>
        <w:t xml:space="preserve"> </w:t>
      </w:r>
      <w:r>
        <w:rPr>
          <w:sz w:val="20"/>
          <w:vertAlign w:val="baseline"/>
        </w:rPr>
        <w:t>a</w:t>
      </w:r>
      <w:r>
        <w:rPr>
          <w:spacing w:val="-2"/>
          <w:sz w:val="20"/>
          <w:vertAlign w:val="baseline"/>
        </w:rPr>
        <w:t xml:space="preserve"> </w:t>
      </w:r>
      <w:r>
        <w:rPr>
          <w:sz w:val="20"/>
          <w:vertAlign w:val="baseline"/>
        </w:rPr>
        <w:t>repository</w:t>
      </w:r>
      <w:r>
        <w:rPr>
          <w:spacing w:val="-3"/>
          <w:sz w:val="20"/>
          <w:vertAlign w:val="baseline"/>
        </w:rPr>
        <w:t xml:space="preserve"> </w:t>
      </w:r>
      <w:r>
        <w:rPr>
          <w:sz w:val="20"/>
          <w:vertAlign w:val="baseline"/>
        </w:rPr>
        <w:t>for</w:t>
      </w:r>
      <w:r>
        <w:rPr>
          <w:spacing w:val="-1"/>
          <w:sz w:val="20"/>
          <w:vertAlign w:val="baseline"/>
        </w:rPr>
        <w:t xml:space="preserve"> </w:t>
      </w:r>
      <w:r>
        <w:rPr>
          <w:sz w:val="20"/>
          <w:vertAlign w:val="baseline"/>
        </w:rPr>
        <w:t>clinical</w:t>
      </w:r>
      <w:r>
        <w:rPr>
          <w:spacing w:val="-2"/>
          <w:sz w:val="20"/>
          <w:vertAlign w:val="baseline"/>
        </w:rPr>
        <w:t xml:space="preserve"> </w:t>
      </w:r>
      <w:r>
        <w:rPr>
          <w:sz w:val="20"/>
          <w:vertAlign w:val="baseline"/>
        </w:rPr>
        <w:t>coding</w:t>
      </w:r>
      <w:r>
        <w:rPr>
          <w:spacing w:val="-3"/>
          <w:sz w:val="20"/>
          <w:vertAlign w:val="baseline"/>
        </w:rPr>
        <w:t xml:space="preserve"> </w:t>
      </w:r>
      <w:r>
        <w:rPr>
          <w:sz w:val="20"/>
          <w:vertAlign w:val="baseline"/>
        </w:rPr>
        <w:t>vocabularies</w:t>
      </w:r>
      <w:r>
        <w:rPr>
          <w:spacing w:val="-3"/>
          <w:sz w:val="20"/>
          <w:vertAlign w:val="baseline"/>
        </w:rPr>
        <w:t xml:space="preserve"> </w:t>
      </w:r>
      <w:r>
        <w:rPr>
          <w:sz w:val="20"/>
          <w:vertAlign w:val="baseline"/>
        </w:rPr>
        <w:t>that</w:t>
      </w:r>
      <w:r>
        <w:rPr>
          <w:spacing w:val="-2"/>
          <w:sz w:val="20"/>
          <w:vertAlign w:val="baseline"/>
        </w:rPr>
        <w:t xml:space="preserve"> </w:t>
      </w:r>
      <w:r>
        <w:rPr>
          <w:sz w:val="20"/>
          <w:vertAlign w:val="baseline"/>
        </w:rPr>
        <w:t>define</w:t>
      </w:r>
      <w:r>
        <w:rPr>
          <w:spacing w:val="-2"/>
          <w:sz w:val="20"/>
          <w:vertAlign w:val="baseline"/>
        </w:rPr>
        <w:t xml:space="preserve"> </w:t>
      </w:r>
      <w:r>
        <w:rPr>
          <w:sz w:val="20"/>
          <w:vertAlign w:val="baseline"/>
        </w:rPr>
        <w:t>clinical</w:t>
      </w:r>
      <w:r>
        <w:rPr>
          <w:spacing w:val="-2"/>
          <w:sz w:val="20"/>
          <w:vertAlign w:val="baseline"/>
        </w:rPr>
        <w:t xml:space="preserve"> </w:t>
      </w:r>
      <w:r>
        <w:rPr>
          <w:sz w:val="20"/>
          <w:vertAlign w:val="baseline"/>
        </w:rPr>
        <w:t>concepts</w:t>
      </w:r>
      <w:r>
        <w:rPr>
          <w:spacing w:val="-3"/>
          <w:sz w:val="20"/>
          <w:vertAlign w:val="baseline"/>
        </w:rPr>
        <w:t xml:space="preserve"> </w:t>
      </w:r>
      <w:r>
        <w:rPr>
          <w:sz w:val="20"/>
          <w:vertAlign w:val="baseline"/>
        </w:rPr>
        <w:t>to</w:t>
      </w:r>
      <w:r>
        <w:rPr>
          <w:spacing w:val="-1"/>
          <w:sz w:val="20"/>
          <w:vertAlign w:val="baseline"/>
        </w:rPr>
        <w:t xml:space="preserve"> </w:t>
      </w:r>
      <w:r>
        <w:rPr>
          <w:sz w:val="20"/>
          <w:vertAlign w:val="baseline"/>
        </w:rPr>
        <w:t>support</w:t>
      </w:r>
      <w:r>
        <w:rPr>
          <w:spacing w:val="-2"/>
          <w:sz w:val="20"/>
          <w:vertAlign w:val="baseline"/>
        </w:rPr>
        <w:t xml:space="preserve"> </w:t>
      </w:r>
      <w:r>
        <w:rPr>
          <w:sz w:val="20"/>
          <w:vertAlign w:val="baseline"/>
        </w:rPr>
        <w:t>interoperable</w:t>
      </w:r>
      <w:r>
        <w:rPr>
          <w:spacing w:val="-2"/>
          <w:sz w:val="20"/>
          <w:vertAlign w:val="baseline"/>
        </w:rPr>
        <w:t xml:space="preserve"> </w:t>
      </w:r>
      <w:r>
        <w:rPr>
          <w:sz w:val="20"/>
          <w:vertAlign w:val="baseline"/>
        </w:rPr>
        <w:t>health information exchange, and is provided by</w:t>
      </w:r>
      <w:r>
        <w:rPr>
          <w:spacing w:val="-2"/>
          <w:sz w:val="20"/>
          <w:vertAlign w:val="baseline"/>
        </w:rPr>
        <w:t xml:space="preserve"> </w:t>
      </w:r>
      <w:r>
        <w:rPr>
          <w:sz w:val="20"/>
          <w:vertAlign w:val="baseline"/>
        </w:rPr>
        <w:t>the National Library</w:t>
      </w:r>
      <w:r>
        <w:rPr>
          <w:spacing w:val="-2"/>
          <w:sz w:val="20"/>
          <w:vertAlign w:val="baseline"/>
        </w:rPr>
        <w:t xml:space="preserve"> </w:t>
      </w:r>
      <w:r>
        <w:rPr>
          <w:sz w:val="20"/>
          <w:vertAlign w:val="baseline"/>
        </w:rPr>
        <w:t>of Medicine in collaboration with the Office of the National Coordinator for Health Information Technology and CMS.</w:t>
      </w:r>
    </w:p>
    <w:p>
      <w:pPr>
        <w:spacing w:after="0"/>
        <w:jc w:val="left"/>
        <w:rPr>
          <w:sz w:val="20"/>
        </w:rPr>
        <w:sectPr>
          <w:pgSz w:w="12240" w:h="15840"/>
          <w:pgMar w:top="1360" w:right="1320" w:bottom="960" w:left="1320" w:header="0" w:footer="765"/>
          <w:cols w:space="720"/>
        </w:sectPr>
      </w:pPr>
    </w:p>
    <w:p>
      <w:pPr>
        <w:pStyle w:val="ListParagraph"/>
        <w:numPr>
          <w:ilvl w:val="1"/>
          <w:numId w:val="2"/>
        </w:numPr>
        <w:tabs>
          <w:tab w:val="left" w:pos="840"/>
          <w:tab w:val="left" w:pos="841"/>
        </w:tabs>
        <w:spacing w:before="79" w:after="0" w:line="240" w:lineRule="auto"/>
        <w:ind w:left="840" w:right="538" w:hanging="361"/>
        <w:jc w:val="left"/>
        <w:rPr>
          <w:sz w:val="22"/>
        </w:rPr>
      </w:pPr>
      <w:r>
        <w:rPr>
          <w:b/>
          <w:sz w:val="22"/>
        </w:rPr>
        <w:t>Housing</w:t>
      </w:r>
      <w:r>
        <w:rPr>
          <w:b/>
          <w:spacing w:val="-3"/>
          <w:sz w:val="22"/>
        </w:rPr>
        <w:t xml:space="preserve"> </w:t>
      </w:r>
      <w:r>
        <w:rPr>
          <w:b/>
          <w:sz w:val="22"/>
        </w:rPr>
        <w:t>Stability:</w:t>
      </w:r>
      <w:r>
        <w:rPr>
          <w:b/>
          <w:spacing w:val="-4"/>
          <w:sz w:val="22"/>
        </w:rPr>
        <w:t xml:space="preserve"> </w:t>
      </w:r>
      <w:hyperlink r:id="rId11">
        <w:r>
          <w:rPr>
            <w:color w:val="0562C1"/>
            <w:sz w:val="22"/>
            <w:u w:val="single" w:color="0562C1"/>
          </w:rPr>
          <w:t>VSAC</w:t>
        </w:r>
        <w:r>
          <w:rPr>
            <w:color w:val="0562C1"/>
            <w:spacing w:val="-7"/>
            <w:sz w:val="22"/>
            <w:u w:val="single" w:color="0562C1"/>
          </w:rPr>
          <w:t xml:space="preserve"> </w:t>
        </w:r>
        <w:r>
          <w:rPr>
            <w:color w:val="0562C1"/>
            <w:sz w:val="22"/>
            <w:u w:val="single" w:color="0562C1"/>
          </w:rPr>
          <w:t>Homelessness</w:t>
        </w:r>
        <w:r>
          <w:rPr>
            <w:color w:val="0562C1"/>
            <w:spacing w:val="-3"/>
            <w:sz w:val="22"/>
            <w:u w:val="single" w:color="0562C1"/>
          </w:rPr>
          <w:t xml:space="preserve"> </w:t>
        </w:r>
        <w:r>
          <w:rPr>
            <w:color w:val="0562C1"/>
            <w:sz w:val="22"/>
            <w:u w:val="single" w:color="0562C1"/>
          </w:rPr>
          <w:t>Screening</w:t>
        </w:r>
        <w:r>
          <w:rPr>
            <w:color w:val="0562C1"/>
            <w:spacing w:val="-6"/>
            <w:sz w:val="22"/>
            <w:u w:val="single" w:color="0562C1"/>
          </w:rPr>
          <w:t xml:space="preserve"> </w:t>
        </w:r>
        <w:r>
          <w:rPr>
            <w:color w:val="0562C1"/>
            <w:sz w:val="22"/>
            <w:u w:val="single" w:color="0562C1"/>
          </w:rPr>
          <w:t>Assessments</w:t>
        </w:r>
      </w:hyperlink>
      <w:r>
        <w:rPr>
          <w:sz w:val="22"/>
        </w:rPr>
        <w:t>;</w:t>
      </w:r>
      <w:r>
        <w:rPr>
          <w:spacing w:val="-5"/>
          <w:sz w:val="22"/>
        </w:rPr>
        <w:t xml:space="preserve"> </w:t>
      </w:r>
      <w:hyperlink r:id="rId12">
        <w:r>
          <w:rPr>
            <w:color w:val="0562C1"/>
            <w:sz w:val="22"/>
            <w:u w:val="single" w:color="0562C1"/>
          </w:rPr>
          <w:t>VSAC</w:t>
        </w:r>
        <w:r>
          <w:rPr>
            <w:color w:val="0562C1"/>
            <w:spacing w:val="-4"/>
            <w:sz w:val="22"/>
            <w:u w:val="single" w:color="0562C1"/>
          </w:rPr>
          <w:t xml:space="preserve"> </w:t>
        </w:r>
        <w:r>
          <w:rPr>
            <w:color w:val="0562C1"/>
            <w:sz w:val="22"/>
            <w:u w:val="single" w:color="0562C1"/>
          </w:rPr>
          <w:t>Housing</w:t>
        </w:r>
        <w:r>
          <w:rPr>
            <w:color w:val="0562C1"/>
            <w:spacing w:val="-3"/>
            <w:sz w:val="22"/>
            <w:u w:val="single" w:color="0562C1"/>
          </w:rPr>
          <w:t xml:space="preserve"> </w:t>
        </w:r>
        <w:r>
          <w:rPr>
            <w:color w:val="0562C1"/>
            <w:sz w:val="22"/>
            <w:u w:val="single" w:color="0562C1"/>
          </w:rPr>
          <w:t>Instability</w:t>
        </w:r>
      </w:hyperlink>
      <w:r>
        <w:rPr>
          <w:color w:val="0562C1"/>
          <w:sz w:val="22"/>
        </w:rPr>
        <w:t xml:space="preserve"> </w:t>
      </w:r>
      <w:hyperlink r:id="rId12">
        <w:r>
          <w:rPr>
            <w:color w:val="0562C1"/>
            <w:sz w:val="22"/>
            <w:u w:val="single" w:color="0562C1"/>
          </w:rPr>
          <w:t>Screening Assessments</w:t>
        </w:r>
      </w:hyperlink>
      <w:r>
        <w:rPr>
          <w:sz w:val="22"/>
        </w:rPr>
        <w:t xml:space="preserve">; </w:t>
      </w:r>
      <w:hyperlink r:id="rId13">
        <w:r>
          <w:rPr>
            <w:color w:val="0562C1"/>
            <w:sz w:val="22"/>
            <w:u w:val="single" w:color="0562C1"/>
          </w:rPr>
          <w:t>VSAC Inadequate Housing Screening Assessments</w:t>
        </w:r>
      </w:hyperlink>
    </w:p>
    <w:p>
      <w:pPr>
        <w:pStyle w:val="ListParagraph"/>
        <w:numPr>
          <w:ilvl w:val="1"/>
          <w:numId w:val="2"/>
        </w:numPr>
        <w:tabs>
          <w:tab w:val="left" w:pos="840"/>
          <w:tab w:val="left" w:pos="841"/>
        </w:tabs>
        <w:spacing w:before="0" w:after="0" w:line="268" w:lineRule="exact"/>
        <w:ind w:left="840" w:right="0" w:hanging="361"/>
        <w:jc w:val="left"/>
        <w:rPr>
          <w:sz w:val="22"/>
        </w:rPr>
      </w:pPr>
      <w:r>
        <w:rPr>
          <w:b/>
          <w:sz w:val="22"/>
        </w:rPr>
        <w:t>Access</w:t>
      </w:r>
      <w:r>
        <w:rPr>
          <w:b/>
          <w:spacing w:val="-7"/>
          <w:sz w:val="22"/>
        </w:rPr>
        <w:t xml:space="preserve"> </w:t>
      </w:r>
      <w:r>
        <w:rPr>
          <w:b/>
          <w:sz w:val="22"/>
        </w:rPr>
        <w:t>to</w:t>
      </w:r>
      <w:r>
        <w:rPr>
          <w:b/>
          <w:spacing w:val="-6"/>
          <w:sz w:val="22"/>
        </w:rPr>
        <w:t xml:space="preserve"> </w:t>
      </w:r>
      <w:r>
        <w:rPr>
          <w:b/>
          <w:sz w:val="22"/>
        </w:rPr>
        <w:t>Transportation:</w:t>
      </w:r>
      <w:r>
        <w:rPr>
          <w:b/>
          <w:spacing w:val="-7"/>
          <w:sz w:val="22"/>
        </w:rPr>
        <w:t xml:space="preserve"> </w:t>
      </w:r>
      <w:hyperlink r:id="rId14">
        <w:r>
          <w:rPr>
            <w:color w:val="0562C1"/>
            <w:sz w:val="22"/>
            <w:u w:val="single" w:color="0562C1"/>
          </w:rPr>
          <w:t>VSAC</w:t>
        </w:r>
        <w:r>
          <w:rPr>
            <w:color w:val="0562C1"/>
            <w:spacing w:val="-8"/>
            <w:sz w:val="22"/>
            <w:u w:val="single" w:color="0562C1"/>
          </w:rPr>
          <w:t xml:space="preserve"> </w:t>
        </w:r>
        <w:r>
          <w:rPr>
            <w:color w:val="0562C1"/>
            <w:sz w:val="22"/>
            <w:u w:val="single" w:color="0562C1"/>
          </w:rPr>
          <w:t>Transportation</w:t>
        </w:r>
        <w:r>
          <w:rPr>
            <w:color w:val="0562C1"/>
            <w:spacing w:val="-6"/>
            <w:sz w:val="22"/>
            <w:u w:val="single" w:color="0562C1"/>
          </w:rPr>
          <w:t xml:space="preserve"> </w:t>
        </w:r>
        <w:r>
          <w:rPr>
            <w:color w:val="0562C1"/>
            <w:sz w:val="22"/>
            <w:u w:val="single" w:color="0562C1"/>
          </w:rPr>
          <w:t>Insecurity</w:t>
        </w:r>
        <w:r>
          <w:rPr>
            <w:color w:val="0562C1"/>
            <w:spacing w:val="-8"/>
            <w:sz w:val="22"/>
            <w:u w:val="single" w:color="0562C1"/>
          </w:rPr>
          <w:t xml:space="preserve"> </w:t>
        </w:r>
        <w:r>
          <w:rPr>
            <w:color w:val="0562C1"/>
            <w:sz w:val="22"/>
            <w:u w:val="single" w:color="0562C1"/>
          </w:rPr>
          <w:t>Screening</w:t>
        </w:r>
        <w:r>
          <w:rPr>
            <w:color w:val="0562C1"/>
            <w:spacing w:val="-7"/>
            <w:sz w:val="22"/>
            <w:u w:val="single" w:color="0562C1"/>
          </w:rPr>
          <w:t xml:space="preserve"> </w:t>
        </w:r>
        <w:r>
          <w:rPr>
            <w:color w:val="0562C1"/>
            <w:spacing w:val="-2"/>
            <w:sz w:val="22"/>
            <w:u w:val="single" w:color="0562C1"/>
          </w:rPr>
          <w:t>Assessments</w:t>
        </w:r>
      </w:hyperlink>
    </w:p>
    <w:p>
      <w:pPr>
        <w:pStyle w:val="BodyText"/>
        <w:spacing w:before="159"/>
        <w:ind w:right="121"/>
      </w:pPr>
      <w:r>
        <w:t>Currently,</w:t>
      </w:r>
      <w:r>
        <w:rPr>
          <w:spacing w:val="-1"/>
        </w:rPr>
        <w:t xml:space="preserve"> </w:t>
      </w:r>
      <w:r>
        <w:t>the</w:t>
      </w:r>
      <w:r>
        <w:rPr>
          <w:spacing w:val="-1"/>
        </w:rPr>
        <w:t xml:space="preserve"> </w:t>
      </w:r>
      <w:r>
        <w:t>screening</w:t>
      </w:r>
      <w:r>
        <w:rPr>
          <w:spacing w:val="-4"/>
        </w:rPr>
        <w:t xml:space="preserve"> </w:t>
      </w:r>
      <w:r>
        <w:t>instruments</w:t>
      </w:r>
      <w:r>
        <w:rPr>
          <w:spacing w:val="-3"/>
        </w:rPr>
        <w:t xml:space="preserve"> </w:t>
      </w:r>
      <w:r>
        <w:t>included</w:t>
      </w:r>
      <w:r>
        <w:rPr>
          <w:spacing w:val="-1"/>
        </w:rPr>
        <w:t xml:space="preserve"> </w:t>
      </w:r>
      <w:r>
        <w:t>in</w:t>
      </w:r>
      <w:r>
        <w:rPr>
          <w:spacing w:val="-4"/>
        </w:rPr>
        <w:t xml:space="preserve"> </w:t>
      </w:r>
      <w:r>
        <w:t>the</w:t>
      </w:r>
      <w:r>
        <w:rPr>
          <w:spacing w:val="-3"/>
        </w:rPr>
        <w:t xml:space="preserve"> </w:t>
      </w:r>
      <w:r>
        <w:t>VSAC</w:t>
      </w:r>
      <w:r>
        <w:rPr>
          <w:spacing w:val="-2"/>
        </w:rPr>
        <w:t xml:space="preserve"> </w:t>
      </w:r>
      <w:r>
        <w:t>are</w:t>
      </w:r>
      <w:r>
        <w:rPr>
          <w:spacing w:val="-1"/>
        </w:rPr>
        <w:t xml:space="preserve"> </w:t>
      </w:r>
      <w:r>
        <w:t>also</w:t>
      </w:r>
      <w:r>
        <w:rPr>
          <w:spacing w:val="-4"/>
        </w:rPr>
        <w:t xml:space="preserve"> </w:t>
      </w:r>
      <w:r>
        <w:t>listed</w:t>
      </w:r>
      <w:r>
        <w:rPr>
          <w:spacing w:val="-1"/>
        </w:rPr>
        <w:t xml:space="preserve"> </w:t>
      </w:r>
      <w:r>
        <w:t>in</w:t>
      </w:r>
      <w:r>
        <w:rPr>
          <w:spacing w:val="-4"/>
        </w:rPr>
        <w:t xml:space="preserve"> </w:t>
      </w:r>
      <w:r>
        <w:t>the</w:t>
      </w:r>
      <w:r>
        <w:rPr>
          <w:spacing w:val="-1"/>
        </w:rPr>
        <w:t xml:space="preserve"> </w:t>
      </w:r>
      <w:r>
        <w:t>below</w:t>
      </w:r>
      <w:r>
        <w:rPr>
          <w:spacing w:val="-2"/>
        </w:rPr>
        <w:t xml:space="preserve"> </w:t>
      </w:r>
      <w:r>
        <w:t>table.</w:t>
      </w:r>
      <w:r>
        <w:rPr>
          <w:spacing w:val="-1"/>
        </w:rPr>
        <w:t xml:space="preserve"> </w:t>
      </w:r>
      <w:r>
        <w:t>In</w:t>
      </w:r>
      <w:r>
        <w:rPr>
          <w:spacing w:val="-1"/>
        </w:rPr>
        <w:t xml:space="preserve"> </w:t>
      </w:r>
      <w:r>
        <w:t>the</w:t>
      </w:r>
      <w:r>
        <w:rPr>
          <w:spacing w:val="-1"/>
        </w:rPr>
        <w:t xml:space="preserve"> </w:t>
      </w:r>
      <w:r>
        <w:t>future, the VSAC lists may expand to include additional instruments that meet the above criteria and CMS will review the VSAC resources linked above to ensure that questions on the three domains are acceptable under § 422.101(f)(1)(i). SNPs may use questions from assessment instruments currently included in this value</w:t>
      </w:r>
      <w:r>
        <w:rPr>
          <w:spacing w:val="-2"/>
        </w:rPr>
        <w:t xml:space="preserve"> </w:t>
      </w:r>
      <w:r>
        <w:t>set.</w:t>
      </w:r>
      <w:r>
        <w:rPr>
          <w:spacing w:val="-2"/>
        </w:rPr>
        <w:t xml:space="preserve"> </w:t>
      </w:r>
      <w:r>
        <w:t>We</w:t>
      </w:r>
      <w:r>
        <w:rPr>
          <w:spacing w:val="-2"/>
        </w:rPr>
        <w:t xml:space="preserve"> </w:t>
      </w:r>
      <w:r>
        <w:t>remind</w:t>
      </w:r>
      <w:r>
        <w:rPr>
          <w:spacing w:val="-2"/>
        </w:rPr>
        <w:t xml:space="preserve"> </w:t>
      </w:r>
      <w:r>
        <w:t>SNPs</w:t>
      </w:r>
      <w:r>
        <w:rPr>
          <w:spacing w:val="-2"/>
        </w:rPr>
        <w:t xml:space="preserve"> </w:t>
      </w:r>
      <w:r>
        <w:t>that</w:t>
      </w:r>
      <w:r>
        <w:rPr>
          <w:spacing w:val="-1"/>
        </w:rPr>
        <w:t xml:space="preserve"> </w:t>
      </w:r>
      <w:r>
        <w:t>when</w:t>
      </w:r>
      <w:r>
        <w:rPr>
          <w:spacing w:val="-5"/>
        </w:rPr>
        <w:t xml:space="preserve"> </w:t>
      </w:r>
      <w:r>
        <w:t>audit</w:t>
      </w:r>
      <w:r>
        <w:rPr>
          <w:spacing w:val="-1"/>
        </w:rPr>
        <w:t xml:space="preserve"> </w:t>
      </w:r>
      <w:r>
        <w:t>protocols</w:t>
      </w:r>
      <w:r>
        <w:rPr>
          <w:spacing w:val="-2"/>
        </w:rPr>
        <w:t xml:space="preserve"> </w:t>
      </w:r>
      <w:r>
        <w:t>are</w:t>
      </w:r>
      <w:r>
        <w:rPr>
          <w:spacing w:val="-2"/>
        </w:rPr>
        <w:t xml:space="preserve"> </w:t>
      </w:r>
      <w:r>
        <w:t>subject</w:t>
      </w:r>
      <w:r>
        <w:rPr>
          <w:spacing w:val="-4"/>
        </w:rPr>
        <w:t xml:space="preserve"> </w:t>
      </w:r>
      <w:r>
        <w:t>to</w:t>
      </w:r>
      <w:r>
        <w:rPr>
          <w:spacing w:val="-5"/>
        </w:rPr>
        <w:t xml:space="preserve"> </w:t>
      </w:r>
      <w:r>
        <w:t>the</w:t>
      </w:r>
      <w:r>
        <w:rPr>
          <w:spacing w:val="-2"/>
        </w:rPr>
        <w:t xml:space="preserve"> </w:t>
      </w:r>
      <w:r>
        <w:t>Paperwork</w:t>
      </w:r>
      <w:r>
        <w:rPr>
          <w:spacing w:val="-5"/>
        </w:rPr>
        <w:t xml:space="preserve"> </w:t>
      </w:r>
      <w:r>
        <w:t>Reduction</w:t>
      </w:r>
      <w:r>
        <w:rPr>
          <w:spacing w:val="-2"/>
        </w:rPr>
        <w:t xml:space="preserve"> </w:t>
      </w:r>
      <w:r>
        <w:t>Act</w:t>
      </w:r>
      <w:r>
        <w:rPr>
          <w:spacing w:val="-1"/>
        </w:rPr>
        <w:t xml:space="preserve"> </w:t>
      </w:r>
      <w:r>
        <w:t>process, they will have an opportunity to comment before they are finalized.</w:t>
      </w:r>
    </w:p>
    <w:p>
      <w:pPr>
        <w:spacing w:before="162"/>
        <w:ind w:left="119" w:right="0" w:firstLine="0"/>
        <w:jc w:val="left"/>
        <w:rPr>
          <w:i/>
          <w:sz w:val="22"/>
        </w:rPr>
      </w:pPr>
      <w:r>
        <w:rPr>
          <w:i/>
          <w:sz w:val="22"/>
        </w:rPr>
        <w:t>CMS</w:t>
      </w:r>
      <w:r>
        <w:rPr>
          <w:i/>
          <w:spacing w:val="-5"/>
          <w:sz w:val="22"/>
        </w:rPr>
        <w:t xml:space="preserve"> </w:t>
      </w:r>
      <w:r>
        <w:rPr>
          <w:i/>
          <w:sz w:val="22"/>
        </w:rPr>
        <w:t>Post-Acute</w:t>
      </w:r>
      <w:r>
        <w:rPr>
          <w:i/>
          <w:spacing w:val="-4"/>
          <w:sz w:val="22"/>
        </w:rPr>
        <w:t xml:space="preserve"> </w:t>
      </w:r>
      <w:r>
        <w:rPr>
          <w:i/>
          <w:sz w:val="22"/>
        </w:rPr>
        <w:t>Care</w:t>
      </w:r>
      <w:r>
        <w:rPr>
          <w:i/>
          <w:spacing w:val="-5"/>
          <w:sz w:val="22"/>
        </w:rPr>
        <w:t xml:space="preserve"> </w:t>
      </w:r>
      <w:r>
        <w:rPr>
          <w:i/>
          <w:sz w:val="22"/>
        </w:rPr>
        <w:t>(PAC)</w:t>
      </w:r>
      <w:r>
        <w:rPr>
          <w:i/>
          <w:spacing w:val="-6"/>
          <w:sz w:val="22"/>
        </w:rPr>
        <w:t xml:space="preserve"> </w:t>
      </w:r>
      <w:r>
        <w:rPr>
          <w:i/>
          <w:sz w:val="22"/>
        </w:rPr>
        <w:t>Assessment</w:t>
      </w:r>
      <w:r>
        <w:rPr>
          <w:i/>
          <w:spacing w:val="-3"/>
          <w:sz w:val="22"/>
        </w:rPr>
        <w:t xml:space="preserve"> </w:t>
      </w:r>
      <w:r>
        <w:rPr>
          <w:i/>
          <w:spacing w:val="-2"/>
          <w:sz w:val="22"/>
        </w:rPr>
        <w:t>Instruments</w:t>
      </w:r>
    </w:p>
    <w:p>
      <w:pPr>
        <w:pStyle w:val="BodyText"/>
        <w:ind w:right="137"/>
      </w:pPr>
      <w:r>
        <w:t>In the table below, we include several CMS PAC assessment instruments that include a question on</w:t>
      </w:r>
      <w:r>
        <w:rPr>
          <w:spacing w:val="40"/>
        </w:rPr>
        <w:t xml:space="preserve"> </w:t>
      </w:r>
      <w:r>
        <w:t>access to transportation that is almost identical to a transportation question included in the PRAPARE assessment instrument, but has a small modification to the response choices. These assessment instruments have been</w:t>
      </w:r>
      <w:r>
        <w:rPr>
          <w:spacing w:val="-1"/>
        </w:rPr>
        <w:t xml:space="preserve"> </w:t>
      </w:r>
      <w:r>
        <w:t>thoroughly</w:t>
      </w:r>
      <w:r>
        <w:rPr>
          <w:spacing w:val="-1"/>
        </w:rPr>
        <w:t xml:space="preserve"> </w:t>
      </w:r>
      <w:r>
        <w:t>tested, have associated LOINC coding</w:t>
      </w:r>
      <w:r>
        <w:rPr>
          <w:spacing w:val="-1"/>
        </w:rPr>
        <w:t xml:space="preserve"> </w:t>
      </w:r>
      <w:r>
        <w:t>to collect standardized data,</w:t>
      </w:r>
      <w:r>
        <w:rPr>
          <w:spacing w:val="-1"/>
        </w:rPr>
        <w:t xml:space="preserve"> </w:t>
      </w:r>
      <w:r>
        <w:t>and are already in use by providers. We are including each of these assessment instruments in the table below to clarify that SNPs may use them to meet the requirement for including one or more questions on access to</w:t>
      </w:r>
      <w:r>
        <w:rPr>
          <w:spacing w:val="-2"/>
        </w:rPr>
        <w:t xml:space="preserve"> </w:t>
      </w:r>
      <w:r>
        <w:t>transportation</w:t>
      </w:r>
      <w:r>
        <w:rPr>
          <w:spacing w:val="-3"/>
        </w:rPr>
        <w:t xml:space="preserve"> </w:t>
      </w:r>
      <w:r>
        <w:t>in</w:t>
      </w:r>
      <w:r>
        <w:rPr>
          <w:spacing w:val="-5"/>
        </w:rPr>
        <w:t xml:space="preserve"> </w:t>
      </w:r>
      <w:r>
        <w:t>their</w:t>
      </w:r>
      <w:r>
        <w:rPr>
          <w:spacing w:val="-4"/>
        </w:rPr>
        <w:t xml:space="preserve"> </w:t>
      </w:r>
      <w:r>
        <w:t>HRAs.</w:t>
      </w:r>
      <w:r>
        <w:rPr>
          <w:spacing w:val="-2"/>
        </w:rPr>
        <w:t xml:space="preserve"> </w:t>
      </w:r>
      <w:r>
        <w:t>More</w:t>
      </w:r>
      <w:r>
        <w:rPr>
          <w:spacing w:val="-2"/>
        </w:rPr>
        <w:t xml:space="preserve"> </w:t>
      </w:r>
      <w:r>
        <w:t>details</w:t>
      </w:r>
      <w:r>
        <w:rPr>
          <w:spacing w:val="-4"/>
        </w:rPr>
        <w:t xml:space="preserve"> </w:t>
      </w:r>
      <w:r>
        <w:t>about</w:t>
      </w:r>
      <w:r>
        <w:rPr>
          <w:spacing w:val="-1"/>
        </w:rPr>
        <w:t xml:space="preserve"> </w:t>
      </w:r>
      <w:r>
        <w:t>the</w:t>
      </w:r>
      <w:r>
        <w:rPr>
          <w:spacing w:val="-2"/>
        </w:rPr>
        <w:t xml:space="preserve"> </w:t>
      </w:r>
      <w:r>
        <w:t>CMS</w:t>
      </w:r>
      <w:r>
        <w:rPr>
          <w:spacing w:val="-3"/>
        </w:rPr>
        <w:t xml:space="preserve"> </w:t>
      </w:r>
      <w:r>
        <w:t>PAC</w:t>
      </w:r>
      <w:r>
        <w:rPr>
          <w:spacing w:val="-3"/>
        </w:rPr>
        <w:t xml:space="preserve"> </w:t>
      </w:r>
      <w:r>
        <w:t>assessment</w:t>
      </w:r>
      <w:r>
        <w:rPr>
          <w:spacing w:val="-4"/>
        </w:rPr>
        <w:t xml:space="preserve"> </w:t>
      </w:r>
      <w:r>
        <w:t>instruments</w:t>
      </w:r>
      <w:r>
        <w:rPr>
          <w:spacing w:val="-4"/>
        </w:rPr>
        <w:t xml:space="preserve"> </w:t>
      </w:r>
      <w:r>
        <w:t>can</w:t>
      </w:r>
      <w:r>
        <w:rPr>
          <w:spacing w:val="-2"/>
        </w:rPr>
        <w:t xml:space="preserve"> </w:t>
      </w:r>
      <w:r>
        <w:t>be</w:t>
      </w:r>
      <w:r>
        <w:rPr>
          <w:spacing w:val="-2"/>
        </w:rPr>
        <w:t xml:space="preserve"> </w:t>
      </w:r>
      <w:r>
        <w:t>found</w:t>
      </w:r>
      <w:r>
        <w:rPr>
          <w:spacing w:val="-2"/>
        </w:rPr>
        <w:t xml:space="preserve"> </w:t>
      </w:r>
      <w:r>
        <w:t xml:space="preserve">in the CMS </w:t>
      </w:r>
      <w:hyperlink r:id="rId15">
        <w:r>
          <w:rPr>
            <w:color w:val="0562C1"/>
            <w:u w:val="single" w:color="0562C1"/>
          </w:rPr>
          <w:t>Data Element Library</w:t>
        </w:r>
        <w:r>
          <w:t>.</w:t>
        </w:r>
      </w:hyperlink>
    </w:p>
    <w:p>
      <w:pPr>
        <w:pStyle w:val="Heading1"/>
        <w:spacing w:before="163"/>
        <w:ind w:left="120"/>
      </w:pPr>
      <w:r>
        <w:t>Additional</w:t>
      </w:r>
      <w:r>
        <w:rPr>
          <w:spacing w:val="-5"/>
        </w:rPr>
        <w:t xml:space="preserve"> </w:t>
      </w:r>
      <w:r>
        <w:rPr>
          <w:spacing w:val="-2"/>
        </w:rPr>
        <w:t>Considerations</w:t>
      </w:r>
    </w:p>
    <w:p>
      <w:pPr>
        <w:spacing w:before="159"/>
        <w:ind w:left="120" w:right="0" w:firstLine="0"/>
        <w:jc w:val="left"/>
        <w:rPr>
          <w:i/>
          <w:sz w:val="22"/>
        </w:rPr>
      </w:pPr>
      <w:r>
        <w:rPr>
          <w:i/>
          <w:sz w:val="22"/>
        </w:rPr>
        <w:t>Equity</w:t>
      </w:r>
      <w:r>
        <w:rPr>
          <w:i/>
          <w:spacing w:val="1"/>
          <w:sz w:val="22"/>
        </w:rPr>
        <w:t xml:space="preserve"> </w:t>
      </w:r>
      <w:r>
        <w:rPr>
          <w:i/>
          <w:sz w:val="22"/>
        </w:rPr>
        <w:t>&amp;</w:t>
      </w:r>
      <w:r>
        <w:rPr>
          <w:i/>
          <w:spacing w:val="-6"/>
          <w:sz w:val="22"/>
        </w:rPr>
        <w:t xml:space="preserve"> </w:t>
      </w:r>
      <w:r>
        <w:rPr>
          <w:i/>
          <w:spacing w:val="-2"/>
          <w:sz w:val="22"/>
        </w:rPr>
        <w:t>Accessibility</w:t>
      </w:r>
    </w:p>
    <w:p>
      <w:pPr>
        <w:pStyle w:val="BodyText"/>
        <w:ind w:right="166"/>
      </w:pPr>
      <w:r>
        <w:t>We encourage SNPs to</w:t>
      </w:r>
      <w:r>
        <w:rPr>
          <w:spacing w:val="-1"/>
        </w:rPr>
        <w:t xml:space="preserve"> </w:t>
      </w:r>
      <w:r>
        <w:t>consider equity</w:t>
      </w:r>
      <w:r>
        <w:rPr>
          <w:spacing w:val="-1"/>
        </w:rPr>
        <w:t xml:space="preserve"> </w:t>
      </w:r>
      <w:r>
        <w:t>issues in selecting</w:t>
      </w:r>
      <w:r>
        <w:rPr>
          <w:spacing w:val="-1"/>
        </w:rPr>
        <w:t xml:space="preserve"> </w:t>
      </w:r>
      <w:r>
        <w:t>screening</w:t>
      </w:r>
      <w:r>
        <w:rPr>
          <w:spacing w:val="-1"/>
        </w:rPr>
        <w:t xml:space="preserve"> </w:t>
      </w:r>
      <w:r>
        <w:t>instruments and questions,</w:t>
      </w:r>
      <w:r>
        <w:rPr>
          <w:spacing w:val="-1"/>
        </w:rPr>
        <w:t xml:space="preserve"> </w:t>
      </w:r>
      <w:r>
        <w:t>including the questions required by § 422.101(f)(1)(i). In particular, we encourage SNPs to consider whether the instrument has been validated for racial and ethnic minority</w:t>
      </w:r>
      <w:r>
        <w:rPr>
          <w:spacing w:val="-1"/>
        </w:rPr>
        <w:t xml:space="preserve"> </w:t>
      </w:r>
      <w:r>
        <w:t>populations that the SNP serves and whether the instrument can be translated into languages that are commonly spoken by the SNP’s enrollees. In addition, SNPs should consider whether they can provide the questions in accessible formats using auxiliary aids and services as required by section 1557 of the Affordable Care Act and implementing regulations at 45 CFR Part 92. These regulations require plans to provide appropriate auxiliary aids and services,</w:t>
      </w:r>
      <w:r>
        <w:rPr>
          <w:spacing w:val="-2"/>
        </w:rPr>
        <w:t xml:space="preserve"> </w:t>
      </w:r>
      <w:r>
        <w:t>including</w:t>
      </w:r>
      <w:r>
        <w:rPr>
          <w:spacing w:val="-5"/>
        </w:rPr>
        <w:t xml:space="preserve"> </w:t>
      </w:r>
      <w:r>
        <w:t>interpreters</w:t>
      </w:r>
      <w:r>
        <w:rPr>
          <w:spacing w:val="-2"/>
        </w:rPr>
        <w:t xml:space="preserve"> </w:t>
      </w:r>
      <w:r>
        <w:t>and</w:t>
      </w:r>
      <w:r>
        <w:rPr>
          <w:spacing w:val="-2"/>
        </w:rPr>
        <w:t xml:space="preserve"> </w:t>
      </w:r>
      <w:r>
        <w:t>information</w:t>
      </w:r>
      <w:r>
        <w:rPr>
          <w:spacing w:val="-5"/>
        </w:rPr>
        <w:t xml:space="preserve"> </w:t>
      </w:r>
      <w:r>
        <w:t>in</w:t>
      </w:r>
      <w:r>
        <w:rPr>
          <w:spacing w:val="-2"/>
        </w:rPr>
        <w:t xml:space="preserve"> </w:t>
      </w:r>
      <w:r>
        <w:t>alternate</w:t>
      </w:r>
      <w:r>
        <w:rPr>
          <w:spacing w:val="-4"/>
        </w:rPr>
        <w:t xml:space="preserve"> </w:t>
      </w:r>
      <w:r>
        <w:t>formats,</w:t>
      </w:r>
      <w:r>
        <w:rPr>
          <w:spacing w:val="-2"/>
        </w:rPr>
        <w:t xml:space="preserve"> </w:t>
      </w:r>
      <w:r>
        <w:t>to</w:t>
      </w:r>
      <w:r>
        <w:rPr>
          <w:spacing w:val="-5"/>
        </w:rPr>
        <w:t xml:space="preserve"> </w:t>
      </w:r>
      <w:r>
        <w:t>individuals</w:t>
      </w:r>
      <w:r>
        <w:rPr>
          <w:spacing w:val="-4"/>
        </w:rPr>
        <w:t xml:space="preserve"> </w:t>
      </w:r>
      <w:r>
        <w:t>with</w:t>
      </w:r>
      <w:r>
        <w:rPr>
          <w:spacing w:val="-5"/>
        </w:rPr>
        <w:t xml:space="preserve"> </w:t>
      </w:r>
      <w:r>
        <w:t>impaired</w:t>
      </w:r>
      <w:r>
        <w:rPr>
          <w:spacing w:val="-5"/>
        </w:rPr>
        <w:t xml:space="preserve"> </w:t>
      </w:r>
      <w:r>
        <w:t>sensory, manual, or speaking skills where necessary to afford such persons an equal opportunity to benefit from the service.</w:t>
      </w:r>
    </w:p>
    <w:p>
      <w:pPr>
        <w:spacing w:before="163"/>
        <w:ind w:left="119" w:right="0" w:firstLine="0"/>
        <w:jc w:val="left"/>
        <w:rPr>
          <w:i/>
          <w:sz w:val="22"/>
        </w:rPr>
      </w:pPr>
      <w:r>
        <w:rPr>
          <w:i/>
          <w:sz w:val="22"/>
        </w:rPr>
        <w:t>Questions</w:t>
      </w:r>
      <w:r>
        <w:rPr>
          <w:i/>
          <w:spacing w:val="-6"/>
          <w:sz w:val="22"/>
        </w:rPr>
        <w:t xml:space="preserve"> </w:t>
      </w:r>
      <w:r>
        <w:rPr>
          <w:i/>
          <w:sz w:val="22"/>
        </w:rPr>
        <w:t>from</w:t>
      </w:r>
      <w:r>
        <w:rPr>
          <w:i/>
          <w:spacing w:val="-8"/>
          <w:sz w:val="22"/>
        </w:rPr>
        <w:t xml:space="preserve"> </w:t>
      </w:r>
      <w:r>
        <w:rPr>
          <w:i/>
          <w:sz w:val="22"/>
        </w:rPr>
        <w:t>Multiple</w:t>
      </w:r>
      <w:r>
        <w:rPr>
          <w:i/>
          <w:spacing w:val="-4"/>
          <w:sz w:val="22"/>
        </w:rPr>
        <w:t xml:space="preserve"> </w:t>
      </w:r>
      <w:r>
        <w:rPr>
          <w:i/>
          <w:sz w:val="22"/>
        </w:rPr>
        <w:t>Assessment</w:t>
      </w:r>
      <w:r>
        <w:rPr>
          <w:i/>
          <w:spacing w:val="-5"/>
          <w:sz w:val="22"/>
        </w:rPr>
        <w:t xml:space="preserve"> </w:t>
      </w:r>
      <w:r>
        <w:rPr>
          <w:i/>
          <w:spacing w:val="-2"/>
          <w:sz w:val="22"/>
        </w:rPr>
        <w:t>Instruments</w:t>
      </w:r>
    </w:p>
    <w:p>
      <w:pPr>
        <w:pStyle w:val="BodyText"/>
        <w:spacing w:before="157"/>
        <w:ind w:right="169"/>
      </w:pPr>
      <w:r>
        <w:t>SNPs are not required to adopt any of these screening instruments wholesale; rather, SNPs must adopt one</w:t>
      </w:r>
      <w:r>
        <w:rPr>
          <w:spacing w:val="-1"/>
        </w:rPr>
        <w:t xml:space="preserve"> </w:t>
      </w:r>
      <w:r>
        <w:t>or more</w:t>
      </w:r>
      <w:r>
        <w:rPr>
          <w:spacing w:val="-1"/>
        </w:rPr>
        <w:t xml:space="preserve"> </w:t>
      </w:r>
      <w:r>
        <w:t>questions</w:t>
      </w:r>
      <w:r>
        <w:rPr>
          <w:spacing w:val="-1"/>
        </w:rPr>
        <w:t xml:space="preserve"> </w:t>
      </w:r>
      <w:r>
        <w:t>related</w:t>
      </w:r>
      <w:r>
        <w:rPr>
          <w:spacing w:val="-1"/>
        </w:rPr>
        <w:t xml:space="preserve"> </w:t>
      </w:r>
      <w:r>
        <w:t>to</w:t>
      </w:r>
      <w:r>
        <w:rPr>
          <w:spacing w:val="-4"/>
        </w:rPr>
        <w:t xml:space="preserve"> </w:t>
      </w:r>
      <w:r>
        <w:t>each</w:t>
      </w:r>
      <w:r>
        <w:rPr>
          <w:spacing w:val="-4"/>
        </w:rPr>
        <w:t xml:space="preserve"> </w:t>
      </w:r>
      <w:r>
        <w:t>of</w:t>
      </w:r>
      <w:r>
        <w:rPr>
          <w:spacing w:val="-3"/>
        </w:rPr>
        <w:t xml:space="preserve"> </w:t>
      </w:r>
      <w:r>
        <w:t>the</w:t>
      </w:r>
      <w:r>
        <w:rPr>
          <w:spacing w:val="-3"/>
        </w:rPr>
        <w:t xml:space="preserve"> </w:t>
      </w:r>
      <w:r>
        <w:t>required</w:t>
      </w:r>
      <w:r>
        <w:rPr>
          <w:spacing w:val="-4"/>
        </w:rPr>
        <w:t xml:space="preserve"> </w:t>
      </w:r>
      <w:r>
        <w:t>three</w:t>
      </w:r>
      <w:r>
        <w:rPr>
          <w:spacing w:val="-3"/>
        </w:rPr>
        <w:t xml:space="preserve"> </w:t>
      </w:r>
      <w:r>
        <w:t>domains</w:t>
      </w:r>
      <w:r>
        <w:rPr>
          <w:spacing w:val="-1"/>
        </w:rPr>
        <w:t xml:space="preserve"> </w:t>
      </w:r>
      <w:r>
        <w:t>specified</w:t>
      </w:r>
      <w:r>
        <w:rPr>
          <w:spacing w:val="-1"/>
        </w:rPr>
        <w:t xml:space="preserve"> </w:t>
      </w:r>
      <w:r>
        <w:t>in</w:t>
      </w:r>
      <w:r>
        <w:rPr>
          <w:spacing w:val="-1"/>
        </w:rPr>
        <w:t xml:space="preserve"> </w:t>
      </w:r>
      <w:r>
        <w:t>§</w:t>
      </w:r>
      <w:r>
        <w:rPr>
          <w:spacing w:val="-4"/>
        </w:rPr>
        <w:t xml:space="preserve"> </w:t>
      </w:r>
      <w:r>
        <w:t>422.101(f)(1)(i)</w:t>
      </w:r>
      <w:r>
        <w:rPr>
          <w:spacing w:val="-4"/>
        </w:rPr>
        <w:t xml:space="preserve"> </w:t>
      </w:r>
      <w:r>
        <w:t>in</w:t>
      </w:r>
      <w:r>
        <w:rPr>
          <w:spacing w:val="-4"/>
        </w:rPr>
        <w:t xml:space="preserve"> </w:t>
      </w:r>
      <w:r>
        <w:t>their HRAs. SNPs do not need to select questions on the three required domains from just one assessment instrument. For example, a SNP may</w:t>
      </w:r>
      <w:r>
        <w:rPr>
          <w:spacing w:val="-1"/>
        </w:rPr>
        <w:t xml:space="preserve"> </w:t>
      </w:r>
      <w:r>
        <w:t>choose one question from</w:t>
      </w:r>
      <w:r>
        <w:rPr>
          <w:spacing w:val="-2"/>
        </w:rPr>
        <w:t xml:space="preserve"> </w:t>
      </w:r>
      <w:r>
        <w:t>a particular screening</w:t>
      </w:r>
      <w:r>
        <w:rPr>
          <w:spacing w:val="-1"/>
        </w:rPr>
        <w:t xml:space="preserve"> </w:t>
      </w:r>
      <w:r>
        <w:t>instrument on</w:t>
      </w:r>
      <w:r>
        <w:rPr>
          <w:spacing w:val="-1"/>
        </w:rPr>
        <w:t xml:space="preserve"> </w:t>
      </w:r>
      <w:r>
        <w:t>food security,</w:t>
      </w:r>
      <w:r>
        <w:rPr>
          <w:spacing w:val="-1"/>
        </w:rPr>
        <w:t xml:space="preserve"> </w:t>
      </w:r>
      <w:r>
        <w:t>and</w:t>
      </w:r>
      <w:r>
        <w:rPr>
          <w:spacing w:val="-1"/>
        </w:rPr>
        <w:t xml:space="preserve"> </w:t>
      </w:r>
      <w:r>
        <w:t>a</w:t>
      </w:r>
      <w:r>
        <w:rPr>
          <w:spacing w:val="-1"/>
        </w:rPr>
        <w:t xml:space="preserve"> </w:t>
      </w:r>
      <w:r>
        <w:t>question</w:t>
      </w:r>
      <w:r>
        <w:rPr>
          <w:spacing w:val="-4"/>
        </w:rPr>
        <w:t xml:space="preserve"> </w:t>
      </w:r>
      <w:r>
        <w:t>on</w:t>
      </w:r>
      <w:r>
        <w:rPr>
          <w:spacing w:val="-4"/>
        </w:rPr>
        <w:t xml:space="preserve"> </w:t>
      </w:r>
      <w:r>
        <w:t>housing</w:t>
      </w:r>
      <w:r>
        <w:rPr>
          <w:spacing w:val="-4"/>
        </w:rPr>
        <w:t xml:space="preserve"> </w:t>
      </w:r>
      <w:r>
        <w:t>stability</w:t>
      </w:r>
      <w:r>
        <w:rPr>
          <w:spacing w:val="-4"/>
        </w:rPr>
        <w:t xml:space="preserve"> </w:t>
      </w:r>
      <w:r>
        <w:t>from</w:t>
      </w:r>
      <w:r>
        <w:rPr>
          <w:spacing w:val="-5"/>
        </w:rPr>
        <w:t xml:space="preserve"> </w:t>
      </w:r>
      <w:r>
        <w:t>another screening</w:t>
      </w:r>
      <w:r>
        <w:rPr>
          <w:spacing w:val="-4"/>
        </w:rPr>
        <w:t xml:space="preserve"> </w:t>
      </w:r>
      <w:r>
        <w:t>instrument.</w:t>
      </w:r>
      <w:r>
        <w:rPr>
          <w:spacing w:val="-4"/>
        </w:rPr>
        <w:t xml:space="preserve"> </w:t>
      </w:r>
      <w:r>
        <w:t>This</w:t>
      </w:r>
      <w:r>
        <w:rPr>
          <w:spacing w:val="-1"/>
        </w:rPr>
        <w:t xml:space="preserve"> </w:t>
      </w:r>
      <w:r>
        <w:t>also</w:t>
      </w:r>
      <w:r>
        <w:rPr>
          <w:spacing w:val="-4"/>
        </w:rPr>
        <w:t xml:space="preserve"> </w:t>
      </w:r>
      <w:r>
        <w:t>applies</w:t>
      </w:r>
      <w:r>
        <w:rPr>
          <w:spacing w:val="-1"/>
        </w:rPr>
        <w:t xml:space="preserve"> </w:t>
      </w:r>
      <w:r>
        <w:t>to</w:t>
      </w:r>
      <w:r>
        <w:rPr>
          <w:spacing w:val="-1"/>
        </w:rPr>
        <w:t xml:space="preserve"> </w:t>
      </w:r>
      <w:r>
        <w:t>state- required assessment instruments. For example, if a SNP uses a state-required assessment that includes questions about housing stability and food security, but does not include any questions about access to transportation, the SNP must still include a question on access to transportation in its HRA and therefore must select one</w:t>
      </w:r>
      <w:r>
        <w:rPr>
          <w:spacing w:val="-1"/>
        </w:rPr>
        <w:t xml:space="preserve"> </w:t>
      </w:r>
      <w:r>
        <w:t>or more</w:t>
      </w:r>
      <w:r>
        <w:rPr>
          <w:spacing w:val="-1"/>
        </w:rPr>
        <w:t xml:space="preserve"> </w:t>
      </w:r>
      <w:r>
        <w:t>questions</w:t>
      </w:r>
      <w:r>
        <w:rPr>
          <w:spacing w:val="-3"/>
        </w:rPr>
        <w:t xml:space="preserve"> </w:t>
      </w:r>
      <w:r>
        <w:t>on</w:t>
      </w:r>
      <w:r>
        <w:rPr>
          <w:spacing w:val="-1"/>
        </w:rPr>
        <w:t xml:space="preserve"> </w:t>
      </w:r>
      <w:r>
        <w:t>access</w:t>
      </w:r>
      <w:r>
        <w:rPr>
          <w:spacing w:val="-1"/>
        </w:rPr>
        <w:t xml:space="preserve"> </w:t>
      </w:r>
      <w:r>
        <w:t>to</w:t>
      </w:r>
      <w:r>
        <w:rPr>
          <w:spacing w:val="-1"/>
        </w:rPr>
        <w:t xml:space="preserve"> </w:t>
      </w:r>
      <w:r>
        <w:t>transportation</w:t>
      </w:r>
      <w:r>
        <w:rPr>
          <w:spacing w:val="-1"/>
        </w:rPr>
        <w:t xml:space="preserve"> </w:t>
      </w:r>
      <w:r>
        <w:t>from</w:t>
      </w:r>
      <w:r>
        <w:rPr>
          <w:spacing w:val="-5"/>
        </w:rPr>
        <w:t xml:space="preserve"> </w:t>
      </w:r>
      <w:r>
        <w:t>an</w:t>
      </w:r>
      <w:r>
        <w:rPr>
          <w:spacing w:val="-1"/>
        </w:rPr>
        <w:t xml:space="preserve"> </w:t>
      </w:r>
      <w:r>
        <w:t>assessment</w:t>
      </w:r>
      <w:r>
        <w:rPr>
          <w:spacing w:val="-3"/>
        </w:rPr>
        <w:t xml:space="preserve"> </w:t>
      </w:r>
      <w:r>
        <w:t>instrument specified</w:t>
      </w:r>
      <w:r>
        <w:rPr>
          <w:spacing w:val="-1"/>
        </w:rPr>
        <w:t xml:space="preserve"> </w:t>
      </w:r>
      <w:r>
        <w:t>by CMS in this guidance.</w:t>
      </w:r>
    </w:p>
    <w:p>
      <w:pPr>
        <w:spacing w:before="163"/>
        <w:ind w:left="119" w:right="0" w:firstLine="0"/>
        <w:jc w:val="left"/>
        <w:rPr>
          <w:i/>
          <w:sz w:val="22"/>
        </w:rPr>
      </w:pPr>
      <w:r>
        <w:rPr>
          <w:i/>
          <w:sz w:val="22"/>
        </w:rPr>
        <w:t>Assessment</w:t>
      </w:r>
      <w:r>
        <w:rPr>
          <w:i/>
          <w:spacing w:val="-8"/>
          <w:sz w:val="22"/>
        </w:rPr>
        <w:t xml:space="preserve"> </w:t>
      </w:r>
      <w:r>
        <w:rPr>
          <w:i/>
          <w:sz w:val="22"/>
        </w:rPr>
        <w:t>Instruments</w:t>
      </w:r>
      <w:r>
        <w:rPr>
          <w:i/>
          <w:spacing w:val="-4"/>
          <w:sz w:val="22"/>
        </w:rPr>
        <w:t xml:space="preserve"> </w:t>
      </w:r>
      <w:r>
        <w:rPr>
          <w:i/>
          <w:sz w:val="22"/>
        </w:rPr>
        <w:t>with</w:t>
      </w:r>
      <w:r>
        <w:rPr>
          <w:i/>
          <w:spacing w:val="-4"/>
          <w:sz w:val="22"/>
        </w:rPr>
        <w:t xml:space="preserve"> </w:t>
      </w:r>
      <w:r>
        <w:rPr>
          <w:i/>
          <w:sz w:val="22"/>
        </w:rPr>
        <w:t>Multiple</w:t>
      </w:r>
      <w:r>
        <w:rPr>
          <w:i/>
          <w:spacing w:val="-4"/>
          <w:sz w:val="22"/>
        </w:rPr>
        <w:t xml:space="preserve"> </w:t>
      </w:r>
      <w:r>
        <w:rPr>
          <w:i/>
          <w:sz w:val="22"/>
        </w:rPr>
        <w:t>Questions</w:t>
      </w:r>
      <w:r>
        <w:rPr>
          <w:i/>
          <w:spacing w:val="-4"/>
          <w:sz w:val="22"/>
        </w:rPr>
        <w:t xml:space="preserve"> </w:t>
      </w:r>
      <w:r>
        <w:rPr>
          <w:i/>
          <w:sz w:val="22"/>
        </w:rPr>
        <w:t>on</w:t>
      </w:r>
      <w:r>
        <w:rPr>
          <w:i/>
          <w:spacing w:val="-7"/>
          <w:sz w:val="22"/>
        </w:rPr>
        <w:t xml:space="preserve"> </w:t>
      </w:r>
      <w:r>
        <w:rPr>
          <w:i/>
          <w:sz w:val="22"/>
        </w:rPr>
        <w:t>the</w:t>
      </w:r>
      <w:r>
        <w:rPr>
          <w:i/>
          <w:spacing w:val="-6"/>
          <w:sz w:val="22"/>
        </w:rPr>
        <w:t xml:space="preserve"> </w:t>
      </w:r>
      <w:r>
        <w:rPr>
          <w:i/>
          <w:sz w:val="22"/>
        </w:rPr>
        <w:t>Same</w:t>
      </w:r>
      <w:r>
        <w:rPr>
          <w:i/>
          <w:spacing w:val="-3"/>
          <w:sz w:val="22"/>
        </w:rPr>
        <w:t xml:space="preserve"> </w:t>
      </w:r>
      <w:r>
        <w:rPr>
          <w:i/>
          <w:spacing w:val="-2"/>
          <w:sz w:val="22"/>
        </w:rPr>
        <w:t>Domain</w:t>
      </w:r>
    </w:p>
    <w:p>
      <w:pPr>
        <w:pStyle w:val="BodyText"/>
        <w:spacing w:before="157"/>
        <w:ind w:right="166"/>
      </w:pPr>
      <w:r>
        <w:t>There may be instances where an instrument includes multiple questions in the required domains. For example,</w:t>
      </w:r>
      <w:r>
        <w:rPr>
          <w:spacing w:val="-2"/>
        </w:rPr>
        <w:t xml:space="preserve"> </w:t>
      </w:r>
      <w:r>
        <w:t>an</w:t>
      </w:r>
      <w:r>
        <w:rPr>
          <w:spacing w:val="-5"/>
        </w:rPr>
        <w:t xml:space="preserve"> </w:t>
      </w:r>
      <w:r>
        <w:t>assessment</w:t>
      </w:r>
      <w:r>
        <w:rPr>
          <w:spacing w:val="-1"/>
        </w:rPr>
        <w:t xml:space="preserve"> </w:t>
      </w:r>
      <w:r>
        <w:t>instrument</w:t>
      </w:r>
      <w:r>
        <w:rPr>
          <w:spacing w:val="-1"/>
        </w:rPr>
        <w:t xml:space="preserve"> </w:t>
      </w:r>
      <w:r>
        <w:t>may</w:t>
      </w:r>
      <w:r>
        <w:rPr>
          <w:spacing w:val="-5"/>
        </w:rPr>
        <w:t xml:space="preserve"> </w:t>
      </w:r>
      <w:r>
        <w:t>include</w:t>
      </w:r>
      <w:r>
        <w:rPr>
          <w:spacing w:val="-4"/>
        </w:rPr>
        <w:t xml:space="preserve"> </w:t>
      </w:r>
      <w:r>
        <w:t>a</w:t>
      </w:r>
      <w:r>
        <w:rPr>
          <w:spacing w:val="-2"/>
        </w:rPr>
        <w:t xml:space="preserve"> </w:t>
      </w:r>
      <w:r>
        <w:t>question</w:t>
      </w:r>
      <w:r>
        <w:rPr>
          <w:spacing w:val="-5"/>
        </w:rPr>
        <w:t xml:space="preserve"> </w:t>
      </w:r>
      <w:r>
        <w:t>about</w:t>
      </w:r>
      <w:r>
        <w:rPr>
          <w:spacing w:val="-1"/>
        </w:rPr>
        <w:t xml:space="preserve"> </w:t>
      </w:r>
      <w:r>
        <w:t>housing</w:t>
      </w:r>
      <w:r>
        <w:rPr>
          <w:spacing w:val="-5"/>
        </w:rPr>
        <w:t xml:space="preserve"> </w:t>
      </w:r>
      <w:r>
        <w:t>instability</w:t>
      </w:r>
      <w:r>
        <w:rPr>
          <w:spacing w:val="-5"/>
        </w:rPr>
        <w:t xml:space="preserve"> </w:t>
      </w:r>
      <w:r>
        <w:t>as</w:t>
      </w:r>
      <w:r>
        <w:rPr>
          <w:spacing w:val="-2"/>
        </w:rPr>
        <w:t xml:space="preserve"> </w:t>
      </w:r>
      <w:r>
        <w:t>well</w:t>
      </w:r>
      <w:r>
        <w:rPr>
          <w:spacing w:val="-1"/>
        </w:rPr>
        <w:t xml:space="preserve"> </w:t>
      </w:r>
      <w:r>
        <w:t>as</w:t>
      </w:r>
      <w:r>
        <w:rPr>
          <w:spacing w:val="-4"/>
        </w:rPr>
        <w:t xml:space="preserve"> </w:t>
      </w:r>
      <w:r>
        <w:t>a</w:t>
      </w:r>
      <w:r>
        <w:rPr>
          <w:spacing w:val="-2"/>
        </w:rPr>
        <w:t xml:space="preserve"> </w:t>
      </w:r>
      <w:r>
        <w:t>question</w:t>
      </w:r>
    </w:p>
    <w:p>
      <w:pPr>
        <w:spacing w:after="0"/>
        <w:sectPr>
          <w:pgSz w:w="12240" w:h="15840"/>
          <w:pgMar w:top="1360" w:right="1320" w:bottom="960" w:left="1320" w:header="0" w:footer="765"/>
          <w:cols w:space="720"/>
        </w:sectPr>
      </w:pPr>
    </w:p>
    <w:p>
      <w:pPr>
        <w:pStyle w:val="BodyText"/>
        <w:spacing w:before="78"/>
        <w:ind w:right="121"/>
      </w:pPr>
      <w:r>
        <w:t>about</w:t>
      </w:r>
      <w:r>
        <w:rPr>
          <w:spacing w:val="-3"/>
        </w:rPr>
        <w:t xml:space="preserve"> </w:t>
      </w:r>
      <w:r>
        <w:t>quality</w:t>
      </w:r>
      <w:r>
        <w:rPr>
          <w:spacing w:val="-4"/>
        </w:rPr>
        <w:t xml:space="preserve"> </w:t>
      </w:r>
      <w:r>
        <w:t>of housing—both</w:t>
      </w:r>
      <w:r>
        <w:rPr>
          <w:spacing w:val="-1"/>
        </w:rPr>
        <w:t xml:space="preserve"> </w:t>
      </w:r>
      <w:r>
        <w:t>of which</w:t>
      </w:r>
      <w:r>
        <w:rPr>
          <w:spacing w:val="-1"/>
        </w:rPr>
        <w:t xml:space="preserve"> </w:t>
      </w:r>
      <w:r>
        <w:t>pertain</w:t>
      </w:r>
      <w:r>
        <w:rPr>
          <w:spacing w:val="-4"/>
        </w:rPr>
        <w:t xml:space="preserve"> </w:t>
      </w:r>
      <w:r>
        <w:t>to</w:t>
      </w:r>
      <w:r>
        <w:rPr>
          <w:spacing w:val="-4"/>
        </w:rPr>
        <w:t xml:space="preserve"> </w:t>
      </w:r>
      <w:r>
        <w:t>the</w:t>
      </w:r>
      <w:r>
        <w:rPr>
          <w:spacing w:val="-3"/>
        </w:rPr>
        <w:t xml:space="preserve"> </w:t>
      </w:r>
      <w:r>
        <w:t>required</w:t>
      </w:r>
      <w:r>
        <w:rPr>
          <w:spacing w:val="-1"/>
        </w:rPr>
        <w:t xml:space="preserve"> </w:t>
      </w:r>
      <w:r>
        <w:t>housing</w:t>
      </w:r>
      <w:r>
        <w:rPr>
          <w:spacing w:val="-4"/>
        </w:rPr>
        <w:t xml:space="preserve"> </w:t>
      </w:r>
      <w:r>
        <w:t>stability</w:t>
      </w:r>
      <w:r>
        <w:rPr>
          <w:spacing w:val="-4"/>
        </w:rPr>
        <w:t xml:space="preserve"> </w:t>
      </w:r>
      <w:r>
        <w:t>domain.</w:t>
      </w:r>
      <w:r>
        <w:rPr>
          <w:spacing w:val="-1"/>
        </w:rPr>
        <w:t xml:space="preserve"> </w:t>
      </w:r>
      <w:r>
        <w:t>If an</w:t>
      </w:r>
      <w:r>
        <w:rPr>
          <w:spacing w:val="-1"/>
        </w:rPr>
        <w:t xml:space="preserve"> </w:t>
      </w:r>
      <w:r>
        <w:t xml:space="preserve">instrument includes more than one question for a domain and a SNP elects to screen for that domain using that instrument, we recommend and strongly encourage the SNP adopt </w:t>
      </w:r>
      <w:r>
        <w:rPr>
          <w:i/>
        </w:rPr>
        <w:t xml:space="preserve">all </w:t>
      </w:r>
      <w:r>
        <w:t>of the questions for that domain in their health risk assessment. Validated assessment instruments with multiple questions on the same domain</w:t>
      </w:r>
      <w:r>
        <w:rPr>
          <w:spacing w:val="-2"/>
        </w:rPr>
        <w:t xml:space="preserve"> </w:t>
      </w:r>
      <w:r>
        <w:t>have</w:t>
      </w:r>
      <w:r>
        <w:rPr>
          <w:spacing w:val="-2"/>
        </w:rPr>
        <w:t xml:space="preserve"> </w:t>
      </w:r>
      <w:r>
        <w:t>been</w:t>
      </w:r>
      <w:r>
        <w:rPr>
          <w:spacing w:val="-2"/>
        </w:rPr>
        <w:t xml:space="preserve"> </w:t>
      </w:r>
      <w:r>
        <w:t>validated</w:t>
      </w:r>
      <w:r>
        <w:rPr>
          <w:spacing w:val="-2"/>
        </w:rPr>
        <w:t xml:space="preserve"> </w:t>
      </w:r>
      <w:r>
        <w:t>as</w:t>
      </w:r>
      <w:r>
        <w:rPr>
          <w:spacing w:val="-2"/>
        </w:rPr>
        <w:t xml:space="preserve"> </w:t>
      </w:r>
      <w:r>
        <w:t>a</w:t>
      </w:r>
      <w:r>
        <w:rPr>
          <w:spacing w:val="-4"/>
        </w:rPr>
        <w:t xml:space="preserve"> </w:t>
      </w:r>
      <w:r>
        <w:t>panel</w:t>
      </w:r>
      <w:r>
        <w:rPr>
          <w:spacing w:val="-1"/>
        </w:rPr>
        <w:t xml:space="preserve"> </w:t>
      </w:r>
      <w:r>
        <w:t>of</w:t>
      </w:r>
      <w:r>
        <w:rPr>
          <w:spacing w:val="-1"/>
        </w:rPr>
        <w:t xml:space="preserve"> </w:t>
      </w:r>
      <w:r>
        <w:t>questions</w:t>
      </w:r>
      <w:r>
        <w:rPr>
          <w:spacing w:val="-4"/>
        </w:rPr>
        <w:t xml:space="preserve"> </w:t>
      </w:r>
      <w:r>
        <w:t>and</w:t>
      </w:r>
      <w:r>
        <w:rPr>
          <w:spacing w:val="-2"/>
        </w:rPr>
        <w:t xml:space="preserve"> </w:t>
      </w:r>
      <w:r>
        <w:t>may</w:t>
      </w:r>
      <w:r>
        <w:rPr>
          <w:spacing w:val="-5"/>
        </w:rPr>
        <w:t xml:space="preserve"> </w:t>
      </w:r>
      <w:r>
        <w:t>be</w:t>
      </w:r>
      <w:r>
        <w:rPr>
          <w:spacing w:val="-2"/>
        </w:rPr>
        <w:t xml:space="preserve"> </w:t>
      </w:r>
      <w:r>
        <w:t>less</w:t>
      </w:r>
      <w:r>
        <w:rPr>
          <w:spacing w:val="-2"/>
        </w:rPr>
        <w:t xml:space="preserve"> </w:t>
      </w:r>
      <w:r>
        <w:t>accurate</w:t>
      </w:r>
      <w:r>
        <w:rPr>
          <w:spacing w:val="-4"/>
        </w:rPr>
        <w:t xml:space="preserve"> </w:t>
      </w:r>
      <w:r>
        <w:t>at</w:t>
      </w:r>
      <w:r>
        <w:rPr>
          <w:spacing w:val="-4"/>
        </w:rPr>
        <w:t xml:space="preserve"> </w:t>
      </w:r>
      <w:r>
        <w:t>screening</w:t>
      </w:r>
      <w:r>
        <w:rPr>
          <w:spacing w:val="-5"/>
        </w:rPr>
        <w:t xml:space="preserve"> </w:t>
      </w:r>
      <w:r>
        <w:t>an</w:t>
      </w:r>
      <w:r>
        <w:rPr>
          <w:spacing w:val="-2"/>
        </w:rPr>
        <w:t xml:space="preserve"> </w:t>
      </w:r>
      <w:r>
        <w:t>enrollee</w:t>
      </w:r>
      <w:r>
        <w:rPr>
          <w:spacing w:val="-2"/>
        </w:rPr>
        <w:t xml:space="preserve"> </w:t>
      </w:r>
      <w:r>
        <w:t>for</w:t>
      </w:r>
      <w:r>
        <w:rPr>
          <w:spacing w:val="-1"/>
        </w:rPr>
        <w:t xml:space="preserve"> </w:t>
      </w:r>
      <w:r>
        <w:t>a particular need when only one question from that panel is used. However, a SNP can comply with § 422.101(f)(1)(i) even if the plan does not use the full suite of questions on a domain from a particular screening instrument.</w:t>
      </w:r>
    </w:p>
    <w:p>
      <w:pPr>
        <w:pStyle w:val="BodyText"/>
        <w:spacing w:before="0"/>
        <w:ind w:left="0"/>
        <w:rPr>
          <w:sz w:val="20"/>
        </w:rPr>
      </w:pPr>
    </w:p>
    <w:p>
      <w:pPr>
        <w:pStyle w:val="BodyText"/>
        <w:spacing w:before="0"/>
        <w:ind w:left="0"/>
        <w:rPr>
          <w:sz w:val="20"/>
        </w:rPr>
      </w:pPr>
    </w:p>
    <w:p>
      <w:pPr>
        <w:pStyle w:val="BodyText"/>
        <w:spacing w:before="0"/>
        <w:ind w:left="0"/>
        <w:rPr>
          <w:sz w:val="10"/>
        </w:rPr>
      </w:pPr>
    </w:p>
    <w:tbl>
      <w:tblPr>
        <w:tblStyle w:val="TableNormal"/>
        <w:tblW w:w="0" w:type="auto"/>
        <w:jc w:val="left"/>
        <w:tblInd w:w="13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top w:w="0" w:type="dxa"/>
          <w:left w:w="0" w:type="dxa"/>
          <w:bottom w:w="0" w:type="dxa"/>
          <w:right w:w="0" w:type="dxa"/>
        </w:tblCellMar>
        <w:tblLook w:val="01E0"/>
      </w:tblPr>
      <w:tblGrid>
        <w:gridCol w:w="4805"/>
        <w:gridCol w:w="1443"/>
        <w:gridCol w:w="1445"/>
        <w:gridCol w:w="1659"/>
      </w:tblGrid>
      <w:tr>
        <w:tblPrEx>
          <w:tblW w:w="0" w:type="auto"/>
          <w:jc w:val="left"/>
          <w:tblInd w:w="13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top w:w="0" w:type="dxa"/>
            <w:left w:w="0" w:type="dxa"/>
            <w:bottom w:w="0" w:type="dxa"/>
            <w:right w:w="0" w:type="dxa"/>
          </w:tblCellMar>
          <w:tblLook w:val="01E0"/>
        </w:tblPrEx>
        <w:trPr>
          <w:trHeight w:val="505"/>
          <w:jc w:val="left"/>
        </w:trPr>
        <w:tc>
          <w:tcPr>
            <w:tcW w:w="9352" w:type="dxa"/>
            <w:gridSpan w:val="4"/>
            <w:shd w:val="clear" w:color="auto" w:fill="DEEAF6"/>
          </w:tcPr>
          <w:p>
            <w:pPr>
              <w:pStyle w:val="TableParagraph"/>
              <w:spacing w:before="11"/>
              <w:rPr>
                <w:sz w:val="21"/>
              </w:rPr>
            </w:pPr>
          </w:p>
          <w:p>
            <w:pPr>
              <w:pStyle w:val="TableParagraph"/>
              <w:spacing w:line="233" w:lineRule="exact"/>
              <w:ind w:left="107"/>
              <w:rPr>
                <w:b/>
                <w:sz w:val="22"/>
              </w:rPr>
            </w:pPr>
            <w:r>
              <w:rPr>
                <w:b/>
                <w:sz w:val="22"/>
              </w:rPr>
              <w:t>Social</w:t>
            </w:r>
            <w:r>
              <w:rPr>
                <w:b/>
                <w:spacing w:val="-4"/>
                <w:sz w:val="22"/>
              </w:rPr>
              <w:t xml:space="preserve"> </w:t>
            </w:r>
            <w:r>
              <w:rPr>
                <w:b/>
                <w:sz w:val="22"/>
              </w:rPr>
              <w:t>Needs</w:t>
            </w:r>
            <w:r>
              <w:rPr>
                <w:b/>
                <w:spacing w:val="-5"/>
                <w:sz w:val="22"/>
              </w:rPr>
              <w:t xml:space="preserve"> </w:t>
            </w:r>
            <w:r>
              <w:rPr>
                <w:b/>
                <w:sz w:val="22"/>
              </w:rPr>
              <w:t>Screening</w:t>
            </w:r>
            <w:r>
              <w:rPr>
                <w:b/>
                <w:spacing w:val="-4"/>
                <w:sz w:val="22"/>
              </w:rPr>
              <w:t xml:space="preserve"> </w:t>
            </w:r>
            <w:r>
              <w:rPr>
                <w:b/>
                <w:spacing w:val="-2"/>
                <w:sz w:val="22"/>
              </w:rPr>
              <w:t>Instruments</w:t>
            </w:r>
          </w:p>
        </w:tc>
      </w:tr>
      <w:tr>
        <w:tblPrEx>
          <w:tblW w:w="0" w:type="auto"/>
          <w:jc w:val="left"/>
          <w:tblInd w:w="130" w:type="dxa"/>
          <w:tblLayout w:type="fixed"/>
          <w:tblCellMar>
            <w:top w:w="0" w:type="dxa"/>
            <w:left w:w="0" w:type="dxa"/>
            <w:bottom w:w="0" w:type="dxa"/>
            <w:right w:w="0" w:type="dxa"/>
          </w:tblCellMar>
          <w:tblLook w:val="01E0"/>
        </w:tblPrEx>
        <w:trPr>
          <w:trHeight w:val="506"/>
          <w:jc w:val="left"/>
        </w:trPr>
        <w:tc>
          <w:tcPr>
            <w:tcW w:w="4805" w:type="dxa"/>
            <w:tcBorders>
              <w:left w:val="single" w:sz="4" w:space="0" w:color="9CC2E4"/>
              <w:bottom w:val="single" w:sz="4" w:space="0" w:color="9CC2E4"/>
              <w:right w:val="single" w:sz="4" w:space="0" w:color="9CC2E4"/>
            </w:tcBorders>
            <w:shd w:val="clear" w:color="auto" w:fill="DEEAF6"/>
          </w:tcPr>
          <w:p>
            <w:pPr>
              <w:pStyle w:val="TableParagraph"/>
              <w:rPr>
                <w:sz w:val="22"/>
              </w:rPr>
            </w:pPr>
          </w:p>
        </w:tc>
        <w:tc>
          <w:tcPr>
            <w:tcW w:w="1443" w:type="dxa"/>
            <w:tcBorders>
              <w:left w:val="single" w:sz="4" w:space="0" w:color="9CC2E4"/>
              <w:bottom w:val="single" w:sz="4" w:space="0" w:color="9CC2E4"/>
              <w:right w:val="single" w:sz="4" w:space="0" w:color="9CC2E4"/>
            </w:tcBorders>
            <w:shd w:val="clear" w:color="auto" w:fill="DEEAF6"/>
          </w:tcPr>
          <w:p>
            <w:pPr>
              <w:pStyle w:val="TableParagraph"/>
              <w:spacing w:line="254" w:lineRule="exact"/>
              <w:ind w:left="323" w:firstLine="4"/>
              <w:rPr>
                <w:b/>
                <w:sz w:val="22"/>
              </w:rPr>
            </w:pPr>
            <w:r>
              <w:rPr>
                <w:b/>
                <w:spacing w:val="-2"/>
                <w:sz w:val="22"/>
              </w:rPr>
              <w:t>Housing Stability</w:t>
            </w:r>
          </w:p>
        </w:tc>
        <w:tc>
          <w:tcPr>
            <w:tcW w:w="1445" w:type="dxa"/>
            <w:tcBorders>
              <w:left w:val="single" w:sz="4" w:space="0" w:color="9CC2E4"/>
              <w:bottom w:val="single" w:sz="4" w:space="0" w:color="9CC2E4"/>
              <w:right w:val="single" w:sz="4" w:space="0" w:color="9CC2E4"/>
            </w:tcBorders>
            <w:shd w:val="clear" w:color="auto" w:fill="DEEAF6"/>
          </w:tcPr>
          <w:p>
            <w:pPr>
              <w:pStyle w:val="TableParagraph"/>
              <w:spacing w:line="254" w:lineRule="exact"/>
              <w:ind w:left="327" w:firstLine="151"/>
              <w:rPr>
                <w:b/>
                <w:sz w:val="22"/>
              </w:rPr>
            </w:pPr>
            <w:r>
              <w:rPr>
                <w:b/>
                <w:spacing w:val="-4"/>
                <w:sz w:val="22"/>
              </w:rPr>
              <w:t xml:space="preserve">Food </w:t>
            </w:r>
            <w:r>
              <w:rPr>
                <w:b/>
                <w:spacing w:val="-2"/>
                <w:sz w:val="22"/>
              </w:rPr>
              <w:t>Security</w:t>
            </w:r>
          </w:p>
        </w:tc>
        <w:tc>
          <w:tcPr>
            <w:tcW w:w="1659" w:type="dxa"/>
            <w:tcBorders>
              <w:left w:val="single" w:sz="4" w:space="0" w:color="9CC2E4"/>
              <w:bottom w:val="single" w:sz="4" w:space="0" w:color="9CC2E4"/>
              <w:right w:val="single" w:sz="4" w:space="0" w:color="9CC2E4"/>
            </w:tcBorders>
            <w:shd w:val="clear" w:color="auto" w:fill="DEEAF6"/>
          </w:tcPr>
          <w:p>
            <w:pPr>
              <w:pStyle w:val="TableParagraph"/>
              <w:spacing w:line="254" w:lineRule="exact"/>
              <w:ind w:left="106" w:firstLine="288"/>
              <w:rPr>
                <w:b/>
                <w:sz w:val="22"/>
              </w:rPr>
            </w:pPr>
            <w:r>
              <w:rPr>
                <w:b/>
                <w:sz w:val="22"/>
              </w:rPr>
              <w:t xml:space="preserve">Access to </w:t>
            </w:r>
            <w:r>
              <w:rPr>
                <w:b/>
                <w:spacing w:val="-2"/>
                <w:sz w:val="22"/>
              </w:rPr>
              <w:t>Transportation</w:t>
            </w:r>
          </w:p>
        </w:tc>
      </w:tr>
      <w:tr>
        <w:tblPrEx>
          <w:tblW w:w="0" w:type="auto"/>
          <w:jc w:val="left"/>
          <w:tblInd w:w="130" w:type="dxa"/>
          <w:tblLayout w:type="fixed"/>
          <w:tblCellMar>
            <w:top w:w="0" w:type="dxa"/>
            <w:left w:w="0" w:type="dxa"/>
            <w:bottom w:w="0" w:type="dxa"/>
            <w:right w:w="0" w:type="dxa"/>
          </w:tblCellMar>
          <w:tblLook w:val="01E0"/>
        </w:tblPrEx>
        <w:trPr>
          <w:trHeight w:val="504"/>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left="107"/>
              <w:rPr>
                <w:sz w:val="22"/>
              </w:rPr>
            </w:pPr>
            <w:r>
              <w:rPr>
                <w:sz w:val="22"/>
              </w:rPr>
              <w:t>Accountable</w:t>
            </w:r>
            <w:r>
              <w:rPr>
                <w:spacing w:val="-6"/>
                <w:sz w:val="22"/>
              </w:rPr>
              <w:t xml:space="preserve"> </w:t>
            </w:r>
            <w:r>
              <w:rPr>
                <w:sz w:val="22"/>
              </w:rPr>
              <w:t>Health</w:t>
            </w:r>
            <w:r>
              <w:rPr>
                <w:spacing w:val="-7"/>
                <w:sz w:val="22"/>
              </w:rPr>
              <w:t xml:space="preserve"> </w:t>
            </w:r>
            <w:r>
              <w:rPr>
                <w:sz w:val="22"/>
              </w:rPr>
              <w:t>Communities</w:t>
            </w:r>
            <w:r>
              <w:rPr>
                <w:spacing w:val="-5"/>
                <w:sz w:val="22"/>
              </w:rPr>
              <w:t xml:space="preserve"> </w:t>
            </w:r>
            <w:r>
              <w:rPr>
                <w:sz w:val="22"/>
              </w:rPr>
              <w:t>(AHC)</w:t>
            </w:r>
            <w:r>
              <w:rPr>
                <w:spacing w:val="-4"/>
                <w:sz w:val="22"/>
              </w:rPr>
              <w:t xml:space="preserve"> </w:t>
            </w:r>
            <w:r>
              <w:rPr>
                <w:spacing w:val="-2"/>
                <w:sz w:val="22"/>
              </w:rPr>
              <w:t>Health-</w:t>
            </w:r>
          </w:p>
          <w:p>
            <w:pPr>
              <w:pStyle w:val="TableParagraph"/>
              <w:spacing w:before="1" w:line="233" w:lineRule="exact"/>
              <w:ind w:left="107"/>
              <w:rPr>
                <w:sz w:val="22"/>
              </w:rPr>
            </w:pPr>
            <w:r>
              <w:rPr>
                <w:sz w:val="22"/>
              </w:rPr>
              <w:t>Related</w:t>
            </w:r>
            <w:r>
              <w:rPr>
                <w:spacing w:val="-5"/>
                <w:sz w:val="22"/>
              </w:rPr>
              <w:t xml:space="preserve"> </w:t>
            </w:r>
            <w:r>
              <w:rPr>
                <w:sz w:val="22"/>
              </w:rPr>
              <w:t>Social</w:t>
            </w:r>
            <w:r>
              <w:rPr>
                <w:spacing w:val="-4"/>
                <w:sz w:val="22"/>
              </w:rPr>
              <w:t xml:space="preserve"> </w:t>
            </w:r>
            <w:r>
              <w:rPr>
                <w:sz w:val="22"/>
              </w:rPr>
              <w:t>Needs</w:t>
            </w:r>
            <w:r>
              <w:rPr>
                <w:spacing w:val="-4"/>
                <w:sz w:val="22"/>
              </w:rPr>
              <w:t xml:space="preserve"> </w:t>
            </w:r>
            <w:r>
              <w:rPr>
                <w:sz w:val="22"/>
              </w:rPr>
              <w:t>(HRSN)</w:t>
            </w:r>
            <w:r>
              <w:rPr>
                <w:spacing w:val="-4"/>
                <w:sz w:val="22"/>
              </w:rPr>
              <w:t xml:space="preserve"> </w:t>
            </w:r>
            <w:r>
              <w:rPr>
                <w:sz w:val="22"/>
              </w:rPr>
              <w:t>Screening</w:t>
            </w:r>
            <w:r>
              <w:rPr>
                <w:spacing w:val="-7"/>
                <w:sz w:val="22"/>
              </w:rPr>
              <w:t xml:space="preserve"> </w:t>
            </w:r>
            <w:r>
              <w:rPr>
                <w:spacing w:val="-4"/>
                <w:sz w:val="22"/>
              </w:rPr>
              <w:t>Tool</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49"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505"/>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54" w:lineRule="exact"/>
              <w:ind w:left="107"/>
              <w:rPr>
                <w:sz w:val="22"/>
              </w:rPr>
            </w:pPr>
            <w:r>
              <w:rPr>
                <w:sz w:val="22"/>
              </w:rPr>
              <w:t>American</w:t>
            </w:r>
            <w:r>
              <w:rPr>
                <w:spacing w:val="-6"/>
                <w:sz w:val="22"/>
              </w:rPr>
              <w:t xml:space="preserve"> </w:t>
            </w:r>
            <w:r>
              <w:rPr>
                <w:sz w:val="22"/>
              </w:rPr>
              <w:t>Academy</w:t>
            </w:r>
            <w:r>
              <w:rPr>
                <w:spacing w:val="-9"/>
                <w:sz w:val="22"/>
              </w:rPr>
              <w:t xml:space="preserve"> </w:t>
            </w:r>
            <w:r>
              <w:rPr>
                <w:sz w:val="22"/>
              </w:rPr>
              <w:t>of</w:t>
            </w:r>
            <w:r>
              <w:rPr>
                <w:spacing w:val="-5"/>
                <w:sz w:val="22"/>
              </w:rPr>
              <w:t xml:space="preserve"> </w:t>
            </w:r>
            <w:r>
              <w:rPr>
                <w:sz w:val="22"/>
              </w:rPr>
              <w:t>Family</w:t>
            </w:r>
            <w:r>
              <w:rPr>
                <w:spacing w:val="-9"/>
                <w:sz w:val="22"/>
              </w:rPr>
              <w:t xml:space="preserve"> </w:t>
            </w:r>
            <w:r>
              <w:rPr>
                <w:sz w:val="22"/>
              </w:rPr>
              <w:t>Physicians</w:t>
            </w:r>
            <w:r>
              <w:rPr>
                <w:spacing w:val="-8"/>
                <w:sz w:val="22"/>
              </w:rPr>
              <w:t xml:space="preserve"> </w:t>
            </w:r>
            <w:r>
              <w:rPr>
                <w:sz w:val="22"/>
              </w:rPr>
              <w:t>(AAFP) Social Needs Screening Tool</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2"/>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z w:val="22"/>
              </w:rPr>
              <w:t>Health</w:t>
            </w:r>
            <w:r>
              <w:rPr>
                <w:spacing w:val="-4"/>
                <w:sz w:val="22"/>
              </w:rPr>
              <w:t xml:space="preserve"> </w:t>
            </w:r>
            <w:r>
              <w:rPr>
                <w:sz w:val="22"/>
              </w:rPr>
              <w:t>Leads</w:t>
            </w:r>
            <w:r>
              <w:rPr>
                <w:spacing w:val="-4"/>
                <w:sz w:val="22"/>
              </w:rPr>
              <w:t xml:space="preserve"> </w:t>
            </w:r>
            <w:r>
              <w:rPr>
                <w:sz w:val="22"/>
              </w:rPr>
              <w:t>Screening</w:t>
            </w:r>
            <w:r>
              <w:rPr>
                <w:spacing w:val="-6"/>
                <w:sz w:val="22"/>
              </w:rPr>
              <w:t xml:space="preserve"> </w:t>
            </w:r>
            <w:r>
              <w:rPr>
                <w:spacing w:val="-2"/>
                <w:sz w:val="22"/>
              </w:rPr>
              <w:t>Panel®</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503"/>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52" w:lineRule="exact"/>
              <w:ind w:left="107"/>
              <w:rPr>
                <w:sz w:val="22"/>
              </w:rPr>
            </w:pPr>
            <w:r>
              <w:rPr>
                <w:sz w:val="22"/>
              </w:rPr>
              <w:t>Protocol</w:t>
            </w:r>
            <w:r>
              <w:rPr>
                <w:spacing w:val="-6"/>
                <w:sz w:val="22"/>
              </w:rPr>
              <w:t xml:space="preserve"> </w:t>
            </w:r>
            <w:r>
              <w:rPr>
                <w:sz w:val="22"/>
              </w:rPr>
              <w:t>for</w:t>
            </w:r>
            <w:r>
              <w:rPr>
                <w:spacing w:val="-4"/>
                <w:sz w:val="22"/>
              </w:rPr>
              <w:t xml:space="preserve"> </w:t>
            </w:r>
            <w:r>
              <w:rPr>
                <w:sz w:val="22"/>
              </w:rPr>
              <w:t>Responding</w:t>
            </w:r>
            <w:r>
              <w:rPr>
                <w:spacing w:val="-7"/>
                <w:sz w:val="22"/>
              </w:rPr>
              <w:t xml:space="preserve"> </w:t>
            </w:r>
            <w:r>
              <w:rPr>
                <w:sz w:val="22"/>
              </w:rPr>
              <w:t>to</w:t>
            </w:r>
            <w:r>
              <w:rPr>
                <w:spacing w:val="-7"/>
                <w:sz w:val="22"/>
              </w:rPr>
              <w:t xml:space="preserve"> </w:t>
            </w:r>
            <w:r>
              <w:rPr>
                <w:sz w:val="22"/>
              </w:rPr>
              <w:t>and</w:t>
            </w:r>
            <w:r>
              <w:rPr>
                <w:spacing w:val="-4"/>
                <w:sz w:val="22"/>
              </w:rPr>
              <w:t xml:space="preserve"> </w:t>
            </w:r>
            <w:r>
              <w:rPr>
                <w:sz w:val="22"/>
              </w:rPr>
              <w:t>Assessing</w:t>
            </w:r>
            <w:r>
              <w:rPr>
                <w:spacing w:val="-7"/>
                <w:sz w:val="22"/>
              </w:rPr>
              <w:t xml:space="preserve"> </w:t>
            </w:r>
            <w:r>
              <w:rPr>
                <w:sz w:val="22"/>
              </w:rPr>
              <w:t>Patients’ Assets, Risks, and Experiences [PRAPARE]®</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4"/>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3" w:lineRule="exact"/>
              <w:ind w:left="107"/>
              <w:rPr>
                <w:sz w:val="22"/>
              </w:rPr>
            </w:pPr>
            <w:r>
              <w:rPr>
                <w:sz w:val="22"/>
              </w:rPr>
              <w:t>We</w:t>
            </w:r>
            <w:r>
              <w:rPr>
                <w:spacing w:val="-2"/>
                <w:sz w:val="22"/>
              </w:rPr>
              <w:t xml:space="preserve"> </w:t>
            </w:r>
            <w:r>
              <w:rPr>
                <w:sz w:val="22"/>
              </w:rPr>
              <w:t>Care</w:t>
            </w:r>
            <w:r>
              <w:rPr>
                <w:spacing w:val="-1"/>
                <w:sz w:val="22"/>
              </w:rPr>
              <w:t xml:space="preserve"> </w:t>
            </w:r>
            <w:r>
              <w:rPr>
                <w:spacing w:val="-2"/>
                <w:sz w:val="22"/>
              </w:rPr>
              <w:t>Survey</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33"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3"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r>
      <w:tr>
        <w:tblPrEx>
          <w:tblW w:w="0" w:type="auto"/>
          <w:jc w:val="left"/>
          <w:tblInd w:w="130" w:type="dxa"/>
          <w:tblLayout w:type="fixed"/>
          <w:tblCellMar>
            <w:top w:w="0" w:type="dxa"/>
            <w:left w:w="0" w:type="dxa"/>
            <w:bottom w:w="0" w:type="dxa"/>
            <w:right w:w="0" w:type="dxa"/>
          </w:tblCellMar>
          <w:tblLook w:val="01E0"/>
        </w:tblPrEx>
        <w:trPr>
          <w:trHeight w:val="253"/>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left="107"/>
              <w:rPr>
                <w:sz w:val="22"/>
              </w:rPr>
            </w:pPr>
            <w:r>
              <w:rPr>
                <w:sz w:val="22"/>
              </w:rPr>
              <w:t>WellRx</w:t>
            </w:r>
            <w:r>
              <w:rPr>
                <w:spacing w:val="-2"/>
                <w:sz w:val="22"/>
              </w:rPr>
              <w:t xml:space="preserve"> Questionnaire</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left="12"/>
              <w:jc w:val="center"/>
              <w:rPr>
                <w:sz w:val="22"/>
              </w:rPr>
            </w:pPr>
            <w:r>
              <w:rPr>
                <w:w w:val="100"/>
                <w:sz w:val="22"/>
              </w:rPr>
              <w:t>X</w:t>
            </w: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4"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1"/>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z w:val="22"/>
              </w:rPr>
              <w:t>Hunger</w:t>
            </w:r>
            <w:r>
              <w:rPr>
                <w:spacing w:val="-6"/>
                <w:sz w:val="22"/>
              </w:rPr>
              <w:t xml:space="preserve"> </w:t>
            </w:r>
            <w:r>
              <w:rPr>
                <w:sz w:val="22"/>
              </w:rPr>
              <w:t>Vital</w:t>
            </w:r>
            <w:r>
              <w:rPr>
                <w:spacing w:val="-3"/>
                <w:sz w:val="22"/>
              </w:rPr>
              <w:t xml:space="preserve"> </w:t>
            </w:r>
            <w:r>
              <w:rPr>
                <w:sz w:val="22"/>
              </w:rPr>
              <w:t>Sign™</w:t>
            </w:r>
            <w:r>
              <w:rPr>
                <w:spacing w:val="-5"/>
                <w:sz w:val="22"/>
              </w:rPr>
              <w:t xml:space="preserve"> </w:t>
            </w:r>
            <w:r>
              <w:rPr>
                <w:spacing w:val="-4"/>
                <w:sz w:val="22"/>
              </w:rPr>
              <w:t>(HVS)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r>
      <w:tr>
        <w:tblPrEx>
          <w:tblW w:w="0" w:type="auto"/>
          <w:jc w:val="left"/>
          <w:tblInd w:w="130" w:type="dxa"/>
          <w:tblLayout w:type="fixed"/>
          <w:tblCellMar>
            <w:top w:w="0" w:type="dxa"/>
            <w:left w:w="0" w:type="dxa"/>
            <w:bottom w:w="0" w:type="dxa"/>
            <w:right w:w="0" w:type="dxa"/>
          </w:tblCellMar>
          <w:tblLook w:val="01E0"/>
        </w:tblPrEx>
        <w:trPr>
          <w:trHeight w:val="506"/>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54" w:lineRule="exact"/>
              <w:ind w:left="107"/>
              <w:rPr>
                <w:sz w:val="22"/>
              </w:rPr>
            </w:pPr>
            <w:r>
              <w:rPr>
                <w:sz w:val="22"/>
              </w:rPr>
              <w:t>U.S.</w:t>
            </w:r>
            <w:r>
              <w:rPr>
                <w:spacing w:val="-5"/>
                <w:sz w:val="22"/>
              </w:rPr>
              <w:t xml:space="preserve"> </w:t>
            </w:r>
            <w:r>
              <w:rPr>
                <w:sz w:val="22"/>
              </w:rPr>
              <w:t>Household</w:t>
            </w:r>
            <w:r>
              <w:rPr>
                <w:spacing w:val="-5"/>
                <w:sz w:val="22"/>
              </w:rPr>
              <w:t xml:space="preserve"> </w:t>
            </w:r>
            <w:r>
              <w:rPr>
                <w:sz w:val="22"/>
              </w:rPr>
              <w:t>Food</w:t>
            </w:r>
            <w:r>
              <w:rPr>
                <w:spacing w:val="-8"/>
                <w:sz w:val="22"/>
              </w:rPr>
              <w:t xml:space="preserve"> </w:t>
            </w:r>
            <w:r>
              <w:rPr>
                <w:sz w:val="22"/>
              </w:rPr>
              <w:t>Security</w:t>
            </w:r>
            <w:r>
              <w:rPr>
                <w:spacing w:val="-8"/>
                <w:sz w:val="22"/>
              </w:rPr>
              <w:t xml:space="preserve"> </w:t>
            </w:r>
            <w:r>
              <w:rPr>
                <w:sz w:val="22"/>
              </w:rPr>
              <w:t>(SNPs</w:t>
            </w:r>
            <w:r>
              <w:rPr>
                <w:spacing w:val="-5"/>
                <w:sz w:val="22"/>
              </w:rPr>
              <w:t xml:space="preserve"> </w:t>
            </w:r>
            <w:r>
              <w:rPr>
                <w:sz w:val="22"/>
              </w:rPr>
              <w:t>can</w:t>
            </w:r>
            <w:r>
              <w:rPr>
                <w:spacing w:val="-8"/>
                <w:sz w:val="22"/>
              </w:rPr>
              <w:t xml:space="preserve"> </w:t>
            </w:r>
            <w:r>
              <w:rPr>
                <w:sz w:val="22"/>
              </w:rPr>
              <w:t>select questions from the 18-, 10-, or 6-item surveys)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spacing w:line="251" w:lineRule="exact"/>
              <w:ind w:left="4"/>
              <w:jc w:val="center"/>
              <w:rPr>
                <w:sz w:val="22"/>
              </w:rPr>
            </w:pPr>
            <w:r>
              <w:rPr>
                <w:w w:val="100"/>
                <w:sz w:val="22"/>
              </w:rPr>
              <w:t>X</w:t>
            </w:r>
          </w:p>
        </w:tc>
        <w:tc>
          <w:tcPr>
            <w:tcW w:w="1659"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r>
      <w:tr>
        <w:tblPrEx>
          <w:tblW w:w="0" w:type="auto"/>
          <w:jc w:val="left"/>
          <w:tblInd w:w="130" w:type="dxa"/>
          <w:tblLayout w:type="fixed"/>
          <w:tblCellMar>
            <w:top w:w="0" w:type="dxa"/>
            <w:left w:w="0" w:type="dxa"/>
            <w:bottom w:w="0" w:type="dxa"/>
            <w:right w:w="0" w:type="dxa"/>
          </w:tblCellMar>
          <w:tblLook w:val="01E0"/>
        </w:tblPrEx>
        <w:trPr>
          <w:trHeight w:val="251"/>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z w:val="22"/>
              </w:rPr>
              <w:t>Comprehensive</w:t>
            </w:r>
            <w:r>
              <w:rPr>
                <w:spacing w:val="-6"/>
                <w:sz w:val="22"/>
              </w:rPr>
              <w:t xml:space="preserve"> </w:t>
            </w:r>
            <w:r>
              <w:rPr>
                <w:sz w:val="22"/>
              </w:rPr>
              <w:t>Universal</w:t>
            </w:r>
            <w:r>
              <w:rPr>
                <w:spacing w:val="-7"/>
                <w:sz w:val="22"/>
              </w:rPr>
              <w:t xml:space="preserve"> </w:t>
            </w:r>
            <w:r>
              <w:rPr>
                <w:sz w:val="22"/>
              </w:rPr>
              <w:t>Behavior</w:t>
            </w:r>
            <w:r>
              <w:rPr>
                <w:spacing w:val="-5"/>
                <w:sz w:val="22"/>
              </w:rPr>
              <w:t xml:space="preserve"> </w:t>
            </w:r>
            <w:r>
              <w:rPr>
                <w:sz w:val="22"/>
              </w:rPr>
              <w:t>Screen</w:t>
            </w:r>
            <w:r>
              <w:rPr>
                <w:spacing w:val="-5"/>
                <w:sz w:val="22"/>
              </w:rPr>
              <w:t xml:space="preserve"> </w:t>
            </w:r>
            <w:r>
              <w:rPr>
                <w:spacing w:val="-2"/>
                <w:sz w:val="22"/>
              </w:rPr>
              <w:t>(CUBS)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51"/>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left="107"/>
              <w:rPr>
                <w:sz w:val="22"/>
              </w:rPr>
            </w:pPr>
            <w:r>
              <w:rPr>
                <w:spacing w:val="-2"/>
                <w:sz w:val="22"/>
              </w:rPr>
              <w:t>PROMIS®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rPr>
                <w:sz w:val="18"/>
              </w:rPr>
            </w:pP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line="232" w:lineRule="exact"/>
              <w:ind w:right="739"/>
              <w:jc w:val="right"/>
              <w:rPr>
                <w:sz w:val="22"/>
              </w:rPr>
            </w:pPr>
            <w:r>
              <w:rPr>
                <w:w w:val="100"/>
                <w:sz w:val="22"/>
              </w:rPr>
              <w:t>X</w:t>
            </w:r>
          </w:p>
        </w:tc>
      </w:tr>
      <w:tr>
        <w:tblPrEx>
          <w:tblW w:w="0" w:type="auto"/>
          <w:jc w:val="left"/>
          <w:tblInd w:w="130" w:type="dxa"/>
          <w:tblLayout w:type="fixed"/>
          <w:tblCellMar>
            <w:top w:w="0" w:type="dxa"/>
            <w:left w:w="0" w:type="dxa"/>
            <w:bottom w:w="0" w:type="dxa"/>
            <w:right w:w="0" w:type="dxa"/>
          </w:tblCellMar>
          <w:tblLook w:val="01E0"/>
        </w:tblPrEx>
        <w:trPr>
          <w:trHeight w:val="2325"/>
          <w:jc w:val="left"/>
        </w:trPr>
        <w:tc>
          <w:tcPr>
            <w:tcW w:w="4805" w:type="dxa"/>
            <w:tcBorders>
              <w:top w:val="single" w:sz="4" w:space="0" w:color="9CC2E4"/>
              <w:left w:val="single" w:sz="4" w:space="0" w:color="9CC2E4"/>
              <w:bottom w:val="single" w:sz="4" w:space="0" w:color="9CC2E4"/>
              <w:right w:val="single" w:sz="4" w:space="0" w:color="9CC2E4"/>
            </w:tcBorders>
          </w:tcPr>
          <w:p>
            <w:pPr>
              <w:pStyle w:val="TableParagraph"/>
              <w:spacing w:before="1"/>
              <w:ind w:left="107"/>
              <w:rPr>
                <w:sz w:val="22"/>
              </w:rPr>
            </w:pPr>
            <w:r>
              <w:rPr>
                <w:sz w:val="22"/>
              </w:rPr>
              <w:t>CMS</w:t>
            </w:r>
            <w:r>
              <w:rPr>
                <w:spacing w:val="-10"/>
                <w:sz w:val="22"/>
              </w:rPr>
              <w:t xml:space="preserve"> </w:t>
            </w:r>
            <w:r>
              <w:rPr>
                <w:sz w:val="22"/>
              </w:rPr>
              <w:t>Post-Acute</w:t>
            </w:r>
            <w:r>
              <w:rPr>
                <w:spacing w:val="-9"/>
                <w:sz w:val="22"/>
              </w:rPr>
              <w:t xml:space="preserve"> </w:t>
            </w:r>
            <w:r>
              <w:rPr>
                <w:sz w:val="22"/>
              </w:rPr>
              <w:t>Care</w:t>
            </w:r>
            <w:r>
              <w:rPr>
                <w:spacing w:val="-11"/>
                <w:sz w:val="22"/>
              </w:rPr>
              <w:t xml:space="preserve"> </w:t>
            </w:r>
            <w:r>
              <w:rPr>
                <w:sz w:val="22"/>
              </w:rPr>
              <w:t>(PAC)</w:t>
            </w:r>
            <w:r>
              <w:rPr>
                <w:spacing w:val="-8"/>
                <w:sz w:val="22"/>
              </w:rPr>
              <w:t xml:space="preserve"> </w:t>
            </w:r>
            <w:r>
              <w:rPr>
                <w:sz w:val="22"/>
              </w:rPr>
              <w:t xml:space="preserve">Assessment </w:t>
            </w:r>
            <w:r>
              <w:rPr>
                <w:spacing w:val="-2"/>
                <w:sz w:val="22"/>
              </w:rPr>
              <w:t>Instruments:</w:t>
            </w:r>
          </w:p>
          <w:p>
            <w:pPr>
              <w:pStyle w:val="TableParagraph"/>
              <w:numPr>
                <w:ilvl w:val="0"/>
                <w:numId w:val="1"/>
              </w:numPr>
              <w:tabs>
                <w:tab w:val="left" w:pos="827"/>
                <w:tab w:val="left" w:pos="828"/>
              </w:tabs>
              <w:spacing w:before="0" w:after="0" w:line="240" w:lineRule="auto"/>
              <w:ind w:left="828" w:right="352" w:hanging="361"/>
              <w:jc w:val="left"/>
              <w:rPr>
                <w:sz w:val="22"/>
              </w:rPr>
            </w:pPr>
            <w:r>
              <w:rPr>
                <w:sz w:val="22"/>
              </w:rPr>
              <w:t>Inpatient</w:t>
            </w:r>
            <w:r>
              <w:rPr>
                <w:spacing w:val="-12"/>
                <w:sz w:val="22"/>
              </w:rPr>
              <w:t xml:space="preserve"> </w:t>
            </w:r>
            <w:r>
              <w:rPr>
                <w:sz w:val="22"/>
              </w:rPr>
              <w:t>Rehabilitation</w:t>
            </w:r>
            <w:r>
              <w:rPr>
                <w:spacing w:val="-12"/>
                <w:sz w:val="22"/>
              </w:rPr>
              <w:t xml:space="preserve"> </w:t>
            </w:r>
            <w:r>
              <w:rPr>
                <w:sz w:val="22"/>
              </w:rPr>
              <w:t>Facilities</w:t>
            </w:r>
            <w:r>
              <w:rPr>
                <w:spacing w:val="-12"/>
                <w:sz w:val="22"/>
              </w:rPr>
              <w:t xml:space="preserve"> </w:t>
            </w:r>
            <w:r>
              <w:rPr>
                <w:sz w:val="22"/>
              </w:rPr>
              <w:t>Patient Assessment Instrument (IRF-PAI)</w:t>
            </w:r>
          </w:p>
          <w:p>
            <w:pPr>
              <w:pStyle w:val="TableParagraph"/>
              <w:numPr>
                <w:ilvl w:val="0"/>
                <w:numId w:val="1"/>
              </w:numPr>
              <w:tabs>
                <w:tab w:val="left" w:pos="828"/>
                <w:tab w:val="left" w:pos="829"/>
              </w:tabs>
              <w:spacing w:before="0" w:after="0" w:line="240" w:lineRule="auto"/>
              <w:ind w:left="828" w:right="381" w:hanging="361"/>
              <w:jc w:val="left"/>
              <w:rPr>
                <w:sz w:val="22"/>
              </w:rPr>
            </w:pPr>
            <w:r>
              <w:rPr>
                <w:sz w:val="22"/>
              </w:rPr>
              <w:t>Long-Term Care Hospitals Continuity Assessment</w:t>
            </w:r>
            <w:r>
              <w:rPr>
                <w:spacing w:val="-8"/>
                <w:sz w:val="22"/>
              </w:rPr>
              <w:t xml:space="preserve"> </w:t>
            </w:r>
            <w:r>
              <w:rPr>
                <w:sz w:val="22"/>
              </w:rPr>
              <w:t>Record</w:t>
            </w:r>
            <w:r>
              <w:rPr>
                <w:spacing w:val="-11"/>
                <w:sz w:val="22"/>
              </w:rPr>
              <w:t xml:space="preserve"> </w:t>
            </w:r>
            <w:r>
              <w:rPr>
                <w:sz w:val="22"/>
              </w:rPr>
              <w:t>and</w:t>
            </w:r>
            <w:r>
              <w:rPr>
                <w:spacing w:val="-9"/>
                <w:sz w:val="22"/>
              </w:rPr>
              <w:t xml:space="preserve"> </w:t>
            </w:r>
            <w:r>
              <w:rPr>
                <w:sz w:val="22"/>
              </w:rPr>
              <w:t>Evaluation</w:t>
            </w:r>
            <w:r>
              <w:rPr>
                <w:spacing w:val="-9"/>
                <w:sz w:val="22"/>
              </w:rPr>
              <w:t xml:space="preserve"> </w:t>
            </w:r>
            <w:r>
              <w:rPr>
                <w:sz w:val="22"/>
              </w:rPr>
              <w:t>Data Set (LCDS)</w:t>
            </w:r>
          </w:p>
          <w:p>
            <w:pPr>
              <w:pStyle w:val="TableParagraph"/>
              <w:numPr>
                <w:ilvl w:val="0"/>
                <w:numId w:val="1"/>
              </w:numPr>
              <w:tabs>
                <w:tab w:val="left" w:pos="827"/>
                <w:tab w:val="left" w:pos="828"/>
              </w:tabs>
              <w:spacing w:before="0" w:after="0" w:line="252" w:lineRule="exact"/>
              <w:ind w:left="827" w:right="649" w:hanging="360"/>
              <w:jc w:val="left"/>
              <w:rPr>
                <w:sz w:val="22"/>
              </w:rPr>
            </w:pPr>
            <w:r>
              <w:rPr>
                <w:sz w:val="22"/>
              </w:rPr>
              <w:t>Home</w:t>
            </w:r>
            <w:r>
              <w:rPr>
                <w:spacing w:val="-2"/>
                <w:sz w:val="22"/>
              </w:rPr>
              <w:t xml:space="preserve"> </w:t>
            </w:r>
            <w:r>
              <w:rPr>
                <w:sz w:val="22"/>
              </w:rPr>
              <w:t>Health</w:t>
            </w:r>
            <w:r>
              <w:rPr>
                <w:spacing w:val="-2"/>
                <w:sz w:val="22"/>
              </w:rPr>
              <w:t xml:space="preserve"> </w:t>
            </w:r>
            <w:r>
              <w:rPr>
                <w:sz w:val="22"/>
              </w:rPr>
              <w:t>Agencies</w:t>
            </w:r>
            <w:r>
              <w:rPr>
                <w:spacing w:val="-2"/>
                <w:sz w:val="22"/>
              </w:rPr>
              <w:t xml:space="preserve"> </w:t>
            </w:r>
            <w:r>
              <w:rPr>
                <w:sz w:val="22"/>
              </w:rPr>
              <w:t>Outcome</w:t>
            </w:r>
            <w:r>
              <w:rPr>
                <w:spacing w:val="-2"/>
                <w:sz w:val="22"/>
              </w:rPr>
              <w:t xml:space="preserve"> </w:t>
            </w:r>
            <w:r>
              <w:rPr>
                <w:sz w:val="22"/>
              </w:rPr>
              <w:t>and Assessment</w:t>
            </w:r>
            <w:r>
              <w:rPr>
                <w:spacing w:val="-13"/>
                <w:sz w:val="22"/>
              </w:rPr>
              <w:t xml:space="preserve"> </w:t>
            </w:r>
            <w:r>
              <w:rPr>
                <w:sz w:val="22"/>
              </w:rPr>
              <w:t>Information</w:t>
            </w:r>
            <w:r>
              <w:rPr>
                <w:spacing w:val="-14"/>
                <w:sz w:val="22"/>
              </w:rPr>
              <w:t xml:space="preserve"> </w:t>
            </w:r>
            <w:r>
              <w:rPr>
                <w:sz w:val="22"/>
              </w:rPr>
              <w:t>Set</w:t>
            </w:r>
            <w:r>
              <w:rPr>
                <w:spacing w:val="-13"/>
                <w:sz w:val="22"/>
              </w:rPr>
              <w:t xml:space="preserve"> </w:t>
            </w:r>
            <w:r>
              <w:rPr>
                <w:sz w:val="22"/>
              </w:rPr>
              <w:t>(OASIS)</w:t>
            </w:r>
          </w:p>
        </w:tc>
        <w:tc>
          <w:tcPr>
            <w:tcW w:w="1443"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c>
          <w:tcPr>
            <w:tcW w:w="1445" w:type="dxa"/>
            <w:tcBorders>
              <w:top w:val="single" w:sz="4" w:space="0" w:color="9CC2E4"/>
              <w:left w:val="single" w:sz="4" w:space="0" w:color="9CC2E4"/>
              <w:bottom w:val="single" w:sz="4" w:space="0" w:color="9CC2E4"/>
              <w:right w:val="single" w:sz="4" w:space="0" w:color="9CC2E4"/>
            </w:tcBorders>
          </w:tcPr>
          <w:p>
            <w:pPr>
              <w:pStyle w:val="TableParagraph"/>
              <w:rPr>
                <w:sz w:val="22"/>
              </w:rPr>
            </w:pPr>
          </w:p>
        </w:tc>
        <w:tc>
          <w:tcPr>
            <w:tcW w:w="1659" w:type="dxa"/>
            <w:tcBorders>
              <w:top w:val="single" w:sz="4" w:space="0" w:color="9CC2E4"/>
              <w:left w:val="single" w:sz="4" w:space="0" w:color="9CC2E4"/>
              <w:bottom w:val="single" w:sz="4" w:space="0" w:color="9CC2E4"/>
              <w:right w:val="single" w:sz="4" w:space="0" w:color="9CC2E4"/>
            </w:tcBorders>
          </w:tcPr>
          <w:p>
            <w:pPr>
              <w:pStyle w:val="TableParagraph"/>
              <w:spacing w:before="1"/>
              <w:ind w:right="739"/>
              <w:jc w:val="right"/>
              <w:rPr>
                <w:sz w:val="22"/>
              </w:rPr>
            </w:pPr>
            <w:r>
              <w:rPr>
                <w:w w:val="100"/>
                <w:sz w:val="22"/>
              </w:rPr>
              <w:t>X</w:t>
            </w:r>
          </w:p>
        </w:tc>
      </w:tr>
    </w:tbl>
    <w:p>
      <w:pPr>
        <w:pStyle w:val="BodyText"/>
        <w:spacing w:before="11"/>
        <w:ind w:left="0"/>
        <w:rPr>
          <w:sz w:val="29"/>
        </w:rPr>
      </w:pPr>
    </w:p>
    <w:p>
      <w:pPr>
        <w:spacing w:before="90"/>
        <w:ind w:left="3432" w:right="3433" w:firstLine="0"/>
        <w:jc w:val="center"/>
        <w:rPr>
          <w:b/>
          <w:sz w:val="24"/>
        </w:rPr>
      </w:pPr>
      <w:r>
        <w:rPr>
          <w:b/>
          <w:sz w:val="24"/>
          <w:u w:val="single"/>
        </w:rPr>
        <w:t>PRA</w:t>
      </w:r>
      <w:r>
        <w:rPr>
          <w:b/>
          <w:spacing w:val="-4"/>
          <w:sz w:val="24"/>
          <w:u w:val="single"/>
        </w:rPr>
        <w:t xml:space="preserve"> </w:t>
      </w:r>
      <w:r>
        <w:rPr>
          <w:b/>
          <w:sz w:val="24"/>
          <w:u w:val="single"/>
        </w:rPr>
        <w:t>Disclosure</w:t>
      </w:r>
      <w:r>
        <w:rPr>
          <w:b/>
          <w:spacing w:val="-3"/>
          <w:sz w:val="24"/>
          <w:u w:val="single"/>
        </w:rPr>
        <w:t xml:space="preserve"> </w:t>
      </w:r>
      <w:r>
        <w:rPr>
          <w:b/>
          <w:spacing w:val="-2"/>
          <w:sz w:val="24"/>
          <w:u w:val="single"/>
        </w:rPr>
        <w:t>Statement</w:t>
      </w:r>
    </w:p>
    <w:p>
      <w:pPr>
        <w:spacing w:before="158"/>
        <w:ind w:left="120" w:right="161" w:firstLine="0"/>
        <w:jc w:val="left"/>
        <w:rPr>
          <w:sz w:val="24"/>
        </w:rPr>
      </w:pPr>
      <w:r>
        <w:rPr>
          <w:sz w:val="24"/>
        </w:rPr>
        <w:t>According to the Paperwork Reduction Act of 1995, no persons are required to respond to a collection of information unless it displays a valid OMB control number.</w:t>
      </w:r>
      <w:r>
        <w:rPr>
          <w:spacing w:val="80"/>
          <w:sz w:val="24"/>
        </w:rPr>
        <w:t xml:space="preserve"> </w:t>
      </w:r>
      <w:r>
        <w:rPr>
          <w:sz w:val="24"/>
        </w:rPr>
        <w:t>The valid OMB control</w:t>
      </w:r>
      <w:r>
        <w:rPr>
          <w:spacing w:val="-3"/>
          <w:sz w:val="24"/>
        </w:rPr>
        <w:t xml:space="preserve"> </w:t>
      </w:r>
      <w:r>
        <w:rPr>
          <w:sz w:val="24"/>
        </w:rPr>
        <w:t>number</w:t>
      </w:r>
      <w:r>
        <w:rPr>
          <w:spacing w:val="-4"/>
          <w:sz w:val="24"/>
        </w:rPr>
        <w:t xml:space="preserve"> </w:t>
      </w:r>
      <w:r>
        <w:rPr>
          <w:sz w:val="24"/>
        </w:rPr>
        <w:t>for</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collection</w:t>
      </w:r>
      <w:r>
        <w:rPr>
          <w:spacing w:val="-3"/>
          <w:sz w:val="24"/>
        </w:rPr>
        <w:t xml:space="preserve"> </w:t>
      </w:r>
      <w:r>
        <w:rPr>
          <w:sz w:val="24"/>
        </w:rPr>
        <w:t>is</w:t>
      </w:r>
      <w:r>
        <w:rPr>
          <w:spacing w:val="-3"/>
          <w:sz w:val="24"/>
        </w:rPr>
        <w:t xml:space="preserve"> </w:t>
      </w:r>
      <w:r>
        <w:rPr>
          <w:b/>
          <w:sz w:val="24"/>
        </w:rPr>
        <w:t>0938-TBD</w:t>
      </w:r>
      <w:r>
        <w:rPr>
          <w:b/>
          <w:spacing w:val="-4"/>
          <w:sz w:val="24"/>
        </w:rPr>
        <w:t xml:space="preserve"> </w:t>
      </w:r>
      <w:r>
        <w:rPr>
          <w:b/>
          <w:sz w:val="24"/>
        </w:rPr>
        <w:t>(Expires</w:t>
      </w:r>
      <w:r>
        <w:rPr>
          <w:b/>
          <w:spacing w:val="-3"/>
          <w:sz w:val="24"/>
        </w:rPr>
        <w:t xml:space="preserve"> </w:t>
      </w:r>
      <w:r>
        <w:rPr>
          <w:b/>
          <w:sz w:val="24"/>
        </w:rPr>
        <w:t>XX/XX/XXXX)</w:t>
      </w:r>
      <w:r>
        <w:rPr>
          <w:sz w:val="24"/>
        </w:rPr>
        <w:t>.</w:t>
      </w:r>
      <w:r>
        <w:rPr>
          <w:spacing w:val="40"/>
          <w:sz w:val="24"/>
        </w:rPr>
        <w:t xml:space="preserve"> </w:t>
      </w:r>
      <w:r>
        <w:rPr>
          <w:sz w:val="24"/>
        </w:rPr>
        <w:t>This</w:t>
      </w:r>
      <w:r>
        <w:rPr>
          <w:spacing w:val="-3"/>
          <w:sz w:val="24"/>
        </w:rPr>
        <w:t xml:space="preserve"> </w:t>
      </w:r>
      <w:r>
        <w:rPr>
          <w:sz w:val="24"/>
        </w:rPr>
        <w:t>is</w:t>
      </w:r>
      <w:r>
        <w:rPr>
          <w:spacing w:val="-3"/>
          <w:sz w:val="24"/>
        </w:rPr>
        <w:t xml:space="preserve"> </w:t>
      </w:r>
      <w:r>
        <w:rPr>
          <w:sz w:val="24"/>
        </w:rPr>
        <w:t xml:space="preserve">a </w:t>
      </w:r>
      <w:r>
        <w:rPr>
          <w:b/>
          <w:sz w:val="24"/>
        </w:rPr>
        <w:t xml:space="preserve">mandatory </w:t>
      </w:r>
      <w:r>
        <w:rPr>
          <w:sz w:val="24"/>
        </w:rPr>
        <w:t>information collection.</w:t>
      </w:r>
      <w:r>
        <w:rPr>
          <w:spacing w:val="40"/>
          <w:sz w:val="24"/>
        </w:rPr>
        <w:t xml:space="preserve"> </w:t>
      </w:r>
      <w:r>
        <w:rPr>
          <w:sz w:val="24"/>
        </w:rPr>
        <w:t xml:space="preserve">The time required to complete this information collection is estimated to average </w:t>
      </w:r>
      <w:r>
        <w:rPr>
          <w:b/>
          <w:sz w:val="24"/>
        </w:rPr>
        <w:t xml:space="preserve">three hours </w:t>
      </w:r>
      <w:r>
        <w:rPr>
          <w:sz w:val="24"/>
        </w:rPr>
        <w:t xml:space="preserve">for each SNP parent organization to update the care management system in order to comply with this information collection, and </w:t>
      </w:r>
      <w:r>
        <w:rPr>
          <w:b/>
          <w:sz w:val="24"/>
        </w:rPr>
        <w:t xml:space="preserve">one quarter of an hour </w:t>
      </w:r>
      <w:r>
        <w:rPr>
          <w:sz w:val="24"/>
        </w:rPr>
        <w:t>for each SNP to register a username with the National Library of Medicine Value Set Authority Center.</w:t>
      </w:r>
      <w:r>
        <w:rPr>
          <w:spacing w:val="40"/>
          <w:sz w:val="24"/>
        </w:rPr>
        <w:t xml:space="preserve"> </w:t>
      </w:r>
      <w:r>
        <w:rPr>
          <w:sz w:val="24"/>
        </w:rPr>
        <w:t>If you have comments concerning the accuracy of the time estimate(s) or</w:t>
      </w:r>
    </w:p>
    <w:p>
      <w:pPr>
        <w:spacing w:after="0"/>
        <w:jc w:val="left"/>
        <w:rPr>
          <w:sz w:val="24"/>
        </w:rPr>
        <w:sectPr>
          <w:pgSz w:w="12240" w:h="15840"/>
          <w:pgMar w:top="1360" w:right="1320" w:bottom="960" w:left="1320" w:header="0" w:footer="765"/>
          <w:cols w:space="720"/>
        </w:sectPr>
      </w:pPr>
    </w:p>
    <w:p>
      <w:pPr>
        <w:spacing w:before="79"/>
        <w:ind w:left="120" w:right="141" w:firstLine="0"/>
        <w:jc w:val="left"/>
        <w:rPr>
          <w:b/>
          <w:sz w:val="24"/>
        </w:rPr>
      </w:pPr>
      <w:r>
        <w:rPr>
          <w:sz w:val="24"/>
        </w:rPr>
        <w:t>suggestions for improving this form, please write to: CMS, 7500 Security</w:t>
      </w:r>
      <w:r>
        <w:rPr>
          <w:spacing w:val="-2"/>
          <w:sz w:val="24"/>
        </w:rPr>
        <w:t xml:space="preserve"> </w:t>
      </w:r>
      <w:r>
        <w:rPr>
          <w:sz w:val="24"/>
        </w:rPr>
        <w:t xml:space="preserve">Boulevard, Attn: PRA Reports Clearance Officer, Mail Stop C4-26-05, Baltimore, Maryland 21244-1850. </w:t>
      </w:r>
      <w:r>
        <w:rPr>
          <w:b/>
          <w:sz w:val="24"/>
        </w:rPr>
        <w:t>****CMS Disclosure****</w:t>
      </w:r>
      <w:r>
        <w:rPr>
          <w:b/>
          <w:spacing w:val="80"/>
          <w:sz w:val="24"/>
        </w:rPr>
        <w:t xml:space="preserve"> </w:t>
      </w:r>
      <w:r>
        <w:rPr>
          <w:b/>
          <w:sz w:val="24"/>
        </w:rPr>
        <w:t>Please do not submit any documents containing sensitive information to</w:t>
      </w:r>
      <w:r>
        <w:rPr>
          <w:b/>
          <w:sz w:val="24"/>
        </w:rPr>
        <w:t xml:space="preserve"> the PRA Reports Clearance Office.</w:t>
      </w:r>
      <w:r>
        <w:rPr>
          <w:b/>
          <w:spacing w:val="40"/>
          <w:sz w:val="24"/>
        </w:rPr>
        <w:t xml:space="preserve"> </w:t>
      </w:r>
      <w:r>
        <w:rPr>
          <w:b/>
          <w:sz w:val="24"/>
        </w:rPr>
        <w:t>If you have questions or concerns regarding where to submit</w:t>
      </w:r>
      <w:r>
        <w:rPr>
          <w:b/>
          <w:spacing w:val="-5"/>
          <w:sz w:val="24"/>
        </w:rPr>
        <w:t xml:space="preserve"> </w:t>
      </w:r>
      <w:r>
        <w:rPr>
          <w:b/>
          <w:sz w:val="24"/>
        </w:rPr>
        <w:t>your</w:t>
      </w:r>
      <w:r>
        <w:rPr>
          <w:b/>
          <w:spacing w:val="-5"/>
          <w:sz w:val="24"/>
        </w:rPr>
        <w:t xml:space="preserve"> </w:t>
      </w:r>
      <w:r>
        <w:rPr>
          <w:b/>
          <w:sz w:val="24"/>
        </w:rPr>
        <w:t>documents,</w:t>
      </w:r>
      <w:r>
        <w:rPr>
          <w:b/>
          <w:spacing w:val="-4"/>
          <w:sz w:val="24"/>
        </w:rPr>
        <w:t xml:space="preserve"> </w:t>
      </w:r>
      <w:r>
        <w:rPr>
          <w:b/>
          <w:sz w:val="24"/>
        </w:rPr>
        <w:t>please</w:t>
      </w:r>
      <w:r>
        <w:rPr>
          <w:b/>
          <w:spacing w:val="-5"/>
          <w:sz w:val="24"/>
        </w:rPr>
        <w:t xml:space="preserve"> </w:t>
      </w:r>
      <w:r>
        <w:rPr>
          <w:b/>
          <w:sz w:val="24"/>
        </w:rPr>
        <w:t>contact</w:t>
      </w:r>
      <w:r>
        <w:rPr>
          <w:b/>
          <w:spacing w:val="-3"/>
          <w:sz w:val="24"/>
        </w:rPr>
        <w:t xml:space="preserve"> </w:t>
      </w:r>
      <w:r>
        <w:rPr>
          <w:b/>
          <w:sz w:val="24"/>
        </w:rPr>
        <w:t>Michelle</w:t>
      </w:r>
      <w:r>
        <w:rPr>
          <w:b/>
          <w:spacing w:val="-5"/>
          <w:sz w:val="24"/>
        </w:rPr>
        <w:t xml:space="preserve"> </w:t>
      </w:r>
      <w:r>
        <w:rPr>
          <w:b/>
          <w:sz w:val="24"/>
        </w:rPr>
        <w:t>Conway</w:t>
      </w:r>
      <w:r>
        <w:rPr>
          <w:b/>
          <w:spacing w:val="-5"/>
          <w:sz w:val="24"/>
        </w:rPr>
        <w:t xml:space="preserve"> </w:t>
      </w:r>
      <w:r>
        <w:rPr>
          <w:b/>
          <w:sz w:val="24"/>
        </w:rPr>
        <w:t>at</w:t>
      </w:r>
      <w:r>
        <w:rPr>
          <w:b/>
          <w:spacing w:val="-5"/>
          <w:sz w:val="24"/>
        </w:rPr>
        <w:t xml:space="preserve"> </w:t>
      </w:r>
      <w:hyperlink r:id="rId16">
        <w:r>
          <w:rPr>
            <w:b/>
            <w:color w:val="0562C1"/>
            <w:sz w:val="24"/>
            <w:u w:val="single" w:color="0562C1"/>
          </w:rPr>
          <w:t>michelle.conway@cms.hhs.gov</w:t>
        </w:r>
      </w:hyperlink>
      <w:r>
        <w:rPr>
          <w:b/>
          <w:sz w:val="24"/>
        </w:rPr>
        <w:t>.</w:t>
      </w:r>
    </w:p>
    <w:sectPr>
      <w:pgSz w:w="12240" w:h="15840"/>
      <w:pgMar w:top="1360" w:right="1320" w:bottom="960" w:left="1320" w:header="0" w:footer="76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width:12.55pt;height:14.25pt;margin-top:742.76pt;margin-left:531.48pt;mso-position-horizontal-relative:page;mso-position-vertical-relative:page;position:absolute;z-index:-251658240" filled="f" stroked="f">
          <v:textbox inset="0,0,0,0">
            <w:txbxContent>
              <w:p>
                <w:pPr>
                  <w:pStyle w:val="BodyText"/>
                  <w:spacing w:before="11"/>
                  <w:ind w:left="60"/>
                </w:pPr>
                <w:r>
                  <w:rPr>
                    <w:w w:val="100"/>
                  </w:rPr>
                  <w:fldChar w:fldCharType="begin"/>
                </w:r>
                <w:r>
                  <w:rPr>
                    <w:w w:val="100"/>
                  </w:rPr>
                  <w:instrText xml:space="preserve"> PAGE </w:instrText>
                </w:r>
                <w:r>
                  <w:rPr>
                    <w:w w:val="100"/>
                  </w:rPr>
                  <w:fldChar w:fldCharType="separate"/>
                </w:r>
                <w:r>
                  <w:rPr>
                    <w:w w:val="100"/>
                  </w:rPr>
                  <w:t>1</w:t>
                </w:r>
                <w:r>
                  <w:rPr>
                    <w:w w:val="100"/>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79FE78"/>
    <w:multiLevelType w:val="hybridMultilevel"/>
    <w:tmpl w:val="00000000"/>
    <w:lvl w:ilvl="0">
      <w:start w:val="1"/>
      <w:numFmt w:val="decimal"/>
      <w:lvlText w:val="%1)"/>
      <w:lvlJc w:val="left"/>
      <w:pPr>
        <w:ind w:left="480" w:hanging="360"/>
        <w:jc w:val="left"/>
      </w:pPr>
      <w:rPr>
        <w:rFonts w:ascii="Times New Roman" w:eastAsia="Times New Roman" w:hAnsi="Times New Roman" w:cs="Times New Roman" w:hint="default"/>
        <w:b/>
        <w:bCs/>
        <w:i w:val="0"/>
        <w:iCs w:val="0"/>
        <w:w w:val="100"/>
        <w:sz w:val="22"/>
        <w:szCs w:val="22"/>
        <w:lang w:val="en-US" w:eastAsia="en-US" w:bidi="ar-SA"/>
      </w:rPr>
    </w:lvl>
    <w:lvl w:ilvl="1">
      <w:start w:val="0"/>
      <w:numFmt w:val="bullet"/>
      <w:lvlText w:val=""/>
      <w:lvlJc w:val="left"/>
      <w:pPr>
        <w:ind w:left="890" w:hanging="361"/>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1866" w:hanging="361"/>
      </w:pPr>
      <w:rPr>
        <w:rFonts w:hint="default"/>
        <w:lang w:val="en-US" w:eastAsia="en-US" w:bidi="ar-SA"/>
      </w:rPr>
    </w:lvl>
    <w:lvl w:ilvl="3">
      <w:start w:val="0"/>
      <w:numFmt w:val="bullet"/>
      <w:lvlText w:val="•"/>
      <w:lvlJc w:val="left"/>
      <w:pPr>
        <w:ind w:left="2833" w:hanging="361"/>
      </w:pPr>
      <w:rPr>
        <w:rFonts w:hint="default"/>
        <w:lang w:val="en-US" w:eastAsia="en-US" w:bidi="ar-SA"/>
      </w:rPr>
    </w:lvl>
    <w:lvl w:ilvl="4">
      <w:start w:val="0"/>
      <w:numFmt w:val="bullet"/>
      <w:lvlText w:val="•"/>
      <w:lvlJc w:val="left"/>
      <w:pPr>
        <w:ind w:left="3800" w:hanging="361"/>
      </w:pPr>
      <w:rPr>
        <w:rFonts w:hint="default"/>
        <w:lang w:val="en-US" w:eastAsia="en-US" w:bidi="ar-SA"/>
      </w:rPr>
    </w:lvl>
    <w:lvl w:ilvl="5">
      <w:start w:val="0"/>
      <w:numFmt w:val="bullet"/>
      <w:lvlText w:val="•"/>
      <w:lvlJc w:val="left"/>
      <w:pPr>
        <w:ind w:left="4766" w:hanging="361"/>
      </w:pPr>
      <w:rPr>
        <w:rFonts w:hint="default"/>
        <w:lang w:val="en-US" w:eastAsia="en-US" w:bidi="ar-SA"/>
      </w:rPr>
    </w:lvl>
    <w:lvl w:ilvl="6">
      <w:start w:val="0"/>
      <w:numFmt w:val="bullet"/>
      <w:lvlText w:val="•"/>
      <w:lvlJc w:val="left"/>
      <w:pPr>
        <w:ind w:left="5733" w:hanging="361"/>
      </w:pPr>
      <w:rPr>
        <w:rFonts w:hint="default"/>
        <w:lang w:val="en-US" w:eastAsia="en-US" w:bidi="ar-SA"/>
      </w:rPr>
    </w:lvl>
    <w:lvl w:ilvl="7">
      <w:start w:val="0"/>
      <w:numFmt w:val="bullet"/>
      <w:lvlText w:val="•"/>
      <w:lvlJc w:val="left"/>
      <w:pPr>
        <w:ind w:left="6700" w:hanging="361"/>
      </w:pPr>
      <w:rPr>
        <w:rFonts w:hint="default"/>
        <w:lang w:val="en-US" w:eastAsia="en-US" w:bidi="ar-SA"/>
      </w:rPr>
    </w:lvl>
    <w:lvl w:ilvl="8">
      <w:start w:val="0"/>
      <w:numFmt w:val="bullet"/>
      <w:lvlText w:val="•"/>
      <w:lvlJc w:val="left"/>
      <w:pPr>
        <w:ind w:left="7666" w:hanging="361"/>
      </w:pPr>
      <w:rPr>
        <w:rFonts w:hint="default"/>
        <w:lang w:val="en-US" w:eastAsia="en-US" w:bidi="ar-SA"/>
      </w:rPr>
    </w:lvl>
  </w:abstractNum>
  <w:abstractNum w:abstractNumId="1">
    <w:nsid w:val="5351D1AC"/>
    <w:multiLevelType w:val="hybridMultilevel"/>
    <w:tmpl w:val="00000000"/>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7" w:hanging="361"/>
      </w:pPr>
      <w:rPr>
        <w:rFonts w:hint="default"/>
        <w:lang w:val="en-US" w:eastAsia="en-US" w:bidi="ar-SA"/>
      </w:rPr>
    </w:lvl>
    <w:lvl w:ilvl="2">
      <w:start w:val="0"/>
      <w:numFmt w:val="bullet"/>
      <w:lvlText w:val="•"/>
      <w:lvlJc w:val="left"/>
      <w:pPr>
        <w:ind w:left="1615" w:hanging="361"/>
      </w:pPr>
      <w:rPr>
        <w:rFonts w:hint="default"/>
        <w:lang w:val="en-US" w:eastAsia="en-US" w:bidi="ar-SA"/>
      </w:rPr>
    </w:lvl>
    <w:lvl w:ilvl="3">
      <w:start w:val="0"/>
      <w:numFmt w:val="bullet"/>
      <w:lvlText w:val="•"/>
      <w:lvlJc w:val="left"/>
      <w:pPr>
        <w:ind w:left="2012" w:hanging="361"/>
      </w:pPr>
      <w:rPr>
        <w:rFonts w:hint="default"/>
        <w:lang w:val="en-US" w:eastAsia="en-US" w:bidi="ar-SA"/>
      </w:rPr>
    </w:lvl>
    <w:lvl w:ilvl="4">
      <w:start w:val="0"/>
      <w:numFmt w:val="bullet"/>
      <w:lvlText w:val="•"/>
      <w:lvlJc w:val="left"/>
      <w:pPr>
        <w:ind w:left="2410" w:hanging="361"/>
      </w:pPr>
      <w:rPr>
        <w:rFonts w:hint="default"/>
        <w:lang w:val="en-US" w:eastAsia="en-US" w:bidi="ar-SA"/>
      </w:rPr>
    </w:lvl>
    <w:lvl w:ilvl="5">
      <w:start w:val="0"/>
      <w:numFmt w:val="bullet"/>
      <w:lvlText w:val="•"/>
      <w:lvlJc w:val="left"/>
      <w:pPr>
        <w:ind w:left="2807" w:hanging="361"/>
      </w:pPr>
      <w:rPr>
        <w:rFonts w:hint="default"/>
        <w:lang w:val="en-US" w:eastAsia="en-US" w:bidi="ar-SA"/>
      </w:rPr>
    </w:lvl>
    <w:lvl w:ilvl="6">
      <w:start w:val="0"/>
      <w:numFmt w:val="bullet"/>
      <w:lvlText w:val="•"/>
      <w:lvlJc w:val="left"/>
      <w:pPr>
        <w:ind w:left="3205" w:hanging="361"/>
      </w:pPr>
      <w:rPr>
        <w:rFonts w:hint="default"/>
        <w:lang w:val="en-US" w:eastAsia="en-US" w:bidi="ar-SA"/>
      </w:rPr>
    </w:lvl>
    <w:lvl w:ilvl="7">
      <w:start w:val="0"/>
      <w:numFmt w:val="bullet"/>
      <w:lvlText w:val="•"/>
      <w:lvlJc w:val="left"/>
      <w:pPr>
        <w:ind w:left="3602" w:hanging="361"/>
      </w:pPr>
      <w:rPr>
        <w:rFonts w:hint="default"/>
        <w:lang w:val="en-US" w:eastAsia="en-US" w:bidi="ar-SA"/>
      </w:rPr>
    </w:lvl>
    <w:lvl w:ilvl="8">
      <w:start w:val="0"/>
      <w:numFmt w:val="bullet"/>
      <w:lvlText w:val="•"/>
      <w:lvlJc w:val="left"/>
      <w:pPr>
        <w:ind w:left="4000"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8"/>
      <w:ind w:left="119"/>
    </w:pPr>
    <w:rPr>
      <w:rFonts w:ascii="Times New Roman" w:eastAsia="Times New Roman" w:hAnsi="Times New Roman" w:cs="Times New Roman"/>
      <w:sz w:val="22"/>
      <w:szCs w:val="22"/>
      <w:lang w:val="en-US" w:eastAsia="en-US" w:bidi="ar-SA"/>
    </w:rPr>
  </w:style>
  <w:style w:type="paragraph" w:customStyle="1" w:styleId="Heading1">
    <w:name w:val="Heading 1"/>
    <w:basedOn w:val="Normal"/>
    <w:uiPriority w:val="1"/>
    <w:qFormat/>
    <w:pPr>
      <w:spacing w:before="160"/>
      <w:ind w:left="119"/>
      <w:outlineLvl w:val="1"/>
    </w:pPr>
    <w:rPr>
      <w:rFonts w:ascii="Times New Roman" w:eastAsia="Times New Roman" w:hAnsi="Times New Roman" w:cs="Times New Roman"/>
      <w:b/>
      <w:bCs/>
      <w:sz w:val="22"/>
      <w:szCs w:val="22"/>
      <w:lang w:val="en-US" w:eastAsia="en-US" w:bidi="ar-SA"/>
    </w:rPr>
  </w:style>
  <w:style w:type="paragraph" w:styleId="ListParagraph">
    <w:name w:val="List Paragraph"/>
    <w:basedOn w:val="Normal"/>
    <w:uiPriority w:val="1"/>
    <w:qFormat/>
    <w:pPr>
      <w:ind w:left="840"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althit.gov/isa/sites/isa/files/2021-07/USCDI-Version-2-July-2021-Final.pdf" TargetMode="External" /><Relationship Id="rId11" Type="http://schemas.openxmlformats.org/officeDocument/2006/relationships/hyperlink" Target="https://gcc02.safelinks.protection.outlook.com/?url=https%3A%2F%2Fvsac.nlm.nih.gov%2Fvalueset%2F2.16.840.1.113762.1.4.1247.129%2Fexpansion%2FLatest&amp;data=05%7C01%7CMichelle.Conway%40cms.hhs.gov%7Cedc4e8ca6ce745b4dd5008da715499e1%7Cd58addea50534a808499ba4d944910df%7C0%7C0%7C637946905440918029%7CUnknown%7CTWFpbGZsb3d8eyJWIjoiMC4wLjAwMDAiLCJQIjoiV2luMzIiLCJBTiI6Ik1haWwiLCJXVCI6Mn0%3D%7C3000%7C%7C%7C&amp;sdata=mUy%2BmpXMf%2Bgeuz5nfJH4p4wTQ4HReQ6ck7g1%2BLaWt1A%3D&amp;reserved=0" TargetMode="External" /><Relationship Id="rId12" Type="http://schemas.openxmlformats.org/officeDocument/2006/relationships/hyperlink" Target="https://gcc02.safelinks.protection.outlook.com/?url=https%3A%2F%2Fvsac.nlm.nih.gov%2Fvalueset%2F2.16.840.1.113762.1.4.1247.130%2Fexpansion%2FLatest&amp;data=05%7C01%7CMichelle.Conway%40cms.hhs.gov%7Cedc4e8ca6ce745b4dd5008da715499e1%7Cd58addea50534a808499ba4d944910df%7C0%7C0%7C637946905440918029%7CUnknown%7CTWFpbGZsb3d8eyJWIjoiMC4wLjAwMDAiLCJQIjoiV2luMzIiLCJBTiI6Ik1haWwiLCJXVCI6Mn0%3D%7C3000%7C%7C%7C&amp;sdata=QL4mtdDhAbwPuLclaXyMtm7V6TG4EpTJ07B%2B%2FaGY0No%3D&amp;reserved=0" TargetMode="External" /><Relationship Id="rId13" Type="http://schemas.openxmlformats.org/officeDocument/2006/relationships/hyperlink" Target="https://gcc02.safelinks.protection.outlook.com/?url=https%3A%2F%2Fvsac.nlm.nih.gov%2Fvalueset%2F2.16.840.1.113762.1.4.1247.131%2Fexpansion%2FLatest&amp;data=05%7C01%7CMichelle.Conway%40cms.hhs.gov%7Cedc4e8ca6ce745b4dd5008da715499e1%7Cd58addea50534a808499ba4d944910df%7C0%7C0%7C637946905440918029%7CUnknown%7CTWFpbGZsb3d8eyJWIjoiMC4wLjAwMDAiLCJQIjoiV2luMzIiLCJBTiI6Ik1haWwiLCJXVCI6Mn0%3D%7C3000%7C%7C%7C&amp;sdata=kSlXjiv3mH81ShlHwiGiTx%2F6hLQE7XEn4svb2tA0dv4%3D&amp;reserved=0" TargetMode="External" /><Relationship Id="rId14" Type="http://schemas.openxmlformats.org/officeDocument/2006/relationships/hyperlink" Target="https://gcc02.safelinks.protection.outlook.com/?url=https%3A%2F%2Fvsac.nlm.nih.gov%2Fvalueset%2F2.16.840.1.113762.1.4.1247.128%2Fexpansion%2FLatest&amp;data=05%7C01%7CMichelle.Conway%40cms.hhs.gov%7Cedc4e8ca6ce745b4dd5008da715499e1%7Cd58addea50534a808499ba4d944910df%7C0%7C0%7C637946905440918029%7CUnknown%7CTWFpbGZsb3d8eyJWIjoiMC4wLjAwMDAiLCJQIjoiV2luMzIiLCJBTiI6Ik1haWwiLCJXVCI6Mn0%3D%7C3000%7C%7C%7C&amp;sdata=oZ7POq93rVW6%2BUjEhNRs5IL1bk7ODXEPqSiIxzlosog%3D&amp;reserved=0" TargetMode="External" /><Relationship Id="rId15" Type="http://schemas.openxmlformats.org/officeDocument/2006/relationships/hyperlink" Target="https://del.cms.gov/DELWeb/pubHome" TargetMode="External" /><Relationship Id="rId16" Type="http://schemas.openxmlformats.org/officeDocument/2006/relationships/hyperlink" Target="mailto:michelle.conway@cms.hhs.gov"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FR-2022-05-09/pdf/2022-09375.pdf" TargetMode="External" /><Relationship Id="rId5" Type="http://schemas.openxmlformats.org/officeDocument/2006/relationships/footer" Target="footer1.xml" /><Relationship Id="rId6" Type="http://schemas.openxmlformats.org/officeDocument/2006/relationships/hyperlink" Target="https://loinc.org/submissions/request/" TargetMode="External" /><Relationship Id="rId7" Type="http://schemas.openxmlformats.org/officeDocument/2006/relationships/hyperlink" Target="https://loinc.org/" TargetMode="External" /><Relationship Id="rId8" Type="http://schemas.openxmlformats.org/officeDocument/2006/relationships/hyperlink" Target="https://thegravityproject.net/" TargetMode="External" /><Relationship Id="rId9" Type="http://schemas.openxmlformats.org/officeDocument/2006/relationships/hyperlink" Target="https://gcc02.safelinks.protection.outlook.com/?url=https%3A%2F%2Fvsac.nlm.nih.gov%2Fvalueset%2F2.16.840.1.113762.1.4.1247.127%2Fexpansion%2FLatest&amp;data=05%7C01%7CMichelle.Conway%40cms.hhs.gov%7Cedc4e8ca6ce745b4dd5008da715499e1%7Cd58addea50534a808499ba4d944910df%7C0%7C0%7C637946905440918029%7CUnknown%7CTWFpbGZsb3d8eyJWIjoiMC4wLjAwMDAiLCJQIjoiV2luMzIiLCJBTiI6Ik1haWwiLCJXVCI6Mn0%3D%7C3000%7C%7C%7C&amp;sdata=OBoaYl6A%2B%2FIiPcwEtTm9xsN0i5cCNtuxynW3NGlEWSw%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screening instruments for CY 2024 requirement to include one or more questions on housing stability, food security, and access to transportation in health risk assessments</dc:title>
  <dc:subject>CY 2024 MA SNP HRAs Guidance Memo</dc:subject>
  <dc:creator>CMS-MMCO</dc:creator>
  <cp:keywords>Memorandum, Guidance, screening instruments, Medicare Advantage, MA, Special Needs Plans, SNPs, new requirement, housing stability, food security, access to transportation, health risk assessments, HRAs, contract year, CY, 2024., New regulations, 42 CFR § 422.101(f)(1)(i)</cp:keywords>
  <cp:revision>0</cp:revision>
  <dcterms:created xsi:type="dcterms:W3CDTF">2023-02-07T16:30:36Z</dcterms:created>
  <dcterms:modified xsi:type="dcterms:W3CDTF">2023-02-07T16:30:36Z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0x010100D611373D72FC804DB9F57A0C5968DACE</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2023-02-07T00:00:00Z</vt:filetime>
  </property>
  <property fmtid="{D5CDD505-2E9C-101B-9397-08002B2CF9AE}" pid="6" name="Producer">
    <vt:lpwstr>Adobe PDF Library 22.3.34</vt:lpwstr>
  </property>
  <property fmtid="{D5CDD505-2E9C-101B-9397-08002B2CF9AE}" pid="7" name="SourceModified">
    <vt:lpwstr>D:20230117142446</vt:lpwstr>
  </property>
</Properties>
</file>