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4EB3BB7">
      <w:pPr>
        <w:pStyle w:val="ReportCover-Title"/>
        <w:jc w:val="center"/>
        <w:rPr>
          <w:rFonts w:ascii="Arial" w:hAnsi="Arial" w:cs="Arial"/>
          <w:color w:val="auto"/>
        </w:rPr>
      </w:pPr>
      <w:r w:rsidRPr="004F7B95">
        <w:rPr>
          <w:rFonts w:ascii="Times New Roman" w:hAnsi="Times New Roman"/>
          <w:sz w:val="24"/>
          <w:szCs w:val="24"/>
        </w:rPr>
        <w:tab/>
      </w:r>
      <w:r w:rsidR="00B67A88">
        <w:rPr>
          <w:rFonts w:ascii="Arial" w:eastAsia="Arial Unicode MS" w:hAnsi="Arial" w:cs="Arial"/>
          <w:noProof/>
          <w:color w:val="auto"/>
        </w:rPr>
        <w:t>Child Care Improper Payments Data Collection Instructions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F7A32F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40E52">
        <w:rPr>
          <w:rFonts w:ascii="Arial" w:hAnsi="Arial" w:cs="Arial"/>
          <w:color w:val="auto"/>
          <w:sz w:val="32"/>
          <w:szCs w:val="32"/>
        </w:rPr>
        <w:t>0323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3186FFDD">
      <w:pPr>
        <w:pStyle w:val="ReportCover-Date"/>
        <w:jc w:val="center"/>
        <w:rPr>
          <w:rFonts w:ascii="Arial" w:hAnsi="Arial" w:cs="Arial"/>
          <w:color w:val="auto"/>
        </w:rPr>
      </w:pPr>
      <w:r>
        <w:rPr>
          <w:rFonts w:ascii="Arial" w:hAnsi="Arial" w:cs="Arial"/>
          <w:color w:val="auto"/>
        </w:rPr>
        <w:t>January 2025</w:t>
      </w:r>
    </w:p>
    <w:p w:rsidR="00160621" w:rsidP="7B0E0B3A" w14:paraId="753A1E04" w14:textId="1567E483">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13D9E323">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D84B0A"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425DB8" w:rsidRPr="008F2519" w:rsidP="00315A69" w14:paraId="13B3F025" w14:textId="615C95B6">
      <w:pPr>
        <w:widowControl/>
        <w:ind w:left="720"/>
        <w:rPr>
          <w:rFonts w:ascii="Times New Roman" w:hAnsi="Times New Roman"/>
          <w:bCs/>
          <w:snapToGrid/>
          <w:sz w:val="24"/>
          <w:szCs w:val="24"/>
        </w:rPr>
      </w:pPr>
      <w:r w:rsidRPr="008F2519">
        <w:rPr>
          <w:rFonts w:ascii="Times New Roman" w:hAnsi="Times New Roman"/>
          <w:bCs/>
          <w:snapToGrid/>
          <w:sz w:val="24"/>
          <w:szCs w:val="24"/>
        </w:rPr>
        <w:t xml:space="preserve">This </w:t>
      </w:r>
      <w:r w:rsidRPr="008F2519" w:rsidR="00F55DB7">
        <w:rPr>
          <w:rFonts w:ascii="Times New Roman" w:hAnsi="Times New Roman"/>
          <w:bCs/>
          <w:snapToGrid/>
          <w:sz w:val="24"/>
          <w:szCs w:val="24"/>
        </w:rPr>
        <w:t xml:space="preserve">request is for </w:t>
      </w:r>
      <w:r w:rsidRPr="008F2519" w:rsidR="00874AED">
        <w:rPr>
          <w:rFonts w:ascii="Times New Roman" w:hAnsi="Times New Roman"/>
          <w:bCs/>
          <w:snapToGrid/>
          <w:sz w:val="24"/>
          <w:szCs w:val="24"/>
        </w:rPr>
        <w:t xml:space="preserve">a </w:t>
      </w:r>
      <w:r w:rsidRPr="008F2519" w:rsidR="00F55DB7">
        <w:rPr>
          <w:rFonts w:ascii="Times New Roman" w:hAnsi="Times New Roman"/>
          <w:bCs/>
          <w:snapToGrid/>
          <w:sz w:val="24"/>
          <w:szCs w:val="24"/>
        </w:rPr>
        <w:t xml:space="preserve">revision to </w:t>
      </w:r>
      <w:r w:rsidRPr="008F2519" w:rsidR="00874AED">
        <w:rPr>
          <w:rFonts w:ascii="Times New Roman" w:hAnsi="Times New Roman"/>
          <w:bCs/>
          <w:snapToGrid/>
          <w:sz w:val="24"/>
          <w:szCs w:val="24"/>
        </w:rPr>
        <w:t xml:space="preserve">the </w:t>
      </w:r>
      <w:r w:rsidRPr="008F2519">
        <w:rPr>
          <w:rFonts w:ascii="Times New Roman" w:hAnsi="Times New Roman"/>
          <w:bCs/>
          <w:snapToGrid/>
          <w:sz w:val="24"/>
          <w:szCs w:val="24"/>
        </w:rPr>
        <w:t>Child</w:t>
      </w:r>
      <w:r w:rsidRPr="008F2519" w:rsidR="00831728">
        <w:rPr>
          <w:rFonts w:ascii="Times New Roman" w:hAnsi="Times New Roman"/>
          <w:bCs/>
          <w:snapToGrid/>
          <w:sz w:val="24"/>
          <w:szCs w:val="24"/>
        </w:rPr>
        <w:t xml:space="preserve"> Care Improper Payments Data Collection Instructions</w:t>
      </w:r>
      <w:r w:rsidR="001E7AC9">
        <w:rPr>
          <w:rFonts w:ascii="Times New Roman" w:hAnsi="Times New Roman"/>
          <w:bCs/>
          <w:snapToGrid/>
          <w:sz w:val="24"/>
          <w:szCs w:val="24"/>
        </w:rPr>
        <w:t xml:space="preserve"> and an extension of approval for an additional three years beyond the current expiration date of</w:t>
      </w:r>
      <w:r w:rsidRPr="008F2519" w:rsidR="00EF1A54">
        <w:rPr>
          <w:rFonts w:ascii="Times New Roman" w:hAnsi="Times New Roman"/>
          <w:bCs/>
          <w:snapToGrid/>
          <w:sz w:val="24"/>
          <w:szCs w:val="24"/>
        </w:rPr>
        <w:t xml:space="preserve"> January 31, 2025. </w:t>
      </w:r>
      <w:r w:rsidRPr="008F2519" w:rsidR="00831728">
        <w:rPr>
          <w:rFonts w:ascii="Times New Roman" w:hAnsi="Times New Roman"/>
          <w:bCs/>
          <w:snapToGrid/>
          <w:sz w:val="24"/>
          <w:szCs w:val="24"/>
        </w:rPr>
        <w:t xml:space="preserve">The </w:t>
      </w:r>
      <w:r w:rsidRPr="008F2519" w:rsidR="00095143">
        <w:rPr>
          <w:rFonts w:ascii="Times New Roman" w:hAnsi="Times New Roman"/>
          <w:bCs/>
          <w:snapToGrid/>
          <w:sz w:val="24"/>
          <w:szCs w:val="24"/>
        </w:rPr>
        <w:t xml:space="preserve">proposed revisions do not change the data collection methodology, but instead update the </w:t>
      </w:r>
      <w:r w:rsidRPr="008F2519" w:rsidR="006177DD">
        <w:rPr>
          <w:rFonts w:ascii="Times New Roman" w:hAnsi="Times New Roman"/>
          <w:bCs/>
          <w:snapToGrid/>
          <w:sz w:val="24"/>
          <w:szCs w:val="24"/>
        </w:rPr>
        <w:t xml:space="preserve">forms and instructions </w:t>
      </w:r>
      <w:r w:rsidRPr="008F2519" w:rsidR="00095143">
        <w:rPr>
          <w:rFonts w:ascii="Times New Roman" w:hAnsi="Times New Roman"/>
          <w:bCs/>
          <w:snapToGrid/>
          <w:sz w:val="24"/>
          <w:szCs w:val="24"/>
        </w:rPr>
        <w:t xml:space="preserve">to </w:t>
      </w:r>
      <w:r w:rsidRPr="008F2519" w:rsidR="00013D0B">
        <w:rPr>
          <w:rFonts w:ascii="Times New Roman" w:hAnsi="Times New Roman"/>
          <w:bCs/>
          <w:snapToGrid/>
          <w:sz w:val="24"/>
          <w:szCs w:val="24"/>
        </w:rPr>
        <w:t>provide</w:t>
      </w:r>
      <w:r w:rsidRPr="008F2519" w:rsidR="00352051">
        <w:rPr>
          <w:rFonts w:ascii="Times New Roman" w:hAnsi="Times New Roman"/>
          <w:bCs/>
          <w:snapToGrid/>
          <w:sz w:val="24"/>
          <w:szCs w:val="24"/>
        </w:rPr>
        <w:t xml:space="preserve"> additional guidance</w:t>
      </w:r>
      <w:r w:rsidRPr="008F2519" w:rsidR="00BE4274">
        <w:rPr>
          <w:rFonts w:ascii="Times New Roman" w:hAnsi="Times New Roman"/>
          <w:bCs/>
          <w:snapToGrid/>
          <w:sz w:val="24"/>
          <w:szCs w:val="24"/>
        </w:rPr>
        <w:t xml:space="preserve"> and</w:t>
      </w:r>
      <w:r w:rsidRPr="008F2519" w:rsidR="00352051">
        <w:rPr>
          <w:rFonts w:ascii="Times New Roman" w:hAnsi="Times New Roman"/>
          <w:bCs/>
          <w:snapToGrid/>
          <w:sz w:val="24"/>
          <w:szCs w:val="24"/>
        </w:rPr>
        <w:t xml:space="preserve"> clarification</w:t>
      </w:r>
      <w:r w:rsidRPr="008F2519" w:rsidR="00B30327">
        <w:rPr>
          <w:rFonts w:ascii="Times New Roman" w:hAnsi="Times New Roman"/>
          <w:bCs/>
          <w:snapToGrid/>
          <w:sz w:val="24"/>
          <w:szCs w:val="24"/>
        </w:rPr>
        <w:t xml:space="preserve"> to respondents. Ongoing feedback from respondents during the current data collection cycle has informed these revisions. </w:t>
      </w:r>
      <w:r w:rsidR="007A14A3">
        <w:rPr>
          <w:rFonts w:ascii="Times New Roman" w:hAnsi="Times New Roman"/>
          <w:bCs/>
          <w:snapToGrid/>
          <w:sz w:val="24"/>
          <w:szCs w:val="24"/>
        </w:rPr>
        <w:t>The Office of Child Care</w:t>
      </w:r>
      <w:r w:rsidRPr="00315A69" w:rsidR="00C25F20">
        <w:rPr>
          <w:rFonts w:ascii="Times New Roman" w:hAnsi="Times New Roman"/>
          <w:sz w:val="24"/>
          <w:szCs w:val="24"/>
        </w:rPr>
        <w:t xml:space="preserve"> has also thoughtfully considered the comments received from the publi</w:t>
      </w:r>
      <w:r w:rsidRPr="00315A69" w:rsidR="00F20DDE">
        <w:rPr>
          <w:rFonts w:ascii="Times New Roman" w:hAnsi="Times New Roman"/>
          <w:sz w:val="24"/>
          <w:szCs w:val="24"/>
        </w:rPr>
        <w:t xml:space="preserve">c in </w:t>
      </w:r>
      <w:r w:rsidRPr="008F2519" w:rsidR="00F20DDE">
        <w:rPr>
          <w:rFonts w:ascii="Times New Roman" w:hAnsi="Times New Roman"/>
          <w:bCs/>
          <w:snapToGrid/>
          <w:sz w:val="24"/>
          <w:szCs w:val="24"/>
        </w:rPr>
        <w:t xml:space="preserve">response to a notice published in the Federal Register </w:t>
      </w:r>
      <w:r w:rsidRPr="00315A69" w:rsidR="00C25F20">
        <w:rPr>
          <w:rFonts w:ascii="Times New Roman" w:hAnsi="Times New Roman"/>
          <w:sz w:val="24"/>
          <w:szCs w:val="24"/>
        </w:rPr>
        <w:t xml:space="preserve">and made </w:t>
      </w:r>
      <w:r w:rsidR="00D1665D">
        <w:rPr>
          <w:rFonts w:ascii="Times New Roman" w:hAnsi="Times New Roman"/>
          <w:sz w:val="24"/>
          <w:szCs w:val="24"/>
        </w:rPr>
        <w:t xml:space="preserve">a </w:t>
      </w:r>
      <w:r w:rsidR="00CF454C">
        <w:rPr>
          <w:rFonts w:ascii="Times New Roman" w:hAnsi="Times New Roman"/>
          <w:sz w:val="24"/>
          <w:szCs w:val="24"/>
        </w:rPr>
        <w:t>technical correction</w:t>
      </w:r>
      <w:r w:rsidRPr="00315A69" w:rsidR="00C25F20">
        <w:rPr>
          <w:rFonts w:ascii="Times New Roman" w:hAnsi="Times New Roman"/>
          <w:sz w:val="24"/>
          <w:szCs w:val="24"/>
        </w:rPr>
        <w:t xml:space="preserve"> to the</w:t>
      </w:r>
      <w:r w:rsidRPr="00315A69" w:rsidR="008F2519">
        <w:rPr>
          <w:rFonts w:ascii="Times New Roman" w:hAnsi="Times New Roman"/>
          <w:sz w:val="24"/>
          <w:szCs w:val="24"/>
        </w:rPr>
        <w:t xml:space="preserve"> document</w:t>
      </w:r>
      <w:r w:rsidR="00CF454C">
        <w:rPr>
          <w:rFonts w:ascii="Times New Roman" w:hAnsi="Times New Roman"/>
          <w:sz w:val="24"/>
          <w:szCs w:val="24"/>
        </w:rPr>
        <w:t xml:space="preserve"> in response</w:t>
      </w:r>
      <w:r w:rsidRPr="008F2519" w:rsidR="00352051">
        <w:rPr>
          <w:rFonts w:ascii="Times New Roman" w:hAnsi="Times New Roman"/>
          <w:bCs/>
          <w:snapToGrid/>
          <w:sz w:val="24"/>
          <w:szCs w:val="24"/>
        </w:rPr>
        <w:t>.</w:t>
      </w:r>
      <w:r w:rsidRPr="008F2519" w:rsidR="004845DD">
        <w:rPr>
          <w:rFonts w:ascii="Times New Roman" w:hAnsi="Times New Roman"/>
          <w:bCs/>
          <w:snapToGrid/>
          <w:sz w:val="24"/>
          <w:szCs w:val="24"/>
        </w:rPr>
        <w:t xml:space="preserve"> </w:t>
      </w:r>
      <w:r w:rsidR="004C2780">
        <w:rPr>
          <w:rFonts w:ascii="Times New Roman" w:hAnsi="Times New Roman"/>
          <w:bCs/>
          <w:snapToGrid/>
          <w:sz w:val="24"/>
          <w:szCs w:val="24"/>
        </w:rPr>
        <w:t>The</w:t>
      </w:r>
      <w:r w:rsidR="0050580F">
        <w:rPr>
          <w:rFonts w:ascii="Times New Roman" w:hAnsi="Times New Roman"/>
          <w:bCs/>
          <w:snapToGrid/>
          <w:sz w:val="24"/>
          <w:szCs w:val="24"/>
        </w:rPr>
        <w:t xml:space="preserve"> instructions include four reports:</w:t>
      </w:r>
      <w:r w:rsidRPr="0050580F" w:rsidR="0050580F">
        <w:rPr>
          <w:rFonts w:ascii="Times New Roman" w:hAnsi="Times New Roman"/>
          <w:i/>
          <w:iCs/>
          <w:color w:val="000000" w:themeColor="text1"/>
          <w:sz w:val="24"/>
          <w:szCs w:val="24"/>
        </w:rPr>
        <w:t xml:space="preserve"> </w:t>
      </w:r>
      <w:r w:rsidR="0050580F">
        <w:rPr>
          <w:rFonts w:ascii="Times New Roman" w:hAnsi="Times New Roman"/>
          <w:i/>
          <w:iCs/>
          <w:color w:val="000000" w:themeColor="text1"/>
          <w:sz w:val="24"/>
          <w:szCs w:val="24"/>
        </w:rPr>
        <w:t xml:space="preserve">the </w:t>
      </w:r>
      <w:r w:rsidRPr="00564291" w:rsidR="0050580F">
        <w:rPr>
          <w:rFonts w:ascii="Times New Roman" w:hAnsi="Times New Roman"/>
          <w:i/>
          <w:iCs/>
          <w:color w:val="000000" w:themeColor="text1"/>
          <w:sz w:val="24"/>
          <w:szCs w:val="24"/>
        </w:rPr>
        <w:t>Sampling Decisions, Assurances, and Fieldwork Preparation Plan</w:t>
      </w:r>
      <w:r w:rsidR="0050580F">
        <w:rPr>
          <w:rFonts w:ascii="Times New Roman" w:hAnsi="Times New Roman"/>
          <w:i/>
          <w:iCs/>
          <w:color w:val="000000" w:themeColor="text1"/>
          <w:sz w:val="24"/>
          <w:szCs w:val="24"/>
        </w:rPr>
        <w:t xml:space="preserve">, the ACF-403 Record Review Worksheet, the ACF-404 State Improper </w:t>
      </w:r>
      <w:r w:rsidR="00CD0ECA">
        <w:rPr>
          <w:rFonts w:ascii="Times New Roman" w:hAnsi="Times New Roman"/>
          <w:i/>
          <w:iCs/>
          <w:color w:val="000000" w:themeColor="text1"/>
          <w:sz w:val="24"/>
          <w:szCs w:val="24"/>
        </w:rPr>
        <w:t>Payments</w:t>
      </w:r>
      <w:r w:rsidR="0050580F">
        <w:rPr>
          <w:rFonts w:ascii="Times New Roman" w:hAnsi="Times New Roman"/>
          <w:i/>
          <w:iCs/>
          <w:color w:val="000000" w:themeColor="text1"/>
          <w:sz w:val="24"/>
          <w:szCs w:val="24"/>
        </w:rPr>
        <w:t xml:space="preserve"> </w:t>
      </w:r>
      <w:r w:rsidR="00CD0ECA">
        <w:rPr>
          <w:rFonts w:ascii="Times New Roman" w:hAnsi="Times New Roman"/>
          <w:i/>
          <w:iCs/>
          <w:color w:val="000000" w:themeColor="text1"/>
          <w:sz w:val="24"/>
          <w:szCs w:val="24"/>
        </w:rPr>
        <w:t>Report, and the ACF-405 State Improper Payments Corrective Action Plan.</w:t>
      </w:r>
      <w:r w:rsidR="0050580F">
        <w:rPr>
          <w:rFonts w:ascii="Times New Roman" w:hAnsi="Times New Roman"/>
          <w:i/>
          <w:iCs/>
          <w:color w:val="000000" w:themeColor="text1"/>
          <w:sz w:val="24"/>
          <w:szCs w:val="24"/>
        </w:rPr>
        <w:t xml:space="preserve"> </w:t>
      </w:r>
      <w:r w:rsidR="00970542">
        <w:rPr>
          <w:rFonts w:ascii="Times New Roman" w:hAnsi="Times New Roman"/>
          <w:bCs/>
          <w:snapToGrid/>
          <w:sz w:val="24"/>
          <w:szCs w:val="24"/>
        </w:rPr>
        <w:t>To allow sufficient time for states to implement changes to the ACF-404, due on June 30</w:t>
      </w:r>
      <w:r w:rsidR="002A6ACC">
        <w:rPr>
          <w:rFonts w:ascii="Times New Roman" w:hAnsi="Times New Roman"/>
          <w:bCs/>
          <w:snapToGrid/>
          <w:sz w:val="24"/>
          <w:szCs w:val="24"/>
        </w:rPr>
        <w:t>, 2025, t</w:t>
      </w:r>
      <w:r w:rsidR="00250248">
        <w:rPr>
          <w:rFonts w:ascii="Times New Roman" w:hAnsi="Times New Roman"/>
          <w:bCs/>
          <w:snapToGrid/>
          <w:sz w:val="24"/>
          <w:szCs w:val="24"/>
        </w:rPr>
        <w:t xml:space="preserve">he updated version </w:t>
      </w:r>
      <w:r w:rsidR="00CD0ECA">
        <w:rPr>
          <w:rFonts w:ascii="Times New Roman" w:hAnsi="Times New Roman"/>
          <w:bCs/>
          <w:snapToGrid/>
          <w:sz w:val="24"/>
          <w:szCs w:val="24"/>
        </w:rPr>
        <w:t xml:space="preserve">of the ACF-404 </w:t>
      </w:r>
      <w:r w:rsidR="00250248">
        <w:rPr>
          <w:rFonts w:ascii="Times New Roman" w:hAnsi="Times New Roman"/>
          <w:bCs/>
          <w:snapToGrid/>
          <w:sz w:val="24"/>
          <w:szCs w:val="24"/>
        </w:rPr>
        <w:t>will go into effect for 2026 reporting; the currently approved version</w:t>
      </w:r>
      <w:r w:rsidR="00963D19">
        <w:rPr>
          <w:rFonts w:ascii="Times New Roman" w:hAnsi="Times New Roman"/>
          <w:bCs/>
          <w:snapToGrid/>
          <w:sz w:val="24"/>
          <w:szCs w:val="24"/>
        </w:rPr>
        <w:t xml:space="preserve"> </w:t>
      </w:r>
      <w:r w:rsidR="00250248">
        <w:rPr>
          <w:rFonts w:ascii="Times New Roman" w:hAnsi="Times New Roman"/>
          <w:bCs/>
          <w:snapToGrid/>
          <w:sz w:val="24"/>
          <w:szCs w:val="24"/>
        </w:rPr>
        <w:t xml:space="preserve">will be used in 2025. </w:t>
      </w:r>
    </w:p>
    <w:p w:rsidR="00CE6182" w:rsidP="00160621" w14:paraId="3C29E980"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90D2C" w:rsidRPr="00287000" w:rsidP="00D7443D" w14:paraId="398DDEC3" w14:textId="56B5912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Section </w:t>
      </w:r>
      <w:r w:rsidR="00E37289">
        <w:rPr>
          <w:rFonts w:ascii="Times New Roman" w:hAnsi="Times New Roman"/>
          <w:snapToGrid/>
          <w:sz w:val="24"/>
          <w:szCs w:val="24"/>
        </w:rPr>
        <w:t xml:space="preserve">2 of the </w:t>
      </w:r>
      <w:r w:rsidRPr="002E3620" w:rsidR="00AE58EF">
        <w:rPr>
          <w:rFonts w:ascii="Times New Roman" w:hAnsi="Times New Roman"/>
          <w:snapToGrid/>
          <w:sz w:val="24"/>
          <w:szCs w:val="24"/>
        </w:rPr>
        <w:t>Payment Integrity Information Act of 2019 (PIIA)</w:t>
      </w:r>
      <w:r w:rsidR="00AE58EF">
        <w:rPr>
          <w:rFonts w:ascii="Times New Roman" w:hAnsi="Times New Roman"/>
          <w:snapToGrid/>
          <w:sz w:val="24"/>
          <w:szCs w:val="24"/>
        </w:rPr>
        <w:t xml:space="preserve"> </w:t>
      </w:r>
      <w:r w:rsidRPr="002E3620" w:rsidR="00335F8A">
        <w:rPr>
          <w:rFonts w:ascii="Times New Roman" w:hAnsi="Times New Roman"/>
          <w:snapToGrid/>
          <w:sz w:val="24"/>
          <w:szCs w:val="24"/>
        </w:rPr>
        <w:t xml:space="preserve">requires </w:t>
      </w:r>
      <w:r w:rsidR="00335F8A">
        <w:rPr>
          <w:rFonts w:ascii="Times New Roman" w:hAnsi="Times New Roman"/>
          <w:snapToGrid/>
          <w:sz w:val="24"/>
          <w:szCs w:val="24"/>
        </w:rPr>
        <w:t>f</w:t>
      </w:r>
      <w:r w:rsidRPr="002E3620" w:rsidR="00335F8A">
        <w:rPr>
          <w:rFonts w:ascii="Times New Roman" w:hAnsi="Times New Roman"/>
          <w:snapToGrid/>
          <w:sz w:val="24"/>
          <w:szCs w:val="24"/>
        </w:rPr>
        <w:t xml:space="preserve">ederal agencies </w:t>
      </w:r>
      <w:r w:rsidRPr="008F4CB6" w:rsidR="00335F8A">
        <w:rPr>
          <w:rFonts w:ascii="Times New Roman" w:hAnsi="Times New Roman"/>
          <w:snapToGrid/>
          <w:sz w:val="24"/>
          <w:szCs w:val="24"/>
        </w:rPr>
        <w:t>to review their programs and activities to identify those that may be susceptible to significant improper payments</w:t>
      </w:r>
      <w:r w:rsidR="00157325">
        <w:rPr>
          <w:rFonts w:ascii="Times New Roman" w:hAnsi="Times New Roman"/>
          <w:snapToGrid/>
          <w:sz w:val="24"/>
          <w:szCs w:val="24"/>
        </w:rPr>
        <w:t xml:space="preserve">, publish improper payment estimates for those programs and </w:t>
      </w:r>
      <w:r w:rsidR="00B27544">
        <w:rPr>
          <w:rFonts w:ascii="Times New Roman" w:hAnsi="Times New Roman"/>
          <w:snapToGrid/>
          <w:sz w:val="24"/>
          <w:szCs w:val="24"/>
        </w:rPr>
        <w:t xml:space="preserve">activities, </w:t>
      </w:r>
      <w:r w:rsidRPr="008F4CB6" w:rsidR="00B27544">
        <w:rPr>
          <w:rFonts w:ascii="Times New Roman" w:hAnsi="Times New Roman"/>
          <w:snapToGrid/>
          <w:sz w:val="24"/>
          <w:szCs w:val="24"/>
        </w:rPr>
        <w:t>and</w:t>
      </w:r>
      <w:r w:rsidRPr="008F4CB6" w:rsidR="00335F8A">
        <w:rPr>
          <w:rFonts w:ascii="Times New Roman" w:hAnsi="Times New Roman"/>
          <w:snapToGrid/>
          <w:sz w:val="24"/>
          <w:szCs w:val="24"/>
        </w:rPr>
        <w:t xml:space="preserve"> submit a report on actions taken to reduce improper payments.</w:t>
      </w:r>
      <w:r w:rsidR="00335F8A">
        <w:rPr>
          <w:rFonts w:ascii="Times New Roman" w:hAnsi="Times New Roman"/>
          <w:snapToGrid/>
          <w:sz w:val="24"/>
          <w:szCs w:val="24"/>
        </w:rPr>
        <w:t xml:space="preserve"> </w:t>
      </w:r>
      <w:r w:rsidRPr="00287000" w:rsidR="0099047D">
        <w:rPr>
          <w:rFonts w:ascii="Times New Roman" w:hAnsi="Times New Roman"/>
          <w:sz w:val="24"/>
          <w:szCs w:val="24"/>
        </w:rPr>
        <w:t xml:space="preserve">45 CFR Part 98 Subpart K requires states to prepare and submit a report of errors occurring in the administration of </w:t>
      </w:r>
      <w:r w:rsidR="008D45C9">
        <w:rPr>
          <w:rFonts w:ascii="Times New Roman" w:hAnsi="Times New Roman"/>
          <w:sz w:val="24"/>
          <w:szCs w:val="24"/>
        </w:rPr>
        <w:t xml:space="preserve">Child Care and Development Fund (CCDF) </w:t>
      </w:r>
      <w:r w:rsidRPr="00287000" w:rsidR="0099047D">
        <w:rPr>
          <w:rFonts w:ascii="Times New Roman" w:hAnsi="Times New Roman"/>
          <w:sz w:val="24"/>
          <w:szCs w:val="24"/>
        </w:rPr>
        <w:t xml:space="preserve">grant funds once every three years and directs states to follow the methodology outlined in the </w:t>
      </w:r>
      <w:r w:rsidR="00345FCD">
        <w:rPr>
          <w:rFonts w:ascii="Times New Roman" w:hAnsi="Times New Roman"/>
          <w:sz w:val="24"/>
          <w:szCs w:val="24"/>
        </w:rPr>
        <w:t xml:space="preserve">Child Care Improper Payments </w:t>
      </w:r>
      <w:r w:rsidRPr="00287000" w:rsidR="00287000">
        <w:rPr>
          <w:rFonts w:ascii="Times New Roman" w:hAnsi="Times New Roman"/>
          <w:sz w:val="24"/>
          <w:szCs w:val="24"/>
        </w:rPr>
        <w:t xml:space="preserve">Data Collection Instructions (DCI). </w:t>
      </w:r>
      <w:r w:rsidRPr="008333D3" w:rsidR="008333D3">
        <w:rPr>
          <w:rFonts w:ascii="Times New Roman" w:hAnsi="Times New Roman"/>
          <w:bCs/>
          <w:snapToGrid/>
          <w:sz w:val="24"/>
          <w:szCs w:val="24"/>
        </w:rPr>
        <w:t xml:space="preserve">The DCI provides instructions and forms to states to implement the required </w:t>
      </w:r>
      <w:r w:rsidR="00961819">
        <w:rPr>
          <w:rFonts w:ascii="Times New Roman" w:hAnsi="Times New Roman"/>
          <w:bCs/>
          <w:snapToGrid/>
          <w:sz w:val="24"/>
          <w:szCs w:val="24"/>
        </w:rPr>
        <w:t xml:space="preserve">CCDF </w:t>
      </w:r>
      <w:r w:rsidRPr="008333D3" w:rsidR="008333D3">
        <w:rPr>
          <w:rFonts w:ascii="Times New Roman" w:hAnsi="Times New Roman"/>
          <w:bCs/>
          <w:snapToGrid/>
          <w:sz w:val="24"/>
          <w:szCs w:val="24"/>
        </w:rPr>
        <w:t>error rate review methodology</w:t>
      </w:r>
      <w:r w:rsidR="00961819">
        <w:rPr>
          <w:rFonts w:ascii="Times New Roman" w:hAnsi="Times New Roman"/>
          <w:bCs/>
          <w:snapToGrid/>
          <w:sz w:val="24"/>
          <w:szCs w:val="24"/>
        </w:rPr>
        <w:t xml:space="preserve">. </w:t>
      </w:r>
    </w:p>
    <w:p w:rsidR="00EC698B" w:rsidP="00D7443D" w14:paraId="12A7BA7B" w14:textId="77777777">
      <w:pPr>
        <w:widowControl/>
        <w:tabs>
          <w:tab w:val="num" w:pos="360"/>
        </w:tabs>
        <w:ind w:left="360"/>
        <w:rPr>
          <w:rFonts w:ascii="Times New Roman" w:hAnsi="Times New Roman"/>
          <w:snapToGrid/>
          <w:sz w:val="24"/>
          <w:szCs w:val="24"/>
        </w:rPr>
      </w:pPr>
    </w:p>
    <w:p w:rsidR="00250248" w:rsidP="00D7443D" w14:paraId="73012068" w14:textId="37E845AD">
      <w:pPr>
        <w:widowControl/>
        <w:tabs>
          <w:tab w:val="num" w:pos="360"/>
        </w:tabs>
        <w:ind w:left="360"/>
        <w:rPr>
          <w:rFonts w:ascii="Times New Roman" w:hAnsi="Times New Roman"/>
          <w:sz w:val="24"/>
          <w:szCs w:val="24"/>
        </w:rPr>
      </w:pPr>
      <w:r w:rsidRPr="40ADF785">
        <w:rPr>
          <w:rFonts w:ascii="Times New Roman" w:hAnsi="Times New Roman"/>
          <w:sz w:val="24"/>
          <w:szCs w:val="24"/>
        </w:rPr>
        <w:t xml:space="preserve">The Office of Child Care (OCC) first implemented the error rate methodology in 2007 and is currently completing the </w:t>
      </w:r>
      <w:r>
        <w:rPr>
          <w:rFonts w:ascii="Times New Roman" w:hAnsi="Times New Roman"/>
          <w:sz w:val="24"/>
          <w:szCs w:val="24"/>
        </w:rPr>
        <w:t>sixth</w:t>
      </w:r>
      <w:r w:rsidRPr="40ADF785">
        <w:rPr>
          <w:rFonts w:ascii="Times New Roman" w:hAnsi="Times New Roman"/>
          <w:sz w:val="24"/>
          <w:szCs w:val="24"/>
        </w:rPr>
        <w:t xml:space="preserve"> 3-year cycle of case record reviews to meet the requirements for </w:t>
      </w:r>
      <w:r>
        <w:rPr>
          <w:rFonts w:ascii="Times New Roman" w:hAnsi="Times New Roman"/>
          <w:sz w:val="24"/>
          <w:szCs w:val="24"/>
        </w:rPr>
        <w:t xml:space="preserve">error rate </w:t>
      </w:r>
      <w:r w:rsidRPr="40ADF785">
        <w:rPr>
          <w:rFonts w:ascii="Times New Roman" w:hAnsi="Times New Roman"/>
          <w:sz w:val="24"/>
          <w:szCs w:val="24"/>
        </w:rPr>
        <w:t xml:space="preserve">reporting under the PIIA. </w:t>
      </w:r>
      <w:r w:rsidRPr="40ADF785" w:rsidR="00A11D5A">
        <w:rPr>
          <w:rFonts w:ascii="Times New Roman" w:hAnsi="Times New Roman"/>
          <w:sz w:val="24"/>
          <w:szCs w:val="24"/>
        </w:rPr>
        <w:t xml:space="preserve">The current data collection forms and instructions expire on </w:t>
      </w:r>
      <w:r w:rsidR="00A11D5A">
        <w:rPr>
          <w:rFonts w:ascii="Times New Roman" w:hAnsi="Times New Roman"/>
          <w:sz w:val="24"/>
          <w:szCs w:val="24"/>
        </w:rPr>
        <w:t xml:space="preserve">January 31, </w:t>
      </w:r>
      <w:r w:rsidR="00A11D5A">
        <w:rPr>
          <w:rFonts w:ascii="Times New Roman" w:hAnsi="Times New Roman"/>
          <w:sz w:val="24"/>
          <w:szCs w:val="24"/>
        </w:rPr>
        <w:t>2025</w:t>
      </w:r>
      <w:r w:rsidRPr="40ADF785" w:rsidR="00A11D5A">
        <w:rPr>
          <w:rFonts w:ascii="Times New Roman" w:hAnsi="Times New Roman"/>
          <w:sz w:val="24"/>
          <w:szCs w:val="24"/>
        </w:rPr>
        <w:t xml:space="preserve"> and must be renewed. As part of the renewal process, OCC has revised the </w:t>
      </w:r>
      <w:r w:rsidR="006309D3">
        <w:rPr>
          <w:rFonts w:ascii="Times New Roman" w:hAnsi="Times New Roman"/>
          <w:sz w:val="24"/>
          <w:szCs w:val="24"/>
        </w:rPr>
        <w:t>forms and instructions</w:t>
      </w:r>
      <w:r w:rsidRPr="40ADF785" w:rsidR="00A11D5A">
        <w:rPr>
          <w:rFonts w:ascii="Times New Roman" w:hAnsi="Times New Roman"/>
          <w:sz w:val="24"/>
          <w:szCs w:val="24"/>
        </w:rPr>
        <w:t xml:space="preserve"> with minor changes that do not change the </w:t>
      </w:r>
      <w:r w:rsidR="006309D3">
        <w:rPr>
          <w:rFonts w:ascii="Times New Roman" w:hAnsi="Times New Roman"/>
          <w:sz w:val="24"/>
          <w:szCs w:val="24"/>
        </w:rPr>
        <w:t xml:space="preserve">error rate </w:t>
      </w:r>
      <w:r w:rsidRPr="40ADF785" w:rsidR="00A11D5A">
        <w:rPr>
          <w:rFonts w:ascii="Times New Roman" w:hAnsi="Times New Roman"/>
          <w:sz w:val="24"/>
          <w:szCs w:val="24"/>
        </w:rPr>
        <w:t xml:space="preserve">methodology, but </w:t>
      </w:r>
      <w:r w:rsidR="00E97BA6">
        <w:rPr>
          <w:rFonts w:ascii="Times New Roman" w:hAnsi="Times New Roman"/>
          <w:sz w:val="24"/>
          <w:szCs w:val="24"/>
        </w:rPr>
        <w:t>instead</w:t>
      </w:r>
      <w:r w:rsidRPr="40ADF785" w:rsidR="00A11D5A">
        <w:rPr>
          <w:rFonts w:ascii="Times New Roman" w:hAnsi="Times New Roman"/>
          <w:sz w:val="24"/>
          <w:szCs w:val="24"/>
        </w:rPr>
        <w:t xml:space="preserve"> provide respondents with additional guidance</w:t>
      </w:r>
      <w:r w:rsidR="006309D3">
        <w:rPr>
          <w:rFonts w:ascii="Times New Roman" w:hAnsi="Times New Roman"/>
          <w:sz w:val="24"/>
          <w:szCs w:val="24"/>
        </w:rPr>
        <w:t xml:space="preserve"> and </w:t>
      </w:r>
      <w:r w:rsidRPr="40ADF785" w:rsidR="00A11D5A">
        <w:rPr>
          <w:rFonts w:ascii="Times New Roman" w:hAnsi="Times New Roman"/>
          <w:sz w:val="24"/>
          <w:szCs w:val="24"/>
        </w:rPr>
        <w:t>clarification</w:t>
      </w:r>
      <w:r w:rsidR="006309D3">
        <w:rPr>
          <w:rFonts w:ascii="Times New Roman" w:hAnsi="Times New Roman"/>
          <w:sz w:val="24"/>
          <w:szCs w:val="24"/>
        </w:rPr>
        <w:t xml:space="preserve"> to </w:t>
      </w:r>
      <w:r w:rsidRPr="40ADF785" w:rsidR="00A11D5A">
        <w:rPr>
          <w:rFonts w:ascii="Times New Roman" w:hAnsi="Times New Roman"/>
          <w:sz w:val="24"/>
          <w:szCs w:val="24"/>
        </w:rPr>
        <w:t>facilitate complete and accura</w:t>
      </w:r>
      <w:r w:rsidR="006309D3">
        <w:rPr>
          <w:rFonts w:ascii="Times New Roman" w:hAnsi="Times New Roman"/>
          <w:sz w:val="24"/>
          <w:szCs w:val="24"/>
        </w:rPr>
        <w:t>te</w:t>
      </w:r>
      <w:r w:rsidRPr="40ADF785" w:rsidR="00A11D5A">
        <w:rPr>
          <w:rFonts w:ascii="Times New Roman" w:hAnsi="Times New Roman"/>
          <w:sz w:val="24"/>
          <w:szCs w:val="24"/>
        </w:rPr>
        <w:t xml:space="preserve"> data submissions.</w:t>
      </w:r>
      <w:r>
        <w:rPr>
          <w:rFonts w:ascii="Times New Roman" w:hAnsi="Times New Roman"/>
          <w:sz w:val="24"/>
          <w:szCs w:val="24"/>
        </w:rPr>
        <w:t xml:space="preserve"> To allow states time to implement changes prior to </w:t>
      </w:r>
      <w:r w:rsidR="00056CB9">
        <w:rPr>
          <w:rFonts w:ascii="Times New Roman" w:hAnsi="Times New Roman"/>
          <w:sz w:val="24"/>
          <w:szCs w:val="24"/>
        </w:rPr>
        <w:t xml:space="preserve">the submission deadline for the ACF-404 State Improper Payments Report (one of the four reports included in the DCI), </w:t>
      </w:r>
      <w:r>
        <w:rPr>
          <w:rFonts w:ascii="Times New Roman" w:hAnsi="Times New Roman"/>
          <w:sz w:val="24"/>
          <w:szCs w:val="24"/>
        </w:rPr>
        <w:t xml:space="preserve"> the new version </w:t>
      </w:r>
      <w:r w:rsidR="003A7998">
        <w:rPr>
          <w:rFonts w:ascii="Times New Roman" w:hAnsi="Times New Roman"/>
          <w:sz w:val="24"/>
          <w:szCs w:val="24"/>
        </w:rPr>
        <w:t xml:space="preserve">of the ACF-404 </w:t>
      </w:r>
      <w:r>
        <w:rPr>
          <w:rFonts w:ascii="Times New Roman" w:hAnsi="Times New Roman"/>
          <w:sz w:val="24"/>
          <w:szCs w:val="24"/>
        </w:rPr>
        <w:t xml:space="preserve">will be effective for </w:t>
      </w:r>
      <w:r w:rsidR="003A7998">
        <w:rPr>
          <w:rFonts w:ascii="Times New Roman" w:hAnsi="Times New Roman"/>
          <w:sz w:val="24"/>
          <w:szCs w:val="24"/>
        </w:rPr>
        <w:t xml:space="preserve">the </w:t>
      </w:r>
      <w:r>
        <w:rPr>
          <w:rFonts w:ascii="Times New Roman" w:hAnsi="Times New Roman"/>
          <w:sz w:val="24"/>
          <w:szCs w:val="24"/>
        </w:rPr>
        <w:t xml:space="preserve">June 2026 reports. The currently approved version </w:t>
      </w:r>
      <w:r w:rsidR="003A7998">
        <w:rPr>
          <w:rFonts w:ascii="Times New Roman" w:hAnsi="Times New Roman"/>
          <w:sz w:val="24"/>
          <w:szCs w:val="24"/>
        </w:rPr>
        <w:t xml:space="preserve">of the ACF-404 </w:t>
      </w:r>
      <w:r>
        <w:rPr>
          <w:rFonts w:ascii="Times New Roman" w:hAnsi="Times New Roman"/>
          <w:sz w:val="24"/>
          <w:szCs w:val="24"/>
        </w:rPr>
        <w:t xml:space="preserve">will be used in 2025. </w:t>
      </w:r>
    </w:p>
    <w:p w:rsidR="00250248" w:rsidP="00D7443D" w14:paraId="343F69CC" w14:textId="77777777">
      <w:pPr>
        <w:widowControl/>
        <w:tabs>
          <w:tab w:val="num" w:pos="360"/>
        </w:tabs>
        <w:ind w:left="360"/>
        <w:rPr>
          <w:rFonts w:ascii="Times New Roman" w:hAnsi="Times New Roman"/>
          <w:sz w:val="24"/>
          <w:szCs w:val="24"/>
        </w:rPr>
      </w:pPr>
    </w:p>
    <w:p w:rsidR="00D60543" w:rsidP="00D7443D" w14:paraId="47A9B9C7" w14:textId="359206C3">
      <w:pPr>
        <w:widowControl/>
        <w:tabs>
          <w:tab w:val="num" w:pos="360"/>
        </w:tabs>
        <w:ind w:left="360"/>
        <w:rPr>
          <w:rFonts w:ascii="Times New Roman" w:hAnsi="Times New Roman"/>
          <w:snapToGrid/>
          <w:sz w:val="24"/>
          <w:szCs w:val="24"/>
        </w:rPr>
      </w:pPr>
      <w:r w:rsidRPr="40ADF785">
        <w:rPr>
          <w:rFonts w:ascii="Times New Roman" w:hAnsi="Times New Roman"/>
          <w:sz w:val="24"/>
          <w:szCs w:val="24"/>
        </w:rPr>
        <w:t xml:space="preserve">See Attachment </w:t>
      </w:r>
      <w:r w:rsidR="00DA1F31">
        <w:rPr>
          <w:rFonts w:ascii="Times New Roman" w:hAnsi="Times New Roman"/>
          <w:sz w:val="24"/>
          <w:szCs w:val="24"/>
        </w:rPr>
        <w:t>B</w:t>
      </w:r>
      <w:r w:rsidRPr="40ADF785">
        <w:rPr>
          <w:rFonts w:ascii="Times New Roman" w:hAnsi="Times New Roman"/>
          <w:sz w:val="24"/>
          <w:szCs w:val="24"/>
        </w:rPr>
        <w:t xml:space="preserve"> for the revised Data Collection Instructions.  </w:t>
      </w:r>
    </w:p>
    <w:p w:rsidR="00DE529D" w:rsidP="00D7443D" w14:paraId="5548F0DE" w14:textId="77777777">
      <w:pPr>
        <w:widowControl/>
        <w:tabs>
          <w:tab w:val="num" w:pos="360"/>
        </w:tabs>
        <w:ind w:left="360"/>
        <w:rPr>
          <w:rFonts w:ascii="Times New Roman" w:hAnsi="Times New Roman"/>
          <w:snapToGrid/>
          <w:sz w:val="24"/>
          <w:szCs w:val="24"/>
        </w:rPr>
      </w:pPr>
    </w:p>
    <w:p w:rsidR="00DA1F31" w:rsidP="00D7443D" w14:paraId="4506BB8E" w14:textId="77777777">
      <w:pPr>
        <w:widowControl/>
        <w:tabs>
          <w:tab w:val="num" w:pos="360"/>
        </w:tabs>
        <w:ind w:left="360"/>
        <w:rPr>
          <w:rFonts w:ascii="Times New Roman" w:hAnsi="Times New Roman"/>
          <w:snapToGrid/>
          <w:sz w:val="24"/>
          <w:szCs w:val="24"/>
        </w:rPr>
      </w:pPr>
    </w:p>
    <w:p w:rsidR="00DA1F31" w:rsidRPr="004F7B95" w:rsidP="00D7443D" w14:paraId="37B26C68" w14:textId="77777777">
      <w:pPr>
        <w:widowControl/>
        <w:tabs>
          <w:tab w:val="num" w:pos="360"/>
        </w:tabs>
        <w:ind w:left="360"/>
        <w:rPr>
          <w:rFonts w:ascii="Times New Roman" w:hAnsi="Times New Roman"/>
          <w:snapToGrid/>
          <w:sz w:val="24"/>
          <w:szCs w:val="24"/>
        </w:rPr>
      </w:pPr>
    </w:p>
    <w:p w:rsidR="00790D2C" w:rsidRPr="00E97BA6" w:rsidP="00E47113" w14:paraId="4C1BFBD8" w14:textId="66DDD3DF">
      <w:pPr>
        <w:widowControl/>
        <w:numPr>
          <w:ilvl w:val="0"/>
          <w:numId w:val="3"/>
        </w:numPr>
        <w:tabs>
          <w:tab w:val="num" w:pos="0"/>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D7443D" w14:paraId="689974F1" w14:textId="24B79A83">
      <w:pPr>
        <w:widowControl/>
        <w:tabs>
          <w:tab w:val="num" w:pos="360"/>
        </w:tabs>
        <w:ind w:left="360"/>
        <w:rPr>
          <w:rFonts w:ascii="Times New Roman" w:hAnsi="Times New Roman"/>
          <w:sz w:val="24"/>
          <w:szCs w:val="24"/>
        </w:rPr>
      </w:pPr>
      <w:r w:rsidRPr="00415D30">
        <w:rPr>
          <w:rStyle w:val="normaltextrun"/>
          <w:rFonts w:ascii="Times New Roman" w:hAnsi="Times New Roman"/>
          <w:color w:val="000000"/>
          <w:sz w:val="24"/>
          <w:szCs w:val="24"/>
          <w:shd w:val="clear" w:color="auto" w:fill="FFFFFF"/>
        </w:rPr>
        <w:t xml:space="preserve">OCC reports CCDF error rate estimates annually </w:t>
      </w:r>
      <w:r w:rsidRPr="00415D30">
        <w:rPr>
          <w:rFonts w:ascii="Times New Roman" w:hAnsi="Times New Roman"/>
          <w:color w:val="000000" w:themeColor="text1"/>
          <w:sz w:val="24"/>
          <w:szCs w:val="24"/>
        </w:rPr>
        <w:t xml:space="preserve">to the Department of Health and Human Services </w:t>
      </w:r>
      <w:r w:rsidR="00637616">
        <w:rPr>
          <w:rFonts w:ascii="Times New Roman" w:hAnsi="Times New Roman"/>
          <w:color w:val="000000" w:themeColor="text1"/>
          <w:sz w:val="24"/>
          <w:szCs w:val="24"/>
        </w:rPr>
        <w:t xml:space="preserve">(HHS) </w:t>
      </w:r>
      <w:r w:rsidRPr="00415D30">
        <w:rPr>
          <w:rFonts w:ascii="Times New Roman" w:hAnsi="Times New Roman"/>
          <w:color w:val="000000" w:themeColor="text1"/>
          <w:sz w:val="24"/>
          <w:szCs w:val="24"/>
        </w:rPr>
        <w:t xml:space="preserve">as part of the Agency Financial Report (AFR) required under the PIIA. OCC uses information </w:t>
      </w:r>
      <w:r w:rsidR="005E0051">
        <w:rPr>
          <w:rFonts w:ascii="Times New Roman" w:hAnsi="Times New Roman"/>
          <w:color w:val="000000" w:themeColor="text1"/>
          <w:sz w:val="24"/>
          <w:szCs w:val="24"/>
        </w:rPr>
        <w:t>collected from</w:t>
      </w:r>
      <w:r w:rsidR="00671E1C">
        <w:rPr>
          <w:rFonts w:ascii="Times New Roman" w:hAnsi="Times New Roman"/>
          <w:color w:val="000000" w:themeColor="text1"/>
          <w:sz w:val="24"/>
          <w:szCs w:val="24"/>
        </w:rPr>
        <w:t xml:space="preserve"> states through the reporting forms in the </w:t>
      </w:r>
      <w:r w:rsidRPr="00415D30">
        <w:rPr>
          <w:rFonts w:ascii="Times New Roman" w:hAnsi="Times New Roman"/>
          <w:sz w:val="24"/>
          <w:szCs w:val="24"/>
        </w:rPr>
        <w:t>DCI to meet this reporting requirement.</w:t>
      </w:r>
      <w:r w:rsidR="00671E1C">
        <w:rPr>
          <w:rFonts w:ascii="Times New Roman" w:hAnsi="Times New Roman"/>
          <w:sz w:val="24"/>
          <w:szCs w:val="24"/>
        </w:rPr>
        <w:t xml:space="preserve"> OCC also uses the information collected to </w:t>
      </w:r>
      <w:r w:rsidR="00880BE2">
        <w:rPr>
          <w:rFonts w:ascii="Times New Roman" w:hAnsi="Times New Roman"/>
          <w:sz w:val="24"/>
          <w:szCs w:val="24"/>
        </w:rPr>
        <w:t>identify actions to reduce CCDF improper payments and inform training and technical assistance provided to states.</w:t>
      </w:r>
    </w:p>
    <w:p w:rsidR="004E7954" w:rsidP="00D7443D" w14:paraId="5A063F67" w14:textId="77777777">
      <w:pPr>
        <w:widowControl/>
        <w:tabs>
          <w:tab w:val="num" w:pos="360"/>
        </w:tabs>
        <w:ind w:left="360"/>
        <w:rPr>
          <w:rFonts w:ascii="Times New Roman" w:hAnsi="Times New Roman"/>
          <w:sz w:val="24"/>
          <w:szCs w:val="24"/>
        </w:rPr>
      </w:pPr>
    </w:p>
    <w:p w:rsidR="004E7954" w:rsidP="00D7443D" w14:paraId="70987DAD" w14:textId="3C1F89E9">
      <w:pPr>
        <w:widowControl/>
        <w:tabs>
          <w:tab w:val="num" w:pos="360"/>
        </w:tabs>
        <w:ind w:left="360"/>
        <w:rPr>
          <w:rFonts w:ascii="Times New Roman" w:hAnsi="Times New Roman"/>
          <w:sz w:val="24"/>
          <w:szCs w:val="24"/>
        </w:rPr>
      </w:pPr>
      <w:r>
        <w:rPr>
          <w:rFonts w:ascii="Times New Roman" w:hAnsi="Times New Roman"/>
          <w:sz w:val="24"/>
          <w:szCs w:val="24"/>
        </w:rPr>
        <w:t xml:space="preserve">The DCI provides instructions </w:t>
      </w:r>
      <w:r w:rsidR="002A6B34">
        <w:rPr>
          <w:rFonts w:ascii="Times New Roman" w:hAnsi="Times New Roman"/>
          <w:sz w:val="24"/>
          <w:szCs w:val="24"/>
        </w:rPr>
        <w:t>to states to implement each step of the error rate review process and includes four data collection forms:</w:t>
      </w:r>
    </w:p>
    <w:p w:rsidR="009344AC" w:rsidP="009344AC" w14:paraId="2A1E172B" w14:textId="1D6A0A5C">
      <w:pPr>
        <w:pStyle w:val="ListParagraph"/>
        <w:widowControl/>
        <w:numPr>
          <w:ilvl w:val="0"/>
          <w:numId w:val="21"/>
        </w:numPr>
        <w:spacing w:after="60"/>
        <w:rPr>
          <w:rFonts w:ascii="Times New Roman" w:hAnsi="Times New Roman"/>
          <w:color w:val="000000" w:themeColor="text1"/>
          <w:sz w:val="24"/>
          <w:szCs w:val="24"/>
        </w:rPr>
      </w:pPr>
      <w:r w:rsidRPr="00564291">
        <w:rPr>
          <w:rFonts w:ascii="Times New Roman" w:hAnsi="Times New Roman"/>
          <w:i/>
          <w:iCs/>
          <w:color w:val="000000" w:themeColor="text1"/>
          <w:sz w:val="24"/>
          <w:szCs w:val="24"/>
        </w:rPr>
        <w:t>Sampling Decisions, Assurances, and Fieldwork Preparation Plan</w:t>
      </w:r>
      <w:r>
        <w:rPr>
          <w:rFonts w:ascii="Times New Roman" w:hAnsi="Times New Roman"/>
          <w:i/>
          <w:iCs/>
          <w:color w:val="000000" w:themeColor="text1"/>
          <w:sz w:val="24"/>
          <w:szCs w:val="24"/>
        </w:rPr>
        <w:t xml:space="preserve"> </w:t>
      </w:r>
      <w:r w:rsidRPr="005328EC">
        <w:rPr>
          <w:rFonts w:ascii="Times New Roman" w:hAnsi="Times New Roman"/>
          <w:color w:val="000000" w:themeColor="text1"/>
          <w:sz w:val="24"/>
          <w:szCs w:val="24"/>
        </w:rPr>
        <w:t>(SDAP):</w:t>
      </w:r>
      <w:r>
        <w:rPr>
          <w:rFonts w:ascii="Times New Roman" w:hAnsi="Times New Roman"/>
          <w:color w:val="000000" w:themeColor="text1"/>
          <w:sz w:val="24"/>
          <w:szCs w:val="24"/>
        </w:rPr>
        <w:t xml:space="preserve"> The SDAP includes a series of questions about how the state plans to sample cases and conduct case reviews, including the frequency of collecting samples, the state’s review team and project leadership composition, and how the state ensures inter-reviewer consistency. OCC reviews and approves the state’s SDAP prior to the state drawing their first sample of case records.  </w:t>
      </w:r>
    </w:p>
    <w:p w:rsidR="0079172F" w:rsidRPr="00C6302A" w:rsidP="0079172F" w14:paraId="585EB854" w14:textId="1E1187CD">
      <w:pPr>
        <w:pStyle w:val="ListParagraph"/>
        <w:widowControl/>
        <w:numPr>
          <w:ilvl w:val="0"/>
          <w:numId w:val="21"/>
        </w:numPr>
        <w:spacing w:after="60"/>
        <w:rPr>
          <w:rFonts w:ascii="Times New Roman" w:hAnsi="Times New Roman"/>
          <w:i/>
          <w:iCs/>
          <w:color w:val="000000" w:themeColor="text1"/>
          <w:sz w:val="24"/>
          <w:szCs w:val="24"/>
        </w:rPr>
      </w:pPr>
      <w:r>
        <w:rPr>
          <w:rFonts w:ascii="Times New Roman" w:hAnsi="Times New Roman"/>
          <w:i/>
          <w:iCs/>
          <w:color w:val="000000" w:themeColor="text1"/>
          <w:sz w:val="24"/>
          <w:szCs w:val="24"/>
        </w:rPr>
        <w:t xml:space="preserve">ACF-403 </w:t>
      </w:r>
      <w:r w:rsidRPr="00773944">
        <w:rPr>
          <w:rFonts w:ascii="Times New Roman" w:hAnsi="Times New Roman"/>
          <w:i/>
          <w:iCs/>
          <w:color w:val="000000" w:themeColor="text1"/>
          <w:sz w:val="24"/>
          <w:szCs w:val="24"/>
        </w:rPr>
        <w:t>Record Review Worksheet</w:t>
      </w:r>
      <w:r>
        <w:rPr>
          <w:rFonts w:ascii="Times New Roman" w:hAnsi="Times New Roman"/>
          <w:i/>
          <w:iCs/>
          <w:color w:val="000000" w:themeColor="text1"/>
          <w:sz w:val="24"/>
          <w:szCs w:val="24"/>
        </w:rPr>
        <w:t xml:space="preserve"> </w:t>
      </w:r>
      <w:r w:rsidRPr="005328EC">
        <w:rPr>
          <w:rFonts w:ascii="Times New Roman" w:hAnsi="Times New Roman"/>
          <w:color w:val="000000" w:themeColor="text1"/>
          <w:sz w:val="24"/>
          <w:szCs w:val="24"/>
        </w:rPr>
        <w:t>(RRW):</w:t>
      </w:r>
      <w:r>
        <w:rPr>
          <w:rFonts w:ascii="Times New Roman" w:hAnsi="Times New Roman"/>
          <w:i/>
          <w:iCs/>
          <w:color w:val="000000" w:themeColor="text1"/>
          <w:sz w:val="24"/>
          <w:szCs w:val="24"/>
        </w:rPr>
        <w:t xml:space="preserve"> </w:t>
      </w:r>
      <w:r w:rsidRPr="00EF3408">
        <w:rPr>
          <w:rFonts w:ascii="Times New Roman" w:hAnsi="Times New Roman"/>
          <w:color w:val="000000" w:themeColor="text1"/>
          <w:sz w:val="24"/>
          <w:szCs w:val="24"/>
        </w:rPr>
        <w:t>The RRW provides a standard</w:t>
      </w:r>
      <w:r>
        <w:rPr>
          <w:rFonts w:ascii="Times New Roman" w:hAnsi="Times New Roman"/>
          <w:color w:val="000000" w:themeColor="text1"/>
          <w:sz w:val="24"/>
          <w:szCs w:val="24"/>
        </w:rPr>
        <w:t>ized</w:t>
      </w:r>
      <w:r w:rsidRPr="00EF3408">
        <w:rPr>
          <w:rFonts w:ascii="Times New Roman" w:hAnsi="Times New Roman"/>
          <w:color w:val="000000" w:themeColor="text1"/>
          <w:sz w:val="24"/>
          <w:szCs w:val="24"/>
        </w:rPr>
        <w:t xml:space="preserve"> </w:t>
      </w:r>
      <w:r>
        <w:rPr>
          <w:rFonts w:ascii="Times New Roman" w:hAnsi="Times New Roman"/>
          <w:color w:val="000000" w:themeColor="text1"/>
          <w:sz w:val="24"/>
          <w:szCs w:val="24"/>
        </w:rPr>
        <w:t>template</w:t>
      </w:r>
      <w:r w:rsidRPr="00EF3408">
        <w:rPr>
          <w:rFonts w:ascii="Times New Roman" w:hAnsi="Times New Roman"/>
          <w:color w:val="000000" w:themeColor="text1"/>
          <w:sz w:val="24"/>
          <w:szCs w:val="24"/>
        </w:rPr>
        <w:t xml:space="preserve"> for </w:t>
      </w:r>
      <w:r>
        <w:rPr>
          <w:rFonts w:ascii="Times New Roman" w:hAnsi="Times New Roman"/>
          <w:color w:val="000000" w:themeColor="text1"/>
          <w:sz w:val="24"/>
          <w:szCs w:val="24"/>
        </w:rPr>
        <w:t>s</w:t>
      </w:r>
      <w:r w:rsidRPr="00EF3408">
        <w:rPr>
          <w:rFonts w:ascii="Times New Roman" w:hAnsi="Times New Roman"/>
          <w:color w:val="000000" w:themeColor="text1"/>
          <w:sz w:val="24"/>
          <w:szCs w:val="24"/>
        </w:rPr>
        <w:t>tate</w:t>
      </w:r>
      <w:r>
        <w:rPr>
          <w:rFonts w:ascii="Times New Roman" w:hAnsi="Times New Roman"/>
          <w:color w:val="000000" w:themeColor="text1"/>
          <w:sz w:val="24"/>
          <w:szCs w:val="24"/>
        </w:rPr>
        <w:t>s</w:t>
      </w:r>
      <w:r w:rsidRPr="00EF3408">
        <w:rPr>
          <w:rFonts w:ascii="Times New Roman" w:hAnsi="Times New Roman"/>
          <w:color w:val="000000" w:themeColor="text1"/>
          <w:sz w:val="24"/>
          <w:szCs w:val="24"/>
        </w:rPr>
        <w:t xml:space="preserve"> to review th</w:t>
      </w:r>
      <w:r>
        <w:rPr>
          <w:rFonts w:ascii="Times New Roman" w:hAnsi="Times New Roman"/>
          <w:color w:val="000000" w:themeColor="text1"/>
          <w:sz w:val="24"/>
          <w:szCs w:val="24"/>
        </w:rPr>
        <w:t xml:space="preserve">eir </w:t>
      </w:r>
      <w:r w:rsidRPr="00EF3408">
        <w:rPr>
          <w:rFonts w:ascii="Times New Roman" w:hAnsi="Times New Roman"/>
          <w:color w:val="000000" w:themeColor="text1"/>
          <w:sz w:val="24"/>
          <w:szCs w:val="24"/>
        </w:rPr>
        <w:t>case record</w:t>
      </w:r>
      <w:r>
        <w:rPr>
          <w:rFonts w:ascii="Times New Roman" w:hAnsi="Times New Roman"/>
          <w:color w:val="000000" w:themeColor="text1"/>
          <w:sz w:val="24"/>
          <w:szCs w:val="24"/>
        </w:rPr>
        <w:t>s</w:t>
      </w:r>
      <w:r w:rsidRPr="00EF3408">
        <w:rPr>
          <w:rFonts w:ascii="Times New Roman" w:hAnsi="Times New Roman"/>
          <w:color w:val="000000" w:themeColor="text1"/>
          <w:sz w:val="24"/>
          <w:szCs w:val="24"/>
        </w:rPr>
        <w:t xml:space="preserve"> to evaluate whether </w:t>
      </w:r>
      <w:r>
        <w:rPr>
          <w:rFonts w:ascii="Times New Roman" w:hAnsi="Times New Roman"/>
          <w:color w:val="000000" w:themeColor="text1"/>
          <w:sz w:val="24"/>
          <w:szCs w:val="24"/>
        </w:rPr>
        <w:t xml:space="preserve">CCDF </w:t>
      </w:r>
      <w:r w:rsidRPr="00EF3408">
        <w:rPr>
          <w:rFonts w:ascii="Times New Roman" w:hAnsi="Times New Roman"/>
          <w:color w:val="000000" w:themeColor="text1"/>
          <w:sz w:val="24"/>
          <w:szCs w:val="24"/>
        </w:rPr>
        <w:t xml:space="preserve">eligibility was correctly determined and whether the subsidy payment was made </w:t>
      </w:r>
      <w:r>
        <w:rPr>
          <w:rFonts w:ascii="Times New Roman" w:hAnsi="Times New Roman"/>
          <w:color w:val="000000" w:themeColor="text1"/>
          <w:sz w:val="24"/>
          <w:szCs w:val="24"/>
        </w:rPr>
        <w:t>in the</w:t>
      </w:r>
      <w:r w:rsidRPr="00EF3408">
        <w:rPr>
          <w:rFonts w:ascii="Times New Roman" w:hAnsi="Times New Roman"/>
          <w:color w:val="000000" w:themeColor="text1"/>
          <w:sz w:val="24"/>
          <w:szCs w:val="24"/>
        </w:rPr>
        <w:t xml:space="preserve"> correct amount.</w:t>
      </w:r>
      <w:r>
        <w:rPr>
          <w:rFonts w:ascii="Times New Roman" w:hAnsi="Times New Roman"/>
          <w:color w:val="000000" w:themeColor="text1"/>
          <w:sz w:val="24"/>
          <w:szCs w:val="24"/>
        </w:rPr>
        <w:t xml:space="preserve"> Because states may establish eligibility conditions in addition to the CCDF federal requirements, states customize the RRW template to include their state’s regulations, policies, and procedures. After the RRW template is reviewed and approved by OCC, the state uses the approved RRW template to review a sample of 276 case records (for a total of 276 completed RRWs).  </w:t>
      </w:r>
    </w:p>
    <w:p w:rsidR="009F6487" w:rsidRPr="00390D83" w:rsidP="009F6487" w14:paraId="378F6F50" w14:textId="69F0AE26">
      <w:pPr>
        <w:pStyle w:val="ListParagraph"/>
        <w:widowControl/>
        <w:numPr>
          <w:ilvl w:val="0"/>
          <w:numId w:val="21"/>
        </w:numPr>
        <w:spacing w:after="60"/>
        <w:rPr>
          <w:rFonts w:ascii="Times New Roman" w:hAnsi="Times New Roman"/>
          <w:i/>
          <w:iCs/>
          <w:color w:val="000000" w:themeColor="text1"/>
          <w:sz w:val="24"/>
          <w:szCs w:val="24"/>
        </w:rPr>
      </w:pPr>
      <w:r>
        <w:rPr>
          <w:rFonts w:ascii="Times New Roman" w:hAnsi="Times New Roman"/>
          <w:i/>
          <w:iCs/>
          <w:color w:val="000000" w:themeColor="text1"/>
          <w:sz w:val="24"/>
          <w:szCs w:val="24"/>
        </w:rPr>
        <w:t xml:space="preserve">ACF-404 </w:t>
      </w:r>
      <w:r w:rsidRPr="00773944">
        <w:rPr>
          <w:rFonts w:ascii="Times New Roman" w:hAnsi="Times New Roman"/>
          <w:i/>
          <w:iCs/>
          <w:color w:val="000000" w:themeColor="text1"/>
          <w:sz w:val="24"/>
          <w:szCs w:val="24"/>
        </w:rPr>
        <w:t>State Improper Payments Report</w:t>
      </w:r>
      <w:r>
        <w:rPr>
          <w:rFonts w:ascii="Times New Roman" w:hAnsi="Times New Roman"/>
          <w:i/>
          <w:iCs/>
          <w:color w:val="000000" w:themeColor="text1"/>
          <w:sz w:val="24"/>
          <w:szCs w:val="24"/>
        </w:rPr>
        <w:t xml:space="preserve">: </w:t>
      </w:r>
      <w:r w:rsidRPr="00B155C0">
        <w:rPr>
          <w:rFonts w:ascii="Times New Roman" w:hAnsi="Times New Roman"/>
          <w:color w:val="000000" w:themeColor="text1"/>
          <w:sz w:val="24"/>
          <w:szCs w:val="24"/>
        </w:rPr>
        <w:t xml:space="preserve">States </w:t>
      </w:r>
      <w:r>
        <w:rPr>
          <w:rFonts w:ascii="Times New Roman" w:hAnsi="Times New Roman"/>
          <w:color w:val="000000" w:themeColor="text1"/>
          <w:sz w:val="24"/>
          <w:szCs w:val="24"/>
        </w:rPr>
        <w:t xml:space="preserve">use the </w:t>
      </w:r>
      <w:r w:rsidRPr="00B155C0">
        <w:rPr>
          <w:rFonts w:ascii="Times New Roman" w:hAnsi="Times New Roman"/>
          <w:i/>
          <w:iCs/>
          <w:color w:val="000000" w:themeColor="text1"/>
          <w:sz w:val="24"/>
          <w:szCs w:val="24"/>
        </w:rPr>
        <w:t>State Improper Payments Report</w:t>
      </w:r>
      <w:r>
        <w:rPr>
          <w:rFonts w:ascii="Times New Roman" w:hAnsi="Times New Roman"/>
          <w:color w:val="000000" w:themeColor="text1"/>
          <w:sz w:val="24"/>
          <w:szCs w:val="24"/>
        </w:rPr>
        <w:t xml:space="preserve"> to </w:t>
      </w:r>
      <w:r w:rsidRPr="00B155C0">
        <w:rPr>
          <w:rFonts w:ascii="Times New Roman" w:hAnsi="Times New Roman"/>
          <w:color w:val="000000" w:themeColor="text1"/>
          <w:sz w:val="24"/>
          <w:szCs w:val="24"/>
        </w:rPr>
        <w:t>report the</w:t>
      </w:r>
      <w:r>
        <w:rPr>
          <w:rFonts w:ascii="Times New Roman" w:hAnsi="Times New Roman"/>
          <w:color w:val="000000" w:themeColor="text1"/>
          <w:sz w:val="24"/>
          <w:szCs w:val="24"/>
        </w:rPr>
        <w:t>ir</w:t>
      </w:r>
      <w:r w:rsidRPr="00B155C0">
        <w:rPr>
          <w:rFonts w:ascii="Times New Roman" w:hAnsi="Times New Roman"/>
          <w:color w:val="000000" w:themeColor="text1"/>
          <w:sz w:val="24"/>
          <w:szCs w:val="24"/>
        </w:rPr>
        <w:t xml:space="preserve"> error rate</w:t>
      </w:r>
      <w:r>
        <w:rPr>
          <w:rFonts w:ascii="Times New Roman" w:hAnsi="Times New Roman"/>
          <w:color w:val="000000" w:themeColor="text1"/>
          <w:sz w:val="24"/>
          <w:szCs w:val="24"/>
        </w:rPr>
        <w:t xml:space="preserve"> and improper payments findings and analysis from their completed </w:t>
      </w:r>
      <w:r w:rsidR="00F91DC8">
        <w:rPr>
          <w:rFonts w:ascii="Times New Roman" w:hAnsi="Times New Roman"/>
          <w:color w:val="000000" w:themeColor="text1"/>
          <w:sz w:val="24"/>
          <w:szCs w:val="24"/>
        </w:rPr>
        <w:t>case reviews</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OCC uses the aggregate information and data collected from the </w:t>
      </w:r>
      <w:r w:rsidRPr="003E1503">
        <w:rPr>
          <w:rFonts w:ascii="Times New Roman" w:hAnsi="Times New Roman"/>
          <w:i/>
          <w:iCs/>
          <w:color w:val="000000" w:themeColor="text1"/>
          <w:sz w:val="24"/>
          <w:szCs w:val="24"/>
        </w:rPr>
        <w:t>State Improper Payments Reports</w:t>
      </w:r>
      <w:r>
        <w:rPr>
          <w:rFonts w:ascii="Times New Roman" w:hAnsi="Times New Roman"/>
          <w:color w:val="000000" w:themeColor="text1"/>
          <w:sz w:val="24"/>
          <w:szCs w:val="24"/>
        </w:rPr>
        <w:t xml:space="preserve"> to calculate the CCDF national error rate and </w:t>
      </w:r>
      <w:r w:rsidRPr="009C701A">
        <w:rPr>
          <w:rFonts w:ascii="Times New Roman" w:hAnsi="Times New Roman"/>
          <w:color w:val="000000" w:themeColor="text1"/>
          <w:sz w:val="24"/>
          <w:szCs w:val="24"/>
        </w:rPr>
        <w:t xml:space="preserve">prepare </w:t>
      </w:r>
      <w:r w:rsidR="00F0434A">
        <w:rPr>
          <w:rFonts w:ascii="Times New Roman" w:hAnsi="Times New Roman"/>
          <w:color w:val="000000" w:themeColor="text1"/>
          <w:sz w:val="24"/>
          <w:szCs w:val="24"/>
        </w:rPr>
        <w:t>data for</w:t>
      </w:r>
      <w:r w:rsidRPr="009C701A" w:rsidR="00F0434A">
        <w:rPr>
          <w:rFonts w:ascii="Times New Roman" w:hAnsi="Times New Roman"/>
          <w:color w:val="000000" w:themeColor="text1"/>
          <w:sz w:val="24"/>
          <w:szCs w:val="24"/>
        </w:rPr>
        <w:t xml:space="preserve"> </w:t>
      </w:r>
      <w:r w:rsidRPr="009C701A">
        <w:rPr>
          <w:rFonts w:ascii="Times New Roman" w:hAnsi="Times New Roman"/>
          <w:color w:val="000000" w:themeColor="text1"/>
          <w:sz w:val="24"/>
          <w:szCs w:val="24"/>
        </w:rPr>
        <w:t xml:space="preserve">the annual </w:t>
      </w:r>
      <w:r w:rsidR="00637616">
        <w:rPr>
          <w:rFonts w:ascii="Times New Roman" w:hAnsi="Times New Roman"/>
          <w:color w:val="000000" w:themeColor="text1"/>
          <w:sz w:val="24"/>
          <w:szCs w:val="24"/>
        </w:rPr>
        <w:t>AFR</w:t>
      </w:r>
      <w:r w:rsidRPr="009C701A">
        <w:rPr>
          <w:rFonts w:ascii="Times New Roman" w:hAnsi="Times New Roman"/>
          <w:color w:val="000000" w:themeColor="text1"/>
          <w:sz w:val="24"/>
          <w:szCs w:val="24"/>
        </w:rPr>
        <w:t xml:space="preserve"> submitted to </w:t>
      </w:r>
      <w:r w:rsidR="00637616">
        <w:rPr>
          <w:rFonts w:ascii="Times New Roman" w:hAnsi="Times New Roman"/>
          <w:color w:val="000000" w:themeColor="text1"/>
          <w:sz w:val="24"/>
          <w:szCs w:val="24"/>
        </w:rPr>
        <w:t xml:space="preserve">HHS. </w:t>
      </w:r>
      <w:r w:rsidR="00997162">
        <w:rPr>
          <w:rFonts w:ascii="Times New Roman" w:hAnsi="Times New Roman"/>
          <w:color w:val="000000" w:themeColor="text1"/>
          <w:sz w:val="24"/>
          <w:szCs w:val="24"/>
        </w:rPr>
        <w:t xml:space="preserve">OCC also </w:t>
      </w:r>
      <w:r w:rsidR="00074D8B">
        <w:rPr>
          <w:rFonts w:ascii="Times New Roman" w:hAnsi="Times New Roman"/>
          <w:color w:val="000000" w:themeColor="text1"/>
          <w:sz w:val="24"/>
          <w:szCs w:val="24"/>
        </w:rPr>
        <w:t>reviews individual state</w:t>
      </w:r>
      <w:r w:rsidR="00997162">
        <w:rPr>
          <w:rFonts w:ascii="Times New Roman" w:hAnsi="Times New Roman"/>
          <w:color w:val="000000" w:themeColor="text1"/>
          <w:sz w:val="24"/>
          <w:szCs w:val="24"/>
        </w:rPr>
        <w:t xml:space="preserve"> </w:t>
      </w:r>
      <w:r w:rsidR="002B62E5">
        <w:rPr>
          <w:rFonts w:ascii="Times New Roman" w:hAnsi="Times New Roman"/>
          <w:color w:val="000000" w:themeColor="text1"/>
          <w:sz w:val="24"/>
          <w:szCs w:val="24"/>
        </w:rPr>
        <w:t>report</w:t>
      </w:r>
      <w:r w:rsidR="00873232">
        <w:rPr>
          <w:rFonts w:ascii="Times New Roman" w:hAnsi="Times New Roman"/>
          <w:color w:val="000000" w:themeColor="text1"/>
          <w:sz w:val="24"/>
          <w:szCs w:val="24"/>
        </w:rPr>
        <w:t>s</w:t>
      </w:r>
      <w:r w:rsidR="00997162">
        <w:rPr>
          <w:rFonts w:ascii="Times New Roman" w:hAnsi="Times New Roman"/>
          <w:color w:val="000000" w:themeColor="text1"/>
          <w:sz w:val="24"/>
          <w:szCs w:val="24"/>
        </w:rPr>
        <w:t xml:space="preserve"> to </w:t>
      </w:r>
      <w:r w:rsidR="00E92AD7">
        <w:rPr>
          <w:rFonts w:ascii="Times New Roman" w:hAnsi="Times New Roman"/>
          <w:color w:val="000000" w:themeColor="text1"/>
          <w:sz w:val="24"/>
          <w:szCs w:val="24"/>
        </w:rPr>
        <w:t>determine</w:t>
      </w:r>
      <w:r w:rsidR="00997162">
        <w:rPr>
          <w:rFonts w:ascii="Times New Roman" w:hAnsi="Times New Roman"/>
          <w:color w:val="000000" w:themeColor="text1"/>
          <w:sz w:val="24"/>
          <w:szCs w:val="24"/>
        </w:rPr>
        <w:t xml:space="preserve"> whether </w:t>
      </w:r>
      <w:r w:rsidR="002B62E5">
        <w:rPr>
          <w:rFonts w:ascii="Times New Roman" w:hAnsi="Times New Roman"/>
          <w:color w:val="000000" w:themeColor="text1"/>
          <w:sz w:val="24"/>
          <w:szCs w:val="24"/>
        </w:rPr>
        <w:t xml:space="preserve">the </w:t>
      </w:r>
      <w:r w:rsidR="00997162">
        <w:rPr>
          <w:rFonts w:ascii="Times New Roman" w:hAnsi="Times New Roman"/>
          <w:color w:val="000000" w:themeColor="text1"/>
          <w:sz w:val="24"/>
          <w:szCs w:val="24"/>
        </w:rPr>
        <w:t xml:space="preserve">state’s reported </w:t>
      </w:r>
      <w:r w:rsidR="007D6C3F">
        <w:rPr>
          <w:rFonts w:ascii="Times New Roman" w:hAnsi="Times New Roman"/>
          <w:color w:val="000000" w:themeColor="text1"/>
          <w:sz w:val="24"/>
          <w:szCs w:val="24"/>
        </w:rPr>
        <w:t xml:space="preserve">CCDF </w:t>
      </w:r>
      <w:r w:rsidR="00E92AD7">
        <w:rPr>
          <w:rFonts w:ascii="Times New Roman" w:hAnsi="Times New Roman"/>
          <w:color w:val="000000" w:themeColor="text1"/>
          <w:sz w:val="24"/>
          <w:szCs w:val="24"/>
        </w:rPr>
        <w:t>improper</w:t>
      </w:r>
      <w:r w:rsidR="00997162">
        <w:rPr>
          <w:rFonts w:ascii="Times New Roman" w:hAnsi="Times New Roman"/>
          <w:color w:val="000000" w:themeColor="text1"/>
          <w:sz w:val="24"/>
          <w:szCs w:val="24"/>
        </w:rPr>
        <w:t xml:space="preserve"> </w:t>
      </w:r>
      <w:r w:rsidR="00E92AD7">
        <w:rPr>
          <w:rFonts w:ascii="Times New Roman" w:hAnsi="Times New Roman"/>
          <w:color w:val="000000" w:themeColor="text1"/>
          <w:sz w:val="24"/>
          <w:szCs w:val="24"/>
        </w:rPr>
        <w:t>payment</w:t>
      </w:r>
      <w:r w:rsidR="00997162">
        <w:rPr>
          <w:rFonts w:ascii="Times New Roman" w:hAnsi="Times New Roman"/>
          <w:color w:val="000000" w:themeColor="text1"/>
          <w:sz w:val="24"/>
          <w:szCs w:val="24"/>
        </w:rPr>
        <w:t xml:space="preserve"> rate is </w:t>
      </w:r>
      <w:r w:rsidR="00E03D46">
        <w:rPr>
          <w:rFonts w:ascii="Times New Roman" w:hAnsi="Times New Roman"/>
          <w:color w:val="000000" w:themeColor="text1"/>
          <w:sz w:val="24"/>
          <w:szCs w:val="24"/>
        </w:rPr>
        <w:t>above</w:t>
      </w:r>
      <w:r w:rsidR="00E92AD7">
        <w:rPr>
          <w:rFonts w:ascii="Times New Roman" w:hAnsi="Times New Roman"/>
          <w:color w:val="000000" w:themeColor="text1"/>
          <w:sz w:val="24"/>
          <w:szCs w:val="24"/>
        </w:rPr>
        <w:t xml:space="preserve"> the established </w:t>
      </w:r>
      <w:r w:rsidR="00E03D46">
        <w:rPr>
          <w:rFonts w:ascii="Times New Roman" w:hAnsi="Times New Roman"/>
          <w:color w:val="000000" w:themeColor="text1"/>
          <w:sz w:val="24"/>
          <w:szCs w:val="24"/>
        </w:rPr>
        <w:t xml:space="preserve">10% </w:t>
      </w:r>
      <w:r w:rsidR="00E92AD7">
        <w:rPr>
          <w:rFonts w:ascii="Times New Roman" w:hAnsi="Times New Roman"/>
          <w:color w:val="000000" w:themeColor="text1"/>
          <w:sz w:val="24"/>
          <w:szCs w:val="24"/>
        </w:rPr>
        <w:t xml:space="preserve">threshold. </w:t>
      </w:r>
      <w:r w:rsidR="00E37FDA">
        <w:rPr>
          <w:rFonts w:ascii="Times New Roman" w:hAnsi="Times New Roman"/>
          <w:color w:val="000000" w:themeColor="text1"/>
          <w:sz w:val="24"/>
          <w:szCs w:val="24"/>
        </w:rPr>
        <w:t xml:space="preserve">Finally, </w:t>
      </w:r>
      <w:r w:rsidR="002B62E5">
        <w:rPr>
          <w:rFonts w:ascii="Times New Roman" w:hAnsi="Times New Roman"/>
          <w:color w:val="000000" w:themeColor="text1"/>
          <w:sz w:val="24"/>
          <w:szCs w:val="24"/>
        </w:rPr>
        <w:t xml:space="preserve">OCC uses </w:t>
      </w:r>
      <w:r w:rsidR="00873232">
        <w:rPr>
          <w:rFonts w:ascii="Times New Roman" w:hAnsi="Times New Roman"/>
          <w:color w:val="000000" w:themeColor="text1"/>
          <w:sz w:val="24"/>
          <w:szCs w:val="24"/>
        </w:rPr>
        <w:t xml:space="preserve">the results of the reports to identify additional technical assistance and training needs. </w:t>
      </w:r>
      <w:r w:rsidR="002B62E5">
        <w:rPr>
          <w:rFonts w:ascii="Times New Roman" w:hAnsi="Times New Roman"/>
          <w:color w:val="000000" w:themeColor="text1"/>
          <w:sz w:val="24"/>
          <w:szCs w:val="24"/>
        </w:rPr>
        <w:t xml:space="preserve"> </w:t>
      </w:r>
    </w:p>
    <w:p w:rsidR="00390D83" w:rsidRPr="00773944" w:rsidP="00390D83" w14:paraId="64C9DE2D" w14:textId="0BC0B3E9">
      <w:pPr>
        <w:pStyle w:val="ListParagraph"/>
        <w:widowControl/>
        <w:numPr>
          <w:ilvl w:val="0"/>
          <w:numId w:val="21"/>
        </w:numPr>
        <w:rPr>
          <w:rFonts w:ascii="Times New Roman" w:hAnsi="Times New Roman"/>
          <w:i/>
          <w:iCs/>
          <w:color w:val="000000" w:themeColor="text1"/>
          <w:sz w:val="24"/>
          <w:szCs w:val="24"/>
        </w:rPr>
      </w:pPr>
      <w:r>
        <w:rPr>
          <w:rFonts w:ascii="Times New Roman" w:hAnsi="Times New Roman"/>
          <w:i/>
          <w:iCs/>
          <w:color w:val="000000" w:themeColor="text1"/>
          <w:sz w:val="24"/>
          <w:szCs w:val="24"/>
        </w:rPr>
        <w:t xml:space="preserve">ACF-405 </w:t>
      </w:r>
      <w:r w:rsidRPr="00773944">
        <w:rPr>
          <w:rFonts w:ascii="Times New Roman" w:hAnsi="Times New Roman"/>
          <w:i/>
          <w:iCs/>
          <w:color w:val="000000" w:themeColor="text1"/>
          <w:sz w:val="24"/>
          <w:szCs w:val="24"/>
        </w:rPr>
        <w:t>State Improper Payments Correcti</w:t>
      </w:r>
      <w:r>
        <w:rPr>
          <w:rFonts w:ascii="Times New Roman" w:hAnsi="Times New Roman"/>
          <w:i/>
          <w:iCs/>
          <w:color w:val="000000" w:themeColor="text1"/>
          <w:sz w:val="24"/>
          <w:szCs w:val="24"/>
        </w:rPr>
        <w:t>ve</w:t>
      </w:r>
      <w:r w:rsidRPr="00773944">
        <w:rPr>
          <w:rFonts w:ascii="Times New Roman" w:hAnsi="Times New Roman"/>
          <w:i/>
          <w:iCs/>
          <w:color w:val="000000" w:themeColor="text1"/>
          <w:sz w:val="24"/>
          <w:szCs w:val="24"/>
        </w:rPr>
        <w:t xml:space="preserve"> Action Plan </w:t>
      </w:r>
      <w:r w:rsidRPr="005328EC">
        <w:rPr>
          <w:rFonts w:ascii="Times New Roman" w:hAnsi="Times New Roman"/>
          <w:color w:val="000000" w:themeColor="text1"/>
          <w:sz w:val="24"/>
          <w:szCs w:val="24"/>
        </w:rPr>
        <w:t>(CAP):</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A</w:t>
      </w:r>
      <w:r w:rsidRPr="00565ECF">
        <w:rPr>
          <w:rFonts w:ascii="Times New Roman" w:hAnsi="Times New Roman"/>
          <w:color w:val="000000" w:themeColor="text1"/>
          <w:sz w:val="24"/>
          <w:szCs w:val="24"/>
        </w:rPr>
        <w:t xml:space="preserve">ny </w:t>
      </w:r>
      <w:r>
        <w:rPr>
          <w:rFonts w:ascii="Times New Roman" w:hAnsi="Times New Roman"/>
          <w:color w:val="000000" w:themeColor="text1"/>
          <w:sz w:val="24"/>
          <w:szCs w:val="24"/>
        </w:rPr>
        <w:t>s</w:t>
      </w:r>
      <w:r w:rsidRPr="00565ECF">
        <w:rPr>
          <w:rFonts w:ascii="Times New Roman" w:hAnsi="Times New Roman"/>
          <w:color w:val="000000" w:themeColor="text1"/>
          <w:sz w:val="24"/>
          <w:szCs w:val="24"/>
        </w:rPr>
        <w:t xml:space="preserve">tate with an improper payment rate above 10% </w:t>
      </w:r>
      <w:r>
        <w:rPr>
          <w:rFonts w:ascii="Times New Roman" w:hAnsi="Times New Roman"/>
          <w:color w:val="000000" w:themeColor="text1"/>
          <w:sz w:val="24"/>
          <w:szCs w:val="24"/>
        </w:rPr>
        <w:t xml:space="preserve">as reported on the </w:t>
      </w:r>
      <w:r w:rsidRPr="00390D83">
        <w:rPr>
          <w:rFonts w:ascii="Times New Roman" w:hAnsi="Times New Roman"/>
          <w:i/>
          <w:iCs/>
          <w:color w:val="000000" w:themeColor="text1"/>
          <w:sz w:val="24"/>
          <w:szCs w:val="24"/>
        </w:rPr>
        <w:t>State Improper Payments Report</w:t>
      </w:r>
      <w:r>
        <w:rPr>
          <w:rFonts w:ascii="Times New Roman" w:hAnsi="Times New Roman"/>
          <w:color w:val="000000" w:themeColor="text1"/>
          <w:sz w:val="24"/>
          <w:szCs w:val="24"/>
        </w:rPr>
        <w:t xml:space="preserve"> </w:t>
      </w:r>
      <w:r w:rsidRPr="00565ECF">
        <w:rPr>
          <w:rFonts w:ascii="Times New Roman" w:hAnsi="Times New Roman"/>
          <w:color w:val="000000" w:themeColor="text1"/>
          <w:sz w:val="24"/>
          <w:szCs w:val="24"/>
        </w:rPr>
        <w:t xml:space="preserve">must </w:t>
      </w:r>
      <w:r>
        <w:rPr>
          <w:rFonts w:ascii="Times New Roman" w:hAnsi="Times New Roman"/>
          <w:color w:val="000000" w:themeColor="text1"/>
          <w:sz w:val="24"/>
          <w:szCs w:val="24"/>
        </w:rPr>
        <w:t>complete the</w:t>
      </w:r>
      <w:r w:rsidRPr="00565ECF">
        <w:rPr>
          <w:rFonts w:ascii="Times New Roman" w:hAnsi="Times New Roman"/>
          <w:color w:val="000000" w:themeColor="text1"/>
          <w:sz w:val="24"/>
          <w:szCs w:val="24"/>
        </w:rPr>
        <w:t xml:space="preserve"> CAP to address the root causes of their improper payments and the action steps, </w:t>
      </w:r>
      <w:r w:rsidRPr="00565ECF" w:rsidR="00C66921">
        <w:rPr>
          <w:rFonts w:ascii="Times New Roman" w:hAnsi="Times New Roman"/>
          <w:color w:val="000000" w:themeColor="text1"/>
          <w:sz w:val="24"/>
          <w:szCs w:val="24"/>
        </w:rPr>
        <w:t>milestones,</w:t>
      </w:r>
      <w:r w:rsidRPr="00565ECF">
        <w:rPr>
          <w:rFonts w:ascii="Times New Roman" w:hAnsi="Times New Roman"/>
          <w:color w:val="000000" w:themeColor="text1"/>
          <w:sz w:val="24"/>
          <w:szCs w:val="24"/>
        </w:rPr>
        <w:t xml:space="preserve"> and timeline</w:t>
      </w:r>
      <w:r>
        <w:rPr>
          <w:rFonts w:ascii="Times New Roman" w:hAnsi="Times New Roman"/>
          <w:color w:val="000000" w:themeColor="text1"/>
          <w:sz w:val="24"/>
          <w:szCs w:val="24"/>
        </w:rPr>
        <w:t>s</w:t>
      </w:r>
      <w:r w:rsidRPr="00565ECF">
        <w:rPr>
          <w:rFonts w:ascii="Times New Roman" w:hAnsi="Times New Roman"/>
          <w:color w:val="000000" w:themeColor="text1"/>
          <w:sz w:val="24"/>
          <w:szCs w:val="24"/>
        </w:rPr>
        <w:t xml:space="preserve"> to address the errors</w:t>
      </w:r>
      <w:r>
        <w:rPr>
          <w:rFonts w:ascii="Times New Roman" w:hAnsi="Times New Roman"/>
          <w:color w:val="000000" w:themeColor="text1"/>
          <w:sz w:val="24"/>
          <w:szCs w:val="24"/>
        </w:rPr>
        <w:t xml:space="preserve"> over a 12-month period</w:t>
      </w:r>
      <w:r w:rsidRPr="00565ECF">
        <w:rPr>
          <w:rFonts w:ascii="Times New Roman" w:hAnsi="Times New Roman"/>
          <w:color w:val="000000" w:themeColor="text1"/>
          <w:sz w:val="24"/>
          <w:szCs w:val="24"/>
        </w:rPr>
        <w:t xml:space="preserve">. OCC uses the CAP data to </w:t>
      </w:r>
      <w:r>
        <w:rPr>
          <w:rFonts w:ascii="Times New Roman" w:hAnsi="Times New Roman"/>
          <w:color w:val="000000" w:themeColor="text1"/>
          <w:sz w:val="24"/>
          <w:szCs w:val="24"/>
        </w:rPr>
        <w:t>conduct oversight</w:t>
      </w:r>
      <w:r w:rsidRPr="00565ECF">
        <w:rPr>
          <w:rFonts w:ascii="Times New Roman" w:hAnsi="Times New Roman"/>
          <w:color w:val="000000" w:themeColor="text1"/>
          <w:sz w:val="24"/>
          <w:szCs w:val="24"/>
        </w:rPr>
        <w:t xml:space="preserve"> and identify technical assistance and training</w:t>
      </w:r>
      <w:r>
        <w:rPr>
          <w:rFonts w:ascii="Times New Roman" w:hAnsi="Times New Roman"/>
          <w:i/>
          <w:iCs/>
          <w:color w:val="000000" w:themeColor="text1"/>
          <w:sz w:val="24"/>
          <w:szCs w:val="24"/>
        </w:rPr>
        <w:t xml:space="preserve"> </w:t>
      </w:r>
      <w:r w:rsidRPr="00565ECF">
        <w:rPr>
          <w:rFonts w:ascii="Times New Roman" w:hAnsi="Times New Roman"/>
          <w:color w:val="000000" w:themeColor="text1"/>
          <w:sz w:val="24"/>
          <w:szCs w:val="24"/>
        </w:rPr>
        <w:t>needs</w:t>
      </w:r>
      <w:r w:rsidR="00783607">
        <w:rPr>
          <w:rFonts w:ascii="Times New Roman" w:hAnsi="Times New Roman"/>
          <w:color w:val="000000" w:themeColor="text1"/>
          <w:sz w:val="24"/>
          <w:szCs w:val="24"/>
        </w:rPr>
        <w:t xml:space="preserve"> to help the state reduce their </w:t>
      </w:r>
      <w:r w:rsidR="0096305C">
        <w:rPr>
          <w:rFonts w:ascii="Times New Roman" w:hAnsi="Times New Roman"/>
          <w:color w:val="000000" w:themeColor="text1"/>
          <w:sz w:val="24"/>
          <w:szCs w:val="24"/>
        </w:rPr>
        <w:t>improper payment rate</w:t>
      </w:r>
      <w:r>
        <w:rPr>
          <w:rFonts w:ascii="Times New Roman" w:hAnsi="Times New Roman"/>
          <w:i/>
          <w:iCs/>
          <w:color w:val="000000" w:themeColor="text1"/>
          <w:sz w:val="24"/>
          <w:szCs w:val="24"/>
        </w:rPr>
        <w:t xml:space="preserve">. </w:t>
      </w:r>
      <w:r w:rsidRPr="0070515E">
        <w:rPr>
          <w:rFonts w:ascii="Times New Roman" w:hAnsi="Times New Roman"/>
          <w:color w:val="000000" w:themeColor="text1"/>
          <w:sz w:val="24"/>
          <w:szCs w:val="24"/>
        </w:rPr>
        <w:t>If</w:t>
      </w:r>
      <w:r>
        <w:rPr>
          <w:rFonts w:ascii="Times New Roman" w:hAnsi="Times New Roman"/>
          <w:color w:val="000000" w:themeColor="text1"/>
          <w:sz w:val="24"/>
          <w:szCs w:val="24"/>
        </w:rPr>
        <w:t xml:space="preserve"> a state’s improper payment rate continues to exceed 10% after 12 months, the state must submit a new CAP, for a total of </w:t>
      </w:r>
      <w:r w:rsidRPr="00390D83">
        <w:rPr>
          <w:rFonts w:ascii="Times New Roman" w:hAnsi="Times New Roman"/>
          <w:i/>
          <w:iCs/>
          <w:color w:val="000000" w:themeColor="text1"/>
          <w:sz w:val="24"/>
          <w:szCs w:val="24"/>
        </w:rPr>
        <w:t>up to</w:t>
      </w:r>
      <w:r>
        <w:rPr>
          <w:rFonts w:ascii="Times New Roman" w:hAnsi="Times New Roman"/>
          <w:color w:val="000000" w:themeColor="text1"/>
          <w:sz w:val="24"/>
          <w:szCs w:val="24"/>
        </w:rPr>
        <w:t xml:space="preserve"> three CAP submissions per error rate review cycle. </w:t>
      </w:r>
    </w:p>
    <w:p w:rsidR="009344AC" w:rsidP="00C66921" w14:paraId="26BCB516" w14:textId="77777777">
      <w:pPr>
        <w:widowControl/>
        <w:tabs>
          <w:tab w:val="num" w:pos="360"/>
        </w:tabs>
        <w:rPr>
          <w:rFonts w:ascii="Times New Roman" w:hAnsi="Times New Roman"/>
          <w:sz w:val="24"/>
          <w:szCs w:val="24"/>
        </w:rPr>
      </w:pPr>
    </w:p>
    <w:p w:rsidR="00D60543" w:rsidRPr="004F7B95" w:rsidP="00E47113" w14:paraId="3C8C4501" w14:textId="5389735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CCDF grantees from </w:t>
      </w:r>
      <w:r w:rsidR="008757C2">
        <w:rPr>
          <w:rFonts w:ascii="Times New Roman" w:hAnsi="Times New Roman"/>
          <w:snapToGrid/>
          <w:sz w:val="24"/>
          <w:szCs w:val="24"/>
        </w:rPr>
        <w:t xml:space="preserve">states, the District of Columbia, and Puerto Rico are required to submit the SDAP, RRW, and State Improper Payments Report </w:t>
      </w:r>
      <w:r w:rsidR="006A086B">
        <w:rPr>
          <w:rFonts w:ascii="Times New Roman" w:hAnsi="Times New Roman"/>
          <w:snapToGrid/>
          <w:sz w:val="24"/>
          <w:szCs w:val="24"/>
        </w:rPr>
        <w:t xml:space="preserve">once </w:t>
      </w:r>
      <w:r w:rsidR="008757C2">
        <w:rPr>
          <w:rFonts w:ascii="Times New Roman" w:hAnsi="Times New Roman"/>
          <w:snapToGrid/>
          <w:sz w:val="24"/>
          <w:szCs w:val="24"/>
        </w:rPr>
        <w:t>every three years</w:t>
      </w:r>
      <w:r w:rsidR="00E03D46">
        <w:rPr>
          <w:rFonts w:ascii="Times New Roman" w:hAnsi="Times New Roman"/>
          <w:snapToGrid/>
          <w:sz w:val="24"/>
          <w:szCs w:val="24"/>
        </w:rPr>
        <w:t>. Only states with an improper payment rate that exceed the 10% threshold are required to submit the CAP</w:t>
      </w:r>
      <w:r w:rsidR="006A086B">
        <w:rPr>
          <w:rFonts w:ascii="Times New Roman" w:hAnsi="Times New Roman"/>
          <w:snapToGrid/>
          <w:sz w:val="24"/>
          <w:szCs w:val="24"/>
        </w:rPr>
        <w:t>.</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37594" w:rsidRPr="002E7FA1" w:rsidP="002E7FA1" w14:paraId="7EE641EA" w14:textId="4CF3E3C5">
      <w:pPr>
        <w:widowControl/>
        <w:tabs>
          <w:tab w:val="num" w:pos="360"/>
        </w:tabs>
        <w:ind w:left="360"/>
        <w:rPr>
          <w:rFonts w:ascii="Times New Roman" w:hAnsi="Times New Roman"/>
          <w:color w:val="000000" w:themeColor="text1"/>
          <w:sz w:val="24"/>
          <w:szCs w:val="24"/>
        </w:rPr>
      </w:pPr>
      <w:r w:rsidRPr="381EAEA6">
        <w:rPr>
          <w:rFonts w:ascii="Times New Roman" w:hAnsi="Times New Roman"/>
          <w:color w:val="000000" w:themeColor="text1"/>
          <w:sz w:val="24"/>
          <w:szCs w:val="24"/>
        </w:rPr>
        <w:t xml:space="preserve">States submit </w:t>
      </w:r>
      <w:r>
        <w:rPr>
          <w:rFonts w:ascii="Times New Roman" w:hAnsi="Times New Roman"/>
          <w:color w:val="000000" w:themeColor="text1"/>
          <w:sz w:val="24"/>
          <w:szCs w:val="24"/>
        </w:rPr>
        <w:t xml:space="preserve">the SDAP, the </w:t>
      </w:r>
      <w:r w:rsidRPr="00E47113">
        <w:rPr>
          <w:rFonts w:ascii="Times New Roman" w:hAnsi="Times New Roman"/>
          <w:i/>
          <w:iCs/>
          <w:color w:val="000000" w:themeColor="text1"/>
          <w:sz w:val="24"/>
          <w:szCs w:val="24"/>
        </w:rPr>
        <w:t xml:space="preserve">State </w:t>
      </w:r>
      <w:r w:rsidRPr="00E47113" w:rsidR="000663BA">
        <w:rPr>
          <w:rFonts w:ascii="Times New Roman" w:hAnsi="Times New Roman"/>
          <w:i/>
          <w:iCs/>
          <w:color w:val="000000" w:themeColor="text1"/>
          <w:sz w:val="24"/>
          <w:szCs w:val="24"/>
        </w:rPr>
        <w:t>Improper</w:t>
      </w:r>
      <w:r w:rsidRPr="00E47113">
        <w:rPr>
          <w:rFonts w:ascii="Times New Roman" w:hAnsi="Times New Roman"/>
          <w:i/>
          <w:iCs/>
          <w:color w:val="000000" w:themeColor="text1"/>
          <w:sz w:val="24"/>
          <w:szCs w:val="24"/>
        </w:rPr>
        <w:t xml:space="preserve"> Payments Report</w:t>
      </w:r>
      <w:r>
        <w:rPr>
          <w:rFonts w:ascii="Times New Roman" w:hAnsi="Times New Roman"/>
          <w:color w:val="000000" w:themeColor="text1"/>
          <w:sz w:val="24"/>
          <w:szCs w:val="24"/>
        </w:rPr>
        <w:t>, and the CAP</w:t>
      </w:r>
      <w:r w:rsidRPr="381EAEA6">
        <w:rPr>
          <w:rFonts w:ascii="Times New Roman" w:hAnsi="Times New Roman"/>
          <w:color w:val="000000" w:themeColor="text1"/>
          <w:sz w:val="24"/>
          <w:szCs w:val="24"/>
        </w:rPr>
        <w:t xml:space="preserve"> into the web-based Grants Solutions Online Data Collection system (OLDC)</w:t>
      </w:r>
      <w:r>
        <w:rPr>
          <w:rFonts w:ascii="Times New Roman" w:hAnsi="Times New Roman"/>
          <w:color w:val="000000" w:themeColor="text1"/>
          <w:sz w:val="24"/>
          <w:szCs w:val="24"/>
        </w:rPr>
        <w:t xml:space="preserve">. </w:t>
      </w:r>
      <w:r w:rsidR="009C5753">
        <w:rPr>
          <w:rFonts w:ascii="Times New Roman" w:hAnsi="Times New Roman"/>
          <w:color w:val="000000" w:themeColor="text1"/>
          <w:sz w:val="24"/>
          <w:szCs w:val="24"/>
        </w:rPr>
        <w:t>The use of e</w:t>
      </w:r>
      <w:r w:rsidRPr="00FF29FD">
        <w:rPr>
          <w:rFonts w:ascii="Times New Roman" w:hAnsi="Times New Roman"/>
          <w:color w:val="000000" w:themeColor="text1"/>
          <w:sz w:val="24"/>
          <w:szCs w:val="24"/>
        </w:rPr>
        <w:t xml:space="preserve">lectronic data collection </w:t>
      </w:r>
      <w:r w:rsidR="009C5753">
        <w:rPr>
          <w:rFonts w:ascii="Times New Roman" w:hAnsi="Times New Roman"/>
          <w:color w:val="000000" w:themeColor="text1"/>
          <w:sz w:val="24"/>
          <w:szCs w:val="24"/>
        </w:rPr>
        <w:t>provides a system</w:t>
      </w:r>
      <w:r w:rsidRPr="00FF29FD">
        <w:rPr>
          <w:rFonts w:ascii="Times New Roman" w:hAnsi="Times New Roman"/>
          <w:color w:val="000000" w:themeColor="text1"/>
          <w:sz w:val="24"/>
          <w:szCs w:val="24"/>
        </w:rPr>
        <w:t xml:space="preserve"> that tracks and stores submissions and creates historical documentation. </w:t>
      </w:r>
      <w:r w:rsidR="009C5753">
        <w:rPr>
          <w:rFonts w:ascii="Times New Roman" w:hAnsi="Times New Roman"/>
          <w:color w:val="000000" w:themeColor="text1"/>
          <w:sz w:val="24"/>
          <w:szCs w:val="24"/>
        </w:rPr>
        <w:t xml:space="preserve">When </w:t>
      </w:r>
      <w:r w:rsidR="00702E01">
        <w:rPr>
          <w:rFonts w:ascii="Times New Roman" w:hAnsi="Times New Roman"/>
          <w:color w:val="000000" w:themeColor="text1"/>
          <w:sz w:val="24"/>
          <w:szCs w:val="24"/>
        </w:rPr>
        <w:t>appropriate</w:t>
      </w:r>
      <w:r w:rsidR="009C5753">
        <w:rPr>
          <w:rFonts w:ascii="Times New Roman" w:hAnsi="Times New Roman"/>
          <w:color w:val="000000" w:themeColor="text1"/>
          <w:sz w:val="24"/>
          <w:szCs w:val="24"/>
        </w:rPr>
        <w:t>, report</w:t>
      </w:r>
      <w:r w:rsidR="002F022F">
        <w:rPr>
          <w:rFonts w:ascii="Times New Roman" w:hAnsi="Times New Roman"/>
          <w:color w:val="000000" w:themeColor="text1"/>
          <w:sz w:val="24"/>
          <w:szCs w:val="24"/>
        </w:rPr>
        <w:t xml:space="preserve"> </w:t>
      </w:r>
      <w:r w:rsidR="00505870">
        <w:rPr>
          <w:rFonts w:ascii="Times New Roman" w:hAnsi="Times New Roman"/>
          <w:color w:val="000000" w:themeColor="text1"/>
          <w:sz w:val="24"/>
          <w:szCs w:val="24"/>
        </w:rPr>
        <w:t xml:space="preserve">questions and </w:t>
      </w:r>
      <w:r w:rsidR="002F022F">
        <w:rPr>
          <w:rFonts w:ascii="Times New Roman" w:hAnsi="Times New Roman"/>
          <w:color w:val="000000" w:themeColor="text1"/>
          <w:sz w:val="24"/>
          <w:szCs w:val="24"/>
        </w:rPr>
        <w:t>function</w:t>
      </w:r>
      <w:r w:rsidR="00505870">
        <w:rPr>
          <w:rFonts w:ascii="Times New Roman" w:hAnsi="Times New Roman"/>
          <w:color w:val="000000" w:themeColor="text1"/>
          <w:sz w:val="24"/>
          <w:szCs w:val="24"/>
        </w:rPr>
        <w:t>s are</w:t>
      </w:r>
      <w:r w:rsidR="002F022F">
        <w:rPr>
          <w:rFonts w:ascii="Times New Roman" w:hAnsi="Times New Roman"/>
          <w:color w:val="000000" w:themeColor="text1"/>
          <w:sz w:val="24"/>
          <w:szCs w:val="24"/>
        </w:rPr>
        <w:t xml:space="preserve"> built </w:t>
      </w:r>
      <w:r w:rsidR="00B259AB">
        <w:rPr>
          <w:rFonts w:ascii="Times New Roman" w:hAnsi="Times New Roman"/>
          <w:color w:val="000000" w:themeColor="text1"/>
          <w:sz w:val="24"/>
          <w:szCs w:val="24"/>
        </w:rPr>
        <w:t xml:space="preserve">to ease burden on respondents </w:t>
      </w:r>
      <w:r w:rsidR="00E22CDD">
        <w:rPr>
          <w:rFonts w:ascii="Times New Roman" w:hAnsi="Times New Roman"/>
          <w:color w:val="000000" w:themeColor="text1"/>
          <w:sz w:val="24"/>
          <w:szCs w:val="24"/>
        </w:rPr>
        <w:t>and increase data accuracy</w:t>
      </w:r>
      <w:r w:rsidR="002F022F">
        <w:rPr>
          <w:rFonts w:ascii="Times New Roman" w:hAnsi="Times New Roman"/>
          <w:color w:val="000000" w:themeColor="text1"/>
          <w:sz w:val="24"/>
          <w:szCs w:val="24"/>
        </w:rPr>
        <w:t>. Examples include</w:t>
      </w:r>
      <w:r w:rsidR="00B259AB">
        <w:rPr>
          <w:rFonts w:ascii="Times New Roman" w:hAnsi="Times New Roman"/>
          <w:color w:val="000000" w:themeColor="text1"/>
          <w:sz w:val="24"/>
          <w:szCs w:val="24"/>
        </w:rPr>
        <w:t xml:space="preserve"> replacing </w:t>
      </w:r>
      <w:r w:rsidR="00E22CDD">
        <w:rPr>
          <w:rFonts w:ascii="Times New Roman" w:hAnsi="Times New Roman"/>
          <w:color w:val="000000" w:themeColor="text1"/>
          <w:sz w:val="24"/>
          <w:szCs w:val="24"/>
        </w:rPr>
        <w:t xml:space="preserve">lengthy narrative with checkboxes, </w:t>
      </w:r>
      <w:r w:rsidRPr="00FF29FD">
        <w:rPr>
          <w:rFonts w:ascii="Times New Roman" w:hAnsi="Times New Roman"/>
          <w:color w:val="000000" w:themeColor="text1"/>
          <w:sz w:val="24"/>
          <w:szCs w:val="24"/>
        </w:rPr>
        <w:t>pre-populat</w:t>
      </w:r>
      <w:r w:rsidR="00E22CDD">
        <w:rPr>
          <w:rFonts w:ascii="Times New Roman" w:hAnsi="Times New Roman"/>
          <w:color w:val="000000" w:themeColor="text1"/>
          <w:sz w:val="24"/>
          <w:szCs w:val="24"/>
        </w:rPr>
        <w:t>ing</w:t>
      </w:r>
      <w:r w:rsidRPr="00FF29FD">
        <w:rPr>
          <w:rFonts w:ascii="Times New Roman" w:hAnsi="Times New Roman"/>
          <w:color w:val="000000" w:themeColor="text1"/>
          <w:sz w:val="24"/>
          <w:szCs w:val="24"/>
        </w:rPr>
        <w:t xml:space="preserve"> existing information from prior reports</w:t>
      </w:r>
      <w:r w:rsidR="00E22CDD">
        <w:rPr>
          <w:rFonts w:ascii="Times New Roman" w:hAnsi="Times New Roman"/>
          <w:color w:val="000000" w:themeColor="text1"/>
          <w:sz w:val="24"/>
          <w:szCs w:val="24"/>
        </w:rPr>
        <w:t>,</w:t>
      </w:r>
      <w:r w:rsidRPr="00FF29FD">
        <w:rPr>
          <w:rFonts w:ascii="Times New Roman" w:hAnsi="Times New Roman"/>
          <w:color w:val="000000" w:themeColor="text1"/>
          <w:sz w:val="24"/>
          <w:szCs w:val="24"/>
        </w:rPr>
        <w:t xml:space="preserve"> </w:t>
      </w:r>
      <w:r w:rsidR="00FE473A">
        <w:rPr>
          <w:rFonts w:ascii="Times New Roman" w:hAnsi="Times New Roman"/>
          <w:color w:val="000000" w:themeColor="text1"/>
          <w:sz w:val="24"/>
          <w:szCs w:val="24"/>
        </w:rPr>
        <w:t xml:space="preserve">building </w:t>
      </w:r>
      <w:r w:rsidR="002E7FA1">
        <w:rPr>
          <w:rFonts w:ascii="Times New Roman" w:hAnsi="Times New Roman"/>
          <w:color w:val="000000" w:themeColor="text1"/>
          <w:sz w:val="24"/>
          <w:szCs w:val="24"/>
        </w:rPr>
        <w:t xml:space="preserve">formulas </w:t>
      </w:r>
      <w:r w:rsidR="00FE473A">
        <w:rPr>
          <w:rFonts w:ascii="Times New Roman" w:hAnsi="Times New Roman"/>
          <w:color w:val="000000" w:themeColor="text1"/>
          <w:sz w:val="24"/>
          <w:szCs w:val="24"/>
        </w:rPr>
        <w:t>to auto calculate data responses, and</w:t>
      </w:r>
      <w:r w:rsidR="002E7FA1">
        <w:rPr>
          <w:rFonts w:ascii="Times New Roman" w:hAnsi="Times New Roman"/>
          <w:color w:val="000000" w:themeColor="text1"/>
          <w:sz w:val="24"/>
          <w:szCs w:val="24"/>
        </w:rPr>
        <w:t xml:space="preserve"> including error messages and warnings that prevent incomplete submissions</w:t>
      </w:r>
      <w:r w:rsidRPr="00E97B98" w:rsidR="002E7FA1">
        <w:rPr>
          <w:rFonts w:ascii="Times New Roman" w:hAnsi="Times New Roman"/>
          <w:color w:val="000000" w:themeColor="text1"/>
          <w:sz w:val="24"/>
          <w:szCs w:val="24"/>
        </w:rPr>
        <w:t xml:space="preserve">. </w:t>
      </w:r>
      <w:r w:rsidRPr="00D84B0A" w:rsidR="002E7FA1">
        <w:rPr>
          <w:rFonts w:ascii="Times New Roman" w:hAnsi="Times New Roman"/>
          <w:color w:val="000000" w:themeColor="text1"/>
          <w:sz w:val="24"/>
          <w:szCs w:val="24"/>
        </w:rPr>
        <w:t xml:space="preserve">OCC </w:t>
      </w:r>
      <w:r w:rsidRPr="00D84B0A" w:rsidR="0084711B">
        <w:rPr>
          <w:rFonts w:ascii="Times New Roman" w:hAnsi="Times New Roman"/>
          <w:color w:val="000000" w:themeColor="text1"/>
          <w:sz w:val="24"/>
          <w:szCs w:val="24"/>
        </w:rPr>
        <w:t>plans to</w:t>
      </w:r>
      <w:r w:rsidRPr="00D84B0A" w:rsidR="001E4AB5">
        <w:rPr>
          <w:rFonts w:ascii="Times New Roman" w:hAnsi="Times New Roman"/>
          <w:color w:val="000000" w:themeColor="text1"/>
          <w:sz w:val="24"/>
          <w:szCs w:val="24"/>
        </w:rPr>
        <w:t xml:space="preserve"> build these reports in an</w:t>
      </w:r>
      <w:r w:rsidRPr="00D84B0A" w:rsidR="00BF0AB9">
        <w:rPr>
          <w:rFonts w:ascii="Times New Roman" w:hAnsi="Times New Roman"/>
          <w:color w:val="000000" w:themeColor="text1"/>
          <w:sz w:val="24"/>
          <w:szCs w:val="24"/>
        </w:rPr>
        <w:t xml:space="preserve"> internal OCC data system</w:t>
      </w:r>
      <w:r w:rsidRPr="00D84B0A" w:rsidR="0045102E">
        <w:rPr>
          <w:rFonts w:ascii="Times New Roman" w:hAnsi="Times New Roman"/>
          <w:color w:val="000000" w:themeColor="text1"/>
          <w:sz w:val="24"/>
          <w:szCs w:val="24"/>
        </w:rPr>
        <w:t xml:space="preserve">, </w:t>
      </w:r>
      <w:r w:rsidRPr="00D84B0A" w:rsidR="00116D5C">
        <w:rPr>
          <w:rFonts w:ascii="Times New Roman" w:hAnsi="Times New Roman"/>
          <w:color w:val="000000" w:themeColor="text1"/>
          <w:sz w:val="24"/>
          <w:szCs w:val="24"/>
        </w:rPr>
        <w:t xml:space="preserve">the </w:t>
      </w:r>
      <w:r w:rsidRPr="00D84B0A" w:rsidR="0045102E">
        <w:rPr>
          <w:rFonts w:ascii="Times New Roman" w:hAnsi="Times New Roman"/>
          <w:color w:val="000000" w:themeColor="text1"/>
          <w:sz w:val="24"/>
          <w:szCs w:val="24"/>
        </w:rPr>
        <w:t>Child Care Automated Reporting System (</w:t>
      </w:r>
      <w:r w:rsidRPr="00D84B0A" w:rsidR="00393F2A">
        <w:rPr>
          <w:rFonts w:ascii="Times New Roman" w:hAnsi="Times New Roman"/>
          <w:color w:val="000000" w:themeColor="text1"/>
          <w:sz w:val="24"/>
          <w:szCs w:val="24"/>
        </w:rPr>
        <w:t>CARS</w:t>
      </w:r>
      <w:r w:rsidRPr="00D84B0A" w:rsidR="0045102E">
        <w:rPr>
          <w:rFonts w:ascii="Times New Roman" w:hAnsi="Times New Roman"/>
          <w:color w:val="000000" w:themeColor="text1"/>
          <w:sz w:val="24"/>
          <w:szCs w:val="24"/>
        </w:rPr>
        <w:t>),</w:t>
      </w:r>
      <w:r w:rsidRPr="00D84B0A" w:rsidR="00393F2A">
        <w:rPr>
          <w:rFonts w:ascii="Times New Roman" w:hAnsi="Times New Roman"/>
          <w:color w:val="000000" w:themeColor="text1"/>
          <w:sz w:val="24"/>
          <w:szCs w:val="24"/>
        </w:rPr>
        <w:t xml:space="preserve"> </w:t>
      </w:r>
      <w:r w:rsidRPr="00D84B0A" w:rsidR="00BF0AB9">
        <w:rPr>
          <w:rFonts w:ascii="Times New Roman" w:hAnsi="Times New Roman"/>
          <w:color w:val="000000" w:themeColor="text1"/>
          <w:sz w:val="24"/>
          <w:szCs w:val="24"/>
        </w:rPr>
        <w:t>to better support users and data collection</w:t>
      </w:r>
      <w:r w:rsidRPr="00D84B0A" w:rsidR="001E4AB5">
        <w:rPr>
          <w:rFonts w:ascii="Times New Roman" w:hAnsi="Times New Roman"/>
          <w:color w:val="000000" w:themeColor="text1"/>
          <w:sz w:val="24"/>
          <w:szCs w:val="24"/>
        </w:rPr>
        <w:t>.</w:t>
      </w:r>
      <w:r w:rsidRPr="00D84B0A" w:rsidR="00BF0AB9">
        <w:rPr>
          <w:rFonts w:ascii="Times New Roman" w:hAnsi="Times New Roman"/>
          <w:color w:val="000000" w:themeColor="text1"/>
          <w:sz w:val="24"/>
          <w:szCs w:val="24"/>
        </w:rPr>
        <w:t xml:space="preserve"> </w:t>
      </w:r>
      <w:r w:rsidRPr="00D65D74" w:rsidR="00C62080">
        <w:rPr>
          <w:rStyle w:val="cf01"/>
          <w:rFonts w:ascii="Times New Roman" w:hAnsi="Times New Roman" w:cs="Times New Roman"/>
          <w:sz w:val="24"/>
          <w:szCs w:val="24"/>
        </w:rPr>
        <w:t xml:space="preserve">As part of these efforts, ACF may conduct usability testing. If updates beyond just de </w:t>
      </w:r>
      <w:r w:rsidRPr="00D65D74" w:rsidR="00C62080">
        <w:rPr>
          <w:rStyle w:val="cf01"/>
          <w:rFonts w:ascii="Times New Roman" w:hAnsi="Times New Roman" w:cs="Times New Roman"/>
          <w:sz w:val="24"/>
          <w:szCs w:val="24"/>
        </w:rPr>
        <w:t>minimus</w:t>
      </w:r>
      <w:r w:rsidRPr="00D65D74" w:rsidR="00C62080">
        <w:rPr>
          <w:rStyle w:val="cf01"/>
          <w:rFonts w:ascii="Times New Roman" w:hAnsi="Times New Roman" w:cs="Times New Roman"/>
          <w:sz w:val="24"/>
          <w:szCs w:val="24"/>
        </w:rPr>
        <w:t xml:space="preserve"> updates are made to the reports as a result of usability testing, ACF will submit the updates as a </w:t>
      </w:r>
      <w:r w:rsidRPr="00D65D74" w:rsidR="00C62080">
        <w:rPr>
          <w:rStyle w:val="cf01"/>
          <w:rFonts w:ascii="Times New Roman" w:hAnsi="Times New Roman" w:cs="Times New Roman"/>
          <w:sz w:val="24"/>
          <w:szCs w:val="24"/>
        </w:rPr>
        <w:t>nonsubstantive</w:t>
      </w:r>
      <w:r w:rsidRPr="00D65D74" w:rsidR="00C62080">
        <w:rPr>
          <w:rStyle w:val="cf01"/>
          <w:rFonts w:ascii="Times New Roman" w:hAnsi="Times New Roman" w:cs="Times New Roman"/>
          <w:sz w:val="24"/>
          <w:szCs w:val="24"/>
        </w:rPr>
        <w:t xml:space="preserve"> change request. Testing would likely take place with the type of respondents described above. </w:t>
      </w:r>
      <w:r w:rsidRPr="00D65D74" w:rsidR="00C62080">
        <w:rPr>
          <w:rStyle w:val="cf11"/>
          <w:rFonts w:ascii="Times New Roman" w:hAnsi="Times New Roman" w:cs="Times New Roman"/>
          <w:sz w:val="24"/>
          <w:szCs w:val="24"/>
        </w:rPr>
        <w:t xml:space="preserve">If </w:t>
      </w:r>
      <w:r w:rsidRPr="00D65D74" w:rsidR="00C62080">
        <w:rPr>
          <w:rStyle w:val="cf01"/>
          <w:rFonts w:ascii="Times New Roman" w:hAnsi="Times New Roman" w:cs="Times New Roman"/>
          <w:sz w:val="24"/>
          <w:szCs w:val="24"/>
        </w:rPr>
        <w:t>the efforts are subject to the Paperwork Reduction Act, they will be submitted for review and approval under an existing umbrella generic.</w:t>
      </w:r>
      <w:r w:rsidRPr="00D65D74" w:rsidR="00824915">
        <w:rPr>
          <w:rFonts w:ascii="Times New Roman" w:hAnsi="Times New Roman"/>
          <w:color w:val="000000" w:themeColor="text1"/>
          <w:sz w:val="24"/>
          <w:szCs w:val="24"/>
          <w:highlight w:val="yellow"/>
        </w:rPr>
        <w:t xml:space="preserve"> </w:t>
      </w:r>
    </w:p>
    <w:p w:rsidR="00937594" w:rsidP="00937594" w14:paraId="627B9C27" w14:textId="77777777">
      <w:pPr>
        <w:widowControl/>
        <w:tabs>
          <w:tab w:val="num" w:pos="360"/>
        </w:tabs>
        <w:ind w:left="360"/>
        <w:rPr>
          <w:rFonts w:ascii="Times New Roman" w:hAnsi="Times New Roman"/>
          <w:color w:val="000000"/>
          <w:sz w:val="24"/>
          <w:szCs w:val="24"/>
        </w:rPr>
      </w:pPr>
    </w:p>
    <w:p w:rsidR="00937594" w:rsidRPr="004F7B95" w:rsidP="00937594" w14:paraId="3B225E9B" w14:textId="4B2897B1">
      <w:pPr>
        <w:widowControl/>
        <w:tabs>
          <w:tab w:val="num" w:pos="360"/>
        </w:tabs>
        <w:ind w:left="360"/>
        <w:rPr>
          <w:rFonts w:ascii="Times New Roman" w:hAnsi="Times New Roman"/>
          <w:snapToGrid/>
          <w:sz w:val="24"/>
          <w:szCs w:val="24"/>
        </w:rPr>
      </w:pPr>
      <w:r>
        <w:rPr>
          <w:rFonts w:ascii="Times New Roman" w:hAnsi="Times New Roman"/>
          <w:color w:val="000000"/>
          <w:sz w:val="24"/>
          <w:szCs w:val="24"/>
        </w:rPr>
        <w:t xml:space="preserve">The RRW is </w:t>
      </w:r>
      <w:r w:rsidR="00F71B6D">
        <w:rPr>
          <w:rFonts w:ascii="Times New Roman" w:hAnsi="Times New Roman"/>
          <w:color w:val="000000"/>
          <w:sz w:val="24"/>
          <w:szCs w:val="24"/>
        </w:rPr>
        <w:t xml:space="preserve">not collected in a data system, but rather, provided to states as </w:t>
      </w:r>
      <w:r w:rsidR="00154A35">
        <w:rPr>
          <w:rFonts w:ascii="Times New Roman" w:hAnsi="Times New Roman"/>
          <w:color w:val="000000"/>
          <w:sz w:val="24"/>
          <w:szCs w:val="24"/>
        </w:rPr>
        <w:t xml:space="preserve">a </w:t>
      </w:r>
      <w:r w:rsidR="00F71B6D">
        <w:rPr>
          <w:rFonts w:ascii="Times New Roman" w:hAnsi="Times New Roman"/>
          <w:color w:val="000000"/>
          <w:sz w:val="24"/>
          <w:szCs w:val="24"/>
        </w:rPr>
        <w:t>template</w:t>
      </w:r>
      <w:r w:rsidR="009202A5">
        <w:rPr>
          <w:rFonts w:ascii="Times New Roman" w:hAnsi="Times New Roman"/>
          <w:color w:val="000000"/>
          <w:sz w:val="24"/>
          <w:szCs w:val="24"/>
        </w:rPr>
        <w:t xml:space="preserve">. </w:t>
      </w:r>
      <w:r w:rsidR="00135002">
        <w:rPr>
          <w:rFonts w:ascii="Times New Roman" w:hAnsi="Times New Roman"/>
          <w:color w:val="000000"/>
          <w:sz w:val="24"/>
          <w:szCs w:val="24"/>
        </w:rPr>
        <w:t xml:space="preserve">States </w:t>
      </w:r>
      <w:r w:rsidR="00BD1C35">
        <w:rPr>
          <w:rFonts w:ascii="Times New Roman" w:hAnsi="Times New Roman"/>
          <w:color w:val="000000"/>
          <w:sz w:val="24"/>
          <w:szCs w:val="24"/>
        </w:rPr>
        <w:t>customize</w:t>
      </w:r>
      <w:r w:rsidR="00135002">
        <w:rPr>
          <w:rFonts w:ascii="Times New Roman" w:hAnsi="Times New Roman"/>
          <w:color w:val="000000"/>
          <w:sz w:val="24"/>
          <w:szCs w:val="24"/>
        </w:rPr>
        <w:t xml:space="preserve"> the </w:t>
      </w:r>
      <w:r w:rsidR="00BD1C35">
        <w:rPr>
          <w:rFonts w:ascii="Times New Roman" w:hAnsi="Times New Roman"/>
          <w:color w:val="000000"/>
          <w:sz w:val="24"/>
          <w:szCs w:val="24"/>
        </w:rPr>
        <w:t xml:space="preserve">RRW </w:t>
      </w:r>
      <w:r w:rsidR="00135002">
        <w:rPr>
          <w:rFonts w:ascii="Times New Roman" w:hAnsi="Times New Roman"/>
          <w:color w:val="000000"/>
          <w:sz w:val="24"/>
          <w:szCs w:val="24"/>
        </w:rPr>
        <w:t xml:space="preserve">template with state-specific policies, </w:t>
      </w:r>
      <w:r w:rsidR="00BD1C35">
        <w:rPr>
          <w:rFonts w:ascii="Times New Roman" w:hAnsi="Times New Roman"/>
          <w:color w:val="000000"/>
          <w:sz w:val="24"/>
          <w:szCs w:val="24"/>
        </w:rPr>
        <w:t>regulations, and citations</w:t>
      </w:r>
      <w:r w:rsidR="00A0071F">
        <w:rPr>
          <w:rFonts w:ascii="Times New Roman" w:hAnsi="Times New Roman"/>
          <w:color w:val="000000"/>
          <w:sz w:val="24"/>
          <w:szCs w:val="24"/>
        </w:rPr>
        <w:t xml:space="preserve">. </w:t>
      </w:r>
      <w:r>
        <w:rPr>
          <w:rFonts w:ascii="Times New Roman" w:hAnsi="Times New Roman"/>
          <w:color w:val="000000"/>
          <w:sz w:val="24"/>
          <w:szCs w:val="24"/>
        </w:rPr>
        <w:t xml:space="preserve">This </w:t>
      </w:r>
      <w:r w:rsidR="006A777D">
        <w:rPr>
          <w:rFonts w:ascii="Times New Roman" w:hAnsi="Times New Roman"/>
          <w:color w:val="000000"/>
          <w:sz w:val="24"/>
          <w:szCs w:val="24"/>
        </w:rPr>
        <w:t>option</w:t>
      </w:r>
      <w:r w:rsidR="00BD1C35">
        <w:rPr>
          <w:rFonts w:ascii="Times New Roman" w:hAnsi="Times New Roman"/>
          <w:color w:val="000000"/>
          <w:sz w:val="24"/>
          <w:szCs w:val="24"/>
        </w:rPr>
        <w:t xml:space="preserve"> </w:t>
      </w:r>
      <w:r>
        <w:rPr>
          <w:rFonts w:ascii="Times New Roman" w:hAnsi="Times New Roman"/>
          <w:color w:val="000000"/>
          <w:sz w:val="24"/>
          <w:szCs w:val="24"/>
        </w:rPr>
        <w:t xml:space="preserve">allows </w:t>
      </w:r>
      <w:r w:rsidR="00D76BB9">
        <w:rPr>
          <w:rFonts w:ascii="Times New Roman" w:hAnsi="Times New Roman"/>
          <w:color w:val="000000"/>
          <w:sz w:val="24"/>
          <w:szCs w:val="24"/>
        </w:rPr>
        <w:t>states</w:t>
      </w:r>
      <w:r>
        <w:rPr>
          <w:rFonts w:ascii="Times New Roman" w:hAnsi="Times New Roman"/>
          <w:color w:val="000000"/>
          <w:sz w:val="24"/>
          <w:szCs w:val="24"/>
        </w:rPr>
        <w:t xml:space="preserve"> the flexibility </w:t>
      </w:r>
      <w:r w:rsidR="00A0071F">
        <w:rPr>
          <w:rFonts w:ascii="Times New Roman" w:hAnsi="Times New Roman"/>
          <w:color w:val="000000"/>
          <w:sz w:val="24"/>
          <w:szCs w:val="24"/>
        </w:rPr>
        <w:t xml:space="preserve">to </w:t>
      </w:r>
      <w:r w:rsidR="00BD1C35">
        <w:rPr>
          <w:rFonts w:ascii="Times New Roman" w:hAnsi="Times New Roman"/>
          <w:color w:val="000000"/>
          <w:sz w:val="24"/>
          <w:szCs w:val="24"/>
        </w:rPr>
        <w:t>use the RRW to</w:t>
      </w:r>
      <w:r w:rsidR="003A0ABA">
        <w:rPr>
          <w:rFonts w:ascii="Times New Roman" w:hAnsi="Times New Roman"/>
          <w:color w:val="000000"/>
          <w:sz w:val="24"/>
          <w:szCs w:val="24"/>
        </w:rPr>
        <w:t xml:space="preserve"> conduct case reviews </w:t>
      </w:r>
      <w:r>
        <w:rPr>
          <w:rFonts w:ascii="Times New Roman" w:hAnsi="Times New Roman"/>
          <w:color w:val="000000"/>
          <w:sz w:val="24"/>
          <w:szCs w:val="24"/>
        </w:rPr>
        <w:t>in their preferred format</w:t>
      </w:r>
      <w:r w:rsidR="00A0071F">
        <w:rPr>
          <w:rFonts w:ascii="Times New Roman" w:hAnsi="Times New Roman"/>
          <w:color w:val="000000"/>
          <w:sz w:val="24"/>
          <w:szCs w:val="24"/>
        </w:rPr>
        <w:t>, such as Excel</w:t>
      </w:r>
      <w:r w:rsidR="009E316F">
        <w:rPr>
          <w:rFonts w:ascii="Times New Roman" w:hAnsi="Times New Roman"/>
          <w:color w:val="000000"/>
          <w:sz w:val="24"/>
          <w:szCs w:val="24"/>
        </w:rPr>
        <w:t xml:space="preserve"> files, fillable PDFs,</w:t>
      </w:r>
      <w:r w:rsidR="00A0071F">
        <w:rPr>
          <w:rFonts w:ascii="Times New Roman" w:hAnsi="Times New Roman"/>
          <w:color w:val="000000"/>
          <w:sz w:val="24"/>
          <w:szCs w:val="24"/>
        </w:rPr>
        <w:t xml:space="preserve"> or Word</w:t>
      </w:r>
      <w:r w:rsidR="009E316F">
        <w:rPr>
          <w:rFonts w:ascii="Times New Roman" w:hAnsi="Times New Roman"/>
          <w:color w:val="000000"/>
          <w:sz w:val="24"/>
          <w:szCs w:val="24"/>
        </w:rPr>
        <w:t xml:space="preserve"> documents</w:t>
      </w:r>
      <w:r w:rsidR="00A0071F">
        <w:rPr>
          <w:rFonts w:ascii="Times New Roman" w:hAnsi="Times New Roman"/>
          <w:color w:val="000000"/>
          <w:sz w:val="24"/>
          <w:szCs w:val="24"/>
        </w:rPr>
        <w:t xml:space="preserve">. </w:t>
      </w:r>
      <w:r w:rsidR="004C1E03">
        <w:rPr>
          <w:rFonts w:ascii="Times New Roman" w:hAnsi="Times New Roman"/>
          <w:color w:val="000000"/>
          <w:sz w:val="24"/>
          <w:szCs w:val="24"/>
        </w:rPr>
        <w:t>Some states have automated the</w:t>
      </w:r>
      <w:r w:rsidR="00926819">
        <w:rPr>
          <w:rFonts w:ascii="Times New Roman" w:hAnsi="Times New Roman"/>
          <w:color w:val="000000"/>
          <w:sz w:val="24"/>
          <w:szCs w:val="24"/>
        </w:rPr>
        <w:t>ir</w:t>
      </w:r>
      <w:r w:rsidR="004C1E03">
        <w:rPr>
          <w:rFonts w:ascii="Times New Roman" w:hAnsi="Times New Roman"/>
          <w:color w:val="000000"/>
          <w:sz w:val="24"/>
          <w:szCs w:val="24"/>
        </w:rPr>
        <w:t xml:space="preserve"> RRW </w:t>
      </w:r>
      <w:r w:rsidR="00926819">
        <w:rPr>
          <w:rFonts w:ascii="Times New Roman" w:hAnsi="Times New Roman"/>
          <w:color w:val="000000"/>
          <w:sz w:val="24"/>
          <w:szCs w:val="24"/>
        </w:rPr>
        <w:t xml:space="preserve">completion </w:t>
      </w:r>
      <w:r w:rsidR="004C1E03">
        <w:rPr>
          <w:rFonts w:ascii="Times New Roman" w:hAnsi="Times New Roman"/>
          <w:color w:val="000000"/>
          <w:sz w:val="24"/>
          <w:szCs w:val="24"/>
        </w:rPr>
        <w:t>using in-house databases</w:t>
      </w:r>
      <w:r w:rsidR="00926819">
        <w:rPr>
          <w:rFonts w:ascii="Times New Roman" w:hAnsi="Times New Roman"/>
          <w:color w:val="000000"/>
          <w:sz w:val="24"/>
          <w:szCs w:val="24"/>
        </w:rPr>
        <w:t xml:space="preserve"> </w:t>
      </w:r>
      <w:r w:rsidR="00C8448D">
        <w:rPr>
          <w:rFonts w:ascii="Times New Roman" w:hAnsi="Times New Roman"/>
          <w:color w:val="000000"/>
          <w:sz w:val="24"/>
          <w:szCs w:val="24"/>
        </w:rPr>
        <w:t>to facilitate data collection</w:t>
      </w:r>
      <w:r w:rsidR="008153A7">
        <w:rPr>
          <w:rFonts w:ascii="Times New Roman" w:hAnsi="Times New Roman"/>
          <w:color w:val="000000"/>
          <w:sz w:val="24"/>
          <w:szCs w:val="24"/>
        </w:rPr>
        <w:t xml:space="preserve">, </w:t>
      </w:r>
      <w:r w:rsidR="00C8448D">
        <w:rPr>
          <w:rFonts w:ascii="Times New Roman" w:hAnsi="Times New Roman"/>
          <w:color w:val="000000"/>
          <w:sz w:val="24"/>
          <w:szCs w:val="24"/>
        </w:rPr>
        <w:t>analysis</w:t>
      </w:r>
      <w:r w:rsidR="008153A7">
        <w:rPr>
          <w:rFonts w:ascii="Times New Roman" w:hAnsi="Times New Roman"/>
          <w:color w:val="000000"/>
          <w:sz w:val="24"/>
          <w:szCs w:val="24"/>
        </w:rPr>
        <w:t xml:space="preserve">, and completion of the </w:t>
      </w:r>
      <w:r w:rsidRPr="00CB7A9F" w:rsidR="008153A7">
        <w:rPr>
          <w:rFonts w:ascii="Times New Roman" w:hAnsi="Times New Roman"/>
          <w:i/>
          <w:iCs/>
          <w:color w:val="000000" w:themeColor="text1"/>
          <w:sz w:val="24"/>
          <w:szCs w:val="24"/>
        </w:rPr>
        <w:t>State Improper Payments Repor</w:t>
      </w:r>
      <w:r w:rsidR="008153A7">
        <w:rPr>
          <w:rFonts w:ascii="Times New Roman" w:hAnsi="Times New Roman"/>
          <w:i/>
          <w:iCs/>
          <w:color w:val="000000" w:themeColor="text1"/>
          <w:sz w:val="24"/>
          <w:szCs w:val="24"/>
        </w:rPr>
        <w:t>t.</w:t>
      </w:r>
    </w:p>
    <w:p w:rsidR="009C2DE1" w:rsidP="00E47113" w14:paraId="64C47E67" w14:textId="77777777">
      <w:pPr>
        <w:widowControl/>
        <w:tabs>
          <w:tab w:val="num" w:pos="360"/>
        </w:tabs>
        <w:rPr>
          <w:rFonts w:ascii="Times New Roman" w:hAnsi="Times New Roman"/>
          <w:snapToGrid/>
          <w:sz w:val="24"/>
          <w:szCs w:val="24"/>
        </w:rPr>
      </w:pPr>
    </w:p>
    <w:p w:rsidR="009F5543" w:rsidRPr="00444B6D" w:rsidP="00E47113" w14:paraId="01CB0194" w14:textId="5B1AC14C">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Efforts to Identify Duplication and Use of Similar Information </w:t>
      </w:r>
    </w:p>
    <w:p w:rsidR="00BC252A" w:rsidRPr="00C20E83" w:rsidP="00BC252A" w14:paraId="37DFDFCA" w14:textId="6FA18754">
      <w:pPr>
        <w:widowControl/>
        <w:tabs>
          <w:tab w:val="num" w:pos="360"/>
        </w:tabs>
        <w:ind w:left="360"/>
        <w:rPr>
          <w:rFonts w:ascii="Times New Roman" w:hAnsi="Times New Roman"/>
          <w:snapToGrid/>
          <w:sz w:val="24"/>
          <w:szCs w:val="24"/>
        </w:rPr>
      </w:pPr>
      <w:r w:rsidRPr="00C20E83">
        <w:rPr>
          <w:rFonts w:ascii="Times New Roman" w:hAnsi="Times New Roman"/>
          <w:color w:val="000000" w:themeColor="text1"/>
          <w:sz w:val="24"/>
          <w:szCs w:val="24"/>
        </w:rPr>
        <w:t xml:space="preserve">The data in this information collection are not duplicative of any other sources of information and are not available from any other source. While </w:t>
      </w:r>
      <w:r w:rsidR="005F5249">
        <w:rPr>
          <w:rFonts w:ascii="Times New Roman" w:hAnsi="Times New Roman"/>
          <w:color w:val="000000" w:themeColor="text1"/>
          <w:sz w:val="24"/>
          <w:szCs w:val="24"/>
        </w:rPr>
        <w:t>other federal</w:t>
      </w:r>
      <w:r w:rsidRPr="00C20E83">
        <w:rPr>
          <w:rFonts w:ascii="Times New Roman" w:hAnsi="Times New Roman"/>
          <w:color w:val="000000" w:themeColor="text1"/>
          <w:sz w:val="24"/>
          <w:szCs w:val="24"/>
        </w:rPr>
        <w:t xml:space="preserve"> programs </w:t>
      </w:r>
      <w:r w:rsidR="0073615C">
        <w:rPr>
          <w:rFonts w:ascii="Times New Roman" w:hAnsi="Times New Roman"/>
          <w:color w:val="000000" w:themeColor="text1"/>
          <w:sz w:val="24"/>
          <w:szCs w:val="24"/>
        </w:rPr>
        <w:t xml:space="preserve">may </w:t>
      </w:r>
      <w:r>
        <w:rPr>
          <w:rFonts w:ascii="Times New Roman" w:hAnsi="Times New Roman"/>
          <w:color w:val="000000" w:themeColor="text1"/>
          <w:sz w:val="24"/>
          <w:szCs w:val="24"/>
        </w:rPr>
        <w:t>collect</w:t>
      </w:r>
      <w:r w:rsidRPr="00C20E83">
        <w:rPr>
          <w:rFonts w:ascii="Times New Roman" w:hAnsi="Times New Roman"/>
          <w:color w:val="000000" w:themeColor="text1"/>
          <w:sz w:val="24"/>
          <w:szCs w:val="24"/>
        </w:rPr>
        <w:t xml:space="preserve"> error rate</w:t>
      </w:r>
      <w:r w:rsidR="006E1AE9">
        <w:rPr>
          <w:rFonts w:ascii="Times New Roman" w:hAnsi="Times New Roman"/>
          <w:color w:val="000000" w:themeColor="text1"/>
          <w:sz w:val="24"/>
          <w:szCs w:val="24"/>
        </w:rPr>
        <w:t xml:space="preserve"> information </w:t>
      </w:r>
      <w:r w:rsidRPr="00C20E83">
        <w:rPr>
          <w:rFonts w:ascii="Times New Roman" w:hAnsi="Times New Roman"/>
          <w:color w:val="000000" w:themeColor="text1"/>
          <w:sz w:val="24"/>
          <w:szCs w:val="24"/>
        </w:rPr>
        <w:t>f</w:t>
      </w:r>
      <w:r w:rsidR="006E1AE9">
        <w:rPr>
          <w:rFonts w:ascii="Times New Roman" w:hAnsi="Times New Roman"/>
          <w:color w:val="000000" w:themeColor="text1"/>
          <w:sz w:val="24"/>
          <w:szCs w:val="24"/>
        </w:rPr>
        <w:t>rom</w:t>
      </w:r>
      <w:r w:rsidRPr="00C20E83">
        <w:rPr>
          <w:rFonts w:ascii="Times New Roman" w:hAnsi="Times New Roman"/>
          <w:color w:val="000000" w:themeColor="text1"/>
          <w:sz w:val="24"/>
          <w:szCs w:val="24"/>
        </w:rPr>
        <w:t xml:space="preserve"> </w:t>
      </w:r>
      <w:r w:rsidR="0073615C">
        <w:rPr>
          <w:rFonts w:ascii="Times New Roman" w:hAnsi="Times New Roman"/>
          <w:color w:val="000000" w:themeColor="text1"/>
          <w:sz w:val="24"/>
          <w:szCs w:val="24"/>
        </w:rPr>
        <w:t>state grantees</w:t>
      </w:r>
      <w:r w:rsidRPr="00C20E83">
        <w:rPr>
          <w:rFonts w:ascii="Times New Roman" w:hAnsi="Times New Roman"/>
          <w:color w:val="000000" w:themeColor="text1"/>
          <w:sz w:val="24"/>
          <w:szCs w:val="24"/>
        </w:rPr>
        <w:t xml:space="preserve">, their procedures do not collect information about </w:t>
      </w:r>
      <w:r w:rsidR="00C90EEC">
        <w:rPr>
          <w:rFonts w:ascii="Times New Roman" w:hAnsi="Times New Roman"/>
          <w:color w:val="000000" w:themeColor="text1"/>
          <w:sz w:val="24"/>
          <w:szCs w:val="24"/>
        </w:rPr>
        <w:t xml:space="preserve">CCDF. </w:t>
      </w:r>
    </w:p>
    <w:p w:rsidR="009C2DE1" w:rsidRPr="004F7B95" w:rsidP="006A777D" w14:paraId="5BF82A71" w14:textId="77777777">
      <w:pPr>
        <w:widowControl/>
        <w:tabs>
          <w:tab w:val="num" w:pos="360"/>
        </w:tabs>
        <w:rPr>
          <w:rFonts w:ascii="Times New Roman" w:hAnsi="Times New Roman"/>
          <w:snapToGrid/>
          <w:sz w:val="24"/>
          <w:szCs w:val="24"/>
        </w:rPr>
      </w:pPr>
    </w:p>
    <w:p w:rsidR="009F5543" w:rsidRPr="00444B6D" w:rsidP="006A777D" w14:paraId="277C911C" w14:textId="2C7661A5">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Impact on Small Businesses or Other Small Entities </w:t>
      </w:r>
    </w:p>
    <w:p w:rsidR="009202F8" w:rsidRPr="0048682B" w:rsidP="009202F8" w14:paraId="7399F98B" w14:textId="77777777">
      <w:pPr>
        <w:widowControl/>
        <w:tabs>
          <w:tab w:val="num" w:pos="360"/>
        </w:tabs>
        <w:ind w:left="360"/>
        <w:rPr>
          <w:rFonts w:ascii="Times New Roman" w:hAnsi="Times New Roman"/>
          <w:snapToGrid/>
          <w:sz w:val="24"/>
          <w:szCs w:val="24"/>
        </w:rPr>
      </w:pPr>
      <w:r w:rsidRPr="381EAEA6">
        <w:rPr>
          <w:rFonts w:ascii="Times New Roman" w:hAnsi="Times New Roman"/>
          <w:color w:val="000000" w:themeColor="text1"/>
          <w:sz w:val="24"/>
          <w:szCs w:val="24"/>
        </w:rPr>
        <w:t>This data collection effort does not impact small businesses or other small entities.</w:t>
      </w:r>
    </w:p>
    <w:p w:rsidR="00D60543" w:rsidRPr="004F7B95" w:rsidP="006A777D" w14:paraId="7A03161C" w14:textId="77777777">
      <w:pPr>
        <w:widowControl/>
        <w:tabs>
          <w:tab w:val="num" w:pos="360"/>
        </w:tabs>
        <w:rPr>
          <w:rFonts w:ascii="Times New Roman" w:hAnsi="Times New Roman"/>
          <w:snapToGrid/>
          <w:sz w:val="24"/>
          <w:szCs w:val="24"/>
        </w:rPr>
      </w:pPr>
    </w:p>
    <w:p w:rsidR="00D60543" w:rsidP="0073615C" w14:paraId="0DA9C819" w14:textId="34BD2DAC">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Consequences of Collecting the Information Less Frequently </w:t>
      </w:r>
    </w:p>
    <w:p w:rsidR="003614EC" w:rsidP="00AD6431" w14:paraId="2033B1A7" w14:textId="2DFE4554">
      <w:pPr>
        <w:widowControl/>
        <w:tabs>
          <w:tab w:val="num" w:pos="360"/>
        </w:tabs>
        <w:ind w:left="360"/>
        <w:rPr>
          <w:rFonts w:ascii="Times New Roman" w:hAnsi="Times New Roman"/>
          <w:color w:val="000000" w:themeColor="text1"/>
          <w:sz w:val="24"/>
          <w:szCs w:val="24"/>
        </w:rPr>
      </w:pPr>
      <w:r>
        <w:rPr>
          <w:rFonts w:ascii="Times New Roman" w:hAnsi="Times New Roman"/>
          <w:sz w:val="24"/>
          <w:szCs w:val="24"/>
        </w:rPr>
        <w:t>HHS is required to report</w:t>
      </w:r>
      <w:r w:rsidR="007F1694">
        <w:rPr>
          <w:rFonts w:ascii="Times New Roman" w:hAnsi="Times New Roman"/>
          <w:sz w:val="24"/>
          <w:szCs w:val="24"/>
        </w:rPr>
        <w:t xml:space="preserve"> </w:t>
      </w:r>
      <w:r w:rsidR="00A40A03">
        <w:rPr>
          <w:rFonts w:ascii="Times New Roman" w:hAnsi="Times New Roman"/>
          <w:sz w:val="24"/>
          <w:szCs w:val="24"/>
        </w:rPr>
        <w:t>annual</w:t>
      </w:r>
      <w:r w:rsidR="00D830DA">
        <w:rPr>
          <w:rFonts w:ascii="Times New Roman" w:hAnsi="Times New Roman"/>
          <w:sz w:val="24"/>
          <w:szCs w:val="24"/>
        </w:rPr>
        <w:t xml:space="preserve"> </w:t>
      </w:r>
      <w:r w:rsidR="007F1694">
        <w:rPr>
          <w:rFonts w:ascii="Times New Roman" w:hAnsi="Times New Roman"/>
          <w:sz w:val="24"/>
          <w:szCs w:val="24"/>
        </w:rPr>
        <w:t xml:space="preserve">improper payment estimates in the AFR as part of </w:t>
      </w:r>
      <w:r w:rsidRPr="00492408" w:rsidR="00AD6431">
        <w:rPr>
          <w:rFonts w:ascii="Times New Roman" w:hAnsi="Times New Roman"/>
          <w:sz w:val="24"/>
          <w:szCs w:val="24"/>
        </w:rPr>
        <w:t xml:space="preserve">PIIA </w:t>
      </w:r>
      <w:r w:rsidR="007F1694">
        <w:rPr>
          <w:rFonts w:ascii="Times New Roman" w:hAnsi="Times New Roman"/>
          <w:sz w:val="24"/>
          <w:szCs w:val="24"/>
        </w:rPr>
        <w:t xml:space="preserve">compliance. </w:t>
      </w:r>
      <w:r w:rsidRPr="00492408" w:rsidR="00AD6431">
        <w:rPr>
          <w:rFonts w:ascii="Times New Roman" w:hAnsi="Times New Roman"/>
          <w:color w:val="000000" w:themeColor="text1"/>
          <w:sz w:val="24"/>
          <w:szCs w:val="24"/>
        </w:rPr>
        <w:t xml:space="preserve">Without this information collection, HHS will be unable to report </w:t>
      </w:r>
      <w:r w:rsidR="004341C3">
        <w:rPr>
          <w:rFonts w:ascii="Times New Roman" w:hAnsi="Times New Roman"/>
          <w:color w:val="000000" w:themeColor="text1"/>
          <w:sz w:val="24"/>
          <w:szCs w:val="24"/>
        </w:rPr>
        <w:t xml:space="preserve">improper payment estimates for the </w:t>
      </w:r>
      <w:r w:rsidR="0080538F">
        <w:rPr>
          <w:rFonts w:ascii="Times New Roman" w:hAnsi="Times New Roman"/>
          <w:color w:val="000000" w:themeColor="text1"/>
          <w:sz w:val="24"/>
          <w:szCs w:val="24"/>
        </w:rPr>
        <w:t xml:space="preserve">CCDF </w:t>
      </w:r>
      <w:r w:rsidR="004341C3">
        <w:rPr>
          <w:rFonts w:ascii="Times New Roman" w:hAnsi="Times New Roman"/>
          <w:color w:val="000000" w:themeColor="text1"/>
          <w:sz w:val="24"/>
          <w:szCs w:val="24"/>
        </w:rPr>
        <w:t xml:space="preserve">program. </w:t>
      </w:r>
      <w:r w:rsidR="00AD6431">
        <w:rPr>
          <w:rFonts w:ascii="Times New Roman" w:hAnsi="Times New Roman"/>
          <w:color w:val="000000" w:themeColor="text1"/>
          <w:sz w:val="24"/>
          <w:szCs w:val="24"/>
        </w:rPr>
        <w:t>T</w:t>
      </w:r>
      <w:r w:rsidRPr="00492408" w:rsidR="00AD6431">
        <w:rPr>
          <w:rFonts w:ascii="Times New Roman" w:hAnsi="Times New Roman"/>
          <w:color w:val="000000" w:themeColor="text1"/>
          <w:sz w:val="24"/>
          <w:szCs w:val="24"/>
        </w:rPr>
        <w:t xml:space="preserve">o minimize burden on states, </w:t>
      </w:r>
      <w:r w:rsidR="00BC44E7">
        <w:rPr>
          <w:rFonts w:ascii="Times New Roman" w:hAnsi="Times New Roman"/>
          <w:color w:val="000000" w:themeColor="text1"/>
          <w:sz w:val="24"/>
          <w:szCs w:val="24"/>
        </w:rPr>
        <w:t xml:space="preserve">the CCDF error </w:t>
      </w:r>
      <w:r w:rsidR="00BC44E7">
        <w:rPr>
          <w:rFonts w:ascii="Times New Roman" w:hAnsi="Times New Roman"/>
          <w:color w:val="000000" w:themeColor="text1"/>
          <w:sz w:val="24"/>
          <w:szCs w:val="24"/>
        </w:rPr>
        <w:t xml:space="preserve">rate </w:t>
      </w:r>
      <w:r>
        <w:rPr>
          <w:rFonts w:ascii="Times New Roman" w:hAnsi="Times New Roman"/>
          <w:color w:val="000000" w:themeColor="text1"/>
          <w:sz w:val="24"/>
          <w:szCs w:val="24"/>
        </w:rPr>
        <w:t xml:space="preserve">methodology is designed to </w:t>
      </w:r>
      <w:r w:rsidR="00CB219D">
        <w:rPr>
          <w:rFonts w:ascii="Times New Roman" w:hAnsi="Times New Roman"/>
          <w:color w:val="000000" w:themeColor="text1"/>
          <w:sz w:val="24"/>
          <w:szCs w:val="24"/>
        </w:rPr>
        <w:t xml:space="preserve">require </w:t>
      </w:r>
      <w:r w:rsidR="00BC44E7">
        <w:rPr>
          <w:rFonts w:ascii="Times New Roman" w:hAnsi="Times New Roman"/>
          <w:color w:val="000000" w:themeColor="text1"/>
          <w:sz w:val="24"/>
          <w:szCs w:val="24"/>
        </w:rPr>
        <w:t>states</w:t>
      </w:r>
      <w:r w:rsidR="00CB219D">
        <w:rPr>
          <w:rFonts w:ascii="Times New Roman" w:hAnsi="Times New Roman"/>
          <w:color w:val="000000" w:themeColor="text1"/>
          <w:sz w:val="24"/>
          <w:szCs w:val="24"/>
        </w:rPr>
        <w:t xml:space="preserve"> to collect </w:t>
      </w:r>
      <w:r w:rsidR="00BC44E7">
        <w:rPr>
          <w:rFonts w:ascii="Times New Roman" w:hAnsi="Times New Roman"/>
          <w:color w:val="000000" w:themeColor="text1"/>
          <w:sz w:val="24"/>
          <w:szCs w:val="24"/>
        </w:rPr>
        <w:t xml:space="preserve">and report data triennially, with one-third of states </w:t>
      </w:r>
      <w:r w:rsidR="009860D5">
        <w:rPr>
          <w:rFonts w:ascii="Times New Roman" w:hAnsi="Times New Roman"/>
          <w:color w:val="000000" w:themeColor="text1"/>
          <w:sz w:val="24"/>
          <w:szCs w:val="24"/>
        </w:rPr>
        <w:t xml:space="preserve">(“cohorts”) </w:t>
      </w:r>
      <w:r w:rsidR="00BC44E7">
        <w:rPr>
          <w:rFonts w:ascii="Times New Roman" w:hAnsi="Times New Roman"/>
          <w:color w:val="000000" w:themeColor="text1"/>
          <w:sz w:val="24"/>
          <w:szCs w:val="24"/>
        </w:rPr>
        <w:t>reporting each year.</w:t>
      </w:r>
      <w:r w:rsidR="007629F1">
        <w:rPr>
          <w:rFonts w:ascii="Times New Roman" w:hAnsi="Times New Roman"/>
          <w:color w:val="000000" w:themeColor="text1"/>
          <w:sz w:val="24"/>
          <w:szCs w:val="24"/>
        </w:rPr>
        <w:t xml:space="preserve"> OCC </w:t>
      </w:r>
      <w:r w:rsidR="000C4F38">
        <w:rPr>
          <w:rFonts w:ascii="Times New Roman" w:hAnsi="Times New Roman"/>
          <w:color w:val="000000" w:themeColor="text1"/>
          <w:sz w:val="24"/>
          <w:szCs w:val="24"/>
        </w:rPr>
        <w:t>updates</w:t>
      </w:r>
      <w:r w:rsidR="005673BD">
        <w:rPr>
          <w:rFonts w:ascii="Times New Roman" w:hAnsi="Times New Roman"/>
          <w:color w:val="000000" w:themeColor="text1"/>
          <w:sz w:val="24"/>
          <w:szCs w:val="24"/>
        </w:rPr>
        <w:t xml:space="preserve"> one-third of the state data each year</w:t>
      </w:r>
      <w:r w:rsidR="00BC44E7">
        <w:rPr>
          <w:rFonts w:ascii="Times New Roman" w:hAnsi="Times New Roman"/>
          <w:color w:val="000000" w:themeColor="text1"/>
          <w:sz w:val="24"/>
          <w:szCs w:val="24"/>
        </w:rPr>
        <w:t xml:space="preserve"> </w:t>
      </w:r>
      <w:r w:rsidR="000C4F38">
        <w:rPr>
          <w:rFonts w:ascii="Times New Roman" w:hAnsi="Times New Roman"/>
          <w:color w:val="000000" w:themeColor="text1"/>
          <w:sz w:val="24"/>
          <w:szCs w:val="24"/>
        </w:rPr>
        <w:t xml:space="preserve">and combines it with the </w:t>
      </w:r>
      <w:r w:rsidR="004D1F08">
        <w:rPr>
          <w:rFonts w:ascii="Times New Roman" w:hAnsi="Times New Roman"/>
          <w:color w:val="000000" w:themeColor="text1"/>
          <w:sz w:val="24"/>
          <w:szCs w:val="24"/>
        </w:rPr>
        <w:t xml:space="preserve">state </w:t>
      </w:r>
      <w:r w:rsidR="000C4F38">
        <w:rPr>
          <w:rFonts w:ascii="Times New Roman" w:hAnsi="Times New Roman"/>
          <w:color w:val="000000" w:themeColor="text1"/>
          <w:sz w:val="24"/>
          <w:szCs w:val="24"/>
        </w:rPr>
        <w:t xml:space="preserve">data from the prior two years. </w:t>
      </w:r>
      <w:r>
        <w:rPr>
          <w:rFonts w:ascii="Times New Roman" w:hAnsi="Times New Roman"/>
          <w:color w:val="000000" w:themeColor="text1"/>
          <w:sz w:val="24"/>
          <w:szCs w:val="24"/>
        </w:rPr>
        <w:t xml:space="preserve">This </w:t>
      </w:r>
      <w:r w:rsidR="009860D5">
        <w:rPr>
          <w:rFonts w:ascii="Times New Roman" w:hAnsi="Times New Roman"/>
          <w:color w:val="000000" w:themeColor="text1"/>
          <w:sz w:val="24"/>
          <w:szCs w:val="24"/>
        </w:rPr>
        <w:t xml:space="preserve">cohort </w:t>
      </w:r>
      <w:r w:rsidR="000C4F38">
        <w:rPr>
          <w:rFonts w:ascii="Times New Roman" w:hAnsi="Times New Roman"/>
          <w:color w:val="000000" w:themeColor="text1"/>
          <w:sz w:val="24"/>
          <w:szCs w:val="24"/>
        </w:rPr>
        <w:t>approach</w:t>
      </w:r>
      <w:r w:rsidR="009860D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allows </w:t>
      </w:r>
      <w:r w:rsidR="00603DD9">
        <w:rPr>
          <w:rFonts w:ascii="Times New Roman" w:hAnsi="Times New Roman"/>
          <w:color w:val="000000" w:themeColor="text1"/>
          <w:sz w:val="24"/>
          <w:szCs w:val="24"/>
        </w:rPr>
        <w:t xml:space="preserve">OCC </w:t>
      </w:r>
      <w:r>
        <w:rPr>
          <w:rFonts w:ascii="Times New Roman" w:hAnsi="Times New Roman"/>
          <w:color w:val="000000" w:themeColor="text1"/>
          <w:sz w:val="24"/>
          <w:szCs w:val="24"/>
        </w:rPr>
        <w:t xml:space="preserve">to </w:t>
      </w:r>
      <w:r w:rsidR="0073615C">
        <w:rPr>
          <w:rFonts w:ascii="Times New Roman" w:hAnsi="Times New Roman"/>
          <w:color w:val="000000" w:themeColor="text1"/>
          <w:sz w:val="24"/>
          <w:szCs w:val="24"/>
        </w:rPr>
        <w:t xml:space="preserve">meet our requirement to </w:t>
      </w:r>
      <w:r w:rsidR="00AE465F">
        <w:rPr>
          <w:rFonts w:ascii="Times New Roman" w:hAnsi="Times New Roman"/>
          <w:color w:val="000000" w:themeColor="text1"/>
          <w:sz w:val="24"/>
          <w:szCs w:val="24"/>
        </w:rPr>
        <w:t xml:space="preserve">calculate </w:t>
      </w:r>
      <w:r w:rsidR="000C4F38">
        <w:rPr>
          <w:rFonts w:ascii="Times New Roman" w:hAnsi="Times New Roman"/>
          <w:color w:val="000000" w:themeColor="text1"/>
          <w:sz w:val="24"/>
          <w:szCs w:val="24"/>
        </w:rPr>
        <w:t xml:space="preserve">and report </w:t>
      </w:r>
      <w:r>
        <w:rPr>
          <w:rFonts w:ascii="Times New Roman" w:hAnsi="Times New Roman"/>
          <w:color w:val="000000" w:themeColor="text1"/>
          <w:sz w:val="24"/>
          <w:szCs w:val="24"/>
        </w:rPr>
        <w:t xml:space="preserve">an annual </w:t>
      </w:r>
      <w:r w:rsidR="00AE465F">
        <w:rPr>
          <w:rFonts w:ascii="Times New Roman" w:hAnsi="Times New Roman"/>
          <w:color w:val="000000" w:themeColor="text1"/>
          <w:sz w:val="24"/>
          <w:szCs w:val="24"/>
        </w:rPr>
        <w:t xml:space="preserve">national CCDF error </w:t>
      </w:r>
      <w:r w:rsidR="004D1F08">
        <w:rPr>
          <w:rFonts w:ascii="Times New Roman" w:hAnsi="Times New Roman"/>
          <w:color w:val="000000" w:themeColor="text1"/>
          <w:sz w:val="24"/>
          <w:szCs w:val="24"/>
        </w:rPr>
        <w:t xml:space="preserve">rate </w:t>
      </w:r>
      <w:r>
        <w:rPr>
          <w:rFonts w:ascii="Times New Roman" w:hAnsi="Times New Roman"/>
          <w:color w:val="000000" w:themeColor="text1"/>
          <w:sz w:val="24"/>
          <w:szCs w:val="24"/>
        </w:rPr>
        <w:t xml:space="preserve">without requiring </w:t>
      </w:r>
      <w:r w:rsidR="00444B6D">
        <w:rPr>
          <w:rFonts w:ascii="Times New Roman" w:hAnsi="Times New Roman"/>
          <w:color w:val="000000" w:themeColor="text1"/>
          <w:sz w:val="24"/>
          <w:szCs w:val="24"/>
        </w:rPr>
        <w:t xml:space="preserve">states to </w:t>
      </w:r>
      <w:r w:rsidR="00FF6511">
        <w:rPr>
          <w:rFonts w:ascii="Times New Roman" w:hAnsi="Times New Roman"/>
          <w:color w:val="000000" w:themeColor="text1"/>
          <w:sz w:val="24"/>
          <w:szCs w:val="24"/>
        </w:rPr>
        <w:t xml:space="preserve">complete the SDAP, RRW, and State Improper Payments </w:t>
      </w:r>
      <w:r w:rsidR="00444B6D">
        <w:rPr>
          <w:rFonts w:ascii="Times New Roman" w:hAnsi="Times New Roman"/>
          <w:color w:val="000000" w:themeColor="text1"/>
          <w:sz w:val="24"/>
          <w:szCs w:val="24"/>
        </w:rPr>
        <w:t>report</w:t>
      </w:r>
      <w:r w:rsidR="00FF6511">
        <w:rPr>
          <w:rFonts w:ascii="Times New Roman" w:hAnsi="Times New Roman"/>
          <w:color w:val="000000" w:themeColor="text1"/>
          <w:sz w:val="24"/>
          <w:szCs w:val="24"/>
        </w:rPr>
        <w:t>s</w:t>
      </w:r>
      <w:r w:rsidR="00444B6D">
        <w:rPr>
          <w:rFonts w:ascii="Times New Roman" w:hAnsi="Times New Roman"/>
          <w:color w:val="000000" w:themeColor="text1"/>
          <w:sz w:val="24"/>
          <w:szCs w:val="24"/>
        </w:rPr>
        <w:t xml:space="preserve"> </w:t>
      </w:r>
      <w:r w:rsidR="00FF6511">
        <w:rPr>
          <w:rFonts w:ascii="Times New Roman" w:hAnsi="Times New Roman"/>
          <w:color w:val="000000" w:themeColor="text1"/>
          <w:sz w:val="24"/>
          <w:szCs w:val="24"/>
        </w:rPr>
        <w:t>annually</w:t>
      </w:r>
      <w:r>
        <w:rPr>
          <w:rFonts w:ascii="Times New Roman" w:hAnsi="Times New Roman"/>
          <w:color w:val="000000" w:themeColor="text1"/>
          <w:sz w:val="24"/>
          <w:szCs w:val="24"/>
        </w:rPr>
        <w:t xml:space="preserve">. </w:t>
      </w:r>
      <w:r w:rsidR="00AE465F">
        <w:rPr>
          <w:rFonts w:ascii="Times New Roman" w:hAnsi="Times New Roman"/>
          <w:color w:val="000000" w:themeColor="text1"/>
          <w:sz w:val="24"/>
          <w:szCs w:val="24"/>
        </w:rPr>
        <w:t xml:space="preserve"> </w:t>
      </w:r>
    </w:p>
    <w:p w:rsidR="00DE529D" w:rsidRPr="004F7B95" w:rsidP="0073615C" w14:paraId="2744D4F5" w14:textId="77777777">
      <w:pPr>
        <w:widowControl/>
        <w:tabs>
          <w:tab w:val="num" w:pos="360"/>
        </w:tabs>
        <w:rPr>
          <w:rFonts w:ascii="Times New Roman" w:hAnsi="Times New Roman"/>
          <w:snapToGrid/>
          <w:sz w:val="24"/>
          <w:szCs w:val="24"/>
        </w:rPr>
      </w:pPr>
    </w:p>
    <w:p w:rsidR="009C2DE1" w:rsidRPr="00D5439C" w:rsidP="0073615C" w14:paraId="2936D2FA" w14:textId="588DEB50">
      <w:pPr>
        <w:widowControl/>
        <w:numPr>
          <w:ilvl w:val="0"/>
          <w:numId w:val="3"/>
        </w:numPr>
        <w:tabs>
          <w:tab w:val="num" w:pos="360"/>
        </w:tabs>
        <w:spacing w:after="120"/>
        <w:ind w:left="360"/>
        <w:rPr>
          <w:rFonts w:ascii="Times New Roman" w:hAnsi="Times New Roman"/>
          <w:snapToGrid/>
          <w:sz w:val="24"/>
          <w:szCs w:val="24"/>
        </w:rPr>
      </w:pPr>
      <w:r w:rsidRPr="00075889">
        <w:rPr>
          <w:rFonts w:ascii="Times New Roman" w:hAnsi="Times New Roman"/>
          <w:b/>
          <w:snapToGrid/>
          <w:sz w:val="24"/>
          <w:szCs w:val="24"/>
        </w:rPr>
        <w:t xml:space="preserve">Special Circumstances Relating to the Guidelines of 5 CFR 1320.5 </w:t>
      </w:r>
    </w:p>
    <w:p w:rsidR="00702E01" w:rsidRPr="004C6104" w:rsidP="00702E01" w14:paraId="2F3DBF9C" w14:textId="77777777">
      <w:pPr>
        <w:widowControl/>
        <w:tabs>
          <w:tab w:val="num" w:pos="360"/>
        </w:tabs>
        <w:ind w:left="360"/>
        <w:rPr>
          <w:rFonts w:ascii="Times New Roman" w:hAnsi="Times New Roman"/>
          <w:snapToGrid/>
          <w:sz w:val="24"/>
          <w:szCs w:val="24"/>
        </w:rPr>
      </w:pPr>
      <w:r>
        <w:rPr>
          <w:rFonts w:ascii="Times New Roman" w:hAnsi="Times New Roman"/>
          <w:color w:val="000000"/>
          <w:sz w:val="24"/>
          <w:szCs w:val="24"/>
        </w:rPr>
        <w:t xml:space="preserve">The </w:t>
      </w:r>
      <w:r w:rsidRPr="004C6104">
        <w:rPr>
          <w:rFonts w:ascii="Times New Roman" w:hAnsi="Times New Roman"/>
          <w:color w:val="000000"/>
          <w:sz w:val="24"/>
          <w:szCs w:val="24"/>
        </w:rPr>
        <w:t xml:space="preserve">CCDF regulations at Subpart K of 45 CFR, Part 98, require </w:t>
      </w:r>
      <w:r>
        <w:rPr>
          <w:rFonts w:ascii="Times New Roman" w:hAnsi="Times New Roman"/>
          <w:color w:val="000000"/>
          <w:sz w:val="24"/>
          <w:szCs w:val="24"/>
        </w:rPr>
        <w:t>s</w:t>
      </w:r>
      <w:r w:rsidRPr="004C6104">
        <w:rPr>
          <w:rFonts w:ascii="Times New Roman" w:hAnsi="Times New Roman"/>
          <w:color w:val="000000"/>
          <w:sz w:val="24"/>
          <w:szCs w:val="24"/>
        </w:rPr>
        <w:t>tates to maintain all records related to the Improper Payments Error Rate Review for five years.</w:t>
      </w:r>
    </w:p>
    <w:p w:rsidR="00DE529D" w:rsidP="00702E01" w14:paraId="46224D5D" w14:textId="77777777">
      <w:pPr>
        <w:widowControl/>
        <w:tabs>
          <w:tab w:val="num" w:pos="360"/>
        </w:tabs>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508A830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02E01">
        <w:rPr>
          <w:rFonts w:ascii="Times New Roman" w:hAnsi="Times New Roman"/>
          <w:sz w:val="24"/>
          <w:szCs w:val="24"/>
        </w:rPr>
        <w:t>November 11, 2024</w:t>
      </w:r>
      <w:r w:rsidRPr="004F7B95">
        <w:rPr>
          <w:rFonts w:ascii="Times New Roman" w:hAnsi="Times New Roman"/>
          <w:sz w:val="24"/>
          <w:szCs w:val="24"/>
        </w:rPr>
        <w:t xml:space="preserve">, Volume </w:t>
      </w:r>
      <w:r w:rsidR="00702E01">
        <w:rPr>
          <w:rFonts w:ascii="Times New Roman" w:hAnsi="Times New Roman"/>
          <w:sz w:val="24"/>
          <w:szCs w:val="24"/>
        </w:rPr>
        <w:t>89</w:t>
      </w:r>
      <w:r w:rsidRPr="004F7B95">
        <w:rPr>
          <w:rFonts w:ascii="Times New Roman" w:hAnsi="Times New Roman"/>
          <w:sz w:val="24"/>
          <w:szCs w:val="24"/>
        </w:rPr>
        <w:t>, Number</w:t>
      </w:r>
      <w:r w:rsidR="00551781">
        <w:rPr>
          <w:rFonts w:ascii="Times New Roman" w:hAnsi="Times New Roman"/>
          <w:sz w:val="24"/>
          <w:szCs w:val="24"/>
        </w:rPr>
        <w:t xml:space="preserve"> </w:t>
      </w:r>
      <w:r w:rsidR="00702E01">
        <w:rPr>
          <w:rFonts w:ascii="Times New Roman" w:hAnsi="Times New Roman"/>
          <w:sz w:val="24"/>
          <w:szCs w:val="24"/>
        </w:rPr>
        <w:t>221</w:t>
      </w:r>
      <w:r w:rsidRPr="004F7B95">
        <w:rPr>
          <w:rFonts w:ascii="Times New Roman" w:hAnsi="Times New Roman"/>
          <w:sz w:val="24"/>
          <w:szCs w:val="24"/>
        </w:rPr>
        <w:t>, page</w:t>
      </w:r>
      <w:r w:rsidR="00702E01">
        <w:rPr>
          <w:rFonts w:ascii="Times New Roman" w:hAnsi="Times New Roman"/>
          <w:sz w:val="24"/>
          <w:szCs w:val="24"/>
        </w:rPr>
        <w:t>s</w:t>
      </w:r>
      <w:r w:rsidRPr="004F7B95">
        <w:rPr>
          <w:rFonts w:ascii="Times New Roman" w:hAnsi="Times New Roman"/>
          <w:sz w:val="24"/>
          <w:szCs w:val="24"/>
        </w:rPr>
        <w:t xml:space="preserve"> </w:t>
      </w:r>
      <w:r w:rsidR="00702E01">
        <w:rPr>
          <w:rFonts w:ascii="Times New Roman" w:hAnsi="Times New Roman"/>
          <w:sz w:val="24"/>
          <w:szCs w:val="24"/>
        </w:rPr>
        <w:t>90294 - 90295</w:t>
      </w:r>
      <w:r w:rsidRPr="004F7B95">
        <w:rPr>
          <w:rFonts w:ascii="Times New Roman" w:hAnsi="Times New Roman"/>
          <w:sz w:val="24"/>
          <w:szCs w:val="24"/>
        </w:rPr>
        <w:t>, and provided a sixty-day period for public comment. During the notice and comment period</w:t>
      </w:r>
      <w:r w:rsidRPr="00855B13">
        <w:rPr>
          <w:rFonts w:ascii="Times New Roman" w:hAnsi="Times New Roman"/>
          <w:sz w:val="24"/>
          <w:szCs w:val="24"/>
        </w:rPr>
        <w:t xml:space="preserve">, </w:t>
      </w:r>
      <w:r w:rsidRPr="00D84B0A" w:rsidR="00C1622A">
        <w:rPr>
          <w:rFonts w:ascii="Times New Roman" w:hAnsi="Times New Roman"/>
          <w:sz w:val="24"/>
          <w:szCs w:val="24"/>
        </w:rPr>
        <w:t>two</w:t>
      </w:r>
      <w:r w:rsidRPr="00D84B0A">
        <w:rPr>
          <w:rFonts w:ascii="Times New Roman" w:hAnsi="Times New Roman"/>
          <w:sz w:val="24"/>
          <w:szCs w:val="24"/>
        </w:rPr>
        <w:t xml:space="preserve"> comment</w:t>
      </w:r>
      <w:r w:rsidRPr="00D84B0A" w:rsidR="00C1622A">
        <w:rPr>
          <w:rFonts w:ascii="Times New Roman" w:hAnsi="Times New Roman"/>
          <w:sz w:val="24"/>
          <w:szCs w:val="24"/>
        </w:rPr>
        <w:t>s</w:t>
      </w:r>
      <w:r w:rsidRPr="00D84B0A">
        <w:rPr>
          <w:rFonts w:ascii="Times New Roman" w:hAnsi="Times New Roman"/>
          <w:sz w:val="24"/>
          <w:szCs w:val="24"/>
        </w:rPr>
        <w:t xml:space="preserve"> were received, which </w:t>
      </w:r>
      <w:r w:rsidRPr="00D84B0A" w:rsidR="00576889">
        <w:rPr>
          <w:rFonts w:ascii="Times New Roman" w:hAnsi="Times New Roman"/>
          <w:sz w:val="24"/>
          <w:szCs w:val="24"/>
        </w:rPr>
        <w:t>are</w:t>
      </w:r>
      <w:r w:rsidRPr="00D84B0A">
        <w:rPr>
          <w:rFonts w:ascii="Times New Roman" w:hAnsi="Times New Roman"/>
          <w:sz w:val="24"/>
          <w:szCs w:val="24"/>
        </w:rPr>
        <w:t xml:space="preserve"> attached</w:t>
      </w:r>
      <w:r w:rsidRPr="00D84B0A" w:rsidR="00AD038C">
        <w:rPr>
          <w:rFonts w:ascii="Times New Roman" w:hAnsi="Times New Roman"/>
          <w:sz w:val="24"/>
          <w:szCs w:val="24"/>
        </w:rPr>
        <w:t xml:space="preserve"> (Attachment </w:t>
      </w:r>
      <w:r w:rsidR="00EA3CD1">
        <w:rPr>
          <w:rFonts w:ascii="Times New Roman" w:hAnsi="Times New Roman"/>
          <w:sz w:val="24"/>
          <w:szCs w:val="24"/>
        </w:rPr>
        <w:t>A</w:t>
      </w:r>
      <w:r w:rsidRPr="00D84B0A" w:rsidR="00AD038C">
        <w:rPr>
          <w:rFonts w:ascii="Times New Roman" w:hAnsi="Times New Roman"/>
          <w:sz w:val="24"/>
          <w:szCs w:val="24"/>
        </w:rPr>
        <w:t>)</w:t>
      </w:r>
      <w:r w:rsidRPr="00D84B0A">
        <w:rPr>
          <w:rFonts w:ascii="Times New Roman" w:hAnsi="Times New Roman"/>
          <w:sz w:val="24"/>
          <w:szCs w:val="24"/>
        </w:rPr>
        <w:t xml:space="preserve">. </w:t>
      </w:r>
      <w:r w:rsidR="00655F74">
        <w:rPr>
          <w:rFonts w:ascii="Times New Roman" w:hAnsi="Times New Roman"/>
          <w:sz w:val="24"/>
          <w:szCs w:val="24"/>
        </w:rPr>
        <w:t>One</w:t>
      </w:r>
      <w:r w:rsidR="005E1F76">
        <w:rPr>
          <w:rFonts w:ascii="Times New Roman" w:hAnsi="Times New Roman"/>
          <w:sz w:val="24"/>
          <w:szCs w:val="24"/>
        </w:rPr>
        <w:t xml:space="preserve"> comment </w:t>
      </w:r>
      <w:r w:rsidR="005D5B1B">
        <w:rPr>
          <w:rFonts w:ascii="Times New Roman" w:hAnsi="Times New Roman"/>
          <w:sz w:val="24"/>
          <w:szCs w:val="24"/>
        </w:rPr>
        <w:t xml:space="preserve">stated that the changes add clarity to the instructions and </w:t>
      </w:r>
      <w:r w:rsidR="00763265">
        <w:rPr>
          <w:rFonts w:ascii="Times New Roman" w:hAnsi="Times New Roman"/>
          <w:sz w:val="24"/>
          <w:szCs w:val="24"/>
        </w:rPr>
        <w:t xml:space="preserve">noted a technical </w:t>
      </w:r>
      <w:r w:rsidR="007C5FEC">
        <w:rPr>
          <w:rFonts w:ascii="Times New Roman" w:hAnsi="Times New Roman"/>
          <w:sz w:val="24"/>
          <w:szCs w:val="24"/>
        </w:rPr>
        <w:t>error, which OCC corrected</w:t>
      </w:r>
      <w:r w:rsidR="005D5B1B">
        <w:rPr>
          <w:rFonts w:ascii="Times New Roman" w:hAnsi="Times New Roman"/>
          <w:sz w:val="24"/>
          <w:szCs w:val="24"/>
        </w:rPr>
        <w:t xml:space="preserve">. </w:t>
      </w:r>
      <w:r w:rsidR="00710AEA">
        <w:rPr>
          <w:rFonts w:ascii="Times New Roman" w:hAnsi="Times New Roman"/>
          <w:sz w:val="24"/>
          <w:szCs w:val="24"/>
        </w:rPr>
        <w:t xml:space="preserve">The second comment </w:t>
      </w:r>
      <w:r w:rsidR="0074674D">
        <w:rPr>
          <w:rFonts w:ascii="Times New Roman" w:hAnsi="Times New Roman"/>
          <w:sz w:val="24"/>
          <w:szCs w:val="24"/>
        </w:rPr>
        <w:t>provided feedback on</w:t>
      </w:r>
      <w:r w:rsidR="00014FC1">
        <w:rPr>
          <w:rFonts w:ascii="Times New Roman" w:hAnsi="Times New Roman"/>
          <w:sz w:val="24"/>
          <w:szCs w:val="24"/>
        </w:rPr>
        <w:t xml:space="preserve"> OCC’s proposal to standardize the root causes of errors </w:t>
      </w:r>
      <w:r w:rsidR="009301CA">
        <w:rPr>
          <w:rFonts w:ascii="Times New Roman" w:hAnsi="Times New Roman"/>
          <w:sz w:val="24"/>
          <w:szCs w:val="24"/>
        </w:rPr>
        <w:t>in</w:t>
      </w:r>
      <w:r w:rsidR="00014FC1">
        <w:rPr>
          <w:rFonts w:ascii="Times New Roman" w:hAnsi="Times New Roman"/>
          <w:sz w:val="24"/>
          <w:szCs w:val="24"/>
        </w:rPr>
        <w:t xml:space="preserve"> the </w:t>
      </w:r>
      <w:r w:rsidRPr="00FE23CC" w:rsidR="00014FC1">
        <w:rPr>
          <w:rFonts w:ascii="Times New Roman" w:hAnsi="Times New Roman"/>
          <w:i/>
          <w:iCs/>
          <w:sz w:val="24"/>
          <w:szCs w:val="24"/>
        </w:rPr>
        <w:t>ACF-404 State Improper Payments Report</w:t>
      </w:r>
      <w:r w:rsidR="009301CA">
        <w:rPr>
          <w:rFonts w:ascii="Times New Roman" w:hAnsi="Times New Roman"/>
          <w:sz w:val="24"/>
          <w:szCs w:val="24"/>
        </w:rPr>
        <w:t xml:space="preserve">. </w:t>
      </w:r>
    </w:p>
    <w:p w:rsidR="009C2DE1" w:rsidRPr="004F7B95" w:rsidP="00022586" w14:paraId="5F44B472" w14:textId="77777777">
      <w:pPr>
        <w:widowControl/>
        <w:tabs>
          <w:tab w:val="num" w:pos="360"/>
        </w:tabs>
        <w:ind w:left="360"/>
        <w:rPr>
          <w:rFonts w:ascii="Times New Roman" w:hAnsi="Times New Roman"/>
          <w:snapToGrid/>
          <w:sz w:val="24"/>
          <w:szCs w:val="24"/>
        </w:rPr>
      </w:pPr>
    </w:p>
    <w:p w:rsidR="00022586" w:rsidP="000055EC" w14:paraId="1992C6A4" w14:textId="0D92ED99">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In addition, during the 60-day public comment period, OCC notified external stakeholders about the publication of this information collection in the Federal Register through an OCC Announcement and shared the information with staff from the ten ACF regional offices and technical assistance contractors who work directly with states.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702E01" w:rsidP="00702E01" w14:paraId="2BE8D099" w14:textId="0C3E229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 payments or gifts </w:t>
      </w:r>
      <w:r w:rsidR="00A53714">
        <w:rPr>
          <w:rFonts w:ascii="Times New Roman" w:hAnsi="Times New Roman"/>
          <w:snapToGrid/>
          <w:sz w:val="24"/>
          <w:szCs w:val="24"/>
        </w:rPr>
        <w:t>are</w:t>
      </w:r>
      <w:r>
        <w:rPr>
          <w:rFonts w:ascii="Times New Roman" w:hAnsi="Times New Roman"/>
          <w:snapToGrid/>
          <w:sz w:val="24"/>
          <w:szCs w:val="24"/>
        </w:rPr>
        <w:t xml:space="preserve"> provided to respondents. </w:t>
      </w:r>
    </w:p>
    <w:p w:rsidR="00D60543" w:rsidRPr="004F7B95" w:rsidP="00EC1D6C" w14:paraId="62113040" w14:textId="77777777">
      <w:pPr>
        <w:widowControl/>
        <w:tabs>
          <w:tab w:val="num" w:pos="360"/>
        </w:tabs>
        <w:rPr>
          <w:rFonts w:ascii="Times New Roman" w:hAnsi="Times New Roman"/>
          <w:snapToGrid/>
          <w:sz w:val="24"/>
          <w:szCs w:val="24"/>
        </w:rPr>
      </w:pPr>
    </w:p>
    <w:p w:rsidR="002C3C4F" w:rsidRPr="00075889" w:rsidP="0063615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6309D3" w:rsidRPr="004F7B95" w:rsidP="006309D3" w14:paraId="609BA7B1" w14:textId="77777777">
      <w:pPr>
        <w:widowControl/>
        <w:tabs>
          <w:tab w:val="num" w:pos="360"/>
        </w:tabs>
        <w:ind w:left="360"/>
        <w:rPr>
          <w:rFonts w:ascii="Times New Roman" w:hAnsi="Times New Roman"/>
          <w:snapToGrid/>
          <w:sz w:val="24"/>
          <w:szCs w:val="24"/>
        </w:rPr>
      </w:pPr>
      <w:r w:rsidRPr="00A74A36">
        <w:rPr>
          <w:rFonts w:ascii="Times New Roman" w:hAnsi="Times New Roman"/>
          <w:color w:val="000000"/>
          <w:sz w:val="24"/>
          <w:szCs w:val="24"/>
        </w:rPr>
        <w:t xml:space="preserve">This information collection does not </w:t>
      </w:r>
      <w:r>
        <w:rPr>
          <w:rFonts w:ascii="Times New Roman" w:hAnsi="Times New Roman"/>
          <w:color w:val="000000"/>
          <w:sz w:val="24"/>
          <w:szCs w:val="24"/>
        </w:rPr>
        <w:t xml:space="preserve">collect information of a confidential nature and therefore does not </w:t>
      </w:r>
      <w:r w:rsidRPr="00A74A36">
        <w:rPr>
          <w:rFonts w:ascii="Times New Roman" w:hAnsi="Times New Roman"/>
          <w:color w:val="000000"/>
          <w:sz w:val="24"/>
          <w:szCs w:val="24"/>
        </w:rPr>
        <w:t>require any assurance of confidentiality.</w:t>
      </w:r>
    </w:p>
    <w:p w:rsidR="00D60543" w:rsidP="00022586" w14:paraId="2748236F" w14:textId="77777777">
      <w:pPr>
        <w:widowControl/>
        <w:tabs>
          <w:tab w:val="num" w:pos="360"/>
        </w:tabs>
        <w:ind w:left="360"/>
        <w:rPr>
          <w:rFonts w:ascii="Times New Roman" w:hAnsi="Times New Roman"/>
          <w:snapToGrid/>
          <w:sz w:val="24"/>
          <w:szCs w:val="24"/>
        </w:rPr>
      </w:pPr>
    </w:p>
    <w:p w:rsidR="002C3C4F" w:rsidRPr="00075889" w:rsidP="0063615A"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309D3" w:rsidP="006309D3" w14:paraId="78579F08" w14:textId="77777777">
      <w:pPr>
        <w:widowControl/>
        <w:tabs>
          <w:tab w:val="num" w:pos="360"/>
        </w:tabs>
        <w:ind w:left="360"/>
        <w:rPr>
          <w:rFonts w:ascii="Times New Roman" w:hAnsi="Times New Roman"/>
          <w:snapToGrid/>
          <w:sz w:val="24"/>
          <w:szCs w:val="24"/>
        </w:rPr>
      </w:pPr>
      <w:r w:rsidRPr="00A01B2D">
        <w:rPr>
          <w:rFonts w:ascii="Times New Roman" w:hAnsi="Times New Roman"/>
          <w:color w:val="000000"/>
          <w:sz w:val="24"/>
          <w:szCs w:val="24"/>
        </w:rPr>
        <w:t xml:space="preserve">This data collection does not </w:t>
      </w:r>
      <w:r>
        <w:rPr>
          <w:rFonts w:ascii="Times New Roman" w:hAnsi="Times New Roman"/>
          <w:color w:val="000000"/>
          <w:sz w:val="24"/>
          <w:szCs w:val="24"/>
        </w:rPr>
        <w:t>include</w:t>
      </w:r>
      <w:r w:rsidRPr="00A01B2D">
        <w:rPr>
          <w:rFonts w:ascii="Times New Roman" w:hAnsi="Times New Roman"/>
          <w:color w:val="000000"/>
          <w:sz w:val="24"/>
          <w:szCs w:val="24"/>
        </w:rPr>
        <w:t xml:space="preserve"> questions of a sensitive nature.</w:t>
      </w:r>
    </w:p>
    <w:p w:rsidR="00DE529D" w:rsidP="00EC1D6C" w14:paraId="597B7A37" w14:textId="77777777">
      <w:pPr>
        <w:widowControl/>
        <w:tabs>
          <w:tab w:val="num" w:pos="360"/>
        </w:tabs>
        <w:rPr>
          <w:rFonts w:ascii="Times New Roman" w:hAnsi="Times New Roman"/>
          <w:snapToGrid/>
          <w:sz w:val="24"/>
          <w:szCs w:val="24"/>
        </w:rPr>
      </w:pPr>
    </w:p>
    <w:p w:rsidR="00DA1F31" w:rsidP="00EC1D6C" w14:paraId="0FBD2A0F" w14:textId="77777777">
      <w:pPr>
        <w:widowControl/>
        <w:tabs>
          <w:tab w:val="num" w:pos="360"/>
        </w:tabs>
        <w:rPr>
          <w:rFonts w:ascii="Times New Roman" w:hAnsi="Times New Roman"/>
          <w:snapToGrid/>
          <w:sz w:val="24"/>
          <w:szCs w:val="24"/>
        </w:rPr>
      </w:pPr>
    </w:p>
    <w:p w:rsidR="00DA1F31" w:rsidP="00EC1D6C" w14:paraId="02B5E6E4"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463977" w:rsidP="000055EC" w14:paraId="3138DF91" w14:textId="520742E3">
      <w:pPr>
        <w:widowControl/>
        <w:spacing w:after="60"/>
        <w:ind w:left="360"/>
        <w:rPr>
          <w:rFonts w:ascii="Times New Roman" w:hAnsi="Times New Roman"/>
          <w:snapToGrid/>
          <w:sz w:val="24"/>
          <w:szCs w:val="24"/>
        </w:rPr>
      </w:pPr>
      <w:r>
        <w:rPr>
          <w:rFonts w:ascii="Times New Roman" w:hAnsi="Times New Roman"/>
          <w:snapToGrid/>
          <w:sz w:val="24"/>
          <w:szCs w:val="24"/>
        </w:rPr>
        <w:t xml:space="preserve">CCDF </w:t>
      </w:r>
      <w:r w:rsidR="00DA360E">
        <w:rPr>
          <w:rFonts w:ascii="Times New Roman" w:hAnsi="Times New Roman"/>
          <w:snapToGrid/>
          <w:sz w:val="24"/>
          <w:szCs w:val="24"/>
        </w:rPr>
        <w:t>Lead Agencies</w:t>
      </w:r>
      <w:r>
        <w:rPr>
          <w:rFonts w:ascii="Times New Roman" w:hAnsi="Times New Roman"/>
          <w:snapToGrid/>
          <w:sz w:val="24"/>
          <w:szCs w:val="24"/>
        </w:rPr>
        <w:t xml:space="preserve"> from </w:t>
      </w:r>
      <w:r w:rsidR="009F56A4">
        <w:rPr>
          <w:rFonts w:ascii="Times New Roman" w:hAnsi="Times New Roman"/>
          <w:snapToGrid/>
          <w:sz w:val="24"/>
          <w:szCs w:val="24"/>
        </w:rPr>
        <w:t xml:space="preserve">all </w:t>
      </w:r>
      <w:r>
        <w:rPr>
          <w:rFonts w:ascii="Times New Roman" w:hAnsi="Times New Roman"/>
          <w:snapToGrid/>
          <w:sz w:val="24"/>
          <w:szCs w:val="24"/>
        </w:rPr>
        <w:t>s</w:t>
      </w:r>
      <w:r w:rsidR="006309D3">
        <w:rPr>
          <w:rFonts w:ascii="Times New Roman" w:hAnsi="Times New Roman"/>
          <w:snapToGrid/>
          <w:sz w:val="24"/>
          <w:szCs w:val="24"/>
        </w:rPr>
        <w:t xml:space="preserve">tates, the District of Columbia, and Puerto Rico </w:t>
      </w:r>
      <w:r w:rsidR="009D1553">
        <w:rPr>
          <w:rFonts w:ascii="Times New Roman" w:hAnsi="Times New Roman"/>
          <w:snapToGrid/>
          <w:sz w:val="24"/>
          <w:szCs w:val="24"/>
        </w:rPr>
        <w:t xml:space="preserve">are required to </w:t>
      </w:r>
      <w:r w:rsidR="006309D3">
        <w:rPr>
          <w:rFonts w:ascii="Times New Roman" w:hAnsi="Times New Roman"/>
          <w:snapToGrid/>
          <w:sz w:val="24"/>
          <w:szCs w:val="24"/>
        </w:rPr>
        <w:t>complete the error rate review every three years on a rotational cycle</w:t>
      </w:r>
      <w:r w:rsidR="00D1261E">
        <w:rPr>
          <w:rFonts w:ascii="Times New Roman" w:hAnsi="Times New Roman"/>
          <w:snapToGrid/>
          <w:sz w:val="24"/>
          <w:szCs w:val="24"/>
        </w:rPr>
        <w:t xml:space="preserve">, including submission of the reports included </w:t>
      </w:r>
      <w:r w:rsidR="000055EC">
        <w:rPr>
          <w:rFonts w:ascii="Times New Roman" w:hAnsi="Times New Roman"/>
          <w:snapToGrid/>
          <w:sz w:val="24"/>
          <w:szCs w:val="24"/>
        </w:rPr>
        <w:t>in this</w:t>
      </w:r>
      <w:r w:rsidR="00D1261E">
        <w:rPr>
          <w:rFonts w:ascii="Times New Roman" w:hAnsi="Times New Roman"/>
          <w:snapToGrid/>
          <w:sz w:val="24"/>
          <w:szCs w:val="24"/>
        </w:rPr>
        <w:t xml:space="preserve"> </w:t>
      </w:r>
      <w:r w:rsidR="00816C90">
        <w:rPr>
          <w:rFonts w:ascii="Times New Roman" w:hAnsi="Times New Roman"/>
          <w:snapToGrid/>
          <w:sz w:val="24"/>
          <w:szCs w:val="24"/>
        </w:rPr>
        <w:t xml:space="preserve">information </w:t>
      </w:r>
      <w:r w:rsidR="00D1261E">
        <w:rPr>
          <w:rFonts w:ascii="Times New Roman" w:hAnsi="Times New Roman"/>
          <w:snapToGrid/>
          <w:sz w:val="24"/>
          <w:szCs w:val="24"/>
        </w:rPr>
        <w:t xml:space="preserve">collection (SDAP, RRW, </w:t>
      </w:r>
      <w:r w:rsidRPr="00EC1D6C" w:rsidR="000055EC">
        <w:rPr>
          <w:rFonts w:ascii="Times New Roman" w:hAnsi="Times New Roman"/>
          <w:i/>
          <w:iCs/>
          <w:snapToGrid/>
          <w:sz w:val="24"/>
          <w:szCs w:val="24"/>
        </w:rPr>
        <w:t>State Improper Payments Report</w:t>
      </w:r>
      <w:r w:rsidR="00D1261E">
        <w:rPr>
          <w:rFonts w:ascii="Times New Roman" w:hAnsi="Times New Roman"/>
          <w:snapToGrid/>
          <w:sz w:val="24"/>
          <w:szCs w:val="24"/>
        </w:rPr>
        <w:t xml:space="preserve">, </w:t>
      </w:r>
      <w:r w:rsidR="00FD0271">
        <w:rPr>
          <w:rFonts w:ascii="Times New Roman" w:hAnsi="Times New Roman"/>
          <w:snapToGrid/>
          <w:sz w:val="24"/>
          <w:szCs w:val="24"/>
        </w:rPr>
        <w:t xml:space="preserve">and the </w:t>
      </w:r>
      <w:r w:rsidR="000055EC">
        <w:rPr>
          <w:rFonts w:ascii="Times New Roman" w:hAnsi="Times New Roman"/>
          <w:snapToGrid/>
          <w:sz w:val="24"/>
          <w:szCs w:val="24"/>
        </w:rPr>
        <w:t>CAP</w:t>
      </w:r>
      <w:r w:rsidR="00D1261E">
        <w:rPr>
          <w:rFonts w:ascii="Times New Roman" w:hAnsi="Times New Roman"/>
          <w:snapToGrid/>
          <w:sz w:val="24"/>
          <w:szCs w:val="24"/>
        </w:rPr>
        <w:t xml:space="preserve"> as applicable). </w:t>
      </w:r>
      <w:r w:rsidR="00816C90">
        <w:rPr>
          <w:rFonts w:ascii="Times New Roman" w:hAnsi="Times New Roman"/>
          <w:snapToGrid/>
          <w:sz w:val="24"/>
          <w:szCs w:val="24"/>
        </w:rPr>
        <w:t xml:space="preserve">The public reporting burden </w:t>
      </w:r>
      <w:r w:rsidR="00E3793E">
        <w:rPr>
          <w:rFonts w:ascii="Times New Roman" w:hAnsi="Times New Roman"/>
          <w:snapToGrid/>
          <w:sz w:val="24"/>
          <w:szCs w:val="24"/>
        </w:rPr>
        <w:t xml:space="preserve">estimates </w:t>
      </w:r>
      <w:r w:rsidR="00816C90">
        <w:rPr>
          <w:rFonts w:ascii="Times New Roman" w:hAnsi="Times New Roman"/>
          <w:snapToGrid/>
          <w:sz w:val="24"/>
          <w:szCs w:val="24"/>
        </w:rPr>
        <w:t xml:space="preserve">for this information collection </w:t>
      </w:r>
      <w:r w:rsidR="00DA360E">
        <w:rPr>
          <w:rFonts w:ascii="Times New Roman" w:hAnsi="Times New Roman"/>
          <w:snapToGrid/>
          <w:sz w:val="24"/>
          <w:szCs w:val="24"/>
        </w:rPr>
        <w:t xml:space="preserve">include time for Lead Agencies to review instructions, gather and maintain the data needed, </w:t>
      </w:r>
      <w:r w:rsidR="00D04A76">
        <w:rPr>
          <w:rFonts w:ascii="Times New Roman" w:hAnsi="Times New Roman"/>
          <w:snapToGrid/>
          <w:sz w:val="24"/>
          <w:szCs w:val="24"/>
        </w:rPr>
        <w:t xml:space="preserve">and complete and submit the reports to OCC. </w:t>
      </w:r>
    </w:p>
    <w:p w:rsidR="000055EC" w:rsidP="00D84B0A" w14:paraId="0089E7A9" w14:textId="77777777">
      <w:pPr>
        <w:widowControl/>
        <w:ind w:left="360"/>
        <w:rPr>
          <w:rFonts w:ascii="Times New Roman" w:hAnsi="Times New Roman"/>
          <w:snapToGrid/>
          <w:sz w:val="24"/>
          <w:szCs w:val="24"/>
        </w:rPr>
      </w:pPr>
    </w:p>
    <w:p w:rsidR="008B3DE5" w:rsidP="5A42027D" w14:paraId="08EC5D78" w14:textId="2D3943B6">
      <w:pPr>
        <w:widowControl/>
        <w:spacing w:after="60"/>
        <w:ind w:left="360"/>
        <w:rPr>
          <w:rFonts w:ascii="Times New Roman" w:hAnsi="Times New Roman"/>
          <w:snapToGrid/>
          <w:sz w:val="24"/>
          <w:szCs w:val="24"/>
        </w:rPr>
      </w:pPr>
      <w:r>
        <w:rPr>
          <w:rFonts w:ascii="Times New Roman" w:hAnsi="Times New Roman"/>
          <w:snapToGrid/>
          <w:sz w:val="24"/>
          <w:szCs w:val="24"/>
        </w:rPr>
        <w:t>OCC proposes to revise the estimated burden hours for this data collection</w:t>
      </w:r>
      <w:r w:rsidR="00044235">
        <w:rPr>
          <w:rFonts w:ascii="Times New Roman" w:hAnsi="Times New Roman"/>
          <w:snapToGrid/>
          <w:sz w:val="24"/>
          <w:szCs w:val="24"/>
        </w:rPr>
        <w:t xml:space="preserve"> </w:t>
      </w:r>
      <w:r w:rsidR="00B04454">
        <w:rPr>
          <w:rFonts w:ascii="Times New Roman" w:hAnsi="Times New Roman"/>
          <w:snapToGrid/>
          <w:sz w:val="24"/>
          <w:szCs w:val="24"/>
        </w:rPr>
        <w:t>based on the results of a survey conducted with CCDF grantees in spring 2024</w:t>
      </w:r>
      <w:r w:rsidR="0005229F">
        <w:rPr>
          <w:rFonts w:ascii="Times New Roman" w:hAnsi="Times New Roman"/>
          <w:snapToGrid/>
          <w:sz w:val="24"/>
          <w:szCs w:val="24"/>
        </w:rPr>
        <w:t xml:space="preserve">. </w:t>
      </w:r>
      <w:r w:rsidR="00B5443C">
        <w:rPr>
          <w:rFonts w:ascii="Times New Roman" w:hAnsi="Times New Roman"/>
          <w:snapToGrid/>
          <w:sz w:val="24"/>
          <w:szCs w:val="24"/>
        </w:rPr>
        <w:t>The</w:t>
      </w:r>
      <w:r w:rsidR="00C93008">
        <w:rPr>
          <w:rFonts w:ascii="Times New Roman" w:hAnsi="Times New Roman"/>
          <w:snapToGrid/>
          <w:sz w:val="24"/>
          <w:szCs w:val="24"/>
        </w:rPr>
        <w:t xml:space="preserve"> current burden hours ha</w:t>
      </w:r>
      <w:r w:rsidR="004B6A3A">
        <w:rPr>
          <w:rFonts w:ascii="Times New Roman" w:hAnsi="Times New Roman"/>
          <w:snapToGrid/>
          <w:sz w:val="24"/>
          <w:szCs w:val="24"/>
        </w:rPr>
        <w:t>ve</w:t>
      </w:r>
      <w:r w:rsidR="00C93008">
        <w:rPr>
          <w:rFonts w:ascii="Times New Roman" w:hAnsi="Times New Roman"/>
          <w:snapToGrid/>
          <w:sz w:val="24"/>
          <w:szCs w:val="24"/>
        </w:rPr>
        <w:t xml:space="preserve"> not been revised for several years</w:t>
      </w:r>
      <w:r w:rsidR="006E7B82">
        <w:rPr>
          <w:rFonts w:ascii="Times New Roman" w:hAnsi="Times New Roman"/>
          <w:snapToGrid/>
          <w:sz w:val="24"/>
          <w:szCs w:val="24"/>
        </w:rPr>
        <w:t xml:space="preserve"> and many factors have changed since state</w:t>
      </w:r>
      <w:r w:rsidR="00F83533">
        <w:rPr>
          <w:rFonts w:ascii="Times New Roman" w:hAnsi="Times New Roman"/>
          <w:snapToGrid/>
          <w:sz w:val="24"/>
          <w:szCs w:val="24"/>
        </w:rPr>
        <w:t>s</w:t>
      </w:r>
      <w:r w:rsidR="006E7B82">
        <w:rPr>
          <w:rFonts w:ascii="Times New Roman" w:hAnsi="Times New Roman"/>
          <w:snapToGrid/>
          <w:sz w:val="24"/>
          <w:szCs w:val="24"/>
        </w:rPr>
        <w:t xml:space="preserve"> first began completing CCDF error rate reviews</w:t>
      </w:r>
      <w:r w:rsidR="00B26949">
        <w:rPr>
          <w:rFonts w:ascii="Times New Roman" w:hAnsi="Times New Roman"/>
          <w:snapToGrid/>
          <w:sz w:val="24"/>
          <w:szCs w:val="24"/>
        </w:rPr>
        <w:t xml:space="preserve">, </w:t>
      </w:r>
      <w:r w:rsidR="00B5443C">
        <w:rPr>
          <w:rFonts w:ascii="Times New Roman" w:hAnsi="Times New Roman"/>
          <w:snapToGrid/>
          <w:sz w:val="24"/>
          <w:szCs w:val="24"/>
        </w:rPr>
        <w:t xml:space="preserve">such as </w:t>
      </w:r>
      <w:r w:rsidR="006E7B82">
        <w:rPr>
          <w:rFonts w:ascii="Times New Roman" w:hAnsi="Times New Roman"/>
          <w:snapToGrid/>
          <w:sz w:val="24"/>
          <w:szCs w:val="24"/>
        </w:rPr>
        <w:t>increased use of technology</w:t>
      </w:r>
      <w:r w:rsidR="00044235">
        <w:rPr>
          <w:rFonts w:ascii="Times New Roman" w:hAnsi="Times New Roman"/>
          <w:snapToGrid/>
          <w:sz w:val="24"/>
          <w:szCs w:val="24"/>
        </w:rPr>
        <w:t xml:space="preserve"> to collect and report data</w:t>
      </w:r>
      <w:r w:rsidR="001F7A33">
        <w:rPr>
          <w:rFonts w:ascii="Times New Roman" w:hAnsi="Times New Roman"/>
          <w:snapToGrid/>
          <w:sz w:val="24"/>
          <w:szCs w:val="24"/>
        </w:rPr>
        <w:t xml:space="preserve"> and </w:t>
      </w:r>
      <w:r w:rsidR="00462382">
        <w:rPr>
          <w:rFonts w:ascii="Times New Roman" w:hAnsi="Times New Roman"/>
          <w:snapToGrid/>
          <w:sz w:val="24"/>
          <w:szCs w:val="24"/>
        </w:rPr>
        <w:t>greater capacity at the state level to conduct reviews</w:t>
      </w:r>
      <w:r w:rsidR="00B5443C">
        <w:rPr>
          <w:rFonts w:ascii="Times New Roman" w:hAnsi="Times New Roman"/>
          <w:snapToGrid/>
          <w:sz w:val="24"/>
          <w:szCs w:val="24"/>
        </w:rPr>
        <w:t xml:space="preserve">. For this reason, </w:t>
      </w:r>
      <w:r w:rsidR="00B26949">
        <w:rPr>
          <w:rFonts w:ascii="Times New Roman" w:hAnsi="Times New Roman"/>
          <w:snapToGrid/>
          <w:sz w:val="24"/>
          <w:szCs w:val="24"/>
        </w:rPr>
        <w:t xml:space="preserve">OCC </w:t>
      </w:r>
      <w:r w:rsidR="001E5FAC">
        <w:rPr>
          <w:rFonts w:ascii="Times New Roman" w:hAnsi="Times New Roman"/>
          <w:snapToGrid/>
          <w:sz w:val="24"/>
          <w:szCs w:val="24"/>
        </w:rPr>
        <w:t>created and distributed a voluntary survey (OMB #0970-0401) to</w:t>
      </w:r>
      <w:r w:rsidR="00A56D5A">
        <w:rPr>
          <w:rFonts w:ascii="Times New Roman" w:hAnsi="Times New Roman"/>
          <w:snapToGrid/>
          <w:sz w:val="24"/>
          <w:szCs w:val="24"/>
        </w:rPr>
        <w:t xml:space="preserve"> gather information </w:t>
      </w:r>
      <w:r w:rsidR="006D1B53">
        <w:rPr>
          <w:rFonts w:ascii="Times New Roman" w:hAnsi="Times New Roman"/>
          <w:snapToGrid/>
          <w:sz w:val="24"/>
          <w:szCs w:val="24"/>
        </w:rPr>
        <w:t xml:space="preserve">from states </w:t>
      </w:r>
      <w:r w:rsidR="00A56D5A">
        <w:rPr>
          <w:rFonts w:ascii="Times New Roman" w:hAnsi="Times New Roman"/>
          <w:snapToGrid/>
          <w:sz w:val="24"/>
          <w:szCs w:val="24"/>
        </w:rPr>
        <w:t xml:space="preserve">about their experiences completing the error rate reports, including the estimated burden hours </w:t>
      </w:r>
      <w:r w:rsidR="00393896">
        <w:rPr>
          <w:rFonts w:ascii="Times New Roman" w:hAnsi="Times New Roman"/>
          <w:snapToGrid/>
          <w:sz w:val="24"/>
          <w:szCs w:val="24"/>
        </w:rPr>
        <w:t xml:space="preserve">to complete </w:t>
      </w:r>
      <w:r w:rsidR="00A56D5A">
        <w:rPr>
          <w:rFonts w:ascii="Times New Roman" w:hAnsi="Times New Roman"/>
          <w:snapToGrid/>
          <w:sz w:val="24"/>
          <w:szCs w:val="24"/>
        </w:rPr>
        <w:t xml:space="preserve">each report. </w:t>
      </w:r>
    </w:p>
    <w:p w:rsidR="00463977" w:rsidP="00D84B0A" w14:paraId="60B0A30F" w14:textId="77777777">
      <w:pPr>
        <w:widowControl/>
        <w:ind w:left="360"/>
        <w:rPr>
          <w:rFonts w:ascii="Times New Roman" w:hAnsi="Times New Roman"/>
          <w:snapToGrid/>
          <w:sz w:val="24"/>
          <w:szCs w:val="24"/>
        </w:rPr>
      </w:pPr>
    </w:p>
    <w:p w:rsidR="00463977" w:rsidRPr="00463977" w:rsidP="00463977" w14:paraId="2E02060E" w14:textId="3E965284">
      <w:pPr>
        <w:widowControl/>
        <w:spacing w:after="60"/>
        <w:ind w:left="360"/>
        <w:rPr>
          <w:rFonts w:ascii="Times New Roman" w:hAnsi="Times New Roman"/>
          <w:snapToGrid/>
          <w:sz w:val="24"/>
          <w:szCs w:val="24"/>
        </w:rPr>
      </w:pPr>
      <w:r>
        <w:rPr>
          <w:rFonts w:ascii="Times New Roman" w:hAnsi="Times New Roman"/>
          <w:snapToGrid/>
          <w:sz w:val="24"/>
          <w:szCs w:val="24"/>
        </w:rPr>
        <w:t xml:space="preserve">The survey was sent to </w:t>
      </w:r>
      <w:r w:rsidR="00E74EBC">
        <w:rPr>
          <w:rFonts w:ascii="Times New Roman" w:hAnsi="Times New Roman"/>
          <w:snapToGrid/>
          <w:sz w:val="24"/>
          <w:szCs w:val="24"/>
        </w:rPr>
        <w:t>all</w:t>
      </w:r>
      <w:r w:rsidR="006A7E9D">
        <w:rPr>
          <w:rFonts w:ascii="Times New Roman" w:hAnsi="Times New Roman"/>
          <w:snapToGrid/>
          <w:sz w:val="24"/>
          <w:szCs w:val="24"/>
        </w:rPr>
        <w:t xml:space="preserve"> </w:t>
      </w:r>
      <w:r w:rsidR="009057B3">
        <w:rPr>
          <w:rFonts w:ascii="Times New Roman" w:hAnsi="Times New Roman"/>
          <w:snapToGrid/>
          <w:sz w:val="24"/>
          <w:szCs w:val="24"/>
        </w:rPr>
        <w:t xml:space="preserve">CCDF </w:t>
      </w:r>
      <w:r w:rsidR="00E74EBC">
        <w:rPr>
          <w:rFonts w:ascii="Times New Roman" w:hAnsi="Times New Roman"/>
          <w:snapToGrid/>
          <w:sz w:val="24"/>
          <w:szCs w:val="24"/>
        </w:rPr>
        <w:t xml:space="preserve">Lead Agency </w:t>
      </w:r>
      <w:r w:rsidR="00757EC5">
        <w:rPr>
          <w:rFonts w:ascii="Times New Roman" w:hAnsi="Times New Roman"/>
          <w:snapToGrid/>
          <w:sz w:val="24"/>
          <w:szCs w:val="24"/>
        </w:rPr>
        <w:t>grantees</w:t>
      </w:r>
      <w:r w:rsidR="009057B3">
        <w:rPr>
          <w:rFonts w:ascii="Times New Roman" w:hAnsi="Times New Roman"/>
          <w:snapToGrid/>
          <w:sz w:val="24"/>
          <w:szCs w:val="24"/>
        </w:rPr>
        <w:t xml:space="preserve"> required to submit the error rate reports</w:t>
      </w:r>
      <w:r w:rsidR="006A7E9D">
        <w:rPr>
          <w:rFonts w:ascii="Times New Roman" w:hAnsi="Times New Roman"/>
          <w:snapToGrid/>
          <w:sz w:val="24"/>
          <w:szCs w:val="24"/>
        </w:rPr>
        <w:t xml:space="preserve">. OCC </w:t>
      </w:r>
      <w:r w:rsidR="00757EC5">
        <w:rPr>
          <w:rFonts w:ascii="Times New Roman" w:hAnsi="Times New Roman"/>
          <w:snapToGrid/>
          <w:sz w:val="24"/>
          <w:szCs w:val="24"/>
        </w:rPr>
        <w:t xml:space="preserve">received responses from 56 percent </w:t>
      </w:r>
      <w:r w:rsidR="00E74EBC">
        <w:rPr>
          <w:rFonts w:ascii="Times New Roman" w:hAnsi="Times New Roman"/>
          <w:snapToGrid/>
          <w:sz w:val="24"/>
          <w:szCs w:val="24"/>
        </w:rPr>
        <w:t xml:space="preserve">of </w:t>
      </w:r>
      <w:r w:rsidR="003659DC">
        <w:rPr>
          <w:rFonts w:ascii="Times New Roman" w:hAnsi="Times New Roman"/>
          <w:snapToGrid/>
          <w:sz w:val="24"/>
          <w:szCs w:val="24"/>
        </w:rPr>
        <w:t xml:space="preserve">invited participants </w:t>
      </w:r>
      <w:r w:rsidR="00757EC5">
        <w:rPr>
          <w:rFonts w:ascii="Times New Roman" w:hAnsi="Times New Roman"/>
          <w:snapToGrid/>
          <w:sz w:val="24"/>
          <w:szCs w:val="24"/>
        </w:rPr>
        <w:t>(29 out of 52</w:t>
      </w:r>
      <w:r w:rsidR="00F9783F">
        <w:rPr>
          <w:rFonts w:ascii="Times New Roman" w:hAnsi="Times New Roman"/>
          <w:snapToGrid/>
          <w:sz w:val="24"/>
          <w:szCs w:val="24"/>
        </w:rPr>
        <w:t xml:space="preserve"> Lead Agencies</w:t>
      </w:r>
      <w:r w:rsidR="00CF6DB6">
        <w:rPr>
          <w:rFonts w:ascii="Times New Roman" w:hAnsi="Times New Roman"/>
          <w:snapToGrid/>
          <w:sz w:val="24"/>
          <w:szCs w:val="24"/>
        </w:rPr>
        <w:t>)</w:t>
      </w:r>
      <w:r w:rsidR="00F9783F">
        <w:rPr>
          <w:rFonts w:ascii="Times New Roman" w:hAnsi="Times New Roman"/>
          <w:snapToGrid/>
          <w:sz w:val="24"/>
          <w:szCs w:val="24"/>
        </w:rPr>
        <w:t xml:space="preserve">. Respondents represented a geographically diverse group of states </w:t>
      </w:r>
      <w:r w:rsidR="00450761">
        <w:rPr>
          <w:rFonts w:ascii="Times New Roman" w:hAnsi="Times New Roman"/>
          <w:snapToGrid/>
          <w:sz w:val="24"/>
          <w:szCs w:val="24"/>
        </w:rPr>
        <w:t xml:space="preserve">(states from all </w:t>
      </w:r>
      <w:r w:rsidR="009B4BFA">
        <w:rPr>
          <w:rFonts w:ascii="Times New Roman" w:hAnsi="Times New Roman"/>
          <w:snapToGrid/>
          <w:sz w:val="24"/>
          <w:szCs w:val="24"/>
        </w:rPr>
        <w:t xml:space="preserve">ten </w:t>
      </w:r>
      <w:r w:rsidR="00450761">
        <w:rPr>
          <w:rFonts w:ascii="Times New Roman" w:hAnsi="Times New Roman"/>
          <w:snapToGrid/>
          <w:sz w:val="24"/>
          <w:szCs w:val="24"/>
        </w:rPr>
        <w:t>ACF Regions) and</w:t>
      </w:r>
      <w:r w:rsidR="00F9783F">
        <w:rPr>
          <w:rFonts w:ascii="Times New Roman" w:hAnsi="Times New Roman"/>
          <w:snapToGrid/>
          <w:sz w:val="24"/>
          <w:szCs w:val="24"/>
        </w:rPr>
        <w:t xml:space="preserve"> range</w:t>
      </w:r>
      <w:r w:rsidR="00450761">
        <w:rPr>
          <w:rFonts w:ascii="Times New Roman" w:hAnsi="Times New Roman"/>
          <w:snapToGrid/>
          <w:sz w:val="24"/>
          <w:szCs w:val="24"/>
        </w:rPr>
        <w:t>d</w:t>
      </w:r>
      <w:r w:rsidR="00F9783F">
        <w:rPr>
          <w:rFonts w:ascii="Times New Roman" w:hAnsi="Times New Roman"/>
          <w:snapToGrid/>
          <w:sz w:val="24"/>
          <w:szCs w:val="24"/>
        </w:rPr>
        <w:t xml:space="preserve"> in size </w:t>
      </w:r>
      <w:r w:rsidR="00DD11B0">
        <w:rPr>
          <w:rFonts w:ascii="Times New Roman" w:hAnsi="Times New Roman"/>
          <w:snapToGrid/>
          <w:sz w:val="24"/>
          <w:szCs w:val="24"/>
        </w:rPr>
        <w:t>(</w:t>
      </w:r>
      <w:r w:rsidR="00F9783F">
        <w:rPr>
          <w:rFonts w:ascii="Times New Roman" w:hAnsi="Times New Roman"/>
          <w:snapToGrid/>
          <w:sz w:val="24"/>
          <w:szCs w:val="24"/>
        </w:rPr>
        <w:t>defined by the numbers of children</w:t>
      </w:r>
      <w:r w:rsidR="00026787">
        <w:rPr>
          <w:rFonts w:ascii="Times New Roman" w:hAnsi="Times New Roman"/>
          <w:snapToGrid/>
          <w:sz w:val="24"/>
          <w:szCs w:val="24"/>
        </w:rPr>
        <w:t xml:space="preserve"> and families served by CCDF</w:t>
      </w:r>
      <w:r w:rsidR="00DD11B0">
        <w:rPr>
          <w:rFonts w:ascii="Times New Roman" w:hAnsi="Times New Roman"/>
          <w:snapToGrid/>
          <w:sz w:val="24"/>
          <w:szCs w:val="24"/>
        </w:rPr>
        <w:t>)</w:t>
      </w:r>
      <w:r w:rsidR="00026787">
        <w:rPr>
          <w:rFonts w:ascii="Times New Roman" w:hAnsi="Times New Roman"/>
          <w:snapToGrid/>
          <w:sz w:val="24"/>
          <w:szCs w:val="24"/>
        </w:rPr>
        <w:t>.</w:t>
      </w:r>
      <w:r w:rsidR="00DD11B0">
        <w:rPr>
          <w:rFonts w:ascii="Times New Roman" w:hAnsi="Times New Roman"/>
          <w:snapToGrid/>
          <w:sz w:val="24"/>
          <w:szCs w:val="24"/>
        </w:rPr>
        <w:t xml:space="preserve"> </w:t>
      </w:r>
      <w:r w:rsidRPr="00463977">
        <w:rPr>
          <w:rFonts w:ascii="Times New Roman" w:hAnsi="Times New Roman"/>
          <w:sz w:val="24"/>
          <w:szCs w:val="24"/>
        </w:rPr>
        <w:t xml:space="preserve">There were expected variations in responses which </w:t>
      </w:r>
      <w:r w:rsidR="00047388">
        <w:rPr>
          <w:rFonts w:ascii="Times New Roman" w:hAnsi="Times New Roman"/>
          <w:sz w:val="24"/>
          <w:szCs w:val="24"/>
        </w:rPr>
        <w:t xml:space="preserve">likely </w:t>
      </w:r>
      <w:r w:rsidRPr="00463977">
        <w:rPr>
          <w:rFonts w:ascii="Times New Roman" w:hAnsi="Times New Roman"/>
          <w:sz w:val="24"/>
          <w:szCs w:val="24"/>
        </w:rPr>
        <w:t xml:space="preserve">reflect differences in states’ administrative structures and complexity, staff capacity, reporting technology, interpretation of the survey questions, and other factors. However, even considering the range of responses and any outliers, OCC determined that the burden hours estimates should be lowered to reflect the survey results. In addition, to more accurately account for the work described by survey respondents, OCC further broke out the estimated burden hours for the RRW into two parts: (1) the estimated hours needed for states to customize the standard RRW template to reflect their state’s rules, policies, and procedures; and (2) the estimated hours needed for states to use the customized RRW to conduct each of the 276 case reviews. </w:t>
      </w:r>
      <w:r w:rsidR="008A0F04">
        <w:rPr>
          <w:rFonts w:ascii="Times New Roman" w:hAnsi="Times New Roman"/>
          <w:sz w:val="24"/>
          <w:szCs w:val="24"/>
        </w:rPr>
        <w:t>The</w:t>
      </w:r>
      <w:r w:rsidR="00355A35">
        <w:rPr>
          <w:rFonts w:ascii="Times New Roman" w:hAnsi="Times New Roman"/>
          <w:sz w:val="24"/>
          <w:szCs w:val="24"/>
        </w:rPr>
        <w:t xml:space="preserve"> survey </w:t>
      </w:r>
      <w:r w:rsidR="00754884">
        <w:rPr>
          <w:rFonts w:ascii="Times New Roman" w:hAnsi="Times New Roman"/>
          <w:sz w:val="24"/>
          <w:szCs w:val="24"/>
        </w:rPr>
        <w:t>requested feedback on</w:t>
      </w:r>
      <w:r w:rsidR="00355A35">
        <w:rPr>
          <w:rFonts w:ascii="Times New Roman" w:hAnsi="Times New Roman"/>
          <w:sz w:val="24"/>
          <w:szCs w:val="24"/>
        </w:rPr>
        <w:t xml:space="preserve"> the </w:t>
      </w:r>
      <w:r w:rsidR="00754884">
        <w:rPr>
          <w:rFonts w:ascii="Times New Roman" w:hAnsi="Times New Roman"/>
          <w:sz w:val="24"/>
          <w:szCs w:val="24"/>
        </w:rPr>
        <w:t xml:space="preserve">forms in </w:t>
      </w:r>
      <w:r w:rsidR="008A0F04">
        <w:rPr>
          <w:rFonts w:ascii="Times New Roman" w:hAnsi="Times New Roman"/>
          <w:sz w:val="24"/>
          <w:szCs w:val="24"/>
        </w:rPr>
        <w:t xml:space="preserve">the </w:t>
      </w:r>
      <w:r w:rsidR="00355A35">
        <w:rPr>
          <w:rFonts w:ascii="Times New Roman" w:hAnsi="Times New Roman"/>
          <w:sz w:val="24"/>
          <w:szCs w:val="24"/>
        </w:rPr>
        <w:t>current DCI</w:t>
      </w:r>
      <w:r w:rsidR="008A0F04">
        <w:rPr>
          <w:rFonts w:ascii="Times New Roman" w:hAnsi="Times New Roman"/>
          <w:sz w:val="24"/>
          <w:szCs w:val="24"/>
        </w:rPr>
        <w:t xml:space="preserve">. </w:t>
      </w:r>
      <w:r w:rsidR="0079516B">
        <w:rPr>
          <w:rFonts w:ascii="Times New Roman" w:hAnsi="Times New Roman"/>
          <w:sz w:val="24"/>
          <w:szCs w:val="24"/>
        </w:rPr>
        <w:t xml:space="preserve">However, </w:t>
      </w:r>
      <w:r w:rsidR="008A0F04">
        <w:rPr>
          <w:rFonts w:ascii="Times New Roman" w:hAnsi="Times New Roman"/>
          <w:sz w:val="24"/>
          <w:szCs w:val="24"/>
        </w:rPr>
        <w:t xml:space="preserve">OCC determined that the proposed minor revisions </w:t>
      </w:r>
      <w:r w:rsidR="00F733CD">
        <w:rPr>
          <w:rFonts w:ascii="Times New Roman" w:hAnsi="Times New Roman"/>
          <w:sz w:val="24"/>
          <w:szCs w:val="24"/>
        </w:rPr>
        <w:t xml:space="preserve">to these forms </w:t>
      </w:r>
      <w:r w:rsidR="008A0F04">
        <w:rPr>
          <w:rFonts w:ascii="Times New Roman" w:hAnsi="Times New Roman"/>
          <w:sz w:val="24"/>
          <w:szCs w:val="24"/>
        </w:rPr>
        <w:t>do not require states to collect additional information</w:t>
      </w:r>
      <w:r w:rsidR="00F733CD">
        <w:rPr>
          <w:rFonts w:ascii="Times New Roman" w:hAnsi="Times New Roman"/>
          <w:sz w:val="24"/>
          <w:szCs w:val="24"/>
        </w:rPr>
        <w:t xml:space="preserve">, </w:t>
      </w:r>
      <w:r w:rsidR="008A0F04">
        <w:rPr>
          <w:rFonts w:ascii="Times New Roman" w:hAnsi="Times New Roman"/>
          <w:sz w:val="24"/>
          <w:szCs w:val="24"/>
        </w:rPr>
        <w:t xml:space="preserve">so </w:t>
      </w:r>
      <w:r w:rsidR="00F733CD">
        <w:rPr>
          <w:rFonts w:ascii="Times New Roman" w:hAnsi="Times New Roman"/>
          <w:sz w:val="24"/>
          <w:szCs w:val="24"/>
        </w:rPr>
        <w:t>the survey results</w:t>
      </w:r>
      <w:r w:rsidR="006C1EA3">
        <w:rPr>
          <w:rFonts w:ascii="Times New Roman" w:hAnsi="Times New Roman"/>
          <w:sz w:val="24"/>
          <w:szCs w:val="24"/>
        </w:rPr>
        <w:t xml:space="preserve"> </w:t>
      </w:r>
      <w:r w:rsidR="0079516B">
        <w:rPr>
          <w:rFonts w:ascii="Times New Roman" w:hAnsi="Times New Roman"/>
          <w:sz w:val="24"/>
          <w:szCs w:val="24"/>
        </w:rPr>
        <w:t>were used to</w:t>
      </w:r>
      <w:r w:rsidR="006C1EA3">
        <w:rPr>
          <w:rFonts w:ascii="Times New Roman" w:hAnsi="Times New Roman"/>
          <w:sz w:val="24"/>
          <w:szCs w:val="24"/>
        </w:rPr>
        <w:t xml:space="preserve"> inform the </w:t>
      </w:r>
      <w:r w:rsidR="00F733CD">
        <w:rPr>
          <w:rFonts w:ascii="Times New Roman" w:hAnsi="Times New Roman"/>
          <w:sz w:val="24"/>
          <w:szCs w:val="24"/>
        </w:rPr>
        <w:t xml:space="preserve">estimated </w:t>
      </w:r>
      <w:r w:rsidR="006C1EA3">
        <w:rPr>
          <w:rFonts w:ascii="Times New Roman" w:hAnsi="Times New Roman"/>
          <w:sz w:val="24"/>
          <w:szCs w:val="24"/>
        </w:rPr>
        <w:t>burden hours on the revised forms</w:t>
      </w:r>
      <w:r w:rsidR="0079516B">
        <w:rPr>
          <w:rFonts w:ascii="Times New Roman" w:hAnsi="Times New Roman"/>
          <w:sz w:val="24"/>
          <w:szCs w:val="24"/>
        </w:rPr>
        <w:t xml:space="preserve">. </w:t>
      </w:r>
      <w:r w:rsidR="005C3F90">
        <w:rPr>
          <w:rFonts w:ascii="Times New Roman" w:hAnsi="Times New Roman"/>
          <w:sz w:val="24"/>
          <w:szCs w:val="24"/>
        </w:rPr>
        <w:t xml:space="preserve">OCC specifically requested feedback on the revised burden hours during the 60-day public comment period and </w:t>
      </w:r>
      <w:r w:rsidR="003659DC">
        <w:rPr>
          <w:rFonts w:ascii="Times New Roman" w:hAnsi="Times New Roman"/>
          <w:sz w:val="24"/>
          <w:szCs w:val="24"/>
        </w:rPr>
        <w:t xml:space="preserve">received </w:t>
      </w:r>
      <w:r w:rsidR="00655BEA">
        <w:rPr>
          <w:rFonts w:ascii="Times New Roman" w:hAnsi="Times New Roman"/>
          <w:sz w:val="24"/>
          <w:szCs w:val="24"/>
        </w:rPr>
        <w:t>no comments</w:t>
      </w:r>
      <w:r w:rsidR="003A3226">
        <w:rPr>
          <w:rFonts w:ascii="Times New Roman" w:hAnsi="Times New Roman"/>
          <w:sz w:val="24"/>
          <w:szCs w:val="24"/>
        </w:rPr>
        <w:t xml:space="preserve"> on this proposed change</w:t>
      </w:r>
      <w:r w:rsidR="00A943CE">
        <w:rPr>
          <w:rFonts w:ascii="Times New Roman" w:hAnsi="Times New Roman"/>
          <w:sz w:val="24"/>
          <w:szCs w:val="24"/>
        </w:rPr>
        <w:t xml:space="preserve">. </w:t>
      </w:r>
    </w:p>
    <w:p w:rsidR="00463977" w:rsidP="00D84B0A" w14:paraId="4DC440F1" w14:textId="77777777">
      <w:pPr>
        <w:widowControl/>
        <w:ind w:left="360"/>
        <w:rPr>
          <w:rFonts w:ascii="Times New Roman" w:hAnsi="Times New Roman"/>
          <w:i/>
          <w:iCs/>
          <w:sz w:val="24"/>
          <w:szCs w:val="24"/>
        </w:rPr>
      </w:pPr>
    </w:p>
    <w:p w:rsidR="00CB1A12" w:rsidRPr="004F7B95" w:rsidP="5A42027D" w14:paraId="491EE3AF" w14:textId="58B1BD81">
      <w:pPr>
        <w:widowControl/>
        <w:ind w:left="360"/>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Human Services Assistants [21-1093] and </w:t>
      </w:r>
      <w:r w:rsidR="000E2786">
        <w:rPr>
          <w:rFonts w:ascii="Times New Roman" w:hAnsi="Times New Roman"/>
          <w:snapToGrid/>
          <w:sz w:val="24"/>
          <w:szCs w:val="24"/>
        </w:rPr>
        <w:t xml:space="preserve">mean hourly </w:t>
      </w:r>
      <w:r w:rsidRPr="00EC26A5">
        <w:rPr>
          <w:rFonts w:ascii="Times New Roman" w:hAnsi="Times New Roman"/>
          <w:snapToGrid/>
          <w:sz w:val="24"/>
          <w:szCs w:val="24"/>
        </w:rPr>
        <w:t xml:space="preserve">wage data from May </w:t>
      </w:r>
      <w:r>
        <w:rPr>
          <w:rFonts w:ascii="Times New Roman" w:hAnsi="Times New Roman"/>
          <w:snapToGrid/>
          <w:sz w:val="24"/>
          <w:szCs w:val="24"/>
        </w:rPr>
        <w:t>20</w:t>
      </w:r>
      <w:r w:rsidR="00D20556">
        <w:rPr>
          <w:rFonts w:ascii="Times New Roman" w:hAnsi="Times New Roman"/>
          <w:snapToGrid/>
          <w:sz w:val="24"/>
          <w:szCs w:val="24"/>
        </w:rPr>
        <w:t>23</w:t>
      </w:r>
      <w:r w:rsidRPr="00EC26A5">
        <w:rPr>
          <w:rFonts w:ascii="Times New Roman" w:hAnsi="Times New Roman"/>
          <w:snapToGrid/>
          <w:sz w:val="24"/>
          <w:szCs w:val="24"/>
        </w:rPr>
        <w:t>, which is $</w:t>
      </w:r>
      <w:r w:rsidR="000D5D02">
        <w:rPr>
          <w:rFonts w:ascii="Times New Roman" w:hAnsi="Times New Roman"/>
          <w:snapToGrid/>
          <w:sz w:val="24"/>
          <w:szCs w:val="24"/>
        </w:rPr>
        <w:t>21.27</w:t>
      </w:r>
      <w:r>
        <w:rPr>
          <w:rFonts w:ascii="Times New Roman" w:hAnsi="Times New Roman"/>
          <w:snapToGrid/>
          <w:sz w:val="24"/>
          <w:szCs w:val="24"/>
        </w:rPr>
        <w:t xml:space="preserve"> </w:t>
      </w:r>
      <w:r w:rsidRPr="00EC26A5">
        <w:rPr>
          <w:rFonts w:ascii="Times New Roman" w:hAnsi="Times New Roman"/>
          <w:snapToGrid/>
          <w:sz w:val="24"/>
          <w:szCs w:val="24"/>
        </w:rPr>
        <w:t>per hour. To account for fringe benefits and overhead the rate was multiplied by two which is $</w:t>
      </w:r>
      <w:r w:rsidR="00B979EE">
        <w:rPr>
          <w:rFonts w:ascii="Times New Roman" w:hAnsi="Times New Roman"/>
          <w:snapToGrid/>
          <w:sz w:val="24"/>
          <w:szCs w:val="24"/>
        </w:rPr>
        <w:t>42.54</w:t>
      </w:r>
      <w:r w:rsidRPr="00EC26A5">
        <w:rPr>
          <w:rFonts w:ascii="Times New Roman" w:hAnsi="Times New Roman"/>
          <w:snapToGrid/>
          <w:sz w:val="24"/>
          <w:szCs w:val="24"/>
        </w:rPr>
        <w:t xml:space="preserve">. </w:t>
      </w:r>
      <w:hyperlink r:id="rId10" w:history="1">
        <w:r w:rsidRPr="002E4AA0" w:rsidR="002E4AA0">
          <w:rPr>
            <w:rStyle w:val="Hyperlink"/>
            <w:rFonts w:ascii="Times New Roman" w:hAnsi="Times New Roman"/>
            <w:sz w:val="24"/>
          </w:rPr>
          <w:t>https://www.bls.gov/oes/current/oes_stru.htm</w:t>
        </w:r>
      </w:hyperlink>
      <w:r w:rsidR="00CD3A34">
        <w:rPr>
          <w:rStyle w:val="Hyperlink"/>
          <w:rFonts w:ascii="Times New Roman" w:hAnsi="Times New Roman"/>
          <w:sz w:val="24"/>
        </w:rPr>
        <w:t xml:space="preserve"> </w:t>
      </w:r>
      <w:r w:rsidRPr="5A42027D" w:rsidR="77C5AD30">
        <w:rPr>
          <w:rFonts w:ascii="Times New Roman" w:hAnsi="Times New Roman"/>
          <w:i/>
          <w:iCs/>
          <w:sz w:val="24"/>
          <w:szCs w:val="24"/>
        </w:rPr>
        <w:t xml:space="preserve"> </w:t>
      </w: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CB1A12" w:rsidRPr="004F7B95" w:rsidP="5A42027D" w14:paraId="055034F3" w14:textId="018BADAD">
      <w:pPr>
        <w:widowControl/>
        <w:ind w:left="36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9"/>
        <w:gridCol w:w="1239"/>
        <w:gridCol w:w="1380"/>
        <w:gridCol w:w="1192"/>
        <w:gridCol w:w="984"/>
        <w:gridCol w:w="868"/>
        <w:gridCol w:w="977"/>
        <w:gridCol w:w="1357"/>
      </w:tblGrid>
      <w:tr w14:paraId="230FE56D" w14:textId="77777777" w:rsidTr="007F2F33">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themeFill="background1" w:themeFillShade="BF"/>
            <w:vAlign w:val="center"/>
          </w:tcPr>
          <w:p w:rsidR="00957799" w:rsidRPr="00250248" w:rsidP="662E7714" w14:paraId="710C0652" w14:textId="77777777">
            <w:pPr>
              <w:jc w:val="center"/>
              <w:rPr>
                <w:rFonts w:ascii="Times New Roman" w:hAnsi="Times New Roman"/>
              </w:rPr>
            </w:pPr>
            <w:r w:rsidRPr="00250248">
              <w:rPr>
                <w:rFonts w:ascii="Times New Roman" w:hAnsi="Times New Roman"/>
              </w:rPr>
              <w:t>I</w:t>
            </w:r>
            <w:r w:rsidRPr="00250248" w:rsidR="004110F5">
              <w:rPr>
                <w:rFonts w:ascii="Times New Roman" w:hAnsi="Times New Roman"/>
              </w:rPr>
              <w:t>nformation Collection Title</w:t>
            </w:r>
          </w:p>
        </w:tc>
        <w:tc>
          <w:tcPr>
            <w:tcW w:w="280" w:type="dxa"/>
            <w:shd w:val="clear" w:color="auto" w:fill="BFBFBF" w:themeFill="background1" w:themeFillShade="BF"/>
            <w:vAlign w:val="center"/>
          </w:tcPr>
          <w:p w:rsidR="00957799" w:rsidRPr="00250248" w:rsidP="004F7B95" w14:paraId="755B72E5" w14:textId="77777777">
            <w:pPr>
              <w:jc w:val="center"/>
              <w:rPr>
                <w:rFonts w:ascii="Times New Roman" w:hAnsi="Times New Roman"/>
              </w:rPr>
            </w:pPr>
            <w:r w:rsidRPr="00250248">
              <w:rPr>
                <w:rFonts w:ascii="Times New Roman" w:hAnsi="Times New Roman"/>
              </w:rPr>
              <w:t>Total Number of Respondents</w:t>
            </w:r>
          </w:p>
        </w:tc>
        <w:tc>
          <w:tcPr>
            <w:tcW w:w="1482" w:type="dxa"/>
            <w:shd w:val="clear" w:color="auto" w:fill="BFBFBF" w:themeFill="background1" w:themeFillShade="BF"/>
            <w:vAlign w:val="center"/>
          </w:tcPr>
          <w:p w:rsidR="00957799" w:rsidRPr="00250248" w:rsidP="004F7B95" w14:paraId="5053A5D0" w14:textId="77777777">
            <w:pPr>
              <w:jc w:val="center"/>
              <w:rPr>
                <w:rFonts w:ascii="Times New Roman" w:hAnsi="Times New Roman"/>
              </w:rPr>
            </w:pPr>
            <w:r w:rsidRPr="00250248">
              <w:rPr>
                <w:rFonts w:ascii="Times New Roman" w:hAnsi="Times New Roman"/>
              </w:rPr>
              <w:t>Total Number of Responses Per Respondent</w:t>
            </w:r>
          </w:p>
        </w:tc>
        <w:tc>
          <w:tcPr>
            <w:tcW w:w="1289" w:type="dxa"/>
            <w:shd w:val="clear" w:color="auto" w:fill="BFBFBF" w:themeFill="background1" w:themeFillShade="BF"/>
            <w:vAlign w:val="center"/>
          </w:tcPr>
          <w:p w:rsidR="00957799" w:rsidRPr="00250248" w:rsidP="004F7B95" w14:paraId="340D08AF" w14:textId="77777777">
            <w:pPr>
              <w:jc w:val="center"/>
              <w:rPr>
                <w:rFonts w:ascii="Times New Roman" w:hAnsi="Times New Roman"/>
              </w:rPr>
            </w:pPr>
            <w:r w:rsidRPr="00250248">
              <w:rPr>
                <w:rFonts w:ascii="Times New Roman" w:hAnsi="Times New Roman"/>
              </w:rPr>
              <w:t>Average Burden Hours Per Response</w:t>
            </w:r>
          </w:p>
        </w:tc>
        <w:tc>
          <w:tcPr>
            <w:tcW w:w="1068" w:type="dxa"/>
            <w:shd w:val="clear" w:color="auto" w:fill="BFBFBF" w:themeFill="background1" w:themeFillShade="BF"/>
            <w:vAlign w:val="center"/>
          </w:tcPr>
          <w:p w:rsidR="00957799" w:rsidRPr="00250248" w:rsidP="004F7B95" w14:paraId="7312FF88" w14:textId="77777777">
            <w:pPr>
              <w:jc w:val="center"/>
              <w:rPr>
                <w:rFonts w:ascii="Times New Roman" w:hAnsi="Times New Roman"/>
              </w:rPr>
            </w:pPr>
            <w:r w:rsidRPr="00250248">
              <w:rPr>
                <w:rFonts w:ascii="Times New Roman" w:hAnsi="Times New Roman"/>
              </w:rPr>
              <w:t>Total Burden Hours</w:t>
            </w:r>
          </w:p>
        </w:tc>
        <w:tc>
          <w:tcPr>
            <w:tcW w:w="898" w:type="dxa"/>
            <w:shd w:val="clear" w:color="auto" w:fill="BFBFBF" w:themeFill="background1" w:themeFillShade="BF"/>
            <w:vAlign w:val="center"/>
          </w:tcPr>
          <w:p w:rsidR="00957799" w:rsidRPr="00250248" w:rsidP="004F7B95" w14:paraId="3AE1FC11" w14:textId="77777777">
            <w:pPr>
              <w:jc w:val="center"/>
              <w:rPr>
                <w:rFonts w:ascii="Times New Roman" w:hAnsi="Times New Roman"/>
                <w:bCs/>
              </w:rPr>
            </w:pPr>
            <w:r w:rsidRPr="00250248">
              <w:rPr>
                <w:rFonts w:ascii="Times New Roman" w:hAnsi="Times New Roman"/>
                <w:bCs/>
              </w:rPr>
              <w:t>Annual Burden Hours</w:t>
            </w:r>
          </w:p>
        </w:tc>
        <w:tc>
          <w:tcPr>
            <w:tcW w:w="1015" w:type="dxa"/>
            <w:shd w:val="clear" w:color="auto" w:fill="BFBFBF" w:themeFill="background1" w:themeFillShade="BF"/>
            <w:vAlign w:val="center"/>
          </w:tcPr>
          <w:p w:rsidR="00957799" w:rsidRPr="00250248" w:rsidP="004F7B95" w14:paraId="0A8FF52A" w14:textId="77777777">
            <w:pPr>
              <w:jc w:val="center"/>
              <w:rPr>
                <w:rFonts w:ascii="Times New Roman" w:hAnsi="Times New Roman"/>
              </w:rPr>
            </w:pPr>
            <w:r w:rsidRPr="00250248">
              <w:rPr>
                <w:rFonts w:ascii="Times New Roman" w:hAnsi="Times New Roman"/>
                <w:bCs/>
              </w:rPr>
              <w:t>Average Hourly Wage</w:t>
            </w:r>
          </w:p>
        </w:tc>
        <w:tc>
          <w:tcPr>
            <w:tcW w:w="1539" w:type="dxa"/>
            <w:shd w:val="clear" w:color="auto" w:fill="BFBFBF" w:themeFill="background1" w:themeFillShade="BF"/>
            <w:vAlign w:val="center"/>
          </w:tcPr>
          <w:p w:rsidR="00957799" w:rsidRPr="00250248" w:rsidP="004F7B95" w14:paraId="4FBD0FB1" w14:textId="77777777">
            <w:pPr>
              <w:jc w:val="center"/>
              <w:rPr>
                <w:rFonts w:ascii="Times New Roman" w:hAnsi="Times New Roman"/>
              </w:rPr>
            </w:pPr>
            <w:r w:rsidRPr="00250248">
              <w:rPr>
                <w:rFonts w:ascii="Times New Roman" w:hAnsi="Times New Roman"/>
                <w:bCs/>
              </w:rPr>
              <w:t>Total Annual Cost</w:t>
            </w:r>
          </w:p>
        </w:tc>
      </w:tr>
      <w:tr w14:paraId="5140B154" w14:textId="77777777" w:rsidTr="00250248">
        <w:tblPrEx>
          <w:tblW w:w="10086" w:type="dxa"/>
          <w:jc w:val="center"/>
          <w:tblLook w:val="00A0"/>
        </w:tblPrEx>
        <w:trPr>
          <w:trHeight w:val="432"/>
          <w:jc w:val="center"/>
        </w:trPr>
        <w:tc>
          <w:tcPr>
            <w:tcW w:w="2515" w:type="dxa"/>
            <w:vAlign w:val="center"/>
          </w:tcPr>
          <w:p w:rsidR="00957799" w:rsidRPr="00250248" w:rsidP="004F7B95" w14:paraId="33E13E32" w14:textId="5E7F5267">
            <w:pPr>
              <w:tabs>
                <w:tab w:val="center" w:pos="4320"/>
                <w:tab w:val="right" w:pos="8640"/>
              </w:tabs>
              <w:rPr>
                <w:rFonts w:ascii="Times New Roman" w:hAnsi="Times New Roman"/>
              </w:rPr>
            </w:pPr>
            <w:r w:rsidRPr="00250248">
              <w:rPr>
                <w:rFonts w:ascii="Times New Roman" w:hAnsi="Times New Roman"/>
              </w:rPr>
              <w:t xml:space="preserve">Sampling Decisions, Assurances, and Fieldwork Preparation Plan </w:t>
            </w:r>
            <w:r w:rsidR="00510CFA">
              <w:rPr>
                <w:rFonts w:ascii="Times New Roman" w:hAnsi="Times New Roman"/>
              </w:rPr>
              <w:t>(IC-1</w:t>
            </w:r>
            <w:r w:rsidR="00126BD6">
              <w:rPr>
                <w:rFonts w:ascii="Times New Roman" w:hAnsi="Times New Roman"/>
              </w:rPr>
              <w:t xml:space="preserve"> - </w:t>
            </w:r>
            <w:r w:rsidR="005A3E2B">
              <w:rPr>
                <w:rFonts w:ascii="Times New Roman" w:hAnsi="Times New Roman"/>
              </w:rPr>
              <w:t>SDAP</w:t>
            </w:r>
            <w:r w:rsidR="00510CFA">
              <w:rPr>
                <w:rFonts w:ascii="Times New Roman" w:hAnsi="Times New Roman"/>
              </w:rPr>
              <w:t>)</w:t>
            </w:r>
          </w:p>
        </w:tc>
        <w:tc>
          <w:tcPr>
            <w:tcW w:w="280" w:type="dxa"/>
            <w:vAlign w:val="center"/>
          </w:tcPr>
          <w:p w:rsidR="00957799" w:rsidRPr="00D84B0A" w:rsidP="00250248" w14:paraId="631BD576" w14:textId="7DF7C07B">
            <w:pPr>
              <w:tabs>
                <w:tab w:val="center" w:pos="4320"/>
                <w:tab w:val="right" w:pos="8640"/>
              </w:tabs>
              <w:jc w:val="center"/>
              <w:rPr>
                <w:rFonts w:ascii="Times New Roman" w:hAnsi="Times New Roman"/>
              </w:rPr>
            </w:pPr>
            <w:r w:rsidRPr="00D84B0A">
              <w:rPr>
                <w:rFonts w:ascii="Times New Roman" w:hAnsi="Times New Roman"/>
              </w:rPr>
              <w:t>52</w:t>
            </w:r>
          </w:p>
        </w:tc>
        <w:tc>
          <w:tcPr>
            <w:tcW w:w="1482" w:type="dxa"/>
            <w:vAlign w:val="center"/>
          </w:tcPr>
          <w:p w:rsidR="005C3F90" w:rsidRPr="00250248" w:rsidP="00250248" w14:paraId="3DD8ECC7" w14:textId="1FDEE689">
            <w:pPr>
              <w:tabs>
                <w:tab w:val="center" w:pos="4320"/>
                <w:tab w:val="right" w:pos="8640"/>
              </w:tabs>
              <w:jc w:val="center"/>
              <w:rPr>
                <w:rFonts w:ascii="Times New Roman" w:hAnsi="Times New Roman"/>
              </w:rPr>
            </w:pPr>
            <w:r w:rsidRPr="00250248">
              <w:rPr>
                <w:rFonts w:ascii="Times New Roman" w:hAnsi="Times New Roman"/>
              </w:rPr>
              <w:t>1</w:t>
            </w:r>
          </w:p>
        </w:tc>
        <w:tc>
          <w:tcPr>
            <w:tcW w:w="1289" w:type="dxa"/>
            <w:vAlign w:val="center"/>
          </w:tcPr>
          <w:p w:rsidR="00957799" w:rsidRPr="00250248" w:rsidP="00250248" w14:paraId="46007120" w14:textId="11F247E4">
            <w:pPr>
              <w:tabs>
                <w:tab w:val="center" w:pos="4320"/>
                <w:tab w:val="right" w:pos="8640"/>
              </w:tabs>
              <w:jc w:val="center"/>
              <w:rPr>
                <w:rFonts w:ascii="Times New Roman" w:hAnsi="Times New Roman"/>
              </w:rPr>
            </w:pPr>
            <w:r w:rsidRPr="00250248">
              <w:rPr>
                <w:rFonts w:ascii="Times New Roman" w:hAnsi="Times New Roman"/>
              </w:rPr>
              <w:t>35</w:t>
            </w:r>
          </w:p>
        </w:tc>
        <w:tc>
          <w:tcPr>
            <w:tcW w:w="1068" w:type="dxa"/>
            <w:vAlign w:val="center"/>
          </w:tcPr>
          <w:p w:rsidR="00957799" w:rsidRPr="00250248" w:rsidP="00250248" w14:paraId="1A00A282" w14:textId="344A0E1F">
            <w:pPr>
              <w:tabs>
                <w:tab w:val="center" w:pos="4320"/>
                <w:tab w:val="right" w:pos="8640"/>
              </w:tabs>
              <w:jc w:val="center"/>
              <w:rPr>
                <w:rFonts w:ascii="Times New Roman" w:hAnsi="Times New Roman"/>
              </w:rPr>
            </w:pPr>
            <w:r w:rsidRPr="00250248">
              <w:rPr>
                <w:rFonts w:ascii="Times New Roman" w:hAnsi="Times New Roman"/>
              </w:rPr>
              <w:t>1,820</w:t>
            </w:r>
          </w:p>
        </w:tc>
        <w:tc>
          <w:tcPr>
            <w:tcW w:w="898" w:type="dxa"/>
            <w:vAlign w:val="center"/>
          </w:tcPr>
          <w:p w:rsidR="000249B5" w:rsidRPr="00250248" w:rsidP="00250248" w14:paraId="25670C73" w14:textId="37123A80">
            <w:pPr>
              <w:tabs>
                <w:tab w:val="center" w:pos="4320"/>
                <w:tab w:val="right" w:pos="8640"/>
              </w:tabs>
              <w:jc w:val="center"/>
              <w:rPr>
                <w:rFonts w:ascii="Times New Roman" w:hAnsi="Times New Roman"/>
              </w:rPr>
            </w:pPr>
            <w:r w:rsidRPr="00250248">
              <w:rPr>
                <w:rFonts w:ascii="Times New Roman" w:hAnsi="Times New Roman"/>
              </w:rPr>
              <w:t>607</w:t>
            </w:r>
          </w:p>
        </w:tc>
        <w:tc>
          <w:tcPr>
            <w:tcW w:w="1015" w:type="dxa"/>
            <w:vAlign w:val="center"/>
          </w:tcPr>
          <w:p w:rsidR="00957799" w:rsidRPr="00250248" w:rsidP="00250248" w14:paraId="7D556C98" w14:textId="637F8123">
            <w:pPr>
              <w:tabs>
                <w:tab w:val="center" w:pos="4320"/>
                <w:tab w:val="right" w:pos="8640"/>
              </w:tabs>
              <w:jc w:val="center"/>
              <w:rPr>
                <w:rFonts w:ascii="Times New Roman" w:hAnsi="Times New Roman"/>
              </w:rPr>
            </w:pPr>
            <w:r w:rsidRPr="00250248">
              <w:rPr>
                <w:rFonts w:ascii="Times New Roman" w:hAnsi="Times New Roman"/>
              </w:rPr>
              <w:t>$</w:t>
            </w:r>
            <w:r w:rsidRPr="00655BEA" w:rsidR="00672359">
              <w:rPr>
                <w:rFonts w:ascii="Times New Roman" w:hAnsi="Times New Roman"/>
              </w:rPr>
              <w:t>42.54</w:t>
            </w:r>
          </w:p>
        </w:tc>
        <w:tc>
          <w:tcPr>
            <w:tcW w:w="1539" w:type="dxa"/>
            <w:vAlign w:val="center"/>
          </w:tcPr>
          <w:p w:rsidR="00957799" w:rsidRPr="00250248" w:rsidP="00250248" w14:paraId="5133F4BC" w14:textId="485A2049">
            <w:pPr>
              <w:tabs>
                <w:tab w:val="center" w:pos="4320"/>
                <w:tab w:val="right" w:pos="8640"/>
              </w:tabs>
              <w:jc w:val="center"/>
              <w:rPr>
                <w:rFonts w:ascii="Times New Roman" w:hAnsi="Times New Roman"/>
              </w:rPr>
            </w:pPr>
            <w:r w:rsidRPr="00250248">
              <w:rPr>
                <w:rFonts w:ascii="Times New Roman" w:hAnsi="Times New Roman"/>
              </w:rPr>
              <w:t>$25,822</w:t>
            </w:r>
          </w:p>
        </w:tc>
      </w:tr>
      <w:tr w14:paraId="66E3DD67" w14:textId="77777777" w:rsidTr="00655BEA">
        <w:tblPrEx>
          <w:tblW w:w="10086" w:type="dxa"/>
          <w:jc w:val="center"/>
          <w:tblLook w:val="00A0"/>
        </w:tblPrEx>
        <w:trPr>
          <w:trHeight w:val="432"/>
          <w:jc w:val="center"/>
        </w:trPr>
        <w:tc>
          <w:tcPr>
            <w:tcW w:w="2515" w:type="dxa"/>
            <w:vAlign w:val="center"/>
          </w:tcPr>
          <w:p w:rsidR="00957799" w:rsidRPr="00250248" w:rsidP="004F7B95" w14:paraId="39DFC5F9" w14:textId="673B8208">
            <w:pPr>
              <w:tabs>
                <w:tab w:val="center" w:pos="4320"/>
                <w:tab w:val="right" w:pos="8640"/>
              </w:tabs>
              <w:rPr>
                <w:rFonts w:ascii="Times New Roman" w:hAnsi="Times New Roman"/>
              </w:rPr>
            </w:pPr>
            <w:r w:rsidRPr="00250248">
              <w:rPr>
                <w:rFonts w:ascii="Times New Roman" w:hAnsi="Times New Roman"/>
              </w:rPr>
              <w:t>ACF-403 Record Review Worksheet</w:t>
            </w:r>
            <w:r w:rsidRPr="00250248" w:rsidR="00A6630F">
              <w:rPr>
                <w:rFonts w:ascii="Times New Roman" w:hAnsi="Times New Roman"/>
              </w:rPr>
              <w:t xml:space="preserve">: </w:t>
            </w:r>
            <w:r w:rsidRPr="00250248" w:rsidR="00A6630F">
              <w:rPr>
                <w:rFonts w:ascii="Times New Roman" w:hAnsi="Times New Roman"/>
                <w:i/>
                <w:iCs/>
              </w:rPr>
              <w:t>template</w:t>
            </w:r>
            <w:r w:rsidR="005A3E2B">
              <w:rPr>
                <w:rFonts w:ascii="Times New Roman" w:hAnsi="Times New Roman"/>
                <w:i/>
                <w:iCs/>
              </w:rPr>
              <w:t xml:space="preserve"> </w:t>
            </w:r>
            <w:r w:rsidRPr="00237536" w:rsidR="005A3E2B">
              <w:rPr>
                <w:rFonts w:ascii="Times New Roman" w:hAnsi="Times New Roman"/>
              </w:rPr>
              <w:t>(IC-2</w:t>
            </w:r>
            <w:r w:rsidR="00126BD6">
              <w:rPr>
                <w:rFonts w:ascii="Times New Roman" w:hAnsi="Times New Roman"/>
              </w:rPr>
              <w:t xml:space="preserve"> -</w:t>
            </w:r>
            <w:r w:rsidRPr="00237536" w:rsidR="005A3E2B">
              <w:rPr>
                <w:rFonts w:ascii="Times New Roman" w:hAnsi="Times New Roman"/>
              </w:rPr>
              <w:t xml:space="preserve"> </w:t>
            </w:r>
            <w:r w:rsidR="00237536">
              <w:rPr>
                <w:rFonts w:ascii="Times New Roman" w:hAnsi="Times New Roman"/>
              </w:rPr>
              <w:t>ACF-403</w:t>
            </w:r>
            <w:r w:rsidRPr="00237536" w:rsidR="005A3E2B">
              <w:rPr>
                <w:rFonts w:ascii="Times New Roman" w:hAnsi="Times New Roman"/>
              </w:rPr>
              <w:t>)</w:t>
            </w:r>
          </w:p>
        </w:tc>
        <w:tc>
          <w:tcPr>
            <w:tcW w:w="280" w:type="dxa"/>
            <w:vAlign w:val="center"/>
          </w:tcPr>
          <w:p w:rsidR="00957799" w:rsidRPr="00D84B0A" w:rsidP="00250248" w14:paraId="58BAAEDB" w14:textId="7742772E">
            <w:pPr>
              <w:tabs>
                <w:tab w:val="center" w:pos="4320"/>
                <w:tab w:val="right" w:pos="8640"/>
              </w:tabs>
              <w:jc w:val="center"/>
              <w:rPr>
                <w:rFonts w:ascii="Times New Roman" w:hAnsi="Times New Roman"/>
              </w:rPr>
            </w:pPr>
            <w:r w:rsidRPr="00D84B0A">
              <w:rPr>
                <w:rFonts w:ascii="Times New Roman" w:hAnsi="Times New Roman"/>
              </w:rPr>
              <w:t>52</w:t>
            </w:r>
          </w:p>
        </w:tc>
        <w:tc>
          <w:tcPr>
            <w:tcW w:w="1482" w:type="dxa"/>
            <w:vAlign w:val="center"/>
          </w:tcPr>
          <w:p w:rsidR="00A85A9D" w:rsidRPr="00250248" w:rsidP="00250248" w14:paraId="0CD2F9C1" w14:textId="69F8128C">
            <w:pPr>
              <w:tabs>
                <w:tab w:val="center" w:pos="4320"/>
                <w:tab w:val="right" w:pos="8640"/>
              </w:tabs>
              <w:jc w:val="center"/>
              <w:rPr>
                <w:rFonts w:ascii="Times New Roman" w:hAnsi="Times New Roman"/>
              </w:rPr>
            </w:pPr>
            <w:r w:rsidRPr="00250248">
              <w:rPr>
                <w:rFonts w:ascii="Times New Roman" w:hAnsi="Times New Roman"/>
              </w:rPr>
              <w:t>1</w:t>
            </w:r>
          </w:p>
        </w:tc>
        <w:tc>
          <w:tcPr>
            <w:tcW w:w="1289" w:type="dxa"/>
            <w:vAlign w:val="center"/>
          </w:tcPr>
          <w:p w:rsidR="00957799" w:rsidRPr="00250248" w:rsidP="00250248" w14:paraId="14C40DB3" w14:textId="30A4F052">
            <w:pPr>
              <w:tabs>
                <w:tab w:val="center" w:pos="4320"/>
                <w:tab w:val="right" w:pos="8640"/>
              </w:tabs>
              <w:jc w:val="center"/>
              <w:rPr>
                <w:rFonts w:ascii="Times New Roman" w:hAnsi="Times New Roman"/>
              </w:rPr>
            </w:pPr>
            <w:r w:rsidRPr="00250248">
              <w:rPr>
                <w:rFonts w:ascii="Times New Roman" w:hAnsi="Times New Roman"/>
              </w:rPr>
              <w:t>63</w:t>
            </w:r>
          </w:p>
        </w:tc>
        <w:tc>
          <w:tcPr>
            <w:tcW w:w="1068" w:type="dxa"/>
            <w:vAlign w:val="center"/>
          </w:tcPr>
          <w:p w:rsidR="00957799" w:rsidRPr="00250248" w:rsidP="00250248" w14:paraId="404E426D" w14:textId="2525A841">
            <w:pPr>
              <w:tabs>
                <w:tab w:val="center" w:pos="4320"/>
                <w:tab w:val="right" w:pos="8640"/>
              </w:tabs>
              <w:jc w:val="center"/>
              <w:rPr>
                <w:rFonts w:ascii="Times New Roman" w:hAnsi="Times New Roman"/>
              </w:rPr>
            </w:pPr>
            <w:r w:rsidRPr="00250248">
              <w:rPr>
                <w:rFonts w:ascii="Times New Roman" w:hAnsi="Times New Roman"/>
              </w:rPr>
              <w:t>3,276</w:t>
            </w:r>
          </w:p>
        </w:tc>
        <w:tc>
          <w:tcPr>
            <w:tcW w:w="898" w:type="dxa"/>
            <w:vAlign w:val="center"/>
          </w:tcPr>
          <w:p w:rsidR="000249B5" w:rsidRPr="00250248" w:rsidP="00250248" w14:paraId="1557247F" w14:textId="01E3AD70">
            <w:pPr>
              <w:tabs>
                <w:tab w:val="center" w:pos="4320"/>
                <w:tab w:val="right" w:pos="8640"/>
              </w:tabs>
              <w:jc w:val="center"/>
              <w:rPr>
                <w:rFonts w:ascii="Times New Roman" w:hAnsi="Times New Roman"/>
              </w:rPr>
            </w:pPr>
            <w:r w:rsidRPr="00250248">
              <w:rPr>
                <w:rFonts w:ascii="Times New Roman" w:hAnsi="Times New Roman"/>
              </w:rPr>
              <w:t>1,092</w:t>
            </w:r>
          </w:p>
        </w:tc>
        <w:tc>
          <w:tcPr>
            <w:tcW w:w="1015" w:type="dxa"/>
            <w:vAlign w:val="center"/>
          </w:tcPr>
          <w:p w:rsidR="00957799" w:rsidRPr="00250248" w:rsidP="00250248" w14:paraId="4B1FC7E5" w14:textId="572B5D6E">
            <w:pPr>
              <w:tabs>
                <w:tab w:val="center" w:pos="4320"/>
                <w:tab w:val="right" w:pos="8640"/>
              </w:tabs>
              <w:jc w:val="center"/>
              <w:rPr>
                <w:rFonts w:ascii="Times New Roman" w:hAnsi="Times New Roman"/>
              </w:rPr>
            </w:pPr>
            <w:r w:rsidRPr="00250248">
              <w:rPr>
                <w:rFonts w:ascii="Times New Roman" w:hAnsi="Times New Roman"/>
              </w:rPr>
              <w:t>$</w:t>
            </w:r>
            <w:r w:rsidRPr="00655BEA">
              <w:rPr>
                <w:rFonts w:ascii="Times New Roman" w:hAnsi="Times New Roman"/>
              </w:rPr>
              <w:t>42.54</w:t>
            </w:r>
          </w:p>
        </w:tc>
        <w:tc>
          <w:tcPr>
            <w:tcW w:w="1539" w:type="dxa"/>
            <w:vAlign w:val="center"/>
          </w:tcPr>
          <w:p w:rsidR="00957799" w:rsidRPr="00250248" w:rsidP="00250248" w14:paraId="1D447908" w14:textId="66F1FC30">
            <w:pPr>
              <w:tabs>
                <w:tab w:val="center" w:pos="4320"/>
                <w:tab w:val="right" w:pos="8640"/>
              </w:tabs>
              <w:jc w:val="center"/>
              <w:rPr>
                <w:rFonts w:ascii="Times New Roman" w:hAnsi="Times New Roman"/>
              </w:rPr>
            </w:pPr>
            <w:r w:rsidRPr="00250248">
              <w:rPr>
                <w:rFonts w:ascii="Times New Roman" w:hAnsi="Times New Roman"/>
              </w:rPr>
              <w:t>$46,454</w:t>
            </w:r>
          </w:p>
        </w:tc>
      </w:tr>
      <w:tr w14:paraId="609F1E77" w14:textId="77777777" w:rsidTr="00655BEA">
        <w:tblPrEx>
          <w:tblW w:w="10086" w:type="dxa"/>
          <w:jc w:val="center"/>
          <w:tblLook w:val="00A0"/>
        </w:tblPrEx>
        <w:trPr>
          <w:trHeight w:val="432"/>
          <w:jc w:val="center"/>
        </w:trPr>
        <w:tc>
          <w:tcPr>
            <w:tcW w:w="2515" w:type="dxa"/>
            <w:vAlign w:val="center"/>
          </w:tcPr>
          <w:p w:rsidR="00A6630F" w:rsidRPr="00250248" w:rsidP="004F7B95" w14:paraId="075A787A" w14:textId="15B187F6">
            <w:pPr>
              <w:tabs>
                <w:tab w:val="center" w:pos="4320"/>
                <w:tab w:val="right" w:pos="8640"/>
              </w:tabs>
              <w:rPr>
                <w:rFonts w:ascii="Times New Roman" w:hAnsi="Times New Roman"/>
              </w:rPr>
            </w:pPr>
            <w:r w:rsidRPr="00250248">
              <w:rPr>
                <w:rFonts w:ascii="Times New Roman" w:hAnsi="Times New Roman"/>
              </w:rPr>
              <w:t xml:space="preserve">ACF-403 Record Review Worksheet: </w:t>
            </w:r>
            <w:r w:rsidRPr="00250248" w:rsidR="00A85A9D">
              <w:rPr>
                <w:rFonts w:ascii="Times New Roman" w:hAnsi="Times New Roman"/>
                <w:i/>
                <w:iCs/>
              </w:rPr>
              <w:t>case record reviews</w:t>
            </w:r>
            <w:r w:rsidRPr="00250248" w:rsidR="00A85A9D">
              <w:rPr>
                <w:rFonts w:ascii="Times New Roman" w:hAnsi="Times New Roman"/>
              </w:rPr>
              <w:t xml:space="preserve"> </w:t>
            </w:r>
            <w:r w:rsidRPr="00237536" w:rsidR="005A3E2B">
              <w:rPr>
                <w:rFonts w:ascii="Times New Roman" w:hAnsi="Times New Roman"/>
              </w:rPr>
              <w:t>(IC-2</w:t>
            </w:r>
            <w:r w:rsidR="00987FFB">
              <w:rPr>
                <w:rFonts w:ascii="Times New Roman" w:hAnsi="Times New Roman"/>
              </w:rPr>
              <w:t xml:space="preserve"> - </w:t>
            </w:r>
            <w:r w:rsidR="00237536">
              <w:rPr>
                <w:rFonts w:ascii="Times New Roman" w:hAnsi="Times New Roman"/>
              </w:rPr>
              <w:t>ACF-403</w:t>
            </w:r>
            <w:r w:rsidRPr="00237536" w:rsidR="005A3E2B">
              <w:rPr>
                <w:rFonts w:ascii="Times New Roman" w:hAnsi="Times New Roman"/>
              </w:rPr>
              <w:t>)</w:t>
            </w:r>
          </w:p>
        </w:tc>
        <w:tc>
          <w:tcPr>
            <w:tcW w:w="280" w:type="dxa"/>
            <w:vAlign w:val="center"/>
          </w:tcPr>
          <w:p w:rsidR="00A6630F" w:rsidRPr="00D84B0A" w:rsidP="00250248" w14:paraId="34CC87CF" w14:textId="1256AA84">
            <w:pPr>
              <w:tabs>
                <w:tab w:val="center" w:pos="4320"/>
                <w:tab w:val="right" w:pos="8640"/>
              </w:tabs>
              <w:jc w:val="center"/>
              <w:rPr>
                <w:rFonts w:ascii="Times New Roman" w:hAnsi="Times New Roman"/>
              </w:rPr>
            </w:pPr>
            <w:r w:rsidRPr="00D84B0A">
              <w:rPr>
                <w:rFonts w:ascii="Times New Roman" w:hAnsi="Times New Roman"/>
              </w:rPr>
              <w:t>52</w:t>
            </w:r>
          </w:p>
        </w:tc>
        <w:tc>
          <w:tcPr>
            <w:tcW w:w="1482" w:type="dxa"/>
            <w:vAlign w:val="center"/>
          </w:tcPr>
          <w:p w:rsidR="0084220A" w:rsidRPr="00250248" w:rsidP="00250248" w14:paraId="2582DF7A" w14:textId="3F70FFB8">
            <w:pPr>
              <w:tabs>
                <w:tab w:val="center" w:pos="4320"/>
                <w:tab w:val="right" w:pos="8640"/>
              </w:tabs>
              <w:jc w:val="center"/>
              <w:rPr>
                <w:rFonts w:ascii="Times New Roman" w:hAnsi="Times New Roman"/>
              </w:rPr>
            </w:pPr>
            <w:r w:rsidRPr="00250248">
              <w:rPr>
                <w:rFonts w:ascii="Times New Roman" w:hAnsi="Times New Roman"/>
              </w:rPr>
              <w:t>276</w:t>
            </w:r>
          </w:p>
        </w:tc>
        <w:tc>
          <w:tcPr>
            <w:tcW w:w="1289" w:type="dxa"/>
            <w:vAlign w:val="center"/>
          </w:tcPr>
          <w:p w:rsidR="00A6630F" w:rsidRPr="00250248" w:rsidP="00250248" w14:paraId="28C4058B" w14:textId="0C501837">
            <w:pPr>
              <w:tabs>
                <w:tab w:val="center" w:pos="4320"/>
                <w:tab w:val="right" w:pos="8640"/>
              </w:tabs>
              <w:jc w:val="center"/>
              <w:rPr>
                <w:rFonts w:ascii="Times New Roman" w:hAnsi="Times New Roman"/>
              </w:rPr>
            </w:pPr>
            <w:r w:rsidRPr="00250248">
              <w:rPr>
                <w:rFonts w:ascii="Times New Roman" w:hAnsi="Times New Roman"/>
              </w:rPr>
              <w:t>3.0</w:t>
            </w:r>
          </w:p>
        </w:tc>
        <w:tc>
          <w:tcPr>
            <w:tcW w:w="1068" w:type="dxa"/>
            <w:vAlign w:val="center"/>
          </w:tcPr>
          <w:p w:rsidR="00A6630F" w:rsidRPr="00250248" w:rsidP="00250248" w14:paraId="03155E25" w14:textId="41B2957D">
            <w:pPr>
              <w:tabs>
                <w:tab w:val="center" w:pos="4320"/>
                <w:tab w:val="right" w:pos="8640"/>
              </w:tabs>
              <w:jc w:val="center"/>
              <w:rPr>
                <w:rFonts w:ascii="Times New Roman" w:hAnsi="Times New Roman"/>
              </w:rPr>
            </w:pPr>
            <w:r w:rsidRPr="00250248">
              <w:rPr>
                <w:rFonts w:ascii="Times New Roman" w:hAnsi="Times New Roman"/>
              </w:rPr>
              <w:t>43,056</w:t>
            </w:r>
          </w:p>
        </w:tc>
        <w:tc>
          <w:tcPr>
            <w:tcW w:w="898" w:type="dxa"/>
            <w:vAlign w:val="center"/>
          </w:tcPr>
          <w:p w:rsidR="000249B5" w:rsidRPr="00250248" w:rsidP="00250248" w14:paraId="65C97134" w14:textId="4AC7ACD6">
            <w:pPr>
              <w:tabs>
                <w:tab w:val="center" w:pos="4320"/>
                <w:tab w:val="right" w:pos="8640"/>
              </w:tabs>
              <w:jc w:val="center"/>
              <w:rPr>
                <w:rFonts w:ascii="Times New Roman" w:hAnsi="Times New Roman"/>
              </w:rPr>
            </w:pPr>
            <w:r w:rsidRPr="00250248">
              <w:rPr>
                <w:rFonts w:ascii="Times New Roman" w:hAnsi="Times New Roman"/>
              </w:rPr>
              <w:t>14,352</w:t>
            </w:r>
          </w:p>
        </w:tc>
        <w:tc>
          <w:tcPr>
            <w:tcW w:w="1015" w:type="dxa"/>
            <w:vAlign w:val="center"/>
          </w:tcPr>
          <w:p w:rsidR="00A6630F" w:rsidRPr="00250248" w:rsidP="00250248" w14:paraId="7C08C7D5" w14:textId="296C90B4">
            <w:pPr>
              <w:tabs>
                <w:tab w:val="center" w:pos="4320"/>
                <w:tab w:val="right" w:pos="8640"/>
              </w:tabs>
              <w:jc w:val="center"/>
              <w:rPr>
                <w:rFonts w:ascii="Times New Roman" w:hAnsi="Times New Roman"/>
              </w:rPr>
            </w:pPr>
            <w:r w:rsidRPr="00250248">
              <w:rPr>
                <w:rFonts w:ascii="Times New Roman" w:hAnsi="Times New Roman"/>
              </w:rPr>
              <w:t>$</w:t>
            </w:r>
            <w:r w:rsidRPr="00655BEA">
              <w:rPr>
                <w:rFonts w:ascii="Times New Roman" w:hAnsi="Times New Roman"/>
              </w:rPr>
              <w:t>42.54</w:t>
            </w:r>
          </w:p>
        </w:tc>
        <w:tc>
          <w:tcPr>
            <w:tcW w:w="1539" w:type="dxa"/>
            <w:vAlign w:val="center"/>
          </w:tcPr>
          <w:p w:rsidR="00A6630F" w:rsidRPr="00250248" w:rsidP="00250248" w14:paraId="77E73574" w14:textId="152C8C9B">
            <w:pPr>
              <w:tabs>
                <w:tab w:val="center" w:pos="4320"/>
                <w:tab w:val="right" w:pos="8640"/>
              </w:tabs>
              <w:jc w:val="center"/>
              <w:rPr>
                <w:rFonts w:ascii="Times New Roman" w:hAnsi="Times New Roman"/>
              </w:rPr>
            </w:pPr>
            <w:r w:rsidRPr="00250248">
              <w:rPr>
                <w:rFonts w:ascii="Times New Roman" w:hAnsi="Times New Roman"/>
              </w:rPr>
              <w:t>$610,534</w:t>
            </w:r>
          </w:p>
        </w:tc>
      </w:tr>
      <w:tr w14:paraId="36ED2AAF" w14:textId="77777777" w:rsidTr="00655BEA">
        <w:tblPrEx>
          <w:tblW w:w="10086" w:type="dxa"/>
          <w:jc w:val="center"/>
          <w:tblLook w:val="00A0"/>
        </w:tblPrEx>
        <w:trPr>
          <w:trHeight w:val="432"/>
          <w:jc w:val="center"/>
        </w:trPr>
        <w:tc>
          <w:tcPr>
            <w:tcW w:w="2515" w:type="dxa"/>
            <w:vAlign w:val="center"/>
          </w:tcPr>
          <w:p w:rsidR="00957799" w:rsidRPr="00250248" w:rsidP="004F7B95" w14:paraId="4EB1ACC8" w14:textId="1A91DF33">
            <w:pPr>
              <w:tabs>
                <w:tab w:val="center" w:pos="4320"/>
                <w:tab w:val="right" w:pos="8640"/>
              </w:tabs>
              <w:rPr>
                <w:rFonts w:ascii="Times New Roman" w:hAnsi="Times New Roman"/>
              </w:rPr>
            </w:pPr>
            <w:r w:rsidRPr="00250248">
              <w:rPr>
                <w:rFonts w:ascii="Times New Roman" w:hAnsi="Times New Roman"/>
              </w:rPr>
              <w:t>ACF-404 State Improper Payments Report</w:t>
            </w:r>
            <w:r w:rsidR="005A3E2B">
              <w:rPr>
                <w:rFonts w:ascii="Times New Roman" w:hAnsi="Times New Roman"/>
              </w:rPr>
              <w:t xml:space="preserve"> </w:t>
            </w:r>
            <w:r w:rsidR="005A3E2B">
              <w:rPr>
                <w:rFonts w:ascii="Times New Roman" w:hAnsi="Times New Roman"/>
                <w:i/>
                <w:iCs/>
              </w:rPr>
              <w:t>(</w:t>
            </w:r>
            <w:r w:rsidRPr="00237536" w:rsidR="005A3E2B">
              <w:rPr>
                <w:rFonts w:ascii="Times New Roman" w:hAnsi="Times New Roman"/>
              </w:rPr>
              <w:t>IC-3</w:t>
            </w:r>
            <w:r w:rsidR="00987FFB">
              <w:rPr>
                <w:rFonts w:ascii="Times New Roman" w:hAnsi="Times New Roman"/>
              </w:rPr>
              <w:t xml:space="preserve"> - </w:t>
            </w:r>
            <w:r w:rsidRPr="00237536" w:rsidR="005A3E2B">
              <w:rPr>
                <w:rFonts w:ascii="Times New Roman" w:hAnsi="Times New Roman"/>
              </w:rPr>
              <w:t>ACF-404)</w:t>
            </w:r>
          </w:p>
        </w:tc>
        <w:tc>
          <w:tcPr>
            <w:tcW w:w="280" w:type="dxa"/>
            <w:vAlign w:val="center"/>
          </w:tcPr>
          <w:p w:rsidR="00957799" w:rsidRPr="00D84B0A" w:rsidP="00250248" w14:paraId="113E51DF" w14:textId="00DC9217">
            <w:pPr>
              <w:tabs>
                <w:tab w:val="center" w:pos="4320"/>
                <w:tab w:val="right" w:pos="8640"/>
              </w:tabs>
              <w:jc w:val="center"/>
              <w:rPr>
                <w:rFonts w:ascii="Times New Roman" w:hAnsi="Times New Roman"/>
              </w:rPr>
            </w:pPr>
            <w:r w:rsidRPr="00D84B0A">
              <w:rPr>
                <w:rFonts w:ascii="Times New Roman" w:hAnsi="Times New Roman"/>
              </w:rPr>
              <w:t>52</w:t>
            </w:r>
          </w:p>
        </w:tc>
        <w:tc>
          <w:tcPr>
            <w:tcW w:w="1482" w:type="dxa"/>
            <w:vAlign w:val="center"/>
          </w:tcPr>
          <w:p w:rsidR="0084220A" w:rsidRPr="00250248" w:rsidP="00250248" w14:paraId="1ED789FE" w14:textId="64137A9B">
            <w:pPr>
              <w:tabs>
                <w:tab w:val="center" w:pos="4320"/>
                <w:tab w:val="right" w:pos="8640"/>
              </w:tabs>
              <w:jc w:val="center"/>
              <w:rPr>
                <w:rFonts w:ascii="Times New Roman" w:hAnsi="Times New Roman"/>
              </w:rPr>
            </w:pPr>
            <w:r w:rsidRPr="00250248">
              <w:rPr>
                <w:rFonts w:ascii="Times New Roman" w:hAnsi="Times New Roman"/>
              </w:rPr>
              <w:t>1</w:t>
            </w:r>
          </w:p>
        </w:tc>
        <w:tc>
          <w:tcPr>
            <w:tcW w:w="1289" w:type="dxa"/>
            <w:vAlign w:val="center"/>
          </w:tcPr>
          <w:p w:rsidR="00957799" w:rsidRPr="00250248" w:rsidP="00250248" w14:paraId="4DD58EAB" w14:textId="46B7CED2">
            <w:pPr>
              <w:tabs>
                <w:tab w:val="center" w:pos="4320"/>
                <w:tab w:val="right" w:pos="8640"/>
              </w:tabs>
              <w:jc w:val="center"/>
              <w:rPr>
                <w:rFonts w:ascii="Times New Roman" w:hAnsi="Times New Roman"/>
              </w:rPr>
            </w:pPr>
            <w:r w:rsidRPr="00250248">
              <w:rPr>
                <w:rFonts w:ascii="Times New Roman" w:hAnsi="Times New Roman"/>
              </w:rPr>
              <w:t>66</w:t>
            </w:r>
          </w:p>
        </w:tc>
        <w:tc>
          <w:tcPr>
            <w:tcW w:w="1068" w:type="dxa"/>
            <w:vAlign w:val="center"/>
          </w:tcPr>
          <w:p w:rsidR="00957799" w:rsidRPr="00250248" w:rsidP="00250248" w14:paraId="14CF1535" w14:textId="0EDE7C1D">
            <w:pPr>
              <w:tabs>
                <w:tab w:val="center" w:pos="4320"/>
                <w:tab w:val="right" w:pos="8640"/>
              </w:tabs>
              <w:jc w:val="center"/>
              <w:rPr>
                <w:rFonts w:ascii="Times New Roman" w:hAnsi="Times New Roman"/>
              </w:rPr>
            </w:pPr>
            <w:r w:rsidRPr="00250248">
              <w:rPr>
                <w:rFonts w:ascii="Times New Roman" w:hAnsi="Times New Roman"/>
              </w:rPr>
              <w:t>3,432</w:t>
            </w:r>
          </w:p>
        </w:tc>
        <w:tc>
          <w:tcPr>
            <w:tcW w:w="898" w:type="dxa"/>
            <w:vAlign w:val="center"/>
          </w:tcPr>
          <w:p w:rsidR="000249B5" w:rsidRPr="00250248" w:rsidP="00250248" w14:paraId="676D58FC" w14:textId="42AA3421">
            <w:pPr>
              <w:tabs>
                <w:tab w:val="center" w:pos="4320"/>
                <w:tab w:val="right" w:pos="8640"/>
              </w:tabs>
              <w:jc w:val="center"/>
              <w:rPr>
                <w:rFonts w:ascii="Times New Roman" w:hAnsi="Times New Roman"/>
              </w:rPr>
            </w:pPr>
            <w:r w:rsidRPr="00250248">
              <w:rPr>
                <w:rFonts w:ascii="Times New Roman" w:hAnsi="Times New Roman"/>
              </w:rPr>
              <w:t>1,144</w:t>
            </w:r>
          </w:p>
        </w:tc>
        <w:tc>
          <w:tcPr>
            <w:tcW w:w="1015" w:type="dxa"/>
            <w:vAlign w:val="center"/>
          </w:tcPr>
          <w:p w:rsidR="00957799" w:rsidRPr="00250248" w:rsidP="00250248" w14:paraId="68FBA75E" w14:textId="29BBEE91">
            <w:pPr>
              <w:tabs>
                <w:tab w:val="center" w:pos="4320"/>
                <w:tab w:val="right" w:pos="8640"/>
              </w:tabs>
              <w:jc w:val="center"/>
              <w:rPr>
                <w:rFonts w:ascii="Times New Roman" w:hAnsi="Times New Roman"/>
              </w:rPr>
            </w:pPr>
            <w:r w:rsidRPr="00250248">
              <w:rPr>
                <w:rFonts w:ascii="Times New Roman" w:hAnsi="Times New Roman"/>
              </w:rPr>
              <w:t>$</w:t>
            </w:r>
            <w:r w:rsidRPr="00655BEA">
              <w:rPr>
                <w:rFonts w:ascii="Times New Roman" w:hAnsi="Times New Roman"/>
              </w:rPr>
              <w:t>42.54</w:t>
            </w:r>
          </w:p>
        </w:tc>
        <w:tc>
          <w:tcPr>
            <w:tcW w:w="1539" w:type="dxa"/>
            <w:vAlign w:val="center"/>
          </w:tcPr>
          <w:p w:rsidR="00957799" w:rsidRPr="00250248" w:rsidP="00250248" w14:paraId="1950A99A" w14:textId="32E1E672">
            <w:pPr>
              <w:tabs>
                <w:tab w:val="center" w:pos="4320"/>
                <w:tab w:val="right" w:pos="8640"/>
              </w:tabs>
              <w:jc w:val="center"/>
              <w:rPr>
                <w:rFonts w:ascii="Times New Roman" w:hAnsi="Times New Roman"/>
              </w:rPr>
            </w:pPr>
            <w:r w:rsidRPr="00250248">
              <w:rPr>
                <w:rFonts w:ascii="Times New Roman" w:hAnsi="Times New Roman"/>
              </w:rPr>
              <w:t>$48,666</w:t>
            </w:r>
          </w:p>
        </w:tc>
      </w:tr>
      <w:tr w14:paraId="0FF255B2" w14:textId="77777777" w:rsidTr="00655BEA">
        <w:tblPrEx>
          <w:tblW w:w="10086" w:type="dxa"/>
          <w:jc w:val="center"/>
          <w:tblLook w:val="00A0"/>
        </w:tblPrEx>
        <w:trPr>
          <w:trHeight w:val="432"/>
          <w:jc w:val="center"/>
        </w:trPr>
        <w:tc>
          <w:tcPr>
            <w:tcW w:w="2515" w:type="dxa"/>
            <w:vAlign w:val="center"/>
          </w:tcPr>
          <w:p w:rsidR="00957799" w:rsidRPr="00250248" w:rsidP="004F7B95" w14:paraId="4BF0AF33" w14:textId="4FE89374">
            <w:pPr>
              <w:tabs>
                <w:tab w:val="center" w:pos="4320"/>
                <w:tab w:val="right" w:pos="8640"/>
              </w:tabs>
              <w:rPr>
                <w:rFonts w:ascii="Times New Roman" w:hAnsi="Times New Roman"/>
              </w:rPr>
            </w:pPr>
            <w:r w:rsidRPr="00250248">
              <w:rPr>
                <w:rFonts w:ascii="Times New Roman" w:hAnsi="Times New Roman"/>
              </w:rPr>
              <w:t xml:space="preserve">ACF-405 </w:t>
            </w:r>
            <w:r w:rsidRPr="00250248" w:rsidR="0098518C">
              <w:rPr>
                <w:rFonts w:ascii="Times New Roman" w:hAnsi="Times New Roman"/>
              </w:rPr>
              <w:t>State Improper Payments Report Corrective Action Plan</w:t>
            </w:r>
            <w:r w:rsidR="005A3E2B">
              <w:rPr>
                <w:rFonts w:ascii="Times New Roman" w:hAnsi="Times New Roman"/>
              </w:rPr>
              <w:t xml:space="preserve"> </w:t>
            </w:r>
            <w:r w:rsidRPr="00237536" w:rsidR="005A3E2B">
              <w:rPr>
                <w:rFonts w:ascii="Times New Roman" w:hAnsi="Times New Roman"/>
              </w:rPr>
              <w:t>(IC-</w:t>
            </w:r>
            <w:r w:rsidRPr="00237536" w:rsidR="00237536">
              <w:rPr>
                <w:rFonts w:ascii="Times New Roman" w:hAnsi="Times New Roman"/>
              </w:rPr>
              <w:t>4</w:t>
            </w:r>
            <w:r w:rsidR="00987FFB">
              <w:rPr>
                <w:rFonts w:ascii="Times New Roman" w:hAnsi="Times New Roman"/>
              </w:rPr>
              <w:t xml:space="preserve"> -</w:t>
            </w:r>
            <w:r w:rsidRPr="00237536" w:rsidR="005A3E2B">
              <w:rPr>
                <w:rFonts w:ascii="Times New Roman" w:hAnsi="Times New Roman"/>
              </w:rPr>
              <w:t xml:space="preserve"> </w:t>
            </w:r>
            <w:r w:rsidR="00237536">
              <w:rPr>
                <w:rFonts w:ascii="Times New Roman" w:hAnsi="Times New Roman"/>
              </w:rPr>
              <w:t>ACF-405</w:t>
            </w:r>
            <w:r w:rsidRPr="00237536" w:rsidR="005A3E2B">
              <w:rPr>
                <w:rFonts w:ascii="Times New Roman" w:hAnsi="Times New Roman"/>
              </w:rPr>
              <w:t>)</w:t>
            </w:r>
          </w:p>
        </w:tc>
        <w:tc>
          <w:tcPr>
            <w:tcW w:w="280" w:type="dxa"/>
            <w:vAlign w:val="center"/>
          </w:tcPr>
          <w:p w:rsidR="00957799" w:rsidRPr="00D84B0A" w:rsidP="00250248" w14:paraId="6B7E0214" w14:textId="0ED31EE5">
            <w:pPr>
              <w:tabs>
                <w:tab w:val="center" w:pos="4320"/>
                <w:tab w:val="right" w:pos="8640"/>
              </w:tabs>
              <w:jc w:val="center"/>
              <w:rPr>
                <w:rFonts w:ascii="Times New Roman" w:hAnsi="Times New Roman"/>
              </w:rPr>
            </w:pPr>
            <w:r w:rsidRPr="00D84B0A">
              <w:rPr>
                <w:rFonts w:ascii="Times New Roman" w:hAnsi="Times New Roman"/>
              </w:rPr>
              <w:t>6</w:t>
            </w:r>
          </w:p>
        </w:tc>
        <w:tc>
          <w:tcPr>
            <w:tcW w:w="1482" w:type="dxa"/>
            <w:vAlign w:val="center"/>
          </w:tcPr>
          <w:p w:rsidR="0084220A" w:rsidRPr="00250248" w:rsidP="00250248" w14:paraId="5C22AF34" w14:textId="2DC811C5">
            <w:pPr>
              <w:tabs>
                <w:tab w:val="center" w:pos="4320"/>
                <w:tab w:val="right" w:pos="8640"/>
              </w:tabs>
              <w:jc w:val="center"/>
              <w:rPr>
                <w:rFonts w:ascii="Times New Roman" w:hAnsi="Times New Roman"/>
              </w:rPr>
            </w:pPr>
            <w:r w:rsidRPr="00250248">
              <w:rPr>
                <w:rFonts w:ascii="Times New Roman" w:hAnsi="Times New Roman"/>
              </w:rPr>
              <w:t>2</w:t>
            </w:r>
            <w:r w:rsidRPr="00655BEA" w:rsidR="00575E02">
              <w:rPr>
                <w:rFonts w:ascii="Times New Roman" w:hAnsi="Times New Roman"/>
                <w:vertAlign w:val="superscript"/>
              </w:rPr>
              <w:t xml:space="preserve"> a</w:t>
            </w:r>
          </w:p>
        </w:tc>
        <w:tc>
          <w:tcPr>
            <w:tcW w:w="1289" w:type="dxa"/>
            <w:vAlign w:val="center"/>
          </w:tcPr>
          <w:p w:rsidR="00957799" w:rsidRPr="00250248" w:rsidP="00250248" w14:paraId="39A83422" w14:textId="236A245A">
            <w:pPr>
              <w:tabs>
                <w:tab w:val="center" w:pos="4320"/>
                <w:tab w:val="right" w:pos="8640"/>
              </w:tabs>
              <w:jc w:val="center"/>
              <w:rPr>
                <w:rFonts w:ascii="Times New Roman" w:hAnsi="Times New Roman"/>
              </w:rPr>
            </w:pPr>
            <w:r w:rsidRPr="00250248">
              <w:rPr>
                <w:rFonts w:ascii="Times New Roman" w:hAnsi="Times New Roman"/>
              </w:rPr>
              <w:t>24</w:t>
            </w:r>
          </w:p>
        </w:tc>
        <w:tc>
          <w:tcPr>
            <w:tcW w:w="1068" w:type="dxa"/>
            <w:vAlign w:val="center"/>
          </w:tcPr>
          <w:p w:rsidR="00957799" w:rsidRPr="00250248" w:rsidP="00250248" w14:paraId="04E4D8D1" w14:textId="40854318">
            <w:pPr>
              <w:tabs>
                <w:tab w:val="center" w:pos="4320"/>
                <w:tab w:val="right" w:pos="8640"/>
              </w:tabs>
              <w:jc w:val="center"/>
              <w:rPr>
                <w:rFonts w:ascii="Times New Roman" w:hAnsi="Times New Roman"/>
              </w:rPr>
            </w:pPr>
            <w:r w:rsidRPr="00250248">
              <w:rPr>
                <w:rFonts w:ascii="Times New Roman" w:hAnsi="Times New Roman"/>
              </w:rPr>
              <w:t>288</w:t>
            </w:r>
          </w:p>
        </w:tc>
        <w:tc>
          <w:tcPr>
            <w:tcW w:w="898" w:type="dxa"/>
            <w:vAlign w:val="center"/>
          </w:tcPr>
          <w:p w:rsidR="00377B0B" w:rsidRPr="00250248" w:rsidP="00250248" w14:paraId="5A5E82F2" w14:textId="36F3E62F">
            <w:pPr>
              <w:tabs>
                <w:tab w:val="center" w:pos="4320"/>
                <w:tab w:val="right" w:pos="8640"/>
              </w:tabs>
              <w:jc w:val="center"/>
              <w:rPr>
                <w:rFonts w:ascii="Times New Roman" w:hAnsi="Times New Roman"/>
              </w:rPr>
            </w:pPr>
            <w:r w:rsidRPr="00250248">
              <w:rPr>
                <w:rFonts w:ascii="Times New Roman" w:hAnsi="Times New Roman"/>
              </w:rPr>
              <w:t>96</w:t>
            </w:r>
          </w:p>
        </w:tc>
        <w:tc>
          <w:tcPr>
            <w:tcW w:w="1015" w:type="dxa"/>
            <w:vAlign w:val="center"/>
          </w:tcPr>
          <w:p w:rsidR="00957799" w:rsidRPr="00250248" w:rsidP="00250248" w14:paraId="76D26084" w14:textId="54F1214F">
            <w:pPr>
              <w:tabs>
                <w:tab w:val="center" w:pos="4320"/>
                <w:tab w:val="right" w:pos="8640"/>
              </w:tabs>
              <w:jc w:val="center"/>
              <w:rPr>
                <w:rFonts w:ascii="Times New Roman" w:hAnsi="Times New Roman"/>
              </w:rPr>
            </w:pPr>
            <w:r w:rsidRPr="00250248">
              <w:rPr>
                <w:rFonts w:ascii="Times New Roman" w:hAnsi="Times New Roman"/>
              </w:rPr>
              <w:t>$</w:t>
            </w:r>
            <w:r w:rsidRPr="00655BEA">
              <w:rPr>
                <w:rFonts w:ascii="Times New Roman" w:hAnsi="Times New Roman"/>
              </w:rPr>
              <w:t>42.54</w:t>
            </w:r>
          </w:p>
        </w:tc>
        <w:tc>
          <w:tcPr>
            <w:tcW w:w="1539" w:type="dxa"/>
            <w:vAlign w:val="center"/>
          </w:tcPr>
          <w:p w:rsidR="00F5577C" w:rsidRPr="00250248" w:rsidP="00250248" w14:paraId="7FCDA9A7" w14:textId="77BFD527">
            <w:pPr>
              <w:tabs>
                <w:tab w:val="center" w:pos="4320"/>
                <w:tab w:val="right" w:pos="8640"/>
              </w:tabs>
              <w:jc w:val="center"/>
              <w:rPr>
                <w:rFonts w:ascii="Times New Roman" w:hAnsi="Times New Roman"/>
              </w:rPr>
            </w:pPr>
            <w:r w:rsidRPr="00250248">
              <w:rPr>
                <w:rFonts w:ascii="Times New Roman" w:hAnsi="Times New Roman"/>
              </w:rPr>
              <w:t>$4,084</w:t>
            </w:r>
          </w:p>
        </w:tc>
      </w:tr>
      <w:tr w14:paraId="68F71184" w14:textId="77777777" w:rsidTr="00655BEA">
        <w:tblPrEx>
          <w:tblW w:w="10086" w:type="dxa"/>
          <w:jc w:val="center"/>
          <w:tblLook w:val="00A0"/>
        </w:tblPrEx>
        <w:trPr>
          <w:jc w:val="center"/>
        </w:trPr>
        <w:tc>
          <w:tcPr>
            <w:tcW w:w="6634" w:type="dxa"/>
            <w:gridSpan w:val="5"/>
            <w:vAlign w:val="center"/>
          </w:tcPr>
          <w:p w:rsidR="00957799" w:rsidRPr="00250248" w:rsidP="662E7714" w14:paraId="5ECE420A" w14:textId="0D44B835">
            <w:pPr>
              <w:tabs>
                <w:tab w:val="center" w:pos="4320"/>
                <w:tab w:val="right" w:pos="8640"/>
              </w:tabs>
              <w:jc w:val="right"/>
              <w:rPr>
                <w:rFonts w:ascii="Times New Roman" w:hAnsi="Times New Roman"/>
                <w:b/>
                <w:bCs/>
              </w:rPr>
            </w:pPr>
            <w:r w:rsidRPr="00250248">
              <w:rPr>
                <w:rFonts w:ascii="Times New Roman" w:hAnsi="Times New Roman"/>
                <w:b/>
                <w:bCs/>
              </w:rPr>
              <w:t xml:space="preserve">Estimated Annual Burden </w:t>
            </w:r>
            <w:r w:rsidRPr="00250248" w:rsidR="689E69F9">
              <w:rPr>
                <w:rFonts w:ascii="Times New Roman" w:hAnsi="Times New Roman"/>
                <w:b/>
                <w:bCs/>
              </w:rPr>
              <w:t xml:space="preserve">and Cost </w:t>
            </w:r>
            <w:r w:rsidRPr="00250248">
              <w:rPr>
                <w:rFonts w:ascii="Times New Roman" w:hAnsi="Times New Roman"/>
                <w:b/>
                <w:bCs/>
              </w:rPr>
              <w:t>T</w:t>
            </w:r>
            <w:r w:rsidRPr="00250248" w:rsidR="00F210CA">
              <w:rPr>
                <w:rFonts w:ascii="Times New Roman" w:hAnsi="Times New Roman"/>
                <w:b/>
                <w:bCs/>
              </w:rPr>
              <w:t>otal</w:t>
            </w:r>
            <w:r w:rsidRPr="00250248" w:rsidR="28CE150C">
              <w:rPr>
                <w:rFonts w:ascii="Times New Roman" w:hAnsi="Times New Roman"/>
                <w:b/>
                <w:bCs/>
              </w:rPr>
              <w:t>s</w:t>
            </w:r>
            <w:r w:rsidRPr="00250248" w:rsidR="00F210CA">
              <w:rPr>
                <w:rFonts w:ascii="Times New Roman" w:hAnsi="Times New Roman"/>
                <w:b/>
                <w:bCs/>
              </w:rPr>
              <w:t xml:space="preserve">: </w:t>
            </w:r>
            <w:r w:rsidRPr="00250248">
              <w:rPr>
                <w:rFonts w:ascii="Times New Roman" w:hAnsi="Times New Roman"/>
                <w:b/>
                <w:bCs/>
              </w:rPr>
              <w:t xml:space="preserve"> </w:t>
            </w:r>
          </w:p>
        </w:tc>
        <w:tc>
          <w:tcPr>
            <w:tcW w:w="898" w:type="dxa"/>
          </w:tcPr>
          <w:p w:rsidR="00957799" w:rsidRPr="00250248" w:rsidP="004F7B95" w14:paraId="29C85233" w14:textId="1989880C">
            <w:pPr>
              <w:tabs>
                <w:tab w:val="center" w:pos="4320"/>
                <w:tab w:val="right" w:pos="8640"/>
              </w:tabs>
              <w:jc w:val="center"/>
              <w:rPr>
                <w:rFonts w:ascii="Times New Roman" w:hAnsi="Times New Roman"/>
                <w:b/>
              </w:rPr>
            </w:pPr>
            <w:r w:rsidRPr="00250248">
              <w:rPr>
                <w:rFonts w:ascii="Times New Roman" w:hAnsi="Times New Roman"/>
                <w:b/>
              </w:rPr>
              <w:t>17,291</w:t>
            </w:r>
          </w:p>
        </w:tc>
        <w:tc>
          <w:tcPr>
            <w:tcW w:w="1015" w:type="dxa"/>
          </w:tcPr>
          <w:p w:rsidR="00957799" w:rsidRPr="00250248" w:rsidP="662E7714" w14:paraId="05063CD5" w14:textId="1F16F819">
            <w:pPr>
              <w:tabs>
                <w:tab w:val="center" w:pos="4320"/>
                <w:tab w:val="right" w:pos="8640"/>
              </w:tabs>
              <w:jc w:val="center"/>
              <w:rPr>
                <w:rFonts w:ascii="Times New Roman" w:hAnsi="Times New Roman"/>
                <w:b/>
                <w:bCs/>
              </w:rPr>
            </w:pPr>
            <w:r w:rsidRPr="00250248">
              <w:rPr>
                <w:rFonts w:ascii="Times New Roman" w:hAnsi="Times New Roman"/>
                <w:b/>
                <w:bCs/>
              </w:rPr>
              <w:t>-</w:t>
            </w:r>
          </w:p>
        </w:tc>
        <w:tc>
          <w:tcPr>
            <w:tcW w:w="1539" w:type="dxa"/>
          </w:tcPr>
          <w:p w:rsidR="00957799" w:rsidRPr="00250248" w:rsidP="004F7B95" w14:paraId="5B5863BC" w14:textId="6CFB8C4A">
            <w:pPr>
              <w:tabs>
                <w:tab w:val="center" w:pos="4320"/>
                <w:tab w:val="right" w:pos="8640"/>
              </w:tabs>
              <w:jc w:val="center"/>
              <w:rPr>
                <w:rFonts w:ascii="Times New Roman" w:hAnsi="Times New Roman"/>
                <w:b/>
              </w:rPr>
            </w:pPr>
            <w:r w:rsidRPr="00250248">
              <w:rPr>
                <w:rFonts w:ascii="Times New Roman" w:hAnsi="Times New Roman"/>
                <w:b/>
              </w:rPr>
              <w:t>$735,559</w:t>
            </w:r>
          </w:p>
        </w:tc>
      </w:tr>
    </w:tbl>
    <w:p w:rsidR="00B262D2" w:rsidRPr="00D46752" w:rsidP="00B262D2" w14:paraId="76213705" w14:textId="76EBE6E1">
      <w:pPr>
        <w:pStyle w:val="ListParagraph"/>
        <w:widowControl/>
        <w:numPr>
          <w:ilvl w:val="0"/>
          <w:numId w:val="23"/>
        </w:numPr>
        <w:ind w:left="450" w:hanging="450"/>
        <w:contextualSpacing/>
        <w:rPr>
          <w:rFonts w:ascii="Times New Roman" w:hAnsi="Times New Roman"/>
        </w:rPr>
      </w:pPr>
      <w:r w:rsidRPr="00D46752">
        <w:rPr>
          <w:rFonts w:ascii="Times New Roman" w:hAnsi="Times New Roman"/>
          <w:sz w:val="18"/>
          <w:szCs w:val="18"/>
        </w:rPr>
        <w:t xml:space="preserve">The total number of responses per respondent over three years ranges from 1-3, depending on how long it takes respondents to reduce the Improper Payment Rate to below the threshold. Respondents submit a </w:t>
      </w:r>
      <w:r w:rsidRPr="00D46752">
        <w:rPr>
          <w:rFonts w:ascii="Times New Roman" w:hAnsi="Times New Roman"/>
          <w:i/>
          <w:iCs/>
          <w:sz w:val="18"/>
          <w:szCs w:val="18"/>
        </w:rPr>
        <w:t>Corrective Action Plan</w:t>
      </w:r>
      <w:r w:rsidRPr="00D46752">
        <w:rPr>
          <w:rFonts w:ascii="Times New Roman" w:hAnsi="Times New Roman"/>
          <w:sz w:val="18"/>
          <w:szCs w:val="18"/>
        </w:rPr>
        <w:t xml:space="preserve"> that covers a one-year period; at the end of each year, if respondents have not reduced the Improper Payment Rate to below the threshold, they submit a new </w:t>
      </w:r>
      <w:r w:rsidRPr="00D46752">
        <w:rPr>
          <w:rFonts w:ascii="Times New Roman" w:hAnsi="Times New Roman"/>
          <w:i/>
          <w:iCs/>
          <w:sz w:val="18"/>
          <w:szCs w:val="18"/>
        </w:rPr>
        <w:t>Corrective Action Plan</w:t>
      </w:r>
      <w:r w:rsidRPr="00D46752">
        <w:rPr>
          <w:rFonts w:ascii="Times New Roman" w:hAnsi="Times New Roman"/>
          <w:sz w:val="18"/>
          <w:szCs w:val="18"/>
        </w:rPr>
        <w:t xml:space="preserve"> for the following year. An average of 2 responses per respondent over a three-year period is used to calculate annual burden estimates.</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72551" w:rsidP="00E72551" w14:paraId="31036530" w14:textId="6FCEC59A">
      <w:pPr>
        <w:widowControl/>
        <w:ind w:left="360"/>
        <w:rPr>
          <w:rFonts w:ascii="Times New Roman" w:hAnsi="Times New Roman"/>
          <w:snapToGrid/>
          <w:sz w:val="24"/>
          <w:szCs w:val="24"/>
        </w:rPr>
      </w:pPr>
      <w:r w:rsidRPr="00556701">
        <w:rPr>
          <w:rFonts w:ascii="Times New Roman" w:hAnsi="Times New Roman"/>
          <w:color w:val="000000"/>
          <w:sz w:val="24"/>
          <w:szCs w:val="24"/>
        </w:rPr>
        <w:t xml:space="preserve">There are no </w:t>
      </w:r>
      <w:r>
        <w:rPr>
          <w:rFonts w:ascii="Times New Roman" w:hAnsi="Times New Roman"/>
          <w:color w:val="000000"/>
          <w:sz w:val="24"/>
          <w:szCs w:val="24"/>
        </w:rPr>
        <w:t xml:space="preserve">other </w:t>
      </w:r>
      <w:r w:rsidRPr="00556701">
        <w:rPr>
          <w:rFonts w:ascii="Times New Roman" w:hAnsi="Times New Roman"/>
          <w:color w:val="000000"/>
          <w:sz w:val="24"/>
          <w:szCs w:val="24"/>
        </w:rPr>
        <w:t xml:space="preserve">costs to respondents </w:t>
      </w:r>
      <w:r w:rsidR="00EC4E62">
        <w:rPr>
          <w:rFonts w:ascii="Times New Roman" w:hAnsi="Times New Roman"/>
          <w:color w:val="000000"/>
          <w:sz w:val="24"/>
          <w:szCs w:val="24"/>
        </w:rPr>
        <w:t xml:space="preserve">and record keepers.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RPr="002E7BBF" w:rsidP="00DE529D" w14:paraId="61EB7859" w14:textId="03159B03">
      <w:pPr>
        <w:widowControl/>
        <w:ind w:left="360"/>
        <w:rPr>
          <w:rFonts w:ascii="Times New Roman" w:hAnsi="Times New Roman"/>
          <w:b/>
          <w:bCs/>
          <w:snapToGrid/>
          <w:sz w:val="24"/>
          <w:szCs w:val="24"/>
          <w:u w:val="single"/>
        </w:rPr>
      </w:pPr>
      <w:r w:rsidRPr="002E7BBF">
        <w:rPr>
          <w:rFonts w:ascii="Times New Roman" w:hAnsi="Times New Roman"/>
          <w:b/>
          <w:bCs/>
          <w:snapToGrid/>
          <w:sz w:val="24"/>
          <w:szCs w:val="24"/>
          <w:u w:val="single"/>
        </w:rPr>
        <w:t>Task</w:t>
      </w:r>
      <w:r w:rsidRPr="002E7BBF" w:rsidR="0038637C">
        <w:rPr>
          <w:rFonts w:ascii="Times New Roman" w:hAnsi="Times New Roman"/>
          <w:b/>
          <w:bCs/>
          <w:snapToGrid/>
          <w:sz w:val="24"/>
          <w:szCs w:val="24"/>
          <w:u w:val="single"/>
        </w:rPr>
        <w:tab/>
      </w:r>
      <w:r w:rsidRPr="002E7BBF" w:rsidR="0038637C">
        <w:rPr>
          <w:rFonts w:ascii="Times New Roman" w:hAnsi="Times New Roman"/>
          <w:b/>
          <w:bCs/>
          <w:snapToGrid/>
          <w:sz w:val="24"/>
          <w:szCs w:val="24"/>
          <w:u w:val="single"/>
        </w:rPr>
        <w:tab/>
      </w:r>
      <w:r w:rsidRPr="002E7BBF" w:rsidR="0038637C">
        <w:rPr>
          <w:rFonts w:ascii="Times New Roman" w:hAnsi="Times New Roman"/>
          <w:b/>
          <w:bCs/>
          <w:snapToGrid/>
          <w:sz w:val="24"/>
          <w:szCs w:val="24"/>
          <w:u w:val="single"/>
        </w:rPr>
        <w:tab/>
        <w:t>Estimated Hours</w:t>
      </w:r>
      <w:r w:rsidRPr="002E7BBF" w:rsidR="0038637C">
        <w:rPr>
          <w:rFonts w:ascii="Times New Roman" w:hAnsi="Times New Roman"/>
          <w:b/>
          <w:bCs/>
          <w:snapToGrid/>
          <w:sz w:val="24"/>
          <w:szCs w:val="24"/>
          <w:u w:val="single"/>
        </w:rPr>
        <w:tab/>
        <w:t>Estimated Rate</w:t>
      </w:r>
      <w:r w:rsidRPr="002E7BBF" w:rsidR="0038637C">
        <w:rPr>
          <w:rFonts w:ascii="Times New Roman" w:hAnsi="Times New Roman"/>
          <w:b/>
          <w:bCs/>
          <w:snapToGrid/>
          <w:sz w:val="24"/>
          <w:szCs w:val="24"/>
          <w:u w:val="single"/>
        </w:rPr>
        <w:tab/>
        <w:t>Total</w:t>
      </w:r>
    </w:p>
    <w:p w:rsidR="00DB21FD" w:rsidRPr="002E7BBF" w:rsidP="00DE529D" w14:paraId="1B0EF383" w14:textId="60753BFA">
      <w:pPr>
        <w:widowControl/>
        <w:ind w:left="360"/>
        <w:rPr>
          <w:rFonts w:ascii="Times New Roman" w:hAnsi="Times New Roman"/>
          <w:snapToGrid/>
          <w:sz w:val="24"/>
          <w:szCs w:val="24"/>
          <w:u w:val="single"/>
        </w:rPr>
      </w:pPr>
      <w:r w:rsidRPr="002E7BBF">
        <w:rPr>
          <w:rFonts w:ascii="Times New Roman" w:hAnsi="Times New Roman"/>
          <w:snapToGrid/>
          <w:sz w:val="24"/>
          <w:szCs w:val="24"/>
          <w:u w:val="single"/>
        </w:rPr>
        <w:t>DCI Report Review</w:t>
      </w:r>
      <w:r w:rsidRPr="002E7BBF">
        <w:rPr>
          <w:rFonts w:ascii="Times New Roman" w:hAnsi="Times New Roman"/>
          <w:snapToGrid/>
          <w:sz w:val="24"/>
          <w:szCs w:val="24"/>
          <w:u w:val="single"/>
        </w:rPr>
        <w:tab/>
        <w:t>2064</w:t>
      </w:r>
      <w:r w:rsidRPr="002E7BBF">
        <w:rPr>
          <w:rFonts w:ascii="Times New Roman" w:hAnsi="Times New Roman"/>
          <w:snapToGrid/>
          <w:sz w:val="24"/>
          <w:szCs w:val="24"/>
          <w:u w:val="single"/>
        </w:rPr>
        <w:tab/>
      </w:r>
      <w:r w:rsidRPr="002E7BBF">
        <w:rPr>
          <w:rFonts w:ascii="Times New Roman" w:hAnsi="Times New Roman"/>
          <w:snapToGrid/>
          <w:sz w:val="24"/>
          <w:szCs w:val="24"/>
          <w:u w:val="single"/>
        </w:rPr>
        <w:tab/>
      </w:r>
      <w:r w:rsidRPr="002E7BBF">
        <w:rPr>
          <w:rFonts w:ascii="Times New Roman" w:hAnsi="Times New Roman"/>
          <w:snapToGrid/>
          <w:sz w:val="24"/>
          <w:szCs w:val="24"/>
          <w:u w:val="single"/>
        </w:rPr>
        <w:tab/>
        <w:t>$71.34</w:t>
      </w:r>
      <w:r w:rsidRPr="002E7BBF">
        <w:rPr>
          <w:rFonts w:ascii="Times New Roman" w:hAnsi="Times New Roman"/>
          <w:snapToGrid/>
          <w:sz w:val="24"/>
          <w:szCs w:val="24"/>
          <w:u w:val="single"/>
        </w:rPr>
        <w:tab/>
      </w:r>
      <w:r w:rsidRPr="002E7BBF">
        <w:rPr>
          <w:rFonts w:ascii="Times New Roman" w:hAnsi="Times New Roman"/>
          <w:snapToGrid/>
          <w:sz w:val="24"/>
          <w:szCs w:val="24"/>
          <w:u w:val="single"/>
        </w:rPr>
        <w:tab/>
      </w:r>
      <w:r w:rsidRPr="002E7BBF">
        <w:rPr>
          <w:rFonts w:ascii="Times New Roman" w:hAnsi="Times New Roman"/>
          <w:snapToGrid/>
          <w:sz w:val="24"/>
          <w:szCs w:val="24"/>
          <w:u w:val="single"/>
        </w:rPr>
        <w:tab/>
      </w:r>
      <w:r w:rsidRPr="002E7BBF" w:rsidR="00864B61">
        <w:rPr>
          <w:rFonts w:ascii="Times New Roman" w:hAnsi="Times New Roman"/>
          <w:snapToGrid/>
          <w:sz w:val="24"/>
          <w:szCs w:val="24"/>
          <w:u w:val="single"/>
        </w:rPr>
        <w:t>$147,246</w:t>
      </w:r>
    </w:p>
    <w:p w:rsidR="00864B61" w:rsidP="00DE529D" w14:paraId="3B79C611" w14:textId="472523A4">
      <w:pPr>
        <w:widowControl/>
        <w:ind w:left="360"/>
        <w:rPr>
          <w:rFonts w:ascii="Times New Roman" w:hAnsi="Times New Roman"/>
          <w:snapToGrid/>
          <w:sz w:val="24"/>
          <w:szCs w:val="24"/>
        </w:rPr>
      </w:pPr>
      <w:r>
        <w:rPr>
          <w:rFonts w:ascii="Times New Roman" w:hAnsi="Times New Roman"/>
          <w:snapToGrid/>
          <w:sz w:val="24"/>
          <w:szCs w:val="24"/>
        </w:rPr>
        <w:t>Total (over 3 years)</w:t>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t>$</w:t>
      </w:r>
      <w:r w:rsidRPr="002E7BBF" w:rsidR="00D937FE">
        <w:rPr>
          <w:rFonts w:ascii="Times New Roman" w:hAnsi="Times New Roman"/>
          <w:snapToGrid/>
          <w:sz w:val="24"/>
          <w:szCs w:val="24"/>
          <w:u w:val="single"/>
        </w:rPr>
        <w:t>147,246</w:t>
      </w:r>
    </w:p>
    <w:p w:rsidR="00864B61" w:rsidP="00DE529D" w14:paraId="787BF8D7" w14:textId="76D51847">
      <w:pPr>
        <w:widowControl/>
        <w:ind w:left="360"/>
        <w:rPr>
          <w:rFonts w:ascii="Times New Roman" w:hAnsi="Times New Roman"/>
          <w:snapToGrid/>
          <w:sz w:val="24"/>
          <w:szCs w:val="24"/>
        </w:rPr>
      </w:pPr>
      <w:r>
        <w:rPr>
          <w:rFonts w:ascii="Times New Roman" w:hAnsi="Times New Roman"/>
          <w:snapToGrid/>
          <w:sz w:val="24"/>
          <w:szCs w:val="24"/>
        </w:rPr>
        <w:t>Total Annual (Total/3 years)</w:t>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sidRPr="002E7BBF" w:rsidR="00D80AA2">
        <w:rPr>
          <w:rFonts w:ascii="Times New Roman" w:hAnsi="Times New Roman"/>
          <w:b/>
          <w:bCs/>
          <w:snapToGrid/>
          <w:sz w:val="24"/>
          <w:szCs w:val="24"/>
        </w:rPr>
        <w:t>$</w:t>
      </w:r>
      <w:r w:rsidR="00F8348F">
        <w:rPr>
          <w:rFonts w:ascii="Times New Roman" w:hAnsi="Times New Roman"/>
          <w:b/>
          <w:bCs/>
          <w:snapToGrid/>
          <w:sz w:val="24"/>
          <w:szCs w:val="24"/>
        </w:rPr>
        <w:t>49,082</w:t>
      </w:r>
    </w:p>
    <w:p w:rsidR="00D80AA2" w:rsidP="00DE529D" w14:paraId="09A3BEF7" w14:textId="77777777">
      <w:pPr>
        <w:widowControl/>
        <w:ind w:left="360"/>
        <w:rPr>
          <w:rFonts w:ascii="Times New Roman" w:hAnsi="Times New Roman"/>
          <w:snapToGrid/>
          <w:sz w:val="24"/>
          <w:szCs w:val="24"/>
        </w:rPr>
      </w:pPr>
    </w:p>
    <w:p w:rsidR="00D80AA2" w:rsidP="00DE529D" w14:paraId="753AFC47" w14:textId="6A730216">
      <w:pPr>
        <w:widowControl/>
        <w:ind w:left="360"/>
        <w:rPr>
          <w:rFonts w:ascii="Times New Roman" w:hAnsi="Times New Roman"/>
          <w:snapToGrid/>
          <w:sz w:val="24"/>
          <w:szCs w:val="24"/>
        </w:rPr>
      </w:pPr>
      <w:r>
        <w:rPr>
          <w:rFonts w:ascii="Times New Roman" w:hAnsi="Times New Roman"/>
          <w:snapToGrid/>
          <w:sz w:val="24"/>
          <w:szCs w:val="24"/>
        </w:rPr>
        <w:t xml:space="preserve">The </w:t>
      </w:r>
      <w:r w:rsidR="00F23BC6">
        <w:rPr>
          <w:rFonts w:ascii="Times New Roman" w:hAnsi="Times New Roman"/>
          <w:snapToGrid/>
          <w:sz w:val="24"/>
          <w:szCs w:val="24"/>
        </w:rPr>
        <w:t xml:space="preserve">estimated hours for </w:t>
      </w:r>
      <w:r>
        <w:rPr>
          <w:rFonts w:ascii="Times New Roman" w:hAnsi="Times New Roman"/>
          <w:snapToGrid/>
          <w:sz w:val="24"/>
          <w:szCs w:val="24"/>
        </w:rPr>
        <w:t xml:space="preserve">DCI report review </w:t>
      </w:r>
      <w:r w:rsidR="00F23BC6">
        <w:rPr>
          <w:rFonts w:ascii="Times New Roman" w:hAnsi="Times New Roman"/>
          <w:snapToGrid/>
          <w:sz w:val="24"/>
          <w:szCs w:val="24"/>
        </w:rPr>
        <w:t xml:space="preserve">include the staff time spent </w:t>
      </w:r>
      <w:r w:rsidR="00AB7452">
        <w:rPr>
          <w:rFonts w:ascii="Times New Roman" w:hAnsi="Times New Roman"/>
          <w:snapToGrid/>
          <w:sz w:val="24"/>
          <w:szCs w:val="24"/>
        </w:rPr>
        <w:t xml:space="preserve">reviewing </w:t>
      </w:r>
      <w:r w:rsidR="006F55D6">
        <w:rPr>
          <w:rFonts w:ascii="Times New Roman" w:hAnsi="Times New Roman"/>
          <w:snapToGrid/>
          <w:sz w:val="24"/>
          <w:szCs w:val="24"/>
        </w:rPr>
        <w:t xml:space="preserve">state </w:t>
      </w:r>
      <w:r w:rsidR="007562A0">
        <w:rPr>
          <w:rFonts w:ascii="Times New Roman" w:hAnsi="Times New Roman"/>
          <w:snapToGrid/>
          <w:sz w:val="24"/>
          <w:szCs w:val="24"/>
        </w:rPr>
        <w:t xml:space="preserve">submissions of the SDAP, RRW, </w:t>
      </w:r>
      <w:r w:rsidRPr="0097706A" w:rsidR="007562A0">
        <w:rPr>
          <w:rFonts w:ascii="Times New Roman" w:hAnsi="Times New Roman"/>
          <w:i/>
          <w:iCs/>
          <w:snapToGrid/>
          <w:sz w:val="24"/>
          <w:szCs w:val="24"/>
        </w:rPr>
        <w:t>State Improper Payments Report</w:t>
      </w:r>
      <w:r w:rsidR="007562A0">
        <w:rPr>
          <w:rFonts w:ascii="Times New Roman" w:hAnsi="Times New Roman"/>
          <w:snapToGrid/>
          <w:sz w:val="24"/>
          <w:szCs w:val="24"/>
        </w:rPr>
        <w:t>, and CAP</w:t>
      </w:r>
      <w:r w:rsidR="006F55D6">
        <w:rPr>
          <w:rFonts w:ascii="Times New Roman" w:hAnsi="Times New Roman"/>
          <w:snapToGrid/>
          <w:sz w:val="24"/>
          <w:szCs w:val="24"/>
        </w:rPr>
        <w:t xml:space="preserve"> to ensure submissions adhere to the federal requirements outlined at</w:t>
      </w:r>
      <w:r w:rsidR="005A77B3">
        <w:rPr>
          <w:rFonts w:ascii="Times New Roman" w:hAnsi="Times New Roman"/>
          <w:snapToGrid/>
          <w:sz w:val="24"/>
          <w:szCs w:val="24"/>
        </w:rPr>
        <w:t xml:space="preserve"> </w:t>
      </w:r>
      <w:r w:rsidRPr="00287000" w:rsidR="005A77B3">
        <w:rPr>
          <w:rFonts w:ascii="Times New Roman" w:hAnsi="Times New Roman"/>
          <w:sz w:val="24"/>
          <w:szCs w:val="24"/>
        </w:rPr>
        <w:t>45 CFR Part 98 Subpart K</w:t>
      </w:r>
      <w:r w:rsidR="005A77B3">
        <w:rPr>
          <w:rFonts w:ascii="Times New Roman" w:hAnsi="Times New Roman"/>
          <w:sz w:val="24"/>
          <w:szCs w:val="24"/>
        </w:rPr>
        <w:t xml:space="preserve">. </w:t>
      </w:r>
    </w:p>
    <w:p w:rsidR="00D80AA2" w:rsidP="00DE529D" w14:paraId="0E649BBF" w14:textId="77777777">
      <w:pPr>
        <w:widowControl/>
        <w:ind w:left="360"/>
        <w:rPr>
          <w:rFonts w:ascii="Times New Roman" w:hAnsi="Times New Roman"/>
          <w:snapToGrid/>
          <w:sz w:val="24"/>
          <w:szCs w:val="24"/>
        </w:rPr>
      </w:pPr>
    </w:p>
    <w:p w:rsidR="0010170C" w:rsidP="00DE529D" w14:paraId="6C425FDB" w14:textId="2664417A">
      <w:pPr>
        <w:widowControl/>
        <w:ind w:left="360"/>
        <w:rPr>
          <w:rFonts w:ascii="Times New Roman" w:hAnsi="Times New Roman"/>
          <w:snapToGrid/>
          <w:sz w:val="24"/>
          <w:szCs w:val="24"/>
        </w:rPr>
      </w:pPr>
      <w:r w:rsidRPr="00EC26A5">
        <w:rPr>
          <w:rFonts w:ascii="Times New Roman" w:hAnsi="Times New Roman"/>
          <w:sz w:val="24"/>
          <w:szCs w:val="24"/>
        </w:rPr>
        <w:t xml:space="preserve">The </w:t>
      </w:r>
      <w:r>
        <w:rPr>
          <w:rFonts w:ascii="Times New Roman" w:hAnsi="Times New Roman"/>
          <w:sz w:val="24"/>
          <w:szCs w:val="24"/>
        </w:rPr>
        <w:t xml:space="preserve">estimated </w:t>
      </w:r>
      <w:r w:rsidR="0083580A">
        <w:rPr>
          <w:rFonts w:ascii="Times New Roman" w:hAnsi="Times New Roman"/>
          <w:sz w:val="24"/>
          <w:szCs w:val="24"/>
        </w:rPr>
        <w:t xml:space="preserve">hourly </w:t>
      </w:r>
      <w:r>
        <w:rPr>
          <w:rFonts w:ascii="Times New Roman" w:hAnsi="Times New Roman"/>
          <w:sz w:val="24"/>
          <w:szCs w:val="24"/>
        </w:rPr>
        <w:t>rate</w:t>
      </w:r>
      <w:r w:rsidRPr="00EC26A5">
        <w:rPr>
          <w:rFonts w:ascii="Times New Roman" w:hAnsi="Times New Roman"/>
          <w:sz w:val="24"/>
          <w:szCs w:val="24"/>
        </w:rPr>
        <w:t xml:space="preserve"> was calculated using the </w:t>
      </w:r>
      <w:r w:rsidR="0083580A">
        <w:rPr>
          <w:rFonts w:ascii="Times New Roman" w:hAnsi="Times New Roman"/>
          <w:sz w:val="24"/>
          <w:szCs w:val="24"/>
        </w:rPr>
        <w:t>Office</w:t>
      </w:r>
      <w:r w:rsidR="00103204">
        <w:rPr>
          <w:rFonts w:ascii="Times New Roman" w:hAnsi="Times New Roman"/>
          <w:sz w:val="24"/>
          <w:szCs w:val="24"/>
        </w:rPr>
        <w:t xml:space="preserve"> of Personnel </w:t>
      </w:r>
      <w:r w:rsidR="0083580A">
        <w:rPr>
          <w:rFonts w:ascii="Times New Roman" w:hAnsi="Times New Roman"/>
          <w:sz w:val="24"/>
          <w:szCs w:val="24"/>
        </w:rPr>
        <w:t>Management</w:t>
      </w:r>
      <w:r w:rsidR="00103204">
        <w:rPr>
          <w:rFonts w:ascii="Times New Roman" w:hAnsi="Times New Roman"/>
          <w:sz w:val="24"/>
          <w:szCs w:val="24"/>
        </w:rPr>
        <w:t xml:space="preserve"> (OPM) 2024 General </w:t>
      </w:r>
      <w:r w:rsidR="0083580A">
        <w:rPr>
          <w:rFonts w:ascii="Times New Roman" w:hAnsi="Times New Roman"/>
          <w:sz w:val="24"/>
          <w:szCs w:val="24"/>
        </w:rPr>
        <w:t>Schedule</w:t>
      </w:r>
      <w:r w:rsidR="00103204">
        <w:rPr>
          <w:rFonts w:ascii="Times New Roman" w:hAnsi="Times New Roman"/>
          <w:sz w:val="24"/>
          <w:szCs w:val="24"/>
        </w:rPr>
        <w:t xml:space="preserve"> Pay Tables (base) for </w:t>
      </w:r>
      <w:r w:rsidR="0083580A">
        <w:rPr>
          <w:rFonts w:ascii="Times New Roman" w:hAnsi="Times New Roman"/>
          <w:sz w:val="24"/>
          <w:szCs w:val="24"/>
        </w:rPr>
        <w:t>Grade 12, Step 1</w:t>
      </w:r>
      <w:r w:rsidR="00AE4C3B">
        <w:rPr>
          <w:rFonts w:ascii="Times New Roman" w:hAnsi="Times New Roman"/>
          <w:sz w:val="24"/>
          <w:szCs w:val="24"/>
        </w:rPr>
        <w:t>, which is $35.67</w:t>
      </w:r>
      <w:r w:rsidR="0093591F">
        <w:rPr>
          <w:rFonts w:ascii="Times New Roman" w:hAnsi="Times New Roman"/>
          <w:sz w:val="24"/>
          <w:szCs w:val="24"/>
        </w:rPr>
        <w:t xml:space="preserve"> per hour</w:t>
      </w:r>
      <w:r w:rsidR="0083580A">
        <w:rPr>
          <w:rFonts w:ascii="Times New Roman" w:hAnsi="Times New Roman"/>
          <w:sz w:val="24"/>
          <w:szCs w:val="24"/>
        </w:rPr>
        <w:t xml:space="preserve">. </w:t>
      </w:r>
      <w:r w:rsidRPr="00EC26A5">
        <w:rPr>
          <w:rFonts w:ascii="Times New Roman" w:hAnsi="Times New Roman"/>
          <w:snapToGrid/>
          <w:sz w:val="24"/>
          <w:szCs w:val="24"/>
        </w:rPr>
        <w:t>To account for fringe benefits and overhead the rate was multiplied by two which is $</w:t>
      </w:r>
      <w:r w:rsidR="0093591F">
        <w:rPr>
          <w:rFonts w:ascii="Times New Roman" w:hAnsi="Times New Roman"/>
          <w:snapToGrid/>
          <w:sz w:val="24"/>
          <w:szCs w:val="24"/>
        </w:rPr>
        <w:t xml:space="preserve">71.34. </w:t>
      </w:r>
      <w:hyperlink r:id="rId11" w:history="1">
        <w:r w:rsidRPr="00D26E1A" w:rsidR="0093591F">
          <w:rPr>
            <w:rStyle w:val="Hyperlink"/>
            <w:rFonts w:ascii="Times New Roman" w:hAnsi="Times New Roman"/>
            <w:snapToGrid/>
            <w:sz w:val="24"/>
            <w:szCs w:val="24"/>
          </w:rPr>
          <w:t>https://www.opm.gov/policy-data-oversight/pay-leave/salaries-wages/salary-tables/pdf/2024/GS_h.pdf</w:t>
        </w:r>
      </w:hyperlink>
      <w:r w:rsidR="0093591F">
        <w:rPr>
          <w:rFonts w:ascii="Times New Roman" w:hAnsi="Times New Roman"/>
          <w:snapToGrid/>
          <w:sz w:val="24"/>
          <w:szCs w:val="24"/>
        </w:rPr>
        <w:t xml:space="preserve"> </w:t>
      </w:r>
      <w:r w:rsidR="0093591F">
        <w:rPr>
          <w:rFonts w:ascii="Times New Roman" w:hAnsi="Times New Roman"/>
          <w:snapToGrid/>
          <w:sz w:val="24"/>
          <w:szCs w:val="24"/>
        </w:rPr>
        <w:tab/>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FB22D8" w:rsidP="00FB22D8" w14:paraId="65624DDD" w14:textId="131CEC91">
      <w:pPr>
        <w:widowControl/>
        <w:ind w:left="360"/>
        <w:rPr>
          <w:rFonts w:ascii="Times New Roman" w:hAnsi="Times New Roman"/>
          <w:snapToGrid/>
          <w:sz w:val="24"/>
          <w:szCs w:val="24"/>
        </w:rPr>
      </w:pPr>
      <w:r w:rsidRPr="00CC10C2">
        <w:rPr>
          <w:rFonts w:ascii="Times New Roman" w:hAnsi="Times New Roman"/>
          <w:sz w:val="24"/>
          <w:szCs w:val="24"/>
        </w:rPr>
        <w:t>There are no significant changes to the information collection since the last OMB approval</w:t>
      </w:r>
      <w:r w:rsidRPr="00CC10C2">
        <w:rPr>
          <w:rFonts w:ascii="Times New Roman" w:hAnsi="Times New Roman"/>
          <w:color w:val="000000"/>
          <w:sz w:val="24"/>
          <w:szCs w:val="24"/>
        </w:rPr>
        <w:t xml:space="preserve">.  </w:t>
      </w:r>
      <w:r>
        <w:rPr>
          <w:rFonts w:ascii="Times New Roman" w:hAnsi="Times New Roman"/>
          <w:color w:val="000000"/>
          <w:sz w:val="24"/>
          <w:szCs w:val="24"/>
        </w:rPr>
        <w:t xml:space="preserve"> </w:t>
      </w:r>
      <w:r w:rsidRPr="00CC10C2">
        <w:rPr>
          <w:rFonts w:ascii="Times New Roman" w:hAnsi="Times New Roman"/>
          <w:color w:val="000000"/>
          <w:sz w:val="24"/>
          <w:szCs w:val="24"/>
        </w:rPr>
        <w:t>Minor revisions were made to provide</w:t>
      </w:r>
      <w:r w:rsidRPr="00CC10C2">
        <w:rPr>
          <w:rFonts w:ascii="Times New Roman" w:hAnsi="Times New Roman"/>
          <w:snapToGrid/>
          <w:sz w:val="24"/>
          <w:szCs w:val="24"/>
        </w:rPr>
        <w:t xml:space="preserve"> respondents with additional guidance</w:t>
      </w:r>
      <w:r>
        <w:rPr>
          <w:rFonts w:ascii="Times New Roman" w:hAnsi="Times New Roman"/>
          <w:snapToGrid/>
          <w:sz w:val="24"/>
          <w:szCs w:val="24"/>
        </w:rPr>
        <w:t xml:space="preserve"> and</w:t>
      </w:r>
      <w:r w:rsidRPr="00CC10C2">
        <w:rPr>
          <w:rFonts w:ascii="Times New Roman" w:hAnsi="Times New Roman"/>
          <w:snapToGrid/>
          <w:sz w:val="24"/>
          <w:szCs w:val="24"/>
        </w:rPr>
        <w:t xml:space="preserve"> clarification to facilitate complete and accura</w:t>
      </w:r>
      <w:r>
        <w:rPr>
          <w:rFonts w:ascii="Times New Roman" w:hAnsi="Times New Roman"/>
          <w:snapToGrid/>
          <w:sz w:val="24"/>
          <w:szCs w:val="24"/>
        </w:rPr>
        <w:t>te</w:t>
      </w:r>
      <w:r w:rsidRPr="00CC10C2">
        <w:rPr>
          <w:rFonts w:ascii="Times New Roman" w:hAnsi="Times New Roman"/>
          <w:snapToGrid/>
          <w:sz w:val="24"/>
          <w:szCs w:val="24"/>
        </w:rPr>
        <w:t xml:space="preserve"> required data submissions.</w:t>
      </w:r>
      <w:r w:rsidR="00E71F2F">
        <w:rPr>
          <w:rFonts w:ascii="Times New Roman" w:hAnsi="Times New Roman"/>
          <w:snapToGrid/>
          <w:sz w:val="24"/>
          <w:szCs w:val="24"/>
        </w:rPr>
        <w:t xml:space="preserve"> </w:t>
      </w:r>
    </w:p>
    <w:p w:rsidR="00303286" w:rsidP="00FB22D8" w14:paraId="0B4EB1C7" w14:textId="77777777">
      <w:pPr>
        <w:widowControl/>
        <w:ind w:left="360"/>
        <w:rPr>
          <w:rFonts w:ascii="Times New Roman" w:hAnsi="Times New Roman"/>
          <w:snapToGrid/>
          <w:sz w:val="24"/>
          <w:szCs w:val="24"/>
        </w:rPr>
      </w:pPr>
    </w:p>
    <w:p w:rsidR="00303286" w:rsidP="00FB22D8" w14:paraId="37453AEA" w14:textId="5CCB5FEB">
      <w:pPr>
        <w:widowControl/>
        <w:ind w:left="360"/>
        <w:rPr>
          <w:rFonts w:ascii="Times New Roman" w:hAnsi="Times New Roman"/>
          <w:snapToGrid/>
          <w:sz w:val="24"/>
          <w:szCs w:val="24"/>
        </w:rPr>
      </w:pPr>
      <w:r>
        <w:rPr>
          <w:rFonts w:ascii="Times New Roman" w:hAnsi="Times New Roman"/>
          <w:snapToGrid/>
          <w:sz w:val="24"/>
          <w:szCs w:val="24"/>
        </w:rPr>
        <w:t xml:space="preserve">OCC revised the estimated burden hours </w:t>
      </w:r>
      <w:r w:rsidR="00D02F5C">
        <w:rPr>
          <w:rFonts w:ascii="Times New Roman" w:hAnsi="Times New Roman"/>
          <w:snapToGrid/>
          <w:sz w:val="24"/>
          <w:szCs w:val="24"/>
        </w:rPr>
        <w:t>for</w:t>
      </w:r>
      <w:r>
        <w:rPr>
          <w:rFonts w:ascii="Times New Roman" w:hAnsi="Times New Roman"/>
          <w:snapToGrid/>
          <w:sz w:val="24"/>
          <w:szCs w:val="24"/>
        </w:rPr>
        <w:t xml:space="preserve"> </w:t>
      </w:r>
      <w:r w:rsidR="0092120A">
        <w:rPr>
          <w:rFonts w:ascii="Times New Roman" w:hAnsi="Times New Roman"/>
          <w:snapToGrid/>
          <w:sz w:val="24"/>
          <w:szCs w:val="24"/>
        </w:rPr>
        <w:t>respondents</w:t>
      </w:r>
      <w:r>
        <w:rPr>
          <w:rFonts w:ascii="Times New Roman" w:hAnsi="Times New Roman"/>
          <w:snapToGrid/>
          <w:sz w:val="24"/>
          <w:szCs w:val="24"/>
        </w:rPr>
        <w:t xml:space="preserve"> </w:t>
      </w:r>
      <w:r w:rsidR="00D02F5C">
        <w:rPr>
          <w:rFonts w:ascii="Times New Roman" w:hAnsi="Times New Roman"/>
          <w:snapToGrid/>
          <w:sz w:val="24"/>
          <w:szCs w:val="24"/>
        </w:rPr>
        <w:t xml:space="preserve">based on feedback collected from states </w:t>
      </w:r>
      <w:r w:rsidR="005249CE">
        <w:rPr>
          <w:rFonts w:ascii="Times New Roman" w:hAnsi="Times New Roman"/>
          <w:snapToGrid/>
          <w:sz w:val="24"/>
          <w:szCs w:val="24"/>
        </w:rPr>
        <w:t xml:space="preserve">as described in Question 12. </w:t>
      </w:r>
    </w:p>
    <w:p w:rsidR="00D60543" w:rsidP="009D092B" w14:paraId="215A8A91"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3C3D50" w:rsidP="00010CCF" w14:paraId="038A4FFD" w14:textId="1F032E32">
      <w:pPr>
        <w:widowControl/>
        <w:ind w:left="360"/>
        <w:rPr>
          <w:rFonts w:ascii="Times New Roman" w:hAnsi="Times New Roman"/>
          <w:color w:val="000000"/>
          <w:sz w:val="24"/>
          <w:szCs w:val="24"/>
        </w:rPr>
      </w:pPr>
      <w:r w:rsidRPr="009D092B">
        <w:rPr>
          <w:rFonts w:ascii="Times New Roman" w:hAnsi="Times New Roman"/>
          <w:color w:val="000000"/>
          <w:sz w:val="24"/>
          <w:szCs w:val="24"/>
        </w:rPr>
        <w:t xml:space="preserve">States </w:t>
      </w:r>
      <w:r w:rsidR="00F43976">
        <w:rPr>
          <w:rFonts w:ascii="Times New Roman" w:hAnsi="Times New Roman"/>
          <w:color w:val="000000"/>
          <w:sz w:val="24"/>
          <w:szCs w:val="24"/>
        </w:rPr>
        <w:t xml:space="preserve">complete the error rate review every three years on a rotational cycle. </w:t>
      </w:r>
      <w:r w:rsidR="00CD465E">
        <w:rPr>
          <w:rFonts w:ascii="Times New Roman" w:hAnsi="Times New Roman"/>
          <w:color w:val="000000"/>
          <w:sz w:val="24"/>
          <w:szCs w:val="24"/>
        </w:rPr>
        <w:t xml:space="preserve">The reporting cycle includes submission of the SDAP, RRW, </w:t>
      </w:r>
      <w:r w:rsidRPr="009D092B" w:rsidR="00CD465E">
        <w:rPr>
          <w:rFonts w:ascii="Times New Roman" w:hAnsi="Times New Roman"/>
          <w:i/>
          <w:iCs/>
          <w:color w:val="000000"/>
          <w:sz w:val="24"/>
          <w:szCs w:val="24"/>
        </w:rPr>
        <w:t>State Improper Payments Report</w:t>
      </w:r>
      <w:r w:rsidR="00033C23">
        <w:rPr>
          <w:rFonts w:ascii="Times New Roman" w:hAnsi="Times New Roman"/>
          <w:color w:val="000000"/>
          <w:sz w:val="24"/>
          <w:szCs w:val="24"/>
        </w:rPr>
        <w:t>, and CAP (if applicable).</w:t>
      </w:r>
      <w:r w:rsidR="00CD465E">
        <w:rPr>
          <w:rFonts w:ascii="Times New Roman" w:hAnsi="Times New Roman"/>
          <w:color w:val="000000"/>
          <w:sz w:val="24"/>
          <w:szCs w:val="24"/>
        </w:rPr>
        <w:t xml:space="preserve"> Each report has </w:t>
      </w:r>
      <w:r w:rsidR="00794C71">
        <w:rPr>
          <w:rFonts w:ascii="Times New Roman" w:hAnsi="Times New Roman"/>
          <w:color w:val="000000"/>
          <w:sz w:val="24"/>
          <w:szCs w:val="24"/>
        </w:rPr>
        <w:t xml:space="preserve">submission </w:t>
      </w:r>
      <w:r w:rsidR="00CD465E">
        <w:rPr>
          <w:rFonts w:ascii="Times New Roman" w:hAnsi="Times New Roman"/>
          <w:color w:val="000000"/>
          <w:sz w:val="24"/>
          <w:szCs w:val="24"/>
        </w:rPr>
        <w:t>deadlines established</w:t>
      </w:r>
      <w:r w:rsidR="00794C71">
        <w:rPr>
          <w:rFonts w:ascii="Times New Roman" w:hAnsi="Times New Roman"/>
          <w:color w:val="000000"/>
          <w:sz w:val="24"/>
          <w:szCs w:val="24"/>
        </w:rPr>
        <w:t xml:space="preserve"> for each </w:t>
      </w:r>
      <w:r w:rsidR="00970E73">
        <w:rPr>
          <w:rFonts w:ascii="Times New Roman" w:hAnsi="Times New Roman"/>
          <w:color w:val="000000"/>
          <w:sz w:val="24"/>
          <w:szCs w:val="24"/>
        </w:rPr>
        <w:t xml:space="preserve">reporting </w:t>
      </w:r>
      <w:r w:rsidR="00794C71">
        <w:rPr>
          <w:rFonts w:ascii="Times New Roman" w:hAnsi="Times New Roman"/>
          <w:color w:val="000000"/>
          <w:sz w:val="24"/>
          <w:szCs w:val="24"/>
        </w:rPr>
        <w:t xml:space="preserve">Cohort. The reports are sequential, meaning that the states must submit and receive OCC approval for the SDAP and the RRW prior to the submission of the State Improper Payments Report. </w:t>
      </w:r>
      <w:r>
        <w:rPr>
          <w:rFonts w:ascii="Times New Roman" w:hAnsi="Times New Roman"/>
          <w:color w:val="000000"/>
          <w:sz w:val="24"/>
          <w:szCs w:val="24"/>
        </w:rPr>
        <w:t xml:space="preserve">Each reporting year is based on a review of cases from the prior fiscal year. </w:t>
      </w:r>
    </w:p>
    <w:p w:rsidR="003C3D50" w:rsidP="00010CCF" w14:paraId="0BBD8264" w14:textId="77777777">
      <w:pPr>
        <w:widowControl/>
        <w:ind w:left="360"/>
        <w:rPr>
          <w:rFonts w:ascii="Times New Roman" w:hAnsi="Times New Roman"/>
          <w:color w:val="000000"/>
          <w:sz w:val="24"/>
          <w:szCs w:val="24"/>
        </w:rPr>
      </w:pPr>
    </w:p>
    <w:p w:rsidR="00794C71" w:rsidP="003E338E" w14:paraId="149E7749" w14:textId="48FD35A5">
      <w:pPr>
        <w:widowControl/>
        <w:ind w:left="360"/>
        <w:rPr>
          <w:rFonts w:ascii="Times New Roman" w:hAnsi="Times New Roman"/>
          <w:color w:val="000000"/>
          <w:sz w:val="24"/>
          <w:szCs w:val="24"/>
        </w:rPr>
      </w:pPr>
      <w:r>
        <w:rPr>
          <w:rFonts w:ascii="Times New Roman" w:hAnsi="Times New Roman"/>
          <w:color w:val="000000"/>
          <w:sz w:val="24"/>
          <w:szCs w:val="24"/>
        </w:rPr>
        <w:t>Example:</w:t>
      </w:r>
      <w:r w:rsidR="002C7838">
        <w:rPr>
          <w:rFonts w:ascii="Times New Roman" w:hAnsi="Times New Roman"/>
          <w:color w:val="000000"/>
          <w:sz w:val="24"/>
          <w:szCs w:val="24"/>
        </w:rPr>
        <w:t xml:space="preserve"> </w:t>
      </w:r>
      <w:r w:rsidR="009F00D3">
        <w:rPr>
          <w:rFonts w:ascii="Times New Roman" w:hAnsi="Times New Roman"/>
          <w:color w:val="000000"/>
          <w:sz w:val="24"/>
          <w:szCs w:val="24"/>
        </w:rPr>
        <w:t>Cohort 1</w:t>
      </w:r>
    </w:p>
    <w:p w:rsidR="00794C71" w:rsidRPr="009D092B" w:rsidP="009D092B" w14:paraId="462ABBE1" w14:textId="5B6382A5">
      <w:pPr>
        <w:pStyle w:val="ListParagraph"/>
        <w:widowControl/>
        <w:numPr>
          <w:ilvl w:val="0"/>
          <w:numId w:val="24"/>
        </w:numPr>
        <w:rPr>
          <w:rFonts w:ascii="Times New Roman" w:hAnsi="Times New Roman"/>
          <w:color w:val="000000"/>
          <w:sz w:val="24"/>
          <w:szCs w:val="24"/>
        </w:rPr>
      </w:pPr>
      <w:r w:rsidRPr="009D092B">
        <w:rPr>
          <w:rFonts w:ascii="Times New Roman" w:hAnsi="Times New Roman"/>
          <w:color w:val="000000"/>
          <w:sz w:val="24"/>
          <w:szCs w:val="24"/>
        </w:rPr>
        <w:t>Case review period:</w:t>
      </w:r>
      <w:r w:rsidRPr="009D092B" w:rsidR="005079DE">
        <w:rPr>
          <w:rFonts w:ascii="Times New Roman" w:hAnsi="Times New Roman"/>
          <w:color w:val="000000"/>
          <w:sz w:val="24"/>
          <w:szCs w:val="24"/>
        </w:rPr>
        <w:t xml:space="preserve"> October 1, 202</w:t>
      </w:r>
      <w:r w:rsidR="00731BC2">
        <w:rPr>
          <w:rFonts w:ascii="Times New Roman" w:hAnsi="Times New Roman"/>
          <w:color w:val="000000"/>
          <w:sz w:val="24"/>
          <w:szCs w:val="24"/>
        </w:rPr>
        <w:t>4</w:t>
      </w:r>
      <w:r w:rsidRPr="009D092B" w:rsidR="005079DE">
        <w:rPr>
          <w:rFonts w:ascii="Times New Roman" w:hAnsi="Times New Roman"/>
          <w:color w:val="000000"/>
          <w:sz w:val="24"/>
          <w:szCs w:val="24"/>
        </w:rPr>
        <w:t xml:space="preserve"> – September 30, 202</w:t>
      </w:r>
      <w:r w:rsidR="00731BC2">
        <w:rPr>
          <w:rFonts w:ascii="Times New Roman" w:hAnsi="Times New Roman"/>
          <w:color w:val="000000"/>
          <w:sz w:val="24"/>
          <w:szCs w:val="24"/>
        </w:rPr>
        <w:t>5</w:t>
      </w:r>
    </w:p>
    <w:p w:rsidR="003C3D50" w:rsidRPr="009D092B" w:rsidP="009D092B" w14:paraId="0BE57127" w14:textId="1D456C5C">
      <w:pPr>
        <w:pStyle w:val="ListParagraph"/>
        <w:widowControl/>
        <w:numPr>
          <w:ilvl w:val="0"/>
          <w:numId w:val="24"/>
        </w:numPr>
        <w:rPr>
          <w:rFonts w:ascii="Times New Roman" w:hAnsi="Times New Roman"/>
          <w:color w:val="000000"/>
          <w:sz w:val="24"/>
          <w:szCs w:val="24"/>
        </w:rPr>
      </w:pPr>
      <w:r w:rsidRPr="009D092B">
        <w:rPr>
          <w:rFonts w:ascii="Times New Roman" w:hAnsi="Times New Roman"/>
          <w:color w:val="000000"/>
          <w:sz w:val="24"/>
          <w:szCs w:val="24"/>
        </w:rPr>
        <w:t>S</w:t>
      </w:r>
      <w:r w:rsidRPr="009D092B" w:rsidR="005079DE">
        <w:rPr>
          <w:rFonts w:ascii="Times New Roman" w:hAnsi="Times New Roman"/>
          <w:color w:val="000000"/>
          <w:sz w:val="24"/>
          <w:szCs w:val="24"/>
        </w:rPr>
        <w:t xml:space="preserve">DAP </w:t>
      </w:r>
      <w:r w:rsidR="003E338E">
        <w:rPr>
          <w:rFonts w:ascii="Times New Roman" w:hAnsi="Times New Roman"/>
          <w:color w:val="000000"/>
          <w:sz w:val="24"/>
          <w:szCs w:val="24"/>
        </w:rPr>
        <w:t>submission d</w:t>
      </w:r>
      <w:r w:rsidRPr="009D092B" w:rsidR="005079DE">
        <w:rPr>
          <w:rFonts w:ascii="Times New Roman" w:hAnsi="Times New Roman"/>
          <w:color w:val="000000"/>
          <w:sz w:val="24"/>
          <w:szCs w:val="24"/>
        </w:rPr>
        <w:t xml:space="preserve">eadline: </w:t>
      </w:r>
      <w:r w:rsidRPr="009D092B" w:rsidR="003E338E">
        <w:rPr>
          <w:rFonts w:ascii="Times New Roman" w:hAnsi="Times New Roman"/>
          <w:color w:val="000000"/>
          <w:sz w:val="24"/>
          <w:szCs w:val="24"/>
        </w:rPr>
        <w:t>October 31, 202</w:t>
      </w:r>
      <w:r w:rsidR="00731BC2">
        <w:rPr>
          <w:rFonts w:ascii="Times New Roman" w:hAnsi="Times New Roman"/>
          <w:color w:val="000000"/>
          <w:sz w:val="24"/>
          <w:szCs w:val="24"/>
        </w:rPr>
        <w:t>5</w:t>
      </w:r>
    </w:p>
    <w:p w:rsidR="005079DE" w:rsidRPr="009D092B" w:rsidP="009D092B" w14:paraId="7B2AC038" w14:textId="4D46ECFA">
      <w:pPr>
        <w:pStyle w:val="ListParagraph"/>
        <w:widowControl/>
        <w:numPr>
          <w:ilvl w:val="0"/>
          <w:numId w:val="24"/>
        </w:numPr>
        <w:rPr>
          <w:rFonts w:ascii="Times New Roman" w:hAnsi="Times New Roman"/>
          <w:color w:val="000000"/>
          <w:sz w:val="24"/>
          <w:szCs w:val="24"/>
        </w:rPr>
      </w:pPr>
      <w:r w:rsidRPr="009D092B">
        <w:rPr>
          <w:rFonts w:ascii="Times New Roman" w:hAnsi="Times New Roman"/>
          <w:color w:val="000000"/>
          <w:sz w:val="24"/>
          <w:szCs w:val="24"/>
        </w:rPr>
        <w:t xml:space="preserve">RRW submission </w:t>
      </w:r>
      <w:r w:rsidR="003E338E">
        <w:rPr>
          <w:rFonts w:ascii="Times New Roman" w:hAnsi="Times New Roman"/>
          <w:color w:val="000000"/>
          <w:sz w:val="24"/>
          <w:szCs w:val="24"/>
        </w:rPr>
        <w:t>d</w:t>
      </w:r>
      <w:r w:rsidRPr="009D092B">
        <w:rPr>
          <w:rFonts w:ascii="Times New Roman" w:hAnsi="Times New Roman"/>
          <w:color w:val="000000"/>
          <w:sz w:val="24"/>
          <w:szCs w:val="24"/>
        </w:rPr>
        <w:t>eadline</w:t>
      </w:r>
      <w:r w:rsidRPr="009D092B" w:rsidR="003E338E">
        <w:rPr>
          <w:rFonts w:ascii="Times New Roman" w:hAnsi="Times New Roman"/>
          <w:color w:val="000000"/>
          <w:sz w:val="24"/>
          <w:szCs w:val="24"/>
        </w:rPr>
        <w:t>: December 31, 202</w:t>
      </w:r>
      <w:r w:rsidR="00731BC2">
        <w:rPr>
          <w:rFonts w:ascii="Times New Roman" w:hAnsi="Times New Roman"/>
          <w:color w:val="000000"/>
          <w:sz w:val="24"/>
          <w:szCs w:val="24"/>
        </w:rPr>
        <w:t>5</w:t>
      </w:r>
    </w:p>
    <w:p w:rsidR="005079DE" w:rsidP="003E338E" w14:paraId="7E895EB9" w14:textId="45BDAC82">
      <w:pPr>
        <w:pStyle w:val="ListParagraph"/>
        <w:widowControl/>
        <w:numPr>
          <w:ilvl w:val="0"/>
          <w:numId w:val="24"/>
        </w:numPr>
        <w:rPr>
          <w:rFonts w:ascii="Times New Roman" w:hAnsi="Times New Roman"/>
          <w:color w:val="000000"/>
          <w:sz w:val="24"/>
          <w:szCs w:val="24"/>
        </w:rPr>
      </w:pPr>
      <w:r w:rsidRPr="00CB7A9F">
        <w:rPr>
          <w:rFonts w:ascii="Times New Roman" w:hAnsi="Times New Roman"/>
          <w:i/>
          <w:iCs/>
          <w:color w:val="000000"/>
          <w:sz w:val="24"/>
          <w:szCs w:val="24"/>
        </w:rPr>
        <w:t>State Improper Payments Report</w:t>
      </w:r>
      <w:r w:rsidRPr="003E338E">
        <w:rPr>
          <w:rFonts w:ascii="Times New Roman" w:hAnsi="Times New Roman"/>
          <w:color w:val="000000"/>
          <w:sz w:val="24"/>
          <w:szCs w:val="24"/>
        </w:rPr>
        <w:t xml:space="preserve"> </w:t>
      </w:r>
      <w:r w:rsidRPr="009D092B">
        <w:rPr>
          <w:rFonts w:ascii="Times New Roman" w:hAnsi="Times New Roman"/>
          <w:color w:val="000000"/>
          <w:sz w:val="24"/>
          <w:szCs w:val="24"/>
        </w:rPr>
        <w:t xml:space="preserve">submission deadline: </w:t>
      </w:r>
      <w:r w:rsidRPr="009D092B">
        <w:rPr>
          <w:rFonts w:ascii="Times New Roman" w:hAnsi="Times New Roman"/>
          <w:color w:val="000000"/>
          <w:sz w:val="24"/>
          <w:szCs w:val="24"/>
        </w:rPr>
        <w:t>June 30, 202</w:t>
      </w:r>
      <w:r w:rsidR="00731BC2">
        <w:rPr>
          <w:rFonts w:ascii="Times New Roman" w:hAnsi="Times New Roman"/>
          <w:color w:val="000000"/>
          <w:sz w:val="24"/>
          <w:szCs w:val="24"/>
        </w:rPr>
        <w:t>6</w:t>
      </w:r>
    </w:p>
    <w:p w:rsidR="00731BC2" w:rsidRPr="009D092B" w:rsidP="009D092B" w14:paraId="0A24E461" w14:textId="319083BB">
      <w:pPr>
        <w:pStyle w:val="ListParagraph"/>
        <w:widowControl/>
        <w:numPr>
          <w:ilvl w:val="0"/>
          <w:numId w:val="24"/>
        </w:numPr>
        <w:rPr>
          <w:rFonts w:ascii="Times New Roman" w:hAnsi="Times New Roman"/>
          <w:color w:val="000000"/>
          <w:sz w:val="24"/>
          <w:szCs w:val="24"/>
        </w:rPr>
      </w:pPr>
      <w:r w:rsidRPr="009D092B">
        <w:rPr>
          <w:rFonts w:ascii="Times New Roman" w:hAnsi="Times New Roman"/>
          <w:color w:val="000000"/>
          <w:sz w:val="24"/>
          <w:szCs w:val="24"/>
        </w:rPr>
        <w:t>CAP</w:t>
      </w:r>
      <w:r>
        <w:rPr>
          <w:rFonts w:ascii="Times New Roman" w:hAnsi="Times New Roman"/>
          <w:i/>
          <w:iCs/>
          <w:color w:val="000000"/>
          <w:sz w:val="24"/>
          <w:szCs w:val="24"/>
        </w:rPr>
        <w:t xml:space="preserve"> (if applicable): </w:t>
      </w:r>
      <w:r w:rsidRPr="009D092B">
        <w:rPr>
          <w:rFonts w:ascii="Times New Roman" w:hAnsi="Times New Roman"/>
          <w:color w:val="000000"/>
          <w:sz w:val="24"/>
          <w:szCs w:val="24"/>
        </w:rPr>
        <w:t xml:space="preserve">August </w:t>
      </w:r>
      <w:r w:rsidRPr="009D092B" w:rsidR="00970E73">
        <w:rPr>
          <w:rFonts w:ascii="Times New Roman" w:hAnsi="Times New Roman"/>
          <w:color w:val="000000"/>
          <w:sz w:val="24"/>
          <w:szCs w:val="24"/>
        </w:rPr>
        <w:t>30, 2026</w:t>
      </w:r>
    </w:p>
    <w:p w:rsidR="00794C71" w:rsidP="00010CCF" w14:paraId="716A3C7E" w14:textId="6456C09D">
      <w:pPr>
        <w:widowControl/>
        <w:ind w:left="360"/>
        <w:rPr>
          <w:rFonts w:ascii="Times New Roman" w:hAnsi="Times New Roman"/>
          <w:color w:val="000000"/>
          <w:sz w:val="24"/>
          <w:szCs w:val="24"/>
        </w:rPr>
      </w:pPr>
    </w:p>
    <w:p w:rsidR="00E615C6" w:rsidP="007B5012" w14:paraId="333C1BB8" w14:textId="17C85E45">
      <w:pPr>
        <w:widowControl/>
        <w:ind w:left="360"/>
        <w:rPr>
          <w:rFonts w:ascii="Times New Roman" w:hAnsi="Times New Roman"/>
          <w:color w:val="000000"/>
          <w:sz w:val="24"/>
          <w:szCs w:val="24"/>
        </w:rPr>
      </w:pPr>
      <w:r>
        <w:rPr>
          <w:rFonts w:ascii="Times New Roman" w:hAnsi="Times New Roman"/>
          <w:color w:val="000000"/>
          <w:sz w:val="24"/>
          <w:szCs w:val="24"/>
        </w:rPr>
        <w:t xml:space="preserve">OCC </w:t>
      </w:r>
      <w:r w:rsidR="00ED65BA">
        <w:rPr>
          <w:rFonts w:ascii="Times New Roman" w:hAnsi="Times New Roman"/>
          <w:color w:val="000000"/>
          <w:sz w:val="24"/>
          <w:szCs w:val="24"/>
        </w:rPr>
        <w:t xml:space="preserve">reviews, </w:t>
      </w:r>
      <w:r w:rsidR="0097706A">
        <w:rPr>
          <w:rFonts w:ascii="Times New Roman" w:hAnsi="Times New Roman"/>
          <w:color w:val="000000"/>
          <w:sz w:val="24"/>
          <w:szCs w:val="24"/>
        </w:rPr>
        <w:t>analyzes,</w:t>
      </w:r>
      <w:r w:rsidR="00ED65BA">
        <w:rPr>
          <w:rFonts w:ascii="Times New Roman" w:hAnsi="Times New Roman"/>
          <w:color w:val="000000"/>
          <w:sz w:val="24"/>
          <w:szCs w:val="24"/>
        </w:rPr>
        <w:t xml:space="preserve"> and compiles </w:t>
      </w:r>
      <w:r>
        <w:rPr>
          <w:rFonts w:ascii="Times New Roman" w:hAnsi="Times New Roman"/>
          <w:color w:val="000000"/>
          <w:sz w:val="24"/>
          <w:szCs w:val="24"/>
        </w:rPr>
        <w:t xml:space="preserve">the data collected </w:t>
      </w:r>
      <w:r w:rsidR="00ED65BA">
        <w:rPr>
          <w:rFonts w:ascii="Times New Roman" w:hAnsi="Times New Roman"/>
          <w:color w:val="000000"/>
          <w:sz w:val="24"/>
          <w:szCs w:val="24"/>
        </w:rPr>
        <w:t>in</w:t>
      </w:r>
      <w:r>
        <w:rPr>
          <w:rFonts w:ascii="Times New Roman" w:hAnsi="Times New Roman"/>
          <w:color w:val="000000"/>
          <w:sz w:val="24"/>
          <w:szCs w:val="24"/>
        </w:rPr>
        <w:t xml:space="preserve"> the </w:t>
      </w:r>
      <w:r w:rsidRPr="0097706A">
        <w:rPr>
          <w:rFonts w:ascii="Times New Roman" w:hAnsi="Times New Roman"/>
          <w:i/>
          <w:iCs/>
          <w:color w:val="000000"/>
          <w:sz w:val="24"/>
          <w:szCs w:val="24"/>
        </w:rPr>
        <w:t>State Improper Payments Report</w:t>
      </w:r>
      <w:r>
        <w:rPr>
          <w:rFonts w:ascii="Times New Roman" w:hAnsi="Times New Roman"/>
          <w:color w:val="000000"/>
          <w:sz w:val="24"/>
          <w:szCs w:val="24"/>
        </w:rPr>
        <w:t xml:space="preserve"> to </w:t>
      </w:r>
      <w:r w:rsidR="00C10290">
        <w:rPr>
          <w:rFonts w:ascii="Times New Roman" w:hAnsi="Times New Roman"/>
          <w:color w:val="000000"/>
          <w:sz w:val="24"/>
          <w:szCs w:val="24"/>
        </w:rPr>
        <w:t xml:space="preserve">calculate </w:t>
      </w:r>
      <w:r w:rsidR="005E70EB">
        <w:rPr>
          <w:rFonts w:ascii="Times New Roman" w:hAnsi="Times New Roman"/>
          <w:color w:val="000000"/>
          <w:sz w:val="24"/>
          <w:szCs w:val="24"/>
        </w:rPr>
        <w:t xml:space="preserve">and report </w:t>
      </w:r>
      <w:r w:rsidR="00C10290">
        <w:rPr>
          <w:rFonts w:ascii="Times New Roman" w:hAnsi="Times New Roman"/>
          <w:color w:val="000000"/>
          <w:sz w:val="24"/>
          <w:szCs w:val="24"/>
        </w:rPr>
        <w:t>the CCDF</w:t>
      </w:r>
      <w:r w:rsidR="0009509D">
        <w:rPr>
          <w:rFonts w:ascii="Times New Roman" w:hAnsi="Times New Roman"/>
          <w:color w:val="000000"/>
          <w:sz w:val="24"/>
          <w:szCs w:val="24"/>
        </w:rPr>
        <w:t xml:space="preserve"> e</w:t>
      </w:r>
      <w:r w:rsidR="00C10290">
        <w:rPr>
          <w:rFonts w:ascii="Times New Roman" w:hAnsi="Times New Roman"/>
          <w:color w:val="000000"/>
          <w:sz w:val="24"/>
          <w:szCs w:val="24"/>
        </w:rPr>
        <w:t>rror</w:t>
      </w:r>
      <w:r w:rsidR="0009509D">
        <w:rPr>
          <w:rFonts w:ascii="Times New Roman" w:hAnsi="Times New Roman"/>
          <w:color w:val="000000"/>
          <w:sz w:val="24"/>
          <w:szCs w:val="24"/>
        </w:rPr>
        <w:t xml:space="preserve"> measures</w:t>
      </w:r>
      <w:r w:rsidR="00C10290">
        <w:rPr>
          <w:rFonts w:ascii="Times New Roman" w:hAnsi="Times New Roman"/>
          <w:color w:val="000000"/>
          <w:sz w:val="24"/>
          <w:szCs w:val="24"/>
        </w:rPr>
        <w:t xml:space="preserve"> reported in the HHS Agency Financial </w:t>
      </w:r>
      <w:r w:rsidR="005E70EB">
        <w:rPr>
          <w:rFonts w:ascii="Times New Roman" w:hAnsi="Times New Roman"/>
          <w:color w:val="000000"/>
          <w:sz w:val="24"/>
          <w:szCs w:val="24"/>
        </w:rPr>
        <w:t>R</w:t>
      </w:r>
      <w:r w:rsidR="00C10290">
        <w:rPr>
          <w:rFonts w:ascii="Times New Roman" w:hAnsi="Times New Roman"/>
          <w:color w:val="000000"/>
          <w:sz w:val="24"/>
          <w:szCs w:val="24"/>
        </w:rPr>
        <w:t>eport</w:t>
      </w:r>
      <w:r w:rsidR="0042006E">
        <w:rPr>
          <w:rFonts w:ascii="Times New Roman" w:hAnsi="Times New Roman"/>
          <w:color w:val="000000"/>
          <w:sz w:val="24"/>
          <w:szCs w:val="24"/>
        </w:rPr>
        <w:t xml:space="preserve">, published </w:t>
      </w:r>
      <w:r w:rsidR="0097706A">
        <w:rPr>
          <w:rFonts w:ascii="Times New Roman" w:hAnsi="Times New Roman"/>
          <w:color w:val="000000"/>
          <w:sz w:val="24"/>
          <w:szCs w:val="24"/>
        </w:rPr>
        <w:t xml:space="preserve">annually in </w:t>
      </w:r>
      <w:r w:rsidR="0042006E">
        <w:rPr>
          <w:rFonts w:ascii="Times New Roman" w:hAnsi="Times New Roman"/>
          <w:color w:val="000000"/>
          <w:sz w:val="24"/>
          <w:szCs w:val="24"/>
        </w:rPr>
        <w:t>November</w:t>
      </w:r>
      <w:r w:rsidR="00C10290">
        <w:rPr>
          <w:rFonts w:ascii="Times New Roman" w:hAnsi="Times New Roman"/>
          <w:color w:val="000000"/>
          <w:sz w:val="24"/>
          <w:szCs w:val="24"/>
        </w:rPr>
        <w:t xml:space="preserve">. </w:t>
      </w:r>
      <w:r w:rsidR="00527565">
        <w:rPr>
          <w:rFonts w:ascii="Times New Roman" w:hAnsi="Times New Roman"/>
          <w:color w:val="000000"/>
          <w:sz w:val="24"/>
          <w:szCs w:val="24"/>
        </w:rPr>
        <w:t>Data</w:t>
      </w:r>
      <w:r w:rsidR="007250B2">
        <w:rPr>
          <w:rFonts w:ascii="Times New Roman" w:hAnsi="Times New Roman"/>
          <w:color w:val="000000"/>
          <w:sz w:val="24"/>
          <w:szCs w:val="24"/>
        </w:rPr>
        <w:t xml:space="preserve"> from </w:t>
      </w:r>
      <w:r w:rsidR="0042006E">
        <w:rPr>
          <w:rFonts w:ascii="Times New Roman" w:hAnsi="Times New Roman"/>
          <w:color w:val="000000"/>
          <w:sz w:val="24"/>
          <w:szCs w:val="24"/>
        </w:rPr>
        <w:t xml:space="preserve">the </w:t>
      </w:r>
      <w:r w:rsidR="007250B2">
        <w:rPr>
          <w:rFonts w:ascii="Times New Roman" w:hAnsi="Times New Roman"/>
          <w:color w:val="000000"/>
          <w:sz w:val="24"/>
          <w:szCs w:val="24"/>
        </w:rPr>
        <w:t xml:space="preserve">current reporting </w:t>
      </w:r>
      <w:r w:rsidR="00527565">
        <w:rPr>
          <w:rFonts w:ascii="Times New Roman" w:hAnsi="Times New Roman"/>
          <w:color w:val="000000"/>
          <w:sz w:val="24"/>
          <w:szCs w:val="24"/>
        </w:rPr>
        <w:t xml:space="preserve">cohort of </w:t>
      </w:r>
      <w:r w:rsidR="007250B2">
        <w:rPr>
          <w:rFonts w:ascii="Times New Roman" w:hAnsi="Times New Roman"/>
          <w:color w:val="000000"/>
          <w:sz w:val="24"/>
          <w:szCs w:val="24"/>
        </w:rPr>
        <w:t>states</w:t>
      </w:r>
      <w:r w:rsidR="00527565">
        <w:rPr>
          <w:rFonts w:ascii="Times New Roman" w:hAnsi="Times New Roman"/>
          <w:color w:val="000000"/>
          <w:sz w:val="24"/>
          <w:szCs w:val="24"/>
        </w:rPr>
        <w:t xml:space="preserve"> is combined with the data from the prior two years</w:t>
      </w:r>
      <w:r w:rsidR="0042006E">
        <w:rPr>
          <w:rFonts w:ascii="Times New Roman" w:hAnsi="Times New Roman"/>
          <w:color w:val="000000"/>
          <w:sz w:val="24"/>
          <w:szCs w:val="24"/>
        </w:rPr>
        <w:t xml:space="preserve"> so all states </w:t>
      </w:r>
      <w:r w:rsidR="006C7840">
        <w:rPr>
          <w:rFonts w:ascii="Times New Roman" w:hAnsi="Times New Roman"/>
          <w:color w:val="000000"/>
          <w:sz w:val="24"/>
          <w:szCs w:val="24"/>
        </w:rPr>
        <w:t xml:space="preserve">are included in the annual reporting, even though states only submit reports once every three years. </w:t>
      </w:r>
      <w:r w:rsidR="0042006E">
        <w:rPr>
          <w:rFonts w:ascii="Times New Roman" w:hAnsi="Times New Roman"/>
          <w:color w:val="000000"/>
          <w:sz w:val="24"/>
          <w:szCs w:val="24"/>
        </w:rPr>
        <w:t xml:space="preserve"> </w:t>
      </w:r>
    </w:p>
    <w:p w:rsidR="00300D0B" w:rsidP="007B5012" w14:paraId="3870F685" w14:textId="331E9586">
      <w:pPr>
        <w:widowControl/>
        <w:ind w:left="360"/>
        <w:rPr>
          <w:rFonts w:ascii="Times New Roman" w:hAnsi="Times New Roman"/>
          <w:color w:val="000000"/>
          <w:sz w:val="24"/>
          <w:szCs w:val="24"/>
        </w:rPr>
      </w:pPr>
      <w:r>
        <w:rPr>
          <w:rFonts w:ascii="Times New Roman" w:hAnsi="Times New Roman"/>
          <w:color w:val="000000"/>
          <w:sz w:val="24"/>
          <w:szCs w:val="24"/>
        </w:rPr>
        <w:t xml:space="preserve">To allow sufficient time for state to make changes to their systems to gather and report the requested data, </w:t>
      </w:r>
      <w:r>
        <w:rPr>
          <w:rFonts w:ascii="Times New Roman" w:hAnsi="Times New Roman"/>
          <w:color w:val="000000"/>
          <w:sz w:val="24"/>
          <w:szCs w:val="24"/>
        </w:rPr>
        <w:t xml:space="preserve">OCC </w:t>
      </w:r>
      <w:r w:rsidR="00D228FF">
        <w:rPr>
          <w:rFonts w:ascii="Times New Roman" w:hAnsi="Times New Roman"/>
          <w:color w:val="000000"/>
          <w:sz w:val="24"/>
          <w:szCs w:val="24"/>
        </w:rPr>
        <w:t>proposes to make the change</w:t>
      </w:r>
      <w:r>
        <w:rPr>
          <w:rFonts w:ascii="Times New Roman" w:hAnsi="Times New Roman"/>
          <w:color w:val="000000"/>
          <w:sz w:val="24"/>
          <w:szCs w:val="24"/>
        </w:rPr>
        <w:t>s</w:t>
      </w:r>
      <w:r w:rsidR="00D228FF">
        <w:rPr>
          <w:rFonts w:ascii="Times New Roman" w:hAnsi="Times New Roman"/>
          <w:color w:val="000000"/>
          <w:sz w:val="24"/>
          <w:szCs w:val="24"/>
        </w:rPr>
        <w:t xml:space="preserve"> to the </w:t>
      </w:r>
      <w:r w:rsidR="00055DA8">
        <w:rPr>
          <w:rFonts w:ascii="Times New Roman" w:hAnsi="Times New Roman"/>
          <w:color w:val="000000"/>
          <w:sz w:val="24"/>
          <w:szCs w:val="24"/>
        </w:rPr>
        <w:t xml:space="preserve">ACF-404 </w:t>
      </w:r>
      <w:r w:rsidRPr="00476CC7">
        <w:rPr>
          <w:rFonts w:ascii="Times New Roman" w:hAnsi="Times New Roman"/>
          <w:i/>
          <w:iCs/>
          <w:color w:val="000000"/>
          <w:sz w:val="24"/>
          <w:szCs w:val="24"/>
        </w:rPr>
        <w:t>State Improper Payments Report</w:t>
      </w:r>
      <w:r>
        <w:rPr>
          <w:rFonts w:ascii="Times New Roman" w:hAnsi="Times New Roman"/>
          <w:color w:val="000000"/>
          <w:sz w:val="24"/>
          <w:szCs w:val="24"/>
        </w:rPr>
        <w:t xml:space="preserve"> effective </w:t>
      </w:r>
      <w:r>
        <w:rPr>
          <w:rFonts w:ascii="Times New Roman" w:hAnsi="Times New Roman"/>
          <w:color w:val="000000"/>
          <w:sz w:val="24"/>
          <w:szCs w:val="24"/>
        </w:rPr>
        <w:t xml:space="preserve">with the June 2026 reports (Cohort 1 states). </w:t>
      </w:r>
    </w:p>
    <w:p w:rsidR="007935D5" w:rsidRPr="004F7B95" w:rsidP="00D84B0A" w14:paraId="298DD100"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71DC6EEE" w14:textId="41280C86">
      <w:pPr>
        <w:widowControl/>
        <w:ind w:left="360" w:hanging="90"/>
        <w:rPr>
          <w:rFonts w:ascii="Times New Roman" w:hAnsi="Times New Roman"/>
          <w:snapToGrid/>
          <w:sz w:val="24"/>
          <w:szCs w:val="24"/>
        </w:rPr>
      </w:pPr>
      <w:r>
        <w:rPr>
          <w:rFonts w:ascii="Times New Roman" w:hAnsi="Times New Roman"/>
          <w:snapToGrid/>
          <w:sz w:val="24"/>
          <w:szCs w:val="24"/>
        </w:rPr>
        <w:t>T</w:t>
      </w:r>
      <w:r w:rsidR="00086739">
        <w:rPr>
          <w:rFonts w:ascii="Times New Roman" w:hAnsi="Times New Roman"/>
          <w:snapToGrid/>
          <w:sz w:val="24"/>
          <w:szCs w:val="24"/>
        </w:rPr>
        <w:t xml:space="preserve">he current expiration date will be displayed in each report. </w:t>
      </w:r>
    </w:p>
    <w:p w:rsidR="00D60543" w:rsidRPr="004F7B95" w:rsidP="00550731" w14:paraId="3C11407F" w14:textId="77777777">
      <w:pPr>
        <w:widowControl/>
        <w:rPr>
          <w:rFonts w:ascii="Times New Roman" w:hAnsi="Times New Roman"/>
          <w:snapToGrid/>
          <w:sz w:val="24"/>
          <w:szCs w:val="24"/>
        </w:rPr>
      </w:pPr>
    </w:p>
    <w:p w:rsidR="002C3C4F"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4F7B95" w:rsidP="00D84B0A" w14:paraId="0C245CAE" w14:textId="0CEEAFC7">
      <w:pPr>
        <w:widowControl/>
        <w:spacing w:after="120"/>
        <w:ind w:left="360"/>
        <w:rPr>
          <w:rFonts w:ascii="Times New Roman" w:hAnsi="Times New Roman"/>
          <w:b/>
          <w:bCs/>
          <w:snapToGrid/>
          <w:sz w:val="24"/>
          <w:szCs w:val="24"/>
        </w:rPr>
      </w:pPr>
      <w:r w:rsidRPr="00F66AF7">
        <w:rPr>
          <w:rFonts w:ascii="Times New Roman" w:hAnsi="Times New Roman"/>
          <w:sz w:val="24"/>
          <w:szCs w:val="24"/>
        </w:rPr>
        <w:t>No exceptions are necessary for this information collection</w:t>
      </w:r>
      <w:r w:rsidR="00E1734D">
        <w:rPr>
          <w:rFonts w:ascii="Times New Roman" w:hAnsi="Times New Roman"/>
          <w:sz w:val="24"/>
          <w:szCs w:val="24"/>
        </w:rPr>
        <w:t>.</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E7957" w14:paraId="20FD8E49" w14:textId="77777777">
      <w:pPr>
        <w:spacing w:line="20" w:lineRule="exact"/>
        <w:rPr>
          <w:sz w:val="24"/>
        </w:rPr>
      </w:pPr>
    </w:p>
  </w:endnote>
  <w:endnote w:type="continuationSeparator" w:id="1">
    <w:p w:rsidR="00EE7957" w14:paraId="003639B1" w14:textId="77777777">
      <w:r>
        <w:rPr>
          <w:sz w:val="24"/>
        </w:rPr>
        <w:t xml:space="preserve"> </w:t>
      </w:r>
    </w:p>
  </w:endnote>
  <w:endnote w:type="continuationNotice" w:id="2">
    <w:p w:rsidR="00EE7957" w14:paraId="046B5B4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7957" w14:paraId="482E31CC" w14:textId="77777777">
      <w:r>
        <w:rPr>
          <w:sz w:val="24"/>
        </w:rPr>
        <w:separator/>
      </w:r>
    </w:p>
  </w:footnote>
  <w:footnote w:type="continuationSeparator" w:id="1">
    <w:p w:rsidR="00EE7957" w14:paraId="3F67A9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A55151"/>
    <w:multiLevelType w:val="hybridMultilevel"/>
    <w:tmpl w:val="BED469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247D1"/>
    <w:multiLevelType w:val="hybridMultilevel"/>
    <w:tmpl w:val="DF7638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5C25459"/>
    <w:multiLevelType w:val="hybridMultilevel"/>
    <w:tmpl w:val="66E86054"/>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E3079"/>
    <w:multiLevelType w:val="hybridMultilevel"/>
    <w:tmpl w:val="ABD48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67997899">
    <w:abstractNumId w:val="13"/>
  </w:num>
  <w:num w:numId="2" w16cid:durableId="195969920">
    <w:abstractNumId w:val="14"/>
  </w:num>
  <w:num w:numId="3" w16cid:durableId="445662127">
    <w:abstractNumId w:val="16"/>
  </w:num>
  <w:num w:numId="4" w16cid:durableId="122889225">
    <w:abstractNumId w:val="6"/>
  </w:num>
  <w:num w:numId="5" w16cid:durableId="1465078761">
    <w:abstractNumId w:val="9"/>
  </w:num>
  <w:num w:numId="6" w16cid:durableId="46727952">
    <w:abstractNumId w:val="12"/>
  </w:num>
  <w:num w:numId="7" w16cid:durableId="103691981">
    <w:abstractNumId w:val="2"/>
  </w:num>
  <w:num w:numId="8" w16cid:durableId="583808806">
    <w:abstractNumId w:val="11"/>
  </w:num>
  <w:num w:numId="9" w16cid:durableId="281554">
    <w:abstractNumId w:val="17"/>
  </w:num>
  <w:num w:numId="10" w16cid:durableId="1990400295">
    <w:abstractNumId w:val="10"/>
  </w:num>
  <w:num w:numId="11" w16cid:durableId="1144662492">
    <w:abstractNumId w:val="8"/>
  </w:num>
  <w:num w:numId="12" w16cid:durableId="1911502661">
    <w:abstractNumId w:val="0"/>
  </w:num>
  <w:num w:numId="13" w16cid:durableId="1966495843">
    <w:abstractNumId w:val="19"/>
  </w:num>
  <w:num w:numId="14" w16cid:durableId="311105989">
    <w:abstractNumId w:val="1"/>
  </w:num>
  <w:num w:numId="15" w16cid:durableId="1973561910">
    <w:abstractNumId w:val="3"/>
  </w:num>
  <w:num w:numId="16" w16cid:durableId="1316573311">
    <w:abstractNumId w:val="15"/>
  </w:num>
  <w:num w:numId="17" w16cid:durableId="550308120">
    <w:abstractNumId w:val="20"/>
  </w:num>
  <w:num w:numId="18" w16cid:durableId="336344446">
    <w:abstractNumId w:val="4"/>
  </w:num>
  <w:num w:numId="19" w16cid:durableId="1235899766">
    <w:abstractNumId w:val="21"/>
  </w:num>
  <w:num w:numId="20" w16cid:durableId="434792576">
    <w:abstractNumId w:val="18"/>
  </w:num>
  <w:num w:numId="21" w16cid:durableId="112329614">
    <w:abstractNumId w:val="23"/>
  </w:num>
  <w:num w:numId="22" w16cid:durableId="1802723213">
    <w:abstractNumId w:val="7"/>
  </w:num>
  <w:num w:numId="23" w16cid:durableId="1610703209">
    <w:abstractNumId w:val="22"/>
  </w:num>
  <w:num w:numId="24" w16cid:durableId="49187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5EC"/>
    <w:rsid w:val="00010CCF"/>
    <w:rsid w:val="00010D11"/>
    <w:rsid w:val="00013D0B"/>
    <w:rsid w:val="00014FC1"/>
    <w:rsid w:val="00022586"/>
    <w:rsid w:val="000249B5"/>
    <w:rsid w:val="00026787"/>
    <w:rsid w:val="00033C23"/>
    <w:rsid w:val="000357E3"/>
    <w:rsid w:val="00044235"/>
    <w:rsid w:val="00047388"/>
    <w:rsid w:val="0005229F"/>
    <w:rsid w:val="00055DA8"/>
    <w:rsid w:val="00056C4B"/>
    <w:rsid w:val="00056CB9"/>
    <w:rsid w:val="0006584C"/>
    <w:rsid w:val="000663BA"/>
    <w:rsid w:val="00074D8B"/>
    <w:rsid w:val="00075889"/>
    <w:rsid w:val="000772D3"/>
    <w:rsid w:val="00086739"/>
    <w:rsid w:val="0009007E"/>
    <w:rsid w:val="0009509D"/>
    <w:rsid w:val="00095143"/>
    <w:rsid w:val="00097D9C"/>
    <w:rsid w:val="00097E6D"/>
    <w:rsid w:val="000A5035"/>
    <w:rsid w:val="000B2F09"/>
    <w:rsid w:val="000C4F38"/>
    <w:rsid w:val="000D5D02"/>
    <w:rsid w:val="000E19D7"/>
    <w:rsid w:val="000E2786"/>
    <w:rsid w:val="000E7546"/>
    <w:rsid w:val="000F069F"/>
    <w:rsid w:val="0010170C"/>
    <w:rsid w:val="00102200"/>
    <w:rsid w:val="00103204"/>
    <w:rsid w:val="00103CDA"/>
    <w:rsid w:val="00103D29"/>
    <w:rsid w:val="00110D7C"/>
    <w:rsid w:val="0011245C"/>
    <w:rsid w:val="00116D5C"/>
    <w:rsid w:val="00117097"/>
    <w:rsid w:val="00126BD6"/>
    <w:rsid w:val="001337B5"/>
    <w:rsid w:val="001349A4"/>
    <w:rsid w:val="00135002"/>
    <w:rsid w:val="00137739"/>
    <w:rsid w:val="0014145B"/>
    <w:rsid w:val="00150384"/>
    <w:rsid w:val="00154145"/>
    <w:rsid w:val="00154A35"/>
    <w:rsid w:val="00157325"/>
    <w:rsid w:val="00160621"/>
    <w:rsid w:val="00166932"/>
    <w:rsid w:val="00173184"/>
    <w:rsid w:val="00186385"/>
    <w:rsid w:val="00190284"/>
    <w:rsid w:val="0019327D"/>
    <w:rsid w:val="00193A7D"/>
    <w:rsid w:val="00193F87"/>
    <w:rsid w:val="001A393E"/>
    <w:rsid w:val="001A7A2F"/>
    <w:rsid w:val="001C35D2"/>
    <w:rsid w:val="001C483C"/>
    <w:rsid w:val="001C7FFE"/>
    <w:rsid w:val="001D1651"/>
    <w:rsid w:val="001E4AB5"/>
    <w:rsid w:val="001E5FAC"/>
    <w:rsid w:val="001E7AC9"/>
    <w:rsid w:val="001F30A4"/>
    <w:rsid w:val="001F6C8A"/>
    <w:rsid w:val="001F7A33"/>
    <w:rsid w:val="00203CB2"/>
    <w:rsid w:val="00212374"/>
    <w:rsid w:val="00212FB9"/>
    <w:rsid w:val="00222C7F"/>
    <w:rsid w:val="00223F59"/>
    <w:rsid w:val="00226C42"/>
    <w:rsid w:val="0022772A"/>
    <w:rsid w:val="00234235"/>
    <w:rsid w:val="00237536"/>
    <w:rsid w:val="00241151"/>
    <w:rsid w:val="002464EB"/>
    <w:rsid w:val="00250248"/>
    <w:rsid w:val="002509BD"/>
    <w:rsid w:val="00252515"/>
    <w:rsid w:val="002776BA"/>
    <w:rsid w:val="00287000"/>
    <w:rsid w:val="00290A1C"/>
    <w:rsid w:val="0029589B"/>
    <w:rsid w:val="00296738"/>
    <w:rsid w:val="002A6ACC"/>
    <w:rsid w:val="002A6B34"/>
    <w:rsid w:val="002B1E7B"/>
    <w:rsid w:val="002B3B57"/>
    <w:rsid w:val="002B62E5"/>
    <w:rsid w:val="002C3C4F"/>
    <w:rsid w:val="002C4F75"/>
    <w:rsid w:val="002C7838"/>
    <w:rsid w:val="002E10D1"/>
    <w:rsid w:val="002E128B"/>
    <w:rsid w:val="002E3620"/>
    <w:rsid w:val="002E4AA0"/>
    <w:rsid w:val="002E5E59"/>
    <w:rsid w:val="002E69E5"/>
    <w:rsid w:val="002E7BBF"/>
    <w:rsid w:val="002E7E67"/>
    <w:rsid w:val="002E7FA1"/>
    <w:rsid w:val="002F022F"/>
    <w:rsid w:val="002F2507"/>
    <w:rsid w:val="002F410B"/>
    <w:rsid w:val="002F6622"/>
    <w:rsid w:val="00300D0B"/>
    <w:rsid w:val="00303286"/>
    <w:rsid w:val="00304AB6"/>
    <w:rsid w:val="00315A69"/>
    <w:rsid w:val="00317168"/>
    <w:rsid w:val="00335F8A"/>
    <w:rsid w:val="003369B4"/>
    <w:rsid w:val="003405A4"/>
    <w:rsid w:val="00345FCD"/>
    <w:rsid w:val="00351714"/>
    <w:rsid w:val="00352051"/>
    <w:rsid w:val="00354171"/>
    <w:rsid w:val="00354319"/>
    <w:rsid w:val="00355A35"/>
    <w:rsid w:val="003614EC"/>
    <w:rsid w:val="003659DC"/>
    <w:rsid w:val="00377B0B"/>
    <w:rsid w:val="0038209B"/>
    <w:rsid w:val="0038637C"/>
    <w:rsid w:val="00387B9C"/>
    <w:rsid w:val="00390D83"/>
    <w:rsid w:val="00392262"/>
    <w:rsid w:val="00393896"/>
    <w:rsid w:val="00393F2A"/>
    <w:rsid w:val="00397CC8"/>
    <w:rsid w:val="003A080F"/>
    <w:rsid w:val="003A0ABA"/>
    <w:rsid w:val="003A3226"/>
    <w:rsid w:val="003A7998"/>
    <w:rsid w:val="003B7A50"/>
    <w:rsid w:val="003C1D6E"/>
    <w:rsid w:val="003C3D50"/>
    <w:rsid w:val="003D29A7"/>
    <w:rsid w:val="003E1503"/>
    <w:rsid w:val="003E1692"/>
    <w:rsid w:val="003E338E"/>
    <w:rsid w:val="003E59BE"/>
    <w:rsid w:val="003E6EA3"/>
    <w:rsid w:val="00401262"/>
    <w:rsid w:val="004025C4"/>
    <w:rsid w:val="00402D24"/>
    <w:rsid w:val="00405C10"/>
    <w:rsid w:val="00405FA8"/>
    <w:rsid w:val="004110F5"/>
    <w:rsid w:val="00415D30"/>
    <w:rsid w:val="0042006E"/>
    <w:rsid w:val="00422E1D"/>
    <w:rsid w:val="00425DB8"/>
    <w:rsid w:val="004341C3"/>
    <w:rsid w:val="00443DB0"/>
    <w:rsid w:val="00444B6D"/>
    <w:rsid w:val="00450761"/>
    <w:rsid w:val="0045102E"/>
    <w:rsid w:val="004602FE"/>
    <w:rsid w:val="00462382"/>
    <w:rsid w:val="00463977"/>
    <w:rsid w:val="00464D31"/>
    <w:rsid w:val="0046787E"/>
    <w:rsid w:val="00467954"/>
    <w:rsid w:val="00467AA8"/>
    <w:rsid w:val="004753BB"/>
    <w:rsid w:val="00476C1F"/>
    <w:rsid w:val="00476CC7"/>
    <w:rsid w:val="00477B72"/>
    <w:rsid w:val="00480072"/>
    <w:rsid w:val="004845DD"/>
    <w:rsid w:val="0048682B"/>
    <w:rsid w:val="00490457"/>
    <w:rsid w:val="0049119A"/>
    <w:rsid w:val="00492408"/>
    <w:rsid w:val="00493FFA"/>
    <w:rsid w:val="004943E0"/>
    <w:rsid w:val="0049499D"/>
    <w:rsid w:val="004A7BE4"/>
    <w:rsid w:val="004B6A3A"/>
    <w:rsid w:val="004C1E03"/>
    <w:rsid w:val="004C2780"/>
    <w:rsid w:val="004C6104"/>
    <w:rsid w:val="004D1F08"/>
    <w:rsid w:val="004D4961"/>
    <w:rsid w:val="004E7954"/>
    <w:rsid w:val="004F412C"/>
    <w:rsid w:val="004F45CE"/>
    <w:rsid w:val="004F7B95"/>
    <w:rsid w:val="0050580F"/>
    <w:rsid w:val="00505870"/>
    <w:rsid w:val="005079DE"/>
    <w:rsid w:val="00510CFA"/>
    <w:rsid w:val="0051134C"/>
    <w:rsid w:val="0051278C"/>
    <w:rsid w:val="0051570F"/>
    <w:rsid w:val="00522C18"/>
    <w:rsid w:val="005249CE"/>
    <w:rsid w:val="00527565"/>
    <w:rsid w:val="005328EC"/>
    <w:rsid w:val="005332E7"/>
    <w:rsid w:val="00536A86"/>
    <w:rsid w:val="00541E51"/>
    <w:rsid w:val="00543E1D"/>
    <w:rsid w:val="00550731"/>
    <w:rsid w:val="00551781"/>
    <w:rsid w:val="005520C3"/>
    <w:rsid w:val="0055556D"/>
    <w:rsid w:val="00556056"/>
    <w:rsid w:val="00556701"/>
    <w:rsid w:val="00556E1B"/>
    <w:rsid w:val="00557B08"/>
    <w:rsid w:val="00564291"/>
    <w:rsid w:val="0056564E"/>
    <w:rsid w:val="00565ECF"/>
    <w:rsid w:val="005673BD"/>
    <w:rsid w:val="00571BC2"/>
    <w:rsid w:val="00573AF7"/>
    <w:rsid w:val="00574B9D"/>
    <w:rsid w:val="00575E02"/>
    <w:rsid w:val="00576889"/>
    <w:rsid w:val="005824BD"/>
    <w:rsid w:val="005849C6"/>
    <w:rsid w:val="00597E7F"/>
    <w:rsid w:val="005A3E2B"/>
    <w:rsid w:val="005A6D3E"/>
    <w:rsid w:val="005A77B3"/>
    <w:rsid w:val="005B00FC"/>
    <w:rsid w:val="005B1BAA"/>
    <w:rsid w:val="005B22D4"/>
    <w:rsid w:val="005C3F90"/>
    <w:rsid w:val="005C60F1"/>
    <w:rsid w:val="005C7F8A"/>
    <w:rsid w:val="005D1B7E"/>
    <w:rsid w:val="005D274E"/>
    <w:rsid w:val="005D4486"/>
    <w:rsid w:val="005D5B1B"/>
    <w:rsid w:val="005D61DB"/>
    <w:rsid w:val="005E0051"/>
    <w:rsid w:val="005E0B35"/>
    <w:rsid w:val="005E1F76"/>
    <w:rsid w:val="005E4674"/>
    <w:rsid w:val="005E5A28"/>
    <w:rsid w:val="005E70EB"/>
    <w:rsid w:val="005F0ED4"/>
    <w:rsid w:val="005F5249"/>
    <w:rsid w:val="005F5CFC"/>
    <w:rsid w:val="00603498"/>
    <w:rsid w:val="00603DD9"/>
    <w:rsid w:val="00607B02"/>
    <w:rsid w:val="00611263"/>
    <w:rsid w:val="006177DD"/>
    <w:rsid w:val="006309D3"/>
    <w:rsid w:val="00634E1D"/>
    <w:rsid w:val="00635583"/>
    <w:rsid w:val="0063615A"/>
    <w:rsid w:val="00637616"/>
    <w:rsid w:val="00640565"/>
    <w:rsid w:val="00651F0F"/>
    <w:rsid w:val="00655BEA"/>
    <w:rsid w:val="00655F74"/>
    <w:rsid w:val="00671E1C"/>
    <w:rsid w:val="00672359"/>
    <w:rsid w:val="00680ED9"/>
    <w:rsid w:val="00681E38"/>
    <w:rsid w:val="006960CE"/>
    <w:rsid w:val="006A086B"/>
    <w:rsid w:val="006A2653"/>
    <w:rsid w:val="006A777D"/>
    <w:rsid w:val="006A7E9D"/>
    <w:rsid w:val="006B1006"/>
    <w:rsid w:val="006B2726"/>
    <w:rsid w:val="006B5BFB"/>
    <w:rsid w:val="006C1EA3"/>
    <w:rsid w:val="006C7840"/>
    <w:rsid w:val="006D1643"/>
    <w:rsid w:val="006D1B53"/>
    <w:rsid w:val="006D2632"/>
    <w:rsid w:val="006E1AE9"/>
    <w:rsid w:val="006E6283"/>
    <w:rsid w:val="006E6629"/>
    <w:rsid w:val="006E7B82"/>
    <w:rsid w:val="006F55D6"/>
    <w:rsid w:val="006F589F"/>
    <w:rsid w:val="006F68BE"/>
    <w:rsid w:val="00702E01"/>
    <w:rsid w:val="0070515E"/>
    <w:rsid w:val="00707AFB"/>
    <w:rsid w:val="00710AEA"/>
    <w:rsid w:val="00717BE7"/>
    <w:rsid w:val="0072122A"/>
    <w:rsid w:val="007250B2"/>
    <w:rsid w:val="00731BC2"/>
    <w:rsid w:val="00735330"/>
    <w:rsid w:val="0073615C"/>
    <w:rsid w:val="00740E52"/>
    <w:rsid w:val="007462DC"/>
    <w:rsid w:val="0074674D"/>
    <w:rsid w:val="00754884"/>
    <w:rsid w:val="007562A0"/>
    <w:rsid w:val="00757EC5"/>
    <w:rsid w:val="007629F1"/>
    <w:rsid w:val="00762C40"/>
    <w:rsid w:val="00763265"/>
    <w:rsid w:val="00770167"/>
    <w:rsid w:val="00773944"/>
    <w:rsid w:val="007811B1"/>
    <w:rsid w:val="00783607"/>
    <w:rsid w:val="007845F4"/>
    <w:rsid w:val="00786793"/>
    <w:rsid w:val="00790D2C"/>
    <w:rsid w:val="0079172F"/>
    <w:rsid w:val="007935D5"/>
    <w:rsid w:val="00794C71"/>
    <w:rsid w:val="0079516B"/>
    <w:rsid w:val="007A0FBE"/>
    <w:rsid w:val="007A14A3"/>
    <w:rsid w:val="007A4FBC"/>
    <w:rsid w:val="007B5012"/>
    <w:rsid w:val="007C0BE9"/>
    <w:rsid w:val="007C5F13"/>
    <w:rsid w:val="007C5FEC"/>
    <w:rsid w:val="007D69E8"/>
    <w:rsid w:val="007D6C3F"/>
    <w:rsid w:val="007E48CC"/>
    <w:rsid w:val="007E6F9C"/>
    <w:rsid w:val="007F1694"/>
    <w:rsid w:val="007F2F33"/>
    <w:rsid w:val="007F6001"/>
    <w:rsid w:val="007F6EDD"/>
    <w:rsid w:val="00801366"/>
    <w:rsid w:val="0080325F"/>
    <w:rsid w:val="0080538F"/>
    <w:rsid w:val="00806F4A"/>
    <w:rsid w:val="00811D42"/>
    <w:rsid w:val="008153A7"/>
    <w:rsid w:val="00816C90"/>
    <w:rsid w:val="00817E2B"/>
    <w:rsid w:val="00821D0F"/>
    <w:rsid w:val="00824915"/>
    <w:rsid w:val="008301C3"/>
    <w:rsid w:val="00831728"/>
    <w:rsid w:val="008333D3"/>
    <w:rsid w:val="0083580A"/>
    <w:rsid w:val="00837E2F"/>
    <w:rsid w:val="00841BDF"/>
    <w:rsid w:val="0084220A"/>
    <w:rsid w:val="0084609A"/>
    <w:rsid w:val="00846E18"/>
    <w:rsid w:val="0084711B"/>
    <w:rsid w:val="00855B13"/>
    <w:rsid w:val="00864B61"/>
    <w:rsid w:val="00873232"/>
    <w:rsid w:val="008737D8"/>
    <w:rsid w:val="00874AED"/>
    <w:rsid w:val="008757C2"/>
    <w:rsid w:val="00880BE2"/>
    <w:rsid w:val="00881054"/>
    <w:rsid w:val="00881E8F"/>
    <w:rsid w:val="008900A8"/>
    <w:rsid w:val="008955AC"/>
    <w:rsid w:val="00896EB4"/>
    <w:rsid w:val="008A0F04"/>
    <w:rsid w:val="008B3DE5"/>
    <w:rsid w:val="008B63C3"/>
    <w:rsid w:val="008C7B7F"/>
    <w:rsid w:val="008D45C9"/>
    <w:rsid w:val="008E59BF"/>
    <w:rsid w:val="008F2519"/>
    <w:rsid w:val="008F4CB6"/>
    <w:rsid w:val="008F7221"/>
    <w:rsid w:val="00901074"/>
    <w:rsid w:val="009057B3"/>
    <w:rsid w:val="009113FF"/>
    <w:rsid w:val="009202A5"/>
    <w:rsid w:val="009202F8"/>
    <w:rsid w:val="0092065F"/>
    <w:rsid w:val="0092120A"/>
    <w:rsid w:val="00926819"/>
    <w:rsid w:val="009301CA"/>
    <w:rsid w:val="009344AC"/>
    <w:rsid w:val="0093591F"/>
    <w:rsid w:val="00936A53"/>
    <w:rsid w:val="00937594"/>
    <w:rsid w:val="00942EFF"/>
    <w:rsid w:val="009451B1"/>
    <w:rsid w:val="00945B72"/>
    <w:rsid w:val="00952232"/>
    <w:rsid w:val="00955D0C"/>
    <w:rsid w:val="00957799"/>
    <w:rsid w:val="00961819"/>
    <w:rsid w:val="00962045"/>
    <w:rsid w:val="0096305C"/>
    <w:rsid w:val="00963D19"/>
    <w:rsid w:val="00964CF7"/>
    <w:rsid w:val="00966622"/>
    <w:rsid w:val="00966F11"/>
    <w:rsid w:val="00970542"/>
    <w:rsid w:val="00970E73"/>
    <w:rsid w:val="0097706A"/>
    <w:rsid w:val="0098518C"/>
    <w:rsid w:val="009860D5"/>
    <w:rsid w:val="00987FFB"/>
    <w:rsid w:val="009903B6"/>
    <w:rsid w:val="0099047D"/>
    <w:rsid w:val="00997162"/>
    <w:rsid w:val="009A185D"/>
    <w:rsid w:val="009A2F18"/>
    <w:rsid w:val="009B1611"/>
    <w:rsid w:val="009B4BFA"/>
    <w:rsid w:val="009B7103"/>
    <w:rsid w:val="009C2DE1"/>
    <w:rsid w:val="009C40BF"/>
    <w:rsid w:val="009C5213"/>
    <w:rsid w:val="009C5753"/>
    <w:rsid w:val="009C701A"/>
    <w:rsid w:val="009D092B"/>
    <w:rsid w:val="009D1553"/>
    <w:rsid w:val="009D426E"/>
    <w:rsid w:val="009D789F"/>
    <w:rsid w:val="009E316F"/>
    <w:rsid w:val="009E6157"/>
    <w:rsid w:val="009E67C9"/>
    <w:rsid w:val="009F00D3"/>
    <w:rsid w:val="009F5543"/>
    <w:rsid w:val="009F56A4"/>
    <w:rsid w:val="009F58E1"/>
    <w:rsid w:val="009F6487"/>
    <w:rsid w:val="00A0071F"/>
    <w:rsid w:val="00A01B2D"/>
    <w:rsid w:val="00A04EF3"/>
    <w:rsid w:val="00A05B31"/>
    <w:rsid w:val="00A11D5A"/>
    <w:rsid w:val="00A160B5"/>
    <w:rsid w:val="00A21606"/>
    <w:rsid w:val="00A40A03"/>
    <w:rsid w:val="00A43FAE"/>
    <w:rsid w:val="00A53714"/>
    <w:rsid w:val="00A56D5A"/>
    <w:rsid w:val="00A61A0F"/>
    <w:rsid w:val="00A61AC0"/>
    <w:rsid w:val="00A6523D"/>
    <w:rsid w:val="00A6630F"/>
    <w:rsid w:val="00A74A36"/>
    <w:rsid w:val="00A75B44"/>
    <w:rsid w:val="00A77AC0"/>
    <w:rsid w:val="00A85A9D"/>
    <w:rsid w:val="00A91148"/>
    <w:rsid w:val="00A918E4"/>
    <w:rsid w:val="00A943CE"/>
    <w:rsid w:val="00AA7B9B"/>
    <w:rsid w:val="00AB730F"/>
    <w:rsid w:val="00AB7452"/>
    <w:rsid w:val="00AD038C"/>
    <w:rsid w:val="00AD5ED7"/>
    <w:rsid w:val="00AD6431"/>
    <w:rsid w:val="00AE3619"/>
    <w:rsid w:val="00AE465F"/>
    <w:rsid w:val="00AE4C3B"/>
    <w:rsid w:val="00AE58EF"/>
    <w:rsid w:val="00AF0A10"/>
    <w:rsid w:val="00AF399C"/>
    <w:rsid w:val="00AF4347"/>
    <w:rsid w:val="00AF5FE7"/>
    <w:rsid w:val="00B04454"/>
    <w:rsid w:val="00B11313"/>
    <w:rsid w:val="00B11C90"/>
    <w:rsid w:val="00B14349"/>
    <w:rsid w:val="00B155C0"/>
    <w:rsid w:val="00B24C0C"/>
    <w:rsid w:val="00B259AB"/>
    <w:rsid w:val="00B262D2"/>
    <w:rsid w:val="00B26949"/>
    <w:rsid w:val="00B27347"/>
    <w:rsid w:val="00B27544"/>
    <w:rsid w:val="00B30327"/>
    <w:rsid w:val="00B47953"/>
    <w:rsid w:val="00B542A9"/>
    <w:rsid w:val="00B5443C"/>
    <w:rsid w:val="00B6126F"/>
    <w:rsid w:val="00B62E8C"/>
    <w:rsid w:val="00B67A88"/>
    <w:rsid w:val="00B71301"/>
    <w:rsid w:val="00B84243"/>
    <w:rsid w:val="00B96660"/>
    <w:rsid w:val="00B979EE"/>
    <w:rsid w:val="00BA7782"/>
    <w:rsid w:val="00BB0AE5"/>
    <w:rsid w:val="00BC252A"/>
    <w:rsid w:val="00BC44E7"/>
    <w:rsid w:val="00BC6664"/>
    <w:rsid w:val="00BD1C35"/>
    <w:rsid w:val="00BD378C"/>
    <w:rsid w:val="00BD486C"/>
    <w:rsid w:val="00BD6E1F"/>
    <w:rsid w:val="00BE4274"/>
    <w:rsid w:val="00BF0AB9"/>
    <w:rsid w:val="00BF5F5F"/>
    <w:rsid w:val="00C02282"/>
    <w:rsid w:val="00C03B75"/>
    <w:rsid w:val="00C04E34"/>
    <w:rsid w:val="00C07C88"/>
    <w:rsid w:val="00C10290"/>
    <w:rsid w:val="00C13BA6"/>
    <w:rsid w:val="00C1622A"/>
    <w:rsid w:val="00C164B9"/>
    <w:rsid w:val="00C20E83"/>
    <w:rsid w:val="00C22D3C"/>
    <w:rsid w:val="00C25F20"/>
    <w:rsid w:val="00C26ED5"/>
    <w:rsid w:val="00C32309"/>
    <w:rsid w:val="00C35C74"/>
    <w:rsid w:val="00C3681D"/>
    <w:rsid w:val="00C36840"/>
    <w:rsid w:val="00C46E77"/>
    <w:rsid w:val="00C62080"/>
    <w:rsid w:val="00C6302A"/>
    <w:rsid w:val="00C6663A"/>
    <w:rsid w:val="00C66921"/>
    <w:rsid w:val="00C83BFD"/>
    <w:rsid w:val="00C8448D"/>
    <w:rsid w:val="00C90EEC"/>
    <w:rsid w:val="00C93008"/>
    <w:rsid w:val="00CB1A12"/>
    <w:rsid w:val="00CB219D"/>
    <w:rsid w:val="00CB7A2F"/>
    <w:rsid w:val="00CB7A9F"/>
    <w:rsid w:val="00CC10C2"/>
    <w:rsid w:val="00CD0ECA"/>
    <w:rsid w:val="00CD2004"/>
    <w:rsid w:val="00CD3A34"/>
    <w:rsid w:val="00CD465E"/>
    <w:rsid w:val="00CD7E1D"/>
    <w:rsid w:val="00CE53AB"/>
    <w:rsid w:val="00CE6182"/>
    <w:rsid w:val="00CE7239"/>
    <w:rsid w:val="00CF454C"/>
    <w:rsid w:val="00CF6DB6"/>
    <w:rsid w:val="00D02EF1"/>
    <w:rsid w:val="00D02F5C"/>
    <w:rsid w:val="00D04A76"/>
    <w:rsid w:val="00D11A45"/>
    <w:rsid w:val="00D1261E"/>
    <w:rsid w:val="00D1665D"/>
    <w:rsid w:val="00D176EB"/>
    <w:rsid w:val="00D203FE"/>
    <w:rsid w:val="00D20556"/>
    <w:rsid w:val="00D228FF"/>
    <w:rsid w:val="00D26E1A"/>
    <w:rsid w:val="00D344B2"/>
    <w:rsid w:val="00D4255C"/>
    <w:rsid w:val="00D4541B"/>
    <w:rsid w:val="00D46752"/>
    <w:rsid w:val="00D51454"/>
    <w:rsid w:val="00D521FA"/>
    <w:rsid w:val="00D5439C"/>
    <w:rsid w:val="00D60543"/>
    <w:rsid w:val="00D65D74"/>
    <w:rsid w:val="00D67D80"/>
    <w:rsid w:val="00D73D04"/>
    <w:rsid w:val="00D7443D"/>
    <w:rsid w:val="00D76BB9"/>
    <w:rsid w:val="00D806D3"/>
    <w:rsid w:val="00D80AA2"/>
    <w:rsid w:val="00D829F0"/>
    <w:rsid w:val="00D830DA"/>
    <w:rsid w:val="00D84B0A"/>
    <w:rsid w:val="00D86AC2"/>
    <w:rsid w:val="00D87C90"/>
    <w:rsid w:val="00D937FE"/>
    <w:rsid w:val="00D9648C"/>
    <w:rsid w:val="00D9720E"/>
    <w:rsid w:val="00DA1F31"/>
    <w:rsid w:val="00DA360E"/>
    <w:rsid w:val="00DB21FD"/>
    <w:rsid w:val="00DB2443"/>
    <w:rsid w:val="00DB246F"/>
    <w:rsid w:val="00DC1C23"/>
    <w:rsid w:val="00DD11B0"/>
    <w:rsid w:val="00DD2150"/>
    <w:rsid w:val="00DD43C2"/>
    <w:rsid w:val="00DE529D"/>
    <w:rsid w:val="00DF1953"/>
    <w:rsid w:val="00E01B4E"/>
    <w:rsid w:val="00E03D46"/>
    <w:rsid w:val="00E15AE5"/>
    <w:rsid w:val="00E1734D"/>
    <w:rsid w:val="00E22CDD"/>
    <w:rsid w:val="00E368FB"/>
    <w:rsid w:val="00E37289"/>
    <w:rsid w:val="00E3793E"/>
    <w:rsid w:val="00E37FDA"/>
    <w:rsid w:val="00E40324"/>
    <w:rsid w:val="00E4383A"/>
    <w:rsid w:val="00E43C1F"/>
    <w:rsid w:val="00E44617"/>
    <w:rsid w:val="00E470C5"/>
    <w:rsid w:val="00E47113"/>
    <w:rsid w:val="00E54E12"/>
    <w:rsid w:val="00E615C6"/>
    <w:rsid w:val="00E645EA"/>
    <w:rsid w:val="00E66DE1"/>
    <w:rsid w:val="00E67ED7"/>
    <w:rsid w:val="00E70A3B"/>
    <w:rsid w:val="00E71F2F"/>
    <w:rsid w:val="00E72551"/>
    <w:rsid w:val="00E74EBC"/>
    <w:rsid w:val="00E83469"/>
    <w:rsid w:val="00E92AD7"/>
    <w:rsid w:val="00E97B98"/>
    <w:rsid w:val="00E97BA6"/>
    <w:rsid w:val="00EA3CD1"/>
    <w:rsid w:val="00EA429E"/>
    <w:rsid w:val="00EC1D6C"/>
    <w:rsid w:val="00EC26A5"/>
    <w:rsid w:val="00EC4E62"/>
    <w:rsid w:val="00EC5927"/>
    <w:rsid w:val="00EC698B"/>
    <w:rsid w:val="00ED0C84"/>
    <w:rsid w:val="00ED0D36"/>
    <w:rsid w:val="00ED2A0B"/>
    <w:rsid w:val="00ED2A43"/>
    <w:rsid w:val="00ED65BA"/>
    <w:rsid w:val="00ED782E"/>
    <w:rsid w:val="00EE7957"/>
    <w:rsid w:val="00EF1A54"/>
    <w:rsid w:val="00EF3408"/>
    <w:rsid w:val="00EF35E6"/>
    <w:rsid w:val="00EF50CE"/>
    <w:rsid w:val="00F02021"/>
    <w:rsid w:val="00F0434A"/>
    <w:rsid w:val="00F10B17"/>
    <w:rsid w:val="00F169B0"/>
    <w:rsid w:val="00F20DDE"/>
    <w:rsid w:val="00F210CA"/>
    <w:rsid w:val="00F226D1"/>
    <w:rsid w:val="00F23BC6"/>
    <w:rsid w:val="00F2518E"/>
    <w:rsid w:val="00F26375"/>
    <w:rsid w:val="00F26F23"/>
    <w:rsid w:val="00F37ECC"/>
    <w:rsid w:val="00F41C05"/>
    <w:rsid w:val="00F43976"/>
    <w:rsid w:val="00F5577C"/>
    <w:rsid w:val="00F55DB7"/>
    <w:rsid w:val="00F66AF7"/>
    <w:rsid w:val="00F71B6D"/>
    <w:rsid w:val="00F733CD"/>
    <w:rsid w:val="00F76534"/>
    <w:rsid w:val="00F83116"/>
    <w:rsid w:val="00F8348F"/>
    <w:rsid w:val="00F83533"/>
    <w:rsid w:val="00F91DC8"/>
    <w:rsid w:val="00F9783F"/>
    <w:rsid w:val="00FA5092"/>
    <w:rsid w:val="00FB22D8"/>
    <w:rsid w:val="00FB4221"/>
    <w:rsid w:val="00FB5DCB"/>
    <w:rsid w:val="00FB7547"/>
    <w:rsid w:val="00FB7964"/>
    <w:rsid w:val="00FC629C"/>
    <w:rsid w:val="00FD0271"/>
    <w:rsid w:val="00FD5827"/>
    <w:rsid w:val="00FD5836"/>
    <w:rsid w:val="00FE0FDC"/>
    <w:rsid w:val="00FE23CC"/>
    <w:rsid w:val="00FE473A"/>
    <w:rsid w:val="00FF29FD"/>
    <w:rsid w:val="00FF5251"/>
    <w:rsid w:val="00FF6511"/>
    <w:rsid w:val="00FF7CE7"/>
    <w:rsid w:val="049BC524"/>
    <w:rsid w:val="0EF57BEA"/>
    <w:rsid w:val="28CE150C"/>
    <w:rsid w:val="2A6FE676"/>
    <w:rsid w:val="381EAEA6"/>
    <w:rsid w:val="3C16D1C5"/>
    <w:rsid w:val="40ADF78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CE7239"/>
  </w:style>
  <w:style w:type="character" w:styleId="UnresolvedMention">
    <w:name w:val="Unresolved Mention"/>
    <w:basedOn w:val="DefaultParagraphFont"/>
    <w:uiPriority w:val="99"/>
    <w:semiHidden/>
    <w:unhideWhenUsed/>
    <w:rsid w:val="00CD3A34"/>
    <w:rPr>
      <w:color w:val="605E5C"/>
      <w:shd w:val="clear" w:color="auto" w:fill="E1DFDD"/>
    </w:rPr>
  </w:style>
  <w:style w:type="character" w:customStyle="1" w:styleId="cf01">
    <w:name w:val="cf01"/>
    <w:basedOn w:val="DefaultParagraphFont"/>
    <w:rsid w:val="00C62080"/>
    <w:rPr>
      <w:rFonts w:ascii="Segoe UI" w:hAnsi="Segoe UI" w:cs="Segoe UI" w:hint="default"/>
      <w:sz w:val="18"/>
      <w:szCs w:val="18"/>
    </w:rPr>
  </w:style>
  <w:style w:type="character" w:customStyle="1" w:styleId="cf11">
    <w:name w:val="cf11"/>
    <w:basedOn w:val="DefaultParagraphFont"/>
    <w:rsid w:val="00C62080"/>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yperlink" Target="https://www.opm.gov/policy-data-oversight/pay-leave/salaries-wages/salary-tables/pdf/2024/GS_h.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8" ma:contentTypeDescription="Create a new document." ma:contentTypeScope="" ma:versionID="6b13c2db8d8983e2c913eeff7d3acb2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6b07f76c05de3f0596eafba8f236a56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EventDate" minOccurs="0"/>
                <xsd:element ref="ns2:lcf76f155ced4ddcb4097134ff3c332f" minOccurs="0"/>
                <xsd:element ref="ns3:TaxCatchAll" minOccurs="0"/>
                <xsd:element ref="ns2:MediaServiceDateTaken" minOccurs="0"/>
                <xsd:element ref="ns2: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ventDate" ma:index="16" nillable="true" ma:displayName="Event Date" ma:format="DateOnly" ma:internalName="Event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Status" ma:index="21" nillable="true" ma:displayName="Status" ma:format="Dropdown" ma:internalName="Status">
      <xsd:simpleType>
        <xsd:restriction base="dms:Choice">
          <xsd:enumeration value="Draft"/>
          <xsd:enumeration value="Internal Review - no not share"/>
          <xsd:enumeration value="Final"/>
          <xsd:enumeration value="In Progress"/>
          <xsd:enumeration value="Closed"/>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4ab18-7638-4b15-a4ec-a59b6de6e764}"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2E098AC5-F5C7-4BA3-A5E8-FBAF8229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2987</Words>
  <Characters>16602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2025-01-24T19:31:00Z</dcterms:created>
  <dcterms:modified xsi:type="dcterms:W3CDTF">2025-01-24T19:33:00Z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