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5276" w14:paraId="23EA48D8" w14:textId="200F1BC1">
      <w:r>
        <w:t>Justification for Non-Substantive Change – 1090-0012</w:t>
      </w:r>
    </w:p>
    <w:p w:rsidR="00685500" w14:paraId="22DA7829" w14:textId="0EF7F5DA">
      <w:r>
        <w:t>Through this non-substantive change request, DOI is requesting to increase the overall responses by 403,616 and total burden hours by 31,124 to meet Departmental needs for the generic clearance. This past year the Department hired a Chief Experience Officer</w:t>
      </w:r>
      <w:r w:rsidR="004337D2">
        <w:t xml:space="preserve">, he and his team are </w:t>
      </w:r>
      <w:r>
        <w:t>actively planning Customer experience work and this generic clearance is considered a key tool in those efforts.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00"/>
    <w:rsid w:val="004337D2"/>
    <w:rsid w:val="00685500"/>
    <w:rsid w:val="009005ED"/>
    <w:rsid w:val="009547D8"/>
    <w:rsid w:val="00BF52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89388A"/>
  <w15:chartTrackingRefBased/>
  <w15:docId w15:val="{DA5E5AD5-66E0-4C23-A51F-DBC798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Parrillo, Jeffrey M</dc:creator>
  <cp:lastModifiedBy>Parrillo, Jeffrey M</cp:lastModifiedBy>
  <cp:revision>3</cp:revision>
  <dcterms:created xsi:type="dcterms:W3CDTF">2025-01-07T17:55:00Z</dcterms:created>
  <dcterms:modified xsi:type="dcterms:W3CDTF">2025-01-07T18:14:00Z</dcterms:modified>
</cp:coreProperties>
</file>