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5477" w:rsidRPr="0029261D" w:rsidP="00D14FD5" w14:paraId="07B8305C" w14:textId="77777777">
      <w:pPr>
        <w:spacing w:before="480"/>
        <w:jc w:val="center"/>
      </w:pPr>
      <w:r w:rsidRPr="0029261D">
        <w:t>Department of Justice</w:t>
      </w:r>
    </w:p>
    <w:p w:rsidR="009F5477" w:rsidRPr="0029261D" w14:paraId="4023EF85" w14:textId="358A8217">
      <w:pPr>
        <w:jc w:val="center"/>
      </w:pPr>
      <w:r w:rsidRPr="0029261D">
        <w:t>Bureau of Alcohol, Tobacco, Firearms and Explosives</w:t>
      </w:r>
      <w:r w:rsidR="00040DBF">
        <w:t xml:space="preserve"> (ATF)</w:t>
      </w:r>
    </w:p>
    <w:p w:rsidR="009F5477" w:rsidP="00040DBF" w14:paraId="3DA8A0B3" w14:textId="231E405F">
      <w:pPr>
        <w:contextualSpacing/>
        <w:jc w:val="center"/>
      </w:pPr>
      <w:r w:rsidRPr="0029261D">
        <w:t>Information Collection Request</w:t>
      </w:r>
      <w:r w:rsidR="0098602B">
        <w:t xml:space="preserve"> (ICR)</w:t>
      </w:r>
    </w:p>
    <w:p w:rsidR="00040DBF" w:rsidRPr="0029261D" w:rsidP="00BA666F" w14:paraId="4B6629F9" w14:textId="13456D87">
      <w:pPr>
        <w:contextualSpacing/>
        <w:jc w:val="center"/>
      </w:pPr>
      <w:r>
        <w:t>Supporting Statement</w:t>
      </w:r>
      <w:r w:rsidR="0025286D">
        <w:t xml:space="preserve"> for</w:t>
      </w:r>
      <w:r w:rsidR="007D0C00">
        <w:t xml:space="preserve"> </w:t>
      </w:r>
      <w:r w:rsidRPr="0029261D">
        <w:t>1140-0079</w:t>
      </w:r>
    </w:p>
    <w:p w:rsidR="00040DBF" w:rsidRPr="0029261D" w:rsidP="00E22CC6" w14:paraId="22571D94" w14:textId="353703AA">
      <w:pPr>
        <w:spacing w:after="240"/>
        <w:jc w:val="center"/>
      </w:pPr>
      <w:r>
        <w:t>Transactions Among Licensee/Permittees and Transactions Among Licensees and Holders of User Permits</w:t>
      </w:r>
    </w:p>
    <w:p w:rsidR="009F5477" w:rsidRPr="0029261D" w:rsidP="003D4661" w14:paraId="70E653A8" w14:textId="5C7668E6">
      <w:pPr>
        <w:pStyle w:val="Heading1"/>
        <w:numPr>
          <w:ilvl w:val="0"/>
          <w:numId w:val="5"/>
        </w:numPr>
        <w:tabs>
          <w:tab w:val="left" w:pos="360"/>
        </w:tabs>
        <w:spacing w:after="240"/>
        <w:rPr>
          <w:rFonts w:ascii="Times New Roman" w:hAnsi="Times New Roman" w:cs="Times New Roman"/>
        </w:rPr>
      </w:pPr>
      <w:r w:rsidRPr="0029261D">
        <w:rPr>
          <w:rFonts w:ascii="Times New Roman" w:hAnsi="Times New Roman" w:cs="Times New Roman"/>
        </w:rPr>
        <w:t>Justification</w:t>
      </w:r>
    </w:p>
    <w:p w:rsidR="006B6051" w:rsidRPr="006F07A5" w:rsidP="006B6051" w14:paraId="048031A1" w14:textId="77777777">
      <w:pPr>
        <w:pStyle w:val="ListParagraph"/>
        <w:numPr>
          <w:ilvl w:val="0"/>
          <w:numId w:val="2"/>
        </w:numPr>
        <w:tabs>
          <w:tab w:val="left" w:pos="576"/>
        </w:tabs>
        <w:spacing w:after="100" w:afterAutospacing="1"/>
        <w:contextualSpacing w:val="0"/>
      </w:pPr>
      <w:r w:rsidRPr="006F07A5">
        <w:rPr>
          <w:b/>
          <w:bCs/>
        </w:rPr>
        <w:t xml:space="preserve">Explain the circumstances that make the </w:t>
      </w:r>
      <w:r>
        <w:rPr>
          <w:b/>
          <w:bCs/>
        </w:rPr>
        <w:t>information collection</w:t>
      </w:r>
      <w:r w:rsidRPr="006F07A5">
        <w:rPr>
          <w:b/>
          <w:bCs/>
        </w:rPr>
        <w:t xml:space="preserve"> necessary.</w:t>
      </w:r>
    </w:p>
    <w:p w:rsidR="00912E35" w:rsidP="00A35074" w14:paraId="63756251" w14:textId="1A0F0B50">
      <w:pPr>
        <w:spacing w:after="240"/>
      </w:pPr>
      <w:r w:rsidRPr="0029261D">
        <w:t xml:space="preserve">ATF </w:t>
      </w:r>
      <w:r w:rsidR="009E6FAB">
        <w:t xml:space="preserve">has been delegated authority to </w:t>
      </w:r>
      <w:r w:rsidR="00070BAB">
        <w:t>regulate</w:t>
      </w:r>
      <w:r w:rsidR="00E64689">
        <w:t xml:space="preserve"> </w:t>
      </w:r>
      <w:r w:rsidR="00AA2F6D">
        <w:t>commercial transactions</w:t>
      </w:r>
      <w:r w:rsidR="004619B3">
        <w:t xml:space="preserve"> in</w:t>
      </w:r>
      <w:r w:rsidR="00E64689">
        <w:t xml:space="preserve"> and </w:t>
      </w:r>
      <w:r w:rsidR="000B670A">
        <w:t>storage of expl</w:t>
      </w:r>
      <w:r w:rsidR="00797DAD">
        <w:t>osive material</w:t>
      </w:r>
      <w:r w:rsidR="005E3D9E">
        <w:t>s</w:t>
      </w:r>
      <w:r w:rsidR="00400C4B">
        <w:t xml:space="preserve"> (18 U.S.C</w:t>
      </w:r>
      <w:r w:rsidR="002D41E5">
        <w:t>., chapter 40</w:t>
      </w:r>
      <w:r w:rsidR="004D00DF">
        <w:t>)</w:t>
      </w:r>
      <w:r w:rsidR="00D2742B">
        <w:t xml:space="preserve"> </w:t>
      </w:r>
      <w:r w:rsidRPr="0029261D">
        <w:t xml:space="preserve">and </w:t>
      </w:r>
      <w:r w:rsidR="00052FD2">
        <w:t xml:space="preserve">to </w:t>
      </w:r>
      <w:r w:rsidR="009E3889">
        <w:t xml:space="preserve">issue </w:t>
      </w:r>
      <w:r w:rsidRPr="0029261D">
        <w:t>implementing</w:t>
      </w:r>
      <w:r w:rsidR="00040DBF">
        <w:t xml:space="preserve"> </w:t>
      </w:r>
      <w:r w:rsidRPr="0029261D">
        <w:t xml:space="preserve">regulations at 27 CFR </w:t>
      </w:r>
      <w:r w:rsidR="001E2CB0">
        <w:t>p</w:t>
      </w:r>
      <w:r w:rsidRPr="0029261D">
        <w:t xml:space="preserve">art 555. </w:t>
      </w:r>
      <w:r w:rsidR="001F6432">
        <w:t xml:space="preserve">The </w:t>
      </w:r>
      <w:r w:rsidR="0006272E">
        <w:t>statute</w:t>
      </w:r>
      <w:r w:rsidR="00052FD2">
        <w:t xml:space="preserve"> at </w:t>
      </w:r>
      <w:r w:rsidR="008E5E05">
        <w:t>18 U.S.C.</w:t>
      </w:r>
      <w:r w:rsidR="002D41E5">
        <w:t xml:space="preserve"> § 842(a)</w:t>
      </w:r>
      <w:r w:rsidRPr="0029261D">
        <w:t xml:space="preserve"> </w:t>
      </w:r>
      <w:r w:rsidR="00694240">
        <w:t>require</w:t>
      </w:r>
      <w:r w:rsidR="0006272E">
        <w:t>s</w:t>
      </w:r>
      <w:r w:rsidR="00694240">
        <w:t xml:space="preserve"> all persons </w:t>
      </w:r>
      <w:r w:rsidR="00FB79E4">
        <w:t>purchasing or distributing explosive materials to obtain a federal explosives license</w:t>
      </w:r>
      <w:r w:rsidR="007650CC">
        <w:t xml:space="preserve"> or</w:t>
      </w:r>
      <w:r w:rsidRPr="0029261D">
        <w:t xml:space="preserve"> permit. </w:t>
      </w:r>
      <w:r w:rsidR="00F76234">
        <w:t>The</w:t>
      </w:r>
      <w:r w:rsidRPr="0029261D">
        <w:t xml:space="preserve"> affected regulations under </w:t>
      </w:r>
      <w:r w:rsidRPr="0029261D" w:rsidR="00740002">
        <w:t>27 CFR</w:t>
      </w:r>
      <w:r w:rsidR="00040DBF">
        <w:t xml:space="preserve"> § </w:t>
      </w:r>
      <w:r w:rsidRPr="0029261D" w:rsidR="00740002">
        <w:t>555.103</w:t>
      </w:r>
      <w:r w:rsidR="00040DBF">
        <w:t xml:space="preserve"> </w:t>
      </w:r>
      <w:r w:rsidR="00A25F21">
        <w:t>require</w:t>
      </w:r>
      <w:r w:rsidR="00040DBF">
        <w:t xml:space="preserve"> </w:t>
      </w:r>
      <w:r w:rsidRPr="0029261D">
        <w:t>distributor</w:t>
      </w:r>
      <w:r w:rsidR="00E83020">
        <w:t>s</w:t>
      </w:r>
      <w:r w:rsidRPr="0029261D">
        <w:t xml:space="preserve"> </w:t>
      </w:r>
      <w:r w:rsidR="00D02642">
        <w:t xml:space="preserve">of explosive materials </w:t>
      </w:r>
      <w:r w:rsidR="00C10E16">
        <w:t>to</w:t>
      </w:r>
      <w:r w:rsidRPr="0029261D" w:rsidR="00C10E16">
        <w:t xml:space="preserve"> </w:t>
      </w:r>
      <w:r w:rsidRPr="0029261D">
        <w:t xml:space="preserve">verify the </w:t>
      </w:r>
      <w:r w:rsidR="00011733">
        <w:t>license/permit status</w:t>
      </w:r>
      <w:r w:rsidRPr="0029261D" w:rsidR="00011733">
        <w:t xml:space="preserve"> </w:t>
      </w:r>
      <w:r w:rsidRPr="0029261D">
        <w:t xml:space="preserve">of the </w:t>
      </w:r>
      <w:r w:rsidR="00011733">
        <w:t>distributee</w:t>
      </w:r>
      <w:r w:rsidR="00011733">
        <w:t xml:space="preserve"> prior to</w:t>
      </w:r>
      <w:r w:rsidR="00241063">
        <w:t xml:space="preserve"> releasing the ordered explosive materials</w:t>
      </w:r>
      <w:r w:rsidR="00A95061">
        <w:t xml:space="preserve"> and the </w:t>
      </w:r>
      <w:r w:rsidR="00A95061">
        <w:t>distribute</w:t>
      </w:r>
      <w:r w:rsidR="00D52165">
        <w:t>e</w:t>
      </w:r>
      <w:r w:rsidR="00A95061">
        <w:t xml:space="preserve"> must provide the distributo</w:t>
      </w:r>
      <w:r w:rsidR="009A610A">
        <w:t>r</w:t>
      </w:r>
      <w:r w:rsidRPr="0029261D" w:rsidR="00A95061">
        <w:t xml:space="preserve"> </w:t>
      </w:r>
      <w:r w:rsidRPr="0029261D">
        <w:t xml:space="preserve">a </w:t>
      </w:r>
      <w:r w:rsidR="00EB0F86">
        <w:t xml:space="preserve">certified </w:t>
      </w:r>
      <w:r w:rsidRPr="0029261D">
        <w:t xml:space="preserve">copy of </w:t>
      </w:r>
      <w:r w:rsidR="009A610A">
        <w:t>their</w:t>
      </w:r>
      <w:r w:rsidR="00F374B4">
        <w:t xml:space="preserve"> </w:t>
      </w:r>
      <w:r w:rsidRPr="0029261D">
        <w:t>license/</w:t>
      </w:r>
      <w:r w:rsidR="00F374B4">
        <w:t xml:space="preserve">user </w:t>
      </w:r>
      <w:r w:rsidRPr="0029261D">
        <w:t>permit</w:t>
      </w:r>
      <w:r w:rsidR="009A610A">
        <w:t>,</w:t>
      </w:r>
      <w:r w:rsidRPr="0029261D" w:rsidR="009A610A">
        <w:t xml:space="preserve"> </w:t>
      </w:r>
      <w:r w:rsidR="00B86977">
        <w:t xml:space="preserve">a current list of </w:t>
      </w:r>
      <w:r w:rsidR="003E20E5">
        <w:t>their</w:t>
      </w:r>
      <w:r w:rsidR="00717D1B">
        <w:t xml:space="preserve"> </w:t>
      </w:r>
      <w:r w:rsidR="00105A5E">
        <w:t>employee</w:t>
      </w:r>
      <w:r w:rsidR="00B86977">
        <w:t xml:space="preserve"> possessors and responsible persons </w:t>
      </w:r>
      <w:r w:rsidR="00717D1B">
        <w:t xml:space="preserve">authorized </w:t>
      </w:r>
      <w:r w:rsidR="00105A5E">
        <w:t>to accept delivery of explosive materials on their behalf</w:t>
      </w:r>
      <w:r w:rsidR="00717D1B">
        <w:t>,</w:t>
      </w:r>
      <w:r w:rsidRPr="0029261D">
        <w:t xml:space="preserve"> </w:t>
      </w:r>
      <w:r w:rsidR="007A5492">
        <w:t xml:space="preserve">and </w:t>
      </w:r>
      <w:r w:rsidR="00211799">
        <w:t>a current, certified statement of how they intend to use the explosive materials</w:t>
      </w:r>
      <w:r w:rsidR="007A5492">
        <w:t>.</w:t>
      </w:r>
    </w:p>
    <w:p w:rsidR="009F5477" w:rsidRPr="0029261D" w:rsidP="00195607" w14:paraId="3F251A87" w14:textId="1D3E3CC0">
      <w:pPr>
        <w:spacing w:after="240"/>
      </w:pPr>
      <w:r>
        <w:t>For distributions made</w:t>
      </w:r>
      <w:r w:rsidR="00C07BB8">
        <w:t xml:space="preserve"> to</w:t>
      </w:r>
      <w:r>
        <w:t xml:space="preserve"> </w:t>
      </w:r>
      <w:r w:rsidR="00190C0C">
        <w:t>limited permittees</w:t>
      </w:r>
      <w:r w:rsidR="007A5492">
        <w:t>,</w:t>
      </w:r>
      <w:r w:rsidRPr="00806BEC" w:rsidR="00806BEC">
        <w:t xml:space="preserve"> </w:t>
      </w:r>
      <w:r w:rsidRPr="0029261D" w:rsidR="00806BEC">
        <w:t>under 27 CFR</w:t>
      </w:r>
      <w:r w:rsidR="00806BEC">
        <w:t xml:space="preserve"> § </w:t>
      </w:r>
      <w:r w:rsidRPr="0029261D" w:rsidR="00806BEC">
        <w:t>555.10</w:t>
      </w:r>
      <w:r w:rsidR="00806BEC">
        <w:t>5,</w:t>
      </w:r>
      <w:r w:rsidR="00040DBF">
        <w:t xml:space="preserve"> </w:t>
      </w:r>
      <w:r w:rsidRPr="0029261D">
        <w:t xml:space="preserve">a distributor of explosive materials </w:t>
      </w:r>
      <w:r w:rsidR="00256B63">
        <w:t>is required to</w:t>
      </w:r>
      <w:r w:rsidR="009417C0">
        <w:t xml:space="preserve"> </w:t>
      </w:r>
      <w:r w:rsidR="00C9052A">
        <w:t>verify that the limited permittee is a resident of the same State in which the distributor’s business premises are located</w:t>
      </w:r>
      <w:r w:rsidR="00F855E3">
        <w:t>, obtain</w:t>
      </w:r>
      <w:r w:rsidR="005A6355">
        <w:t xml:space="preserve"> an</w:t>
      </w:r>
      <w:r w:rsidR="00EA545E">
        <w:t xml:space="preserve"> </w:t>
      </w:r>
      <w:r w:rsidR="00D70AF6">
        <w:t xml:space="preserve">executed </w:t>
      </w:r>
      <w:r w:rsidRPr="007A5492" w:rsidR="00D70AF6">
        <w:t>Limited Permittee Transaction Report</w:t>
      </w:r>
      <w:r w:rsidRPr="0029261D" w:rsidR="00D70AF6">
        <w:t xml:space="preserve"> </w:t>
      </w:r>
      <w:r w:rsidR="00D70AF6">
        <w:t>– ATF Form 5400.4</w:t>
      </w:r>
      <w:r w:rsidRPr="0029261D" w:rsidR="00D70AF6">
        <w:t xml:space="preserve"> </w:t>
      </w:r>
      <w:r w:rsidR="00D70AF6">
        <w:t xml:space="preserve">(approved as OMB 1140-0025) </w:t>
      </w:r>
      <w:r w:rsidR="00126EED">
        <w:t xml:space="preserve">-- </w:t>
      </w:r>
      <w:r w:rsidR="00D70AF6">
        <w:t>and</w:t>
      </w:r>
      <w:r w:rsidR="00CD7639">
        <w:t xml:space="preserve"> </w:t>
      </w:r>
      <w:r w:rsidR="00D76D5C">
        <w:t>the</w:t>
      </w:r>
      <w:r w:rsidR="00992880">
        <w:t xml:space="preserve"> </w:t>
      </w:r>
      <w:r w:rsidR="00CA28BF">
        <w:t>Interstate Purchase of Explosives Coupon</w:t>
      </w:r>
      <w:r w:rsidR="004B5422">
        <w:t xml:space="preserve"> – ATF Form</w:t>
      </w:r>
      <w:r w:rsidR="007E0EC4">
        <w:t xml:space="preserve"> 5400.</w:t>
      </w:r>
      <w:r w:rsidR="008E4029">
        <w:t>30</w:t>
      </w:r>
      <w:r w:rsidR="00FD1E83">
        <w:t xml:space="preserve"> </w:t>
      </w:r>
      <w:r w:rsidR="00126EED">
        <w:t xml:space="preserve">-- </w:t>
      </w:r>
      <w:r w:rsidR="00DB18CA">
        <w:t xml:space="preserve">issued to the </w:t>
      </w:r>
      <w:r w:rsidR="00CB6B80">
        <w:t>distribute</w:t>
      </w:r>
      <w:r w:rsidR="00126EED">
        <w:t>e</w:t>
      </w:r>
      <w:r w:rsidR="00CB6B80">
        <w:t>,</w:t>
      </w:r>
      <w:r w:rsidR="004043B1">
        <w:t xml:space="preserve"> </w:t>
      </w:r>
      <w:r w:rsidR="003A6D57">
        <w:t xml:space="preserve">and </w:t>
      </w:r>
      <w:r w:rsidR="001B3477">
        <w:t xml:space="preserve">verify the identity of the individual accepting </w:t>
      </w:r>
      <w:r w:rsidR="006D681C">
        <w:t xml:space="preserve">the explosive materials </w:t>
      </w:r>
      <w:r w:rsidR="00107CD3">
        <w:t xml:space="preserve">by </w:t>
      </w:r>
      <w:r w:rsidR="00122BE5">
        <w:t xml:space="preserve">examining their </w:t>
      </w:r>
      <w:r w:rsidR="00F071EE">
        <w:t>identification document</w:t>
      </w:r>
      <w:r w:rsidR="00577C32">
        <w:t xml:space="preserve"> and noting</w:t>
      </w:r>
      <w:r w:rsidR="00351611">
        <w:t xml:space="preserve"> their name</w:t>
      </w:r>
      <w:r w:rsidR="006D3C0C">
        <w:t>, ID type</w:t>
      </w:r>
      <w:r w:rsidR="00126EED">
        <w:t>,</w:t>
      </w:r>
      <w:r w:rsidR="00B814C3">
        <w:t xml:space="preserve"> and number</w:t>
      </w:r>
      <w:r w:rsidR="003D1639">
        <w:t xml:space="preserve"> </w:t>
      </w:r>
      <w:r w:rsidR="00351611">
        <w:t xml:space="preserve">on the </w:t>
      </w:r>
      <w:r w:rsidR="002A5E5C">
        <w:t xml:space="preserve">ATF Form </w:t>
      </w:r>
      <w:r w:rsidR="00A0081C">
        <w:t>5400.</w:t>
      </w:r>
      <w:r w:rsidR="0031016A">
        <w:t>4</w:t>
      </w:r>
      <w:r w:rsidR="0020274B">
        <w:t>.</w:t>
      </w:r>
      <w:r w:rsidR="0006272E">
        <w:t xml:space="preserve"> </w:t>
      </w:r>
      <w:r w:rsidR="0020274B">
        <w:t>Additionally,</w:t>
      </w:r>
      <w:r w:rsidRPr="0029261D">
        <w:t xml:space="preserve"> </w:t>
      </w:r>
      <w:r w:rsidR="00F61863">
        <w:t>the limited per</w:t>
      </w:r>
      <w:r w:rsidR="007F3BFF">
        <w:t>mittee must provide the distributor</w:t>
      </w:r>
      <w:r w:rsidR="00456C9E">
        <w:t xml:space="preserve"> a current list of </w:t>
      </w:r>
      <w:r w:rsidR="001E338B">
        <w:t xml:space="preserve">their </w:t>
      </w:r>
      <w:r w:rsidR="00456C9E">
        <w:t>employee poss</w:t>
      </w:r>
      <w:r w:rsidR="00891D91">
        <w:t xml:space="preserve">essors and responsible persons </w:t>
      </w:r>
      <w:r w:rsidR="001E338B">
        <w:t xml:space="preserve">authorized </w:t>
      </w:r>
      <w:r w:rsidR="00891D91">
        <w:t>to accept delivery of explosive materials on their behalf</w:t>
      </w:r>
      <w:r w:rsidR="003A6D57">
        <w:t>.</w:t>
      </w:r>
    </w:p>
    <w:p w:rsidR="00497880" w:rsidP="00195607" w14:paraId="4F9B9B0F" w14:textId="75D183A2">
      <w:pPr>
        <w:spacing w:after="240"/>
      </w:pPr>
      <w:r>
        <w:t xml:space="preserve">For distributions made </w:t>
      </w:r>
      <w:r w:rsidR="00BA4643">
        <w:t>via</w:t>
      </w:r>
      <w:r>
        <w:t xml:space="preserve"> common or contract carr</w:t>
      </w:r>
      <w:r w:rsidR="00F02B31">
        <w:t>ier under 27 CFR</w:t>
      </w:r>
      <w:r w:rsidR="00237CA6">
        <w:t xml:space="preserve"> </w:t>
      </w:r>
      <w:r w:rsidR="009C16EE">
        <w:t>§§ 555.103 and 555.105</w:t>
      </w:r>
      <w:r w:rsidR="00AA3869">
        <w:t>,</w:t>
      </w:r>
      <w:r w:rsidR="00237CA6">
        <w:t xml:space="preserve"> the distributor</w:t>
      </w:r>
      <w:r w:rsidR="00E96660">
        <w:t xml:space="preserve"> </w:t>
      </w:r>
      <w:r w:rsidR="00AA3869">
        <w:t>must</w:t>
      </w:r>
      <w:r w:rsidR="00B379F6">
        <w:t xml:space="preserve"> verify the identity of the person accepting possession for the common or contract carrier by examining the person’s valid, unexpired d</w:t>
      </w:r>
      <w:r w:rsidR="001F1996">
        <w:t>river’s license issued by any State, Canada, or Mexico</w:t>
      </w:r>
      <w:r w:rsidR="008040BD">
        <w:t xml:space="preserve">, </w:t>
      </w:r>
      <w:r w:rsidR="008966C8">
        <w:t xml:space="preserve">and </w:t>
      </w:r>
      <w:r w:rsidR="00464B1E">
        <w:t>record the name of the common or contract carrier</w:t>
      </w:r>
      <w:r w:rsidR="0006272E">
        <w:t xml:space="preserve"> </w:t>
      </w:r>
      <w:r w:rsidR="007C59BC">
        <w:t>and the full name of the driver</w:t>
      </w:r>
      <w:r w:rsidR="00982076">
        <w:t>.</w:t>
      </w:r>
      <w:r w:rsidR="007C59BC">
        <w:t xml:space="preserve"> </w:t>
      </w:r>
      <w:r w:rsidR="00982076">
        <w:t>Additionally, the distributor</w:t>
      </w:r>
      <w:r w:rsidR="0017602D">
        <w:t xml:space="preserve"> </w:t>
      </w:r>
      <w:r w:rsidR="008966C8">
        <w:t>must</w:t>
      </w:r>
      <w:r w:rsidR="0017602D">
        <w:t xml:space="preserve"> </w:t>
      </w:r>
      <w:r w:rsidR="00DE4FD6">
        <w:t>verify that the carrier delivered the explosive materials and record the delivery date and the name of the individual accepting delivery in their permanent record.</w:t>
      </w:r>
    </w:p>
    <w:p w:rsidR="001B5977" w:rsidRPr="00021D9E" w:rsidP="001B5977" w14:paraId="3D2CF91A" w14:textId="77777777">
      <w:pPr>
        <w:pStyle w:val="ListParagraph"/>
        <w:numPr>
          <w:ilvl w:val="0"/>
          <w:numId w:val="2"/>
        </w:numPr>
        <w:spacing w:after="100" w:afterAutospacing="1"/>
        <w:contextualSpacing w:val="0"/>
        <w:rPr>
          <w:rStyle w:val="Emphasis"/>
        </w:rPr>
      </w:pPr>
      <w:r w:rsidRPr="00D53DEB">
        <w:rPr>
          <w:b/>
          <w:bCs/>
        </w:rPr>
        <w:t>Indicate how, by whom, and for what purpose the information is to be used.</w:t>
      </w:r>
    </w:p>
    <w:p w:rsidR="009F5477" w:rsidRPr="0029261D" w:rsidP="00020201" w14:paraId="3D533FB7" w14:textId="425B0C46">
      <w:pPr>
        <w:spacing w:after="240"/>
      </w:pPr>
      <w:r>
        <w:t xml:space="preserve">ATF </w:t>
      </w:r>
      <w:r w:rsidR="00C85614">
        <w:t>uses</w:t>
      </w:r>
      <w:r>
        <w:t xml:space="preserve"> this</w:t>
      </w:r>
      <w:r w:rsidRPr="0029261D">
        <w:t xml:space="preserve"> information </w:t>
      </w:r>
      <w:r w:rsidR="00C85614">
        <w:t>to comply with the</w:t>
      </w:r>
      <w:r w:rsidR="00757E68">
        <w:t xml:space="preserve"> statutory and regulatory provisions </w:t>
      </w:r>
      <w:r w:rsidR="00073ADB">
        <w:t>described above</w:t>
      </w:r>
      <w:r w:rsidRPr="0029261D" w:rsidR="00740002">
        <w:t>. The</w:t>
      </w:r>
      <w:r w:rsidR="00965EF3">
        <w:t xml:space="preserve"> collected</w:t>
      </w:r>
      <w:r w:rsidRPr="0029261D" w:rsidR="00740002">
        <w:t xml:space="preserve"> information ensure</w:t>
      </w:r>
      <w:r>
        <w:t>s</w:t>
      </w:r>
      <w:r w:rsidRPr="0029261D" w:rsidR="00740002">
        <w:t xml:space="preserve"> that licensees</w:t>
      </w:r>
      <w:r w:rsidR="00EF1CD5">
        <w:t>/</w:t>
      </w:r>
      <w:r w:rsidRPr="0029261D" w:rsidR="00740002">
        <w:t>permittees d</w:t>
      </w:r>
      <w:r w:rsidR="00E665F2">
        <w:t xml:space="preserve">istribute </w:t>
      </w:r>
      <w:r w:rsidRPr="0029261D" w:rsidR="00740002">
        <w:t>explosive</w:t>
      </w:r>
      <w:r w:rsidR="00EF1CD5">
        <w:t xml:space="preserve"> materials</w:t>
      </w:r>
      <w:r w:rsidRPr="0029261D" w:rsidR="00740002">
        <w:t xml:space="preserve"> </w:t>
      </w:r>
      <w:r w:rsidR="003C79F9">
        <w:t>only to</w:t>
      </w:r>
      <w:r w:rsidRPr="0029261D" w:rsidR="00740002">
        <w:t xml:space="preserve"> </w:t>
      </w:r>
      <w:r w:rsidR="00492BE2">
        <w:t>licensees</w:t>
      </w:r>
      <w:r w:rsidR="003A69AB">
        <w:t>/</w:t>
      </w:r>
      <w:r w:rsidR="007C78FF">
        <w:t xml:space="preserve">permittees and </w:t>
      </w:r>
      <w:r w:rsidR="00B8445F">
        <w:t xml:space="preserve">those persons authorized to accept delivery on </w:t>
      </w:r>
      <w:r w:rsidR="00C853B2">
        <w:t xml:space="preserve">their </w:t>
      </w:r>
      <w:r w:rsidR="00B8445F">
        <w:t>behalf</w:t>
      </w:r>
      <w:r w:rsidR="002B5393">
        <w:t xml:space="preserve"> </w:t>
      </w:r>
      <w:r>
        <w:t xml:space="preserve">whose </w:t>
      </w:r>
      <w:r w:rsidRPr="0029261D" w:rsidR="0013259A">
        <w:t>identities</w:t>
      </w:r>
      <w:r>
        <w:t xml:space="preserve"> </w:t>
      </w:r>
      <w:r w:rsidR="00393748">
        <w:t xml:space="preserve">have been </w:t>
      </w:r>
      <w:r>
        <w:t>verified</w:t>
      </w:r>
      <w:r w:rsidRPr="0029261D" w:rsidR="0013259A">
        <w:t xml:space="preserve"> prior to relinquishing possession of explosive materials</w:t>
      </w:r>
      <w:r>
        <w:t xml:space="preserve"> to them</w:t>
      </w:r>
      <w:r w:rsidRPr="0029261D" w:rsidR="00606D78">
        <w:t xml:space="preserve">. </w:t>
      </w:r>
      <w:r w:rsidR="00BA7357">
        <w:t xml:space="preserve">The collected information also ensures that licensees/permittees </w:t>
      </w:r>
      <w:r w:rsidR="008470D6">
        <w:t>relinquish</w:t>
      </w:r>
      <w:r w:rsidR="00262612">
        <w:t xml:space="preserve"> possession of explosive materials only to </w:t>
      </w:r>
      <w:r w:rsidR="000C3F58">
        <w:t>employees of common and contract carrie</w:t>
      </w:r>
      <w:r w:rsidR="00442C60">
        <w:t>r</w:t>
      </w:r>
      <w:r w:rsidR="000C3F58">
        <w:t xml:space="preserve">s </w:t>
      </w:r>
      <w:r w:rsidR="007D1318">
        <w:t xml:space="preserve">whose identity has been verified. </w:t>
      </w:r>
      <w:r w:rsidRPr="0029261D" w:rsidR="00606D78">
        <w:t>The respondent (industry member) collects and maintains the</w:t>
      </w:r>
      <w:r>
        <w:t>se</w:t>
      </w:r>
      <w:r w:rsidRPr="0029261D" w:rsidR="00606D78">
        <w:t xml:space="preserve"> records for a period of five years</w:t>
      </w:r>
      <w:r w:rsidR="00B8638B">
        <w:t>,</w:t>
      </w:r>
      <w:r w:rsidRPr="0029261D" w:rsidR="00606D78">
        <w:t xml:space="preserve"> or until </w:t>
      </w:r>
      <w:r w:rsidR="003C79F9">
        <w:t>they discontinue</w:t>
      </w:r>
      <w:r w:rsidR="00393748">
        <w:t xml:space="preserve"> their</w:t>
      </w:r>
      <w:r w:rsidRPr="0029261D" w:rsidR="00606D78">
        <w:t xml:space="preserve"> business</w:t>
      </w:r>
      <w:r w:rsidR="00D2735B">
        <w:t xml:space="preserve"> (</w:t>
      </w:r>
      <w:r w:rsidR="003C79F9">
        <w:t>record-keeping re</w:t>
      </w:r>
      <w:r w:rsidR="003C79F9">
        <w:tab/>
      </w:r>
      <w:r w:rsidR="003C79F9">
        <w:t>quirements</w:t>
      </w:r>
      <w:r w:rsidR="003C79F9">
        <w:t xml:space="preserve"> </w:t>
      </w:r>
      <w:r w:rsidR="00D2735B">
        <w:t xml:space="preserve">approved under </w:t>
      </w:r>
      <w:r w:rsidR="003C79F9">
        <w:t xml:space="preserve">OMB </w:t>
      </w:r>
      <w:r w:rsidR="00D2735B">
        <w:t>control number 1140-0030)</w:t>
      </w:r>
      <w:r w:rsidRPr="0029261D" w:rsidR="0013259A">
        <w:t>.</w:t>
      </w:r>
    </w:p>
    <w:p w:rsidR="00861038" w:rsidRPr="00021D9E" w:rsidP="00861038" w14:paraId="6DDBA3EC" w14:textId="2087FB57">
      <w:pPr>
        <w:pStyle w:val="ListParagraph"/>
        <w:numPr>
          <w:ilvl w:val="0"/>
          <w:numId w:val="2"/>
        </w:numPr>
        <w:spacing w:after="100" w:afterAutospacing="1"/>
        <w:contextualSpacing w:val="0"/>
        <w:rPr>
          <w:rStyle w:val="Emphasis"/>
        </w:rPr>
      </w:pPr>
      <w:r w:rsidRPr="00D53DEB">
        <w:rPr>
          <w:b/>
          <w:bCs/>
        </w:rPr>
        <w:t xml:space="preserve">Describe whether, and to what extent, the </w:t>
      </w:r>
      <w:r>
        <w:rPr>
          <w:b/>
          <w:bCs/>
        </w:rPr>
        <w:t>information collection</w:t>
      </w:r>
      <w:r w:rsidRPr="00D53DEB">
        <w:rPr>
          <w:b/>
          <w:bCs/>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w:t>
      </w:r>
    </w:p>
    <w:p w:rsidR="009F5477" w:rsidRPr="0029261D" w:rsidP="00020201" w14:paraId="0DB0BAFA" w14:textId="4AC36382">
      <w:pPr>
        <w:spacing w:after="240"/>
      </w:pPr>
      <w:r>
        <w:rPr>
          <w:color w:val="000000" w:themeColor="text1"/>
        </w:rPr>
        <w:t>Licensees/permittees may collect and share this information</w:t>
      </w:r>
      <w:r w:rsidR="00C73B84">
        <w:rPr>
          <w:color w:val="000000" w:themeColor="text1"/>
        </w:rPr>
        <w:t xml:space="preserve"> electronically, but ATF does not mandate this beca</w:t>
      </w:r>
      <w:r w:rsidR="00F950A5">
        <w:rPr>
          <w:color w:val="000000" w:themeColor="text1"/>
        </w:rPr>
        <w:t xml:space="preserve">use sometimes the information is exchanged in situations in which a computerized or internet system isn’t feasible. </w:t>
      </w:r>
      <w:r w:rsidRPr="00F632D1" w:rsidR="00F632D1">
        <w:rPr>
          <w:color w:val="000000" w:themeColor="text1"/>
        </w:rPr>
        <w:t>ATF Ruling 2007-1</w:t>
      </w:r>
      <w:r w:rsidR="00402C2F">
        <w:rPr>
          <w:color w:val="000000" w:themeColor="text1"/>
        </w:rPr>
        <w:t xml:space="preserve"> </w:t>
      </w:r>
      <w:r w:rsidRPr="00F632D1" w:rsidR="00F632D1">
        <w:rPr>
          <w:color w:val="000000" w:themeColor="text1"/>
        </w:rPr>
        <w:t>allows the use of computerized record</w:t>
      </w:r>
      <w:r w:rsidR="00193A1A">
        <w:rPr>
          <w:color w:val="000000" w:themeColor="text1"/>
        </w:rPr>
        <w:t>-</w:t>
      </w:r>
      <w:r w:rsidRPr="00F632D1" w:rsidR="00F632D1">
        <w:rPr>
          <w:color w:val="000000" w:themeColor="text1"/>
        </w:rPr>
        <w:t>keeping</w:t>
      </w:r>
      <w:r w:rsidR="007A5492">
        <w:rPr>
          <w:color w:val="000000" w:themeColor="text1"/>
        </w:rPr>
        <w:t>,</w:t>
      </w:r>
      <w:r w:rsidRPr="00F632D1" w:rsidR="00F632D1">
        <w:rPr>
          <w:color w:val="000000" w:themeColor="text1"/>
        </w:rPr>
        <w:t xml:space="preserve"> </w:t>
      </w:r>
      <w:r w:rsidRPr="00F632D1" w:rsidR="00F632D1">
        <w:rPr>
          <w:color w:val="000000" w:themeColor="text1"/>
        </w:rPr>
        <w:t>as long as</w:t>
      </w:r>
      <w:r w:rsidRPr="00F632D1" w:rsidR="00F632D1">
        <w:rPr>
          <w:color w:val="000000" w:themeColor="text1"/>
        </w:rPr>
        <w:t xml:space="preserve"> the </w:t>
      </w:r>
      <w:r w:rsidR="00C41607">
        <w:rPr>
          <w:color w:val="000000" w:themeColor="text1"/>
        </w:rPr>
        <w:t>data</w:t>
      </w:r>
      <w:r w:rsidRPr="00F632D1" w:rsidR="00F632D1">
        <w:rPr>
          <w:color w:val="000000" w:themeColor="text1"/>
        </w:rPr>
        <w:t xml:space="preserve"> </w:t>
      </w:r>
      <w:r w:rsidR="00B8638B">
        <w:rPr>
          <w:color w:val="000000" w:themeColor="text1"/>
        </w:rPr>
        <w:t xml:space="preserve">cannot be modified, </w:t>
      </w:r>
      <w:r w:rsidRPr="00F632D1" w:rsidR="00F632D1">
        <w:rPr>
          <w:color w:val="000000" w:themeColor="text1"/>
        </w:rPr>
        <w:t xml:space="preserve">and </w:t>
      </w:r>
      <w:r w:rsidR="006A2EFA">
        <w:rPr>
          <w:color w:val="000000" w:themeColor="text1"/>
        </w:rPr>
        <w:t>the</w:t>
      </w:r>
      <w:r w:rsidRPr="00F632D1" w:rsidR="00F632D1">
        <w:rPr>
          <w:color w:val="000000" w:themeColor="text1"/>
        </w:rPr>
        <w:t xml:space="preserve"> </w:t>
      </w:r>
      <w:r w:rsidR="00F632D1">
        <w:rPr>
          <w:color w:val="000000" w:themeColor="text1"/>
        </w:rPr>
        <w:t xml:space="preserve">respondents </w:t>
      </w:r>
      <w:r w:rsidRPr="00F632D1" w:rsidR="00F632D1">
        <w:rPr>
          <w:color w:val="000000" w:themeColor="text1"/>
        </w:rPr>
        <w:t>have a reliable daily memory backup</w:t>
      </w:r>
      <w:r w:rsidR="00393748">
        <w:rPr>
          <w:color w:val="000000" w:themeColor="text1"/>
        </w:rPr>
        <w:t xml:space="preserve"> system</w:t>
      </w:r>
      <w:r w:rsidRPr="00F632D1" w:rsidR="00F632D1">
        <w:rPr>
          <w:color w:val="000000" w:themeColor="text1"/>
        </w:rPr>
        <w:t>.</w:t>
      </w:r>
      <w:r w:rsidR="0006272E">
        <w:rPr>
          <w:color w:val="000000" w:themeColor="text1"/>
        </w:rPr>
        <w:t xml:space="preserve"> </w:t>
      </w:r>
      <w:r w:rsidR="00E3057E">
        <w:rPr>
          <w:color w:val="000000" w:themeColor="text1"/>
        </w:rPr>
        <w:t xml:space="preserve">27 CFR </w:t>
      </w:r>
      <w:r w:rsidR="00E3057E">
        <w:t xml:space="preserve">§ </w:t>
      </w:r>
      <w:r w:rsidR="009F0560">
        <w:t>555.</w:t>
      </w:r>
      <w:r w:rsidR="00E3057E">
        <w:t>122</w:t>
      </w:r>
      <w:r w:rsidR="009F0560">
        <w:t xml:space="preserve"> is being revised to </w:t>
      </w:r>
      <w:r w:rsidR="00DD06C4">
        <w:t xml:space="preserve">incorporate and </w:t>
      </w:r>
      <w:r w:rsidR="00F51AE7">
        <w:t>supersede ATF Ruling 2007</w:t>
      </w:r>
      <w:r w:rsidR="00193A1A">
        <w:t>-</w:t>
      </w:r>
      <w:r w:rsidR="00F51AE7">
        <w:t>1</w:t>
      </w:r>
      <w:r w:rsidR="00F84B5A">
        <w:t xml:space="preserve"> </w:t>
      </w:r>
      <w:r w:rsidR="00C5645F">
        <w:t>during the time of this IC renewal.</w:t>
      </w:r>
    </w:p>
    <w:p w:rsidR="00D92838" w:rsidRPr="001F25A2" w:rsidP="00D92838" w14:paraId="79699FE7" w14:textId="77777777">
      <w:pPr>
        <w:pStyle w:val="ListParagraph"/>
        <w:numPr>
          <w:ilvl w:val="0"/>
          <w:numId w:val="2"/>
        </w:numPr>
        <w:spacing w:after="100" w:afterAutospacing="1"/>
        <w:contextualSpacing w:val="0"/>
        <w:rPr>
          <w:rStyle w:val="Emphasis"/>
        </w:rPr>
      </w:pPr>
      <w:r w:rsidRPr="00D53DEB">
        <w:rPr>
          <w:b/>
          <w:bCs/>
        </w:rPr>
        <w:t>Describe efforts to identify duplication.</w:t>
      </w:r>
    </w:p>
    <w:p w:rsidR="009F5477" w:rsidRPr="0029261D" w:rsidP="00020201" w14:paraId="6DAFE0A2" w14:textId="02A0B073">
      <w:pPr>
        <w:spacing w:after="240"/>
      </w:pPr>
      <w:r>
        <w:t>This information is not duplicative. It requires distributors to verify</w:t>
      </w:r>
      <w:r w:rsidR="0038723F">
        <w:t xml:space="preserve"> and collect information for identification purposes to ensure that distributions of explosives are made only to licensees/permittees and persons properly designated to receive the explosives</w:t>
      </w:r>
      <w:r w:rsidRPr="0029261D">
        <w:t>.</w:t>
      </w:r>
      <w:r w:rsidR="0038723F">
        <w:t xml:space="preserve"> Such information is not collected </w:t>
      </w:r>
      <w:r w:rsidR="00D104A2">
        <w:t>otherwise.</w:t>
      </w:r>
    </w:p>
    <w:p w:rsidR="00212655" w:rsidRPr="001F25A2" w:rsidP="00212655" w14:paraId="3059A9B0" w14:textId="77777777">
      <w:pPr>
        <w:pStyle w:val="ListParagraph"/>
        <w:numPr>
          <w:ilvl w:val="0"/>
          <w:numId w:val="2"/>
        </w:numPr>
        <w:spacing w:after="100" w:afterAutospacing="1"/>
        <w:contextualSpacing w:val="0"/>
        <w:rPr>
          <w:rStyle w:val="Emphasis"/>
        </w:rPr>
      </w:pPr>
      <w:r w:rsidRPr="00D53DEB">
        <w:rPr>
          <w:b/>
          <w:bCs/>
        </w:rPr>
        <w:t xml:space="preserve">If the </w:t>
      </w:r>
      <w:r>
        <w:rPr>
          <w:b/>
          <w:bCs/>
        </w:rPr>
        <w:t>information collection</w:t>
      </w:r>
      <w:r w:rsidRPr="00D53DEB">
        <w:rPr>
          <w:b/>
          <w:bCs/>
        </w:rPr>
        <w:t xml:space="preserve"> impacts small businesses or other small entities, describe any methods used to minimize burden.</w:t>
      </w:r>
    </w:p>
    <w:p w:rsidR="009F5477" w:rsidRPr="0029261D" w:rsidP="00020201" w14:paraId="1472DA40" w14:textId="6F6AD38B">
      <w:pPr>
        <w:spacing w:after="240"/>
      </w:pPr>
      <w:r>
        <w:t>ATF anticipates that this collection</w:t>
      </w:r>
      <w:r w:rsidR="00A16C41">
        <w:t xml:space="preserve"> </w:t>
      </w:r>
      <w:r>
        <w:t>will</w:t>
      </w:r>
      <w:r w:rsidR="00A16C41">
        <w:t xml:space="preserve"> </w:t>
      </w:r>
      <w:r w:rsidR="003A44F5">
        <w:t xml:space="preserve">cause 13 hours or $585 </w:t>
      </w:r>
      <w:r w:rsidR="002453EC">
        <w:t>of</w:t>
      </w:r>
      <w:r w:rsidR="003A44F5">
        <w:t xml:space="preserve"> hourly burden</w:t>
      </w:r>
      <w:r w:rsidR="002453EC">
        <w:t xml:space="preserve"> cost</w:t>
      </w:r>
      <w:r w:rsidR="003A44F5">
        <w:t xml:space="preserve"> in any given year. </w:t>
      </w:r>
      <w:r w:rsidR="002B7D2F">
        <w:t>In order to</w:t>
      </w:r>
      <w:r w:rsidR="002B7D2F">
        <w:t xml:space="preserve"> have a 1% impact on a small business, the overall revenue of that business would need to be </w:t>
      </w:r>
      <w:r w:rsidR="00713A52">
        <w:t>$5,850</w:t>
      </w:r>
      <w:r w:rsidR="007832D7">
        <w:t xml:space="preserve"> or less</w:t>
      </w:r>
      <w:r w:rsidR="00713A52">
        <w:t xml:space="preserve">, which is likely too small a revenue </w:t>
      </w:r>
      <w:r w:rsidR="007442C5">
        <w:t>for a business in this arena to</w:t>
      </w:r>
      <w:r w:rsidR="007832D7">
        <w:t xml:space="preserve"> continue to operate</w:t>
      </w:r>
      <w:r w:rsidR="00713A52">
        <w:t>.</w:t>
      </w:r>
      <w:r w:rsidR="007832D7">
        <w:t xml:space="preserve"> </w:t>
      </w:r>
      <w:r w:rsidR="00FC3798">
        <w:t xml:space="preserve">This collection would not have even a 1% impact on small businesses </w:t>
      </w:r>
      <w:r w:rsidR="00F42554">
        <w:t>with overall revenue sufficient to maintain a business.</w:t>
      </w:r>
      <w:r w:rsidR="00713A52">
        <w:t xml:space="preserve"> </w:t>
      </w:r>
      <w:r w:rsidRPr="0029261D" w:rsidR="00713A52">
        <w:t xml:space="preserve">This collection </w:t>
      </w:r>
      <w:r w:rsidR="00634E62">
        <w:t xml:space="preserve">therefore </w:t>
      </w:r>
      <w:r w:rsidRPr="0029261D" w:rsidR="00713A52">
        <w:t>will not s</w:t>
      </w:r>
      <w:r w:rsidR="00713A52">
        <w:t>ignificantly</w:t>
      </w:r>
      <w:r w:rsidRPr="0029261D" w:rsidR="00713A52">
        <w:t xml:space="preserve"> affect small businesses.</w:t>
      </w:r>
    </w:p>
    <w:p w:rsidR="00A80E3B" w:rsidRPr="001F25A2" w:rsidP="00A80E3B" w14:paraId="756044BA" w14:textId="77777777">
      <w:pPr>
        <w:pStyle w:val="ListParagraph"/>
        <w:numPr>
          <w:ilvl w:val="0"/>
          <w:numId w:val="2"/>
        </w:numPr>
        <w:spacing w:after="100" w:afterAutospacing="1"/>
        <w:contextualSpacing w:val="0"/>
        <w:rPr>
          <w:rStyle w:val="Emphasis"/>
        </w:rPr>
      </w:pPr>
      <w:bookmarkStart w:id="0" w:name="_Hlk176863417"/>
      <w:r w:rsidRPr="00247D56">
        <w:rPr>
          <w:b/>
          <w:bCs/>
        </w:rPr>
        <w:t>Describe the consequence to federal program or policy activities if the collection is not conducted or is conducted less frequently, as well as any technical or legal obstacles to reducing burden.</w:t>
      </w:r>
      <w:bookmarkEnd w:id="0"/>
    </w:p>
    <w:p w:rsidR="009F5477" w:rsidP="00020201" w14:paraId="437339AD" w14:textId="39255232">
      <w:pPr>
        <w:pStyle w:val="ListParagraph"/>
        <w:spacing w:after="240"/>
        <w:ind w:left="0"/>
      </w:pPr>
      <w:r>
        <w:t xml:space="preserve">Failure to collect this information would hinder ATF’s ability to carry out its responsibility to ensure that </w:t>
      </w:r>
      <w:r w:rsidR="00ED723D">
        <w:t xml:space="preserve">explosive materials are distributed only to </w:t>
      </w:r>
      <w:r w:rsidR="00D104A2">
        <w:t>f</w:t>
      </w:r>
      <w:r w:rsidR="00ED723D">
        <w:t>ederal explosives licensees</w:t>
      </w:r>
      <w:r w:rsidR="00D104A2">
        <w:t>/</w:t>
      </w:r>
      <w:r w:rsidR="00ED723D">
        <w:t>permittees</w:t>
      </w:r>
      <w:r w:rsidR="00492BE2">
        <w:t>,</w:t>
      </w:r>
      <w:r w:rsidR="00ED723D">
        <w:t xml:space="preserve"> or </w:t>
      </w:r>
      <w:r w:rsidRPr="0029261D" w:rsidR="00ED723D">
        <w:t xml:space="preserve">representatives authorized to </w:t>
      </w:r>
      <w:r w:rsidR="00ED723D">
        <w:t>accept delivery</w:t>
      </w:r>
      <w:r w:rsidRPr="0029261D" w:rsidR="00ED723D">
        <w:t xml:space="preserve"> on behalf of the </w:t>
      </w:r>
      <w:r w:rsidR="00ED723D">
        <w:t>distributee</w:t>
      </w:r>
      <w:r>
        <w:t xml:space="preserve">, and that the identity of the </w:t>
      </w:r>
      <w:r w:rsidR="00ED723D">
        <w:t>recipient (</w:t>
      </w:r>
      <w:r>
        <w:t xml:space="preserve">or </w:t>
      </w:r>
      <w:r w:rsidR="007525DD">
        <w:t>their</w:t>
      </w:r>
      <w:r>
        <w:t xml:space="preserve"> agent) is appropriately verified.</w:t>
      </w:r>
    </w:p>
    <w:p w:rsidR="003B6776" w:rsidRPr="0029261D" w:rsidP="00ED723D" w14:paraId="06E77AA8" w14:textId="77777777">
      <w:pPr>
        <w:pStyle w:val="ListParagraph"/>
        <w:spacing w:after="240"/>
        <w:ind w:left="1080"/>
      </w:pPr>
    </w:p>
    <w:p w:rsidR="003B6776" w:rsidRPr="00D53DEB" w:rsidP="003B6776" w14:paraId="7B51B254" w14:textId="77777777">
      <w:pPr>
        <w:pStyle w:val="ListParagraph"/>
        <w:numPr>
          <w:ilvl w:val="0"/>
          <w:numId w:val="2"/>
        </w:numPr>
        <w:spacing w:after="100" w:afterAutospacing="1"/>
        <w:contextualSpacing w:val="0"/>
      </w:pPr>
      <w:r w:rsidRPr="00180A3F">
        <w:rPr>
          <w:b/>
          <w:bCs/>
        </w:rPr>
        <w:t>Explain any special circumstances that would cause an information collection to be conducted in a manner</w:t>
      </w:r>
      <w:r>
        <w:rPr>
          <w:b/>
          <w:bCs/>
        </w:rPr>
        <w:t xml:space="preserve"> inconsistent with 5 CFR 1320.6.</w:t>
      </w:r>
    </w:p>
    <w:p w:rsidR="009F5477" w:rsidRPr="0029261D" w:rsidP="00020201" w14:paraId="49C022FE" w14:textId="34F20E02">
      <w:pPr>
        <w:spacing w:after="240"/>
      </w:pPr>
      <w:r w:rsidRPr="0029261D">
        <w:t xml:space="preserve">There are no special circumstances </w:t>
      </w:r>
      <w:r w:rsidRPr="0029261D">
        <w:t>with regard to</w:t>
      </w:r>
      <w:r w:rsidRPr="0029261D">
        <w:t xml:space="preserve"> this information collection</w:t>
      </w:r>
      <w:r w:rsidR="007A5492">
        <w:t xml:space="preserve">, which is </w:t>
      </w:r>
      <w:r w:rsidRPr="0029261D" w:rsidR="006F3CB3">
        <w:t xml:space="preserve">conducted in a manner consistent with 5 CFR </w:t>
      </w:r>
      <w:r w:rsidR="00000ABB">
        <w:t xml:space="preserve">§ </w:t>
      </w:r>
      <w:r w:rsidRPr="0029261D" w:rsidR="006F3CB3">
        <w:t>1320.6</w:t>
      </w:r>
      <w:r w:rsidRPr="0029261D">
        <w:t>.</w:t>
      </w:r>
    </w:p>
    <w:p w:rsidR="00C04146" w:rsidRPr="0059126C" w:rsidP="00C04146" w14:paraId="563C7725" w14:textId="519DE9C7">
      <w:pPr>
        <w:pStyle w:val="ListParagraph"/>
        <w:numPr>
          <w:ilvl w:val="0"/>
          <w:numId w:val="2"/>
        </w:numPr>
        <w:spacing w:after="100" w:afterAutospacing="1"/>
        <w:contextualSpacing w:val="0"/>
      </w:pPr>
      <w:r w:rsidRPr="00D53DEB">
        <w:rPr>
          <w:b/>
          <w:bCs/>
        </w:rPr>
        <w:t xml:space="preserve">If applicable, provide a copy and identify the date and page number of </w:t>
      </w:r>
      <w:r w:rsidRPr="00D53DEB">
        <w:rPr>
          <w:b/>
          <w:bCs/>
        </w:rPr>
        <w:t>publication</w:t>
      </w:r>
      <w:r w:rsidRPr="00D53DEB">
        <w:rPr>
          <w:b/>
          <w:bCs/>
        </w:rPr>
        <w:t xml:space="preserve"> in </w:t>
      </w:r>
      <w:r w:rsidRPr="00180A3F">
        <w:rPr>
          <w:b/>
          <w:bCs/>
        </w:rPr>
        <w:t>the</w:t>
      </w:r>
      <w:r>
        <w:rPr>
          <w:b/>
          <w:bCs/>
        </w:rPr>
        <w:t xml:space="preserve"> </w:t>
      </w:r>
      <w:r w:rsidRPr="00180A3F">
        <w:rPr>
          <w:b/>
          <w:bCs/>
          <w:i/>
          <w:iCs/>
        </w:rPr>
        <w:t>Federal Register</w:t>
      </w:r>
      <w:r w:rsidRPr="00180A3F">
        <w:rPr>
          <w:b/>
          <w:bCs/>
        </w:rPr>
        <w:t xml:space="preserve"> of the agency's </w:t>
      </w:r>
      <w:r w:rsidRPr="00D53DEB">
        <w:rPr>
          <w:b/>
          <w:bCs/>
        </w:rPr>
        <w:t>notice, required by 5 CFR 1320.8(d), soliciting comments on the information collection prior to submission to OMB.</w:t>
      </w:r>
      <w:r w:rsidR="0006272E">
        <w:rPr>
          <w:b/>
          <w:bCs/>
        </w:rPr>
        <w:t xml:space="preserve"> </w:t>
      </w:r>
      <w:r w:rsidRPr="00D53DEB">
        <w:rPr>
          <w:b/>
          <w:bCs/>
        </w:rPr>
        <w:t xml:space="preserve">Summarize public comments received in response to that notice and </w:t>
      </w:r>
      <w:r w:rsidRPr="0059126C">
        <w:rPr>
          <w:b/>
          <w:bCs/>
        </w:rPr>
        <w:t>describe actions taken by the agency in response to these comments.</w:t>
      </w:r>
    </w:p>
    <w:p w:rsidR="0047532A" w:rsidRPr="0059126C" w:rsidP="00A35074" w14:paraId="204D90D7"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59126C">
        <w:t xml:space="preserve">The 60-Day Notice was published in the </w:t>
      </w:r>
      <w:r w:rsidRPr="0059126C">
        <w:rPr>
          <w:i/>
          <w:iCs/>
        </w:rPr>
        <w:t>Federal Register</w:t>
      </w:r>
      <w:r w:rsidRPr="0059126C">
        <w:t xml:space="preserve"> on [xx/xx/xx] (XX FR XXXXX). The comment period ended on [xx/xx/xx]. ATF received no comments.</w:t>
      </w:r>
    </w:p>
    <w:p w:rsidR="00BE2736" w:rsidRPr="0047530A" w:rsidP="00BE2736" w14:paraId="3C8EFEAE" w14:textId="77777777">
      <w:pPr>
        <w:pStyle w:val="ListParagraph"/>
        <w:numPr>
          <w:ilvl w:val="0"/>
          <w:numId w:val="2"/>
        </w:numPr>
        <w:spacing w:after="100" w:afterAutospacing="1"/>
        <w:contextualSpacing w:val="0"/>
      </w:pPr>
      <w:r w:rsidRPr="0047530A">
        <w:rPr>
          <w:b/>
          <w:bCs/>
        </w:rPr>
        <w:t>Explain any decision to provide any payments or gifts to respondents, other than remuneration of contractors or grantees.</w:t>
      </w:r>
    </w:p>
    <w:p w:rsidR="009F5477" w:rsidRPr="0029261D" w:rsidP="00020201" w14:paraId="4AD87063" w14:textId="6A8E3669">
      <w:pPr>
        <w:spacing w:after="240"/>
      </w:pPr>
      <w:r w:rsidRPr="0029261D">
        <w:t xml:space="preserve">No </w:t>
      </w:r>
      <w:r w:rsidRPr="0029261D">
        <w:t xml:space="preserve">payment or gift is associated with this </w:t>
      </w:r>
      <w:r w:rsidR="00B71D53">
        <w:t xml:space="preserve">information </w:t>
      </w:r>
      <w:r w:rsidRPr="0029261D">
        <w:t>collection.</w:t>
      </w:r>
    </w:p>
    <w:p w:rsidR="00C05BB5" w:rsidRPr="001F25A2" w:rsidP="00C05BB5" w14:paraId="0F4C44FE" w14:textId="77777777">
      <w:pPr>
        <w:pStyle w:val="ListParagraph"/>
        <w:numPr>
          <w:ilvl w:val="0"/>
          <w:numId w:val="2"/>
        </w:numPr>
        <w:spacing w:after="100" w:afterAutospacing="1"/>
        <w:contextualSpacing w:val="0"/>
        <w:rPr>
          <w:u w:val="single"/>
        </w:rPr>
      </w:pPr>
      <w:r w:rsidRPr="00D53DEB">
        <w:rPr>
          <w:b/>
          <w:bCs/>
        </w:rPr>
        <w:t>Describe any assurance of confidentiality provided to respondents and the basis for the assurance in statute, regulation, or agency policy.</w:t>
      </w:r>
    </w:p>
    <w:p w:rsidR="009F5477" w:rsidRPr="0029261D" w:rsidP="00020201" w14:paraId="304FA270" w14:textId="60CA1497">
      <w:pPr>
        <w:spacing w:after="240"/>
      </w:pPr>
      <w:r>
        <w:t xml:space="preserve">Licensees/permittees acquiring the information </w:t>
      </w:r>
      <w:r w:rsidR="000F41E0">
        <w:t xml:space="preserve">covered by this ICR must maintain the information is a secured location on their licensed/permitted premises. </w:t>
      </w:r>
      <w:r w:rsidRPr="0029261D" w:rsidR="006E3533">
        <w:t>ATF in</w:t>
      </w:r>
      <w:r w:rsidR="00E665F2">
        <w:t>vestiga</w:t>
      </w:r>
      <w:r w:rsidRPr="0029261D" w:rsidR="006E3533">
        <w:t xml:space="preserve">tors check to </w:t>
      </w:r>
      <w:r w:rsidR="00E665F2">
        <w:t>e</w:t>
      </w:r>
      <w:r w:rsidRPr="0029261D" w:rsidR="006E3533">
        <w:t>nsure</w:t>
      </w:r>
      <w:r w:rsidRPr="0029261D" w:rsidR="00A35AD2">
        <w:t xml:space="preserve"> that the transaction </w:t>
      </w:r>
      <w:r w:rsidR="00393748">
        <w:t xml:space="preserve">records </w:t>
      </w:r>
      <w:r w:rsidRPr="0029261D" w:rsidR="00A35AD2">
        <w:t>are being kept on the</w:t>
      </w:r>
      <w:r w:rsidR="00393748">
        <w:t xml:space="preserve"> business</w:t>
      </w:r>
      <w:r w:rsidRPr="0029261D" w:rsidR="00A35AD2">
        <w:t xml:space="preserve"> premises of the</w:t>
      </w:r>
      <w:r w:rsidR="00393748">
        <w:t>se explosives</w:t>
      </w:r>
      <w:r w:rsidRPr="0029261D" w:rsidR="00A35AD2">
        <w:t xml:space="preserve"> licensees</w:t>
      </w:r>
      <w:r w:rsidR="006B1A2A">
        <w:t xml:space="preserve"> and ATF has not assured respondents of confidentiality</w:t>
      </w:r>
      <w:r w:rsidRPr="0029261D" w:rsidR="0009733F">
        <w:t>.</w:t>
      </w:r>
    </w:p>
    <w:p w:rsidR="00845522" w:rsidP="00845522" w14:paraId="7E9AC968" w14:textId="77777777">
      <w:pPr>
        <w:pStyle w:val="ListParagraph"/>
        <w:numPr>
          <w:ilvl w:val="0"/>
          <w:numId w:val="2"/>
        </w:numPr>
        <w:spacing w:after="100" w:afterAutospacing="1"/>
        <w:contextualSpacing w:val="0"/>
      </w:pPr>
      <w:r w:rsidRPr="00D53DEB">
        <w:rPr>
          <w:b/>
          <w:bCs/>
        </w:rPr>
        <w:t>Provide additional justification for any questions of a sensitive nature, such as sexual behavior and attitudes, religious beliefs, and other matters that are commonly considered private</w:t>
      </w:r>
    </w:p>
    <w:p w:rsidR="009F5477" w:rsidRPr="0029261D" w:rsidP="00A35074" w14:paraId="70FD2521" w14:textId="56A51A59">
      <w:pPr>
        <w:spacing w:after="240"/>
      </w:pPr>
      <w:r>
        <w:t>This information collection does not ask</w:t>
      </w:r>
      <w:r w:rsidR="0018028E">
        <w:t xml:space="preserve"> questions or require information of a sensitive nature.</w:t>
      </w:r>
    </w:p>
    <w:p w:rsidR="00EE1BD9" w:rsidRPr="00260AAF" w:rsidP="00EE1BD9" w14:paraId="66655B0A" w14:textId="5ACD39E5">
      <w:pPr>
        <w:pStyle w:val="ListParagraph"/>
        <w:numPr>
          <w:ilvl w:val="0"/>
          <w:numId w:val="2"/>
        </w:numPr>
        <w:spacing w:after="100" w:afterAutospacing="1"/>
        <w:contextualSpacing w:val="0"/>
      </w:pPr>
      <w:r w:rsidRPr="00260AAF">
        <w:rPr>
          <w:b/>
          <w:bCs/>
        </w:rPr>
        <w:t xml:space="preserve">Provide estimates of the </w:t>
      </w:r>
      <w:r w:rsidR="009B27A8">
        <w:rPr>
          <w:b/>
          <w:bCs/>
        </w:rPr>
        <w:t>information collection’s hour burden</w:t>
      </w:r>
      <w:r w:rsidRPr="00260AAF">
        <w:rPr>
          <w:b/>
          <w:bCs/>
        </w:rPr>
        <w:t>.</w:t>
      </w:r>
    </w:p>
    <w:p w:rsidR="009F5477" w:rsidP="00020201" w14:paraId="4C98CE96" w14:textId="667A3CA3">
      <w:pPr>
        <w:spacing w:after="240"/>
      </w:pPr>
      <w:r>
        <w:t>There are an estimated</w:t>
      </w:r>
      <w:r w:rsidR="004F670F">
        <w:t xml:space="preserve"> </w:t>
      </w:r>
      <w:r w:rsidR="00FC165D">
        <w:t>3,391 (licensee)</w:t>
      </w:r>
      <w:r w:rsidRPr="0029261D">
        <w:t xml:space="preserve"> respondents</w:t>
      </w:r>
      <w:r w:rsidR="00F35ADD">
        <w:t xml:space="preserve"> </w:t>
      </w:r>
      <w:r w:rsidRPr="0029261D">
        <w:t xml:space="preserve">associated with this collection. </w:t>
      </w:r>
      <w:r w:rsidR="00412688">
        <w:t>Permit</w:t>
      </w:r>
      <w:r w:rsidR="004A0A2A">
        <w:t>t</w:t>
      </w:r>
      <w:r w:rsidR="00412688">
        <w:t xml:space="preserve">ees may also sell excess stock of explosives, but </w:t>
      </w:r>
      <w:r w:rsidR="00B77E8E">
        <w:t xml:space="preserve">the number of such distributions </w:t>
      </w:r>
      <w:r w:rsidR="004D4054">
        <w:t>is</w:t>
      </w:r>
      <w:r w:rsidR="00B77E8E">
        <w:t xml:space="preserve"> very </w:t>
      </w:r>
      <w:r w:rsidR="00B77E8E">
        <w:t>small</w:t>
      </w:r>
      <w:r w:rsidR="00B77E8E">
        <w:t xml:space="preserve"> and ATF does not</w:t>
      </w:r>
      <w:r w:rsidR="004D4054">
        <w:t xml:space="preserve"> track the number</w:t>
      </w:r>
      <w:r w:rsidR="00412688">
        <w:t xml:space="preserve">. </w:t>
      </w:r>
      <w:r w:rsidR="004B671E">
        <w:t xml:space="preserve">For each time a licensee (3,391) sells or otherwise </w:t>
      </w:r>
      <w:r w:rsidR="00645CD3">
        <w:t>distributes</w:t>
      </w:r>
      <w:r w:rsidR="009B7AB3">
        <w:t xml:space="preserve"> explosive</w:t>
      </w:r>
      <w:r w:rsidR="00645CD3">
        <w:t xml:space="preserve"> materials</w:t>
      </w:r>
      <w:r w:rsidR="009B7AB3">
        <w:t xml:space="preserve">, they </w:t>
      </w:r>
      <w:r w:rsidR="00A0747A">
        <w:t>must</w:t>
      </w:r>
      <w:r w:rsidR="009B7AB3">
        <w:t xml:space="preserve"> </w:t>
      </w:r>
      <w:r w:rsidR="00CC3DC6">
        <w:t xml:space="preserve">collect </w:t>
      </w:r>
      <w:r w:rsidR="00A0747A">
        <w:t>the required information from the distribute/recipient</w:t>
      </w:r>
      <w:r w:rsidR="00CA3E86">
        <w:t xml:space="preserve">. </w:t>
      </w:r>
      <w:r w:rsidRPr="0029261D" w:rsidR="006F3CB3">
        <w:t xml:space="preserve">Each </w:t>
      </w:r>
      <w:r w:rsidR="00755317">
        <w:t>licensee</w:t>
      </w:r>
      <w:r w:rsidRPr="0029261D" w:rsidR="006F3CB3">
        <w:t xml:space="preserve"> will </w:t>
      </w:r>
      <w:r w:rsidR="00D06F4D">
        <w:t>collect the information (i.e., respond)</w:t>
      </w:r>
      <w:r w:rsidRPr="0029261D" w:rsidR="006F3CB3">
        <w:t xml:space="preserve"> </w:t>
      </w:r>
      <w:r w:rsidR="00000ABB">
        <w:t xml:space="preserve">once </w:t>
      </w:r>
      <w:r w:rsidR="0094495B">
        <w:t>for every dis</w:t>
      </w:r>
      <w:r w:rsidR="00E9646A">
        <w:t>tribution</w:t>
      </w:r>
      <w:r w:rsidR="0016310E">
        <w:t>, and ATF estimates an average of</w:t>
      </w:r>
      <w:r w:rsidR="00E9646A">
        <w:t xml:space="preserve"> </w:t>
      </w:r>
      <w:r w:rsidR="00EA33BB">
        <w:t>78 dis</w:t>
      </w:r>
      <w:r w:rsidR="00E9646A">
        <w:t>tributions</w:t>
      </w:r>
      <w:r w:rsidR="00EA33BB">
        <w:t xml:space="preserve"> </w:t>
      </w:r>
      <w:r w:rsidR="000C7683">
        <w:t>per licensee</w:t>
      </w:r>
      <w:r w:rsidR="0016310E">
        <w:t xml:space="preserve"> annually.</w:t>
      </w:r>
      <w:r w:rsidR="00755317">
        <w:t xml:space="preserve"> </w:t>
      </w:r>
      <w:r w:rsidR="00D06F4D">
        <w:t>This results in</w:t>
      </w:r>
      <w:r w:rsidR="00C86D38">
        <w:t xml:space="preserve"> a total of </w:t>
      </w:r>
      <w:r w:rsidR="00D42119">
        <w:t>264,498</w:t>
      </w:r>
      <w:r w:rsidR="00C86D38">
        <w:t xml:space="preserve"> </w:t>
      </w:r>
      <w:r w:rsidR="00D06F4D">
        <w:t>distributions per year</w:t>
      </w:r>
      <w:r w:rsidR="00C86D38">
        <w:t xml:space="preserve"> (3,391 </w:t>
      </w:r>
      <w:r w:rsidR="00C859FC">
        <w:t>licensees</w:t>
      </w:r>
      <w:r w:rsidR="00C86D38">
        <w:t xml:space="preserve"> * 78 dis</w:t>
      </w:r>
      <w:r w:rsidR="003619CD">
        <w:t>tributions</w:t>
      </w:r>
      <w:r w:rsidR="00C86D38">
        <w:t>)</w:t>
      </w:r>
      <w:r w:rsidRPr="0029261D" w:rsidR="006F3CB3">
        <w:t xml:space="preserve">. </w:t>
      </w:r>
      <w:r w:rsidR="00000ABB">
        <w:t>E</w:t>
      </w:r>
      <w:r w:rsidRPr="0029261D">
        <w:t xml:space="preserve">ach </w:t>
      </w:r>
      <w:r w:rsidR="007D1C59">
        <w:t>respondent</w:t>
      </w:r>
      <w:r w:rsidRPr="0029261D">
        <w:t xml:space="preserve"> will </w:t>
      </w:r>
      <w:r w:rsidR="00000ABB">
        <w:t>take</w:t>
      </w:r>
      <w:r w:rsidRPr="0029261D" w:rsidR="00000ABB">
        <w:t xml:space="preserve"> </w:t>
      </w:r>
      <w:r w:rsidRPr="0029261D">
        <w:t xml:space="preserve">approximately </w:t>
      </w:r>
      <w:r w:rsidR="0094495B">
        <w:t>0.</w:t>
      </w:r>
      <w:r w:rsidR="00D851BD">
        <w:t>1667</w:t>
      </w:r>
      <w:r w:rsidRPr="0029261D" w:rsidR="0094495B">
        <w:t xml:space="preserve"> </w:t>
      </w:r>
      <w:r w:rsidR="00D851BD">
        <w:t>hours per dis</w:t>
      </w:r>
      <w:r w:rsidR="004475A5">
        <w:t>tribution</w:t>
      </w:r>
      <w:r w:rsidRPr="0029261D">
        <w:t xml:space="preserve"> </w:t>
      </w:r>
      <w:r w:rsidR="009D6D55">
        <w:t xml:space="preserve">to </w:t>
      </w:r>
      <w:r w:rsidR="00A75CF1">
        <w:t>collect the information,</w:t>
      </w:r>
      <w:r w:rsidR="00D851BD">
        <w:t xml:space="preserve"> for a total annual hourly burden of </w:t>
      </w:r>
      <w:r w:rsidR="008C154E">
        <w:t xml:space="preserve">13 hours </w:t>
      </w:r>
      <w:r w:rsidR="00A75CF1">
        <w:t xml:space="preserve">per </w:t>
      </w:r>
      <w:r w:rsidR="00DD7F51">
        <w:t>licensee</w:t>
      </w:r>
      <w:r w:rsidR="00A75CF1">
        <w:t xml:space="preserve"> </w:t>
      </w:r>
      <w:r w:rsidR="008C154E">
        <w:t>(</w:t>
      </w:r>
      <w:r w:rsidR="00EA33BB">
        <w:t xml:space="preserve">78 </w:t>
      </w:r>
      <w:r w:rsidR="00EA33BB">
        <w:t>dis</w:t>
      </w:r>
      <w:r w:rsidR="004475A5">
        <w:t>tributions</w:t>
      </w:r>
      <w:r w:rsidR="00EA33BB">
        <w:t xml:space="preserve"> * 0.16667 hours)</w:t>
      </w:r>
      <w:r w:rsidRPr="0029261D">
        <w:t>. The</w:t>
      </w:r>
      <w:r w:rsidR="00000ABB">
        <w:t>refore, the</w:t>
      </w:r>
      <w:r w:rsidRPr="0029261D">
        <w:t xml:space="preserve"> total annual burden hours associated </w:t>
      </w:r>
      <w:r w:rsidR="00DE210D">
        <w:t xml:space="preserve">with this information collection </w:t>
      </w:r>
      <w:r w:rsidRPr="0029261D">
        <w:t xml:space="preserve">is </w:t>
      </w:r>
      <w:r w:rsidR="00BA4133">
        <w:t>44,083</w:t>
      </w:r>
      <w:r w:rsidR="00DE210D">
        <w:t xml:space="preserve"> </w:t>
      </w:r>
      <w:r w:rsidR="00D94265">
        <w:t xml:space="preserve">hours (3,391 </w:t>
      </w:r>
      <w:r w:rsidR="00522EC7">
        <w:t>licensees</w:t>
      </w:r>
      <w:r w:rsidR="00D94265">
        <w:t xml:space="preserve"> </w:t>
      </w:r>
      <w:r w:rsidR="004B01AD">
        <w:t xml:space="preserve">* </w:t>
      </w:r>
      <w:r w:rsidR="00D94265">
        <w:t>13 hours</w:t>
      </w:r>
      <w:r w:rsidR="00522EC7">
        <w:t xml:space="preserve"> per licensee</w:t>
      </w:r>
      <w:r w:rsidR="00494D80">
        <w:t xml:space="preserve"> per year</w:t>
      </w:r>
      <w:r w:rsidR="004B01AD">
        <w:t>)</w:t>
      </w:r>
      <w:r w:rsidRPr="0029261D">
        <w:t>.</w:t>
      </w:r>
    </w:p>
    <w:p w:rsidR="006225D6" w:rsidP="00337DCC" w14:paraId="4CB6E765" w14:textId="77777777">
      <w:pPr>
        <w:spacing w:after="240"/>
        <w:ind w:left="1080"/>
      </w:pPr>
    </w:p>
    <w:tbl>
      <w:tblPr>
        <w:tblStyle w:val="TableGrid"/>
        <w:tblW w:w="9715" w:type="dxa"/>
        <w:jc w:val="center"/>
        <w:tblLook w:val="04A0"/>
      </w:tblPr>
      <w:tblGrid>
        <w:gridCol w:w="1883"/>
        <w:gridCol w:w="1355"/>
        <w:gridCol w:w="1219"/>
        <w:gridCol w:w="1121"/>
        <w:gridCol w:w="1053"/>
        <w:gridCol w:w="925"/>
        <w:gridCol w:w="889"/>
        <w:gridCol w:w="1270"/>
      </w:tblGrid>
      <w:tr w14:paraId="62B2E6CE" w14:textId="77777777" w:rsidTr="007650CC">
        <w:tblPrEx>
          <w:tblW w:w="9715" w:type="dxa"/>
          <w:jc w:val="center"/>
          <w:tblLook w:val="04A0"/>
        </w:tblPrEx>
        <w:trPr>
          <w:jc w:val="center"/>
        </w:trPr>
        <w:tc>
          <w:tcPr>
            <w:tcW w:w="1883" w:type="dxa"/>
            <w:shd w:val="clear" w:color="auto" w:fill="8DB3E2" w:themeFill="text2" w:themeFillTint="66"/>
          </w:tcPr>
          <w:p w:rsidR="001D2A6C" w:rsidRPr="008F47CB" w:rsidP="001D2A6C" w14:paraId="45F6600A" w14:textId="5F5B965C">
            <w:pPr>
              <w:spacing w:after="100" w:afterAutospacing="1"/>
              <w:rPr>
                <w:rFonts w:ascii="Times New Roman" w:hAnsi="Times New Roman"/>
                <w:b/>
                <w:sz w:val="22"/>
                <w:szCs w:val="22"/>
              </w:rPr>
            </w:pPr>
            <w:r w:rsidRPr="008F47CB">
              <w:rPr>
                <w:rFonts w:ascii="Times New Roman" w:hAnsi="Times New Roman"/>
                <w:b/>
                <w:sz w:val="22"/>
                <w:szCs w:val="22"/>
              </w:rPr>
              <w:t>Activity</w:t>
            </w:r>
          </w:p>
        </w:tc>
        <w:tc>
          <w:tcPr>
            <w:tcW w:w="1355" w:type="dxa"/>
            <w:shd w:val="clear" w:color="auto" w:fill="8DB3E2" w:themeFill="text2" w:themeFillTint="66"/>
          </w:tcPr>
          <w:p w:rsidR="001D2A6C" w:rsidRPr="008F47CB" w:rsidP="001D2A6C" w14:paraId="02CE74CA" w14:textId="0890CC96">
            <w:pPr>
              <w:spacing w:after="100" w:afterAutospacing="1"/>
              <w:rPr>
                <w:rFonts w:ascii="Times New Roman" w:hAnsi="Times New Roman"/>
                <w:b/>
                <w:sz w:val="22"/>
                <w:szCs w:val="22"/>
              </w:rPr>
            </w:pPr>
            <w:r w:rsidRPr="008F47CB">
              <w:rPr>
                <w:rFonts w:ascii="Times New Roman" w:hAnsi="Times New Roman"/>
                <w:b/>
                <w:sz w:val="22"/>
                <w:szCs w:val="22"/>
              </w:rPr>
              <w:t xml:space="preserve">Number of </w:t>
            </w:r>
            <w:r>
              <w:rPr>
                <w:rFonts w:ascii="Times New Roman" w:hAnsi="Times New Roman"/>
                <w:b/>
                <w:sz w:val="22"/>
                <w:szCs w:val="22"/>
              </w:rPr>
              <w:t>r</w:t>
            </w:r>
            <w:r w:rsidRPr="008F47CB">
              <w:rPr>
                <w:rFonts w:ascii="Times New Roman" w:hAnsi="Times New Roman"/>
                <w:b/>
                <w:sz w:val="22"/>
                <w:szCs w:val="22"/>
              </w:rPr>
              <w:t>espondents</w:t>
            </w:r>
          </w:p>
        </w:tc>
        <w:tc>
          <w:tcPr>
            <w:tcW w:w="1219" w:type="dxa"/>
            <w:shd w:val="clear" w:color="auto" w:fill="8DB3E2" w:themeFill="text2" w:themeFillTint="66"/>
          </w:tcPr>
          <w:p w:rsidR="001D2A6C" w:rsidRPr="008F47CB" w:rsidP="001D2A6C" w14:paraId="45632028" w14:textId="0394A50A">
            <w:pPr>
              <w:spacing w:after="100" w:afterAutospacing="1"/>
              <w:rPr>
                <w:rFonts w:ascii="Times New Roman" w:hAnsi="Times New Roman"/>
                <w:b/>
                <w:sz w:val="22"/>
                <w:szCs w:val="22"/>
              </w:rPr>
            </w:pPr>
            <w:r w:rsidRPr="008F47CB">
              <w:rPr>
                <w:rFonts w:ascii="Times New Roman" w:hAnsi="Times New Roman"/>
                <w:b/>
                <w:sz w:val="22"/>
                <w:szCs w:val="22"/>
              </w:rPr>
              <w:t>Frequency</w:t>
            </w:r>
          </w:p>
        </w:tc>
        <w:tc>
          <w:tcPr>
            <w:tcW w:w="1121" w:type="dxa"/>
            <w:shd w:val="clear" w:color="auto" w:fill="8DB3E2" w:themeFill="text2" w:themeFillTint="66"/>
          </w:tcPr>
          <w:p w:rsidR="001D2A6C" w:rsidRPr="008F47CB" w:rsidP="001D2A6C" w14:paraId="06D56FE9" w14:textId="30A316C1">
            <w:pPr>
              <w:spacing w:after="100" w:afterAutospacing="1"/>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r</w:t>
            </w:r>
            <w:r w:rsidRPr="008F47CB">
              <w:rPr>
                <w:rFonts w:ascii="Times New Roman" w:hAnsi="Times New Roman"/>
                <w:b/>
                <w:sz w:val="22"/>
                <w:szCs w:val="22"/>
              </w:rPr>
              <w:t>esponses</w:t>
            </w:r>
          </w:p>
        </w:tc>
        <w:tc>
          <w:tcPr>
            <w:tcW w:w="1053" w:type="dxa"/>
            <w:shd w:val="clear" w:color="auto" w:fill="8DB3E2" w:themeFill="text2" w:themeFillTint="66"/>
          </w:tcPr>
          <w:p w:rsidR="001D2A6C" w:rsidRPr="008F47CB" w:rsidP="001D2A6C" w14:paraId="4532EBCD" w14:textId="41F03A78">
            <w:pPr>
              <w:spacing w:after="100" w:afterAutospacing="1"/>
              <w:rPr>
                <w:rFonts w:ascii="Times New Roman" w:hAnsi="Times New Roman"/>
                <w:b/>
                <w:sz w:val="22"/>
                <w:szCs w:val="22"/>
              </w:rPr>
            </w:pPr>
            <w:r w:rsidRPr="008F47CB">
              <w:rPr>
                <w:rFonts w:ascii="Times New Roman" w:hAnsi="Times New Roman"/>
                <w:b/>
                <w:sz w:val="22"/>
                <w:szCs w:val="22"/>
              </w:rPr>
              <w:t xml:space="preserve">Time </w:t>
            </w:r>
            <w:r>
              <w:rPr>
                <w:rFonts w:ascii="Times New Roman" w:hAnsi="Times New Roman"/>
                <w:b/>
                <w:sz w:val="22"/>
                <w:szCs w:val="22"/>
              </w:rPr>
              <w:t>p</w:t>
            </w:r>
            <w:r w:rsidRPr="008F47CB">
              <w:rPr>
                <w:rFonts w:ascii="Times New Roman" w:hAnsi="Times New Roman"/>
                <w:b/>
                <w:sz w:val="22"/>
                <w:szCs w:val="22"/>
              </w:rPr>
              <w:t xml:space="preserve">er </w:t>
            </w:r>
            <w:r>
              <w:rPr>
                <w:rFonts w:ascii="Times New Roman" w:hAnsi="Times New Roman"/>
                <w:b/>
                <w:sz w:val="22"/>
                <w:szCs w:val="22"/>
              </w:rPr>
              <w:t>r</w:t>
            </w:r>
            <w:r w:rsidRPr="008F47CB">
              <w:rPr>
                <w:rFonts w:ascii="Times New Roman" w:hAnsi="Times New Roman"/>
                <w:b/>
                <w:sz w:val="22"/>
                <w:szCs w:val="22"/>
              </w:rPr>
              <w:t>esponse</w:t>
            </w:r>
          </w:p>
        </w:tc>
        <w:tc>
          <w:tcPr>
            <w:tcW w:w="925" w:type="dxa"/>
            <w:shd w:val="clear" w:color="auto" w:fill="8DB3E2" w:themeFill="text2" w:themeFillTint="66"/>
          </w:tcPr>
          <w:p w:rsidR="001D2A6C" w:rsidRPr="008F47CB" w:rsidP="001D2A6C" w14:paraId="4D8CED1D" w14:textId="6A51FEA7">
            <w:pPr>
              <w:spacing w:after="100" w:afterAutospacing="1"/>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b</w:t>
            </w:r>
            <w:r w:rsidRPr="008F47CB">
              <w:rPr>
                <w:rFonts w:ascii="Times New Roman" w:hAnsi="Times New Roman"/>
                <w:b/>
                <w:sz w:val="22"/>
                <w:szCs w:val="22"/>
              </w:rPr>
              <w:t>urden (</w:t>
            </w:r>
            <w:r>
              <w:rPr>
                <w:rFonts w:ascii="Times New Roman" w:hAnsi="Times New Roman"/>
                <w:b/>
                <w:sz w:val="22"/>
                <w:szCs w:val="22"/>
              </w:rPr>
              <w:t>h</w:t>
            </w:r>
            <w:r w:rsidRPr="008F47CB">
              <w:rPr>
                <w:rFonts w:ascii="Times New Roman" w:hAnsi="Times New Roman"/>
                <w:b/>
                <w:sz w:val="22"/>
                <w:szCs w:val="22"/>
              </w:rPr>
              <w:t>ours)</w:t>
            </w:r>
          </w:p>
        </w:tc>
        <w:tc>
          <w:tcPr>
            <w:tcW w:w="889" w:type="dxa"/>
            <w:shd w:val="clear" w:color="auto" w:fill="8DB3E2" w:themeFill="text2" w:themeFillTint="66"/>
          </w:tcPr>
          <w:p w:rsidR="001D2A6C" w:rsidRPr="008F47CB" w:rsidP="001D2A6C" w14:paraId="327162FA" w14:textId="6656EDD1">
            <w:pPr>
              <w:spacing w:after="100" w:afterAutospacing="1"/>
              <w:rPr>
                <w:rFonts w:ascii="Times New Roman" w:hAnsi="Times New Roman"/>
                <w:b/>
                <w:sz w:val="22"/>
                <w:szCs w:val="22"/>
              </w:rPr>
            </w:pPr>
            <w:r w:rsidRPr="008F47CB">
              <w:rPr>
                <w:rFonts w:ascii="Times New Roman" w:hAnsi="Times New Roman"/>
                <w:b/>
                <w:sz w:val="22"/>
                <w:szCs w:val="22"/>
              </w:rPr>
              <w:t xml:space="preserve">Hourly </w:t>
            </w:r>
            <w:r>
              <w:rPr>
                <w:rFonts w:ascii="Times New Roman" w:hAnsi="Times New Roman"/>
                <w:b/>
                <w:sz w:val="22"/>
                <w:szCs w:val="22"/>
              </w:rPr>
              <w:t>r</w:t>
            </w:r>
            <w:r w:rsidRPr="008F47CB">
              <w:rPr>
                <w:rFonts w:ascii="Times New Roman" w:hAnsi="Times New Roman"/>
                <w:b/>
                <w:sz w:val="22"/>
                <w:szCs w:val="22"/>
              </w:rPr>
              <w:t>ate</w:t>
            </w:r>
            <w:r>
              <w:rPr>
                <w:rStyle w:val="FootnoteReference"/>
                <w:rFonts w:ascii="Times New Roman" w:hAnsi="Times New Roman"/>
                <w:b/>
                <w:sz w:val="22"/>
                <w:szCs w:val="22"/>
              </w:rPr>
              <w:footnoteReference w:id="3"/>
            </w:r>
          </w:p>
        </w:tc>
        <w:tc>
          <w:tcPr>
            <w:tcW w:w="1270" w:type="dxa"/>
            <w:shd w:val="clear" w:color="auto" w:fill="8DB3E2" w:themeFill="text2" w:themeFillTint="66"/>
          </w:tcPr>
          <w:p w:rsidR="001D2A6C" w:rsidRPr="008F47CB" w:rsidP="001D2A6C" w14:paraId="42EEEACF" w14:textId="242B1DEB">
            <w:pPr>
              <w:spacing w:after="100" w:afterAutospacing="1"/>
              <w:rPr>
                <w:rFonts w:ascii="Times New Roman" w:hAnsi="Times New Roman"/>
                <w:b/>
                <w:sz w:val="22"/>
                <w:szCs w:val="22"/>
              </w:rPr>
            </w:pPr>
            <w:r w:rsidRPr="008F47CB">
              <w:rPr>
                <w:rFonts w:ascii="Times New Roman" w:hAnsi="Times New Roman"/>
                <w:b/>
                <w:sz w:val="22"/>
                <w:szCs w:val="22"/>
              </w:rPr>
              <w:t xml:space="preserve">Monetized </w:t>
            </w:r>
            <w:r>
              <w:rPr>
                <w:rFonts w:ascii="Times New Roman" w:hAnsi="Times New Roman"/>
                <w:b/>
                <w:sz w:val="22"/>
                <w:szCs w:val="22"/>
              </w:rPr>
              <w:t>v</w:t>
            </w:r>
            <w:r w:rsidRPr="008F47CB">
              <w:rPr>
                <w:rFonts w:ascii="Times New Roman" w:hAnsi="Times New Roman"/>
                <w:b/>
                <w:sz w:val="22"/>
                <w:szCs w:val="22"/>
              </w:rPr>
              <w:t xml:space="preserve">alue of </w:t>
            </w:r>
            <w:r>
              <w:rPr>
                <w:rFonts w:ascii="Times New Roman" w:hAnsi="Times New Roman"/>
                <w:b/>
                <w:sz w:val="22"/>
                <w:szCs w:val="22"/>
              </w:rPr>
              <w:t>r</w:t>
            </w:r>
            <w:r w:rsidRPr="008F47CB">
              <w:rPr>
                <w:rFonts w:ascii="Times New Roman" w:hAnsi="Times New Roman"/>
                <w:b/>
                <w:sz w:val="22"/>
                <w:szCs w:val="22"/>
              </w:rPr>
              <w:t xml:space="preserve">espondent </w:t>
            </w:r>
            <w:r>
              <w:rPr>
                <w:rFonts w:ascii="Times New Roman" w:hAnsi="Times New Roman"/>
                <w:b/>
                <w:sz w:val="22"/>
                <w:szCs w:val="22"/>
              </w:rPr>
              <w:t>t</w:t>
            </w:r>
            <w:r w:rsidRPr="008F47CB">
              <w:rPr>
                <w:rFonts w:ascii="Times New Roman" w:hAnsi="Times New Roman"/>
                <w:b/>
                <w:sz w:val="22"/>
                <w:szCs w:val="22"/>
              </w:rPr>
              <w:t>ime</w:t>
            </w:r>
          </w:p>
        </w:tc>
      </w:tr>
      <w:tr w14:paraId="0B1EA72B" w14:textId="77777777" w:rsidTr="007650CC">
        <w:tblPrEx>
          <w:tblW w:w="9715" w:type="dxa"/>
          <w:jc w:val="center"/>
          <w:tblLook w:val="04A0"/>
        </w:tblPrEx>
        <w:trPr>
          <w:jc w:val="center"/>
        </w:trPr>
        <w:tc>
          <w:tcPr>
            <w:tcW w:w="1883" w:type="dxa"/>
            <w:vAlign w:val="center"/>
          </w:tcPr>
          <w:p w:rsidR="006225D6" w:rsidRPr="003A7EB0" w14:paraId="044D645A" w14:textId="0FB10FE5">
            <w:pPr>
              <w:spacing w:after="100" w:afterAutospacing="1"/>
              <w:jc w:val="center"/>
              <w:rPr>
                <w:rFonts w:ascii="Times New Roman" w:hAnsi="Times New Roman" w:cs="Times New Roman"/>
                <w:sz w:val="20"/>
                <w:szCs w:val="20"/>
              </w:rPr>
            </w:pPr>
            <w:r>
              <w:rPr>
                <w:rFonts w:ascii="Times New Roman" w:hAnsi="Times New Roman" w:cs="Times New Roman"/>
                <w:sz w:val="20"/>
                <w:szCs w:val="20"/>
              </w:rPr>
              <w:t xml:space="preserve">Disposition </w:t>
            </w:r>
            <w:r w:rsidR="00393B61">
              <w:rPr>
                <w:rFonts w:ascii="Times New Roman" w:hAnsi="Times New Roman" w:cs="Times New Roman"/>
                <w:sz w:val="20"/>
                <w:szCs w:val="20"/>
              </w:rPr>
              <w:t>(</w:t>
            </w:r>
            <w:r w:rsidR="007B2903">
              <w:rPr>
                <w:rFonts w:ascii="Times New Roman" w:hAnsi="Times New Roman" w:cs="Times New Roman"/>
                <w:sz w:val="20"/>
                <w:szCs w:val="20"/>
              </w:rPr>
              <w:t>respondent</w:t>
            </w:r>
            <w:r w:rsidR="00393B61">
              <w:rPr>
                <w:rFonts w:ascii="Times New Roman" w:hAnsi="Times New Roman" w:cs="Times New Roman"/>
                <w:sz w:val="20"/>
                <w:szCs w:val="20"/>
              </w:rPr>
              <w:t>)</w:t>
            </w:r>
          </w:p>
        </w:tc>
        <w:tc>
          <w:tcPr>
            <w:tcW w:w="1355" w:type="dxa"/>
            <w:vAlign w:val="center"/>
          </w:tcPr>
          <w:p w:rsidR="006225D6" w:rsidRPr="003A7EB0" w14:paraId="280F794F" w14:textId="7DBFC6DA">
            <w:pPr>
              <w:spacing w:after="100" w:afterAutospacing="1"/>
              <w:jc w:val="center"/>
              <w:rPr>
                <w:rFonts w:ascii="Times New Roman" w:hAnsi="Times New Roman" w:cs="Times New Roman"/>
                <w:sz w:val="20"/>
                <w:szCs w:val="20"/>
              </w:rPr>
            </w:pPr>
            <w:r>
              <w:rPr>
                <w:rFonts w:ascii="Times New Roman" w:hAnsi="Times New Roman" w:cs="Times New Roman"/>
                <w:sz w:val="20"/>
                <w:szCs w:val="20"/>
              </w:rPr>
              <w:t>3,391</w:t>
            </w:r>
          </w:p>
        </w:tc>
        <w:tc>
          <w:tcPr>
            <w:tcW w:w="1219" w:type="dxa"/>
            <w:vAlign w:val="center"/>
          </w:tcPr>
          <w:p w:rsidR="006225D6" w:rsidRPr="003A7EB0" w14:paraId="74AD9068" w14:textId="540203F7">
            <w:pPr>
              <w:spacing w:after="100" w:afterAutospacing="1"/>
              <w:jc w:val="center"/>
              <w:rPr>
                <w:rFonts w:ascii="Times New Roman" w:hAnsi="Times New Roman" w:cs="Times New Roman"/>
                <w:sz w:val="20"/>
                <w:szCs w:val="20"/>
              </w:rPr>
            </w:pPr>
            <w:r>
              <w:rPr>
                <w:rFonts w:ascii="Times New Roman" w:hAnsi="Times New Roman" w:cs="Times New Roman"/>
                <w:sz w:val="20"/>
                <w:szCs w:val="20"/>
              </w:rPr>
              <w:t xml:space="preserve">78 </w:t>
            </w:r>
            <w:r w:rsidR="00494D80">
              <w:rPr>
                <w:rFonts w:ascii="Times New Roman" w:hAnsi="Times New Roman" w:cs="Times New Roman"/>
                <w:sz w:val="20"/>
                <w:szCs w:val="20"/>
              </w:rPr>
              <w:t>distributions</w:t>
            </w:r>
            <w:r>
              <w:rPr>
                <w:rFonts w:ascii="Times New Roman" w:hAnsi="Times New Roman" w:cs="Times New Roman"/>
                <w:sz w:val="20"/>
                <w:szCs w:val="20"/>
              </w:rPr>
              <w:t xml:space="preserve"> per year</w:t>
            </w:r>
          </w:p>
        </w:tc>
        <w:tc>
          <w:tcPr>
            <w:tcW w:w="1121" w:type="dxa"/>
            <w:vAlign w:val="center"/>
          </w:tcPr>
          <w:p w:rsidR="006225D6" w:rsidRPr="003A7EB0" w14:paraId="4189D546" w14:textId="68642EA7">
            <w:pPr>
              <w:spacing w:after="100" w:afterAutospacing="1"/>
              <w:jc w:val="center"/>
              <w:rPr>
                <w:rFonts w:ascii="Times New Roman" w:hAnsi="Times New Roman" w:cs="Times New Roman"/>
                <w:sz w:val="20"/>
                <w:szCs w:val="20"/>
              </w:rPr>
            </w:pPr>
            <w:r>
              <w:rPr>
                <w:rFonts w:ascii="Times New Roman" w:hAnsi="Times New Roman" w:cs="Times New Roman"/>
                <w:sz w:val="20"/>
                <w:szCs w:val="20"/>
              </w:rPr>
              <w:t>264,</w:t>
            </w:r>
            <w:r w:rsidR="00651548">
              <w:rPr>
                <w:rFonts w:ascii="Times New Roman" w:hAnsi="Times New Roman" w:cs="Times New Roman"/>
                <w:sz w:val="20"/>
                <w:szCs w:val="20"/>
              </w:rPr>
              <w:t>498</w:t>
            </w:r>
          </w:p>
        </w:tc>
        <w:tc>
          <w:tcPr>
            <w:tcW w:w="1053" w:type="dxa"/>
            <w:vAlign w:val="center"/>
          </w:tcPr>
          <w:p w:rsidR="006225D6" w:rsidRPr="003A7EB0" w14:paraId="5FC7C30F" w14:textId="027454A8">
            <w:pPr>
              <w:spacing w:after="100" w:afterAutospacing="1"/>
              <w:jc w:val="center"/>
              <w:rPr>
                <w:rFonts w:ascii="Times New Roman" w:hAnsi="Times New Roman" w:cs="Times New Roman"/>
                <w:sz w:val="20"/>
                <w:szCs w:val="20"/>
              </w:rPr>
            </w:pPr>
            <w:r w:rsidRPr="003A7EB0">
              <w:rPr>
                <w:rFonts w:ascii="Times New Roman" w:hAnsi="Times New Roman" w:cs="Times New Roman"/>
                <w:sz w:val="20"/>
                <w:szCs w:val="20"/>
              </w:rPr>
              <w:t>0.16</w:t>
            </w:r>
            <w:r>
              <w:rPr>
                <w:rFonts w:ascii="Times New Roman" w:hAnsi="Times New Roman" w:cs="Times New Roman"/>
                <w:sz w:val="20"/>
                <w:szCs w:val="20"/>
              </w:rPr>
              <w:t>6</w:t>
            </w:r>
            <w:r w:rsidRPr="003A7EB0">
              <w:rPr>
                <w:rFonts w:ascii="Times New Roman" w:hAnsi="Times New Roman" w:cs="Times New Roman"/>
                <w:sz w:val="20"/>
                <w:szCs w:val="20"/>
              </w:rPr>
              <w:t>7</w:t>
            </w:r>
          </w:p>
        </w:tc>
        <w:tc>
          <w:tcPr>
            <w:tcW w:w="925" w:type="dxa"/>
            <w:vAlign w:val="center"/>
          </w:tcPr>
          <w:p w:rsidR="006225D6" w:rsidRPr="003A7EB0" w14:paraId="0D92EE1E" w14:textId="69BFCF0A">
            <w:pPr>
              <w:spacing w:after="100" w:afterAutospacing="1"/>
              <w:jc w:val="center"/>
              <w:rPr>
                <w:rFonts w:ascii="Times New Roman" w:hAnsi="Times New Roman" w:cs="Times New Roman"/>
                <w:sz w:val="20"/>
                <w:szCs w:val="20"/>
              </w:rPr>
            </w:pPr>
            <w:r>
              <w:rPr>
                <w:rFonts w:ascii="Times New Roman" w:hAnsi="Times New Roman" w:cs="Times New Roman"/>
                <w:sz w:val="20"/>
                <w:szCs w:val="20"/>
              </w:rPr>
              <w:t>44,083</w:t>
            </w:r>
          </w:p>
        </w:tc>
        <w:tc>
          <w:tcPr>
            <w:tcW w:w="889" w:type="dxa"/>
            <w:vAlign w:val="center"/>
          </w:tcPr>
          <w:p w:rsidR="006225D6" w:rsidRPr="003A7EB0" w14:paraId="58C5BC4E" w14:textId="451CD2DF">
            <w:pPr>
              <w:spacing w:after="100" w:afterAutospacing="1"/>
              <w:jc w:val="center"/>
              <w:rPr>
                <w:rFonts w:ascii="Times New Roman" w:hAnsi="Times New Roman" w:cs="Times New Roman"/>
                <w:sz w:val="20"/>
                <w:szCs w:val="20"/>
              </w:rPr>
            </w:pPr>
            <w:r w:rsidRPr="003A7EB0">
              <w:rPr>
                <w:rFonts w:ascii="Times New Roman" w:hAnsi="Times New Roman" w:cs="Times New Roman"/>
                <w:sz w:val="20"/>
                <w:szCs w:val="20"/>
              </w:rPr>
              <w:t>$</w:t>
            </w:r>
            <w:r w:rsidR="00E45F72">
              <w:rPr>
                <w:rFonts w:ascii="Times New Roman" w:hAnsi="Times New Roman" w:cs="Times New Roman"/>
                <w:sz w:val="20"/>
                <w:szCs w:val="20"/>
              </w:rPr>
              <w:t>45</w:t>
            </w:r>
          </w:p>
        </w:tc>
        <w:tc>
          <w:tcPr>
            <w:tcW w:w="1270" w:type="dxa"/>
            <w:shd w:val="clear" w:color="auto" w:fill="auto"/>
            <w:vAlign w:val="center"/>
          </w:tcPr>
          <w:p w:rsidR="006225D6" w:rsidRPr="003A7EB0" w14:paraId="34D5DA26" w14:textId="1394CB4F">
            <w:pPr>
              <w:spacing w:after="100" w:afterAutospacing="1"/>
              <w:jc w:val="center"/>
              <w:rPr>
                <w:rFonts w:ascii="Times New Roman" w:hAnsi="Times New Roman" w:cs="Times New Roman"/>
                <w:sz w:val="20"/>
                <w:szCs w:val="20"/>
              </w:rPr>
            </w:pPr>
            <w:r w:rsidRPr="00577406">
              <w:rPr>
                <w:rFonts w:ascii="Times New Roman" w:hAnsi="Times New Roman" w:cs="Times New Roman"/>
                <w:sz w:val="20"/>
                <w:szCs w:val="20"/>
              </w:rPr>
              <w:t>$</w:t>
            </w:r>
            <w:r w:rsidR="00984D90">
              <w:rPr>
                <w:rFonts w:ascii="Times New Roman" w:hAnsi="Times New Roman" w:cs="Times New Roman"/>
                <w:sz w:val="20"/>
                <w:szCs w:val="20"/>
              </w:rPr>
              <w:t>1,983,</w:t>
            </w:r>
            <w:r w:rsidR="001C4F75">
              <w:rPr>
                <w:rFonts w:ascii="Times New Roman" w:hAnsi="Times New Roman" w:cs="Times New Roman"/>
                <w:sz w:val="20"/>
                <w:szCs w:val="20"/>
              </w:rPr>
              <w:t>735</w:t>
            </w:r>
          </w:p>
        </w:tc>
      </w:tr>
      <w:tr w14:paraId="71EA5F35" w14:textId="77777777" w:rsidTr="007650CC">
        <w:tblPrEx>
          <w:tblW w:w="9715" w:type="dxa"/>
          <w:jc w:val="center"/>
          <w:tblLook w:val="04A0"/>
        </w:tblPrEx>
        <w:trPr>
          <w:jc w:val="center"/>
        </w:trPr>
        <w:tc>
          <w:tcPr>
            <w:tcW w:w="1883" w:type="dxa"/>
            <w:vAlign w:val="bottom"/>
          </w:tcPr>
          <w:p w:rsidR="006225D6" w:rsidRPr="003A7EB0" w14:paraId="31FFDB6A" w14:textId="77777777">
            <w:pPr>
              <w:spacing w:after="100" w:afterAutospacing="1"/>
              <w:jc w:val="right"/>
              <w:rPr>
                <w:rFonts w:ascii="Times New Roman" w:hAnsi="Times New Roman" w:cs="Times New Roman"/>
                <w:sz w:val="20"/>
                <w:szCs w:val="20"/>
              </w:rPr>
            </w:pPr>
          </w:p>
        </w:tc>
        <w:tc>
          <w:tcPr>
            <w:tcW w:w="1355" w:type="dxa"/>
            <w:vAlign w:val="bottom"/>
          </w:tcPr>
          <w:p w:rsidR="006225D6" w:rsidRPr="003A7EB0" w14:paraId="3F912D3A" w14:textId="77777777">
            <w:pPr>
              <w:spacing w:after="100" w:afterAutospacing="1"/>
              <w:jc w:val="right"/>
              <w:rPr>
                <w:rFonts w:ascii="Times New Roman" w:hAnsi="Times New Roman" w:cs="Times New Roman"/>
                <w:sz w:val="20"/>
                <w:szCs w:val="20"/>
              </w:rPr>
            </w:pPr>
          </w:p>
        </w:tc>
        <w:tc>
          <w:tcPr>
            <w:tcW w:w="1219" w:type="dxa"/>
            <w:vAlign w:val="bottom"/>
          </w:tcPr>
          <w:p w:rsidR="006225D6" w:rsidRPr="003A7EB0" w14:paraId="3F80DAFE" w14:textId="77777777">
            <w:pPr>
              <w:spacing w:after="100" w:afterAutospacing="1"/>
              <w:jc w:val="right"/>
              <w:rPr>
                <w:rFonts w:ascii="Times New Roman" w:hAnsi="Times New Roman" w:cs="Times New Roman"/>
                <w:sz w:val="20"/>
                <w:szCs w:val="20"/>
              </w:rPr>
            </w:pPr>
          </w:p>
        </w:tc>
        <w:tc>
          <w:tcPr>
            <w:tcW w:w="1121" w:type="dxa"/>
            <w:vAlign w:val="bottom"/>
          </w:tcPr>
          <w:p w:rsidR="006225D6" w:rsidRPr="003A7EB0" w14:paraId="4D5E22B5" w14:textId="77777777">
            <w:pPr>
              <w:spacing w:after="100" w:afterAutospacing="1"/>
              <w:jc w:val="right"/>
              <w:rPr>
                <w:rFonts w:ascii="Times New Roman" w:hAnsi="Times New Roman" w:cs="Times New Roman"/>
                <w:sz w:val="20"/>
                <w:szCs w:val="20"/>
              </w:rPr>
            </w:pPr>
          </w:p>
        </w:tc>
        <w:tc>
          <w:tcPr>
            <w:tcW w:w="1053" w:type="dxa"/>
            <w:vAlign w:val="bottom"/>
          </w:tcPr>
          <w:p w:rsidR="006225D6" w:rsidRPr="003A7EB0" w14:paraId="2F664AD4" w14:textId="77777777">
            <w:pPr>
              <w:spacing w:after="100" w:afterAutospacing="1"/>
              <w:jc w:val="right"/>
              <w:rPr>
                <w:rFonts w:ascii="Times New Roman" w:hAnsi="Times New Roman" w:cs="Times New Roman"/>
                <w:sz w:val="20"/>
                <w:szCs w:val="20"/>
              </w:rPr>
            </w:pPr>
          </w:p>
        </w:tc>
        <w:tc>
          <w:tcPr>
            <w:tcW w:w="925" w:type="dxa"/>
            <w:vAlign w:val="bottom"/>
          </w:tcPr>
          <w:p w:rsidR="006225D6" w:rsidRPr="003A7EB0" w14:paraId="02516F07" w14:textId="77777777">
            <w:pPr>
              <w:spacing w:after="100" w:afterAutospacing="1"/>
              <w:jc w:val="right"/>
              <w:rPr>
                <w:rFonts w:ascii="Times New Roman" w:hAnsi="Times New Roman" w:cs="Times New Roman"/>
                <w:sz w:val="20"/>
                <w:szCs w:val="20"/>
              </w:rPr>
            </w:pPr>
          </w:p>
        </w:tc>
        <w:tc>
          <w:tcPr>
            <w:tcW w:w="889" w:type="dxa"/>
            <w:vAlign w:val="bottom"/>
          </w:tcPr>
          <w:p w:rsidR="006225D6" w:rsidRPr="003A7EB0" w14:paraId="091D0203" w14:textId="77777777">
            <w:pPr>
              <w:spacing w:after="100" w:afterAutospacing="1"/>
              <w:jc w:val="right"/>
              <w:rPr>
                <w:rFonts w:ascii="Times New Roman" w:hAnsi="Times New Roman" w:cs="Times New Roman"/>
                <w:sz w:val="20"/>
                <w:szCs w:val="20"/>
              </w:rPr>
            </w:pPr>
          </w:p>
        </w:tc>
        <w:tc>
          <w:tcPr>
            <w:tcW w:w="1270" w:type="dxa"/>
            <w:shd w:val="clear" w:color="auto" w:fill="auto"/>
            <w:vAlign w:val="bottom"/>
          </w:tcPr>
          <w:p w:rsidR="006225D6" w:rsidRPr="003A7EB0" w14:paraId="38E2F5D9" w14:textId="77777777">
            <w:pPr>
              <w:spacing w:after="100" w:afterAutospacing="1"/>
              <w:jc w:val="right"/>
              <w:rPr>
                <w:rFonts w:ascii="Times New Roman" w:hAnsi="Times New Roman" w:cs="Times New Roman"/>
                <w:sz w:val="20"/>
                <w:szCs w:val="20"/>
              </w:rPr>
            </w:pPr>
          </w:p>
        </w:tc>
      </w:tr>
      <w:tr w14:paraId="665A8091" w14:textId="77777777" w:rsidTr="007650CC">
        <w:tblPrEx>
          <w:tblW w:w="9715" w:type="dxa"/>
          <w:jc w:val="center"/>
          <w:tblLook w:val="04A0"/>
        </w:tblPrEx>
        <w:trPr>
          <w:jc w:val="center"/>
        </w:trPr>
        <w:tc>
          <w:tcPr>
            <w:tcW w:w="1883" w:type="dxa"/>
            <w:vAlign w:val="center"/>
          </w:tcPr>
          <w:p w:rsidR="006225D6" w:rsidRPr="003A7EB0" w14:paraId="3A8080F5" w14:textId="77777777">
            <w:pPr>
              <w:spacing w:after="100" w:afterAutospacing="1"/>
              <w:jc w:val="center"/>
              <w:rPr>
                <w:rFonts w:ascii="Times New Roman" w:hAnsi="Times New Roman" w:cs="Times New Roman"/>
                <w:b/>
                <w:i/>
                <w:sz w:val="20"/>
                <w:szCs w:val="20"/>
              </w:rPr>
            </w:pPr>
            <w:r w:rsidRPr="003A7EB0">
              <w:rPr>
                <w:rFonts w:ascii="Times New Roman" w:hAnsi="Times New Roman" w:cs="Times New Roman"/>
                <w:b/>
                <w:i/>
                <w:sz w:val="20"/>
                <w:szCs w:val="20"/>
              </w:rPr>
              <w:t>Unduplicated totals</w:t>
            </w:r>
          </w:p>
        </w:tc>
        <w:tc>
          <w:tcPr>
            <w:tcW w:w="1355" w:type="dxa"/>
            <w:vAlign w:val="center"/>
          </w:tcPr>
          <w:p w:rsidR="006225D6" w:rsidRPr="003A7EB0" w14:paraId="6EDFFB43" w14:textId="27BFBDBF">
            <w:pPr>
              <w:spacing w:after="100" w:afterAutospacing="1"/>
              <w:jc w:val="center"/>
              <w:rPr>
                <w:rFonts w:ascii="Times New Roman" w:hAnsi="Times New Roman" w:cs="Times New Roman"/>
                <w:b/>
                <w:i/>
                <w:sz w:val="20"/>
                <w:szCs w:val="20"/>
              </w:rPr>
            </w:pPr>
            <w:r>
              <w:rPr>
                <w:rFonts w:ascii="Times New Roman" w:hAnsi="Times New Roman" w:cs="Times New Roman"/>
                <w:b/>
                <w:i/>
                <w:sz w:val="20"/>
                <w:szCs w:val="20"/>
              </w:rPr>
              <w:t>3,391</w:t>
            </w:r>
          </w:p>
        </w:tc>
        <w:tc>
          <w:tcPr>
            <w:tcW w:w="1219" w:type="dxa"/>
            <w:vAlign w:val="center"/>
          </w:tcPr>
          <w:p w:rsidR="006225D6" w:rsidRPr="003A7EB0" w14:paraId="21B72563" w14:textId="77777777">
            <w:pPr>
              <w:spacing w:after="100" w:afterAutospacing="1"/>
              <w:jc w:val="center"/>
              <w:rPr>
                <w:rFonts w:ascii="Times New Roman" w:hAnsi="Times New Roman" w:cs="Times New Roman"/>
                <w:b/>
                <w:i/>
                <w:sz w:val="20"/>
                <w:szCs w:val="20"/>
              </w:rPr>
            </w:pPr>
          </w:p>
        </w:tc>
        <w:tc>
          <w:tcPr>
            <w:tcW w:w="1121" w:type="dxa"/>
            <w:vAlign w:val="center"/>
          </w:tcPr>
          <w:p w:rsidR="006225D6" w:rsidRPr="003A7EB0" w14:paraId="0A221E1C" w14:textId="1109FEB0">
            <w:pPr>
              <w:spacing w:after="100" w:afterAutospacing="1"/>
              <w:jc w:val="center"/>
              <w:rPr>
                <w:rFonts w:ascii="Times New Roman" w:hAnsi="Times New Roman" w:cs="Times New Roman"/>
                <w:b/>
                <w:i/>
                <w:sz w:val="20"/>
                <w:szCs w:val="20"/>
              </w:rPr>
            </w:pPr>
            <w:r>
              <w:rPr>
                <w:rFonts w:ascii="Times New Roman" w:hAnsi="Times New Roman" w:cs="Times New Roman"/>
                <w:b/>
                <w:i/>
                <w:sz w:val="20"/>
                <w:szCs w:val="20"/>
              </w:rPr>
              <w:t>264,498</w:t>
            </w:r>
          </w:p>
        </w:tc>
        <w:tc>
          <w:tcPr>
            <w:tcW w:w="1053" w:type="dxa"/>
            <w:vAlign w:val="center"/>
          </w:tcPr>
          <w:p w:rsidR="006225D6" w:rsidRPr="003A7EB0" w14:paraId="59E9D52A" w14:textId="77777777">
            <w:pPr>
              <w:spacing w:after="100" w:afterAutospacing="1"/>
              <w:jc w:val="center"/>
              <w:rPr>
                <w:rFonts w:ascii="Times New Roman" w:hAnsi="Times New Roman" w:cs="Times New Roman"/>
                <w:b/>
                <w:i/>
                <w:sz w:val="20"/>
                <w:szCs w:val="20"/>
              </w:rPr>
            </w:pPr>
          </w:p>
        </w:tc>
        <w:tc>
          <w:tcPr>
            <w:tcW w:w="925" w:type="dxa"/>
            <w:vAlign w:val="center"/>
          </w:tcPr>
          <w:p w:rsidR="006225D6" w:rsidRPr="003A7EB0" w14:paraId="7AA3808D" w14:textId="240AB24D">
            <w:pPr>
              <w:spacing w:after="100" w:afterAutospacing="1"/>
              <w:jc w:val="center"/>
              <w:rPr>
                <w:rFonts w:ascii="Times New Roman" w:hAnsi="Times New Roman" w:cs="Times New Roman"/>
                <w:b/>
                <w:i/>
                <w:sz w:val="20"/>
                <w:szCs w:val="20"/>
              </w:rPr>
            </w:pPr>
            <w:r>
              <w:rPr>
                <w:rFonts w:ascii="Times New Roman" w:hAnsi="Times New Roman" w:cs="Times New Roman"/>
                <w:sz w:val="20"/>
                <w:szCs w:val="20"/>
              </w:rPr>
              <w:t>44,083</w:t>
            </w:r>
          </w:p>
        </w:tc>
        <w:tc>
          <w:tcPr>
            <w:tcW w:w="889" w:type="dxa"/>
            <w:vAlign w:val="center"/>
          </w:tcPr>
          <w:p w:rsidR="006225D6" w:rsidRPr="003A7EB0" w14:paraId="6D878852" w14:textId="4A7A855C">
            <w:pPr>
              <w:spacing w:after="100" w:afterAutospacing="1"/>
              <w:jc w:val="center"/>
              <w:rPr>
                <w:rFonts w:ascii="Times New Roman" w:hAnsi="Times New Roman" w:cs="Times New Roman"/>
                <w:b/>
                <w:i/>
                <w:sz w:val="20"/>
                <w:szCs w:val="20"/>
              </w:rPr>
            </w:pPr>
            <w:r w:rsidRPr="003A7EB0">
              <w:rPr>
                <w:rFonts w:ascii="Times New Roman" w:hAnsi="Times New Roman" w:cs="Times New Roman"/>
                <w:sz w:val="20"/>
                <w:szCs w:val="20"/>
              </w:rPr>
              <w:t>$</w:t>
            </w:r>
            <w:r w:rsidR="00E45F72">
              <w:rPr>
                <w:rFonts w:ascii="Times New Roman" w:hAnsi="Times New Roman" w:cs="Times New Roman"/>
                <w:sz w:val="20"/>
                <w:szCs w:val="20"/>
              </w:rPr>
              <w:t>45</w:t>
            </w:r>
          </w:p>
        </w:tc>
        <w:tc>
          <w:tcPr>
            <w:tcW w:w="1270" w:type="dxa"/>
            <w:shd w:val="clear" w:color="auto" w:fill="auto"/>
            <w:vAlign w:val="center"/>
          </w:tcPr>
          <w:p w:rsidR="006225D6" w:rsidRPr="00F1405F" w14:paraId="0385AF99" w14:textId="4BB18C53">
            <w:pPr>
              <w:spacing w:after="100" w:afterAutospacing="1"/>
              <w:jc w:val="center"/>
              <w:rPr>
                <w:rFonts w:ascii="Times New Roman" w:hAnsi="Times New Roman" w:cs="Times New Roman"/>
                <w:sz w:val="20"/>
                <w:szCs w:val="20"/>
              </w:rPr>
            </w:pPr>
            <w:r w:rsidRPr="00577406">
              <w:rPr>
                <w:rFonts w:ascii="Times New Roman" w:hAnsi="Times New Roman" w:cs="Times New Roman"/>
                <w:sz w:val="20"/>
                <w:szCs w:val="20"/>
              </w:rPr>
              <w:t>$</w:t>
            </w:r>
            <w:r w:rsidR="00D95E4B">
              <w:rPr>
                <w:rFonts w:ascii="Times New Roman" w:hAnsi="Times New Roman" w:cs="Times New Roman"/>
                <w:sz w:val="20"/>
                <w:szCs w:val="20"/>
              </w:rPr>
              <w:t>1,983,735</w:t>
            </w:r>
          </w:p>
        </w:tc>
      </w:tr>
    </w:tbl>
    <w:p w:rsidR="006225D6" w:rsidRPr="0029261D" w:rsidP="00337DCC" w14:paraId="5968FCC6" w14:textId="759031B9">
      <w:pPr>
        <w:spacing w:after="240"/>
        <w:ind w:left="1080"/>
      </w:pPr>
    </w:p>
    <w:p w:rsidR="003A0B2E" w:rsidRPr="00746F5B" w:rsidP="003A0B2E" w14:paraId="5C1F1F34" w14:textId="534BB24B">
      <w:pPr>
        <w:pStyle w:val="ListParagraph"/>
        <w:numPr>
          <w:ilvl w:val="0"/>
          <w:numId w:val="2"/>
        </w:numPr>
        <w:spacing w:after="100" w:afterAutospacing="1"/>
        <w:contextualSpacing w:val="0"/>
        <w:rPr>
          <w:u w:val="single"/>
        </w:rPr>
      </w:pPr>
      <w:r w:rsidRPr="00746F5B">
        <w:rPr>
          <w:b/>
        </w:rPr>
        <w:t>Provide an estimate of the total annual cost burden to respondents or record</w:t>
      </w:r>
      <w:r>
        <w:rPr>
          <w:b/>
        </w:rPr>
        <w:t>-</w:t>
      </w:r>
      <w:r w:rsidRPr="00746F5B">
        <w:rPr>
          <w:b/>
        </w:rPr>
        <w:t xml:space="preserve">keepers resulting from the </w:t>
      </w:r>
      <w:r>
        <w:rPr>
          <w:b/>
        </w:rPr>
        <w:t>information collection</w:t>
      </w:r>
      <w:r w:rsidRPr="00746F5B">
        <w:rPr>
          <w:b/>
        </w:rPr>
        <w:t>.</w:t>
      </w:r>
      <w:r w:rsidR="0006272E">
        <w:rPr>
          <w:b/>
        </w:rPr>
        <w:t xml:space="preserve"> </w:t>
      </w:r>
      <w:r w:rsidRPr="00746F5B">
        <w:rPr>
          <w:b/>
        </w:rPr>
        <w:t>(Do not include the cost of any hour burden shown in Items 12 and 14).</w:t>
      </w:r>
    </w:p>
    <w:p w:rsidR="009F5477" w:rsidRPr="0029261D" w:rsidP="00020201" w14:paraId="5DD55543" w14:textId="50488907">
      <w:pPr>
        <w:spacing w:after="240"/>
      </w:pPr>
      <w:r>
        <w:t xml:space="preserve">There are no additional costs </w:t>
      </w:r>
      <w:r w:rsidR="0085214D">
        <w:t>associated with this information collection</w:t>
      </w:r>
      <w:r>
        <w:t>.</w:t>
      </w:r>
    </w:p>
    <w:p w:rsidR="00271C5D" w:rsidRPr="00271C5D" w:rsidP="00271C5D" w14:paraId="0A93FC9A" w14:textId="77777777">
      <w:pPr>
        <w:pStyle w:val="ListParagraph"/>
        <w:numPr>
          <w:ilvl w:val="0"/>
          <w:numId w:val="2"/>
        </w:numPr>
        <w:spacing w:after="100" w:afterAutospacing="1"/>
        <w:contextualSpacing w:val="0"/>
        <w:rPr>
          <w:u w:val="single"/>
        </w:rPr>
      </w:pPr>
      <w:bookmarkStart w:id="1" w:name="_Hlk77323851"/>
      <w:r w:rsidRPr="00D53DEB">
        <w:rPr>
          <w:b/>
          <w:bCs/>
        </w:rPr>
        <w:t xml:space="preserve">Provide estimates of the annualized cost to the </w:t>
      </w:r>
      <w:r w:rsidR="0085214D">
        <w:rPr>
          <w:b/>
          <w:bCs/>
        </w:rPr>
        <w:t>f</w:t>
      </w:r>
      <w:r w:rsidRPr="00D53DEB">
        <w:rPr>
          <w:b/>
          <w:bCs/>
        </w:rPr>
        <w:t xml:space="preserve">ederal </w:t>
      </w:r>
      <w:r w:rsidR="0085214D">
        <w:rPr>
          <w:b/>
          <w:bCs/>
        </w:rPr>
        <w:t>g</w:t>
      </w:r>
      <w:r w:rsidRPr="00D53DEB">
        <w:rPr>
          <w:b/>
          <w:bCs/>
        </w:rPr>
        <w:t>overnment.</w:t>
      </w:r>
    </w:p>
    <w:p w:rsidR="00AC744D" w:rsidP="00271C5D" w14:paraId="6C3A99CE" w14:textId="74045CC5">
      <w:pPr>
        <w:spacing w:after="100" w:afterAutospacing="1"/>
      </w:pPr>
      <w:r>
        <w:t xml:space="preserve">Respondents to this ICR </w:t>
      </w:r>
      <w:r w:rsidR="008429CC">
        <w:t>d</w:t>
      </w:r>
      <w:r>
        <w:t xml:space="preserve">o not provide the required information to ATF. As a result, this ICR does not </w:t>
      </w:r>
      <w:r>
        <w:t xml:space="preserve">involve a direct cost to the federal government. </w:t>
      </w:r>
    </w:p>
    <w:p w:rsidR="00D52BFF" w:rsidP="00271C5D" w14:paraId="4561B7E5" w14:textId="77777777">
      <w:pPr>
        <w:spacing w:after="100" w:afterAutospacing="1"/>
      </w:pPr>
      <w:r>
        <w:t xml:space="preserve">However, ATF does conduct periodic </w:t>
      </w:r>
      <w:r w:rsidR="006670E0">
        <w:t xml:space="preserve">compliance </w:t>
      </w:r>
      <w:r>
        <w:t>inspections of licensee/permittee op</w:t>
      </w:r>
      <w:r w:rsidR="0010574C">
        <w:t>e</w:t>
      </w:r>
      <w:r>
        <w:t>rations</w:t>
      </w:r>
      <w:r w:rsidR="0010574C">
        <w:t>, which includes inspecting records the licensee/permittee is required to collect and retain on their premises</w:t>
      </w:r>
      <w:r w:rsidR="00977449">
        <w:t xml:space="preserve">. As a result, a portion of these inspections can be attributed as an indirect cost of to the government from this information collection. </w:t>
      </w:r>
    </w:p>
    <w:p w:rsidR="008B4202" w:rsidP="00271C5D" w14:paraId="0888AA1D" w14:textId="63903884">
      <w:pPr>
        <w:spacing w:after="100" w:afterAutospacing="1"/>
      </w:pPr>
      <w:r>
        <w:t xml:space="preserve">ATF estimates that approximately </w:t>
      </w:r>
      <w:r w:rsidR="00607AB6">
        <w:t>0.1667 hours</w:t>
      </w:r>
      <w:r w:rsidR="00D26C69">
        <w:t xml:space="preserve"> of inspection time per distribution would be spent ascertaining that the licensee</w:t>
      </w:r>
      <w:r w:rsidR="000E7A64">
        <w:t>/permittee</w:t>
      </w:r>
      <w:r w:rsidR="00D26C69">
        <w:t xml:space="preserve"> collected the information required by this ICR. </w:t>
      </w:r>
      <w:r w:rsidR="000E7A64">
        <w:t xml:space="preserve">ATF estimates an average of 78 distributions per licensee annually. </w:t>
      </w:r>
      <w:r w:rsidR="00031F1D">
        <w:t xml:space="preserve">Based on ATF internal database records, there are approximately 9,164 licensees/permittees and ATF inspects approximately 8 percent of them </w:t>
      </w:r>
      <w:r w:rsidR="00031F1D">
        <w:t>in a given year</w:t>
      </w:r>
      <w:r w:rsidR="00031F1D">
        <w:t>, resulting in 733 compliance inspections (733 = 9,164 * 0.08).</w:t>
      </w:r>
      <w:r w:rsidR="008C3C73">
        <w:t xml:space="preserve"> </w:t>
      </w:r>
      <w:r w:rsidR="00DD6F16">
        <w:t xml:space="preserve">At </w:t>
      </w:r>
      <w:r w:rsidR="00607AB6">
        <w:t>0.1667 hours</w:t>
      </w:r>
      <w:r w:rsidR="00DD6F16">
        <w:t xml:space="preserve"> of inspection time per distribution</w:t>
      </w:r>
      <w:r w:rsidR="000E7A64">
        <w:t xml:space="preserve">, </w:t>
      </w:r>
      <w:r w:rsidR="00DD6F16">
        <w:t>the</w:t>
      </w:r>
      <w:r w:rsidR="000E7A64">
        <w:t xml:space="preserve"> total annual hourly burden </w:t>
      </w:r>
      <w:r w:rsidR="00DD6F16">
        <w:t>to the government would be</w:t>
      </w:r>
      <w:r w:rsidR="00270D3B">
        <w:t xml:space="preserve"> 123,902 hours</w:t>
      </w:r>
      <w:r w:rsidR="000E7A64">
        <w:t xml:space="preserve"> (78 distributions * </w:t>
      </w:r>
      <w:r w:rsidR="000E7A64">
        <w:t>0.</w:t>
      </w:r>
      <w:r w:rsidR="00607AB6">
        <w:t>1667</w:t>
      </w:r>
      <w:r w:rsidR="000E7A64">
        <w:t xml:space="preserve"> hours</w:t>
      </w:r>
      <w:r w:rsidR="006853EC">
        <w:t xml:space="preserve"> per distribution = </w:t>
      </w:r>
      <w:r w:rsidR="00607AB6">
        <w:t>13</w:t>
      </w:r>
      <w:r w:rsidR="00B214B3">
        <w:t xml:space="preserve"> hours inspecting per licensee</w:t>
      </w:r>
      <w:r w:rsidR="00607AB6">
        <w:t xml:space="preserve"> * 733 licensees inspected = </w:t>
      </w:r>
      <w:r w:rsidR="00270D3B">
        <w:t>123,902 hours</w:t>
      </w:r>
      <w:r w:rsidR="000E7A64">
        <w:t>)</w:t>
      </w:r>
      <w:r w:rsidRPr="0029261D" w:rsidR="000E7A64">
        <w:t>.</w:t>
      </w:r>
    </w:p>
    <w:p w:rsidR="00820118" w:rsidP="00EF4A1F" w14:paraId="32C552D8" w14:textId="38F2F8ED">
      <w:pPr>
        <w:spacing w:after="100" w:afterAutospacing="1"/>
      </w:pPr>
      <w:r>
        <w:t>ATF estimates that an inspecting IOI would be a GS-13, step 5 at an hourly rate of $64.06.</w:t>
      </w:r>
      <w:r>
        <w:rPr>
          <w:rStyle w:val="FootnoteReference"/>
        </w:rPr>
        <w:footnoteReference w:id="4"/>
      </w:r>
      <w:r w:rsidR="00EF4A1F">
        <w:t xml:space="preserve"> </w:t>
      </w:r>
      <w:r w:rsidR="00D34DC0">
        <w:t xml:space="preserve">Based on </w:t>
      </w:r>
      <w:r w:rsidR="00F34A82">
        <w:t>research performed by the Congressional Budget Office (CBO), f</w:t>
      </w:r>
      <w:r w:rsidR="00B75CDD">
        <w:t xml:space="preserve">ederal benefits </w:t>
      </w:r>
      <w:r w:rsidR="007C4F6E">
        <w:t xml:space="preserve">(federal load rate) </w:t>
      </w:r>
      <w:r w:rsidR="00B75CDD">
        <w:t>for a</w:t>
      </w:r>
      <w:r w:rsidR="00D34DC0">
        <w:t xml:space="preserve">n </w:t>
      </w:r>
      <w:r w:rsidR="00E7175A">
        <w:t>IOI would be</w:t>
      </w:r>
      <w:r w:rsidR="005D454B">
        <w:t xml:space="preserve"> </w:t>
      </w:r>
      <w:r w:rsidR="00F42703">
        <w:t xml:space="preserve">1.66 </w:t>
      </w:r>
      <w:r w:rsidR="005A4A54">
        <w:t xml:space="preserve">(1.66 federal load rate = </w:t>
      </w:r>
      <w:r w:rsidR="002A66D5">
        <w:t>1.42 * 0.17). Applying the federal load rate</w:t>
      </w:r>
      <w:r w:rsidR="00016F99">
        <w:t xml:space="preserve"> of 1.66 to the hourly rate </w:t>
      </w:r>
      <w:r w:rsidR="00B579E5">
        <w:t xml:space="preserve">results in </w:t>
      </w:r>
      <w:r w:rsidR="00CF23C5">
        <w:t>loaded hourly</w:t>
      </w:r>
      <w:r w:rsidR="00B579E5">
        <w:t xml:space="preserve"> wage rate </w:t>
      </w:r>
      <w:r w:rsidR="00016F99">
        <w:t xml:space="preserve">of </w:t>
      </w:r>
      <w:r w:rsidR="003A5331">
        <w:t>$106.34 (</w:t>
      </w:r>
      <w:r w:rsidR="00D94BF5">
        <w:t>$64.06 hourly wage for a GS-13, Step 5 * 1.66).</w:t>
      </w:r>
    </w:p>
    <w:bookmarkEnd w:id="1"/>
    <w:p w:rsidR="00665646" w:rsidRPr="0029261D" w:rsidP="00A35074" w14:paraId="05E8481A" w14:textId="16BFB8FB">
      <w:pPr>
        <w:spacing w:after="240"/>
      </w:pPr>
      <w:r>
        <w:t>Therefore, the</w:t>
      </w:r>
      <w:r w:rsidR="00AF593F">
        <w:t xml:space="preserve"> </w:t>
      </w:r>
      <w:r>
        <w:t xml:space="preserve">estimated </w:t>
      </w:r>
      <w:r w:rsidR="00AF593F">
        <w:t xml:space="preserve">annual federal cost to perform compliance inspections </w:t>
      </w:r>
      <w:r w:rsidR="00E661A4">
        <w:t>attributed to this ICR is</w:t>
      </w:r>
      <w:r>
        <w:t xml:space="preserve"> </w:t>
      </w:r>
      <w:r w:rsidR="00AF593F">
        <w:t>$</w:t>
      </w:r>
      <w:r w:rsidR="0030477D">
        <w:t>13,175,739</w:t>
      </w:r>
      <w:r w:rsidR="00E6079B">
        <w:t xml:space="preserve"> (</w:t>
      </w:r>
      <w:r w:rsidR="003B03AB">
        <w:t xml:space="preserve">$106.34 loaded hourly wage rate * </w:t>
      </w:r>
      <w:r w:rsidR="00FD765B">
        <w:t>123,902 hours inspecting</w:t>
      </w:r>
      <w:r w:rsidR="00FB4964">
        <w:t>)</w:t>
      </w:r>
      <w:r w:rsidR="003B03AB">
        <w:t>.</w:t>
      </w:r>
    </w:p>
    <w:p w:rsidR="00322AC4" w:rsidRPr="007B0CBB" w:rsidP="00322AC4" w14:paraId="5D618E36" w14:textId="77777777">
      <w:pPr>
        <w:pStyle w:val="ListParagraph"/>
        <w:numPr>
          <w:ilvl w:val="0"/>
          <w:numId w:val="2"/>
        </w:numPr>
        <w:spacing w:after="100" w:afterAutospacing="1"/>
        <w:contextualSpacing w:val="0"/>
        <w:rPr>
          <w:rStyle w:val="Emphasis"/>
        </w:rPr>
      </w:pPr>
      <w:r w:rsidRPr="00D53DEB">
        <w:rPr>
          <w:b/>
          <w:bCs/>
        </w:rPr>
        <w:t>Explain the reasons for any program changes or adjustments</w:t>
      </w:r>
      <w:r w:rsidRPr="00A47DA7">
        <w:rPr>
          <w:b/>
          <w:bCs/>
        </w:rPr>
        <w:t>.</w:t>
      </w:r>
    </w:p>
    <w:p w:rsidR="009F5477" w:rsidRPr="0029261D" w:rsidP="00020201" w14:paraId="2A5AB71B" w14:textId="2FA72886">
      <w:pPr>
        <w:spacing w:after="240"/>
      </w:pPr>
      <w:r w:rsidRPr="0029261D">
        <w:t>The</w:t>
      </w:r>
      <w:r w:rsidR="00DF191E">
        <w:t xml:space="preserve"> adjustments associated with this collection include a decrease in the total respondents and responses to this collection from </w:t>
      </w:r>
      <w:r w:rsidR="00F747DC">
        <w:t>46,500</w:t>
      </w:r>
      <w:r w:rsidR="00817F92">
        <w:t xml:space="preserve"> in 2021</w:t>
      </w:r>
      <w:r w:rsidR="00DF191E">
        <w:t xml:space="preserve">, to </w:t>
      </w:r>
      <w:r w:rsidR="00923CF7">
        <w:t>3,391</w:t>
      </w:r>
      <w:r w:rsidR="00DF191E">
        <w:t xml:space="preserve"> </w:t>
      </w:r>
      <w:r w:rsidR="00393748">
        <w:t>currently</w:t>
      </w:r>
      <w:r w:rsidR="00DF191E">
        <w:t xml:space="preserve">. </w:t>
      </w:r>
      <w:r w:rsidR="00240063">
        <w:t xml:space="preserve">In addition, </w:t>
      </w:r>
      <w:r w:rsidR="00DF191E">
        <w:t xml:space="preserve">the total burden hours for this collection </w:t>
      </w:r>
      <w:r w:rsidR="00240063">
        <w:t>increased</w:t>
      </w:r>
      <w:r w:rsidR="00F747DC">
        <w:t xml:space="preserve"> </w:t>
      </w:r>
      <w:r w:rsidR="00DF191E">
        <w:t>from 2</w:t>
      </w:r>
      <w:r w:rsidR="00F747DC">
        <w:t>3,250</w:t>
      </w:r>
      <w:r w:rsidR="00DF191E">
        <w:t xml:space="preserve"> hours in 20</w:t>
      </w:r>
      <w:r w:rsidR="00F747DC">
        <w:t>21</w:t>
      </w:r>
      <w:r w:rsidR="00DF191E">
        <w:t xml:space="preserve"> to </w:t>
      </w:r>
      <w:r w:rsidR="000C2665">
        <w:t>44,083</w:t>
      </w:r>
      <w:r w:rsidR="00172A14">
        <w:t xml:space="preserve"> hours</w:t>
      </w:r>
      <w:r w:rsidR="00DF191E">
        <w:t xml:space="preserve"> in 202</w:t>
      </w:r>
      <w:r w:rsidR="00F747DC">
        <w:t>4</w:t>
      </w:r>
      <w:r w:rsidR="00112B87">
        <w:t>,</w:t>
      </w:r>
      <w:r w:rsidR="00DF191E">
        <w:t xml:space="preserve"> due to </w:t>
      </w:r>
      <w:r w:rsidR="00172A14">
        <w:t>a change in methodology for determining hourly burdens</w:t>
      </w:r>
      <w:r w:rsidR="00DF191E">
        <w:t>.</w:t>
      </w:r>
      <w:r w:rsidR="00ED4B76">
        <w:t xml:space="preserve"> And ATF also calculated the monetized cost of the hourly burden in this renewal, which is had not included before, </w:t>
      </w:r>
      <w:r w:rsidR="0025135C">
        <w:t>and which is $</w:t>
      </w:r>
      <w:r w:rsidR="00ED4B76">
        <w:t>1,983,735</w:t>
      </w:r>
      <w:r w:rsidR="0025135C">
        <w:t>.</w:t>
      </w:r>
    </w:p>
    <w:p w:rsidR="006E41FA" w:rsidRPr="007B0CBB" w:rsidP="006E41FA" w14:paraId="6A2A2177" w14:textId="6D5F95B9">
      <w:pPr>
        <w:pStyle w:val="ListParagraph"/>
        <w:numPr>
          <w:ilvl w:val="0"/>
          <w:numId w:val="2"/>
        </w:numPr>
        <w:spacing w:after="100" w:afterAutospacing="1"/>
        <w:contextualSpacing w:val="0"/>
        <w:rPr>
          <w:rStyle w:val="Emphasis"/>
        </w:rPr>
      </w:pPr>
      <w:r w:rsidRPr="00D53DEB">
        <w:rPr>
          <w:b/>
          <w:bCs/>
        </w:rPr>
        <w:t xml:space="preserve">For </w:t>
      </w:r>
      <w:r>
        <w:rPr>
          <w:b/>
          <w:bCs/>
        </w:rPr>
        <w:t>information collections</w:t>
      </w:r>
      <w:r w:rsidRPr="00D53DEB">
        <w:rPr>
          <w:b/>
          <w:bCs/>
        </w:rPr>
        <w:t xml:space="preserve"> whose results will be published, outline plans for tabulations and publication</w:t>
      </w:r>
      <w:r w:rsidRPr="00D53DEB">
        <w:t>.</w:t>
      </w:r>
    </w:p>
    <w:p w:rsidR="00A35074" w:rsidP="00B918ED" w14:paraId="29E42927" w14:textId="77777777">
      <w:pPr>
        <w:spacing w:after="240"/>
        <w:ind w:left="1080" w:hanging="1080"/>
      </w:pPr>
      <w:r w:rsidRPr="0029261D">
        <w:t>The results of this collection will not be published.</w:t>
      </w:r>
    </w:p>
    <w:p w:rsidR="001A27BD" w:rsidRPr="00A35074" w:rsidP="00A35074" w14:paraId="3FEA6FCB" w14:textId="65C3F6E9">
      <w:pPr>
        <w:pStyle w:val="ListParagraph"/>
        <w:numPr>
          <w:ilvl w:val="0"/>
          <w:numId w:val="2"/>
        </w:numPr>
        <w:spacing w:after="240"/>
        <w:rPr>
          <w:rStyle w:val="Emphasis"/>
          <w:u w:val="none"/>
        </w:rPr>
      </w:pPr>
      <w:r w:rsidRPr="00A35074">
        <w:rPr>
          <w:b/>
          <w:bCs/>
        </w:rPr>
        <w:t>If seeking approval to not display the expiration date for OMB approval of the information collection, explain the reasons that display would be inappropriate.</w:t>
      </w:r>
    </w:p>
    <w:p w:rsidR="00A27D20" w:rsidRPr="0029261D" w:rsidP="00A35074" w14:paraId="71360CEB" w14:textId="363682A8">
      <w:pPr>
        <w:spacing w:after="240"/>
      </w:pPr>
      <w:r>
        <w:t xml:space="preserve">This information collection does not involve a form or other collection instrument upon which ATF could display the expiration date.  </w:t>
      </w:r>
      <w:r w:rsidR="004110A5">
        <w:t>Distributors</w:t>
      </w:r>
      <w:r w:rsidR="008B43E9">
        <w:t xml:space="preserve"> collect the information </w:t>
      </w:r>
      <w:r w:rsidR="004110A5">
        <w:t>in the</w:t>
      </w:r>
      <w:r w:rsidR="0006272E">
        <w:t xml:space="preserve"> </w:t>
      </w:r>
      <w:r w:rsidR="004110A5">
        <w:t xml:space="preserve">form of lists, sometimes emailed, </w:t>
      </w:r>
      <w:r w:rsidR="00BE3973">
        <w:t xml:space="preserve">photocopies or scans, and notes. </w:t>
      </w:r>
      <w:r w:rsidR="0000406B">
        <w:t>As a result, ATF is not able to display an expiration date</w:t>
      </w:r>
      <w:r>
        <w:t>.</w:t>
      </w:r>
    </w:p>
    <w:p w:rsidR="007D357E" w:rsidRPr="0060369B" w:rsidP="00337DCC" w14:paraId="438AA2B3" w14:textId="1AF64D65">
      <w:pPr>
        <w:numPr>
          <w:ilvl w:val="0"/>
          <w:numId w:val="2"/>
        </w:numPr>
        <w:spacing w:after="240"/>
        <w:rPr>
          <w:b/>
          <w:bCs/>
        </w:rPr>
      </w:pPr>
      <w:r w:rsidRPr="0060369B">
        <w:rPr>
          <w:b/>
          <w:bCs/>
        </w:rPr>
        <w:t>Explain each exception to the certification statement</w:t>
      </w:r>
      <w:r w:rsidRPr="0060369B" w:rsidR="00277591">
        <w:rPr>
          <w:b/>
          <w:bCs/>
        </w:rPr>
        <w:t>.</w:t>
      </w:r>
    </w:p>
    <w:p w:rsidR="00B45470" w:rsidRPr="002D5468" w:rsidP="004A5272" w14:paraId="1D4BFEC4" w14:textId="5B6C2B13">
      <w:pPr>
        <w:spacing w:after="240"/>
      </w:pPr>
      <w:r>
        <w:t>This information collection does not include any exceptions to the cert</w:t>
      </w:r>
      <w:r w:rsidR="005915EC">
        <w:t>ification statement</w:t>
      </w:r>
      <w:r w:rsidR="002D5468">
        <w:t>.</w:t>
      </w:r>
    </w:p>
    <w:p w:rsidR="00785F37" w:rsidRPr="00785F37" w:rsidP="00A35074" w14:paraId="25DD4B50" w14:textId="77777777">
      <w:pPr>
        <w:spacing w:after="240"/>
        <w:outlineLvl w:val="0"/>
        <w:rPr>
          <w:b/>
          <w:bCs/>
        </w:rPr>
      </w:pPr>
      <w:r w:rsidRPr="00785F37">
        <w:rPr>
          <w:b/>
          <w:bCs/>
        </w:rPr>
        <w:t>B. COLLECTIONS OF INFORMATON EMPLOYING STATISTICAL METHODS.</w:t>
      </w:r>
    </w:p>
    <w:p w:rsidR="001A6390" w:rsidRPr="00337DCC" w:rsidP="00A35074" w14:paraId="6B604BF3" w14:textId="155207B1">
      <w:pPr>
        <w:spacing w:after="100" w:afterAutospacing="1"/>
      </w:pPr>
      <w:r>
        <w:t>This information collection does not employ statistical methods.</w:t>
      </w:r>
    </w:p>
    <w:sectPr w:rsidSect="00E531DE">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5F2" w:rsidP="000235AA" w14:paraId="053D55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65F2" w14:paraId="1CFBF4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5F2" w:rsidP="000235AA" w14:paraId="348A6B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C88">
      <w:rPr>
        <w:rStyle w:val="PageNumber"/>
        <w:noProof/>
      </w:rPr>
      <w:t>2</w:t>
    </w:r>
    <w:r>
      <w:rPr>
        <w:rStyle w:val="PageNumber"/>
      </w:rPr>
      <w:fldChar w:fldCharType="end"/>
    </w:r>
  </w:p>
  <w:p w:rsidR="00E665F2" w14:paraId="3D5C11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0DC6" w14:paraId="15F41710" w14:textId="77777777">
      <w:r>
        <w:separator/>
      </w:r>
    </w:p>
  </w:footnote>
  <w:footnote w:type="continuationSeparator" w:id="1">
    <w:p w:rsidR="009E0DC6" w14:paraId="490D5F7E" w14:textId="77777777">
      <w:r>
        <w:continuationSeparator/>
      </w:r>
    </w:p>
  </w:footnote>
  <w:footnote w:type="continuationNotice" w:id="2">
    <w:p w:rsidR="009E0DC6" w14:paraId="47DBF586" w14:textId="77777777"/>
  </w:footnote>
  <w:footnote w:id="3">
    <w:p w:rsidR="003D707B" w14:paraId="2FEE5866" w14:textId="48FFAEF0">
      <w:pPr>
        <w:pStyle w:val="FootnoteText"/>
      </w:pPr>
      <w:r>
        <w:rPr>
          <w:rStyle w:val="FootnoteReference"/>
        </w:rPr>
        <w:footnoteRef/>
      </w:r>
      <w:r>
        <w:t xml:space="preserve"> </w:t>
      </w:r>
      <w:r w:rsidRPr="003D707B">
        <w:rPr>
          <w:bCs/>
        </w:rPr>
        <w:t xml:space="preserve">The </w:t>
      </w:r>
      <w:r w:rsidRPr="003D707B">
        <w:t>mean hourly wage for Explosives Workers, Ordinance Handling Experts, and Blasters (47-5032) is $31.54</w:t>
      </w:r>
      <w:r w:rsidR="00286CB1">
        <w:t xml:space="preserve"> (see </w:t>
      </w:r>
      <w:r w:rsidRPr="00D910AF" w:rsidR="00D910AF">
        <w:t>https://www.bls.gov/oes/current/oes475032.htm</w:t>
      </w:r>
      <w:r w:rsidR="00286CB1">
        <w:t>)</w:t>
      </w:r>
      <w:r w:rsidRPr="003D707B">
        <w:t>.</w:t>
      </w:r>
      <w:r w:rsidR="00D910AF">
        <w:t xml:space="preserve"> </w:t>
      </w:r>
      <w:r w:rsidRPr="003D707B">
        <w:t xml:space="preserve">To account for fringe benefits such as insurance, </w:t>
      </w:r>
      <w:r w:rsidR="00286CB1">
        <w:t>ATF</w:t>
      </w:r>
      <w:r w:rsidRPr="003D707B">
        <w:t xml:space="preserve"> estimated a private sector load rate by calculating private sector benefits from the B</w:t>
      </w:r>
      <w:r w:rsidR="00286CB1">
        <w:t>ureau of Labor Statistics</w:t>
      </w:r>
      <w:r w:rsidRPr="003D707B">
        <w:t xml:space="preserve"> </w:t>
      </w:r>
      <w:r w:rsidR="009B780C">
        <w:t>(</w:t>
      </w:r>
      <w:r w:rsidRPr="009B780C" w:rsidR="009B780C">
        <w:t xml:space="preserve">Database for Employee Compensation, </w:t>
      </w:r>
      <w:r w:rsidRPr="00D910AF" w:rsidR="00D910AF">
        <w:t>https://data.bls.gov/cgi-bin/srgate</w:t>
      </w:r>
      <w:r w:rsidR="009B780C">
        <w:t>)</w:t>
      </w:r>
      <w:r w:rsidR="00D910AF">
        <w:t xml:space="preserve"> </w:t>
      </w:r>
      <w:r w:rsidRPr="003D707B">
        <w:t>and determined that the overall private sector benefits are 41.8 percent in addition to an hourly wage, or a load rate of 1.418.</w:t>
      </w:r>
      <w:r w:rsidR="00D910AF">
        <w:t xml:space="preserve"> </w:t>
      </w:r>
      <w:r w:rsidRPr="003D707B">
        <w:t>This brings the $31.54 wage to a loaded wage rate of $44.72</w:t>
      </w:r>
      <w:r w:rsidR="00097A4D">
        <w:t>, rounded to $45</w:t>
      </w:r>
      <w:r w:rsidRPr="003D707B">
        <w:t xml:space="preserve">. </w:t>
      </w:r>
    </w:p>
  </w:footnote>
  <w:footnote w:id="4">
    <w:p w:rsidR="00CB437C" w:rsidP="00CB437C" w14:paraId="07A752F5" w14:textId="77777777">
      <w:pPr>
        <w:pStyle w:val="FootnoteText"/>
      </w:pPr>
      <w:r>
        <w:rPr>
          <w:rStyle w:val="FootnoteReference"/>
        </w:rPr>
        <w:footnoteRef/>
      </w:r>
      <w:r>
        <w:t xml:space="preserve"> </w:t>
      </w:r>
      <w:r w:rsidRPr="00B75CDD">
        <w:t>https://www.opm.gov/policy-data-oversight/pay-leave/salaries-wages/salary-tables/pdf/2024/DCB_h.pdf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EE1" w:rsidRPr="005C57E8" w14:paraId="2432E00F" w14:textId="05263A1F">
    <w:pPr>
      <w:pStyle w:val="Header"/>
      <w:rPr>
        <w:sz w:val="20"/>
        <w:szCs w:val="20"/>
      </w:rPr>
    </w:pPr>
    <w:r w:rsidRPr="005C57E8">
      <w:rPr>
        <w:sz w:val="20"/>
        <w:szCs w:val="20"/>
      </w:rPr>
      <w:t xml:space="preserve">Transactions Among Licensee/Permittees and </w:t>
    </w:r>
  </w:p>
  <w:p w:rsidR="00E86426" w:rsidRPr="005C57E8" w14:paraId="088582E8" w14:textId="7E9C334D">
    <w:pPr>
      <w:pStyle w:val="Header"/>
      <w:rPr>
        <w:sz w:val="20"/>
        <w:szCs w:val="20"/>
      </w:rPr>
    </w:pPr>
    <w:r w:rsidRPr="005C57E8">
      <w:rPr>
        <w:sz w:val="20"/>
        <w:szCs w:val="20"/>
      </w:rPr>
      <w:t>Transactions Among Licensees and Holders of User Permits</w:t>
    </w:r>
  </w:p>
  <w:p w:rsidR="00011A0D" w:rsidRPr="005C57E8" w14:paraId="0E065516" w14:textId="450DC727">
    <w:pPr>
      <w:pStyle w:val="Header"/>
      <w:rPr>
        <w:sz w:val="20"/>
        <w:szCs w:val="20"/>
      </w:rPr>
    </w:pPr>
    <w:r w:rsidRPr="005C57E8">
      <w:rPr>
        <w:sz w:val="20"/>
        <w:szCs w:val="20"/>
      </w:rPr>
      <w:t xml:space="preserve">OMB Control Number </w:t>
    </w:r>
    <w:r w:rsidRPr="005C57E8" w:rsidR="0050146F">
      <w:rPr>
        <w:sz w:val="20"/>
        <w:szCs w:val="20"/>
      </w:rPr>
      <w:t>1140-0079</w:t>
    </w:r>
  </w:p>
  <w:p w:rsidR="00F51F75" w:rsidRPr="005C57E8" w14:paraId="2F51CD66" w14:textId="41AE7926">
    <w:pPr>
      <w:pStyle w:val="Header"/>
      <w:rPr>
        <w:sz w:val="20"/>
        <w:szCs w:val="20"/>
      </w:rPr>
    </w:pPr>
    <w:r w:rsidRPr="005C57E8">
      <w:rPr>
        <w:sz w:val="20"/>
        <w:szCs w:val="20"/>
      </w:rPr>
      <w:t>OMB Expiration Date:</w:t>
    </w:r>
    <w:r w:rsidRPr="005C57E8" w:rsidR="00DD0136">
      <w:rPr>
        <w:sz w:val="20"/>
        <w:szCs w:val="20"/>
      </w:rPr>
      <w:t xml:space="preserve"> </w:t>
    </w:r>
    <w:r w:rsidRPr="005C57E8" w:rsidR="00161AF4">
      <w:rPr>
        <w:sz w:val="20"/>
        <w:szCs w:val="20"/>
      </w:rPr>
      <w:t>0</w:t>
    </w:r>
    <w:r w:rsidRPr="005C57E8" w:rsidR="004112E0">
      <w:rPr>
        <w:sz w:val="20"/>
        <w:szCs w:val="20"/>
      </w:rPr>
      <w:t>3</w:t>
    </w:r>
    <w:r w:rsidRPr="005C57E8" w:rsidR="004D76A3">
      <w:rPr>
        <w:sz w:val="20"/>
        <w:szCs w:val="20"/>
      </w:rPr>
      <w:t>/31/2025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7F492E"/>
    <w:multiLevelType w:val="hybridMultilevel"/>
    <w:tmpl w:val="2D4C3D6C"/>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1A55775D"/>
    <w:multiLevelType w:val="hybridMultilevel"/>
    <w:tmpl w:val="DB8637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8A69B0"/>
    <w:multiLevelType w:val="hybridMultilevel"/>
    <w:tmpl w:val="A0A693E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3D07C54"/>
    <w:multiLevelType w:val="hybridMultilevel"/>
    <w:tmpl w:val="76A64C92"/>
    <w:lvl w:ilvl="0">
      <w:start w:val="1"/>
      <w:numFmt w:val="decimal"/>
      <w:lvlText w:val="%1."/>
      <w:lvlJc w:val="left"/>
      <w:pPr>
        <w:tabs>
          <w:tab w:val="num" w:pos="0"/>
        </w:tabs>
        <w:ind w:left="360" w:hanging="360"/>
      </w:pPr>
      <w:rPr>
        <w:rFonts w:hint="default"/>
        <w:b/>
        <w:bCs/>
      </w:rPr>
    </w:lvl>
    <w:lvl w:ilvl="1">
      <w:start w:val="2"/>
      <w:numFmt w:val="upperLetter"/>
      <w:lvlText w:val="%2."/>
      <w:lvlJc w:val="left"/>
      <w:pPr>
        <w:tabs>
          <w:tab w:val="num" w:pos="1815"/>
        </w:tabs>
        <w:ind w:left="1815" w:hanging="73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756682B"/>
    <w:multiLevelType w:val="hybridMultilevel"/>
    <w:tmpl w:val="2C96FA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941884823">
    <w:abstractNumId w:val="2"/>
  </w:num>
  <w:num w:numId="2" w16cid:durableId="1662007824">
    <w:abstractNumId w:val="3"/>
  </w:num>
  <w:num w:numId="3" w16cid:durableId="34165881">
    <w:abstractNumId w:val="4"/>
  </w:num>
  <w:num w:numId="4" w16cid:durableId="476995053">
    <w:abstractNumId w:val="1"/>
  </w:num>
  <w:num w:numId="5" w16cid:durableId="135017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27"/>
    <w:rsid w:val="00000ABB"/>
    <w:rsid w:val="00003097"/>
    <w:rsid w:val="0000406B"/>
    <w:rsid w:val="00011123"/>
    <w:rsid w:val="00011733"/>
    <w:rsid w:val="00011A0D"/>
    <w:rsid w:val="0001286D"/>
    <w:rsid w:val="00016F99"/>
    <w:rsid w:val="000177C7"/>
    <w:rsid w:val="00020201"/>
    <w:rsid w:val="00021D9E"/>
    <w:rsid w:val="000235AA"/>
    <w:rsid w:val="00026585"/>
    <w:rsid w:val="00031F1D"/>
    <w:rsid w:val="00040DBF"/>
    <w:rsid w:val="0004774C"/>
    <w:rsid w:val="00052FD2"/>
    <w:rsid w:val="0006272E"/>
    <w:rsid w:val="0006519B"/>
    <w:rsid w:val="000675A4"/>
    <w:rsid w:val="00070BAB"/>
    <w:rsid w:val="00073ADB"/>
    <w:rsid w:val="00074A19"/>
    <w:rsid w:val="00074C89"/>
    <w:rsid w:val="0009733F"/>
    <w:rsid w:val="00097A4D"/>
    <w:rsid w:val="000B670A"/>
    <w:rsid w:val="000C2665"/>
    <w:rsid w:val="000C3F58"/>
    <w:rsid w:val="000C7683"/>
    <w:rsid w:val="000E46D7"/>
    <w:rsid w:val="000E6524"/>
    <w:rsid w:val="000E7A64"/>
    <w:rsid w:val="000F41E0"/>
    <w:rsid w:val="0010300C"/>
    <w:rsid w:val="00103111"/>
    <w:rsid w:val="00105163"/>
    <w:rsid w:val="001053DF"/>
    <w:rsid w:val="0010574C"/>
    <w:rsid w:val="00105A5E"/>
    <w:rsid w:val="00107CD3"/>
    <w:rsid w:val="00111283"/>
    <w:rsid w:val="00112B87"/>
    <w:rsid w:val="00112C88"/>
    <w:rsid w:val="0011668E"/>
    <w:rsid w:val="001178FE"/>
    <w:rsid w:val="00122BE5"/>
    <w:rsid w:val="00126EE6"/>
    <w:rsid w:val="00126EED"/>
    <w:rsid w:val="0013259A"/>
    <w:rsid w:val="0013778F"/>
    <w:rsid w:val="0014060B"/>
    <w:rsid w:val="00141D14"/>
    <w:rsid w:val="00150433"/>
    <w:rsid w:val="00150FEE"/>
    <w:rsid w:val="00151A2C"/>
    <w:rsid w:val="00152C91"/>
    <w:rsid w:val="00157CB2"/>
    <w:rsid w:val="00161AF4"/>
    <w:rsid w:val="0016310E"/>
    <w:rsid w:val="00163E9A"/>
    <w:rsid w:val="00164123"/>
    <w:rsid w:val="00172806"/>
    <w:rsid w:val="00172A14"/>
    <w:rsid w:val="0017602D"/>
    <w:rsid w:val="0018028E"/>
    <w:rsid w:val="00180A3F"/>
    <w:rsid w:val="00180EE5"/>
    <w:rsid w:val="00181344"/>
    <w:rsid w:val="00181827"/>
    <w:rsid w:val="00190C0C"/>
    <w:rsid w:val="00193A1A"/>
    <w:rsid w:val="00195607"/>
    <w:rsid w:val="001A27BD"/>
    <w:rsid w:val="001A6390"/>
    <w:rsid w:val="001A6947"/>
    <w:rsid w:val="001B299B"/>
    <w:rsid w:val="001B3477"/>
    <w:rsid w:val="001B35A8"/>
    <w:rsid w:val="001B5977"/>
    <w:rsid w:val="001C4F75"/>
    <w:rsid w:val="001C5BEB"/>
    <w:rsid w:val="001D2A6C"/>
    <w:rsid w:val="001D4E2A"/>
    <w:rsid w:val="001E0F72"/>
    <w:rsid w:val="001E2CB0"/>
    <w:rsid w:val="001E338B"/>
    <w:rsid w:val="001F1996"/>
    <w:rsid w:val="001F1CF7"/>
    <w:rsid w:val="001F25A2"/>
    <w:rsid w:val="001F3B3A"/>
    <w:rsid w:val="001F5070"/>
    <w:rsid w:val="001F6432"/>
    <w:rsid w:val="0020274B"/>
    <w:rsid w:val="00211799"/>
    <w:rsid w:val="00212655"/>
    <w:rsid w:val="00215192"/>
    <w:rsid w:val="00216544"/>
    <w:rsid w:val="002207E1"/>
    <w:rsid w:val="0022309F"/>
    <w:rsid w:val="002241B9"/>
    <w:rsid w:val="00226477"/>
    <w:rsid w:val="00235EBC"/>
    <w:rsid w:val="00236788"/>
    <w:rsid w:val="00237CA6"/>
    <w:rsid w:val="00240063"/>
    <w:rsid w:val="00241063"/>
    <w:rsid w:val="002453EC"/>
    <w:rsid w:val="002467F5"/>
    <w:rsid w:val="0024689F"/>
    <w:rsid w:val="00247ADF"/>
    <w:rsid w:val="00247D56"/>
    <w:rsid w:val="0025135C"/>
    <w:rsid w:val="00251506"/>
    <w:rsid w:val="0025286D"/>
    <w:rsid w:val="002569F5"/>
    <w:rsid w:val="00256B63"/>
    <w:rsid w:val="00260AAF"/>
    <w:rsid w:val="00262612"/>
    <w:rsid w:val="002637BA"/>
    <w:rsid w:val="00270D3B"/>
    <w:rsid w:val="00271C5D"/>
    <w:rsid w:val="002726EB"/>
    <w:rsid w:val="00277591"/>
    <w:rsid w:val="00286CB1"/>
    <w:rsid w:val="00286F69"/>
    <w:rsid w:val="0029261D"/>
    <w:rsid w:val="00293F40"/>
    <w:rsid w:val="00296865"/>
    <w:rsid w:val="002A32F4"/>
    <w:rsid w:val="002A5E5C"/>
    <w:rsid w:val="002A66D5"/>
    <w:rsid w:val="002B170A"/>
    <w:rsid w:val="002B5393"/>
    <w:rsid w:val="002B7D2F"/>
    <w:rsid w:val="002C3986"/>
    <w:rsid w:val="002C5CFD"/>
    <w:rsid w:val="002D13AA"/>
    <w:rsid w:val="002D41E5"/>
    <w:rsid w:val="002D5468"/>
    <w:rsid w:val="002E0AC2"/>
    <w:rsid w:val="002E4AD1"/>
    <w:rsid w:val="002E6AC0"/>
    <w:rsid w:val="002F5369"/>
    <w:rsid w:val="0030477D"/>
    <w:rsid w:val="00306EE1"/>
    <w:rsid w:val="0031016A"/>
    <w:rsid w:val="00317494"/>
    <w:rsid w:val="00320AC3"/>
    <w:rsid w:val="00322AC4"/>
    <w:rsid w:val="00333FF1"/>
    <w:rsid w:val="00337DCC"/>
    <w:rsid w:val="003410BF"/>
    <w:rsid w:val="00341C52"/>
    <w:rsid w:val="00351611"/>
    <w:rsid w:val="00355733"/>
    <w:rsid w:val="00360D1F"/>
    <w:rsid w:val="003619CD"/>
    <w:rsid w:val="0036428E"/>
    <w:rsid w:val="00382317"/>
    <w:rsid w:val="0038723F"/>
    <w:rsid w:val="00393748"/>
    <w:rsid w:val="00393B61"/>
    <w:rsid w:val="0039571C"/>
    <w:rsid w:val="0039751E"/>
    <w:rsid w:val="003A0B2E"/>
    <w:rsid w:val="003A44F5"/>
    <w:rsid w:val="003A5331"/>
    <w:rsid w:val="003A69AB"/>
    <w:rsid w:val="003A6D57"/>
    <w:rsid w:val="003A7EB0"/>
    <w:rsid w:val="003B03AB"/>
    <w:rsid w:val="003B2B6E"/>
    <w:rsid w:val="003B2DAC"/>
    <w:rsid w:val="003B6776"/>
    <w:rsid w:val="003C19BF"/>
    <w:rsid w:val="003C79F9"/>
    <w:rsid w:val="003D1639"/>
    <w:rsid w:val="003D4661"/>
    <w:rsid w:val="003D707B"/>
    <w:rsid w:val="003E20E5"/>
    <w:rsid w:val="003E40FC"/>
    <w:rsid w:val="003F6AF1"/>
    <w:rsid w:val="003F6CCC"/>
    <w:rsid w:val="00400239"/>
    <w:rsid w:val="00400C4B"/>
    <w:rsid w:val="00402C2F"/>
    <w:rsid w:val="004043B1"/>
    <w:rsid w:val="004107B2"/>
    <w:rsid w:val="004110A5"/>
    <w:rsid w:val="004112E0"/>
    <w:rsid w:val="00412688"/>
    <w:rsid w:val="0042052A"/>
    <w:rsid w:val="0042294B"/>
    <w:rsid w:val="00435ED0"/>
    <w:rsid w:val="004414E9"/>
    <w:rsid w:val="00442C60"/>
    <w:rsid w:val="004475A5"/>
    <w:rsid w:val="0045358F"/>
    <w:rsid w:val="00456C9E"/>
    <w:rsid w:val="004619B3"/>
    <w:rsid w:val="00464B1E"/>
    <w:rsid w:val="0047530A"/>
    <w:rsid w:val="0047532A"/>
    <w:rsid w:val="004764DB"/>
    <w:rsid w:val="00480818"/>
    <w:rsid w:val="00485656"/>
    <w:rsid w:val="00492BE2"/>
    <w:rsid w:val="00494D80"/>
    <w:rsid w:val="00495100"/>
    <w:rsid w:val="00497880"/>
    <w:rsid w:val="004A0A2A"/>
    <w:rsid w:val="004A1EEF"/>
    <w:rsid w:val="004A5272"/>
    <w:rsid w:val="004A538A"/>
    <w:rsid w:val="004B01AD"/>
    <w:rsid w:val="004B5422"/>
    <w:rsid w:val="004B671E"/>
    <w:rsid w:val="004C06CC"/>
    <w:rsid w:val="004C34EA"/>
    <w:rsid w:val="004D00DF"/>
    <w:rsid w:val="004D4054"/>
    <w:rsid w:val="004D76A3"/>
    <w:rsid w:val="004E25CA"/>
    <w:rsid w:val="004F0E9D"/>
    <w:rsid w:val="004F670F"/>
    <w:rsid w:val="0050146F"/>
    <w:rsid w:val="00513AC3"/>
    <w:rsid w:val="0051426F"/>
    <w:rsid w:val="00515E40"/>
    <w:rsid w:val="00516BB0"/>
    <w:rsid w:val="00520AF9"/>
    <w:rsid w:val="00522EC7"/>
    <w:rsid w:val="005277D3"/>
    <w:rsid w:val="0053021C"/>
    <w:rsid w:val="00532DCA"/>
    <w:rsid w:val="005425DB"/>
    <w:rsid w:val="00551966"/>
    <w:rsid w:val="00561593"/>
    <w:rsid w:val="00564969"/>
    <w:rsid w:val="00564C9C"/>
    <w:rsid w:val="00571914"/>
    <w:rsid w:val="0057554D"/>
    <w:rsid w:val="0057693C"/>
    <w:rsid w:val="00577406"/>
    <w:rsid w:val="00577BB8"/>
    <w:rsid w:val="00577C32"/>
    <w:rsid w:val="00577C3D"/>
    <w:rsid w:val="005806AB"/>
    <w:rsid w:val="00580E2C"/>
    <w:rsid w:val="0058311F"/>
    <w:rsid w:val="005863A7"/>
    <w:rsid w:val="005872BA"/>
    <w:rsid w:val="00590745"/>
    <w:rsid w:val="0059126C"/>
    <w:rsid w:val="005915EC"/>
    <w:rsid w:val="00593992"/>
    <w:rsid w:val="005A2FCC"/>
    <w:rsid w:val="005A4067"/>
    <w:rsid w:val="005A452F"/>
    <w:rsid w:val="005A4A54"/>
    <w:rsid w:val="005A6355"/>
    <w:rsid w:val="005B3695"/>
    <w:rsid w:val="005C166A"/>
    <w:rsid w:val="005C57E8"/>
    <w:rsid w:val="005D454B"/>
    <w:rsid w:val="005E3D9E"/>
    <w:rsid w:val="0060369B"/>
    <w:rsid w:val="00606D78"/>
    <w:rsid w:val="00607AB6"/>
    <w:rsid w:val="006149CE"/>
    <w:rsid w:val="006200A4"/>
    <w:rsid w:val="006225D6"/>
    <w:rsid w:val="00634E62"/>
    <w:rsid w:val="00635C24"/>
    <w:rsid w:val="00636BBF"/>
    <w:rsid w:val="00645CD3"/>
    <w:rsid w:val="006479E7"/>
    <w:rsid w:val="00651548"/>
    <w:rsid w:val="00657DC0"/>
    <w:rsid w:val="00665646"/>
    <w:rsid w:val="006670E0"/>
    <w:rsid w:val="00667F6A"/>
    <w:rsid w:val="006853EC"/>
    <w:rsid w:val="00694240"/>
    <w:rsid w:val="006960C5"/>
    <w:rsid w:val="00696123"/>
    <w:rsid w:val="0069771D"/>
    <w:rsid w:val="006A2EFA"/>
    <w:rsid w:val="006B1A2A"/>
    <w:rsid w:val="006B6051"/>
    <w:rsid w:val="006C4D12"/>
    <w:rsid w:val="006C64F9"/>
    <w:rsid w:val="006D3C0C"/>
    <w:rsid w:val="006D681C"/>
    <w:rsid w:val="006E3533"/>
    <w:rsid w:val="006E41FA"/>
    <w:rsid w:val="006F07A5"/>
    <w:rsid w:val="006F3CB3"/>
    <w:rsid w:val="0071017B"/>
    <w:rsid w:val="007120D6"/>
    <w:rsid w:val="00713A52"/>
    <w:rsid w:val="00717D1B"/>
    <w:rsid w:val="007345DC"/>
    <w:rsid w:val="00740002"/>
    <w:rsid w:val="00742280"/>
    <w:rsid w:val="007442C5"/>
    <w:rsid w:val="007442EB"/>
    <w:rsid w:val="00746F5B"/>
    <w:rsid w:val="007525DD"/>
    <w:rsid w:val="00755317"/>
    <w:rsid w:val="00756A40"/>
    <w:rsid w:val="00756B39"/>
    <w:rsid w:val="00757E68"/>
    <w:rsid w:val="007650CC"/>
    <w:rsid w:val="00773BAA"/>
    <w:rsid w:val="00775447"/>
    <w:rsid w:val="007774D9"/>
    <w:rsid w:val="007832D7"/>
    <w:rsid w:val="007837CC"/>
    <w:rsid w:val="00785F37"/>
    <w:rsid w:val="00786EF8"/>
    <w:rsid w:val="00793248"/>
    <w:rsid w:val="00793C33"/>
    <w:rsid w:val="0079459F"/>
    <w:rsid w:val="00797DAD"/>
    <w:rsid w:val="007A5492"/>
    <w:rsid w:val="007A7A30"/>
    <w:rsid w:val="007B0CBB"/>
    <w:rsid w:val="007B2903"/>
    <w:rsid w:val="007B4590"/>
    <w:rsid w:val="007C244A"/>
    <w:rsid w:val="007C4F6E"/>
    <w:rsid w:val="007C59BC"/>
    <w:rsid w:val="007C642C"/>
    <w:rsid w:val="007C78FF"/>
    <w:rsid w:val="007D0C00"/>
    <w:rsid w:val="007D1318"/>
    <w:rsid w:val="007D1C59"/>
    <w:rsid w:val="007D28CE"/>
    <w:rsid w:val="007D357E"/>
    <w:rsid w:val="007D7ECB"/>
    <w:rsid w:val="007E0EC4"/>
    <w:rsid w:val="007E3678"/>
    <w:rsid w:val="007E3D01"/>
    <w:rsid w:val="007E46B4"/>
    <w:rsid w:val="007F3BFF"/>
    <w:rsid w:val="008028E3"/>
    <w:rsid w:val="008040BD"/>
    <w:rsid w:val="0080635D"/>
    <w:rsid w:val="00806BEC"/>
    <w:rsid w:val="00817F92"/>
    <w:rsid w:val="00820118"/>
    <w:rsid w:val="0082787B"/>
    <w:rsid w:val="008365BF"/>
    <w:rsid w:val="008429CC"/>
    <w:rsid w:val="0084462F"/>
    <w:rsid w:val="00845522"/>
    <w:rsid w:val="0084699C"/>
    <w:rsid w:val="008470D6"/>
    <w:rsid w:val="00850C06"/>
    <w:rsid w:val="0085214D"/>
    <w:rsid w:val="00852F0D"/>
    <w:rsid w:val="0085376D"/>
    <w:rsid w:val="00861038"/>
    <w:rsid w:val="00861A58"/>
    <w:rsid w:val="00873247"/>
    <w:rsid w:val="00880E74"/>
    <w:rsid w:val="00881478"/>
    <w:rsid w:val="00891D91"/>
    <w:rsid w:val="00893AB9"/>
    <w:rsid w:val="0089590C"/>
    <w:rsid w:val="008966C8"/>
    <w:rsid w:val="0089708D"/>
    <w:rsid w:val="008A333C"/>
    <w:rsid w:val="008A5000"/>
    <w:rsid w:val="008B281E"/>
    <w:rsid w:val="008B4202"/>
    <w:rsid w:val="008B43E9"/>
    <w:rsid w:val="008B64C9"/>
    <w:rsid w:val="008C041E"/>
    <w:rsid w:val="008C154E"/>
    <w:rsid w:val="008C1790"/>
    <w:rsid w:val="008C3C73"/>
    <w:rsid w:val="008D0242"/>
    <w:rsid w:val="008D5781"/>
    <w:rsid w:val="008E4029"/>
    <w:rsid w:val="008E5E05"/>
    <w:rsid w:val="008F47CB"/>
    <w:rsid w:val="00912E35"/>
    <w:rsid w:val="009224C2"/>
    <w:rsid w:val="00923C8F"/>
    <w:rsid w:val="00923CF7"/>
    <w:rsid w:val="00934ECD"/>
    <w:rsid w:val="00935A4A"/>
    <w:rsid w:val="00936BC0"/>
    <w:rsid w:val="00936CB2"/>
    <w:rsid w:val="00940491"/>
    <w:rsid w:val="009417C0"/>
    <w:rsid w:val="0094495B"/>
    <w:rsid w:val="00946DAB"/>
    <w:rsid w:val="00950ECD"/>
    <w:rsid w:val="00956E6A"/>
    <w:rsid w:val="00960B1E"/>
    <w:rsid w:val="009624F5"/>
    <w:rsid w:val="00965EF3"/>
    <w:rsid w:val="00977449"/>
    <w:rsid w:val="00982076"/>
    <w:rsid w:val="00984D90"/>
    <w:rsid w:val="0098602B"/>
    <w:rsid w:val="00992880"/>
    <w:rsid w:val="00994F9A"/>
    <w:rsid w:val="009A0C54"/>
    <w:rsid w:val="009A269E"/>
    <w:rsid w:val="009A3BBE"/>
    <w:rsid w:val="009A610A"/>
    <w:rsid w:val="009B12A8"/>
    <w:rsid w:val="009B27A8"/>
    <w:rsid w:val="009B2D0C"/>
    <w:rsid w:val="009B3208"/>
    <w:rsid w:val="009B780C"/>
    <w:rsid w:val="009B7AB3"/>
    <w:rsid w:val="009C16EE"/>
    <w:rsid w:val="009C2434"/>
    <w:rsid w:val="009C5158"/>
    <w:rsid w:val="009C59EC"/>
    <w:rsid w:val="009D3010"/>
    <w:rsid w:val="009D341C"/>
    <w:rsid w:val="009D354E"/>
    <w:rsid w:val="009D5076"/>
    <w:rsid w:val="009D5D6D"/>
    <w:rsid w:val="009D6D55"/>
    <w:rsid w:val="009E0DC6"/>
    <w:rsid w:val="009E3889"/>
    <w:rsid w:val="009E6FAB"/>
    <w:rsid w:val="009F0560"/>
    <w:rsid w:val="009F5477"/>
    <w:rsid w:val="009F5B60"/>
    <w:rsid w:val="009F73F9"/>
    <w:rsid w:val="00A0081C"/>
    <w:rsid w:val="00A029C2"/>
    <w:rsid w:val="00A0747A"/>
    <w:rsid w:val="00A13483"/>
    <w:rsid w:val="00A15E1E"/>
    <w:rsid w:val="00A16C41"/>
    <w:rsid w:val="00A23C44"/>
    <w:rsid w:val="00A25F21"/>
    <w:rsid w:val="00A27C6C"/>
    <w:rsid w:val="00A27D20"/>
    <w:rsid w:val="00A35074"/>
    <w:rsid w:val="00A35AD2"/>
    <w:rsid w:val="00A36D61"/>
    <w:rsid w:val="00A37857"/>
    <w:rsid w:val="00A46206"/>
    <w:rsid w:val="00A47DA7"/>
    <w:rsid w:val="00A614A7"/>
    <w:rsid w:val="00A6273E"/>
    <w:rsid w:val="00A62B39"/>
    <w:rsid w:val="00A70639"/>
    <w:rsid w:val="00A748F1"/>
    <w:rsid w:val="00A75CF1"/>
    <w:rsid w:val="00A80E3B"/>
    <w:rsid w:val="00A82086"/>
    <w:rsid w:val="00A9146A"/>
    <w:rsid w:val="00A95061"/>
    <w:rsid w:val="00A95093"/>
    <w:rsid w:val="00AA2F6D"/>
    <w:rsid w:val="00AA3429"/>
    <w:rsid w:val="00AA3869"/>
    <w:rsid w:val="00AB068B"/>
    <w:rsid w:val="00AB2306"/>
    <w:rsid w:val="00AB7CA0"/>
    <w:rsid w:val="00AC5458"/>
    <w:rsid w:val="00AC598B"/>
    <w:rsid w:val="00AC744D"/>
    <w:rsid w:val="00AD2627"/>
    <w:rsid w:val="00AE4225"/>
    <w:rsid w:val="00AE5A72"/>
    <w:rsid w:val="00AE7E6A"/>
    <w:rsid w:val="00AF4FF6"/>
    <w:rsid w:val="00AF593F"/>
    <w:rsid w:val="00AF6875"/>
    <w:rsid w:val="00AF7ADA"/>
    <w:rsid w:val="00B00A56"/>
    <w:rsid w:val="00B00D03"/>
    <w:rsid w:val="00B00FBA"/>
    <w:rsid w:val="00B01D3F"/>
    <w:rsid w:val="00B0259A"/>
    <w:rsid w:val="00B02A61"/>
    <w:rsid w:val="00B130C6"/>
    <w:rsid w:val="00B16672"/>
    <w:rsid w:val="00B211F5"/>
    <w:rsid w:val="00B214B3"/>
    <w:rsid w:val="00B24398"/>
    <w:rsid w:val="00B3264B"/>
    <w:rsid w:val="00B33F9F"/>
    <w:rsid w:val="00B354E0"/>
    <w:rsid w:val="00B379F6"/>
    <w:rsid w:val="00B40C8F"/>
    <w:rsid w:val="00B45470"/>
    <w:rsid w:val="00B46352"/>
    <w:rsid w:val="00B51E06"/>
    <w:rsid w:val="00B56251"/>
    <w:rsid w:val="00B579E5"/>
    <w:rsid w:val="00B63796"/>
    <w:rsid w:val="00B71D53"/>
    <w:rsid w:val="00B75075"/>
    <w:rsid w:val="00B75CDD"/>
    <w:rsid w:val="00B77E8E"/>
    <w:rsid w:val="00B80CA4"/>
    <w:rsid w:val="00B814C3"/>
    <w:rsid w:val="00B824B0"/>
    <w:rsid w:val="00B832D7"/>
    <w:rsid w:val="00B8445F"/>
    <w:rsid w:val="00B8638B"/>
    <w:rsid w:val="00B86977"/>
    <w:rsid w:val="00B918ED"/>
    <w:rsid w:val="00B92584"/>
    <w:rsid w:val="00B967D7"/>
    <w:rsid w:val="00BA4133"/>
    <w:rsid w:val="00BA4643"/>
    <w:rsid w:val="00BA666F"/>
    <w:rsid w:val="00BA696D"/>
    <w:rsid w:val="00BA7357"/>
    <w:rsid w:val="00BB30CE"/>
    <w:rsid w:val="00BB3F44"/>
    <w:rsid w:val="00BB5D2F"/>
    <w:rsid w:val="00BC2BBE"/>
    <w:rsid w:val="00BC5575"/>
    <w:rsid w:val="00BD06FB"/>
    <w:rsid w:val="00BE2736"/>
    <w:rsid w:val="00BE2917"/>
    <w:rsid w:val="00BE3973"/>
    <w:rsid w:val="00BF016B"/>
    <w:rsid w:val="00BF2AE3"/>
    <w:rsid w:val="00C02AF5"/>
    <w:rsid w:val="00C04146"/>
    <w:rsid w:val="00C05BB5"/>
    <w:rsid w:val="00C06C7A"/>
    <w:rsid w:val="00C07BB8"/>
    <w:rsid w:val="00C10E16"/>
    <w:rsid w:val="00C11707"/>
    <w:rsid w:val="00C12D6D"/>
    <w:rsid w:val="00C16258"/>
    <w:rsid w:val="00C17613"/>
    <w:rsid w:val="00C2463F"/>
    <w:rsid w:val="00C27271"/>
    <w:rsid w:val="00C27E35"/>
    <w:rsid w:val="00C3238B"/>
    <w:rsid w:val="00C41607"/>
    <w:rsid w:val="00C41799"/>
    <w:rsid w:val="00C444DB"/>
    <w:rsid w:val="00C44FAF"/>
    <w:rsid w:val="00C51533"/>
    <w:rsid w:val="00C5645F"/>
    <w:rsid w:val="00C61DF0"/>
    <w:rsid w:val="00C67F62"/>
    <w:rsid w:val="00C73B84"/>
    <w:rsid w:val="00C75FBA"/>
    <w:rsid w:val="00C81365"/>
    <w:rsid w:val="00C84723"/>
    <w:rsid w:val="00C853B2"/>
    <w:rsid w:val="00C85614"/>
    <w:rsid w:val="00C859FC"/>
    <w:rsid w:val="00C86D38"/>
    <w:rsid w:val="00C9052A"/>
    <w:rsid w:val="00C928EA"/>
    <w:rsid w:val="00CA28BF"/>
    <w:rsid w:val="00CA3CE8"/>
    <w:rsid w:val="00CA3E86"/>
    <w:rsid w:val="00CB437C"/>
    <w:rsid w:val="00CB6B80"/>
    <w:rsid w:val="00CC202D"/>
    <w:rsid w:val="00CC3DC6"/>
    <w:rsid w:val="00CD6D3F"/>
    <w:rsid w:val="00CD7639"/>
    <w:rsid w:val="00CE2F2E"/>
    <w:rsid w:val="00CE370C"/>
    <w:rsid w:val="00CF23C5"/>
    <w:rsid w:val="00CF29C6"/>
    <w:rsid w:val="00CF4BF6"/>
    <w:rsid w:val="00D02642"/>
    <w:rsid w:val="00D0382B"/>
    <w:rsid w:val="00D06F4D"/>
    <w:rsid w:val="00D104A2"/>
    <w:rsid w:val="00D10708"/>
    <w:rsid w:val="00D14FD5"/>
    <w:rsid w:val="00D22E96"/>
    <w:rsid w:val="00D26C69"/>
    <w:rsid w:val="00D2735B"/>
    <w:rsid w:val="00D2742B"/>
    <w:rsid w:val="00D34DC0"/>
    <w:rsid w:val="00D37C2C"/>
    <w:rsid w:val="00D42119"/>
    <w:rsid w:val="00D43860"/>
    <w:rsid w:val="00D46313"/>
    <w:rsid w:val="00D52165"/>
    <w:rsid w:val="00D52BFF"/>
    <w:rsid w:val="00D53DEB"/>
    <w:rsid w:val="00D5566A"/>
    <w:rsid w:val="00D55BCA"/>
    <w:rsid w:val="00D573D3"/>
    <w:rsid w:val="00D70AF6"/>
    <w:rsid w:val="00D72F97"/>
    <w:rsid w:val="00D753E2"/>
    <w:rsid w:val="00D76D5C"/>
    <w:rsid w:val="00D81595"/>
    <w:rsid w:val="00D81D66"/>
    <w:rsid w:val="00D83969"/>
    <w:rsid w:val="00D84A4C"/>
    <w:rsid w:val="00D851BD"/>
    <w:rsid w:val="00D87C5E"/>
    <w:rsid w:val="00D910AF"/>
    <w:rsid w:val="00D92838"/>
    <w:rsid w:val="00D93A7B"/>
    <w:rsid w:val="00D94265"/>
    <w:rsid w:val="00D94BF5"/>
    <w:rsid w:val="00D95E4B"/>
    <w:rsid w:val="00D97B62"/>
    <w:rsid w:val="00DA0B11"/>
    <w:rsid w:val="00DA4E08"/>
    <w:rsid w:val="00DB18CA"/>
    <w:rsid w:val="00DB2F2A"/>
    <w:rsid w:val="00DB6996"/>
    <w:rsid w:val="00DC0E3E"/>
    <w:rsid w:val="00DC258F"/>
    <w:rsid w:val="00DC4585"/>
    <w:rsid w:val="00DC55A9"/>
    <w:rsid w:val="00DD0136"/>
    <w:rsid w:val="00DD06C4"/>
    <w:rsid w:val="00DD0A27"/>
    <w:rsid w:val="00DD6F16"/>
    <w:rsid w:val="00DD7F51"/>
    <w:rsid w:val="00DE210D"/>
    <w:rsid w:val="00DE26B9"/>
    <w:rsid w:val="00DE4FD6"/>
    <w:rsid w:val="00DE51EC"/>
    <w:rsid w:val="00DE75C6"/>
    <w:rsid w:val="00DE7FDC"/>
    <w:rsid w:val="00DF191E"/>
    <w:rsid w:val="00DF6ECD"/>
    <w:rsid w:val="00E00F9B"/>
    <w:rsid w:val="00E02565"/>
    <w:rsid w:val="00E141F5"/>
    <w:rsid w:val="00E1487A"/>
    <w:rsid w:val="00E22CC6"/>
    <w:rsid w:val="00E3057E"/>
    <w:rsid w:val="00E3502C"/>
    <w:rsid w:val="00E35BAA"/>
    <w:rsid w:val="00E45F72"/>
    <w:rsid w:val="00E531DE"/>
    <w:rsid w:val="00E5550E"/>
    <w:rsid w:val="00E559B7"/>
    <w:rsid w:val="00E6079B"/>
    <w:rsid w:val="00E615A7"/>
    <w:rsid w:val="00E62879"/>
    <w:rsid w:val="00E64689"/>
    <w:rsid w:val="00E661A4"/>
    <w:rsid w:val="00E665F2"/>
    <w:rsid w:val="00E70708"/>
    <w:rsid w:val="00E7175A"/>
    <w:rsid w:val="00E744CA"/>
    <w:rsid w:val="00E83020"/>
    <w:rsid w:val="00E86426"/>
    <w:rsid w:val="00E90B5E"/>
    <w:rsid w:val="00E9646A"/>
    <w:rsid w:val="00E96660"/>
    <w:rsid w:val="00E969C6"/>
    <w:rsid w:val="00E97DB6"/>
    <w:rsid w:val="00EA33BB"/>
    <w:rsid w:val="00EA4E48"/>
    <w:rsid w:val="00EA545E"/>
    <w:rsid w:val="00EA71EB"/>
    <w:rsid w:val="00EB0F86"/>
    <w:rsid w:val="00EB71E5"/>
    <w:rsid w:val="00EC0447"/>
    <w:rsid w:val="00EC0602"/>
    <w:rsid w:val="00ED4B76"/>
    <w:rsid w:val="00ED51EB"/>
    <w:rsid w:val="00ED723D"/>
    <w:rsid w:val="00EE1BD9"/>
    <w:rsid w:val="00EE4BD9"/>
    <w:rsid w:val="00EF1CD5"/>
    <w:rsid w:val="00EF4A1F"/>
    <w:rsid w:val="00F02B31"/>
    <w:rsid w:val="00F04DEC"/>
    <w:rsid w:val="00F06A53"/>
    <w:rsid w:val="00F071EE"/>
    <w:rsid w:val="00F075AA"/>
    <w:rsid w:val="00F1405F"/>
    <w:rsid w:val="00F16923"/>
    <w:rsid w:val="00F2018D"/>
    <w:rsid w:val="00F30E7E"/>
    <w:rsid w:val="00F34A82"/>
    <w:rsid w:val="00F35ADD"/>
    <w:rsid w:val="00F374B4"/>
    <w:rsid w:val="00F405FC"/>
    <w:rsid w:val="00F413A3"/>
    <w:rsid w:val="00F42554"/>
    <w:rsid w:val="00F42703"/>
    <w:rsid w:val="00F4696B"/>
    <w:rsid w:val="00F46A5F"/>
    <w:rsid w:val="00F51AE7"/>
    <w:rsid w:val="00F51F75"/>
    <w:rsid w:val="00F55899"/>
    <w:rsid w:val="00F55C83"/>
    <w:rsid w:val="00F61863"/>
    <w:rsid w:val="00F632D1"/>
    <w:rsid w:val="00F71193"/>
    <w:rsid w:val="00F747DC"/>
    <w:rsid w:val="00F76234"/>
    <w:rsid w:val="00F84B5A"/>
    <w:rsid w:val="00F855E3"/>
    <w:rsid w:val="00F86006"/>
    <w:rsid w:val="00F878D2"/>
    <w:rsid w:val="00F91C79"/>
    <w:rsid w:val="00F91DB0"/>
    <w:rsid w:val="00F950A5"/>
    <w:rsid w:val="00FB4964"/>
    <w:rsid w:val="00FB6E56"/>
    <w:rsid w:val="00FB79E4"/>
    <w:rsid w:val="00FC165D"/>
    <w:rsid w:val="00FC3798"/>
    <w:rsid w:val="00FC5382"/>
    <w:rsid w:val="00FD1E83"/>
    <w:rsid w:val="00FD531E"/>
    <w:rsid w:val="00FD6657"/>
    <w:rsid w:val="00FD765B"/>
    <w:rsid w:val="00FE1AB9"/>
    <w:rsid w:val="00FE382D"/>
    <w:rsid w:val="00FE51C9"/>
    <w:rsid w:val="00FE73F0"/>
    <w:rsid w:val="00FE7C38"/>
    <w:rsid w:val="00FF0A16"/>
    <w:rsid w:val="00FF35E5"/>
    <w:rsid w:val="00FF4719"/>
    <w:rsid w:val="5C3E49D5"/>
    <w:rsid w:val="790FD9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4BB5F5"/>
  <w15:docId w15:val="{26433829-2A1D-415E-B71F-84592502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51EB"/>
    <w:rPr>
      <w:sz w:val="24"/>
      <w:szCs w:val="24"/>
    </w:rPr>
  </w:style>
  <w:style w:type="paragraph" w:styleId="Heading1">
    <w:name w:val="heading 1"/>
    <w:basedOn w:val="Normal"/>
    <w:next w:val="Normal"/>
    <w:qFormat/>
    <w:rsid w:val="00ED51EB"/>
    <w:pPr>
      <w:keepNext/>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1EB"/>
    <w:rPr>
      <w:rFonts w:ascii="Courier New" w:hAnsi="Courier New" w:cs="Courier New"/>
      <w:b/>
      <w:bCs/>
    </w:rPr>
  </w:style>
  <w:style w:type="paragraph" w:styleId="BodyTextIndent">
    <w:name w:val="Body Text Indent"/>
    <w:basedOn w:val="Normal"/>
    <w:rsid w:val="00ED51EB"/>
    <w:pPr>
      <w:ind w:left="1080"/>
    </w:pPr>
    <w:rPr>
      <w:rFonts w:ascii="Courier New" w:hAnsi="Courier New" w:cs="Courier New"/>
    </w:rPr>
  </w:style>
  <w:style w:type="paragraph" w:styleId="Footer">
    <w:name w:val="footer"/>
    <w:basedOn w:val="Normal"/>
    <w:rsid w:val="00E531DE"/>
    <w:pPr>
      <w:tabs>
        <w:tab w:val="center" w:pos="4320"/>
        <w:tab w:val="right" w:pos="8640"/>
      </w:tabs>
    </w:pPr>
  </w:style>
  <w:style w:type="character" w:styleId="PageNumber">
    <w:name w:val="page number"/>
    <w:basedOn w:val="DefaultParagraphFont"/>
    <w:rsid w:val="00E531DE"/>
  </w:style>
  <w:style w:type="paragraph" w:styleId="BalloonText">
    <w:name w:val="Balloon Text"/>
    <w:basedOn w:val="Normal"/>
    <w:semiHidden/>
    <w:rsid w:val="00BF2AE3"/>
    <w:rPr>
      <w:rFonts w:ascii="Tahoma" w:hAnsi="Tahoma" w:cs="Tahoma"/>
      <w:sz w:val="16"/>
      <w:szCs w:val="16"/>
    </w:rPr>
  </w:style>
  <w:style w:type="character" w:styleId="CommentReference">
    <w:name w:val="annotation reference"/>
    <w:basedOn w:val="DefaultParagraphFont"/>
    <w:semiHidden/>
    <w:unhideWhenUsed/>
    <w:rsid w:val="003B2DAC"/>
    <w:rPr>
      <w:sz w:val="16"/>
      <w:szCs w:val="16"/>
    </w:rPr>
  </w:style>
  <w:style w:type="paragraph" w:styleId="CommentText">
    <w:name w:val="annotation text"/>
    <w:basedOn w:val="Normal"/>
    <w:link w:val="CommentTextChar"/>
    <w:unhideWhenUsed/>
    <w:rsid w:val="003B2DAC"/>
    <w:rPr>
      <w:sz w:val="20"/>
      <w:szCs w:val="20"/>
    </w:rPr>
  </w:style>
  <w:style w:type="character" w:customStyle="1" w:styleId="CommentTextChar">
    <w:name w:val="Comment Text Char"/>
    <w:basedOn w:val="DefaultParagraphFont"/>
    <w:link w:val="CommentText"/>
    <w:rsid w:val="003B2DAC"/>
  </w:style>
  <w:style w:type="paragraph" w:styleId="CommentSubject">
    <w:name w:val="annotation subject"/>
    <w:basedOn w:val="CommentText"/>
    <w:next w:val="CommentText"/>
    <w:link w:val="CommentSubjectChar"/>
    <w:semiHidden/>
    <w:unhideWhenUsed/>
    <w:rsid w:val="003B2DAC"/>
    <w:rPr>
      <w:b/>
      <w:bCs/>
    </w:rPr>
  </w:style>
  <w:style w:type="character" w:customStyle="1" w:styleId="CommentSubjectChar">
    <w:name w:val="Comment Subject Char"/>
    <w:basedOn w:val="CommentTextChar"/>
    <w:link w:val="CommentSubject"/>
    <w:semiHidden/>
    <w:rsid w:val="003B2DAC"/>
    <w:rPr>
      <w:b/>
      <w:bCs/>
    </w:rPr>
  </w:style>
  <w:style w:type="paragraph" w:styleId="ListParagraph">
    <w:name w:val="List Paragraph"/>
    <w:basedOn w:val="Normal"/>
    <w:uiPriority w:val="34"/>
    <w:qFormat/>
    <w:rsid w:val="00994F9A"/>
    <w:pPr>
      <w:ind w:left="720"/>
      <w:contextualSpacing/>
    </w:pPr>
  </w:style>
  <w:style w:type="paragraph" w:styleId="Header">
    <w:name w:val="header"/>
    <w:basedOn w:val="Normal"/>
    <w:link w:val="HeaderChar"/>
    <w:unhideWhenUsed/>
    <w:rsid w:val="003B2B6E"/>
    <w:pPr>
      <w:tabs>
        <w:tab w:val="center" w:pos="4680"/>
        <w:tab w:val="right" w:pos="9360"/>
      </w:tabs>
    </w:pPr>
  </w:style>
  <w:style w:type="character" w:customStyle="1" w:styleId="HeaderChar">
    <w:name w:val="Header Char"/>
    <w:basedOn w:val="DefaultParagraphFont"/>
    <w:link w:val="Header"/>
    <w:rsid w:val="003B2B6E"/>
    <w:rPr>
      <w:sz w:val="24"/>
      <w:szCs w:val="24"/>
    </w:rPr>
  </w:style>
  <w:style w:type="paragraph" w:styleId="Revision">
    <w:name w:val="Revision"/>
    <w:hidden/>
    <w:uiPriority w:val="99"/>
    <w:semiHidden/>
    <w:rsid w:val="008D0242"/>
    <w:rPr>
      <w:sz w:val="24"/>
      <w:szCs w:val="24"/>
    </w:rPr>
  </w:style>
  <w:style w:type="character" w:styleId="Emphasis">
    <w:name w:val="Emphasis"/>
    <w:qFormat/>
    <w:rsid w:val="001B5977"/>
    <w:rPr>
      <w:u w:val="single"/>
    </w:rPr>
  </w:style>
  <w:style w:type="table" w:styleId="TableGrid">
    <w:name w:val="Table Grid"/>
    <w:basedOn w:val="TableNormal"/>
    <w:uiPriority w:val="59"/>
    <w:rsid w:val="006225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B5D2F"/>
    <w:rPr>
      <w:sz w:val="20"/>
      <w:szCs w:val="20"/>
    </w:rPr>
  </w:style>
  <w:style w:type="character" w:customStyle="1" w:styleId="FootnoteTextChar">
    <w:name w:val="Footnote Text Char"/>
    <w:basedOn w:val="DefaultParagraphFont"/>
    <w:link w:val="FootnoteText"/>
    <w:semiHidden/>
    <w:rsid w:val="00BB5D2F"/>
  </w:style>
  <w:style w:type="character" w:styleId="FootnoteReference">
    <w:name w:val="footnote reference"/>
    <w:basedOn w:val="DefaultParagraphFont"/>
    <w:semiHidden/>
    <w:unhideWhenUsed/>
    <w:rsid w:val="00BB5D2F"/>
    <w:rPr>
      <w:vertAlign w:val="superscript"/>
    </w:rPr>
  </w:style>
  <w:style w:type="character" w:styleId="Hyperlink">
    <w:name w:val="Hyperlink"/>
    <w:basedOn w:val="DefaultParagraphFont"/>
    <w:unhideWhenUsed/>
    <w:rsid w:val="00BB5D2F"/>
    <w:rPr>
      <w:color w:val="0000FF" w:themeColor="hyperlink"/>
      <w:u w:val="single"/>
    </w:rPr>
  </w:style>
  <w:style w:type="character" w:styleId="UnresolvedMention">
    <w:name w:val="Unresolved Mention"/>
    <w:basedOn w:val="DefaultParagraphFont"/>
    <w:uiPriority w:val="99"/>
    <w:semiHidden/>
    <w:unhideWhenUsed/>
    <w:rsid w:val="00BB5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07962942-B3D2-4275-A716-223488272972}">
  <ds:schemaRefs>
    <ds:schemaRef ds:uri="http://schemas.openxmlformats.org/officeDocument/2006/bibliography"/>
  </ds:schemaRefs>
</ds:datastoreItem>
</file>

<file path=customXml/itemProps2.xml><?xml version="1.0" encoding="utf-8"?>
<ds:datastoreItem xmlns:ds="http://schemas.openxmlformats.org/officeDocument/2006/customXml" ds:itemID="{B0DE735D-CD1D-46C3-9CE1-9976CEB70ECF}">
  <ds:schemaRefs>
    <ds:schemaRef ds:uri="http://schemas.microsoft.com/sharepoint/v3/contenttype/forms"/>
  </ds:schemaRefs>
</ds:datastoreItem>
</file>

<file path=customXml/itemProps3.xml><?xml version="1.0" encoding="utf-8"?>
<ds:datastoreItem xmlns:ds="http://schemas.openxmlformats.org/officeDocument/2006/customXml" ds:itemID="{3FBD61F3-DEFD-498C-95EA-EFF6A6E8A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E041-077C-42B1-BA0F-8EEFDD1EC9F0}">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1896</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Holmes-Brooks, Colette N. (ATF) (CTR)</cp:lastModifiedBy>
  <cp:revision>360</cp:revision>
  <cp:lastPrinted>2010-01-29T01:05:00Z</cp:lastPrinted>
  <dcterms:created xsi:type="dcterms:W3CDTF">2021-12-14T19:19:00Z</dcterms:created>
  <dcterms:modified xsi:type="dcterms:W3CDTF">2024-11-13T19:47:00Z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