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0EC" w:rsidP="00CB62DC" w14:paraId="4C298099" w14:textId="77777777">
      <w:pPr>
        <w:spacing w:before="480"/>
        <w:jc w:val="center"/>
      </w:pPr>
      <w:r>
        <w:t>Department of Justice</w:t>
      </w:r>
    </w:p>
    <w:p w:rsidR="007700EC" w:rsidP="00AD4DD7" w14:paraId="6F375BA6" w14:textId="77777777">
      <w:pPr>
        <w:jc w:val="center"/>
      </w:pPr>
      <w:r>
        <w:t>Bureau of Alcohol, Tobacco, Firearms and Explosives</w:t>
      </w:r>
    </w:p>
    <w:p w:rsidR="007C794D" w:rsidP="00AD4DD7" w14:paraId="39C3E8FD" w14:textId="77777777">
      <w:pPr>
        <w:jc w:val="center"/>
      </w:pPr>
      <w:r>
        <w:t>Information C</w:t>
      </w:r>
      <w:r>
        <w:t>ollection Request</w:t>
      </w:r>
    </w:p>
    <w:p w:rsidR="007C794D" w:rsidP="00AD4DD7" w14:paraId="2BCE0B27" w14:textId="77777777">
      <w:pPr>
        <w:jc w:val="center"/>
      </w:pPr>
      <w:r>
        <w:t>Supporting Statement</w:t>
      </w:r>
    </w:p>
    <w:p w:rsidR="007C794D" w:rsidP="00EA68FF" w14:paraId="1A8E9776" w14:textId="77777777">
      <w:pPr>
        <w:spacing w:after="240"/>
        <w:jc w:val="center"/>
      </w:pPr>
      <w:r>
        <w:t>1140-0071</w:t>
      </w:r>
    </w:p>
    <w:p w:rsidR="007C794D" w:rsidP="00EA68FF" w14:paraId="6B55377F" w14:textId="77777777">
      <w:pPr>
        <w:spacing w:after="240"/>
      </w:pPr>
      <w:r>
        <w:t>N</w:t>
      </w:r>
      <w:r w:rsidR="000A094E">
        <w:t xml:space="preserve">otification to Fire Safety Authority </w:t>
      </w:r>
      <w:r>
        <w:t>of Storage of Explosive Materials</w:t>
      </w:r>
    </w:p>
    <w:p w:rsidR="007C794D" w:rsidRPr="00DB5227" w:rsidP="00DD7AA3" w14:paraId="3F3EF4BA" w14:textId="77777777">
      <w:pPr>
        <w:numPr>
          <w:ilvl w:val="0"/>
          <w:numId w:val="3"/>
        </w:numPr>
        <w:tabs>
          <w:tab w:val="num" w:pos="360"/>
          <w:tab w:val="clear" w:pos="720"/>
        </w:tabs>
        <w:spacing w:after="240"/>
        <w:ind w:hanging="720"/>
        <w:rPr>
          <w:b/>
          <w:bCs/>
        </w:rPr>
      </w:pPr>
      <w:r w:rsidRPr="00DB5227">
        <w:rPr>
          <w:b/>
          <w:bCs/>
        </w:rPr>
        <w:t>JUSTIFICATION</w:t>
      </w:r>
    </w:p>
    <w:p w:rsidR="006500A1" w:rsidRPr="006500A1" w:rsidP="006500A1" w14:paraId="1612ED0D" w14:textId="38EE22E4">
      <w:pPr>
        <w:rPr>
          <w:b/>
          <w:bCs/>
        </w:rPr>
      </w:pPr>
      <w:r w:rsidRPr="006500A1">
        <w:rPr>
          <w:b/>
          <w:bCs/>
        </w:rPr>
        <w:t>1.</w:t>
      </w:r>
      <w:r w:rsidR="008D2659">
        <w:rPr>
          <w:b/>
          <w:bCs/>
        </w:rPr>
        <w:t xml:space="preserve"> </w:t>
      </w:r>
      <w:r w:rsidRPr="006500A1">
        <w:rPr>
          <w:b/>
          <w:bCs/>
        </w:rPr>
        <w:t>Explain the circumstances that make the information collection necessary.</w:t>
      </w:r>
    </w:p>
    <w:p w:rsidR="006500A1" w:rsidRPr="006500A1" w:rsidP="006500A1" w14:paraId="09C865CB" w14:textId="77777777"/>
    <w:p w:rsidR="00010658" w:rsidP="00DD7AA3" w14:paraId="350BBE81" w14:textId="31BF0E4A">
      <w:pPr>
        <w:spacing w:after="240"/>
        <w:ind w:left="360"/>
      </w:pPr>
      <w:r>
        <w:t xml:space="preserve">Under 18 U.S.C. </w:t>
      </w:r>
      <w:r w:rsidR="00BC43ED">
        <w:t xml:space="preserve">§ </w:t>
      </w:r>
      <w:r w:rsidR="00AD543B">
        <w:t xml:space="preserve">842 (j), the Attorney General </w:t>
      </w:r>
      <w:r w:rsidR="00DD7AA3">
        <w:t xml:space="preserve">(AG) </w:t>
      </w:r>
      <w:r w:rsidR="00AD543B">
        <w:t>has the authority to issue regulations governing the storage of explosive materials.</w:t>
      </w:r>
      <w:r w:rsidR="00DE4C18">
        <w:t xml:space="preserve"> </w:t>
      </w:r>
      <w:r w:rsidR="00CC6683">
        <w:t>This same section</w:t>
      </w:r>
      <w:r w:rsidR="00560272">
        <w:t xml:space="preserve"> further provides that in promulgating such regulations, the </w:t>
      </w:r>
      <w:r w:rsidR="00CC6683">
        <w:t xml:space="preserve">AG shall take into consideration the </w:t>
      </w:r>
      <w:r w:rsidR="00560272">
        <w:t>standards of safety and security recognized in the explosives industry.</w:t>
      </w:r>
      <w:r w:rsidR="00DE4C18">
        <w:t xml:space="preserve"> </w:t>
      </w:r>
      <w:r w:rsidR="0025388B">
        <w:t xml:space="preserve">Another statutory section, </w:t>
      </w:r>
      <w:r w:rsidR="00560272">
        <w:t xml:space="preserve">18 </w:t>
      </w:r>
      <w:r w:rsidR="00B91111">
        <w:t xml:space="preserve">U.S.C. </w:t>
      </w:r>
      <w:r w:rsidR="0025388B">
        <w:t xml:space="preserve">§ </w:t>
      </w:r>
      <w:r w:rsidR="00B91111">
        <w:t>846</w:t>
      </w:r>
      <w:r w:rsidR="00BF70B4">
        <w:t>,</w:t>
      </w:r>
      <w:r w:rsidR="00B91111">
        <w:t xml:space="preserve"> gives the </w:t>
      </w:r>
      <w:r w:rsidR="00BF70B4">
        <w:t xml:space="preserve">AG </w:t>
      </w:r>
      <w:r w:rsidR="00B91111">
        <w:t>the authority to inspect the site of any accident or fire in which there is reason to believe that explosive materials were involved</w:t>
      </w:r>
      <w:r w:rsidR="00BF70B4">
        <w:t>,</w:t>
      </w:r>
      <w:r w:rsidR="00B91111">
        <w:t xml:space="preserve"> so that precautions may be taken to prevent similar accidents </w:t>
      </w:r>
      <w:r w:rsidR="00BF70B4">
        <w:t>in the future</w:t>
      </w:r>
      <w:r w:rsidR="00B91111">
        <w:t>.</w:t>
      </w:r>
      <w:r w:rsidR="00DE4C18">
        <w:t xml:space="preserve"> </w:t>
      </w:r>
      <w:r w:rsidR="00B91111">
        <w:t>This provision gives the A</w:t>
      </w:r>
      <w:r w:rsidR="00BF70B4">
        <w:t>G</w:t>
      </w:r>
      <w:r w:rsidR="00B91111">
        <w:t xml:space="preserve"> the authority to issue regulations</w:t>
      </w:r>
      <w:r w:rsidR="00BF70B4">
        <w:t xml:space="preserve"> that are</w:t>
      </w:r>
      <w:r w:rsidR="00B91111">
        <w:t xml:space="preserve"> intended to prevent</w:t>
      </w:r>
      <w:r w:rsidR="00BF70B4">
        <w:t xml:space="preserve"> </w:t>
      </w:r>
      <w:r w:rsidR="00B91111">
        <w:t>accidents</w:t>
      </w:r>
      <w:r w:rsidR="00DE4C18">
        <w:t xml:space="preserve"> involving explosives</w:t>
      </w:r>
      <w:r w:rsidR="00B91111">
        <w:t>.</w:t>
      </w:r>
      <w:r w:rsidR="00DE4C18">
        <w:t xml:space="preserve"> </w:t>
      </w:r>
      <w:r w:rsidR="00B91111">
        <w:t>ATF is concerned with the safety of emergency response personnel responding to fires on sites where explosives are stored.</w:t>
      </w:r>
      <w:r w:rsidR="00DE4C18">
        <w:t xml:space="preserve"> </w:t>
      </w:r>
      <w:r w:rsidR="00BF70B4">
        <w:t xml:space="preserve">Consequently, </w:t>
      </w:r>
      <w:r w:rsidR="00B91111">
        <w:t xml:space="preserve">27 CFR </w:t>
      </w:r>
      <w:r w:rsidR="002C40A1">
        <w:t xml:space="preserve">§ </w:t>
      </w:r>
      <w:r w:rsidR="00B91111">
        <w:t xml:space="preserve">555.201 requires </w:t>
      </w:r>
      <w:r w:rsidR="003A5D23">
        <w:t xml:space="preserve">that any person who stores explosive materials </w:t>
      </w:r>
      <w:r w:rsidR="00BB7FFC">
        <w:t xml:space="preserve">must </w:t>
      </w:r>
      <w:r w:rsidR="003A5D23">
        <w:t>notify the</w:t>
      </w:r>
      <w:r w:rsidR="00BF70B4">
        <w:t xml:space="preserve"> </w:t>
      </w:r>
      <w:r w:rsidR="00E1033A">
        <w:t xml:space="preserve">authority having jurisdiction for </w:t>
      </w:r>
      <w:r w:rsidR="00BF70B4">
        <w:t>fire safety</w:t>
      </w:r>
      <w:r w:rsidR="003A5D23">
        <w:t xml:space="preserve"> </w:t>
      </w:r>
      <w:r w:rsidR="004A7240">
        <w:t>(</w:t>
      </w:r>
      <w:r w:rsidR="00E1033A">
        <w:t>in the locality in which</w:t>
      </w:r>
      <w:r w:rsidR="004A7240">
        <w:t xml:space="preserve"> the</w:t>
      </w:r>
      <w:r w:rsidR="00E1033A">
        <w:t xml:space="preserve"> explosive materials are being stored</w:t>
      </w:r>
      <w:r w:rsidR="00745983">
        <w:t>)</w:t>
      </w:r>
      <w:r w:rsidR="007A6D0E">
        <w:t xml:space="preserve"> </w:t>
      </w:r>
      <w:r w:rsidR="00211233">
        <w:t>when the person begins storing explosives at a particular location, annually</w:t>
      </w:r>
      <w:r w:rsidR="00FC6231">
        <w:t xml:space="preserve"> thereafter, and when they cease storing the explosives</w:t>
      </w:r>
      <w:r w:rsidR="001918E6">
        <w:t xml:space="preserve"> at that location</w:t>
      </w:r>
      <w:r w:rsidR="005B7B73">
        <w:t>.</w:t>
      </w:r>
      <w:r w:rsidR="000877BB">
        <w:t xml:space="preserve"> </w:t>
      </w:r>
      <w:r w:rsidR="00F17B4A">
        <w:t xml:space="preserve">They must do this for each location at which they store explosives pursuant to </w:t>
      </w:r>
      <w:r w:rsidR="008013CE">
        <w:t xml:space="preserve">27 CFR part 555. </w:t>
      </w:r>
      <w:r w:rsidR="000877BB">
        <w:t xml:space="preserve">The notification </w:t>
      </w:r>
      <w:r w:rsidR="001918E6">
        <w:t>must</w:t>
      </w:r>
      <w:r w:rsidR="000877BB">
        <w:t xml:space="preserve"> include </w:t>
      </w:r>
      <w:r w:rsidR="003A5D23">
        <w:t>the type</w:t>
      </w:r>
      <w:r w:rsidR="007306BD">
        <w:t xml:space="preserve"> of explosives</w:t>
      </w:r>
      <w:r w:rsidR="003A5D23">
        <w:t xml:space="preserve">, magazine capacity, and location of </w:t>
      </w:r>
      <w:r w:rsidR="001931D8">
        <w:t>the</w:t>
      </w:r>
      <w:r w:rsidR="00BF70B4">
        <w:t xml:space="preserve"> </w:t>
      </w:r>
      <w:r w:rsidR="00121ED3">
        <w:t xml:space="preserve">site </w:t>
      </w:r>
      <w:r w:rsidR="006971BB">
        <w:t xml:space="preserve">where </w:t>
      </w:r>
      <w:r w:rsidR="00BF70B4">
        <w:t>explosive materials</w:t>
      </w:r>
      <w:r w:rsidR="006971BB">
        <w:t xml:space="preserve"> are stored.</w:t>
      </w:r>
    </w:p>
    <w:p w:rsidR="00B76673" w:rsidP="00B76673" w14:paraId="79667ED7" w14:textId="52CC3B7C">
      <w:pPr>
        <w:rPr>
          <w:b/>
          <w:bCs/>
        </w:rPr>
      </w:pPr>
      <w:r w:rsidRPr="00D53DEB">
        <w:rPr>
          <w:b/>
          <w:bCs/>
        </w:rPr>
        <w:t>2.</w:t>
      </w:r>
      <w:r w:rsidR="008D2659">
        <w:rPr>
          <w:b/>
          <w:bCs/>
        </w:rPr>
        <w:t xml:space="preserve"> </w:t>
      </w:r>
      <w:r w:rsidRPr="00D53DEB">
        <w:rPr>
          <w:b/>
          <w:bCs/>
        </w:rPr>
        <w:t>Indicate how, by whom, and for what purpose the information is to be used.</w:t>
      </w:r>
    </w:p>
    <w:p w:rsidR="00B76673" w:rsidP="00B76673" w14:paraId="0CFAE66F" w14:textId="77777777">
      <w:pPr>
        <w:rPr>
          <w:b/>
          <w:bCs/>
        </w:rPr>
      </w:pPr>
    </w:p>
    <w:p w:rsidR="005A7621" w:rsidP="00DD7AA3" w14:paraId="4EFFBC83" w14:textId="3D852539">
      <w:pPr>
        <w:spacing w:after="240"/>
        <w:ind w:left="360"/>
      </w:pPr>
      <w:r>
        <w:t>Th</w:t>
      </w:r>
      <w:r w:rsidR="00BF70B4">
        <w:t>is</w:t>
      </w:r>
      <w:r>
        <w:t xml:space="preserve"> information </w:t>
      </w:r>
      <w:r w:rsidR="00BF70B4">
        <w:t xml:space="preserve">collection </w:t>
      </w:r>
      <w:r>
        <w:t xml:space="preserve">is </w:t>
      </w:r>
      <w:r w:rsidR="000A094E">
        <w:t xml:space="preserve">necessary </w:t>
      </w:r>
      <w:r w:rsidR="00BF70B4">
        <w:t xml:space="preserve">to ensure </w:t>
      </w:r>
      <w:r w:rsidR="000A094E">
        <w:t>the safety of emergency response personnel responding to fires at sites where explosives are stored</w:t>
      </w:r>
      <w:r w:rsidR="0048719B">
        <w:t xml:space="preserve"> and </w:t>
      </w:r>
      <w:r w:rsidR="00FB1C7F">
        <w:t xml:space="preserve">to ensure </w:t>
      </w:r>
      <w:r w:rsidR="005F53EA">
        <w:t>the safety of the public around such sites.</w:t>
      </w:r>
      <w:r w:rsidR="008D2659">
        <w:t xml:space="preserve"> </w:t>
      </w:r>
      <w:r w:rsidR="00933084">
        <w:t>Fir</w:t>
      </w:r>
      <w:r w:rsidR="0068558A">
        <w:t xml:space="preserve">efighters and other fire safety officials generally do not attempt to fight a fire that </w:t>
      </w:r>
      <w:r w:rsidR="00683956">
        <w:t>involves</w:t>
      </w:r>
      <w:r w:rsidR="00BC2805">
        <w:t xml:space="preserve"> a container of explosive materials </w:t>
      </w:r>
      <w:r w:rsidR="00683956">
        <w:t>because of the potential</w:t>
      </w:r>
      <w:r w:rsidR="00C878BB">
        <w:t xml:space="preserve"> for </w:t>
      </w:r>
      <w:r w:rsidR="002E0EA4">
        <w:t xml:space="preserve">an explosion </w:t>
      </w:r>
      <w:r w:rsidR="00154CBC">
        <w:t>that could harm first responders and the public.</w:t>
      </w:r>
      <w:r w:rsidR="008D2659">
        <w:t xml:space="preserve"> </w:t>
      </w:r>
      <w:r w:rsidR="001D02BD">
        <w:t xml:space="preserve">Knowledge of explosives </w:t>
      </w:r>
      <w:r w:rsidR="001D02BD">
        <w:t>in close proximity to</w:t>
      </w:r>
      <w:r w:rsidR="001D02BD">
        <w:t xml:space="preserve"> a fire would</w:t>
      </w:r>
      <w:r w:rsidR="003079A6">
        <w:t xml:space="preserve"> typically prompt an evacuation of the facility and the surrounding area</w:t>
      </w:r>
      <w:r w:rsidR="00D01576">
        <w:t xml:space="preserve"> to ensure safety to first responders and the public.</w:t>
      </w:r>
      <w:r w:rsidR="00DE4C18">
        <w:t xml:space="preserve"> </w:t>
      </w:r>
      <w:r w:rsidR="000A094E">
        <w:t>The</w:t>
      </w:r>
      <w:r w:rsidR="00BF70B4">
        <w:t xml:space="preserve"> required</w:t>
      </w:r>
      <w:r w:rsidR="000A094E">
        <w:t xml:space="preserve"> information is provided</w:t>
      </w:r>
      <w:r w:rsidR="00E75456">
        <w:t>,</w:t>
      </w:r>
      <w:r w:rsidR="000A094E">
        <w:t xml:space="preserve"> both orally and in writing</w:t>
      </w:r>
      <w:r w:rsidR="008D2659">
        <w:t>,</w:t>
      </w:r>
      <w:r w:rsidR="00160F89">
        <w:t xml:space="preserve"> to local fire safety authorities for the jurisdiction where explosives materials are stored</w:t>
      </w:r>
      <w:r w:rsidR="001F7053">
        <w:t>.</w:t>
      </w:r>
      <w:r w:rsidR="008D2659">
        <w:t xml:space="preserve"> </w:t>
      </w:r>
      <w:r w:rsidR="001F7053">
        <w:t xml:space="preserve">Specifically, </w:t>
      </w:r>
      <w:r w:rsidR="00572674">
        <w:t>persons must provide</w:t>
      </w:r>
      <w:r w:rsidR="00EB7017">
        <w:t xml:space="preserve"> oral</w:t>
      </w:r>
      <w:r w:rsidR="00572674">
        <w:t xml:space="preserve"> notice</w:t>
      </w:r>
      <w:r w:rsidR="00EB7017">
        <w:t xml:space="preserve"> before the end of the day on which </w:t>
      </w:r>
      <w:r w:rsidR="00572674">
        <w:t>they commence storing explosive materials at that location</w:t>
      </w:r>
      <w:r w:rsidR="00E75456">
        <w:t>,</w:t>
      </w:r>
      <w:r w:rsidR="000A094E">
        <w:t xml:space="preserve"> </w:t>
      </w:r>
      <w:r w:rsidR="003B649B">
        <w:t>and in writin</w:t>
      </w:r>
      <w:r w:rsidR="0040424D">
        <w:t xml:space="preserve">g </w:t>
      </w:r>
      <w:r w:rsidR="00204C22">
        <w:t xml:space="preserve">within </w:t>
      </w:r>
      <w:r w:rsidR="0040424D">
        <w:t xml:space="preserve">48 hours from the time </w:t>
      </w:r>
      <w:r w:rsidR="00204C22">
        <w:t>they commence storing</w:t>
      </w:r>
      <w:r w:rsidR="00AC3F6A">
        <w:t>.</w:t>
      </w:r>
      <w:r w:rsidR="008D2659">
        <w:t xml:space="preserve"> </w:t>
      </w:r>
      <w:r w:rsidR="00665F2D">
        <w:t xml:space="preserve"> After the ini</w:t>
      </w:r>
      <w:r w:rsidR="00750B49">
        <w:t>tial notification,</w:t>
      </w:r>
      <w:r w:rsidR="00AC554F">
        <w:t xml:space="preserve"> </w:t>
      </w:r>
      <w:r w:rsidR="00204C22">
        <w:t>the person must provide written notice</w:t>
      </w:r>
      <w:r w:rsidR="00515642">
        <w:t xml:space="preserve"> </w:t>
      </w:r>
      <w:r w:rsidR="00204C22">
        <w:t xml:space="preserve">to the local authority </w:t>
      </w:r>
      <w:r w:rsidR="00257A8E">
        <w:t>once every 12 months</w:t>
      </w:r>
      <w:r w:rsidR="003035AB">
        <w:t xml:space="preserve"> </w:t>
      </w:r>
      <w:r w:rsidR="00204C22">
        <w:t xml:space="preserve">thereafter, </w:t>
      </w:r>
      <w:r w:rsidR="003035AB">
        <w:t>un</w:t>
      </w:r>
      <w:r w:rsidR="00DD2E94">
        <w:t xml:space="preserve">til </w:t>
      </w:r>
      <w:r w:rsidR="00204C22">
        <w:t>they cease storing explosive materials at that location</w:t>
      </w:r>
      <w:r w:rsidR="00757C8C">
        <w:t xml:space="preserve">. </w:t>
      </w:r>
      <w:r w:rsidR="00204C22">
        <w:t>At that point, the person must provide</w:t>
      </w:r>
      <w:r w:rsidR="00F27F86">
        <w:t xml:space="preserve"> written noti</w:t>
      </w:r>
      <w:r w:rsidR="00204C22">
        <w:t>ce to the authority</w:t>
      </w:r>
      <w:r w:rsidR="00195854">
        <w:t xml:space="preserve"> that they are no longer storing explosive materials at that location</w:t>
      </w:r>
      <w:r w:rsidR="003A0B95">
        <w:t xml:space="preserve"> </w:t>
      </w:r>
      <w:r w:rsidR="001E0F09">
        <w:t>within 48 hours</w:t>
      </w:r>
      <w:r w:rsidR="00DA5478">
        <w:t xml:space="preserve"> of </w:t>
      </w:r>
      <w:r w:rsidR="00864526">
        <w:t>when they discontinue storing explosive materials there</w:t>
      </w:r>
      <w:r w:rsidR="003E3264">
        <w:t>.</w:t>
      </w:r>
      <w:r w:rsidR="008D2659">
        <w:t xml:space="preserve"> </w:t>
      </w:r>
      <w:r w:rsidR="00D776A8">
        <w:t xml:space="preserve">Each written </w:t>
      </w:r>
      <w:r w:rsidR="003043B9">
        <w:t xml:space="preserve">notice </w:t>
      </w:r>
      <w:r w:rsidR="00D776A8">
        <w:t xml:space="preserve">must </w:t>
      </w:r>
      <w:r w:rsidR="00877B90">
        <w:t xml:space="preserve">be dated and </w:t>
      </w:r>
      <w:r w:rsidR="00D776A8">
        <w:t xml:space="preserve">contain </w:t>
      </w:r>
      <w:r w:rsidR="00704E0A">
        <w:t>the name, title, and agency of the fire authority official</w:t>
      </w:r>
      <w:r w:rsidR="00097242">
        <w:t xml:space="preserve"> that was notified</w:t>
      </w:r>
      <w:r w:rsidR="003043B9">
        <w:t xml:space="preserve">, as well the magazine capacity, type of explosive materials, </w:t>
      </w:r>
      <w:r w:rsidR="008455DB">
        <w:t>and location where they are being stored</w:t>
      </w:r>
      <w:r w:rsidR="006003A4">
        <w:t>.</w:t>
      </w:r>
      <w:r w:rsidR="008D2659">
        <w:t xml:space="preserve"> </w:t>
      </w:r>
      <w:r w:rsidR="00E15F39">
        <w:t>Each written noti</w:t>
      </w:r>
      <w:r w:rsidR="008455DB">
        <w:t>ce</w:t>
      </w:r>
      <w:r w:rsidR="00E15F39">
        <w:t xml:space="preserve"> must be maintained by the person submitting </w:t>
      </w:r>
      <w:r w:rsidR="008455DB">
        <w:t>it</w:t>
      </w:r>
      <w:r w:rsidR="00BB20F0">
        <w:t xml:space="preserve"> for five years </w:t>
      </w:r>
      <w:r w:rsidR="00432784">
        <w:t>fro</w:t>
      </w:r>
      <w:r w:rsidR="00CB660F">
        <w:t xml:space="preserve">m the date of </w:t>
      </w:r>
      <w:r w:rsidR="008455DB">
        <w:t>the notice</w:t>
      </w:r>
      <w:r w:rsidR="00CB660F">
        <w:t xml:space="preserve">. </w:t>
      </w:r>
      <w:r w:rsidR="00B25349">
        <w:t>In addition, e</w:t>
      </w:r>
      <w:r w:rsidR="00CB660F">
        <w:t>ach written noti</w:t>
      </w:r>
      <w:r w:rsidR="00FE32BC">
        <w:t>ce</w:t>
      </w:r>
      <w:r w:rsidR="00CB660F">
        <w:t xml:space="preserve"> must be made available for </w:t>
      </w:r>
      <w:r w:rsidR="00FE4CFC">
        <w:t xml:space="preserve">an ATF officer </w:t>
      </w:r>
      <w:r w:rsidR="00FE32BC">
        <w:t xml:space="preserve">to examine and inspect </w:t>
      </w:r>
      <w:r w:rsidR="00A6348F">
        <w:t xml:space="preserve">upon request, </w:t>
      </w:r>
      <w:r w:rsidR="00AB5D22">
        <w:t>at reasonable times.</w:t>
      </w:r>
    </w:p>
    <w:p w:rsidR="00A821FD" w:rsidP="00A821FD" w14:paraId="5205DB8E" w14:textId="523BEEBD">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w:t>
      </w:r>
      <w:r w:rsidR="008D2659">
        <w:rPr>
          <w:b/>
          <w:bCs/>
        </w:rPr>
        <w:t xml:space="preserve"> </w:t>
      </w:r>
      <w:r w:rsidRPr="00D53DEB">
        <w:rPr>
          <w:b/>
          <w:bCs/>
        </w:rPr>
        <w:t xml:space="preserve">Describe whether, and to what extent, the </w:t>
      </w:r>
      <w:r>
        <w:rPr>
          <w:b/>
          <w:bCs/>
        </w:rPr>
        <w:t>information collection</w:t>
      </w:r>
      <w:r w:rsidRPr="00D53DEB">
        <w:rPr>
          <w:b/>
          <w:bCs/>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w:t>
      </w:r>
    </w:p>
    <w:p w:rsidR="00A821FD" w:rsidP="00A821FD" w14:paraId="67C05AA5" w14:textId="75BA4D2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Pr>
          <w:b/>
          <w:bCs/>
        </w:rPr>
        <w:t xml:space="preserve"> </w:t>
      </w:r>
    </w:p>
    <w:p w:rsidR="009F6BB0" w:rsidP="00DD7AA3" w14:paraId="61AE4E07" w14:textId="16A3433C">
      <w:pPr>
        <w:spacing w:after="240"/>
        <w:ind w:left="360"/>
      </w:pPr>
      <w:r>
        <w:t xml:space="preserve">ATF requires </w:t>
      </w:r>
      <w:r w:rsidR="00A6348F">
        <w:t>this</w:t>
      </w:r>
      <w:r w:rsidR="00BF70B4">
        <w:t xml:space="preserve"> </w:t>
      </w:r>
      <w:r>
        <w:t xml:space="preserve">information be </w:t>
      </w:r>
      <w:r w:rsidR="00C74B34">
        <w:t>provided</w:t>
      </w:r>
      <w:r>
        <w:t xml:space="preserve"> orally and in writing rather </w:t>
      </w:r>
      <w:r w:rsidR="009C256E">
        <w:t xml:space="preserve">than </w:t>
      </w:r>
      <w:r>
        <w:t>by means of more advanced technology</w:t>
      </w:r>
      <w:r w:rsidR="006D3990">
        <w:t>,</w:t>
      </w:r>
      <w:r>
        <w:t xml:space="preserve"> since </w:t>
      </w:r>
      <w:r w:rsidR="006D3990">
        <w:t xml:space="preserve">some affected </w:t>
      </w:r>
      <w:r>
        <w:t xml:space="preserve">small businesses </w:t>
      </w:r>
      <w:r w:rsidR="00C74B34">
        <w:t>and</w:t>
      </w:r>
      <w:r w:rsidR="00D63226">
        <w:t xml:space="preserve"> fire authorities do</w:t>
      </w:r>
      <w:r>
        <w:t xml:space="preserve"> not have access to electronic means of communication</w:t>
      </w:r>
      <w:r w:rsidR="006D3990">
        <w:t xml:space="preserve"> </w:t>
      </w:r>
      <w:r w:rsidR="00D63226">
        <w:t xml:space="preserve">or online tools </w:t>
      </w:r>
      <w:r w:rsidR="006D3990">
        <w:t>to fulfill this reporting requirement</w:t>
      </w:r>
      <w:r w:rsidR="00D63226">
        <w:t xml:space="preserve"> otherwise</w:t>
      </w:r>
      <w:r>
        <w:t>.</w:t>
      </w:r>
      <w:r w:rsidR="00D220BA">
        <w:t xml:space="preserve"> Sm</w:t>
      </w:r>
      <w:r w:rsidR="009B2C24">
        <w:t xml:space="preserve">all </w:t>
      </w:r>
      <w:r w:rsidR="00A310CA">
        <w:t>businesses</w:t>
      </w:r>
      <w:r w:rsidR="00DB2EB4">
        <w:t xml:space="preserve"> that have access to </w:t>
      </w:r>
      <w:r w:rsidR="00D220BA">
        <w:t xml:space="preserve">electronic means </w:t>
      </w:r>
      <w:r w:rsidR="00A310CA">
        <w:t xml:space="preserve">are allowed to submit </w:t>
      </w:r>
      <w:r w:rsidR="00B56808">
        <w:t xml:space="preserve">written notification </w:t>
      </w:r>
      <w:r w:rsidR="00D656A2">
        <w:t>by email</w:t>
      </w:r>
      <w:r w:rsidR="00E4415A">
        <w:t xml:space="preserve"> if the fire authority can receive email.</w:t>
      </w:r>
    </w:p>
    <w:p w:rsidR="00BE3E1B" w:rsidP="00BE3E1B" w14:paraId="276BE041" w14:textId="2736CE0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4.</w:t>
      </w:r>
      <w:r w:rsidR="008D2659">
        <w:rPr>
          <w:b/>
          <w:bCs/>
        </w:rPr>
        <w:t xml:space="preserve"> </w:t>
      </w:r>
      <w:r w:rsidRPr="00D53DEB">
        <w:rPr>
          <w:b/>
          <w:bCs/>
        </w:rPr>
        <w:t>Describe efforts to identify duplication.</w:t>
      </w:r>
    </w:p>
    <w:p w:rsidR="00BE3E1B" w:rsidP="00BE3E1B" w14:paraId="0AC7CBDF" w14:textId="02CE64F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Pr>
          <w:b/>
          <w:bCs/>
        </w:rPr>
        <w:t xml:space="preserve"> </w:t>
      </w:r>
    </w:p>
    <w:p w:rsidR="002F1518" w:rsidP="006D3990" w14:paraId="13C5C161" w14:textId="11FF0038">
      <w:pPr>
        <w:spacing w:after="240"/>
        <w:ind w:left="360"/>
      </w:pPr>
      <w:r>
        <w:t>This information is not duplicative</w:t>
      </w:r>
      <w:r w:rsidR="006D3990">
        <w:t xml:space="preserve"> since the </w:t>
      </w:r>
      <w:r>
        <w:t>information sought is not attainable from any other source.</w:t>
      </w:r>
      <w:r w:rsidR="00DE4C18">
        <w:t xml:space="preserve"> </w:t>
      </w:r>
      <w:r>
        <w:t>Prior to 27 CFR 555.201</w:t>
      </w:r>
      <w:r w:rsidR="006D3990">
        <w:t>,</w:t>
      </w:r>
      <w:r>
        <w:t xml:space="preserve"> there was no other consistent means </w:t>
      </w:r>
      <w:r w:rsidR="006D3990">
        <w:t>to collect the required information.</w:t>
      </w:r>
    </w:p>
    <w:p w:rsidR="00672616" w:rsidP="00672616" w14:paraId="33507FA2" w14:textId="7999A378">
      <w:pPr>
        <w:spacing w:after="240"/>
        <w:rPr>
          <w:b/>
          <w:bCs/>
        </w:rPr>
      </w:pPr>
      <w:r w:rsidRPr="00D53DEB">
        <w:rPr>
          <w:b/>
          <w:bCs/>
        </w:rPr>
        <w:t>5.</w:t>
      </w:r>
      <w:r w:rsidR="008D2659">
        <w:t xml:space="preserve"> </w:t>
      </w:r>
      <w:r w:rsidRPr="00D53DEB">
        <w:rPr>
          <w:b/>
          <w:bCs/>
        </w:rPr>
        <w:t xml:space="preserve">If the </w:t>
      </w:r>
      <w:r>
        <w:rPr>
          <w:b/>
          <w:bCs/>
        </w:rPr>
        <w:t>information collection</w:t>
      </w:r>
      <w:r w:rsidRPr="00D53DEB">
        <w:rPr>
          <w:b/>
          <w:bCs/>
        </w:rPr>
        <w:t xml:space="preserve"> impacts small businesses or other small entities, describe any methods used to minimize burden.</w:t>
      </w:r>
    </w:p>
    <w:p w:rsidR="00EE7DA5" w:rsidP="00DD7AA3" w14:paraId="04578BEA" w14:textId="161E4881">
      <w:pPr>
        <w:spacing w:after="240"/>
        <w:ind w:firstLine="360"/>
      </w:pPr>
      <w:r>
        <w:t>Th</w:t>
      </w:r>
      <w:r w:rsidR="00C15216">
        <w:t>is</w:t>
      </w:r>
      <w:r>
        <w:t xml:space="preserve"> information collection</w:t>
      </w:r>
      <w:r>
        <w:t xml:space="preserve"> </w:t>
      </w:r>
      <w:r w:rsidR="00380B2F">
        <w:t>does not</w:t>
      </w:r>
      <w:r>
        <w:t xml:space="preserve"> </w:t>
      </w:r>
      <w:r w:rsidR="006D3990">
        <w:t xml:space="preserve">significantly </w:t>
      </w:r>
      <w:r>
        <w:t>impact small businesses.</w:t>
      </w:r>
    </w:p>
    <w:p w:rsidR="00A26BD9" w:rsidP="00D87263" w14:paraId="553E9D1E" w14:textId="1241F250">
      <w:pPr>
        <w:spacing w:after="240"/>
        <w:rPr>
          <w:b/>
          <w:bCs/>
        </w:rPr>
      </w:pPr>
      <w:r w:rsidRPr="00D53DEB">
        <w:rPr>
          <w:b/>
          <w:bCs/>
        </w:rPr>
        <w:t>6.</w:t>
      </w:r>
      <w:r w:rsidR="008D2659">
        <w:rPr>
          <w:b/>
          <w:bCs/>
        </w:rPr>
        <w:t xml:space="preserve"> </w:t>
      </w:r>
      <w:r w:rsidRPr="00D53DEB">
        <w:rPr>
          <w:b/>
          <w:bCs/>
        </w:rPr>
        <w:t>Describe the consequence to federal program or policy activities if the collection is not conducted or is conducted less frequently, as well as any technical or legal obstacles to reducing burden.</w:t>
      </w:r>
    </w:p>
    <w:p w:rsidR="00EE7DA5" w:rsidP="00DD7AA3" w14:paraId="51C47F87" w14:textId="2168DE9F">
      <w:pPr>
        <w:spacing w:after="240"/>
        <w:ind w:left="360"/>
      </w:pPr>
      <w:r>
        <w:t xml:space="preserve">Prior to 27 CFR 555.201, there was no other consistent means to collect this information. The absence of </w:t>
      </w:r>
      <w:r w:rsidR="00A34864">
        <w:t>notifications to local fire authorities</w:t>
      </w:r>
      <w:r>
        <w:t xml:space="preserve"> had deleterious consequences for emergency response personnel responding to fires where explosives were stored. </w:t>
      </w:r>
      <w:r w:rsidR="00BF3EDE">
        <w:t xml:space="preserve">The explosives industry and first responders requested this information be provided to local fire authorities, and then requested that the frequency of notices be increased from initial notice to annual notice. </w:t>
      </w:r>
      <w:r>
        <w:t xml:space="preserve">The safety of </w:t>
      </w:r>
      <w:r w:rsidR="00A34864">
        <w:t xml:space="preserve">such </w:t>
      </w:r>
      <w:r>
        <w:t>emergency response personnel would be severely jeopardized</w:t>
      </w:r>
      <w:r w:rsidR="006D3990">
        <w:t xml:space="preserve"> </w:t>
      </w:r>
      <w:r>
        <w:t xml:space="preserve">if the collection is not </w:t>
      </w:r>
      <w:r>
        <w:t>conducted</w:t>
      </w:r>
      <w:r w:rsidR="006D3990">
        <w:t>,</w:t>
      </w:r>
      <w:r>
        <w:t xml:space="preserve"> or</w:t>
      </w:r>
      <w:r>
        <w:t xml:space="preserve"> is conducted less frequently.</w:t>
      </w:r>
    </w:p>
    <w:p w:rsidR="00183C41" w:rsidRPr="00D53DEB" w:rsidP="00183C41" w14:paraId="4A03C201" w14:textId="2F37A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7.</w:t>
      </w:r>
      <w:r w:rsidR="008D2659">
        <w:rPr>
          <w:b/>
          <w:bCs/>
        </w:rPr>
        <w:t xml:space="preserve"> </w:t>
      </w:r>
      <w:r w:rsidRPr="00D53DEB">
        <w:rPr>
          <w:b/>
          <w:bCs/>
        </w:rPr>
        <w:t>Explain any special circumstances that would cause an information collection to be conducted in a manner</w:t>
      </w:r>
      <w:r>
        <w:rPr>
          <w:b/>
          <w:bCs/>
        </w:rPr>
        <w:t xml:space="preserve"> inconsistent with 5 CFR 1320.6.</w:t>
      </w:r>
    </w:p>
    <w:p w:rsidR="00183C41" w:rsidP="00DD7AA3" w14:paraId="39FD25E2" w14:textId="77777777">
      <w:pPr>
        <w:spacing w:after="240"/>
        <w:ind w:left="360"/>
      </w:pPr>
    </w:p>
    <w:p w:rsidR="00FB5DBE" w:rsidP="00FB5DBE" w14:paraId="72B969B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B5DBE">
        <w:t>There are no special circumstances associated with this information collection, which is conducted in a manner consistent with 5 CFR 1320.6.</w:t>
      </w:r>
    </w:p>
    <w:p w:rsidR="00FB5DBE" w:rsidP="00FB5DBE" w14:paraId="76AE715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B002C" w:rsidRPr="00A536E0" w:rsidP="00A536E0" w14:paraId="643583EA" w14:textId="2812A624">
      <w:pPr>
        <w:spacing w:after="240"/>
        <w:rPr>
          <w:u w:val="single"/>
        </w:rPr>
      </w:pPr>
      <w:r w:rsidRPr="00A536E0">
        <w:rPr>
          <w:b/>
          <w:bCs/>
        </w:rPr>
        <w:t>8.</w:t>
      </w:r>
      <w:r w:rsidR="008D2659">
        <w:rPr>
          <w:b/>
          <w:bCs/>
        </w:rPr>
        <w:t xml:space="preserve"> </w:t>
      </w:r>
      <w:r w:rsidRPr="00A536E0">
        <w:rPr>
          <w:b/>
          <w:bCs/>
        </w:rPr>
        <w:t xml:space="preserve">If applicable, provide a copy and identify the date and page number of </w:t>
      </w:r>
      <w:r w:rsidRPr="00A536E0">
        <w:rPr>
          <w:b/>
          <w:bCs/>
        </w:rPr>
        <w:t>publication</w:t>
      </w:r>
      <w:r w:rsidRPr="00A536E0">
        <w:rPr>
          <w:b/>
          <w:bCs/>
        </w:rPr>
        <w:t xml:space="preserve"> in the </w:t>
      </w:r>
      <w:r w:rsidRPr="00A536E0">
        <w:rPr>
          <w:rStyle w:val="Heading2Char"/>
          <w:rFonts w:ascii="Times New Roman" w:hAnsi="Times New Roman" w:cs="Times New Roman"/>
          <w:sz w:val="24"/>
          <w:szCs w:val="24"/>
        </w:rPr>
        <w:t>Federal Register</w:t>
      </w:r>
      <w:r w:rsidRPr="00A536E0">
        <w:rPr>
          <w:b/>
          <w:bCs/>
        </w:rPr>
        <w:t xml:space="preserve"> of the agency's notice, required by 5 CFR 1320.8(d), soliciting comments on the information collection prior to submission to OMB.</w:t>
      </w:r>
    </w:p>
    <w:p w:rsidR="006B002C" w:rsidP="00DD7AA3" w14:paraId="741295DA" w14:textId="21CCDB70">
      <w:pPr>
        <w:spacing w:after="240"/>
        <w:ind w:left="360"/>
      </w:pPr>
      <w:r w:rsidRPr="002A0869">
        <w:t xml:space="preserve">The 60-Day Notice was published in the </w:t>
      </w:r>
      <w:r w:rsidRPr="002A0869">
        <w:rPr>
          <w:i/>
          <w:iCs/>
        </w:rPr>
        <w:t>Federal Register</w:t>
      </w:r>
      <w:r w:rsidRPr="002A0869">
        <w:t xml:space="preserve"> on [xx/xx/xx] (XX FR XXXXX). The comment period ended on [xx/xx/xx]. ATF received no comments.</w:t>
      </w:r>
      <w:r w:rsidR="008D2659">
        <w:t xml:space="preserve"> </w:t>
      </w:r>
    </w:p>
    <w:p w:rsidR="005D1E1F" w:rsidP="005D1E1F" w14:paraId="121BFF9B" w14:textId="7F372D83">
      <w:pPr>
        <w:spacing w:after="240"/>
        <w:rPr>
          <w:b/>
          <w:bCs/>
        </w:rPr>
      </w:pPr>
      <w:r w:rsidRPr="00D53DEB">
        <w:rPr>
          <w:b/>
          <w:bCs/>
        </w:rPr>
        <w:t>9.</w:t>
      </w:r>
      <w:r w:rsidR="008D2659">
        <w:rPr>
          <w:b/>
          <w:bCs/>
        </w:rPr>
        <w:t xml:space="preserve"> </w:t>
      </w:r>
      <w:r w:rsidRPr="00D53DEB">
        <w:rPr>
          <w:b/>
          <w:bCs/>
        </w:rPr>
        <w:t>Explain any decision to provide any payments or gift</w:t>
      </w:r>
      <w:r>
        <w:rPr>
          <w:b/>
          <w:bCs/>
        </w:rPr>
        <w:t>s</w:t>
      </w:r>
      <w:r w:rsidRPr="00D53DEB">
        <w:rPr>
          <w:b/>
          <w:bCs/>
        </w:rPr>
        <w:t xml:space="preserve"> to respondents, other than remuneration of contractors or grantees.</w:t>
      </w:r>
    </w:p>
    <w:p w:rsidR="00DD5CAE" w:rsidP="00DD7AA3" w14:paraId="43912623" w14:textId="03197339">
      <w:pPr>
        <w:spacing w:after="240"/>
        <w:ind w:firstLine="360"/>
      </w:pPr>
      <w:r>
        <w:t xml:space="preserve">No </w:t>
      </w:r>
      <w:r>
        <w:t xml:space="preserve">payment or gift is associated with this </w:t>
      </w:r>
      <w:r w:rsidR="0000487F">
        <w:t xml:space="preserve">information </w:t>
      </w:r>
      <w:r>
        <w:t>collection.</w:t>
      </w:r>
    </w:p>
    <w:p w:rsidR="00AE7403" w:rsidP="00AE7403" w14:paraId="69BBF574" w14:textId="00B9010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10.</w:t>
      </w:r>
      <w:r w:rsidR="008D2659">
        <w:rPr>
          <w:b/>
          <w:bCs/>
        </w:rPr>
        <w:t xml:space="preserve"> </w:t>
      </w:r>
      <w:r w:rsidRPr="00D53DEB">
        <w:rPr>
          <w:b/>
          <w:bCs/>
        </w:rPr>
        <w:t>Describe any assurance of confidentiality provided to respondents and the basis for the assurance in statute, regulation, or agency policy.</w:t>
      </w:r>
    </w:p>
    <w:p w:rsidR="00AE7403" w:rsidRPr="00D53DEB" w:rsidP="00AE7403" w14:paraId="0CE947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DD5CAE" w:rsidP="00DD7AA3" w14:paraId="2D55A946" w14:textId="10866193">
      <w:pPr>
        <w:spacing w:after="240"/>
        <w:ind w:left="360"/>
      </w:pPr>
      <w:r w:rsidRPr="00796357">
        <w:t xml:space="preserve">This information collection does not collect protected </w:t>
      </w:r>
      <w:r w:rsidRPr="00796357">
        <w:t>information</w:t>
      </w:r>
      <w:r w:rsidRPr="00796357">
        <w:t xml:space="preserve"> and ATF has not assured respondents of confidentiality.</w:t>
      </w:r>
      <w:r>
        <w:t xml:space="preserve"> The notices will be retained by the person storing explosive materials and not provided to ATF.</w:t>
      </w:r>
    </w:p>
    <w:p w:rsidR="009E65E1" w:rsidP="009E65E1" w14:paraId="70998E41" w14:textId="4DF3522B">
      <w:pPr>
        <w:spacing w:after="240"/>
      </w:pPr>
      <w:r w:rsidRPr="00D53DEB">
        <w:rPr>
          <w:b/>
          <w:bCs/>
        </w:rPr>
        <w:t>11. Provide additional justification for any questions of a sensitive nature, such as sexual behavior and attitudes, religious beliefs, and other matters that are commonly considered private</w:t>
      </w:r>
      <w:r>
        <w:rPr>
          <w:b/>
          <w:bCs/>
        </w:rPr>
        <w:t>.</w:t>
      </w:r>
      <w:r>
        <w:t xml:space="preserve"> </w:t>
      </w:r>
    </w:p>
    <w:p w:rsidR="00C91727" w:rsidP="00A92060" w14:paraId="5224470C" w14:textId="32254AB9">
      <w:pPr>
        <w:spacing w:after="240"/>
        <w:ind w:left="360"/>
      </w:pPr>
      <w:r>
        <w:t>This information collection does not ask questions or require information of a sensitive nature</w:t>
      </w:r>
      <w:r>
        <w:t>.</w:t>
      </w:r>
    </w:p>
    <w:p w:rsidR="006010C0" w:rsidP="006010C0" w14:paraId="68165451" w14:textId="3F09633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w:t>
      </w:r>
      <w:r w:rsidR="008D2659">
        <w:rPr>
          <w:b/>
          <w:bCs/>
        </w:rPr>
        <w:t xml:space="preserve"> </w:t>
      </w:r>
      <w:r w:rsidRPr="00D53DEB">
        <w:rPr>
          <w:b/>
          <w:bCs/>
        </w:rPr>
        <w:t xml:space="preserve">Provide estimates of the hour burden of the </w:t>
      </w:r>
      <w:r w:rsidR="000408FF">
        <w:rPr>
          <w:b/>
          <w:bCs/>
        </w:rPr>
        <w:t>information collection</w:t>
      </w:r>
      <w:r w:rsidRPr="00D53DEB">
        <w:rPr>
          <w:b/>
          <w:bCs/>
        </w:rPr>
        <w:t>.</w:t>
      </w:r>
    </w:p>
    <w:p w:rsidR="006010C0" w:rsidP="006010C0" w14:paraId="29F62F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B684E" w:rsidP="00DD7AA3" w14:paraId="5AA6F212" w14:textId="4844278E">
      <w:pPr>
        <w:spacing w:after="240"/>
        <w:ind w:left="360"/>
      </w:pPr>
      <w:r>
        <w:t>As the ATF regulation</w:t>
      </w:r>
      <w:r w:rsidR="000F6CB6">
        <w:t xml:space="preserve">s </w:t>
      </w:r>
      <w:r>
        <w:t xml:space="preserve">require any person who stores explosive materials </w:t>
      </w:r>
      <w:r w:rsidR="000F6CB6">
        <w:t>to</w:t>
      </w:r>
      <w:r>
        <w:t xml:space="preserve"> notify the authority having jurisdiction for fire safety in the locality in which explosive materials are being stored</w:t>
      </w:r>
      <w:r w:rsidR="000F6CB6">
        <w:t>, ATF estimates this to be a</w:t>
      </w:r>
      <w:r w:rsidR="003D7C38">
        <w:t xml:space="preserve">n annual notification incumbent on all existing explosives licensees, </w:t>
      </w:r>
      <w:r w:rsidR="001B11D4">
        <w:t>permittees</w:t>
      </w:r>
      <w:r w:rsidR="003D7C38">
        <w:t xml:space="preserve">, and </w:t>
      </w:r>
      <w:r w:rsidR="001B11D4">
        <w:t>non-licensed</w:t>
      </w:r>
      <w:r w:rsidR="003D7C38">
        <w:t xml:space="preserve"> individuals</w:t>
      </w:r>
      <w:r w:rsidR="000408FF">
        <w:t xml:space="preserve"> who store explosive materials covered by ATF regulations</w:t>
      </w:r>
      <w:r w:rsidR="00B96BA9">
        <w:t xml:space="preserve">. </w:t>
      </w:r>
      <w:r>
        <w:t>The number of respondents associated with this collection is</w:t>
      </w:r>
      <w:r w:rsidR="00B96BA9">
        <w:t xml:space="preserve"> rounded up to</w:t>
      </w:r>
      <w:r w:rsidR="004B566D">
        <w:t xml:space="preserve"> </w:t>
      </w:r>
      <w:r w:rsidR="00C34907">
        <w:t>10,000</w:t>
      </w:r>
      <w:r w:rsidR="004B566D">
        <w:t>.</w:t>
      </w:r>
      <w:r w:rsidR="00DE4C18">
        <w:t xml:space="preserve"> </w:t>
      </w:r>
      <w:r w:rsidR="004B566D">
        <w:t>Each respondent will respond one time.</w:t>
      </w:r>
      <w:r w:rsidR="00DE4C18">
        <w:t xml:space="preserve"> </w:t>
      </w:r>
      <w:r w:rsidR="004B566D">
        <w:t>The total number of</w:t>
      </w:r>
      <w:r w:rsidR="003553C6">
        <w:t xml:space="preserve"> </w:t>
      </w:r>
      <w:r w:rsidR="004B566D">
        <w:t xml:space="preserve">responses is </w:t>
      </w:r>
      <w:r w:rsidR="00C34907">
        <w:t>10,000</w:t>
      </w:r>
      <w:r w:rsidR="004B566D">
        <w:t>.</w:t>
      </w:r>
      <w:r w:rsidR="00DE4C18">
        <w:t xml:space="preserve"> </w:t>
      </w:r>
      <w:r w:rsidR="00494ADC">
        <w:t>It takes an estimated</w:t>
      </w:r>
      <w:r w:rsidR="004B566D">
        <w:t xml:space="preserve"> 30 minutes</w:t>
      </w:r>
      <w:r w:rsidR="00494ADC">
        <w:t xml:space="preserve"> to generate the notice</w:t>
      </w:r>
      <w:r w:rsidR="004B566D">
        <w:t>.</w:t>
      </w:r>
      <w:r w:rsidR="00DE4C18">
        <w:t xml:space="preserve"> </w:t>
      </w:r>
    </w:p>
    <w:p w:rsidR="00EC0B5D" w:rsidP="00DD7AA3" w14:paraId="7DD284DE" w14:textId="0F585918">
      <w:pPr>
        <w:spacing w:after="240"/>
        <w:ind w:left="360"/>
      </w:pPr>
      <w:r w:rsidRPr="00FF7001">
        <w:t>ATF bases the</w:t>
      </w:r>
      <w:r w:rsidR="00861636">
        <w:t xml:space="preserve"> cost of time in these</w:t>
      </w:r>
      <w:r w:rsidRPr="00FF7001">
        <w:t xml:space="preserve"> economic cost estimates on data for </w:t>
      </w:r>
      <w:r>
        <w:t xml:space="preserve">Explosives Workers, Ordnance Handling Experts, and Blasters for May </w:t>
      </w:r>
      <w:r w:rsidRPr="00FF7001">
        <w:t>20</w:t>
      </w:r>
      <w:r>
        <w:t>23,</w:t>
      </w:r>
      <w:r w:rsidRPr="00FF7001">
        <w:t xml:space="preserve"> as determined by </w:t>
      </w:r>
      <w:r w:rsidRPr="00FF7001">
        <w:t>the U.S. Department of Labor, Bureau of Labor Statistics</w:t>
      </w:r>
      <w:r>
        <w:t>.</w:t>
      </w:r>
      <w:r>
        <w:rPr>
          <w:rStyle w:val="FootnoteReference"/>
        </w:rPr>
        <w:footnoteReference w:id="2"/>
      </w:r>
      <w:r w:rsidR="008D2659">
        <w:t xml:space="preserve"> </w:t>
      </w:r>
      <w:r w:rsidRPr="00FF7001">
        <w:t>The Bureau of Labor Statistics determined the average hourly employer costs for employee compensation for civilian workers to be $</w:t>
      </w:r>
      <w:r>
        <w:t>31.54</w:t>
      </w:r>
      <w:r w:rsidRPr="00FF7001">
        <w:t>.</w:t>
      </w:r>
      <w:r w:rsidR="008D2659">
        <w:t xml:space="preserve"> </w:t>
      </w:r>
      <w:r>
        <w:t xml:space="preserve">A load rate of 1.42 was also applied to account for benefits, making the loaded wage rate $44.79 (=31.54 * 1.42). </w:t>
      </w:r>
      <w:r>
        <w:t>Half</w:t>
      </w:r>
      <w:r w:rsidRPr="00071B39">
        <w:t xml:space="preserve"> </w:t>
      </w:r>
      <w:r w:rsidR="00380B2F">
        <w:t xml:space="preserve">an </w:t>
      </w:r>
      <w:r w:rsidRPr="00071B39">
        <w:t>hour of labor ($</w:t>
      </w:r>
      <w:r>
        <w:t>44.79/hour x 0.5 hours</w:t>
      </w:r>
      <w:r w:rsidRPr="00071B39">
        <w:t>)</w:t>
      </w:r>
      <w:r>
        <w:rPr>
          <w:vertAlign w:val="superscript"/>
        </w:rPr>
        <w:footnoteReference w:id="3"/>
      </w:r>
      <w:r>
        <w:t xml:space="preserve"> </w:t>
      </w:r>
      <w:r w:rsidR="0062279E">
        <w:t xml:space="preserve">results in an estimate of approximately </w:t>
      </w:r>
      <w:r w:rsidR="00B51242">
        <w:t xml:space="preserve">$22.39 </w:t>
      </w:r>
      <w:r w:rsidR="00D245B6">
        <w:t xml:space="preserve">per respondent </w:t>
      </w:r>
      <w:r>
        <w:t>for completing</w:t>
      </w:r>
      <w:r w:rsidRPr="00071B39">
        <w:t xml:space="preserve"> and </w:t>
      </w:r>
      <w:r>
        <w:t>e</w:t>
      </w:r>
      <w:r w:rsidRPr="00071B39">
        <w:t xml:space="preserve">mailing </w:t>
      </w:r>
      <w:r>
        <w:t>the notification.</w:t>
      </w:r>
    </w:p>
    <w:p w:rsidR="001B5915" w:rsidP="003F4951" w14:paraId="074978CA" w14:textId="0344B24F">
      <w:pPr>
        <w:spacing w:after="240"/>
        <w:ind w:left="360"/>
      </w:pPr>
      <w:bookmarkStart w:id="0" w:name="_Hlk182397142"/>
      <w:r w:rsidRPr="00D84B23">
        <w:t xml:space="preserve">Therefore, the total </w:t>
      </w:r>
      <w:r w:rsidR="00E236E3">
        <w:t xml:space="preserve">annual </w:t>
      </w:r>
      <w:r>
        <w:t>monetized value of the time</w:t>
      </w:r>
      <w:r w:rsidRPr="00D84B23">
        <w:t xml:space="preserve"> burden associated with this collection is $</w:t>
      </w:r>
      <w:r w:rsidR="00F343F9">
        <w:t>223,</w:t>
      </w:r>
      <w:r w:rsidR="00FA2B7B">
        <w:t>950</w:t>
      </w:r>
      <w:r w:rsidRPr="00D84B23">
        <w:t xml:space="preserve"> (</w:t>
      </w:r>
      <w:r w:rsidR="00FA2B7B">
        <w:t>10,000</w:t>
      </w:r>
      <w:r w:rsidRPr="00D84B23">
        <w:t xml:space="preserve"> total responses * $</w:t>
      </w:r>
      <w:r w:rsidR="00C76204">
        <w:t>22.</w:t>
      </w:r>
      <w:r w:rsidR="00C31207">
        <w:t>395</w:t>
      </w:r>
      <w:r w:rsidRPr="00D84B23">
        <w:t xml:space="preserve"> cost per response).</w:t>
      </w:r>
      <w:r w:rsidR="00E236E3">
        <w:t xml:space="preserve"> Over the three-year renewal period for this ICR, the monetized value of the time burden (due to annual notices) would be $671,850.</w:t>
      </w:r>
    </w:p>
    <w:bookmarkEnd w:id="0"/>
    <w:p w:rsidR="001B5915" w:rsidRPr="006626FF" w:rsidP="001B5915" w14:paraId="28AB9E0C" w14:textId="77777777">
      <w:pPr>
        <w:ind w:left="720"/>
        <w:rPr>
          <w:i/>
        </w:rPr>
      </w:pPr>
    </w:p>
    <w:p w:rsidR="001B5915" w:rsidRPr="00E60FB0" w:rsidP="001B5915" w14:paraId="5ADB02D5" w14:textId="77777777">
      <w:pPr>
        <w:ind w:left="720"/>
        <w:rPr>
          <w:i/>
        </w:rPr>
      </w:pPr>
      <w:r>
        <w:rPr>
          <w:b/>
        </w:rPr>
        <w:t xml:space="preserve">Table. </w:t>
      </w:r>
      <w:r w:rsidRPr="00E60FB0">
        <w:rPr>
          <w:b/>
        </w:rPr>
        <w:t xml:space="preserve">Estimated </w:t>
      </w:r>
      <w:r>
        <w:rPr>
          <w:b/>
        </w:rPr>
        <w:t>a</w:t>
      </w:r>
      <w:r w:rsidRPr="00E60FB0">
        <w:rPr>
          <w:b/>
        </w:rPr>
        <w:t xml:space="preserve">nnualized </w:t>
      </w:r>
      <w:r>
        <w:rPr>
          <w:b/>
        </w:rPr>
        <w:t>r</w:t>
      </w:r>
      <w:r w:rsidRPr="00E60FB0">
        <w:rPr>
          <w:b/>
        </w:rPr>
        <w:t xml:space="preserve">espondent </w:t>
      </w:r>
      <w:r>
        <w:rPr>
          <w:b/>
        </w:rPr>
        <w:t>h</w:t>
      </w:r>
      <w:r w:rsidRPr="00E60FB0">
        <w:rPr>
          <w:b/>
        </w:rPr>
        <w:t xml:space="preserve">our </w:t>
      </w:r>
      <w:r>
        <w:rPr>
          <w:b/>
        </w:rPr>
        <w:t>b</w:t>
      </w:r>
      <w:r w:rsidRPr="00E60FB0">
        <w:rPr>
          <w:b/>
        </w:rPr>
        <w:t>urden</w:t>
      </w:r>
      <w:r>
        <w:rPr>
          <w:b/>
        </w:rPr>
        <w:t xml:space="preserve"> and monetized value</w:t>
      </w:r>
    </w:p>
    <w:tbl>
      <w:tblPr>
        <w:tblStyle w:val="TableGrid"/>
        <w:tblW w:w="9018" w:type="dxa"/>
        <w:tblLayout w:type="fixed"/>
        <w:tblLook w:val="04A0"/>
      </w:tblPr>
      <w:tblGrid>
        <w:gridCol w:w="1271"/>
        <w:gridCol w:w="1121"/>
        <w:gridCol w:w="1226"/>
        <w:gridCol w:w="938"/>
        <w:gridCol w:w="901"/>
        <w:gridCol w:w="889"/>
        <w:gridCol w:w="1268"/>
        <w:gridCol w:w="1404"/>
      </w:tblGrid>
      <w:tr w14:paraId="04847B35" w14:textId="7450607A" w:rsidTr="00E553D4">
        <w:tblPrEx>
          <w:tblW w:w="9018" w:type="dxa"/>
          <w:tblLayout w:type="fixed"/>
          <w:tblLook w:val="04A0"/>
        </w:tblPrEx>
        <w:tc>
          <w:tcPr>
            <w:tcW w:w="1271" w:type="dxa"/>
            <w:shd w:val="clear" w:color="auto" w:fill="8DB3E2" w:themeFill="text2" w:themeFillTint="66"/>
            <w:vAlign w:val="center"/>
          </w:tcPr>
          <w:p w:rsidR="00966723" w:rsidRPr="00E553D4" w:rsidP="00E553D4" w14:paraId="1F08825E" w14:textId="77777777">
            <w:pPr>
              <w:jc w:val="center"/>
              <w:rPr>
                <w:rFonts w:ascii="Times New Roman" w:hAnsi="Times New Roman" w:cs="Times New Roman"/>
                <w:b/>
                <w:sz w:val="22"/>
                <w:szCs w:val="22"/>
              </w:rPr>
            </w:pPr>
            <w:r w:rsidRPr="00E553D4">
              <w:rPr>
                <w:rFonts w:ascii="Times New Roman" w:hAnsi="Times New Roman" w:cs="Times New Roman"/>
                <w:b/>
                <w:sz w:val="22"/>
                <w:szCs w:val="22"/>
              </w:rPr>
              <w:t>Activity</w:t>
            </w:r>
          </w:p>
        </w:tc>
        <w:tc>
          <w:tcPr>
            <w:tcW w:w="1121" w:type="dxa"/>
            <w:shd w:val="clear" w:color="auto" w:fill="8DB3E2" w:themeFill="text2" w:themeFillTint="66"/>
            <w:vAlign w:val="center"/>
          </w:tcPr>
          <w:p w:rsidR="00966723" w:rsidRPr="00E553D4" w:rsidP="00E553D4" w14:paraId="247E1396" w14:textId="77777777">
            <w:pPr>
              <w:jc w:val="center"/>
              <w:rPr>
                <w:rFonts w:ascii="Times New Roman" w:hAnsi="Times New Roman" w:cs="Times New Roman"/>
                <w:b/>
                <w:sz w:val="22"/>
                <w:szCs w:val="22"/>
              </w:rPr>
            </w:pPr>
            <w:r w:rsidRPr="00E553D4">
              <w:rPr>
                <w:rFonts w:ascii="Times New Roman" w:hAnsi="Times New Roman" w:cs="Times New Roman"/>
                <w:b/>
                <w:sz w:val="22"/>
                <w:szCs w:val="22"/>
              </w:rPr>
              <w:t>Total annual responses</w:t>
            </w:r>
          </w:p>
        </w:tc>
        <w:tc>
          <w:tcPr>
            <w:tcW w:w="1226" w:type="dxa"/>
            <w:shd w:val="clear" w:color="auto" w:fill="8DB3E2" w:themeFill="text2" w:themeFillTint="66"/>
            <w:vAlign w:val="center"/>
          </w:tcPr>
          <w:p w:rsidR="00966723" w:rsidRPr="00E553D4" w:rsidP="00E553D4" w14:paraId="1AC018FD" w14:textId="66647DEB">
            <w:pPr>
              <w:jc w:val="center"/>
              <w:rPr>
                <w:rFonts w:ascii="Times New Roman" w:hAnsi="Times New Roman" w:cs="Times New Roman"/>
                <w:b/>
                <w:sz w:val="22"/>
                <w:szCs w:val="22"/>
              </w:rPr>
            </w:pPr>
            <w:r w:rsidRPr="00E553D4">
              <w:rPr>
                <w:rFonts w:ascii="Times New Roman" w:hAnsi="Times New Roman" w:cs="Times New Roman"/>
                <w:b/>
                <w:sz w:val="22"/>
                <w:szCs w:val="22"/>
              </w:rPr>
              <w:t xml:space="preserve">Total responses </w:t>
            </w:r>
            <w:r w:rsidRPr="00E553D4" w:rsidR="00E553D4">
              <w:rPr>
                <w:rFonts w:ascii="Times New Roman" w:hAnsi="Times New Roman" w:cs="Times New Roman"/>
                <w:b/>
                <w:sz w:val="22"/>
                <w:szCs w:val="22"/>
              </w:rPr>
              <w:t>3-year renewal period</w:t>
            </w:r>
          </w:p>
        </w:tc>
        <w:tc>
          <w:tcPr>
            <w:tcW w:w="938" w:type="dxa"/>
            <w:shd w:val="clear" w:color="auto" w:fill="8DB3E2" w:themeFill="text2" w:themeFillTint="66"/>
            <w:vAlign w:val="center"/>
          </w:tcPr>
          <w:p w:rsidR="00966723" w:rsidRPr="00E553D4" w:rsidP="00E553D4" w14:paraId="13C22741" w14:textId="6A13F58D">
            <w:pPr>
              <w:jc w:val="center"/>
              <w:rPr>
                <w:rFonts w:ascii="Times New Roman" w:hAnsi="Times New Roman" w:cs="Times New Roman"/>
                <w:b/>
                <w:sz w:val="22"/>
                <w:szCs w:val="22"/>
              </w:rPr>
            </w:pPr>
            <w:r w:rsidRPr="00E553D4">
              <w:rPr>
                <w:rFonts w:ascii="Times New Roman" w:hAnsi="Times New Roman" w:cs="Times New Roman"/>
                <w:b/>
                <w:sz w:val="22"/>
                <w:szCs w:val="22"/>
              </w:rPr>
              <w:t>Time per response</w:t>
            </w:r>
          </w:p>
        </w:tc>
        <w:tc>
          <w:tcPr>
            <w:tcW w:w="901" w:type="dxa"/>
            <w:shd w:val="clear" w:color="auto" w:fill="8DB3E2" w:themeFill="text2" w:themeFillTint="66"/>
            <w:vAlign w:val="center"/>
          </w:tcPr>
          <w:p w:rsidR="00966723" w:rsidRPr="00E553D4" w:rsidP="00E553D4" w14:paraId="1A68A036" w14:textId="77777777">
            <w:pPr>
              <w:jc w:val="center"/>
              <w:rPr>
                <w:rFonts w:ascii="Times New Roman" w:hAnsi="Times New Roman" w:cs="Times New Roman"/>
                <w:b/>
                <w:sz w:val="22"/>
                <w:szCs w:val="22"/>
              </w:rPr>
            </w:pPr>
            <w:r w:rsidRPr="00E553D4">
              <w:rPr>
                <w:rFonts w:ascii="Times New Roman" w:hAnsi="Times New Roman" w:cs="Times New Roman"/>
                <w:b/>
                <w:sz w:val="22"/>
                <w:szCs w:val="22"/>
              </w:rPr>
              <w:t>Total annual burden (hours)</w:t>
            </w:r>
          </w:p>
        </w:tc>
        <w:tc>
          <w:tcPr>
            <w:tcW w:w="889" w:type="dxa"/>
            <w:shd w:val="clear" w:color="auto" w:fill="8DB3E2" w:themeFill="text2" w:themeFillTint="66"/>
            <w:vAlign w:val="center"/>
          </w:tcPr>
          <w:p w:rsidR="00966723" w:rsidRPr="00E553D4" w:rsidP="00E553D4" w14:paraId="3AD708EA" w14:textId="77777777">
            <w:pPr>
              <w:jc w:val="center"/>
              <w:rPr>
                <w:rFonts w:ascii="Times New Roman" w:hAnsi="Times New Roman" w:cs="Times New Roman"/>
                <w:b/>
                <w:sz w:val="22"/>
                <w:szCs w:val="22"/>
              </w:rPr>
            </w:pPr>
            <w:r w:rsidRPr="00E553D4">
              <w:rPr>
                <w:rFonts w:ascii="Times New Roman" w:hAnsi="Times New Roman" w:cs="Times New Roman"/>
                <w:b/>
                <w:sz w:val="22"/>
                <w:szCs w:val="22"/>
              </w:rPr>
              <w:t>Hourly rate*</w:t>
            </w:r>
          </w:p>
        </w:tc>
        <w:tc>
          <w:tcPr>
            <w:tcW w:w="1268" w:type="dxa"/>
            <w:shd w:val="clear" w:color="auto" w:fill="8DB3E2" w:themeFill="text2" w:themeFillTint="66"/>
            <w:vAlign w:val="center"/>
          </w:tcPr>
          <w:p w:rsidR="00966723" w:rsidRPr="00E553D4" w:rsidP="00E553D4" w14:paraId="667DD5EB" w14:textId="1210D90B">
            <w:pPr>
              <w:jc w:val="center"/>
              <w:rPr>
                <w:rFonts w:ascii="Times New Roman" w:hAnsi="Times New Roman" w:cs="Times New Roman"/>
                <w:b/>
                <w:sz w:val="22"/>
                <w:szCs w:val="22"/>
              </w:rPr>
            </w:pPr>
            <w:r w:rsidRPr="00E553D4">
              <w:rPr>
                <w:rFonts w:ascii="Times New Roman" w:hAnsi="Times New Roman" w:cs="Times New Roman"/>
                <w:b/>
                <w:sz w:val="22"/>
                <w:szCs w:val="22"/>
              </w:rPr>
              <w:t xml:space="preserve">Monetized </w:t>
            </w:r>
            <w:r w:rsidRPr="00E553D4" w:rsidR="00E553D4">
              <w:rPr>
                <w:rFonts w:ascii="Times New Roman" w:hAnsi="Times New Roman" w:cs="Times New Roman"/>
                <w:b/>
                <w:sz w:val="22"/>
                <w:szCs w:val="22"/>
              </w:rPr>
              <w:t xml:space="preserve">annual </w:t>
            </w:r>
            <w:r w:rsidRPr="00E553D4">
              <w:rPr>
                <w:rFonts w:ascii="Times New Roman" w:hAnsi="Times New Roman" w:cs="Times New Roman"/>
                <w:b/>
                <w:sz w:val="22"/>
                <w:szCs w:val="22"/>
              </w:rPr>
              <w:t>value of respondent time</w:t>
            </w:r>
          </w:p>
        </w:tc>
        <w:tc>
          <w:tcPr>
            <w:tcW w:w="1404" w:type="dxa"/>
            <w:shd w:val="clear" w:color="auto" w:fill="8DB3E2" w:themeFill="text2" w:themeFillTint="66"/>
            <w:vAlign w:val="center"/>
          </w:tcPr>
          <w:p w:rsidR="00966723" w:rsidRPr="00E553D4" w:rsidP="00E553D4" w14:paraId="4A921604" w14:textId="08D80383">
            <w:pPr>
              <w:jc w:val="center"/>
              <w:rPr>
                <w:rFonts w:ascii="Times New Roman" w:hAnsi="Times New Roman" w:cs="Times New Roman"/>
                <w:b/>
                <w:sz w:val="22"/>
                <w:szCs w:val="22"/>
              </w:rPr>
            </w:pPr>
            <w:r w:rsidRPr="00E553D4">
              <w:rPr>
                <w:rFonts w:ascii="Times New Roman" w:hAnsi="Times New Roman" w:cs="Times New Roman"/>
                <w:b/>
                <w:sz w:val="22"/>
                <w:szCs w:val="22"/>
              </w:rPr>
              <w:t>Monetized 3-year value of respondent time</w:t>
            </w:r>
          </w:p>
        </w:tc>
      </w:tr>
      <w:tr w14:paraId="0865449D" w14:textId="7A815421" w:rsidTr="00E553D4">
        <w:tblPrEx>
          <w:tblW w:w="9018" w:type="dxa"/>
          <w:tblLayout w:type="fixed"/>
          <w:tblLook w:val="04A0"/>
        </w:tblPrEx>
        <w:tc>
          <w:tcPr>
            <w:tcW w:w="1271" w:type="dxa"/>
            <w:vAlign w:val="center"/>
          </w:tcPr>
          <w:p w:rsidR="00966723" w:rsidRPr="003F4951" w:rsidP="001B11D4" w14:paraId="697743C5" w14:textId="06D4ECF5">
            <w:r>
              <w:rPr>
                <w:color w:val="000000"/>
                <w:sz w:val="22"/>
                <w:szCs w:val="22"/>
              </w:rPr>
              <w:t>Notice</w:t>
            </w:r>
            <w:r w:rsidRPr="003F4951">
              <w:rPr>
                <w:color w:val="000000"/>
                <w:sz w:val="22"/>
                <w:szCs w:val="22"/>
              </w:rPr>
              <w:t xml:space="preserve"> to </w:t>
            </w:r>
            <w:r>
              <w:rPr>
                <w:color w:val="000000"/>
                <w:sz w:val="22"/>
                <w:szCs w:val="22"/>
              </w:rPr>
              <w:t>f</w:t>
            </w:r>
            <w:r w:rsidRPr="003F4951">
              <w:rPr>
                <w:color w:val="000000"/>
                <w:sz w:val="22"/>
                <w:szCs w:val="22"/>
              </w:rPr>
              <w:t xml:space="preserve">ire </w:t>
            </w:r>
            <w:r>
              <w:rPr>
                <w:color w:val="000000"/>
                <w:sz w:val="22"/>
                <w:szCs w:val="22"/>
              </w:rPr>
              <w:t>s</w:t>
            </w:r>
            <w:r w:rsidRPr="003F4951">
              <w:rPr>
                <w:color w:val="000000"/>
                <w:sz w:val="22"/>
                <w:szCs w:val="22"/>
              </w:rPr>
              <w:t xml:space="preserve">afety </w:t>
            </w:r>
            <w:r>
              <w:rPr>
                <w:color w:val="000000"/>
                <w:sz w:val="22"/>
                <w:szCs w:val="22"/>
              </w:rPr>
              <w:t>a</w:t>
            </w:r>
            <w:r w:rsidRPr="003F4951">
              <w:rPr>
                <w:color w:val="000000"/>
                <w:sz w:val="22"/>
                <w:szCs w:val="22"/>
              </w:rPr>
              <w:t>uthority</w:t>
            </w:r>
            <w:r w:rsidR="00E236E3">
              <w:rPr>
                <w:color w:val="000000"/>
                <w:sz w:val="22"/>
                <w:szCs w:val="22"/>
              </w:rPr>
              <w:t xml:space="preserve"> re: storing explosive materials</w:t>
            </w:r>
          </w:p>
        </w:tc>
        <w:tc>
          <w:tcPr>
            <w:tcW w:w="1121" w:type="dxa"/>
            <w:vAlign w:val="center"/>
          </w:tcPr>
          <w:p w:rsidR="00966723" w:rsidRPr="00436CB3" w:rsidP="00E553D4" w14:paraId="1F6FBA27" w14:textId="03FEB9ED">
            <w:pPr>
              <w:jc w:val="center"/>
              <w:rPr>
                <w:rFonts w:ascii="Times New Roman" w:hAnsi="Times New Roman" w:cs="Times New Roman"/>
                <w:sz w:val="22"/>
                <w:szCs w:val="22"/>
              </w:rPr>
            </w:pPr>
            <w:r w:rsidRPr="002F4D8D">
              <w:rPr>
                <w:rFonts w:ascii="Times New Roman" w:hAnsi="Times New Roman"/>
                <w:color w:val="000000"/>
                <w:sz w:val="22"/>
                <w:szCs w:val="22"/>
              </w:rPr>
              <w:t>1</w:t>
            </w:r>
            <w:r>
              <w:rPr>
                <w:rFonts w:ascii="Times New Roman" w:hAnsi="Times New Roman"/>
                <w:color w:val="000000"/>
                <w:sz w:val="22"/>
                <w:szCs w:val="22"/>
              </w:rPr>
              <w:t>0</w:t>
            </w:r>
            <w:r w:rsidRPr="002F4D8D">
              <w:rPr>
                <w:rFonts w:ascii="Times New Roman" w:hAnsi="Times New Roman"/>
                <w:color w:val="000000"/>
                <w:sz w:val="22"/>
                <w:szCs w:val="22"/>
              </w:rPr>
              <w:t>,</w:t>
            </w:r>
            <w:r>
              <w:rPr>
                <w:rFonts w:ascii="Times New Roman" w:hAnsi="Times New Roman"/>
                <w:color w:val="000000"/>
                <w:sz w:val="22"/>
                <w:szCs w:val="22"/>
              </w:rPr>
              <w:t>000</w:t>
            </w:r>
          </w:p>
        </w:tc>
        <w:tc>
          <w:tcPr>
            <w:tcW w:w="1226" w:type="dxa"/>
            <w:vAlign w:val="center"/>
          </w:tcPr>
          <w:p w:rsidR="00966723" w:rsidRPr="002F4D8D" w:rsidP="00E553D4" w14:paraId="3E004431" w14:textId="7E03F086">
            <w:pPr>
              <w:jc w:val="center"/>
              <w:rPr>
                <w:color w:val="000000"/>
                <w:sz w:val="22"/>
                <w:szCs w:val="22"/>
              </w:rPr>
            </w:pPr>
            <w:r>
              <w:rPr>
                <w:color w:val="000000"/>
                <w:sz w:val="22"/>
                <w:szCs w:val="22"/>
              </w:rPr>
              <w:t>30,000</w:t>
            </w:r>
          </w:p>
        </w:tc>
        <w:tc>
          <w:tcPr>
            <w:tcW w:w="938" w:type="dxa"/>
            <w:vAlign w:val="center"/>
          </w:tcPr>
          <w:p w:rsidR="00966723" w:rsidRPr="00436CB3" w:rsidP="00E553D4" w14:paraId="1C453EFD" w14:textId="531A962E">
            <w:pPr>
              <w:jc w:val="center"/>
              <w:rPr>
                <w:rFonts w:ascii="Times New Roman" w:hAnsi="Times New Roman" w:cs="Times New Roman"/>
                <w:sz w:val="22"/>
                <w:szCs w:val="22"/>
              </w:rPr>
            </w:pPr>
            <w:r w:rsidRPr="002F4D8D">
              <w:rPr>
                <w:rFonts w:ascii="Times New Roman" w:hAnsi="Times New Roman"/>
                <w:color w:val="000000"/>
                <w:sz w:val="22"/>
                <w:szCs w:val="22"/>
              </w:rPr>
              <w:t>30</w:t>
            </w:r>
          </w:p>
        </w:tc>
        <w:tc>
          <w:tcPr>
            <w:tcW w:w="901" w:type="dxa"/>
            <w:vAlign w:val="center"/>
          </w:tcPr>
          <w:p w:rsidR="00966723" w:rsidRPr="00436CB3" w:rsidP="00E553D4" w14:paraId="278E3B11" w14:textId="74C8628A">
            <w:pPr>
              <w:jc w:val="center"/>
              <w:rPr>
                <w:rFonts w:ascii="Times New Roman" w:hAnsi="Times New Roman" w:cs="Times New Roman"/>
                <w:sz w:val="22"/>
                <w:szCs w:val="22"/>
              </w:rPr>
            </w:pPr>
            <w:r>
              <w:rPr>
                <w:rFonts w:ascii="Times New Roman" w:hAnsi="Times New Roman"/>
                <w:color w:val="000000"/>
                <w:sz w:val="22"/>
                <w:szCs w:val="22"/>
              </w:rPr>
              <w:t>5</w:t>
            </w:r>
            <w:r w:rsidRPr="002F4D8D">
              <w:rPr>
                <w:rFonts w:ascii="Times New Roman" w:hAnsi="Times New Roman"/>
                <w:color w:val="000000"/>
                <w:sz w:val="22"/>
                <w:szCs w:val="22"/>
              </w:rPr>
              <w:t>,</w:t>
            </w:r>
            <w:r>
              <w:rPr>
                <w:rFonts w:ascii="Times New Roman" w:hAnsi="Times New Roman"/>
                <w:color w:val="000000"/>
                <w:sz w:val="22"/>
                <w:szCs w:val="22"/>
              </w:rPr>
              <w:t>00</w:t>
            </w:r>
            <w:r w:rsidRPr="002F4D8D">
              <w:rPr>
                <w:rFonts w:ascii="Times New Roman" w:hAnsi="Times New Roman"/>
                <w:color w:val="000000"/>
                <w:sz w:val="22"/>
                <w:szCs w:val="22"/>
              </w:rPr>
              <w:t>0</w:t>
            </w:r>
          </w:p>
        </w:tc>
        <w:tc>
          <w:tcPr>
            <w:tcW w:w="889" w:type="dxa"/>
            <w:vAlign w:val="center"/>
          </w:tcPr>
          <w:p w:rsidR="00966723" w:rsidRPr="00436CB3" w:rsidP="00E553D4" w14:paraId="167CB5C6" w14:textId="3EAA5FD4">
            <w:pPr>
              <w:jc w:val="center"/>
              <w:rPr>
                <w:rFonts w:ascii="Times New Roman" w:hAnsi="Times New Roman" w:cs="Times New Roman"/>
                <w:sz w:val="22"/>
                <w:szCs w:val="22"/>
              </w:rPr>
            </w:pPr>
            <w:r w:rsidRPr="002F4D8D">
              <w:rPr>
                <w:rFonts w:ascii="Times New Roman" w:hAnsi="Times New Roman"/>
                <w:color w:val="000000"/>
                <w:sz w:val="22"/>
                <w:szCs w:val="22"/>
              </w:rPr>
              <w:t>$</w:t>
            </w:r>
            <w:r>
              <w:rPr>
                <w:rFonts w:ascii="Times New Roman" w:hAnsi="Times New Roman"/>
                <w:color w:val="000000"/>
                <w:sz w:val="22"/>
                <w:szCs w:val="22"/>
              </w:rPr>
              <w:t>44.79</w:t>
            </w:r>
          </w:p>
        </w:tc>
        <w:tc>
          <w:tcPr>
            <w:tcW w:w="1268" w:type="dxa"/>
            <w:vAlign w:val="center"/>
          </w:tcPr>
          <w:p w:rsidR="00966723" w:rsidRPr="00436CB3" w:rsidP="00E553D4" w14:paraId="4956220E" w14:textId="50B89BF6">
            <w:pPr>
              <w:jc w:val="center"/>
              <w:rPr>
                <w:rFonts w:ascii="Times New Roman" w:hAnsi="Times New Roman" w:cs="Times New Roman"/>
                <w:sz w:val="22"/>
                <w:szCs w:val="22"/>
              </w:rPr>
            </w:pPr>
            <w:r w:rsidRPr="002F4D8D">
              <w:rPr>
                <w:rFonts w:ascii="Times New Roman" w:hAnsi="Times New Roman"/>
                <w:color w:val="000000"/>
                <w:sz w:val="22"/>
                <w:szCs w:val="22"/>
              </w:rPr>
              <w:t>$</w:t>
            </w:r>
            <w:r>
              <w:rPr>
                <w:rFonts w:ascii="Times New Roman" w:hAnsi="Times New Roman"/>
                <w:color w:val="000000"/>
                <w:sz w:val="22"/>
                <w:szCs w:val="22"/>
              </w:rPr>
              <w:t xml:space="preserve">    223,950</w:t>
            </w:r>
          </w:p>
        </w:tc>
        <w:tc>
          <w:tcPr>
            <w:tcW w:w="1404" w:type="dxa"/>
            <w:vAlign w:val="center"/>
          </w:tcPr>
          <w:p w:rsidR="00966723" w:rsidRPr="002F4D8D" w:rsidP="00E553D4" w14:paraId="4E8581F4" w14:textId="0C8AA982">
            <w:pPr>
              <w:jc w:val="center"/>
              <w:rPr>
                <w:color w:val="000000"/>
                <w:sz w:val="22"/>
                <w:szCs w:val="22"/>
              </w:rPr>
            </w:pPr>
            <w:r>
              <w:rPr>
                <w:color w:val="000000"/>
                <w:sz w:val="22"/>
                <w:szCs w:val="22"/>
              </w:rPr>
              <w:t>$ 671,850</w:t>
            </w:r>
          </w:p>
        </w:tc>
      </w:tr>
    </w:tbl>
    <w:p w:rsidR="00D70311" w:rsidP="00D70311" w14:paraId="4272B1E4" w14:textId="77777777">
      <w:pPr>
        <w:spacing w:after="240"/>
        <w:ind w:left="720"/>
        <w:rPr>
          <w:u w:val="single"/>
        </w:rPr>
      </w:pPr>
    </w:p>
    <w:p w:rsidR="007D4397" w:rsidP="007D4397" w14:paraId="0A1E77AD" w14:textId="02F3199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13.</w:t>
      </w:r>
      <w:r w:rsidR="008D2659">
        <w:rPr>
          <w:b/>
        </w:rPr>
        <w:t xml:space="preserve"> </w:t>
      </w:r>
      <w:r w:rsidRPr="00D53DEB">
        <w:rPr>
          <w:b/>
        </w:rPr>
        <w:t xml:space="preserve">Provide an estimate of the total annual cost burden to respondents or recordkeepers resulting from the </w:t>
      </w:r>
      <w:r w:rsidR="00380B2F">
        <w:rPr>
          <w:b/>
        </w:rPr>
        <w:t>information collection</w:t>
      </w:r>
      <w:r w:rsidRPr="00D53DEB">
        <w:rPr>
          <w:b/>
        </w:rPr>
        <w:t>.</w:t>
      </w:r>
      <w:r w:rsidR="008D2659">
        <w:rPr>
          <w:b/>
        </w:rPr>
        <w:t xml:space="preserve"> </w:t>
      </w:r>
      <w:r w:rsidRPr="00D53DEB">
        <w:rPr>
          <w:b/>
        </w:rPr>
        <w:t>(Do not include the cost of any hour burden shown in Items 12 and 14).</w:t>
      </w:r>
    </w:p>
    <w:p w:rsidR="007D4397" w:rsidRPr="00D53DEB" w:rsidP="007D4397" w14:paraId="7D8BE00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D5747D" w:rsidP="00CA31CE" w14:paraId="3C3E4247" w14:textId="45396BB2">
      <w:pPr>
        <w:spacing w:after="240"/>
        <w:ind w:left="360"/>
      </w:pPr>
      <w:r>
        <w:t>The</w:t>
      </w:r>
      <w:r w:rsidR="00CA31CE">
        <w:t xml:space="preserve"> only</w:t>
      </w:r>
      <w:r>
        <w:t xml:space="preserve"> cost to </w:t>
      </w:r>
      <w:r w:rsidR="002A304E">
        <w:t>respondents</w:t>
      </w:r>
      <w:r>
        <w:t xml:space="preserve"> is postage for </w:t>
      </w:r>
      <w:r w:rsidR="00DD41A8">
        <w:t>those who submit the required information by mail</w:t>
      </w:r>
      <w:r>
        <w:t>.</w:t>
      </w:r>
      <w:r w:rsidR="00DE4C18">
        <w:t xml:space="preserve"> </w:t>
      </w:r>
      <w:r>
        <w:t xml:space="preserve">ATF estimates </w:t>
      </w:r>
      <w:r w:rsidR="002A304E">
        <w:t xml:space="preserve">that approximately 75 percent of respondents will submit by email, resulting in 25 percent incurring a postage cost. ATF estimates </w:t>
      </w:r>
      <w:r>
        <w:t xml:space="preserve">this cost based on </w:t>
      </w:r>
      <w:r w:rsidR="008A5642">
        <w:t xml:space="preserve">the </w:t>
      </w:r>
      <w:r w:rsidR="002A304E">
        <w:t xml:space="preserve">current </w:t>
      </w:r>
      <w:r w:rsidR="008A5642">
        <w:t xml:space="preserve">postage </w:t>
      </w:r>
      <w:r w:rsidR="002A304E">
        <w:t xml:space="preserve">rate </w:t>
      </w:r>
      <w:r w:rsidR="008A5642">
        <w:t xml:space="preserve">increase to </w:t>
      </w:r>
      <w:r w:rsidR="00882620">
        <w:t xml:space="preserve">73 </w:t>
      </w:r>
      <w:r w:rsidR="008A5642">
        <w:t>cents</w:t>
      </w:r>
      <w:r w:rsidR="00436790">
        <w:t>.</w:t>
      </w:r>
      <w:r w:rsidR="00DE4C18">
        <w:t xml:space="preserve"> </w:t>
      </w:r>
      <w:r w:rsidR="005D783F">
        <w:t>The</w:t>
      </w:r>
      <w:r w:rsidR="00CA31CE">
        <w:t>refore</w:t>
      </w:r>
      <w:r w:rsidR="005F2ED5">
        <w:t>,</w:t>
      </w:r>
      <w:r w:rsidR="005D783F">
        <w:t xml:space="preserve"> </w:t>
      </w:r>
      <w:r w:rsidR="002A304E">
        <w:t xml:space="preserve">the </w:t>
      </w:r>
      <w:r w:rsidR="005D783F">
        <w:t>total</w:t>
      </w:r>
      <w:r w:rsidR="008A5642">
        <w:t xml:space="preserve"> cost </w:t>
      </w:r>
      <w:r w:rsidR="00B35B80">
        <w:t>has been rounded to</w:t>
      </w:r>
      <w:r w:rsidR="008A5642">
        <w:t xml:space="preserve"> $</w:t>
      </w:r>
      <w:r w:rsidR="00372035">
        <w:t>1,825 (</w:t>
      </w:r>
      <w:r w:rsidR="00FD47BD">
        <w:t>10,000 annual responses/4 = 2,500 mailed responses *</w:t>
      </w:r>
      <w:r w:rsidR="00607E38">
        <w:t xml:space="preserve"> .73 </w:t>
      </w:r>
      <w:r w:rsidR="00607E38">
        <w:t>postage</w:t>
      </w:r>
      <w:r w:rsidR="00607E38">
        <w:t xml:space="preserve"> = $1,825)</w:t>
      </w:r>
      <w:r w:rsidR="009C256E">
        <w:t>.</w:t>
      </w:r>
    </w:p>
    <w:p w:rsidR="00FD072B" w:rsidP="00FD072B" w14:paraId="289899EF" w14:textId="4EA608D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14.</w:t>
      </w:r>
      <w:r w:rsidR="008D2659">
        <w:rPr>
          <w:b/>
          <w:bCs/>
        </w:rPr>
        <w:t xml:space="preserve"> </w:t>
      </w:r>
      <w:r w:rsidRPr="00D53DEB">
        <w:rPr>
          <w:b/>
          <w:bCs/>
        </w:rPr>
        <w:t xml:space="preserve">Provide estimates of the annualized cost to the </w:t>
      </w:r>
      <w:r w:rsidR="00AC258B">
        <w:rPr>
          <w:b/>
          <w:bCs/>
        </w:rPr>
        <w:t>f</w:t>
      </w:r>
      <w:r w:rsidRPr="00D53DEB">
        <w:rPr>
          <w:b/>
          <w:bCs/>
        </w:rPr>
        <w:t xml:space="preserve">ederal </w:t>
      </w:r>
      <w:r w:rsidR="00AC258B">
        <w:rPr>
          <w:b/>
          <w:bCs/>
        </w:rPr>
        <w:t>g</w:t>
      </w:r>
      <w:r w:rsidRPr="00D53DEB">
        <w:rPr>
          <w:b/>
          <w:bCs/>
        </w:rPr>
        <w:t>overnment.</w:t>
      </w:r>
    </w:p>
    <w:p w:rsidR="00FD072B" w:rsidP="00FD072B" w14:paraId="3BCFE4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8A5642" w:rsidP="00CA31CE" w14:paraId="71EE26FA" w14:textId="05862761">
      <w:pPr>
        <w:spacing w:after="240"/>
        <w:ind w:left="360"/>
      </w:pPr>
      <w:r>
        <w:t xml:space="preserve">There is no cost to the </w:t>
      </w:r>
      <w:r w:rsidR="00AC258B">
        <w:t>f</w:t>
      </w:r>
      <w:r>
        <w:t>ederal government.</w:t>
      </w:r>
    </w:p>
    <w:p w:rsidR="00802190" w:rsidP="00802190" w14:paraId="72DC29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 program changes or adjustments</w:t>
      </w:r>
      <w:r w:rsidRPr="00A47DA7">
        <w:rPr>
          <w:b/>
          <w:bCs/>
        </w:rPr>
        <w:t>.</w:t>
      </w:r>
    </w:p>
    <w:p w:rsidR="00802190" w:rsidRPr="00A47DA7" w:rsidP="00802190" w14:paraId="3FCDF4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p>
    <w:p w:rsidR="00FC339E" w:rsidP="00D46BED" w14:paraId="179B8596" w14:textId="2C9DDCD6">
      <w:pPr>
        <w:spacing w:after="240"/>
        <w:ind w:left="360"/>
      </w:pPr>
      <w:r>
        <w:t>T</w:t>
      </w:r>
      <w:r w:rsidR="00ED2001">
        <w:t xml:space="preserve">his renewal updates the annual number of respondents, resulting in an increase from </w:t>
      </w:r>
      <w:r w:rsidR="00BB3658">
        <w:t xml:space="preserve">975 to 10,000. </w:t>
      </w:r>
      <w:r w:rsidR="00E762BE">
        <w:t xml:space="preserve">This increase is due </w:t>
      </w:r>
      <w:r w:rsidR="00B04926">
        <w:t>a rise</w:t>
      </w:r>
      <w:r w:rsidR="004E5647">
        <w:t xml:space="preserve"> in the number of licensees/permittees over time</w:t>
      </w:r>
      <w:r w:rsidR="00E762BE">
        <w:t xml:space="preserve">. </w:t>
      </w:r>
      <w:r w:rsidR="00BB3658">
        <w:t xml:space="preserve">In addition, </w:t>
      </w:r>
      <w:r w:rsidR="00022654">
        <w:t xml:space="preserve">this renewal includes the monetized value of the hour burden per response, which was not previously included. </w:t>
      </w:r>
      <w:r w:rsidR="00A95EA4">
        <w:t>And finally</w:t>
      </w:r>
      <w:r w:rsidR="00FA3394">
        <w:t xml:space="preserve">, </w:t>
      </w:r>
      <w:r w:rsidR="002A304E">
        <w:t>the cost of postage for mailed responses has increase</w:t>
      </w:r>
      <w:r w:rsidR="00A95EA4">
        <w:t>d</w:t>
      </w:r>
      <w:r w:rsidR="002A304E">
        <w:t xml:space="preserve"> from 49 cents to 73 cents. </w:t>
      </w:r>
      <w:r w:rsidR="00E62FB1">
        <w:t>Together, these changes resulted in an increase in annual burden hours from 488 to 5,000</w:t>
      </w:r>
      <w:r w:rsidR="00D1686D">
        <w:t>,</w:t>
      </w:r>
      <w:r w:rsidR="00E62FB1">
        <w:t xml:space="preserve"> </w:t>
      </w:r>
      <w:r w:rsidR="00D1686D">
        <w:t xml:space="preserve">an annual monetized value of the hour burden </w:t>
      </w:r>
      <w:r w:rsidR="00FA3394">
        <w:t xml:space="preserve">increase </w:t>
      </w:r>
      <w:r w:rsidR="00D1686D">
        <w:t>to</w:t>
      </w:r>
      <w:r w:rsidR="00B61E48">
        <w:t xml:space="preserve"> $223,950</w:t>
      </w:r>
      <w:r w:rsidR="00D1686D">
        <w:t>, and an annual increase in postage costs from $</w:t>
      </w:r>
      <w:r w:rsidR="00DC4E90">
        <w:t>359</w:t>
      </w:r>
      <w:r w:rsidR="00D1686D">
        <w:t xml:space="preserve"> to $1,825.</w:t>
      </w:r>
    </w:p>
    <w:p w:rsidR="001956CB" w:rsidP="001956CB" w14:paraId="3DC6FF8D" w14:textId="27D2385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16. For </w:t>
      </w:r>
      <w:r w:rsidR="007D261B">
        <w:rPr>
          <w:b/>
          <w:bCs/>
        </w:rPr>
        <w:t>information collections</w:t>
      </w:r>
      <w:r w:rsidRPr="00D53DEB">
        <w:rPr>
          <w:b/>
          <w:bCs/>
        </w:rPr>
        <w:t xml:space="preserve"> whose results will be published, outline plans for tabulations and publication.</w:t>
      </w:r>
    </w:p>
    <w:p w:rsidR="001956CB" w:rsidP="001956CB" w14:paraId="262ACA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3E4707" w:rsidP="00D46BED" w14:paraId="457ADBB0" w14:textId="77777777">
      <w:pPr>
        <w:spacing w:after="240"/>
        <w:ind w:firstLine="360"/>
      </w:pPr>
      <w:r>
        <w:t>The results of this collection will not be published.</w:t>
      </w:r>
    </w:p>
    <w:p w:rsidR="0030338A" w:rsidP="0030338A" w14:paraId="20562CCA" w14:textId="6ADA057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w:t>
      </w:r>
      <w:r w:rsidR="008D2659">
        <w:rPr>
          <w:b/>
          <w:bCs/>
        </w:rPr>
        <w:t xml:space="preserve"> </w:t>
      </w:r>
      <w:r w:rsidRPr="00D53DEB">
        <w:rPr>
          <w:b/>
          <w:bCs/>
        </w:rPr>
        <w:t>If seeking approval to not display the expiration date for OMB approval of the information collection, explain the reasons that display would be inappropriate.</w:t>
      </w:r>
    </w:p>
    <w:p w:rsidR="0030338A" w:rsidRPr="00D53DEB" w:rsidP="0030338A" w14:paraId="1616E7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3E4707" w:rsidP="00D46BED" w14:paraId="70AC2FF9" w14:textId="006E5CE8">
      <w:pPr>
        <w:spacing w:after="240"/>
        <w:ind w:firstLine="360"/>
      </w:pPr>
      <w:r w:rsidRPr="00D165B5">
        <w:t>ATF intends to display the OMB expiration date for this information collection.</w:t>
      </w:r>
    </w:p>
    <w:p w:rsidR="008A5F3F" w:rsidP="008A5F3F" w14:paraId="0446DA28" w14:textId="0B13456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w:t>
      </w:r>
      <w:r w:rsidR="008D2659">
        <w:rPr>
          <w:b/>
        </w:rPr>
        <w:t xml:space="preserve"> </w:t>
      </w:r>
      <w:r w:rsidRPr="00D53DEB">
        <w:rPr>
          <w:b/>
        </w:rPr>
        <w:t>Explain each exception to the certification statement.</w:t>
      </w:r>
    </w:p>
    <w:p w:rsidR="008A5F3F" w:rsidRPr="00D53DEB" w:rsidP="008A5F3F" w14:paraId="77C476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270E43" w:rsidRPr="00EC7182" w:rsidP="00EC7182" w14:paraId="1745E95B" w14:textId="0090B198">
      <w:pPr>
        <w:spacing w:after="240"/>
        <w:ind w:left="360"/>
      </w:pPr>
      <w:r w:rsidRPr="00EC7182">
        <w:t>This information collection does not include any exceptions to the certification statement.</w:t>
      </w:r>
    </w:p>
    <w:p w:rsidR="00AD4DD7" w:rsidRPr="00EC7182" w:rsidP="00FC339E" w14:paraId="7015F576" w14:textId="77777777">
      <w:pPr>
        <w:numPr>
          <w:ilvl w:val="0"/>
          <w:numId w:val="3"/>
        </w:numPr>
        <w:tabs>
          <w:tab w:val="num" w:pos="360"/>
          <w:tab w:val="clear" w:pos="720"/>
        </w:tabs>
        <w:spacing w:after="240"/>
        <w:ind w:hanging="720"/>
      </w:pPr>
      <w:r w:rsidRPr="00EC7182">
        <w:t>STATISTICAL METHODS</w:t>
      </w:r>
    </w:p>
    <w:p w:rsidR="00AD4DD7" w:rsidP="00EC7182" w14:paraId="1576B2EB" w14:textId="6D382C98">
      <w:pPr>
        <w:spacing w:after="240"/>
        <w:ind w:firstLine="360"/>
      </w:pPr>
      <w:r w:rsidRPr="00EC7182">
        <w:t>This collection does not employ statistical methods.</w:t>
      </w:r>
    </w:p>
    <w:sectPr w:rsidSect="00A41BEA">
      <w:footerReference w:type="even"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646" w:rsidP="00874438" w14:paraId="2A7566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5646" w14:paraId="74E54C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646" w:rsidP="00874438" w14:paraId="1FE1D51F" w14:textId="0AE11B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B83">
      <w:rPr>
        <w:rStyle w:val="PageNumber"/>
        <w:noProof/>
      </w:rPr>
      <w:t>2</w:t>
    </w:r>
    <w:r>
      <w:rPr>
        <w:rStyle w:val="PageNumber"/>
      </w:rPr>
      <w:fldChar w:fldCharType="end"/>
    </w:r>
  </w:p>
  <w:p w:rsidR="009E5646" w14:paraId="35B9BD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4AA" w14:paraId="1FC08597" w14:textId="77777777">
      <w:r>
        <w:separator/>
      </w:r>
    </w:p>
  </w:footnote>
  <w:footnote w:type="continuationSeparator" w:id="1">
    <w:p w:rsidR="00CB34AA" w14:paraId="00870224" w14:textId="77777777">
      <w:r>
        <w:continuationSeparator/>
      </w:r>
    </w:p>
  </w:footnote>
  <w:footnote w:id="2">
    <w:p w:rsidR="00A62A2F" w:rsidRPr="0018716D" w14:paraId="5818D3EC" w14:textId="65099B1A">
      <w:pPr>
        <w:pStyle w:val="FootnoteText"/>
        <w:rPr>
          <w:color w:val="auto"/>
        </w:rPr>
      </w:pPr>
      <w:r w:rsidRPr="0018716D">
        <w:rPr>
          <w:rStyle w:val="FootnoteReference"/>
          <w:color w:val="auto"/>
        </w:rPr>
        <w:footnoteRef/>
      </w:r>
      <w:r w:rsidRPr="0018716D">
        <w:rPr>
          <w:color w:val="auto"/>
        </w:rPr>
        <w:t xml:space="preserve"> </w:t>
      </w:r>
      <w:r w:rsidRPr="0018716D">
        <w:rPr>
          <w:rStyle w:val="Hyperlink"/>
          <w:rFonts w:ascii="Times New Roman" w:hAnsi="Times New Roman" w:cs="Times New Roman"/>
          <w:color w:val="auto"/>
          <w:u w:val="none"/>
        </w:rPr>
        <w:t>https://www.bls.gov/oes/2023/may/oes475032.htm</w:t>
      </w:r>
      <w:r w:rsidRPr="0018716D">
        <w:rPr>
          <w:rFonts w:ascii="Times New Roman" w:hAnsi="Times New Roman" w:cs="Times New Roman"/>
          <w:color w:val="auto"/>
        </w:rPr>
        <w:t>.</w:t>
      </w:r>
    </w:p>
  </w:footnote>
  <w:footnote w:id="3">
    <w:p w:rsidR="00EC0B5D" w:rsidRPr="00FF7001" w:rsidP="00EC0B5D" w14:paraId="4571C5AF" w14:textId="7340887D">
      <w:pPr>
        <w:pStyle w:val="FootnoteText"/>
        <w:rPr>
          <w:rFonts w:ascii="Times New Roman" w:hAnsi="Times New Roman" w:cs="Times New Roman"/>
        </w:rPr>
      </w:pPr>
      <w:r w:rsidRPr="00FF7001">
        <w:rPr>
          <w:rStyle w:val="FootnoteReference"/>
          <w:rFonts w:ascii="Times New Roman" w:hAnsi="Times New Roman" w:cs="Times New Roman"/>
        </w:rPr>
        <w:footnoteRef/>
      </w:r>
      <w:r w:rsidRPr="00FF7001">
        <w:rPr>
          <w:rFonts w:ascii="Times New Roman" w:hAnsi="Times New Roman" w:cs="Times New Roman"/>
        </w:rPr>
        <w:t xml:space="preserve"> </w:t>
      </w:r>
      <w:r w:rsidRPr="0049184D">
        <w:rPr>
          <w:rFonts w:ascii="Times New Roman" w:hAnsi="Times New Roman" w:cs="Times New Roman"/>
        </w:rPr>
        <w:t>https://data.bls.gov/pdq/SurveyOutputServlet</w:t>
      </w:r>
      <w:r>
        <w:rPr>
          <w:rFonts w:ascii="Times New Roman" w:hAnsi="Times New Roman" w:cs="Times New Roman"/>
        </w:rPr>
        <w:t xml:space="preserve"> using codes: total compensation code </w:t>
      </w:r>
      <w:r w:rsidRPr="00FC0D7D">
        <w:rPr>
          <w:rFonts w:ascii="Times New Roman" w:hAnsi="Times New Roman" w:cs="Times New Roman"/>
        </w:rPr>
        <w:t>CMU2010000000000D</w:t>
      </w:r>
      <w:r>
        <w:rPr>
          <w:rFonts w:ascii="Times New Roman" w:hAnsi="Times New Roman" w:cs="Times New Roman"/>
        </w:rPr>
        <w:t xml:space="preserve"> and wages and salaries code </w:t>
      </w:r>
      <w:r w:rsidRPr="00FC0D7D">
        <w:rPr>
          <w:rFonts w:ascii="Times New Roman" w:hAnsi="Times New Roman" w:cs="Times New Roman"/>
        </w:rPr>
        <w:t>CMU2020000000000D</w:t>
      </w:r>
      <w:r>
        <w:rPr>
          <w:rFonts w:ascii="Times New Roman" w:hAnsi="Times New Roman" w:cs="Times New Roman"/>
        </w:rPr>
        <w:t>.  Load rate of 1.42 = $41.62 average total compensation / $29.35 wages and salaries.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A0792"/>
    <w:multiLevelType w:val="hybridMultilevel"/>
    <w:tmpl w:val="AAAE42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985621"/>
    <w:multiLevelType w:val="hybridMultilevel"/>
    <w:tmpl w:val="73D2C5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5E6B93"/>
    <w:multiLevelType w:val="hybridMultilevel"/>
    <w:tmpl w:val="EC528BC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740539"/>
    <w:multiLevelType w:val="multilevel"/>
    <w:tmpl w:val="35C8CA04"/>
    <w:lvl w:ilvl="0">
      <w:start w:val="1140"/>
      <w:numFmt w:val="decimal"/>
      <w:lvlText w:val="%1"/>
      <w:lvlJc w:val="left"/>
      <w:pPr>
        <w:tabs>
          <w:tab w:val="num" w:pos="1050"/>
        </w:tabs>
        <w:ind w:left="1050" w:hanging="1050"/>
      </w:pPr>
      <w:rPr>
        <w:rFonts w:hint="default"/>
      </w:rPr>
    </w:lvl>
    <w:lvl w:ilvl="1">
      <w:start w:val="71"/>
      <w:numFmt w:val="decimalZero"/>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56A0FBF"/>
    <w:multiLevelType w:val="multilevel"/>
    <w:tmpl w:val="E29AAE98"/>
    <w:lvl w:ilvl="0">
      <w:start w:val="1140"/>
      <w:numFmt w:val="decimal"/>
      <w:lvlText w:val="%1"/>
      <w:lvlJc w:val="left"/>
      <w:pPr>
        <w:tabs>
          <w:tab w:val="num" w:pos="1170"/>
        </w:tabs>
        <w:ind w:left="1170" w:hanging="1170"/>
      </w:pPr>
      <w:rPr>
        <w:rFonts w:hint="default"/>
      </w:rPr>
    </w:lvl>
    <w:lvl w:ilvl="1">
      <w:start w:val="71"/>
      <w:numFmt w:val="decimalZero"/>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09746211">
    <w:abstractNumId w:val="4"/>
  </w:num>
  <w:num w:numId="2" w16cid:durableId="701056111">
    <w:abstractNumId w:val="3"/>
  </w:num>
  <w:num w:numId="3" w16cid:durableId="10643859">
    <w:abstractNumId w:val="2"/>
  </w:num>
  <w:num w:numId="4" w16cid:durableId="1485707510">
    <w:abstractNumId w:val="1"/>
  </w:num>
  <w:num w:numId="5" w16cid:durableId="83762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700EC"/>
    <w:rsid w:val="0000487F"/>
    <w:rsid w:val="00006A8D"/>
    <w:rsid w:val="00010658"/>
    <w:rsid w:val="00022654"/>
    <w:rsid w:val="00026544"/>
    <w:rsid w:val="000301D5"/>
    <w:rsid w:val="000408FF"/>
    <w:rsid w:val="00045061"/>
    <w:rsid w:val="00060148"/>
    <w:rsid w:val="00063502"/>
    <w:rsid w:val="00071B39"/>
    <w:rsid w:val="00073F27"/>
    <w:rsid w:val="00075E99"/>
    <w:rsid w:val="0007600E"/>
    <w:rsid w:val="00076DB2"/>
    <w:rsid w:val="000877BB"/>
    <w:rsid w:val="00097242"/>
    <w:rsid w:val="000A094E"/>
    <w:rsid w:val="000C4ED2"/>
    <w:rsid w:val="000E6EC5"/>
    <w:rsid w:val="000F627B"/>
    <w:rsid w:val="000F6CB6"/>
    <w:rsid w:val="00102747"/>
    <w:rsid w:val="001062CE"/>
    <w:rsid w:val="00114DA2"/>
    <w:rsid w:val="00121ED3"/>
    <w:rsid w:val="00124064"/>
    <w:rsid w:val="00135116"/>
    <w:rsid w:val="00140BE5"/>
    <w:rsid w:val="0014629A"/>
    <w:rsid w:val="00152763"/>
    <w:rsid w:val="00154CBC"/>
    <w:rsid w:val="00155A92"/>
    <w:rsid w:val="001565C4"/>
    <w:rsid w:val="00160F89"/>
    <w:rsid w:val="00161C4F"/>
    <w:rsid w:val="0017044F"/>
    <w:rsid w:val="0017222F"/>
    <w:rsid w:val="00173241"/>
    <w:rsid w:val="00181F75"/>
    <w:rsid w:val="00183201"/>
    <w:rsid w:val="00183C41"/>
    <w:rsid w:val="00184D0B"/>
    <w:rsid w:val="0018716D"/>
    <w:rsid w:val="0018764E"/>
    <w:rsid w:val="001918E6"/>
    <w:rsid w:val="001931D8"/>
    <w:rsid w:val="001949D7"/>
    <w:rsid w:val="001956CB"/>
    <w:rsid w:val="00195854"/>
    <w:rsid w:val="001A0A9F"/>
    <w:rsid w:val="001B09CA"/>
    <w:rsid w:val="001B11D4"/>
    <w:rsid w:val="001B5915"/>
    <w:rsid w:val="001B5CEE"/>
    <w:rsid w:val="001C7F1F"/>
    <w:rsid w:val="001D02BD"/>
    <w:rsid w:val="001D063A"/>
    <w:rsid w:val="001E0F09"/>
    <w:rsid w:val="001F1CDC"/>
    <w:rsid w:val="001F7053"/>
    <w:rsid w:val="00204C22"/>
    <w:rsid w:val="00207020"/>
    <w:rsid w:val="00211233"/>
    <w:rsid w:val="00212FAA"/>
    <w:rsid w:val="00216154"/>
    <w:rsid w:val="00222B90"/>
    <w:rsid w:val="00243729"/>
    <w:rsid w:val="0025388B"/>
    <w:rsid w:val="00256A64"/>
    <w:rsid w:val="00257A8E"/>
    <w:rsid w:val="00264AC1"/>
    <w:rsid w:val="00267AB9"/>
    <w:rsid w:val="00270E43"/>
    <w:rsid w:val="00290A92"/>
    <w:rsid w:val="00290ACF"/>
    <w:rsid w:val="002911C9"/>
    <w:rsid w:val="0029209A"/>
    <w:rsid w:val="002A0869"/>
    <w:rsid w:val="002A304E"/>
    <w:rsid w:val="002A4118"/>
    <w:rsid w:val="002C40A1"/>
    <w:rsid w:val="002D780A"/>
    <w:rsid w:val="002E0EA4"/>
    <w:rsid w:val="002E1AB1"/>
    <w:rsid w:val="002E5894"/>
    <w:rsid w:val="002F1518"/>
    <w:rsid w:val="002F2F4B"/>
    <w:rsid w:val="002F4D8D"/>
    <w:rsid w:val="0030338A"/>
    <w:rsid w:val="003035AB"/>
    <w:rsid w:val="003043B9"/>
    <w:rsid w:val="003079A6"/>
    <w:rsid w:val="00312075"/>
    <w:rsid w:val="00317488"/>
    <w:rsid w:val="00324103"/>
    <w:rsid w:val="00325941"/>
    <w:rsid w:val="00330A8C"/>
    <w:rsid w:val="003331B3"/>
    <w:rsid w:val="00336B0D"/>
    <w:rsid w:val="003408AE"/>
    <w:rsid w:val="003553C6"/>
    <w:rsid w:val="00372035"/>
    <w:rsid w:val="00374C5C"/>
    <w:rsid w:val="0038038F"/>
    <w:rsid w:val="00380B2F"/>
    <w:rsid w:val="00390F75"/>
    <w:rsid w:val="003A0B95"/>
    <w:rsid w:val="003A5D23"/>
    <w:rsid w:val="003A6867"/>
    <w:rsid w:val="003B2CAB"/>
    <w:rsid w:val="003B649B"/>
    <w:rsid w:val="003D3407"/>
    <w:rsid w:val="003D4F0C"/>
    <w:rsid w:val="003D5D90"/>
    <w:rsid w:val="003D7C38"/>
    <w:rsid w:val="003E3264"/>
    <w:rsid w:val="003E4707"/>
    <w:rsid w:val="003E4FB4"/>
    <w:rsid w:val="003E7052"/>
    <w:rsid w:val="003E7378"/>
    <w:rsid w:val="003F4951"/>
    <w:rsid w:val="0040424D"/>
    <w:rsid w:val="00415D18"/>
    <w:rsid w:val="004179AD"/>
    <w:rsid w:val="00424A03"/>
    <w:rsid w:val="00432784"/>
    <w:rsid w:val="00433C3E"/>
    <w:rsid w:val="00436790"/>
    <w:rsid w:val="00436CB3"/>
    <w:rsid w:val="00441E8A"/>
    <w:rsid w:val="0044621C"/>
    <w:rsid w:val="0044664B"/>
    <w:rsid w:val="004524B0"/>
    <w:rsid w:val="00461CD3"/>
    <w:rsid w:val="0047296A"/>
    <w:rsid w:val="00485BD5"/>
    <w:rsid w:val="0048719B"/>
    <w:rsid w:val="0048744D"/>
    <w:rsid w:val="00487BDB"/>
    <w:rsid w:val="0049184D"/>
    <w:rsid w:val="0049385C"/>
    <w:rsid w:val="00494ADC"/>
    <w:rsid w:val="004A7240"/>
    <w:rsid w:val="004B566D"/>
    <w:rsid w:val="004D528C"/>
    <w:rsid w:val="004E4FF8"/>
    <w:rsid w:val="004E5647"/>
    <w:rsid w:val="0050134C"/>
    <w:rsid w:val="00515642"/>
    <w:rsid w:val="00522208"/>
    <w:rsid w:val="0052505D"/>
    <w:rsid w:val="0053261D"/>
    <w:rsid w:val="0053283C"/>
    <w:rsid w:val="00541D45"/>
    <w:rsid w:val="005456EF"/>
    <w:rsid w:val="0055657D"/>
    <w:rsid w:val="00560272"/>
    <w:rsid w:val="00570382"/>
    <w:rsid w:val="00571BB8"/>
    <w:rsid w:val="00572674"/>
    <w:rsid w:val="00584E92"/>
    <w:rsid w:val="005877F3"/>
    <w:rsid w:val="0059633D"/>
    <w:rsid w:val="005A5D92"/>
    <w:rsid w:val="005A74C2"/>
    <w:rsid w:val="005A7621"/>
    <w:rsid w:val="005B7B73"/>
    <w:rsid w:val="005D1E1F"/>
    <w:rsid w:val="005D1FFC"/>
    <w:rsid w:val="005D783F"/>
    <w:rsid w:val="005F1F04"/>
    <w:rsid w:val="005F2ED5"/>
    <w:rsid w:val="005F53EA"/>
    <w:rsid w:val="006003A4"/>
    <w:rsid w:val="006010C0"/>
    <w:rsid w:val="006071E5"/>
    <w:rsid w:val="00607E38"/>
    <w:rsid w:val="00621B61"/>
    <w:rsid w:val="0062279E"/>
    <w:rsid w:val="00640A1E"/>
    <w:rsid w:val="006500A1"/>
    <w:rsid w:val="006532B6"/>
    <w:rsid w:val="0065486A"/>
    <w:rsid w:val="006626FF"/>
    <w:rsid w:val="00665F2D"/>
    <w:rsid w:val="00672616"/>
    <w:rsid w:val="00677BCC"/>
    <w:rsid w:val="00680DCF"/>
    <w:rsid w:val="00682636"/>
    <w:rsid w:val="00683956"/>
    <w:rsid w:val="0068558A"/>
    <w:rsid w:val="006910C5"/>
    <w:rsid w:val="006971BB"/>
    <w:rsid w:val="006A14E1"/>
    <w:rsid w:val="006A3D85"/>
    <w:rsid w:val="006B002C"/>
    <w:rsid w:val="006B188A"/>
    <w:rsid w:val="006B2FBE"/>
    <w:rsid w:val="006D3990"/>
    <w:rsid w:val="006E243A"/>
    <w:rsid w:val="006F3BB4"/>
    <w:rsid w:val="006F45B5"/>
    <w:rsid w:val="00704E0A"/>
    <w:rsid w:val="00712E1F"/>
    <w:rsid w:val="007179E7"/>
    <w:rsid w:val="007306BD"/>
    <w:rsid w:val="00745983"/>
    <w:rsid w:val="00747D45"/>
    <w:rsid w:val="00750B49"/>
    <w:rsid w:val="0075144D"/>
    <w:rsid w:val="007531F7"/>
    <w:rsid w:val="00757C8C"/>
    <w:rsid w:val="00762ECC"/>
    <w:rsid w:val="007636F6"/>
    <w:rsid w:val="007663D5"/>
    <w:rsid w:val="00766904"/>
    <w:rsid w:val="007700EC"/>
    <w:rsid w:val="00771C1E"/>
    <w:rsid w:val="0077412A"/>
    <w:rsid w:val="00780F75"/>
    <w:rsid w:val="00782C0D"/>
    <w:rsid w:val="00783E9C"/>
    <w:rsid w:val="00785E8A"/>
    <w:rsid w:val="00787C27"/>
    <w:rsid w:val="00796357"/>
    <w:rsid w:val="007A56F6"/>
    <w:rsid w:val="007A6C57"/>
    <w:rsid w:val="007A6D0E"/>
    <w:rsid w:val="007B3E07"/>
    <w:rsid w:val="007B5561"/>
    <w:rsid w:val="007B684E"/>
    <w:rsid w:val="007C4902"/>
    <w:rsid w:val="007C794D"/>
    <w:rsid w:val="007C7B64"/>
    <w:rsid w:val="007D261B"/>
    <w:rsid w:val="007D4397"/>
    <w:rsid w:val="007F503B"/>
    <w:rsid w:val="008013CE"/>
    <w:rsid w:val="00802190"/>
    <w:rsid w:val="00803985"/>
    <w:rsid w:val="00805CB6"/>
    <w:rsid w:val="00806708"/>
    <w:rsid w:val="008225C8"/>
    <w:rsid w:val="00837797"/>
    <w:rsid w:val="00841E86"/>
    <w:rsid w:val="008455DB"/>
    <w:rsid w:val="00861636"/>
    <w:rsid w:val="00864526"/>
    <w:rsid w:val="00866736"/>
    <w:rsid w:val="00874438"/>
    <w:rsid w:val="0087702E"/>
    <w:rsid w:val="00877B90"/>
    <w:rsid w:val="00882620"/>
    <w:rsid w:val="00882C6E"/>
    <w:rsid w:val="008940DD"/>
    <w:rsid w:val="00897355"/>
    <w:rsid w:val="008A5642"/>
    <w:rsid w:val="008A5F3F"/>
    <w:rsid w:val="008A6929"/>
    <w:rsid w:val="008B53FD"/>
    <w:rsid w:val="008C42C5"/>
    <w:rsid w:val="008D2659"/>
    <w:rsid w:val="008F427C"/>
    <w:rsid w:val="008F6E9E"/>
    <w:rsid w:val="00904E76"/>
    <w:rsid w:val="00911431"/>
    <w:rsid w:val="0091276F"/>
    <w:rsid w:val="00914B4A"/>
    <w:rsid w:val="0092397C"/>
    <w:rsid w:val="00926D26"/>
    <w:rsid w:val="00933084"/>
    <w:rsid w:val="00937CFE"/>
    <w:rsid w:val="00956EA9"/>
    <w:rsid w:val="0095724B"/>
    <w:rsid w:val="00963A46"/>
    <w:rsid w:val="009663AC"/>
    <w:rsid w:val="00966723"/>
    <w:rsid w:val="00970E7B"/>
    <w:rsid w:val="0097643D"/>
    <w:rsid w:val="009839A6"/>
    <w:rsid w:val="009860C4"/>
    <w:rsid w:val="009876DF"/>
    <w:rsid w:val="0099127D"/>
    <w:rsid w:val="00993588"/>
    <w:rsid w:val="00996E58"/>
    <w:rsid w:val="009B0714"/>
    <w:rsid w:val="009B2C24"/>
    <w:rsid w:val="009C0B6E"/>
    <w:rsid w:val="009C256E"/>
    <w:rsid w:val="009C52C1"/>
    <w:rsid w:val="009E5646"/>
    <w:rsid w:val="009E65E1"/>
    <w:rsid w:val="009F1ED3"/>
    <w:rsid w:val="009F6BB0"/>
    <w:rsid w:val="00A03EC2"/>
    <w:rsid w:val="00A07C69"/>
    <w:rsid w:val="00A262C6"/>
    <w:rsid w:val="00A26BD9"/>
    <w:rsid w:val="00A303A7"/>
    <w:rsid w:val="00A310CA"/>
    <w:rsid w:val="00A34864"/>
    <w:rsid w:val="00A41BEA"/>
    <w:rsid w:val="00A43565"/>
    <w:rsid w:val="00A47DA7"/>
    <w:rsid w:val="00A536E0"/>
    <w:rsid w:val="00A53BDE"/>
    <w:rsid w:val="00A62A2F"/>
    <w:rsid w:val="00A6348F"/>
    <w:rsid w:val="00A821FD"/>
    <w:rsid w:val="00A85384"/>
    <w:rsid w:val="00A92060"/>
    <w:rsid w:val="00A95EA4"/>
    <w:rsid w:val="00A97EFF"/>
    <w:rsid w:val="00AB0EF2"/>
    <w:rsid w:val="00AB4661"/>
    <w:rsid w:val="00AB5A1F"/>
    <w:rsid w:val="00AB5D22"/>
    <w:rsid w:val="00AB6631"/>
    <w:rsid w:val="00AC071B"/>
    <w:rsid w:val="00AC12DE"/>
    <w:rsid w:val="00AC258B"/>
    <w:rsid w:val="00AC3F6A"/>
    <w:rsid w:val="00AC4EDE"/>
    <w:rsid w:val="00AC554F"/>
    <w:rsid w:val="00AD4DD7"/>
    <w:rsid w:val="00AD543B"/>
    <w:rsid w:val="00AE0975"/>
    <w:rsid w:val="00AE7403"/>
    <w:rsid w:val="00AF5702"/>
    <w:rsid w:val="00AF7688"/>
    <w:rsid w:val="00B03FFA"/>
    <w:rsid w:val="00B04926"/>
    <w:rsid w:val="00B12AE0"/>
    <w:rsid w:val="00B25349"/>
    <w:rsid w:val="00B3085A"/>
    <w:rsid w:val="00B35B80"/>
    <w:rsid w:val="00B37801"/>
    <w:rsid w:val="00B452FC"/>
    <w:rsid w:val="00B51242"/>
    <w:rsid w:val="00B56808"/>
    <w:rsid w:val="00B61E48"/>
    <w:rsid w:val="00B66F92"/>
    <w:rsid w:val="00B76673"/>
    <w:rsid w:val="00B91111"/>
    <w:rsid w:val="00B960E7"/>
    <w:rsid w:val="00B96BA9"/>
    <w:rsid w:val="00BA0061"/>
    <w:rsid w:val="00BA0E3E"/>
    <w:rsid w:val="00BA2422"/>
    <w:rsid w:val="00BA6AED"/>
    <w:rsid w:val="00BA7F06"/>
    <w:rsid w:val="00BB20F0"/>
    <w:rsid w:val="00BB3658"/>
    <w:rsid w:val="00BB7FFC"/>
    <w:rsid w:val="00BC2805"/>
    <w:rsid w:val="00BC28F8"/>
    <w:rsid w:val="00BC43ED"/>
    <w:rsid w:val="00BE2631"/>
    <w:rsid w:val="00BE3E1B"/>
    <w:rsid w:val="00BE5A58"/>
    <w:rsid w:val="00BF2454"/>
    <w:rsid w:val="00BF26D4"/>
    <w:rsid w:val="00BF3EDE"/>
    <w:rsid w:val="00BF56F0"/>
    <w:rsid w:val="00BF70B4"/>
    <w:rsid w:val="00C02166"/>
    <w:rsid w:val="00C12614"/>
    <w:rsid w:val="00C14E28"/>
    <w:rsid w:val="00C15216"/>
    <w:rsid w:val="00C17E32"/>
    <w:rsid w:val="00C21218"/>
    <w:rsid w:val="00C31207"/>
    <w:rsid w:val="00C34907"/>
    <w:rsid w:val="00C448DE"/>
    <w:rsid w:val="00C538C8"/>
    <w:rsid w:val="00C6401F"/>
    <w:rsid w:val="00C73B80"/>
    <w:rsid w:val="00C74B34"/>
    <w:rsid w:val="00C75555"/>
    <w:rsid w:val="00C76204"/>
    <w:rsid w:val="00C80ABA"/>
    <w:rsid w:val="00C8622E"/>
    <w:rsid w:val="00C8659C"/>
    <w:rsid w:val="00C878BB"/>
    <w:rsid w:val="00C91727"/>
    <w:rsid w:val="00C93CB8"/>
    <w:rsid w:val="00CA0417"/>
    <w:rsid w:val="00CA0ED2"/>
    <w:rsid w:val="00CA31CE"/>
    <w:rsid w:val="00CB34AA"/>
    <w:rsid w:val="00CB62DC"/>
    <w:rsid w:val="00CB660F"/>
    <w:rsid w:val="00CC6683"/>
    <w:rsid w:val="00CD03C2"/>
    <w:rsid w:val="00CD50A7"/>
    <w:rsid w:val="00CD700C"/>
    <w:rsid w:val="00D01576"/>
    <w:rsid w:val="00D165B5"/>
    <w:rsid w:val="00D1686D"/>
    <w:rsid w:val="00D16E7C"/>
    <w:rsid w:val="00D220BA"/>
    <w:rsid w:val="00D245B6"/>
    <w:rsid w:val="00D25518"/>
    <w:rsid w:val="00D2708C"/>
    <w:rsid w:val="00D37B70"/>
    <w:rsid w:val="00D4244C"/>
    <w:rsid w:val="00D43384"/>
    <w:rsid w:val="00D4663F"/>
    <w:rsid w:val="00D46BED"/>
    <w:rsid w:val="00D53DEB"/>
    <w:rsid w:val="00D54C94"/>
    <w:rsid w:val="00D5747D"/>
    <w:rsid w:val="00D63226"/>
    <w:rsid w:val="00D656A2"/>
    <w:rsid w:val="00D70311"/>
    <w:rsid w:val="00D70F60"/>
    <w:rsid w:val="00D72F54"/>
    <w:rsid w:val="00D73824"/>
    <w:rsid w:val="00D776A8"/>
    <w:rsid w:val="00D845F4"/>
    <w:rsid w:val="00D84B23"/>
    <w:rsid w:val="00D85C9F"/>
    <w:rsid w:val="00D87263"/>
    <w:rsid w:val="00D91ECE"/>
    <w:rsid w:val="00DA5478"/>
    <w:rsid w:val="00DB2EB4"/>
    <w:rsid w:val="00DB5227"/>
    <w:rsid w:val="00DC4E90"/>
    <w:rsid w:val="00DC7AB7"/>
    <w:rsid w:val="00DD2E94"/>
    <w:rsid w:val="00DD400A"/>
    <w:rsid w:val="00DD41A8"/>
    <w:rsid w:val="00DD5CAE"/>
    <w:rsid w:val="00DD7AA3"/>
    <w:rsid w:val="00DE4C18"/>
    <w:rsid w:val="00E04A3B"/>
    <w:rsid w:val="00E0669C"/>
    <w:rsid w:val="00E1033A"/>
    <w:rsid w:val="00E1243B"/>
    <w:rsid w:val="00E15F39"/>
    <w:rsid w:val="00E15FF6"/>
    <w:rsid w:val="00E23174"/>
    <w:rsid w:val="00E236E3"/>
    <w:rsid w:val="00E258E0"/>
    <w:rsid w:val="00E2690B"/>
    <w:rsid w:val="00E30ECB"/>
    <w:rsid w:val="00E377F9"/>
    <w:rsid w:val="00E426AC"/>
    <w:rsid w:val="00E4415A"/>
    <w:rsid w:val="00E441FA"/>
    <w:rsid w:val="00E5357A"/>
    <w:rsid w:val="00E553D4"/>
    <w:rsid w:val="00E60FB0"/>
    <w:rsid w:val="00E62FB1"/>
    <w:rsid w:val="00E63730"/>
    <w:rsid w:val="00E75456"/>
    <w:rsid w:val="00E762BE"/>
    <w:rsid w:val="00E84E0B"/>
    <w:rsid w:val="00EA3AA6"/>
    <w:rsid w:val="00EA4032"/>
    <w:rsid w:val="00EA68FF"/>
    <w:rsid w:val="00EB0F95"/>
    <w:rsid w:val="00EB7017"/>
    <w:rsid w:val="00EC0B5D"/>
    <w:rsid w:val="00EC7182"/>
    <w:rsid w:val="00ED2001"/>
    <w:rsid w:val="00ED2985"/>
    <w:rsid w:val="00EE7DA5"/>
    <w:rsid w:val="00F01050"/>
    <w:rsid w:val="00F07B83"/>
    <w:rsid w:val="00F17B4A"/>
    <w:rsid w:val="00F27F86"/>
    <w:rsid w:val="00F343F9"/>
    <w:rsid w:val="00F40429"/>
    <w:rsid w:val="00F45A3F"/>
    <w:rsid w:val="00F52FA3"/>
    <w:rsid w:val="00F55CE7"/>
    <w:rsid w:val="00F7109F"/>
    <w:rsid w:val="00F80552"/>
    <w:rsid w:val="00F83C98"/>
    <w:rsid w:val="00F84BE4"/>
    <w:rsid w:val="00F975BE"/>
    <w:rsid w:val="00FA2B7B"/>
    <w:rsid w:val="00FA3394"/>
    <w:rsid w:val="00FA5E3B"/>
    <w:rsid w:val="00FB1C7F"/>
    <w:rsid w:val="00FB5DBE"/>
    <w:rsid w:val="00FB7E2E"/>
    <w:rsid w:val="00FC0D7D"/>
    <w:rsid w:val="00FC1D73"/>
    <w:rsid w:val="00FC339E"/>
    <w:rsid w:val="00FC4E47"/>
    <w:rsid w:val="00FC6231"/>
    <w:rsid w:val="00FD072B"/>
    <w:rsid w:val="00FD2083"/>
    <w:rsid w:val="00FD47BD"/>
    <w:rsid w:val="00FE32BC"/>
    <w:rsid w:val="00FE4CFC"/>
    <w:rsid w:val="00FF7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1C938E"/>
  <w15:docId w15:val="{6901FF6D-6169-414E-827E-3934481B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A536E0"/>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1BEA"/>
    <w:pPr>
      <w:tabs>
        <w:tab w:val="center" w:pos="4320"/>
        <w:tab w:val="right" w:pos="8640"/>
      </w:tabs>
    </w:pPr>
  </w:style>
  <w:style w:type="character" w:styleId="PageNumber">
    <w:name w:val="page number"/>
    <w:basedOn w:val="DefaultParagraphFont"/>
    <w:rsid w:val="00A41BEA"/>
  </w:style>
  <w:style w:type="paragraph" w:styleId="Revision">
    <w:name w:val="Revision"/>
    <w:hidden/>
    <w:uiPriority w:val="99"/>
    <w:semiHidden/>
    <w:rsid w:val="0038038F"/>
    <w:rPr>
      <w:sz w:val="24"/>
      <w:szCs w:val="24"/>
    </w:rPr>
  </w:style>
  <w:style w:type="paragraph" w:styleId="BalloonText">
    <w:name w:val="Balloon Text"/>
    <w:basedOn w:val="Normal"/>
    <w:link w:val="BalloonTextChar"/>
    <w:semiHidden/>
    <w:unhideWhenUsed/>
    <w:rsid w:val="00BF70B4"/>
    <w:rPr>
      <w:rFonts w:ascii="Segoe UI" w:hAnsi="Segoe UI" w:cs="Segoe UI"/>
      <w:sz w:val="18"/>
      <w:szCs w:val="18"/>
    </w:rPr>
  </w:style>
  <w:style w:type="character" w:customStyle="1" w:styleId="BalloonTextChar">
    <w:name w:val="Balloon Text Char"/>
    <w:basedOn w:val="DefaultParagraphFont"/>
    <w:link w:val="BalloonText"/>
    <w:semiHidden/>
    <w:rsid w:val="00BF70B4"/>
    <w:rPr>
      <w:rFonts w:ascii="Segoe UI" w:hAnsi="Segoe UI" w:cs="Segoe UI"/>
      <w:sz w:val="18"/>
      <w:szCs w:val="18"/>
    </w:rPr>
  </w:style>
  <w:style w:type="character" w:styleId="CommentReference">
    <w:name w:val="annotation reference"/>
    <w:basedOn w:val="DefaultParagraphFont"/>
    <w:semiHidden/>
    <w:unhideWhenUsed/>
    <w:rsid w:val="00D46BED"/>
    <w:rPr>
      <w:sz w:val="16"/>
      <w:szCs w:val="16"/>
    </w:rPr>
  </w:style>
  <w:style w:type="paragraph" w:styleId="CommentText">
    <w:name w:val="annotation text"/>
    <w:basedOn w:val="Normal"/>
    <w:link w:val="CommentTextChar"/>
    <w:unhideWhenUsed/>
    <w:rsid w:val="00D46BED"/>
    <w:rPr>
      <w:sz w:val="20"/>
      <w:szCs w:val="20"/>
    </w:rPr>
  </w:style>
  <w:style w:type="character" w:customStyle="1" w:styleId="CommentTextChar">
    <w:name w:val="Comment Text Char"/>
    <w:basedOn w:val="DefaultParagraphFont"/>
    <w:link w:val="CommentText"/>
    <w:rsid w:val="00D46BED"/>
  </w:style>
  <w:style w:type="paragraph" w:styleId="CommentSubject">
    <w:name w:val="annotation subject"/>
    <w:basedOn w:val="CommentText"/>
    <w:next w:val="CommentText"/>
    <w:link w:val="CommentSubjectChar"/>
    <w:semiHidden/>
    <w:unhideWhenUsed/>
    <w:rsid w:val="00D46BED"/>
    <w:rPr>
      <w:b/>
      <w:bCs/>
    </w:rPr>
  </w:style>
  <w:style w:type="character" w:customStyle="1" w:styleId="CommentSubjectChar">
    <w:name w:val="Comment Subject Char"/>
    <w:basedOn w:val="CommentTextChar"/>
    <w:link w:val="CommentSubject"/>
    <w:semiHidden/>
    <w:rsid w:val="00D46BED"/>
    <w:rPr>
      <w:b/>
      <w:bCs/>
    </w:rPr>
  </w:style>
  <w:style w:type="character" w:styleId="Hyperlink">
    <w:name w:val="Hyperlink"/>
    <w:basedOn w:val="DefaultParagraphFont"/>
    <w:uiPriority w:val="99"/>
    <w:unhideWhenUsed/>
    <w:rsid w:val="00EC0B5D"/>
    <w:rPr>
      <w:color w:val="0000FF" w:themeColor="hyperlink"/>
      <w:u w:val="single"/>
    </w:rPr>
  </w:style>
  <w:style w:type="paragraph" w:styleId="FootnoteText">
    <w:name w:val="footnote text"/>
    <w:basedOn w:val="Normal"/>
    <w:link w:val="FootnoteTextChar"/>
    <w:uiPriority w:val="99"/>
    <w:unhideWhenUsed/>
    <w:rsid w:val="00EC0B5D"/>
    <w:pPr>
      <w:contextualSpacing/>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rsid w:val="00EC0B5D"/>
    <w:rPr>
      <w:rFonts w:ascii="Arial" w:hAnsi="Arial" w:cs="Arial"/>
      <w:color w:val="000000" w:themeColor="text1"/>
    </w:rPr>
  </w:style>
  <w:style w:type="character" w:styleId="FootnoteReference">
    <w:name w:val="footnote reference"/>
    <w:basedOn w:val="DefaultParagraphFont"/>
    <w:uiPriority w:val="99"/>
    <w:semiHidden/>
    <w:unhideWhenUsed/>
    <w:rsid w:val="00EC0B5D"/>
    <w:rPr>
      <w:vertAlign w:val="superscript"/>
    </w:rPr>
  </w:style>
  <w:style w:type="table" w:styleId="TableGrid">
    <w:name w:val="Table Grid"/>
    <w:basedOn w:val="TableNormal"/>
    <w:uiPriority w:val="59"/>
    <w:rsid w:val="001B59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0A1"/>
    <w:pPr>
      <w:ind w:left="720"/>
      <w:contextualSpacing/>
    </w:pPr>
  </w:style>
  <w:style w:type="character" w:customStyle="1" w:styleId="Heading2Char">
    <w:name w:val="Heading 2 Char"/>
    <w:basedOn w:val="DefaultParagraphFont"/>
    <w:link w:val="Heading2"/>
    <w:rsid w:val="00A536E0"/>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4FA8-B8A0-4C90-9F6B-E498E9E78166}">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129D4E6C-BA50-4352-A243-97A783D3455C}">
  <ds:schemaRefs>
    <ds:schemaRef ds:uri="http://schemas.microsoft.com/sharepoint/v3/contenttype/forms"/>
  </ds:schemaRefs>
</ds:datastoreItem>
</file>

<file path=customXml/itemProps3.xml><?xml version="1.0" encoding="utf-8"?>
<ds:datastoreItem xmlns:ds="http://schemas.openxmlformats.org/officeDocument/2006/customXml" ds:itemID="{3535173D-C723-4DC1-8875-ADF4A9560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64846-FD1E-4F91-9DF4-4999EE89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5000</TotalTime>
  <Pages>5</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Holmes-Brooks, Colette N. (ATF) (CTR)</cp:lastModifiedBy>
  <cp:revision>216</cp:revision>
  <cp:lastPrinted>2024-10-18T20:22:00Z</cp:lastPrinted>
  <dcterms:created xsi:type="dcterms:W3CDTF">2018-09-26T15:11:00Z</dcterms:created>
  <dcterms:modified xsi:type="dcterms:W3CDTF">2024-11-13T18:38:00Z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