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63F56" w:rsidP="000D3663" w14:paraId="49184BF8" w14:textId="77777777">
      <w:pPr>
        <w:jc w:val="center"/>
        <w:rPr>
          <w:b/>
        </w:rPr>
      </w:pPr>
    </w:p>
    <w:p w:rsidR="00F63F56" w:rsidP="000D3663" w14:paraId="336D4368" w14:textId="77777777">
      <w:pPr>
        <w:jc w:val="center"/>
        <w:rPr>
          <w:b/>
        </w:rPr>
      </w:pPr>
    </w:p>
    <w:p w:rsidR="00136ABE" w:rsidP="000D3663" w14:paraId="7BBDA4D3" w14:textId="44275178">
      <w:pPr>
        <w:jc w:val="center"/>
        <w:rPr>
          <w:b/>
        </w:rPr>
      </w:pPr>
      <w:r w:rsidRPr="000D3663">
        <w:rPr>
          <w:b/>
        </w:rPr>
        <w:t>S</w:t>
      </w:r>
      <w:r w:rsidR="00A959B1">
        <w:rPr>
          <w:b/>
        </w:rPr>
        <w:t>UPPORTING</w:t>
      </w:r>
      <w:r w:rsidRPr="000D3663">
        <w:rPr>
          <w:b/>
        </w:rPr>
        <w:t xml:space="preserve"> S</w:t>
      </w:r>
      <w:r w:rsidR="00A959B1">
        <w:rPr>
          <w:b/>
        </w:rPr>
        <w:t>TATEMENT</w:t>
      </w:r>
      <w:r w:rsidRPr="000D3663">
        <w:rPr>
          <w:b/>
        </w:rPr>
        <w:t xml:space="preserve"> </w:t>
      </w:r>
      <w:r w:rsidR="003961B3">
        <w:rPr>
          <w:b/>
        </w:rPr>
        <w:t>FOR</w:t>
      </w:r>
    </w:p>
    <w:p w:rsidR="008834E8" w:rsidP="00DE6D36" w14:paraId="6C17EF3B" w14:textId="7958ECE8">
      <w:pPr>
        <w:jc w:val="center"/>
        <w:rPr>
          <w:b/>
        </w:rPr>
      </w:pPr>
      <w:r>
        <w:rPr>
          <w:b/>
        </w:rPr>
        <w:t>STATEMENT OF EXPENDITURES AND FINANCIAL ADJUSTMENTS OF FEDERAL FUNDS FOR UNEMPLOYMENT COMPENSATION FOR FEDERAL EMPLOYEES AND EX-SERVICEMEMBER</w:t>
      </w:r>
      <w:r w:rsidR="00966929">
        <w:rPr>
          <w:b/>
        </w:rPr>
        <w:t>S</w:t>
      </w:r>
    </w:p>
    <w:p w:rsidR="00BB6B9C" w:rsidP="00DE6D36" w14:paraId="261C893E" w14:textId="77777777">
      <w:pPr>
        <w:jc w:val="center"/>
        <w:rPr>
          <w:b/>
        </w:rPr>
      </w:pPr>
    </w:p>
    <w:p w:rsidR="00DE6D36" w:rsidRPr="00972799" w:rsidP="00DE6D36" w14:paraId="5BC60510" w14:textId="7876EC2B">
      <w:pPr>
        <w:jc w:val="center"/>
        <w:rPr>
          <w:rFonts w:cs="Courier New"/>
          <w:b/>
        </w:rPr>
      </w:pPr>
      <w:r>
        <w:rPr>
          <w:b/>
        </w:rPr>
        <w:t>OMB</w:t>
      </w:r>
      <w:r w:rsidR="0041091B">
        <w:rPr>
          <w:b/>
        </w:rPr>
        <w:t xml:space="preserve"> </w:t>
      </w:r>
      <w:r>
        <w:rPr>
          <w:b/>
        </w:rPr>
        <w:t>C</w:t>
      </w:r>
      <w:r w:rsidR="005F0C0D">
        <w:rPr>
          <w:b/>
        </w:rPr>
        <w:t>ONTROL NO.</w:t>
      </w:r>
      <w:r>
        <w:rPr>
          <w:b/>
        </w:rPr>
        <w:t xml:space="preserve"> 1205-0162</w:t>
      </w:r>
    </w:p>
    <w:p w:rsidR="000D3663" w:rsidP="00136ABE" w14:paraId="56BD26AE" w14:textId="77777777"/>
    <w:p w:rsidR="007D1E4A" w:rsidRPr="00867E61" w:rsidP="007D1E4A" w14:paraId="3181C252" w14:textId="3DE20818">
      <w:r w:rsidRPr="00867E61">
        <w:t>This information collection request (ICR)</w:t>
      </w:r>
      <w:r w:rsidRPr="001924F1" w:rsidR="001924F1">
        <w:t xml:space="preserve"> seeks approval of</w:t>
      </w:r>
      <w:r w:rsidR="001924F1">
        <w:t xml:space="preserve"> </w:t>
      </w:r>
      <w:r>
        <w:t>an extension without change</w:t>
      </w:r>
      <w:r w:rsidRPr="00867E61">
        <w:t xml:space="preserve"> </w:t>
      </w:r>
      <w:r w:rsidR="00675D8D">
        <w:t>of the</w:t>
      </w:r>
      <w:r w:rsidR="009E5991">
        <w:t xml:space="preserve"> </w:t>
      </w:r>
      <w:r>
        <w:t>Statement of Expenditures and Financial Adjustments of Federal Funds for Unemployment Compensation for Federal Employees and Ex-Servicemember</w:t>
      </w:r>
      <w:r w:rsidR="00344F93">
        <w:t>s</w:t>
      </w:r>
      <w:r w:rsidR="00CC7063">
        <w:t xml:space="preserve"> (ETA</w:t>
      </w:r>
      <w:r w:rsidR="00DC798A">
        <w:t xml:space="preserve"> </w:t>
      </w:r>
      <w:r w:rsidR="00CC7063">
        <w:t>191)</w:t>
      </w:r>
      <w:r w:rsidRPr="00867E61">
        <w:t xml:space="preserve">. </w:t>
      </w:r>
    </w:p>
    <w:p w:rsidR="000D3663" w:rsidRPr="00136ABE" w:rsidP="00A46D1A" w14:paraId="142A227A" w14:textId="77777777">
      <w:pPr>
        <w:tabs>
          <w:tab w:val="left" w:pos="5676"/>
        </w:tabs>
      </w:pPr>
      <w:r>
        <w:tab/>
      </w:r>
    </w:p>
    <w:p w:rsidR="000D3663" w:rsidP="004E4F7C" w14:paraId="2F796E86" w14:textId="47F906FC">
      <w:pPr>
        <w:numPr>
          <w:ilvl w:val="0"/>
          <w:numId w:val="4"/>
        </w:numPr>
        <w:tabs>
          <w:tab w:val="clear" w:pos="360"/>
          <w:tab w:val="num" w:pos="540"/>
        </w:tabs>
        <w:ind w:left="540" w:hanging="450"/>
        <w:rPr>
          <w:b/>
        </w:rPr>
      </w:pPr>
      <w:r>
        <w:rPr>
          <w:b/>
        </w:rPr>
        <w:t>J</w:t>
      </w:r>
      <w:r w:rsidR="004E4F7C">
        <w:rPr>
          <w:b/>
        </w:rPr>
        <w:t>USTIFICATION</w:t>
      </w:r>
    </w:p>
    <w:p w:rsidR="00136ABE" w:rsidRPr="00136ABE" w:rsidP="00136ABE" w14:paraId="6091DA1A" w14:textId="77777777"/>
    <w:p w:rsidR="00C33CAB" w:rsidRPr="00D53DEB" w:rsidP="006A4F8D" w14:paraId="2AE0A36C" w14:textId="762BE666">
      <w:r>
        <w:rPr>
          <w:b/>
          <w:bCs/>
          <w:iCs/>
        </w:rPr>
        <w:t>1</w:t>
      </w:r>
      <w:r w:rsidR="00BB23E3">
        <w:rPr>
          <w:b/>
          <w:bCs/>
          <w:iCs/>
        </w:rPr>
        <w:t>.</w:t>
      </w:r>
      <w:r w:rsidR="00E07024">
        <w:rPr>
          <w:b/>
          <w:bCs/>
          <w:iCs/>
        </w:rPr>
        <w:t xml:space="preserve"> </w:t>
      </w:r>
      <w:r>
        <w:rPr>
          <w:b/>
          <w:bCs/>
          <w:iCs/>
        </w:rPr>
        <w:t xml:space="preserve"> </w:t>
      </w:r>
      <w:r w:rsidRPr="00D53DEB">
        <w:rPr>
          <w:b/>
          <w:bCs/>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11A80" w:rsidRPr="00A11A80" w:rsidP="00036204" w14:paraId="1616AB80" w14:textId="77777777">
      <w:pPr>
        <w:ind w:left="360"/>
        <w:rPr>
          <w:u w:val="single"/>
        </w:rPr>
      </w:pPr>
    </w:p>
    <w:p w:rsidR="00231AE3" w:rsidRPr="00231AE3" w:rsidP="006A4F8D" w14:paraId="7EBE0E02" w14:textId="248F182D">
      <w:r w:rsidRPr="00045B8C">
        <w:rPr>
          <w:rFonts w:cs="Courier New"/>
        </w:rPr>
        <w:t xml:space="preserve">Public Law 97-362, Miscellaneous Revenue Act of 1982 amended the </w:t>
      </w:r>
      <w:r w:rsidR="00996C6F">
        <w:rPr>
          <w:rFonts w:cs="Courier New"/>
        </w:rPr>
        <w:t>Unemployment Compensation for Ex</w:t>
      </w:r>
      <w:r w:rsidR="004C5BBD">
        <w:rPr>
          <w:rFonts w:cs="Courier New"/>
        </w:rPr>
        <w:t>-Service</w:t>
      </w:r>
      <w:r w:rsidR="00550287">
        <w:rPr>
          <w:rFonts w:cs="Courier New"/>
        </w:rPr>
        <w:t>m</w:t>
      </w:r>
      <w:r w:rsidR="004C5BBD">
        <w:rPr>
          <w:rFonts w:cs="Courier New"/>
        </w:rPr>
        <w:t>embers</w:t>
      </w:r>
      <w:r w:rsidR="00996C6F">
        <w:rPr>
          <w:rFonts w:cs="Courier New"/>
        </w:rPr>
        <w:t xml:space="preserve"> </w:t>
      </w:r>
      <w:r w:rsidR="004C5BBD">
        <w:rPr>
          <w:rFonts w:cs="Courier New"/>
        </w:rPr>
        <w:t>(</w:t>
      </w:r>
      <w:r w:rsidRPr="00045B8C">
        <w:rPr>
          <w:rFonts w:cs="Courier New"/>
        </w:rPr>
        <w:t>UCX</w:t>
      </w:r>
      <w:r w:rsidR="004C5BBD">
        <w:rPr>
          <w:rFonts w:cs="Courier New"/>
        </w:rPr>
        <w:t>)</w:t>
      </w:r>
      <w:r w:rsidRPr="00045B8C">
        <w:rPr>
          <w:rFonts w:cs="Courier New"/>
        </w:rPr>
        <w:t xml:space="preserve"> law (5</w:t>
      </w:r>
      <w:r>
        <w:rPr>
          <w:rFonts w:cs="Courier New"/>
        </w:rPr>
        <w:t xml:space="preserve"> U.S.C.</w:t>
      </w:r>
      <w:r w:rsidRPr="00045B8C">
        <w:rPr>
          <w:rFonts w:cs="Courier New"/>
        </w:rPr>
        <w:t xml:space="preserve"> 8509) and Public Law 96-499, Omnibus Reconciliat</w:t>
      </w:r>
      <w:r>
        <w:rPr>
          <w:rFonts w:cs="Courier New"/>
        </w:rPr>
        <w:t xml:space="preserve">ion Act, </w:t>
      </w:r>
      <w:r w:rsidR="00734C7E">
        <w:rPr>
          <w:rFonts w:cs="Courier New"/>
        </w:rPr>
        <w:t>a</w:t>
      </w:r>
      <w:r>
        <w:rPr>
          <w:rFonts w:cs="Courier New"/>
        </w:rPr>
        <w:t xml:space="preserve">mended the </w:t>
      </w:r>
      <w:r w:rsidR="004C5BBD">
        <w:rPr>
          <w:rFonts w:cs="Courier New"/>
        </w:rPr>
        <w:t>Unemployment Compensation for Federal Employees</w:t>
      </w:r>
      <w:r w:rsidR="00DF4E6A">
        <w:rPr>
          <w:rFonts w:cs="Courier New"/>
        </w:rPr>
        <w:t xml:space="preserve"> (</w:t>
      </w:r>
      <w:r>
        <w:rPr>
          <w:rFonts w:cs="Courier New"/>
        </w:rPr>
        <w:t>UCFE</w:t>
      </w:r>
      <w:r w:rsidR="00DF4E6A">
        <w:rPr>
          <w:rFonts w:cs="Courier New"/>
        </w:rPr>
        <w:t>)</w:t>
      </w:r>
      <w:r>
        <w:rPr>
          <w:rFonts w:cs="Courier New"/>
        </w:rPr>
        <w:t xml:space="preserve"> law (</w:t>
      </w:r>
      <w:r w:rsidRPr="00045B8C">
        <w:rPr>
          <w:rFonts w:cs="Courier New"/>
        </w:rPr>
        <w:t>5 U.S.C. 8501</w:t>
      </w:r>
      <w:r w:rsidR="00225DA5">
        <w:rPr>
          <w:rFonts w:cs="Courier New"/>
        </w:rPr>
        <w:t xml:space="preserve"> </w:t>
      </w:r>
      <w:r w:rsidRPr="00045B8C">
        <w:rPr>
          <w:rFonts w:cs="Courier New"/>
        </w:rPr>
        <w:t xml:space="preserve">et </w:t>
      </w:r>
      <w:r w:rsidR="00225DA5">
        <w:rPr>
          <w:rFonts w:cs="Courier New"/>
        </w:rPr>
        <w:t>s</w:t>
      </w:r>
      <w:r w:rsidR="00220379">
        <w:rPr>
          <w:rFonts w:cs="Courier New"/>
        </w:rPr>
        <w:t xml:space="preserve">eq.) </w:t>
      </w:r>
      <w:r w:rsidR="00734C7E">
        <w:rPr>
          <w:rFonts w:cs="Courier New"/>
        </w:rPr>
        <w:t>to</w:t>
      </w:r>
      <w:r w:rsidR="00220379">
        <w:rPr>
          <w:rFonts w:cs="Courier New"/>
        </w:rPr>
        <w:t xml:space="preserve"> require each Federal</w:t>
      </w:r>
      <w:r w:rsidR="000572C1">
        <w:rPr>
          <w:rFonts w:cs="Courier New"/>
        </w:rPr>
        <w:t xml:space="preserve"> </w:t>
      </w:r>
      <w:r w:rsidR="00220379">
        <w:rPr>
          <w:rFonts w:cs="Courier New"/>
        </w:rPr>
        <w:t>e</w:t>
      </w:r>
      <w:r w:rsidRPr="00045B8C">
        <w:rPr>
          <w:rFonts w:cs="Courier New"/>
        </w:rPr>
        <w:t>mploying agency to pay the costs of regular and extended UCFE/UCX benefits paid t</w:t>
      </w:r>
      <w:r>
        <w:rPr>
          <w:rFonts w:cs="Courier New"/>
        </w:rPr>
        <w:t>o</w:t>
      </w:r>
      <w:r w:rsidR="00220379">
        <w:rPr>
          <w:rFonts w:cs="Courier New"/>
        </w:rPr>
        <w:t xml:space="preserve"> its employees by the S</w:t>
      </w:r>
      <w:r w:rsidRPr="00045B8C">
        <w:rPr>
          <w:rFonts w:cs="Courier New"/>
        </w:rPr>
        <w:t xml:space="preserve">tate </w:t>
      </w:r>
      <w:r w:rsidR="00220379">
        <w:rPr>
          <w:rFonts w:cs="Courier New"/>
        </w:rPr>
        <w:t>W</w:t>
      </w:r>
      <w:r w:rsidRPr="00045B8C">
        <w:rPr>
          <w:rFonts w:cs="Courier New"/>
        </w:rPr>
        <w:t xml:space="preserve">orkforce </w:t>
      </w:r>
      <w:r w:rsidR="00220379">
        <w:rPr>
          <w:rFonts w:cs="Courier New"/>
        </w:rPr>
        <w:t>A</w:t>
      </w:r>
      <w:r w:rsidRPr="00045B8C">
        <w:rPr>
          <w:rFonts w:cs="Courier New"/>
        </w:rPr>
        <w:t>gencies (SWAs).</w:t>
      </w:r>
    </w:p>
    <w:p w:rsidR="00231AE3" w:rsidRPr="00231AE3" w:rsidP="00231AE3" w14:paraId="5C2C71FD" w14:textId="77777777"/>
    <w:p w:rsidR="00136ABE" w:rsidP="006A4F8D" w14:paraId="301DDC24" w14:textId="7BADB38F">
      <w:pPr>
        <w:rPr>
          <w:rFonts w:cs="Courier New"/>
        </w:rPr>
      </w:pPr>
      <w:r w:rsidRPr="00045B8C">
        <w:rPr>
          <w:rFonts w:cs="Courier New"/>
        </w:rPr>
        <w:t xml:space="preserve">By submittal of Form </w:t>
      </w:r>
      <w:r w:rsidRPr="00C47E71" w:rsidR="00C47E71">
        <w:rPr>
          <w:rFonts w:cs="Courier New"/>
        </w:rPr>
        <w:t xml:space="preserve">Employment and Training Administration </w:t>
      </w:r>
      <w:r w:rsidR="00C47E71">
        <w:rPr>
          <w:rFonts w:cs="Courier New"/>
        </w:rPr>
        <w:t>(</w:t>
      </w:r>
      <w:r w:rsidRPr="00045B8C">
        <w:rPr>
          <w:rFonts w:cs="Courier New"/>
        </w:rPr>
        <w:t>ETA</w:t>
      </w:r>
      <w:r w:rsidR="000116E1">
        <w:rPr>
          <w:rFonts w:cs="Courier New"/>
        </w:rPr>
        <w:t>)</w:t>
      </w:r>
      <w:r w:rsidRPr="00045B8C">
        <w:rPr>
          <w:rFonts w:cs="Courier New"/>
        </w:rPr>
        <w:t xml:space="preserve">191 each quarter, SWAs will show the </w:t>
      </w:r>
      <w:r w:rsidRPr="00045B8C">
        <w:rPr>
          <w:rFonts w:cs="Courier New"/>
        </w:rPr>
        <w:t>amount</w:t>
      </w:r>
      <w:r w:rsidRPr="00045B8C">
        <w:rPr>
          <w:rFonts w:cs="Courier New"/>
        </w:rPr>
        <w:t xml:space="preserve"> of benefits that should be charged to</w:t>
      </w:r>
      <w:r w:rsidR="00220379">
        <w:rPr>
          <w:rFonts w:cs="Courier New"/>
        </w:rPr>
        <w:t xml:space="preserve"> each Federal employing agency</w:t>
      </w:r>
      <w:r w:rsidR="00BA2804">
        <w:rPr>
          <w:rFonts w:cs="Courier New"/>
        </w:rPr>
        <w:t xml:space="preserve">. </w:t>
      </w:r>
      <w:r w:rsidRPr="00A727B6">
        <w:rPr>
          <w:rFonts w:cs="Courier New"/>
        </w:rPr>
        <w:t>ETA</w:t>
      </w:r>
      <w:r w:rsidRPr="00045B8C">
        <w:rPr>
          <w:rFonts w:cs="Courier New"/>
        </w:rPr>
        <w:t xml:space="preserve"> will aggregate the quarterly charges reported on the Form ETA 191 and submit </w:t>
      </w:r>
      <w:r w:rsidR="00440DA3">
        <w:rPr>
          <w:rFonts w:cs="Courier New"/>
        </w:rPr>
        <w:t>a</w:t>
      </w:r>
      <w:r w:rsidRPr="00045B8C">
        <w:rPr>
          <w:rFonts w:cs="Courier New"/>
        </w:rPr>
        <w:t>n official bill</w:t>
      </w:r>
      <w:r>
        <w:rPr>
          <w:rFonts w:cs="Courier New"/>
        </w:rPr>
        <w:t xml:space="preserve"> </w:t>
      </w:r>
      <w:r w:rsidRPr="00045B8C">
        <w:rPr>
          <w:rFonts w:cs="Courier New"/>
        </w:rPr>
        <w:t xml:space="preserve">(showing all </w:t>
      </w:r>
      <w:r w:rsidRPr="00045B8C" w:rsidR="00BB6B9C">
        <w:rPr>
          <w:rFonts w:cs="Courier New"/>
        </w:rPr>
        <w:t>States</w:t>
      </w:r>
      <w:r w:rsidR="00BB6B9C">
        <w:rPr>
          <w:rFonts w:cs="Courier New"/>
        </w:rPr>
        <w:t>’</w:t>
      </w:r>
      <w:r w:rsidRPr="00045B8C" w:rsidR="00BB6B9C">
        <w:rPr>
          <w:rFonts w:cs="Courier New"/>
        </w:rPr>
        <w:t xml:space="preserve"> charges</w:t>
      </w:r>
      <w:r w:rsidRPr="00045B8C">
        <w:rPr>
          <w:rFonts w:cs="Courier New"/>
        </w:rPr>
        <w:t>) to each Federal</w:t>
      </w:r>
      <w:r w:rsidR="000572C1">
        <w:rPr>
          <w:rFonts w:cs="Courier New"/>
        </w:rPr>
        <w:t xml:space="preserve"> </w:t>
      </w:r>
      <w:r w:rsidR="00181513">
        <w:rPr>
          <w:rFonts w:cs="Courier New"/>
        </w:rPr>
        <w:t>agency that is being charged</w:t>
      </w:r>
      <w:r w:rsidR="00BA2804">
        <w:rPr>
          <w:rFonts w:cs="Courier New"/>
        </w:rPr>
        <w:t xml:space="preserve">. </w:t>
      </w:r>
      <w:r w:rsidRPr="00045B8C">
        <w:rPr>
          <w:rFonts w:cs="Courier New"/>
        </w:rPr>
        <w:t>Federal</w:t>
      </w:r>
      <w:r w:rsidR="00AF232B">
        <w:rPr>
          <w:rFonts w:cs="Courier New"/>
        </w:rPr>
        <w:t xml:space="preserve"> </w:t>
      </w:r>
      <w:r w:rsidRPr="00045B8C">
        <w:rPr>
          <w:rFonts w:cs="Courier New"/>
        </w:rPr>
        <w:t>agencies will reimburse the Federal Employees Compensation Account</w:t>
      </w:r>
      <w:r w:rsidR="008B0005">
        <w:rPr>
          <w:rFonts w:cs="Courier New"/>
        </w:rPr>
        <w:t xml:space="preserve"> (FECA)</w:t>
      </w:r>
      <w:r w:rsidRPr="00045B8C">
        <w:rPr>
          <w:rFonts w:cs="Courier New"/>
        </w:rPr>
        <w:t xml:space="preserve">, maintained by the U.S. </w:t>
      </w:r>
      <w:r w:rsidR="0043349B">
        <w:rPr>
          <w:rFonts w:cs="Courier New"/>
        </w:rPr>
        <w:t xml:space="preserve">Department of the </w:t>
      </w:r>
      <w:r w:rsidRPr="00045B8C">
        <w:rPr>
          <w:rFonts w:cs="Courier New"/>
        </w:rPr>
        <w:t>Treasury</w:t>
      </w:r>
      <w:r w:rsidRPr="00045B8C" w:rsidR="00BA2804">
        <w:rPr>
          <w:rFonts w:cs="Courier New"/>
        </w:rPr>
        <w:t xml:space="preserve">. </w:t>
      </w:r>
      <w:r w:rsidRPr="00045B8C">
        <w:rPr>
          <w:rFonts w:cs="Courier New"/>
        </w:rPr>
        <w:t>This collection is authorized by the Socia</w:t>
      </w:r>
      <w:r>
        <w:rPr>
          <w:rFonts w:cs="Courier New"/>
        </w:rPr>
        <w:t>l Security Act, Section 303(a</w:t>
      </w:r>
      <w:r w:rsidR="003B658E">
        <w:rPr>
          <w:rFonts w:cs="Courier New"/>
        </w:rPr>
        <w:t>)(</w:t>
      </w:r>
      <w:r>
        <w:rPr>
          <w:rFonts w:cs="Courier New"/>
        </w:rPr>
        <w:t>6)</w:t>
      </w:r>
      <w:r w:rsidRPr="00045B8C">
        <w:rPr>
          <w:rFonts w:cs="Courier New"/>
        </w:rPr>
        <w:t xml:space="preserve">.  </w:t>
      </w:r>
    </w:p>
    <w:p w:rsidR="00512D13" w:rsidP="006A4F8D" w14:paraId="124986F4" w14:textId="77777777">
      <w:pPr>
        <w:rPr>
          <w:rFonts w:cs="Courier New"/>
        </w:rPr>
      </w:pPr>
    </w:p>
    <w:p w:rsidR="00512D13" w:rsidRPr="00D53DEB" w:rsidP="00512D13" w14:paraId="37A3D508" w14:textId="77777777">
      <w:r w:rsidRPr="00D53DEB">
        <w:rPr>
          <w:b/>
          <w:bCs/>
        </w:rPr>
        <w:t>2.  Indicate how, by whom, and for what purpose the information is to be used.  Except for a new collection, indicate the actual use the agency has made of the information received from the current collection.</w:t>
      </w:r>
    </w:p>
    <w:p w:rsidR="00512D13" w:rsidP="006A4F8D" w14:paraId="6CDEF63A" w14:textId="77777777">
      <w:pPr>
        <w:rPr>
          <w:rFonts w:cs="Courier New"/>
        </w:rPr>
      </w:pPr>
    </w:p>
    <w:p w:rsidR="00586BB4" w:rsidP="00512D13" w14:paraId="4F28DB89" w14:textId="4FAD555E">
      <w:pPr>
        <w:rPr>
          <w:rFonts w:cs="Courier New"/>
        </w:rPr>
      </w:pPr>
      <w:r w:rsidRPr="00C374CA">
        <w:rPr>
          <w:rFonts w:cs="Courier New"/>
        </w:rPr>
        <w:t>Th</w:t>
      </w:r>
      <w:r w:rsidR="005F0611">
        <w:rPr>
          <w:rFonts w:cs="Courier New"/>
        </w:rPr>
        <w:t>e ETA 191 report</w:t>
      </w:r>
      <w:r w:rsidRPr="00C374CA">
        <w:rPr>
          <w:rFonts w:cs="Courier New"/>
        </w:rPr>
        <w:t xml:space="preserve"> is used by the </w:t>
      </w:r>
      <w:r w:rsidRPr="00045B8C" w:rsidR="00231AE3">
        <w:rPr>
          <w:rFonts w:cs="Courier New"/>
        </w:rPr>
        <w:t>ETA to bill Federal agencies for costs incurred by SWAs in paying unemployment insurance benefits to the</w:t>
      </w:r>
      <w:r w:rsidR="00421352">
        <w:rPr>
          <w:rFonts w:cs="Courier New"/>
        </w:rPr>
        <w:t xml:space="preserve"> </w:t>
      </w:r>
      <w:r w:rsidRPr="00045B8C" w:rsidR="00231AE3">
        <w:rPr>
          <w:rFonts w:cs="Courier New"/>
        </w:rPr>
        <w:t>employees of these agencies</w:t>
      </w:r>
      <w:r w:rsidRPr="00045B8C" w:rsidR="00BA2804">
        <w:rPr>
          <w:rFonts w:cs="Courier New"/>
        </w:rPr>
        <w:t xml:space="preserve">. </w:t>
      </w:r>
      <w:r w:rsidRPr="00045B8C" w:rsidR="00231AE3">
        <w:rPr>
          <w:rFonts w:cs="Courier New"/>
        </w:rPr>
        <w:t>Each SWA repor</w:t>
      </w:r>
      <w:r w:rsidR="00AF232B">
        <w:rPr>
          <w:rFonts w:cs="Courier New"/>
        </w:rPr>
        <w:t>ts</w:t>
      </w:r>
      <w:r w:rsidRPr="00045B8C" w:rsidR="00231AE3">
        <w:rPr>
          <w:rFonts w:cs="Courier New"/>
        </w:rPr>
        <w:t xml:space="preserve"> to ETA benefit charges by Federal</w:t>
      </w:r>
      <w:r w:rsidR="003D6A3A">
        <w:rPr>
          <w:rFonts w:cs="Courier New"/>
        </w:rPr>
        <w:t xml:space="preserve"> </w:t>
      </w:r>
      <w:r w:rsidRPr="00045B8C" w:rsidR="00231AE3">
        <w:rPr>
          <w:rFonts w:cs="Courier New"/>
        </w:rPr>
        <w:t>agencies</w:t>
      </w:r>
      <w:r w:rsidRPr="00045B8C" w:rsidR="00BA2804">
        <w:rPr>
          <w:rFonts w:cs="Courier New"/>
        </w:rPr>
        <w:t xml:space="preserve">. </w:t>
      </w:r>
      <w:r w:rsidRPr="00045B8C" w:rsidR="00231AE3">
        <w:rPr>
          <w:rFonts w:cs="Courier New"/>
        </w:rPr>
        <w:t>These charges are aggregated for each agency and billed to the individual agencies</w:t>
      </w:r>
      <w:r w:rsidRPr="00045B8C" w:rsidR="00BA2804">
        <w:rPr>
          <w:rFonts w:cs="Courier New"/>
        </w:rPr>
        <w:t xml:space="preserve">. </w:t>
      </w:r>
      <w:r w:rsidRPr="00045B8C" w:rsidR="00231AE3">
        <w:rPr>
          <w:rFonts w:cs="Courier New"/>
        </w:rPr>
        <w:t xml:space="preserve">Without this data, ETA could not bill these agencies separately as required in the laws cited in </w:t>
      </w:r>
      <w:r w:rsidR="005B60A4">
        <w:rPr>
          <w:rFonts w:cs="Courier New"/>
        </w:rPr>
        <w:t>item</w:t>
      </w:r>
      <w:r w:rsidR="00440DA3">
        <w:rPr>
          <w:rFonts w:cs="Courier New"/>
        </w:rPr>
        <w:t xml:space="preserve"> A</w:t>
      </w:r>
      <w:r w:rsidR="005B60A4">
        <w:rPr>
          <w:rFonts w:cs="Courier New"/>
        </w:rPr>
        <w:t>.</w:t>
      </w:r>
      <w:r w:rsidR="00230698">
        <w:rPr>
          <w:rFonts w:cs="Courier New"/>
        </w:rPr>
        <w:t xml:space="preserve">1. </w:t>
      </w:r>
      <w:r w:rsidRPr="00045B8C" w:rsidR="00231AE3">
        <w:rPr>
          <w:rFonts w:cs="Courier New"/>
        </w:rPr>
        <w:t>If ETA were unable to bill these Federal</w:t>
      </w:r>
      <w:r w:rsidR="00EF2AFF">
        <w:rPr>
          <w:rFonts w:cs="Courier New"/>
        </w:rPr>
        <w:t xml:space="preserve"> </w:t>
      </w:r>
      <w:r w:rsidRPr="00045B8C" w:rsidR="00231AE3">
        <w:rPr>
          <w:rFonts w:cs="Courier New"/>
        </w:rPr>
        <w:t>agencies, such agencies would be unable to reimburse the FECA</w:t>
      </w:r>
      <w:r w:rsidR="00230698">
        <w:rPr>
          <w:rFonts w:cs="Courier New"/>
        </w:rPr>
        <w:t>. T</w:t>
      </w:r>
      <w:r w:rsidRPr="00045B8C" w:rsidR="00231AE3">
        <w:rPr>
          <w:rFonts w:cs="Courier New"/>
        </w:rPr>
        <w:t xml:space="preserve">his would further result in the </w:t>
      </w:r>
      <w:r w:rsidR="00421352">
        <w:rPr>
          <w:rFonts w:cs="Courier New"/>
        </w:rPr>
        <w:t>FECA</w:t>
      </w:r>
      <w:r w:rsidRPr="00045B8C" w:rsidR="00231AE3">
        <w:rPr>
          <w:rFonts w:cs="Courier New"/>
        </w:rPr>
        <w:t xml:space="preserve"> not having available resources to cover UCFE and UCX benefit payments. </w:t>
      </w:r>
    </w:p>
    <w:p w:rsidR="00451B7D" w:rsidP="00512D13" w14:paraId="098CA3D9" w14:textId="77777777">
      <w:pPr>
        <w:rPr>
          <w:rFonts w:cs="Courier New"/>
        </w:rPr>
      </w:pPr>
    </w:p>
    <w:p w:rsidR="00451B7D" w:rsidP="00512D13" w14:paraId="21B899F3" w14:textId="77777777">
      <w:pPr>
        <w:rPr>
          <w:rFonts w:cs="Courier New"/>
        </w:rPr>
      </w:pPr>
    </w:p>
    <w:p w:rsidR="00451B7D" w:rsidRPr="00D53DEB" w:rsidP="00451B7D" w14:paraId="02834707"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bookmarkStart w:id="0" w:name="_Hlk171348026"/>
      <w:r w:rsidRPr="00D53DEB">
        <w:rPr>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bookmarkEnd w:id="0"/>
    <w:p w:rsidR="00451B7D" w:rsidP="00512D13" w14:paraId="34DA723F" w14:textId="77777777"/>
    <w:p w:rsidR="00586BB4" w:rsidP="00451B7D" w14:paraId="22D85E51" w14:textId="78B3E604">
      <w:r>
        <w:t>The ETA 191</w:t>
      </w:r>
      <w:r w:rsidR="00DC3B39">
        <w:t xml:space="preserve"> report</w:t>
      </w:r>
      <w:r w:rsidR="00546A7C">
        <w:t xml:space="preserve"> is </w:t>
      </w:r>
      <w:r w:rsidR="00440DA3">
        <w:t xml:space="preserve">an electronic </w:t>
      </w:r>
      <w:r w:rsidR="007C3494">
        <w:t>F</w:t>
      </w:r>
      <w:r w:rsidR="00440DA3">
        <w:t>orm</w:t>
      </w:r>
      <w:r w:rsidR="00546832">
        <w:t>,</w:t>
      </w:r>
      <w:r w:rsidR="00440DA3">
        <w:t xml:space="preserve"> and the data is </w:t>
      </w:r>
      <w:r w:rsidR="00546A7C">
        <w:t>currently transmitted electronically from</w:t>
      </w:r>
      <w:r w:rsidRPr="00136ABE" w:rsidR="00136ABE">
        <w:t xml:space="preserve"> the state level to </w:t>
      </w:r>
      <w:r w:rsidR="008B0005">
        <w:t>ETA</w:t>
      </w:r>
      <w:r>
        <w:t>.</w:t>
      </w:r>
    </w:p>
    <w:p w:rsidR="00586BB4" w:rsidP="00586BB4" w14:paraId="61A71494" w14:textId="77777777">
      <w:pPr>
        <w:rPr>
          <w:b/>
          <w:bCs/>
          <w:iCs/>
        </w:rPr>
      </w:pPr>
    </w:p>
    <w:p w:rsidR="00C76AE3" w:rsidRPr="00D53DEB" w:rsidP="00C76AE3" w14:paraId="7C8C7DE4"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4.  Describe efforts to identify duplication.  Show specifically why any similar information already available cannot be used or modified for use for the purposes described in Item A.2 above.</w:t>
      </w:r>
    </w:p>
    <w:p w:rsidR="00C76AE3" w:rsidRPr="00A84872" w:rsidP="00586BB4" w14:paraId="2D9D09C4" w14:textId="77777777">
      <w:pPr>
        <w:rPr>
          <w:b/>
          <w:bCs/>
          <w:iCs/>
        </w:rPr>
      </w:pPr>
    </w:p>
    <w:p w:rsidR="00586BB4" w:rsidP="00C76AE3" w14:paraId="0C9CA431" w14:textId="20B26E32">
      <w:r w:rsidRPr="00421352">
        <w:t xml:space="preserve">The data reported on this report is unique in the </w:t>
      </w:r>
      <w:r w:rsidR="003D6A3A">
        <w:t>U</w:t>
      </w:r>
      <w:r w:rsidR="00DC3B39">
        <w:t>.</w:t>
      </w:r>
      <w:r w:rsidR="003D6A3A">
        <w:t>S</w:t>
      </w:r>
      <w:r w:rsidR="00DC3B39">
        <w:t>.</w:t>
      </w:r>
      <w:r w:rsidR="003D6A3A">
        <w:t xml:space="preserve"> </w:t>
      </w:r>
      <w:r w:rsidRPr="00421352">
        <w:t>D</w:t>
      </w:r>
      <w:r w:rsidR="003D6A3A">
        <w:t xml:space="preserve">epartment of </w:t>
      </w:r>
      <w:r w:rsidRPr="00421352">
        <w:t>L</w:t>
      </w:r>
      <w:r w:rsidR="003D6A3A">
        <w:t xml:space="preserve">abor </w:t>
      </w:r>
      <w:r w:rsidRPr="00376E68" w:rsidR="003D6A3A">
        <w:t>(</w:t>
      </w:r>
      <w:r w:rsidRPr="00376E68" w:rsidR="00376E68">
        <w:t>Department</w:t>
      </w:r>
      <w:r w:rsidRPr="00376E68" w:rsidR="003D6A3A">
        <w:t>),</w:t>
      </w:r>
      <w:r w:rsidR="003D6A3A">
        <w:t xml:space="preserve"> </w:t>
      </w:r>
      <w:r w:rsidRPr="00421352">
        <w:t>ETA reporting system</w:t>
      </w:r>
      <w:r w:rsidRPr="00852F01" w:rsidR="00852F01">
        <w:t>; therefore, this report is not duplicated nor is there any similar information available for duplication</w:t>
      </w:r>
      <w:r w:rsidR="002006BD">
        <w:t>.</w:t>
      </w:r>
    </w:p>
    <w:p w:rsidR="00271F6F" w:rsidP="00C76AE3" w14:paraId="00F23B86" w14:textId="77777777"/>
    <w:p w:rsidR="00E941D1" w:rsidRPr="00D53DEB" w:rsidP="00E941D1" w14:paraId="57340A86"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5.</w:t>
      </w:r>
      <w:r w:rsidRPr="00D53DEB">
        <w:t xml:space="preserve">  </w:t>
      </w:r>
      <w:r w:rsidRPr="00D53DEB">
        <w:rPr>
          <w:b/>
          <w:bCs/>
        </w:rPr>
        <w:t>If the collection of information impacts small businesses or other small entities, describe any methods used to minimize burden.</w:t>
      </w:r>
    </w:p>
    <w:p w:rsidR="00F448F2" w:rsidP="00E941D1" w14:paraId="1232F420" w14:textId="77777777"/>
    <w:p w:rsidR="00F448F2" w:rsidP="00E941D1" w14:paraId="5029D36C" w14:textId="742558C5">
      <w:r w:rsidRPr="00946FED">
        <w:t xml:space="preserve">This collection </w:t>
      </w:r>
      <w:r w:rsidRPr="00A84872" w:rsidR="00136ABE">
        <w:t>does not involve small business or other small entities.</w:t>
      </w:r>
    </w:p>
    <w:p w:rsidR="00F448F2" w:rsidRPr="00A84872" w:rsidP="00E941D1" w14:paraId="05BD15FB" w14:textId="77777777"/>
    <w:p w:rsidR="00F448F2" w:rsidRPr="00D53DEB" w:rsidP="00F448F2" w14:paraId="4200E1ED"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6.  Describe the consequence to federal program or policy activities if the collection is not conducted or is conducted less frequently, as well as any technical or legal obstacles to reducing burden.</w:t>
      </w:r>
    </w:p>
    <w:p w:rsidR="00586BB4" w:rsidRPr="00A84872" w:rsidP="00586BB4" w14:paraId="11FA359A" w14:textId="77777777">
      <w:pPr>
        <w:rPr>
          <w:b/>
          <w:bCs/>
          <w:i/>
          <w:iCs/>
        </w:rPr>
      </w:pPr>
    </w:p>
    <w:p w:rsidR="00586BB4" w:rsidP="00F448F2" w14:paraId="14C465B3" w14:textId="4C90EA34">
      <w:pPr>
        <w:rPr>
          <w:rFonts w:cs="Courier New"/>
        </w:rPr>
      </w:pPr>
      <w:r>
        <w:t>This collection is quarterly</w:t>
      </w:r>
      <w:r w:rsidRPr="00136ABE" w:rsidR="00BA2804">
        <w:t xml:space="preserve">. </w:t>
      </w:r>
      <w:r w:rsidRPr="00045B8C" w:rsidR="002F10C4">
        <w:rPr>
          <w:rFonts w:cs="Courier New"/>
        </w:rPr>
        <w:t>Less frequent reports will result in less frequent reimbursements to the FEC</w:t>
      </w:r>
      <w:r w:rsidR="008B0005">
        <w:rPr>
          <w:rFonts w:cs="Courier New"/>
        </w:rPr>
        <w:t xml:space="preserve">A </w:t>
      </w:r>
      <w:r w:rsidRPr="00045B8C" w:rsidR="002F10C4">
        <w:rPr>
          <w:rFonts w:cs="Courier New"/>
        </w:rPr>
        <w:t xml:space="preserve">which may result in insufficient funds being available to pay unemployment benefits to </w:t>
      </w:r>
      <w:r w:rsidRPr="00B96549" w:rsidR="002F10C4">
        <w:rPr>
          <w:rFonts w:cs="Courier New"/>
          <w:color w:val="000000" w:themeColor="text1"/>
        </w:rPr>
        <w:t>Federal</w:t>
      </w:r>
      <w:r w:rsidRPr="00B96549" w:rsidR="00B96549">
        <w:rPr>
          <w:rFonts w:cs="Courier New"/>
          <w:color w:val="000000" w:themeColor="text1"/>
        </w:rPr>
        <w:t xml:space="preserve"> </w:t>
      </w:r>
      <w:r w:rsidRPr="00B96549" w:rsidR="00E978D1">
        <w:rPr>
          <w:rFonts w:cs="Courier New"/>
          <w:color w:val="000000" w:themeColor="text1"/>
        </w:rPr>
        <w:t>civilian employees</w:t>
      </w:r>
      <w:r w:rsidRPr="00B96549" w:rsidR="002F10C4">
        <w:rPr>
          <w:rFonts w:cs="Courier New"/>
          <w:color w:val="000000" w:themeColor="text1"/>
        </w:rPr>
        <w:t xml:space="preserve"> and Ex-Servicemembers.</w:t>
      </w:r>
    </w:p>
    <w:p w:rsidR="00F457C8" w:rsidP="00F448F2" w14:paraId="4FC4DA93" w14:textId="77777777">
      <w:pPr>
        <w:rPr>
          <w:rFonts w:cs="Courier New"/>
        </w:rPr>
      </w:pPr>
    </w:p>
    <w:p w:rsidR="00586BB4" w:rsidP="00332FE1" w14:paraId="4D7E4F68" w14:textId="20EA15B7">
      <w:pPr>
        <w:pStyle w:val="Quick1"/>
        <w:widowControl/>
        <w:numPr>
          <w:ilvl w:val="0"/>
          <w:numId w:val="0"/>
        </w:numPr>
        <w:rPr>
          <w:b/>
          <w:bCs/>
          <w:iCs/>
        </w:rPr>
      </w:pPr>
      <w:r>
        <w:rPr>
          <w:rFonts w:ascii="Times New Roman" w:hAnsi="Times New Roman"/>
          <w:color w:val="000000"/>
        </w:rPr>
        <w:t xml:space="preserve">Sec. 303(a)(6) of the SSA requires states to provide reports ‘from time to time’ containing such information to assure compliance with federal provisions as the Secretary of Labor finds necessary. </w:t>
      </w:r>
      <w:r w:rsidRPr="0041425F">
        <w:rPr>
          <w:rFonts w:ascii="Times New Roman" w:hAnsi="Times New Roman"/>
          <w:color w:val="000000"/>
        </w:rPr>
        <w:t xml:space="preserve">Less frequently than a quarterly collection would mean less ability </w:t>
      </w:r>
      <w:r>
        <w:rPr>
          <w:rFonts w:ascii="Times New Roman" w:hAnsi="Times New Roman"/>
          <w:color w:val="000000"/>
        </w:rPr>
        <w:t xml:space="preserve">for the Department </w:t>
      </w:r>
      <w:r w:rsidRPr="0041425F">
        <w:rPr>
          <w:rFonts w:ascii="Times New Roman" w:hAnsi="Times New Roman"/>
          <w:color w:val="000000"/>
        </w:rPr>
        <w:t>to track impact of legislation and less ability to track patterns of activity within a state over time</w:t>
      </w:r>
      <w:r>
        <w:rPr>
          <w:rFonts w:ascii="Times New Roman" w:hAnsi="Times New Roman"/>
          <w:color w:val="000000"/>
        </w:rPr>
        <w:t>.</w:t>
      </w:r>
    </w:p>
    <w:p w:rsidR="00EA5FA4" w:rsidRPr="00A47DA7" w:rsidP="00EA5FA4" w14:paraId="2E85CF3A"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EA5FA4" w:rsidP="00EA5FA4" w14:paraId="5E6BA16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7.  Explain any special circumstances that would cause an information collection to be conducted in a manner:</w:t>
      </w:r>
    </w:p>
    <w:p w:rsidR="00EA5FA4" w:rsidP="00586BB4" w14:paraId="1A3641C4" w14:textId="77777777">
      <w:pPr>
        <w:rPr>
          <w:b/>
          <w:bCs/>
          <w:iCs/>
        </w:rPr>
      </w:pPr>
    </w:p>
    <w:p w:rsidR="005A116F" w:rsidRPr="00D53DEB" w:rsidP="005A116F" w14:paraId="59935158"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report information to the agency more often than </w:t>
      </w:r>
      <w:r w:rsidRPr="00D53DEB">
        <w:rPr>
          <w:b/>
          <w:bCs/>
        </w:rPr>
        <w:t>quarterly;</w:t>
      </w:r>
    </w:p>
    <w:p w:rsidR="005A116F" w:rsidRPr="00D53DEB" w:rsidP="005A116F" w14:paraId="03A480DA"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A116F" w:rsidP="005A116F" w14:paraId="58EFE38A"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prepare a written response to a collection of information in fewer than 30 days after receipt of </w:t>
      </w:r>
      <w:r w:rsidRPr="00D53DEB">
        <w:rPr>
          <w:b/>
          <w:bCs/>
        </w:rPr>
        <w:t>it;</w:t>
      </w:r>
    </w:p>
    <w:p w:rsidR="00AF232B" w:rsidP="00AF232B" w14:paraId="44FE354F" w14:textId="77777777">
      <w:pPr>
        <w:pStyle w:val="ListParagraph"/>
        <w:rPr>
          <w:b/>
          <w:bCs/>
        </w:rPr>
      </w:pPr>
    </w:p>
    <w:p w:rsidR="00AF232B" w:rsidRPr="00D53DEB" w:rsidP="00AF232B" w14:paraId="452F5C8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5A116F" w:rsidRPr="00D53DEB" w:rsidP="005A116F" w14:paraId="05F915C1"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A116F" w:rsidRPr="00D53DEB" w:rsidP="005A116F" w14:paraId="3FC440D0"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submit more than an original and two copies of any </w:t>
      </w:r>
      <w:r w:rsidRPr="00D53DEB">
        <w:rPr>
          <w:b/>
          <w:bCs/>
        </w:rPr>
        <w:t>document;</w:t>
      </w:r>
    </w:p>
    <w:p w:rsidR="005A116F" w:rsidRPr="00D53DEB" w:rsidP="005A116F" w14:paraId="66F75223"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A116F" w:rsidRPr="00D53DEB" w:rsidP="005A116F" w14:paraId="3916FC1B"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respondents to retain records, other than health, medical, government contract, grant-in-aid, or tax records for more than three </w:t>
      </w:r>
      <w:r w:rsidRPr="00D53DEB">
        <w:rPr>
          <w:b/>
          <w:bCs/>
        </w:rPr>
        <w:t>years;</w:t>
      </w:r>
    </w:p>
    <w:p w:rsidR="005A116F" w:rsidRPr="00D53DEB" w:rsidP="005A116F" w14:paraId="41D26728"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A116F" w:rsidRPr="00D53DEB" w:rsidP="005A116F" w14:paraId="3FCC5115"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in connection with a statistical survey, that is not designed to produce valid and reliable results that can be generalized to the universe of </w:t>
      </w:r>
      <w:r w:rsidRPr="00D53DEB">
        <w:rPr>
          <w:b/>
          <w:bCs/>
        </w:rPr>
        <w:t>study;</w:t>
      </w:r>
    </w:p>
    <w:p w:rsidR="005A116F" w:rsidRPr="00D53DEB" w:rsidP="005A116F" w14:paraId="1C4F6D85"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A116F" w:rsidRPr="00D53DEB" w:rsidP="005A116F" w14:paraId="2E294775"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 xml:space="preserve">requiring the use of statistical data classification that has not been reviewed and approved by </w:t>
      </w:r>
      <w:r w:rsidRPr="00D53DEB">
        <w:rPr>
          <w:b/>
          <w:bCs/>
        </w:rPr>
        <w:t>OMB;</w:t>
      </w:r>
    </w:p>
    <w:p w:rsidR="005A116F" w:rsidRPr="00D53DEB" w:rsidP="005A116F" w14:paraId="00A7199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5A116F" w:rsidRPr="00D53DEB" w:rsidP="005A116F" w14:paraId="258C7CC9"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Pr>
          <w:b/>
          <w:bCs/>
        </w:rPr>
        <w:t>it</w:t>
      </w:r>
      <w:r w:rsidRPr="00D53DEB">
        <w:rPr>
          <w:b/>
          <w:bCs/>
        </w:rPr>
        <w: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5A116F" w:rsidRPr="00D53DEB" w:rsidP="005A116F" w14:paraId="199BEBD6"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A116F" w:rsidRPr="00D53DEB" w:rsidP="005A116F" w14:paraId="0DB3344B" w14:textId="77777777">
      <w:pPr>
        <w:pStyle w:val="Level1"/>
        <w:widowControl/>
        <w:numPr>
          <w:ilvl w:val="0"/>
          <w:numId w:val="1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 unless the agency can demonstrate that it has instituted procedures to protect the information's confidential</w:t>
      </w:r>
      <w:r>
        <w:rPr>
          <w:b/>
          <w:bCs/>
        </w:rPr>
        <w:t>it</w:t>
      </w:r>
      <w:r w:rsidRPr="00D53DEB">
        <w:rPr>
          <w:b/>
          <w:bCs/>
        </w:rPr>
        <w:t>y to the extent permitted by law.</w:t>
      </w:r>
    </w:p>
    <w:p w:rsidR="00DD340B" w:rsidRPr="00DD340B" w:rsidP="00DE6EEF" w14:paraId="34E55148" w14:textId="1D11917D">
      <w:pPr>
        <w:ind w:left="720"/>
        <w:rPr>
          <w:u w:val="single"/>
        </w:rPr>
      </w:pPr>
    </w:p>
    <w:p w:rsidR="000106F3" w:rsidP="00D2691A" w14:paraId="36A10D4E" w14:textId="24D02E40">
      <w:pPr>
        <w:rPr>
          <w:rFonts w:cs="Courier New"/>
        </w:rPr>
      </w:pPr>
      <w:r w:rsidRPr="006F1213">
        <w:rPr>
          <w:rFonts w:cs="Courier New"/>
        </w:rPr>
        <w:t>There are no special circumstances.</w:t>
      </w:r>
    </w:p>
    <w:p w:rsidR="00E62C13" w:rsidP="00036204" w14:paraId="2C3C8E00" w14:textId="77777777">
      <w:pPr>
        <w:ind w:left="360"/>
        <w:rPr>
          <w:rFonts w:cs="Courier New"/>
        </w:rPr>
      </w:pPr>
    </w:p>
    <w:p w:rsidR="00E62C13" w:rsidP="00D2691A" w14:paraId="349E3442" w14:textId="75D83815">
      <w:r w:rsidRPr="00D53DEB">
        <w:rPr>
          <w:b/>
          <w:bCs/>
        </w:rPr>
        <w:t xml:space="preserve">8.  If applicable, provide a copy and identify the date and page number of </w:t>
      </w:r>
      <w:r w:rsidRPr="00D53DEB">
        <w:rPr>
          <w:b/>
          <w:bCs/>
        </w:rPr>
        <w:t>publication</w:t>
      </w:r>
      <w:r w:rsidRPr="00D53DEB">
        <w:rPr>
          <w:b/>
          <w:bCs/>
        </w:rPr>
        <w:t xml:space="preserve"> in the </w:t>
      </w:r>
      <w:r w:rsidRPr="00726899">
        <w:rPr>
          <w:rStyle w:val="Heading2Char"/>
          <w:rFonts w:ascii="Times New Roman" w:hAnsi="Times New Roman" w:cs="Times New Roman"/>
          <w:sz w:val="24"/>
          <w:szCs w:val="24"/>
        </w:rPr>
        <w:t>Federal Register</w:t>
      </w:r>
      <w:r w:rsidRPr="00D53DEB">
        <w:rPr>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6821CF">
        <w:rPr>
          <w:b/>
          <w:bCs/>
        </w:rPr>
        <w:t>.</w:t>
      </w:r>
    </w:p>
    <w:p w:rsidR="00586BB4" w:rsidRPr="006862C7" w:rsidP="00586BB4" w14:paraId="37C0FBBA" w14:textId="77777777">
      <w:pPr>
        <w:rPr>
          <w:b/>
          <w:bCs/>
          <w:iCs/>
        </w:rPr>
      </w:pPr>
    </w:p>
    <w:p w:rsidR="00DD340B" w:rsidRPr="00A20800" w:rsidP="00D31CD2" w14:paraId="0EF832B6" w14:textId="77777777">
      <w:pPr>
        <w:rPr>
          <w:b/>
          <w:bCs/>
          <w:iCs/>
        </w:rPr>
      </w:pPr>
      <w:r w:rsidRPr="00A20800">
        <w:rPr>
          <w:b/>
          <w:bCs/>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DD340B" w:rsidRPr="00A20800" w:rsidP="00215008" w14:paraId="62BE2FD8" w14:textId="77777777">
      <w:pPr>
        <w:ind w:left="360"/>
        <w:rPr>
          <w:b/>
          <w:bCs/>
          <w:iCs/>
        </w:rPr>
      </w:pPr>
    </w:p>
    <w:p w:rsidR="00DD340B" w:rsidP="00D31CD2" w14:paraId="353E4ABF" w14:textId="77777777">
      <w:pPr>
        <w:rPr>
          <w:i/>
        </w:rPr>
      </w:pPr>
      <w:r w:rsidRPr="00A20800">
        <w:rPr>
          <w:b/>
          <w:bCs/>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B277EE">
        <w:rPr>
          <w:i/>
        </w:rPr>
        <w:t>.</w:t>
      </w:r>
    </w:p>
    <w:p w:rsidR="008B0005" w:rsidRPr="00B277EE" w:rsidP="00215008" w14:paraId="31C6584E" w14:textId="77777777">
      <w:pPr>
        <w:ind w:left="360"/>
        <w:rPr>
          <w:i/>
        </w:rPr>
      </w:pPr>
    </w:p>
    <w:p w:rsidR="000A325A" w:rsidP="00D31CD2" w14:paraId="4C680AA1" w14:textId="54D0E988">
      <w:r w:rsidRPr="000C0A2F">
        <w:t xml:space="preserve">In accordance with the Paperwork Reduction Act of 1995, the public was allowed 60 days to </w:t>
      </w:r>
      <w:r w:rsidRPr="000C0A2F" w:rsidR="004A1F9A">
        <w:t xml:space="preserve">review and </w:t>
      </w:r>
      <w:r w:rsidRPr="000C0A2F">
        <w:t xml:space="preserve">comment through the Federal Register Notice posted on </w:t>
      </w:r>
      <w:r w:rsidRPr="000C0A2F" w:rsidR="004A1F9A">
        <w:t>August</w:t>
      </w:r>
      <w:r w:rsidRPr="000C0A2F">
        <w:t xml:space="preserve"> 1</w:t>
      </w:r>
      <w:r w:rsidRPr="000C0A2F" w:rsidR="000C0A2F">
        <w:t>4</w:t>
      </w:r>
      <w:r w:rsidRPr="000C0A2F">
        <w:t>, 202</w:t>
      </w:r>
      <w:r w:rsidRPr="000C0A2F" w:rsidR="000C0A2F">
        <w:t>4</w:t>
      </w:r>
      <w:r w:rsidRPr="000C0A2F">
        <w:t xml:space="preserve"> (8</w:t>
      </w:r>
      <w:r w:rsidRPr="000C0A2F" w:rsidR="000C0A2F">
        <w:t>9</w:t>
      </w:r>
      <w:r w:rsidRPr="000C0A2F">
        <w:t xml:space="preserve"> FR </w:t>
      </w:r>
      <w:r w:rsidRPr="000C0A2F" w:rsidR="000C0A2F">
        <w:t>66145</w:t>
      </w:r>
      <w:r w:rsidRPr="000C0A2F">
        <w:t>).  No public comments were received.</w:t>
      </w:r>
    </w:p>
    <w:p w:rsidR="00AF232B" w:rsidP="00D31CD2" w14:paraId="0ECE72DE" w14:textId="77777777"/>
    <w:p w:rsidR="002A17CA" w:rsidP="00036204" w14:paraId="73692D45" w14:textId="77777777">
      <w:pPr>
        <w:ind w:left="360"/>
      </w:pPr>
    </w:p>
    <w:p w:rsidR="002A17CA" w:rsidRPr="00D53DEB" w:rsidP="002A17CA" w14:paraId="3C44DB4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9.  Explain any decision to provide any payments or gift</w:t>
      </w:r>
      <w:r>
        <w:rPr>
          <w:b/>
          <w:bCs/>
        </w:rPr>
        <w:t>s</w:t>
      </w:r>
      <w:r w:rsidRPr="00D53DEB">
        <w:rPr>
          <w:b/>
          <w:bCs/>
        </w:rPr>
        <w:t xml:space="preserve"> to respondents, other than remuneration of contractors or grantees.</w:t>
      </w:r>
    </w:p>
    <w:p w:rsidR="002A17CA" w:rsidP="00036204" w14:paraId="3C3E475F" w14:textId="77777777">
      <w:pPr>
        <w:ind w:left="360"/>
      </w:pPr>
    </w:p>
    <w:p w:rsidR="00586BB4" w:rsidP="00586BB4" w14:paraId="68CA8D5C" w14:textId="50E3EE13">
      <w:pPr>
        <w:rPr>
          <w:b/>
          <w:bCs/>
          <w:iCs/>
        </w:rPr>
      </w:pPr>
      <w:r w:rsidRPr="007B76A6">
        <w:rPr>
          <w:rFonts w:cs="Courier New"/>
        </w:rPr>
        <w:t>There are no payments or gifts provided to respondents.</w:t>
      </w:r>
    </w:p>
    <w:p w:rsidR="00F23AA2" w:rsidP="00586BB4" w14:paraId="3F2A176F" w14:textId="77777777">
      <w:pPr>
        <w:rPr>
          <w:b/>
          <w:bCs/>
          <w:iCs/>
        </w:rPr>
      </w:pPr>
    </w:p>
    <w:p w:rsidR="00F23AA2" w:rsidRPr="00D53DEB" w:rsidP="00F23AA2" w14:paraId="399FBDB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10.  Describe any assurance of confidentiality provided to respondents and the basis for the assurance in statute, regulation, or agency policy.</w:t>
      </w:r>
    </w:p>
    <w:p w:rsidR="00F23AA2" w:rsidRPr="006862C7" w:rsidP="00586BB4" w14:paraId="28ED7B4B" w14:textId="77777777">
      <w:pPr>
        <w:rPr>
          <w:b/>
          <w:bCs/>
          <w:iCs/>
        </w:rPr>
      </w:pPr>
    </w:p>
    <w:p w:rsidR="00586BB4" w:rsidP="00F23AA2" w14:paraId="04C21D31" w14:textId="2F91B605">
      <w:r>
        <w:t>T</w:t>
      </w:r>
      <w:r w:rsidRPr="00136ABE">
        <w:t xml:space="preserve">here is no assurance of confidentiality.  </w:t>
      </w:r>
    </w:p>
    <w:p w:rsidR="002F10C4" w:rsidP="002F10C4" w14:paraId="25E6824C" w14:textId="77777777">
      <w:pPr>
        <w:rPr>
          <w:b/>
          <w:bCs/>
          <w:iCs/>
        </w:rPr>
      </w:pPr>
    </w:p>
    <w:p w:rsidR="00542934" w:rsidRPr="00D53DEB" w:rsidP="00542934" w14:paraId="39697673"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42934" w:rsidRPr="006862C7" w:rsidP="002F10C4" w14:paraId="09AC7DF9" w14:textId="77777777">
      <w:pPr>
        <w:rPr>
          <w:b/>
          <w:bCs/>
          <w:iCs/>
        </w:rPr>
      </w:pPr>
    </w:p>
    <w:p w:rsidR="00586BB4" w:rsidP="00542934" w14:paraId="2A7F6853" w14:textId="53311C87">
      <w:r w:rsidRPr="00C04267">
        <w:t>The collection does not involve any questions of a sensitive nature</w:t>
      </w:r>
      <w:r w:rsidR="00153DEB">
        <w:t>.</w:t>
      </w:r>
    </w:p>
    <w:p w:rsidR="009F7BD3" w:rsidP="00542934" w14:paraId="359B1495" w14:textId="77777777"/>
    <w:p w:rsidR="009F7BD3" w:rsidRPr="00D53DEB" w:rsidP="009F7BD3" w14:paraId="0B612FD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12.  Provide estimates of the hour burden of the collection of information.  The statement should:</w:t>
      </w:r>
    </w:p>
    <w:p w:rsidR="00C0243B" w:rsidP="009F7BD3" w14:paraId="71400E42" w14:textId="77777777"/>
    <w:p w:rsidR="00DF6BD4" w:rsidRPr="00D53DEB" w:rsidP="00DF6BD4" w14:paraId="0109CD55" w14:textId="77777777">
      <w:pPr>
        <w:numPr>
          <w:ilvl w:val="0"/>
          <w:numId w:val="1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Pr>
          <w:b/>
          <w:bCs/>
        </w:rPr>
        <w:t>ly</w:t>
      </w:r>
      <w:r w:rsidRPr="00D53DEB">
        <w:rPr>
          <w:b/>
          <w:bCs/>
        </w:rPr>
        <w:t>, estimates should not include burden hours for customary and usual business practices.</w:t>
      </w:r>
    </w:p>
    <w:p w:rsidR="00DF6BD4" w:rsidRPr="00D53DEB" w:rsidP="00DF6BD4" w14:paraId="7016D3E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DF6BD4" w:rsidRPr="00D53DEB" w:rsidP="00DF6BD4" w14:paraId="36CCFEB8" w14:textId="77777777">
      <w:pPr>
        <w:pStyle w:val="Level1"/>
        <w:widowControl/>
        <w:numPr>
          <w:ilvl w:val="0"/>
          <w:numId w:val="10"/>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DF6BD4" w:rsidRPr="00D53DEB" w:rsidP="00DF6BD4" w14:paraId="7154B32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DF6BD4" w:rsidP="00DF6BD4" w14:paraId="5968F478" w14:textId="77777777">
      <w:pPr>
        <w:numPr>
          <w:ilvl w:val="0"/>
          <w:numId w:val="10"/>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bCs/>
        </w:rPr>
      </w:pPr>
      <w:r w:rsidRPr="00D53DEB">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DF6BD4" w:rsidP="00DF6BD4" w14:paraId="2A77869F" w14:textId="77777777">
      <w:pPr>
        <w:pStyle w:val="ListParagraph"/>
        <w:rPr>
          <w:b/>
          <w:bCs/>
        </w:rPr>
      </w:pPr>
    </w:p>
    <w:p w:rsidR="006C27C7" w:rsidP="00036204" w14:paraId="1B4C4121" w14:textId="65F799E7">
      <w:pPr>
        <w:ind w:left="360"/>
      </w:pPr>
      <w:r w:rsidRPr="006C27C7">
        <w:t xml:space="preserve">Fifty-three (53) SWAs utilize Form ETA </w:t>
      </w:r>
      <w:r>
        <w:t>191.</w:t>
      </w:r>
    </w:p>
    <w:p w:rsidR="006C27C7" w:rsidP="00036204" w14:paraId="498E1924" w14:textId="77777777">
      <w:pPr>
        <w:ind w:left="360"/>
      </w:pPr>
    </w:p>
    <w:p w:rsidR="00C356C0" w:rsidP="00036204" w14:paraId="416FE26D" w14:textId="4F36FA6E">
      <w:pPr>
        <w:ind w:left="360"/>
      </w:pPr>
      <w:r>
        <w:t>The average estimated response time for a single report is 6 hours</w:t>
      </w:r>
      <w:r w:rsidR="00BA2804">
        <w:t xml:space="preserve">. </w:t>
      </w:r>
      <w:r>
        <w:t xml:space="preserve">The report is submitted by 53 </w:t>
      </w:r>
      <w:r w:rsidR="00153DEB">
        <w:t>SWAs</w:t>
      </w:r>
      <w:r>
        <w:t xml:space="preserve"> at </w:t>
      </w:r>
      <w:r w:rsidR="00923202">
        <w:t>a</w:t>
      </w:r>
      <w:r>
        <w:t xml:space="preserve"> quarterly frequency</w:t>
      </w:r>
      <w:r w:rsidR="00BA2804">
        <w:t xml:space="preserve">. </w:t>
      </w:r>
      <w:r>
        <w:t xml:space="preserve">We estimate the aggregate burden to be: </w:t>
      </w:r>
    </w:p>
    <w:p w:rsidR="00C356C0" w:rsidP="00C356C0" w14:paraId="7C4E5187" w14:textId="77777777">
      <w:pPr>
        <w:rPr>
          <w:rFonts w:cs="Courier New"/>
        </w:rPr>
      </w:pPr>
    </w:p>
    <w:p w:rsidR="0067479B" w:rsidP="00AF232B" w14:paraId="0D581209" w14:textId="5DF2CB71">
      <w:pPr>
        <w:ind w:firstLine="360"/>
      </w:pPr>
      <w:r>
        <w:rPr>
          <w:rFonts w:cs="Courier New"/>
        </w:rPr>
        <w:t>(</w:t>
      </w:r>
      <w:r w:rsidRPr="00045B8C" w:rsidR="002F10C4">
        <w:rPr>
          <w:rFonts w:cs="Courier New"/>
        </w:rPr>
        <w:t xml:space="preserve">53 </w:t>
      </w:r>
      <w:r>
        <w:rPr>
          <w:rFonts w:cs="Courier New"/>
        </w:rPr>
        <w:t>respondents)</w:t>
      </w:r>
      <w:r w:rsidRPr="00045B8C" w:rsidR="002F10C4">
        <w:rPr>
          <w:rFonts w:cs="Courier New"/>
        </w:rPr>
        <w:t xml:space="preserve"> </w:t>
      </w:r>
      <w:r>
        <w:rPr>
          <w:rFonts w:cs="Courier New"/>
        </w:rPr>
        <w:t>x</w:t>
      </w:r>
      <w:r w:rsidRPr="00045B8C" w:rsidR="002F10C4">
        <w:rPr>
          <w:rFonts w:cs="Courier New"/>
        </w:rPr>
        <w:t xml:space="preserve"> </w:t>
      </w:r>
      <w:r>
        <w:rPr>
          <w:rFonts w:cs="Courier New"/>
        </w:rPr>
        <w:t>(</w:t>
      </w:r>
      <w:r w:rsidRPr="00045B8C" w:rsidR="002F10C4">
        <w:rPr>
          <w:rFonts w:cs="Courier New"/>
        </w:rPr>
        <w:t xml:space="preserve">4 </w:t>
      </w:r>
      <w:r>
        <w:rPr>
          <w:rFonts w:cs="Courier New"/>
        </w:rPr>
        <w:t>reports/</w:t>
      </w:r>
      <w:r w:rsidRPr="00045B8C" w:rsidR="002F10C4">
        <w:rPr>
          <w:rFonts w:cs="Courier New"/>
        </w:rPr>
        <w:t>year</w:t>
      </w:r>
      <w:r>
        <w:rPr>
          <w:rFonts w:cs="Courier New"/>
        </w:rPr>
        <w:t>)</w:t>
      </w:r>
      <w:r w:rsidRPr="00045B8C" w:rsidR="002F10C4">
        <w:rPr>
          <w:rFonts w:cs="Courier New"/>
        </w:rPr>
        <w:t xml:space="preserve"> </w:t>
      </w:r>
      <w:r>
        <w:rPr>
          <w:rFonts w:cs="Courier New"/>
        </w:rPr>
        <w:t>x</w:t>
      </w:r>
      <w:r w:rsidRPr="00045B8C" w:rsidR="002F10C4">
        <w:rPr>
          <w:rFonts w:cs="Courier New"/>
        </w:rPr>
        <w:t xml:space="preserve"> </w:t>
      </w:r>
      <w:r>
        <w:rPr>
          <w:rFonts w:cs="Courier New"/>
        </w:rPr>
        <w:t>(</w:t>
      </w:r>
      <w:r w:rsidRPr="00045B8C" w:rsidR="002F10C4">
        <w:rPr>
          <w:rFonts w:cs="Courier New"/>
        </w:rPr>
        <w:t>6</w:t>
      </w:r>
      <w:r w:rsidR="00810BF2">
        <w:rPr>
          <w:rFonts w:cs="Courier New"/>
        </w:rPr>
        <w:t xml:space="preserve"> </w:t>
      </w:r>
      <w:r w:rsidRPr="00045B8C" w:rsidR="002F10C4">
        <w:rPr>
          <w:rFonts w:cs="Courier New"/>
        </w:rPr>
        <w:t>hours per report</w:t>
      </w:r>
      <w:r>
        <w:rPr>
          <w:rFonts w:cs="Courier New"/>
        </w:rPr>
        <w:t>)</w:t>
      </w:r>
      <w:r w:rsidRPr="00045B8C" w:rsidR="002F10C4">
        <w:rPr>
          <w:rFonts w:cs="Courier New"/>
        </w:rPr>
        <w:t xml:space="preserve"> = 1,272 burde</w:t>
      </w:r>
      <w:r w:rsidR="002F10C4">
        <w:rPr>
          <w:rFonts w:cs="Courier New"/>
        </w:rPr>
        <w:t>n hours.</w:t>
      </w:r>
    </w:p>
    <w:p w:rsidR="0067479B" w:rsidP="0067479B" w14:paraId="06B8A7C2" w14:textId="77777777"/>
    <w:p w:rsidR="0070118D" w:rsidRPr="0067479B" w:rsidP="00866AC0" w14:paraId="750871B3" w14:textId="18575C33">
      <w:pPr>
        <w:ind w:left="720" w:firstLine="720"/>
        <w:rPr>
          <w:b/>
        </w:rPr>
      </w:pPr>
      <w:r w:rsidRPr="0067479B">
        <w:rPr>
          <w:b/>
        </w:rPr>
        <w:t xml:space="preserve">Estimated Annualized Respondent </w:t>
      </w:r>
      <w:r w:rsidRPr="00512DA5" w:rsidR="00512DA5">
        <w:rPr>
          <w:b/>
        </w:rPr>
        <w:t xml:space="preserve">Costs </w:t>
      </w:r>
      <w:r w:rsidR="00512DA5">
        <w:rPr>
          <w:b/>
        </w:rPr>
        <w:t xml:space="preserve">and </w:t>
      </w:r>
      <w:r w:rsidRPr="0067479B">
        <w:rPr>
          <w:b/>
        </w:rPr>
        <w:t xml:space="preserve">Hour </w:t>
      </w:r>
      <w:r w:rsidRPr="00512DA5" w:rsidR="00512DA5">
        <w:rPr>
          <w:b/>
        </w:rPr>
        <w:t>Burden</w:t>
      </w:r>
    </w:p>
    <w:tbl>
      <w:tblPr>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1417"/>
        <w:gridCol w:w="1350"/>
        <w:gridCol w:w="1260"/>
        <w:gridCol w:w="1103"/>
        <w:gridCol w:w="990"/>
        <w:gridCol w:w="967"/>
        <w:gridCol w:w="1211"/>
      </w:tblGrid>
      <w:tr w14:paraId="6BF96707" w14:textId="77777777" w:rsidTr="00512DA5">
        <w:tblPrEx>
          <w:tblW w:w="9738"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4C2544" w:rsidRPr="004C2544" w:rsidP="004C2544" w14:paraId="5FFED105" w14:textId="77777777">
            <w:pPr>
              <w:spacing w:line="276" w:lineRule="auto"/>
              <w:rPr>
                <w:b/>
                <w:sz w:val="22"/>
                <w:szCs w:val="22"/>
              </w:rPr>
            </w:pPr>
            <w:r w:rsidRPr="004C2544">
              <w:rPr>
                <w:b/>
                <w:sz w:val="22"/>
                <w:szCs w:val="22"/>
              </w:rPr>
              <w:t>Activity</w:t>
            </w:r>
          </w:p>
        </w:tc>
        <w:tc>
          <w:tcPr>
            <w:tcW w:w="1417" w:type="dxa"/>
            <w:tcBorders>
              <w:top w:val="single" w:sz="4" w:space="0" w:color="auto"/>
              <w:left w:val="single" w:sz="4" w:space="0" w:color="auto"/>
              <w:bottom w:val="single" w:sz="4" w:space="0" w:color="auto"/>
              <w:right w:val="single" w:sz="4" w:space="0" w:color="auto"/>
            </w:tcBorders>
            <w:shd w:val="clear" w:color="auto" w:fill="8DB3E2"/>
            <w:hideMark/>
          </w:tcPr>
          <w:p w:rsidR="0070118D" w:rsidP="004C2544" w14:paraId="4DA5835C" w14:textId="51344848">
            <w:pPr>
              <w:spacing w:line="276" w:lineRule="auto"/>
              <w:rPr>
                <w:b/>
                <w:sz w:val="22"/>
                <w:szCs w:val="22"/>
              </w:rPr>
            </w:pPr>
            <w:r w:rsidRPr="004C2544">
              <w:rPr>
                <w:b/>
                <w:sz w:val="22"/>
                <w:szCs w:val="22"/>
              </w:rPr>
              <w:t>N</w:t>
            </w:r>
            <w:r w:rsidR="00512DA5">
              <w:rPr>
                <w:b/>
                <w:sz w:val="22"/>
                <w:szCs w:val="22"/>
              </w:rPr>
              <w:t>o.</w:t>
            </w:r>
          </w:p>
          <w:p w:rsidR="004C2544" w:rsidRPr="004C2544" w:rsidP="004C2544" w14:paraId="61AD3264" w14:textId="77777777">
            <w:pPr>
              <w:spacing w:line="276" w:lineRule="auto"/>
              <w:rPr>
                <w:b/>
                <w:sz w:val="22"/>
                <w:szCs w:val="22"/>
              </w:rPr>
            </w:pPr>
            <w:r w:rsidRPr="004C2544">
              <w:rPr>
                <w:b/>
                <w:sz w:val="22"/>
                <w:szCs w:val="22"/>
              </w:rPr>
              <w:t>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4C2544" w:rsidRPr="004C2544" w:rsidP="004C2544" w14:paraId="4C731B97" w14:textId="3C5A78DD">
            <w:pPr>
              <w:spacing w:line="276" w:lineRule="auto"/>
              <w:rPr>
                <w:b/>
                <w:sz w:val="22"/>
                <w:szCs w:val="22"/>
              </w:rPr>
            </w:pPr>
            <w:r>
              <w:rPr>
                <w:b/>
                <w:sz w:val="22"/>
                <w:szCs w:val="22"/>
              </w:rPr>
              <w:t xml:space="preserve">No. of </w:t>
            </w:r>
            <w:r w:rsidR="0070118D">
              <w:rPr>
                <w:b/>
                <w:sz w:val="22"/>
                <w:szCs w:val="22"/>
              </w:rPr>
              <w:t xml:space="preserve">Response </w:t>
            </w:r>
            <w:r>
              <w:rPr>
                <w:b/>
                <w:sz w:val="22"/>
                <w:szCs w:val="22"/>
              </w:rPr>
              <w:t>per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rsidR="00512DA5" w:rsidP="004C2544" w14:paraId="046581F8" w14:textId="77777777">
            <w:pPr>
              <w:spacing w:line="276" w:lineRule="auto"/>
              <w:rPr>
                <w:b/>
                <w:sz w:val="22"/>
                <w:szCs w:val="22"/>
              </w:rPr>
            </w:pPr>
            <w:r w:rsidRPr="004C2544">
              <w:rPr>
                <w:b/>
                <w:sz w:val="22"/>
                <w:szCs w:val="22"/>
              </w:rPr>
              <w:t>Total</w:t>
            </w:r>
          </w:p>
          <w:p w:rsidR="004C2544" w:rsidRPr="004C2544" w:rsidP="004C2544" w14:paraId="76F653F5" w14:textId="0B404BFA">
            <w:pPr>
              <w:spacing w:line="276" w:lineRule="auto"/>
              <w:rPr>
                <w:b/>
                <w:sz w:val="22"/>
                <w:szCs w:val="22"/>
              </w:rPr>
            </w:pPr>
            <w:r w:rsidRPr="004C2544">
              <w:rPr>
                <w:b/>
                <w:sz w:val="22"/>
                <w:szCs w:val="22"/>
              </w:rPr>
              <w:t>Respons</w:t>
            </w:r>
            <w:r w:rsidR="00512DA5">
              <w:rPr>
                <w:b/>
                <w:sz w:val="22"/>
                <w:szCs w:val="22"/>
              </w:rPr>
              <w:t>e</w:t>
            </w:r>
            <w:r w:rsidRPr="004C2544">
              <w:rPr>
                <w:b/>
                <w:sz w:val="22"/>
                <w:szCs w:val="22"/>
              </w:rPr>
              <w:t>s</w:t>
            </w:r>
          </w:p>
        </w:tc>
        <w:tc>
          <w:tcPr>
            <w:tcW w:w="1103" w:type="dxa"/>
            <w:tcBorders>
              <w:top w:val="single" w:sz="4" w:space="0" w:color="auto"/>
              <w:left w:val="single" w:sz="4" w:space="0" w:color="auto"/>
              <w:bottom w:val="single" w:sz="4" w:space="0" w:color="auto"/>
              <w:right w:val="single" w:sz="4" w:space="0" w:color="auto"/>
            </w:tcBorders>
            <w:shd w:val="clear" w:color="auto" w:fill="8DB3E2"/>
            <w:hideMark/>
          </w:tcPr>
          <w:p w:rsidR="004C2544" w:rsidP="004C2544" w14:paraId="62FFD19E" w14:textId="131BCE37">
            <w:pPr>
              <w:spacing w:line="276" w:lineRule="auto"/>
              <w:rPr>
                <w:b/>
                <w:sz w:val="22"/>
                <w:szCs w:val="22"/>
              </w:rPr>
            </w:pPr>
            <w:r>
              <w:rPr>
                <w:b/>
                <w:sz w:val="22"/>
                <w:szCs w:val="22"/>
              </w:rPr>
              <w:t>Average Burden</w:t>
            </w:r>
          </w:p>
          <w:p w:rsidR="0070118D" w:rsidRPr="004C2544" w:rsidP="0070118D" w14:paraId="0B197EBB" w14:textId="3D7E0CC3">
            <w:pPr>
              <w:spacing w:line="276" w:lineRule="auto"/>
              <w:rPr>
                <w:b/>
                <w:sz w:val="22"/>
                <w:szCs w:val="22"/>
              </w:rPr>
            </w:pPr>
            <w:r>
              <w:rPr>
                <w:b/>
                <w:sz w:val="22"/>
                <w:szCs w:val="22"/>
              </w:rPr>
              <w:t>(H</w:t>
            </w:r>
            <w:r w:rsidR="00512DA5">
              <w:rPr>
                <w:b/>
                <w:sz w:val="22"/>
                <w:szCs w:val="22"/>
              </w:rPr>
              <w:t>ou</w:t>
            </w:r>
            <w:r>
              <w:rPr>
                <w:b/>
                <w:sz w:val="22"/>
                <w:szCs w:val="22"/>
              </w:rPr>
              <w:t>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4C2544" w:rsidRPr="004C2544" w:rsidP="004C2544" w14:paraId="6C1F87B9" w14:textId="77777777">
            <w:pPr>
              <w:spacing w:line="276" w:lineRule="auto"/>
              <w:rPr>
                <w:b/>
                <w:sz w:val="22"/>
                <w:szCs w:val="22"/>
              </w:rPr>
            </w:pPr>
            <w:r w:rsidRPr="004C2544">
              <w:rPr>
                <w:b/>
                <w:sz w:val="22"/>
                <w:szCs w:val="22"/>
              </w:rPr>
              <w:t>Total Annual Burden Hours</w:t>
            </w:r>
          </w:p>
        </w:tc>
        <w:tc>
          <w:tcPr>
            <w:tcW w:w="967" w:type="dxa"/>
            <w:tcBorders>
              <w:top w:val="single" w:sz="4" w:space="0" w:color="auto"/>
              <w:left w:val="single" w:sz="4" w:space="0" w:color="auto"/>
              <w:bottom w:val="single" w:sz="4" w:space="0" w:color="auto"/>
              <w:right w:val="single" w:sz="4" w:space="0" w:color="auto"/>
            </w:tcBorders>
            <w:shd w:val="clear" w:color="auto" w:fill="8DB3E2"/>
            <w:hideMark/>
          </w:tcPr>
          <w:p w:rsidR="004C2544" w:rsidRPr="004C2544" w:rsidP="0070118D" w14:paraId="10A6C277" w14:textId="272F90FF">
            <w:pPr>
              <w:spacing w:line="276" w:lineRule="auto"/>
              <w:rPr>
                <w:b/>
                <w:sz w:val="22"/>
                <w:szCs w:val="22"/>
              </w:rPr>
            </w:pPr>
            <w:r>
              <w:rPr>
                <w:b/>
                <w:sz w:val="22"/>
                <w:szCs w:val="22"/>
              </w:rPr>
              <w:t xml:space="preserve">Hourly </w:t>
            </w:r>
            <w:r w:rsidR="0070118D">
              <w:rPr>
                <w:b/>
                <w:sz w:val="22"/>
                <w:szCs w:val="22"/>
              </w:rPr>
              <w:t xml:space="preserve">Wage </w:t>
            </w:r>
            <w:r w:rsidRPr="004C2544">
              <w:rPr>
                <w:b/>
                <w:sz w:val="22"/>
                <w:szCs w:val="22"/>
              </w:rPr>
              <w:t xml:space="preserve"> Rate</w:t>
            </w:r>
            <w:r w:rsidRPr="004C2544">
              <w:rPr>
                <w:b/>
                <w:sz w:val="22"/>
                <w:szCs w:val="22"/>
              </w:rPr>
              <w:t>*</w:t>
            </w:r>
          </w:p>
        </w:tc>
        <w:tc>
          <w:tcPr>
            <w:tcW w:w="1211" w:type="dxa"/>
            <w:tcBorders>
              <w:top w:val="single" w:sz="4" w:space="0" w:color="auto"/>
              <w:left w:val="single" w:sz="4" w:space="0" w:color="auto"/>
              <w:bottom w:val="single" w:sz="4" w:space="0" w:color="auto"/>
              <w:right w:val="single" w:sz="4" w:space="0" w:color="auto"/>
            </w:tcBorders>
            <w:shd w:val="clear" w:color="auto" w:fill="8DB3E2"/>
            <w:hideMark/>
          </w:tcPr>
          <w:p w:rsidR="004C2544" w:rsidRPr="004C2544" w:rsidP="004C2544" w14:paraId="687F0540" w14:textId="6A0B7D9B">
            <w:pPr>
              <w:spacing w:line="276" w:lineRule="auto"/>
              <w:rPr>
                <w:b/>
                <w:sz w:val="22"/>
                <w:szCs w:val="22"/>
              </w:rPr>
            </w:pPr>
            <w:r>
              <w:rPr>
                <w:b/>
                <w:sz w:val="22"/>
                <w:szCs w:val="22"/>
              </w:rPr>
              <w:t>Total Burden Cost</w:t>
            </w:r>
          </w:p>
        </w:tc>
      </w:tr>
      <w:tr w14:paraId="46AC74F3" w14:textId="77777777" w:rsidTr="00512DA5">
        <w:tblPrEx>
          <w:tblW w:w="9738" w:type="dxa"/>
          <w:tblInd w:w="-162" w:type="dxa"/>
          <w:tblLayout w:type="fixed"/>
          <w:tblLook w:val="04A0"/>
        </w:tblPrEx>
        <w:tc>
          <w:tcPr>
            <w:tcW w:w="1440" w:type="dxa"/>
            <w:tcBorders>
              <w:top w:val="single" w:sz="4" w:space="0" w:color="auto"/>
              <w:left w:val="single" w:sz="4" w:space="0" w:color="auto"/>
              <w:bottom w:val="single" w:sz="4" w:space="0" w:color="auto"/>
              <w:right w:val="single" w:sz="4" w:space="0" w:color="auto"/>
            </w:tcBorders>
            <w:vAlign w:val="bottom"/>
          </w:tcPr>
          <w:p w:rsidR="004C2544" w:rsidRPr="00AB1E3E" w:rsidP="0036092E" w14:paraId="59F25E45" w14:textId="6E2EEB7C">
            <w:pPr>
              <w:spacing w:line="276" w:lineRule="auto"/>
              <w:rPr>
                <w:color w:val="000000"/>
                <w:sz w:val="22"/>
                <w:szCs w:val="22"/>
              </w:rPr>
            </w:pPr>
            <w:r>
              <w:rPr>
                <w:color w:val="000000"/>
                <w:sz w:val="22"/>
                <w:szCs w:val="22"/>
              </w:rPr>
              <w:t xml:space="preserve">Reporting of </w:t>
            </w:r>
            <w:r w:rsidRPr="00AB1E3E">
              <w:rPr>
                <w:color w:val="000000"/>
                <w:sz w:val="22"/>
                <w:szCs w:val="22"/>
              </w:rPr>
              <w:t>ETA</w:t>
            </w:r>
            <w:r w:rsidRPr="00AB1E3E" w:rsidR="00A47386">
              <w:rPr>
                <w:color w:val="000000"/>
                <w:sz w:val="22"/>
                <w:szCs w:val="22"/>
              </w:rPr>
              <w:t>191</w:t>
            </w:r>
          </w:p>
        </w:tc>
        <w:tc>
          <w:tcPr>
            <w:tcW w:w="1417" w:type="dxa"/>
            <w:tcBorders>
              <w:top w:val="single" w:sz="4" w:space="0" w:color="auto"/>
              <w:left w:val="single" w:sz="4" w:space="0" w:color="auto"/>
              <w:bottom w:val="single" w:sz="4" w:space="0" w:color="auto"/>
              <w:right w:val="single" w:sz="4" w:space="0" w:color="auto"/>
            </w:tcBorders>
            <w:vAlign w:val="bottom"/>
          </w:tcPr>
          <w:p w:rsidR="004C2544" w:rsidRPr="004C2544" w:rsidP="004C2544" w14:paraId="4217581B" w14:textId="77777777">
            <w:pPr>
              <w:spacing w:line="276" w:lineRule="auto"/>
              <w:jc w:val="right"/>
              <w:rPr>
                <w:sz w:val="22"/>
                <w:szCs w:val="22"/>
              </w:rPr>
            </w:pPr>
            <w:r>
              <w:rPr>
                <w:sz w:val="22"/>
                <w:szCs w:val="22"/>
              </w:rPr>
              <w:t>53</w:t>
            </w:r>
          </w:p>
        </w:tc>
        <w:tc>
          <w:tcPr>
            <w:tcW w:w="1350" w:type="dxa"/>
            <w:tcBorders>
              <w:top w:val="single" w:sz="4" w:space="0" w:color="auto"/>
              <w:left w:val="single" w:sz="4" w:space="0" w:color="auto"/>
              <w:bottom w:val="single" w:sz="4" w:space="0" w:color="auto"/>
              <w:right w:val="single" w:sz="4" w:space="0" w:color="auto"/>
            </w:tcBorders>
            <w:vAlign w:val="bottom"/>
          </w:tcPr>
          <w:p w:rsidR="004C2544" w:rsidRPr="004C2544" w:rsidP="004C2544" w14:paraId="149BD1E3" w14:textId="77777777">
            <w:pPr>
              <w:spacing w:line="276" w:lineRule="auto"/>
              <w:jc w:val="right"/>
              <w:rPr>
                <w:sz w:val="22"/>
                <w:szCs w:val="22"/>
              </w:rPr>
            </w:pPr>
            <w:r>
              <w:rPr>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4C2544" w:rsidRPr="004C2544" w:rsidP="004C2544" w14:paraId="38CFAF48" w14:textId="77777777">
            <w:pPr>
              <w:spacing w:line="276" w:lineRule="auto"/>
              <w:jc w:val="right"/>
              <w:rPr>
                <w:sz w:val="22"/>
                <w:szCs w:val="22"/>
              </w:rPr>
            </w:pPr>
            <w:r>
              <w:rPr>
                <w:sz w:val="22"/>
                <w:szCs w:val="22"/>
              </w:rPr>
              <w:t>212</w:t>
            </w:r>
          </w:p>
        </w:tc>
        <w:tc>
          <w:tcPr>
            <w:tcW w:w="1103" w:type="dxa"/>
            <w:tcBorders>
              <w:top w:val="single" w:sz="4" w:space="0" w:color="auto"/>
              <w:left w:val="single" w:sz="4" w:space="0" w:color="auto"/>
              <w:bottom w:val="single" w:sz="4" w:space="0" w:color="auto"/>
              <w:right w:val="single" w:sz="4" w:space="0" w:color="auto"/>
            </w:tcBorders>
            <w:vAlign w:val="bottom"/>
          </w:tcPr>
          <w:p w:rsidR="004C2544" w:rsidRPr="004C2544" w:rsidP="004C2544" w14:paraId="12843161" w14:textId="77777777">
            <w:pPr>
              <w:spacing w:line="276" w:lineRule="auto"/>
              <w:jc w:val="right"/>
              <w:rPr>
                <w:sz w:val="22"/>
                <w:szCs w:val="22"/>
              </w:rPr>
            </w:pPr>
            <w:r>
              <w:rPr>
                <w:sz w:val="22"/>
                <w:szCs w:val="22"/>
              </w:rPr>
              <w:t>6</w:t>
            </w:r>
          </w:p>
        </w:tc>
        <w:tc>
          <w:tcPr>
            <w:tcW w:w="990" w:type="dxa"/>
            <w:tcBorders>
              <w:top w:val="single" w:sz="4" w:space="0" w:color="auto"/>
              <w:left w:val="single" w:sz="4" w:space="0" w:color="auto"/>
              <w:bottom w:val="single" w:sz="4" w:space="0" w:color="auto"/>
              <w:right w:val="single" w:sz="4" w:space="0" w:color="auto"/>
            </w:tcBorders>
            <w:vAlign w:val="bottom"/>
          </w:tcPr>
          <w:p w:rsidR="004C2544" w:rsidRPr="004C2544" w:rsidP="004C2544" w14:paraId="74671001" w14:textId="77777777">
            <w:pPr>
              <w:spacing w:line="276" w:lineRule="auto"/>
              <w:jc w:val="right"/>
              <w:rPr>
                <w:sz w:val="22"/>
                <w:szCs w:val="22"/>
              </w:rPr>
            </w:pPr>
            <w:r>
              <w:rPr>
                <w:sz w:val="22"/>
                <w:szCs w:val="22"/>
              </w:rPr>
              <w:t>1</w:t>
            </w:r>
            <w:r w:rsidR="0070118D">
              <w:rPr>
                <w:sz w:val="22"/>
                <w:szCs w:val="22"/>
              </w:rPr>
              <w:t>,</w:t>
            </w:r>
            <w:r>
              <w:rPr>
                <w:sz w:val="22"/>
                <w:szCs w:val="22"/>
              </w:rPr>
              <w:t>272</w:t>
            </w:r>
          </w:p>
        </w:tc>
        <w:tc>
          <w:tcPr>
            <w:tcW w:w="967" w:type="dxa"/>
            <w:tcBorders>
              <w:top w:val="single" w:sz="4" w:space="0" w:color="auto"/>
              <w:left w:val="single" w:sz="4" w:space="0" w:color="auto"/>
              <w:bottom w:val="single" w:sz="4" w:space="0" w:color="auto"/>
              <w:right w:val="single" w:sz="4" w:space="0" w:color="auto"/>
            </w:tcBorders>
            <w:vAlign w:val="bottom"/>
          </w:tcPr>
          <w:p w:rsidR="004C2544" w:rsidRPr="004C2544" w:rsidP="007B5B35" w14:paraId="30DDF84A" w14:textId="5D62CBFA">
            <w:pPr>
              <w:spacing w:line="276" w:lineRule="auto"/>
              <w:jc w:val="right"/>
              <w:rPr>
                <w:sz w:val="22"/>
                <w:szCs w:val="22"/>
              </w:rPr>
            </w:pPr>
            <w:r>
              <w:rPr>
                <w:sz w:val="22"/>
                <w:szCs w:val="22"/>
              </w:rPr>
              <w:t>$</w:t>
            </w:r>
            <w:r w:rsidR="003B08B9">
              <w:rPr>
                <w:sz w:val="22"/>
                <w:szCs w:val="22"/>
              </w:rPr>
              <w:t>5</w:t>
            </w:r>
            <w:r w:rsidR="00972171">
              <w:rPr>
                <w:sz w:val="22"/>
                <w:szCs w:val="22"/>
              </w:rPr>
              <w:t>3</w:t>
            </w:r>
          </w:p>
        </w:tc>
        <w:tc>
          <w:tcPr>
            <w:tcW w:w="1211" w:type="dxa"/>
            <w:tcBorders>
              <w:top w:val="single" w:sz="4" w:space="0" w:color="auto"/>
              <w:left w:val="single" w:sz="4" w:space="0" w:color="auto"/>
              <w:bottom w:val="single" w:sz="4" w:space="0" w:color="auto"/>
              <w:right w:val="single" w:sz="4" w:space="0" w:color="auto"/>
            </w:tcBorders>
            <w:vAlign w:val="bottom"/>
          </w:tcPr>
          <w:p w:rsidR="004C2544" w:rsidRPr="004C2544" w:rsidP="00230698" w14:paraId="4E8B0786" w14:textId="1AA8CBE3">
            <w:pPr>
              <w:spacing w:line="276" w:lineRule="auto"/>
              <w:jc w:val="center"/>
              <w:rPr>
                <w:sz w:val="22"/>
                <w:szCs w:val="22"/>
              </w:rPr>
            </w:pPr>
            <w:r>
              <w:rPr>
                <w:sz w:val="22"/>
                <w:szCs w:val="22"/>
              </w:rPr>
              <w:t>6</w:t>
            </w:r>
            <w:r w:rsidR="0022550E">
              <w:rPr>
                <w:sz w:val="22"/>
                <w:szCs w:val="22"/>
              </w:rPr>
              <w:t>7,416</w:t>
            </w:r>
          </w:p>
        </w:tc>
      </w:tr>
      <w:tr w14:paraId="0696C97E" w14:textId="77777777" w:rsidTr="00512DA5">
        <w:tblPrEx>
          <w:tblW w:w="9738" w:type="dxa"/>
          <w:tblInd w:w="-162" w:type="dxa"/>
          <w:tblLayout w:type="fixed"/>
          <w:tblLook w:val="04A0"/>
        </w:tblPrEx>
        <w:tc>
          <w:tcPr>
            <w:tcW w:w="1440" w:type="dxa"/>
            <w:tcBorders>
              <w:top w:val="single" w:sz="4" w:space="0" w:color="auto"/>
              <w:left w:val="single" w:sz="4" w:space="0" w:color="auto"/>
              <w:bottom w:val="single" w:sz="4" w:space="0" w:color="auto"/>
              <w:right w:val="single" w:sz="4" w:space="0" w:color="auto"/>
            </w:tcBorders>
          </w:tcPr>
          <w:p w:rsidR="00B65FDB" w:rsidRPr="00AB1E3E" w:rsidP="00DC639E" w14:paraId="610F5CE0" w14:textId="77777777">
            <w:pPr>
              <w:spacing w:line="276" w:lineRule="auto"/>
              <w:rPr>
                <w:color w:val="000000"/>
                <w:sz w:val="22"/>
                <w:szCs w:val="22"/>
              </w:rPr>
            </w:pPr>
            <w:r w:rsidRPr="00AB1E3E">
              <w:rPr>
                <w:b/>
                <w:i/>
                <w:color w:val="000000"/>
                <w:sz w:val="22"/>
                <w:szCs w:val="22"/>
              </w:rPr>
              <w:t>Unduplicated Totals</w:t>
            </w:r>
          </w:p>
        </w:tc>
        <w:tc>
          <w:tcPr>
            <w:tcW w:w="1417" w:type="dxa"/>
            <w:tcBorders>
              <w:top w:val="single" w:sz="4" w:space="0" w:color="auto"/>
              <w:left w:val="single" w:sz="4" w:space="0" w:color="auto"/>
              <w:bottom w:val="single" w:sz="4" w:space="0" w:color="auto"/>
              <w:right w:val="single" w:sz="4" w:space="0" w:color="auto"/>
            </w:tcBorders>
            <w:vAlign w:val="bottom"/>
          </w:tcPr>
          <w:p w:rsidR="00B65FDB" w:rsidRPr="00153DEB" w:rsidP="004C2544" w14:paraId="256AEBF9" w14:textId="77777777">
            <w:pPr>
              <w:spacing w:line="276" w:lineRule="auto"/>
              <w:jc w:val="right"/>
              <w:rPr>
                <w:b/>
                <w:bCs/>
                <w:sz w:val="22"/>
                <w:szCs w:val="22"/>
              </w:rPr>
            </w:pPr>
            <w:r w:rsidRPr="00153DEB">
              <w:rPr>
                <w:b/>
                <w:bCs/>
                <w:sz w:val="22"/>
                <w:szCs w:val="22"/>
              </w:rPr>
              <w:t>53</w:t>
            </w:r>
          </w:p>
        </w:tc>
        <w:tc>
          <w:tcPr>
            <w:tcW w:w="1350" w:type="dxa"/>
            <w:tcBorders>
              <w:top w:val="single" w:sz="4" w:space="0" w:color="auto"/>
              <w:left w:val="single" w:sz="4" w:space="0" w:color="auto"/>
              <w:bottom w:val="single" w:sz="4" w:space="0" w:color="auto"/>
              <w:right w:val="single" w:sz="4" w:space="0" w:color="auto"/>
            </w:tcBorders>
            <w:vAlign w:val="bottom"/>
          </w:tcPr>
          <w:p w:rsidR="00B65FDB" w:rsidRPr="00153DEB" w:rsidP="004C2544" w14:paraId="11EB66D5" w14:textId="77777777">
            <w:pPr>
              <w:spacing w:line="276" w:lineRule="auto"/>
              <w:jc w:val="right"/>
              <w:rPr>
                <w:b/>
                <w:bCs/>
                <w:sz w:val="22"/>
                <w:szCs w:val="22"/>
              </w:rPr>
            </w:pPr>
            <w:r w:rsidRPr="00153DEB">
              <w:rPr>
                <w:b/>
                <w:bCs/>
                <w:sz w:val="22"/>
                <w:szCs w:val="22"/>
              </w:rPr>
              <w:t>4</w:t>
            </w:r>
          </w:p>
        </w:tc>
        <w:tc>
          <w:tcPr>
            <w:tcW w:w="1260" w:type="dxa"/>
            <w:tcBorders>
              <w:top w:val="single" w:sz="4" w:space="0" w:color="auto"/>
              <w:left w:val="single" w:sz="4" w:space="0" w:color="auto"/>
              <w:bottom w:val="single" w:sz="4" w:space="0" w:color="auto"/>
              <w:right w:val="single" w:sz="4" w:space="0" w:color="auto"/>
            </w:tcBorders>
            <w:vAlign w:val="bottom"/>
          </w:tcPr>
          <w:p w:rsidR="00B65FDB" w:rsidRPr="00153DEB" w:rsidP="004C2544" w14:paraId="0ED4B5C6" w14:textId="77777777">
            <w:pPr>
              <w:spacing w:line="276" w:lineRule="auto"/>
              <w:jc w:val="right"/>
              <w:rPr>
                <w:b/>
                <w:bCs/>
                <w:sz w:val="22"/>
                <w:szCs w:val="22"/>
              </w:rPr>
            </w:pPr>
            <w:r w:rsidRPr="00153DEB">
              <w:rPr>
                <w:b/>
                <w:bCs/>
                <w:sz w:val="22"/>
                <w:szCs w:val="22"/>
              </w:rPr>
              <w:t>212</w:t>
            </w:r>
          </w:p>
        </w:tc>
        <w:tc>
          <w:tcPr>
            <w:tcW w:w="1103" w:type="dxa"/>
            <w:tcBorders>
              <w:top w:val="single" w:sz="4" w:space="0" w:color="auto"/>
              <w:left w:val="single" w:sz="4" w:space="0" w:color="auto"/>
              <w:bottom w:val="single" w:sz="4" w:space="0" w:color="auto"/>
              <w:right w:val="single" w:sz="4" w:space="0" w:color="auto"/>
            </w:tcBorders>
            <w:vAlign w:val="bottom"/>
          </w:tcPr>
          <w:p w:rsidR="00B65FDB" w:rsidRPr="00153DEB" w:rsidP="004C2544" w14:paraId="114E2FD8" w14:textId="77777777">
            <w:pPr>
              <w:spacing w:line="276" w:lineRule="auto"/>
              <w:jc w:val="right"/>
              <w:rPr>
                <w:b/>
                <w:bCs/>
                <w:sz w:val="22"/>
                <w:szCs w:val="22"/>
              </w:rPr>
            </w:pPr>
            <w:r w:rsidRPr="00153DEB">
              <w:rPr>
                <w:b/>
                <w:bCs/>
                <w:sz w:val="22"/>
                <w:szCs w:val="22"/>
              </w:rPr>
              <w:t>6</w:t>
            </w:r>
          </w:p>
        </w:tc>
        <w:tc>
          <w:tcPr>
            <w:tcW w:w="990" w:type="dxa"/>
            <w:tcBorders>
              <w:top w:val="single" w:sz="4" w:space="0" w:color="auto"/>
              <w:left w:val="single" w:sz="4" w:space="0" w:color="auto"/>
              <w:bottom w:val="single" w:sz="4" w:space="0" w:color="auto"/>
              <w:right w:val="single" w:sz="4" w:space="0" w:color="auto"/>
            </w:tcBorders>
            <w:vAlign w:val="bottom"/>
          </w:tcPr>
          <w:p w:rsidR="00B65FDB" w:rsidRPr="00153DEB" w:rsidP="004C2544" w14:paraId="7F8E2CCF" w14:textId="77777777">
            <w:pPr>
              <w:spacing w:line="276" w:lineRule="auto"/>
              <w:jc w:val="right"/>
              <w:rPr>
                <w:b/>
                <w:bCs/>
                <w:sz w:val="22"/>
                <w:szCs w:val="22"/>
              </w:rPr>
            </w:pPr>
            <w:r w:rsidRPr="00153DEB">
              <w:rPr>
                <w:b/>
                <w:bCs/>
                <w:sz w:val="22"/>
                <w:szCs w:val="22"/>
              </w:rPr>
              <w:t>1</w:t>
            </w:r>
            <w:r w:rsidRPr="00153DEB" w:rsidR="0070118D">
              <w:rPr>
                <w:b/>
                <w:bCs/>
                <w:sz w:val="22"/>
                <w:szCs w:val="22"/>
              </w:rPr>
              <w:t>,</w:t>
            </w:r>
            <w:r w:rsidRPr="00153DEB">
              <w:rPr>
                <w:b/>
                <w:bCs/>
                <w:sz w:val="22"/>
                <w:szCs w:val="22"/>
              </w:rPr>
              <w:t>272</w:t>
            </w:r>
          </w:p>
        </w:tc>
        <w:tc>
          <w:tcPr>
            <w:tcW w:w="967" w:type="dxa"/>
            <w:tcBorders>
              <w:top w:val="single" w:sz="4" w:space="0" w:color="auto"/>
              <w:left w:val="single" w:sz="4" w:space="0" w:color="auto"/>
              <w:bottom w:val="single" w:sz="4" w:space="0" w:color="auto"/>
              <w:right w:val="single" w:sz="4" w:space="0" w:color="auto"/>
            </w:tcBorders>
            <w:vAlign w:val="bottom"/>
          </w:tcPr>
          <w:p w:rsidR="00B65FDB" w:rsidRPr="00153DEB" w:rsidP="004C2544" w14:paraId="0C59FC03" w14:textId="77777777">
            <w:pPr>
              <w:spacing w:line="276" w:lineRule="auto"/>
              <w:jc w:val="right"/>
              <w:rPr>
                <w:b/>
                <w:bCs/>
                <w:sz w:val="22"/>
                <w:szCs w:val="22"/>
              </w:rPr>
            </w:pPr>
          </w:p>
        </w:tc>
        <w:tc>
          <w:tcPr>
            <w:tcW w:w="1211" w:type="dxa"/>
            <w:tcBorders>
              <w:top w:val="single" w:sz="4" w:space="0" w:color="auto"/>
              <w:left w:val="single" w:sz="4" w:space="0" w:color="auto"/>
              <w:bottom w:val="single" w:sz="4" w:space="0" w:color="auto"/>
              <w:right w:val="single" w:sz="4" w:space="0" w:color="auto"/>
            </w:tcBorders>
            <w:vAlign w:val="bottom"/>
          </w:tcPr>
          <w:p w:rsidR="00B65FDB" w:rsidRPr="00153DEB" w:rsidP="005971E3" w14:paraId="7325A779" w14:textId="1A4AA495">
            <w:pPr>
              <w:spacing w:line="276" w:lineRule="auto"/>
              <w:jc w:val="center"/>
              <w:rPr>
                <w:b/>
                <w:bCs/>
                <w:sz w:val="22"/>
                <w:szCs w:val="22"/>
              </w:rPr>
            </w:pPr>
            <w:r w:rsidRPr="00153DEB">
              <w:rPr>
                <w:b/>
                <w:bCs/>
                <w:sz w:val="22"/>
                <w:szCs w:val="22"/>
              </w:rPr>
              <w:t>6</w:t>
            </w:r>
            <w:r w:rsidRPr="00153DEB" w:rsidR="0022550E">
              <w:rPr>
                <w:b/>
                <w:bCs/>
                <w:sz w:val="22"/>
                <w:szCs w:val="22"/>
              </w:rPr>
              <w:t>7,416</w:t>
            </w:r>
          </w:p>
        </w:tc>
      </w:tr>
    </w:tbl>
    <w:p w:rsidR="003B08B9" w:rsidRPr="00DC3B39" w:rsidP="003B08B9" w14:paraId="1AD5622B" w14:textId="02244015">
      <w:pPr>
        <w:rPr>
          <w:sz w:val="20"/>
          <w:szCs w:val="20"/>
        </w:rPr>
      </w:pPr>
      <w:r w:rsidRPr="00DC3B39">
        <w:rPr>
          <w:sz w:val="20"/>
          <w:szCs w:val="20"/>
        </w:rPr>
        <w:t>*Source: The hourly rate is computed by dividing the FY 202</w:t>
      </w:r>
      <w:r w:rsidRPr="00DC3B39" w:rsidR="0013797B">
        <w:rPr>
          <w:sz w:val="20"/>
          <w:szCs w:val="20"/>
        </w:rPr>
        <w:t>5</w:t>
      </w:r>
      <w:r w:rsidRPr="00DC3B39">
        <w:rPr>
          <w:sz w:val="20"/>
          <w:szCs w:val="20"/>
        </w:rPr>
        <w:t xml:space="preserve"> national average PS/PB annual salary for state staff as provided for through the distribution of state UI administrative grants</w:t>
      </w:r>
      <w:r w:rsidRPr="00DC3B39" w:rsidR="005971E3">
        <w:rPr>
          <w:sz w:val="20"/>
          <w:szCs w:val="20"/>
        </w:rPr>
        <w:t>.</w:t>
      </w:r>
      <w:r w:rsidRPr="00DC3B39">
        <w:rPr>
          <w:sz w:val="20"/>
          <w:szCs w:val="20"/>
        </w:rPr>
        <w:t xml:space="preserve"> </w:t>
      </w:r>
    </w:p>
    <w:p w:rsidR="00B909BC" w:rsidRPr="00DC3B39" w:rsidP="00B909BC" w14:paraId="4B48BF16" w14:textId="192776CB">
      <w:pPr>
        <w:spacing w:after="200" w:line="276" w:lineRule="auto"/>
        <w:rPr>
          <w:sz w:val="20"/>
          <w:szCs w:val="20"/>
        </w:rPr>
      </w:pPr>
      <w:r w:rsidRPr="00DC3B39">
        <w:rPr>
          <w:sz w:val="20"/>
          <w:szCs w:val="20"/>
        </w:rPr>
        <w:t>(</w:t>
      </w:r>
      <w:hyperlink r:id="rId7" w:history="1">
        <w:r w:rsidRPr="00DC3B39" w:rsidR="00C0239A">
          <w:rPr>
            <w:rStyle w:val="Hyperlink"/>
            <w:sz w:val="20"/>
            <w:szCs w:val="20"/>
          </w:rPr>
          <w:t>https://www.dol.gov/agencies/eta/advisories/uipl-19-24</w:t>
        </w:r>
      </w:hyperlink>
      <w:hyperlink r:id="rId8" w:history="1">
        <w:r w:rsidRPr="00DC3B39">
          <w:rPr>
            <w:rStyle w:val="Hyperlink"/>
            <w:color w:val="0563C1"/>
            <w:sz w:val="20"/>
            <w:szCs w:val="20"/>
          </w:rPr>
          <w:t>)</w:t>
        </w:r>
      </w:hyperlink>
      <w:r w:rsidRPr="00DC3B39" w:rsidR="00C0239A">
        <w:rPr>
          <w:rStyle w:val="Hyperlink"/>
          <w:color w:val="0563C1"/>
          <w:sz w:val="20"/>
          <w:szCs w:val="20"/>
        </w:rPr>
        <w:t xml:space="preserve"> </w:t>
      </w:r>
      <w:r w:rsidRPr="00DC3B39">
        <w:rPr>
          <w:sz w:val="20"/>
          <w:szCs w:val="20"/>
        </w:rPr>
        <w:t>by the average number of hours worked in a year (1,711).  For FY 202</w:t>
      </w:r>
      <w:r w:rsidR="004A3DAF">
        <w:rPr>
          <w:sz w:val="20"/>
          <w:szCs w:val="20"/>
        </w:rPr>
        <w:t>5</w:t>
      </w:r>
      <w:r w:rsidRPr="00DC3B39">
        <w:rPr>
          <w:sz w:val="20"/>
          <w:szCs w:val="20"/>
        </w:rPr>
        <w:t>, this calculation is:  $9</w:t>
      </w:r>
      <w:r w:rsidRPr="00DC3B39" w:rsidR="00972171">
        <w:rPr>
          <w:sz w:val="20"/>
          <w:szCs w:val="20"/>
        </w:rPr>
        <w:t>0,282</w:t>
      </w:r>
      <w:r w:rsidRPr="00DC3B39">
        <w:rPr>
          <w:sz w:val="20"/>
          <w:szCs w:val="20"/>
        </w:rPr>
        <w:t xml:space="preserve"> / 1,711= $5</w:t>
      </w:r>
      <w:r w:rsidRPr="00DC3B39" w:rsidR="00972171">
        <w:rPr>
          <w:sz w:val="20"/>
          <w:szCs w:val="20"/>
        </w:rPr>
        <w:t>3</w:t>
      </w:r>
      <w:r w:rsidRPr="00DC3B39">
        <w:rPr>
          <w:sz w:val="20"/>
          <w:szCs w:val="20"/>
        </w:rPr>
        <w:t>.</w:t>
      </w:r>
    </w:p>
    <w:p w:rsidR="001E2C48" w:rsidRPr="00D53DEB" w:rsidP="001E2C48" w14:paraId="44132337"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sidRPr="00D53DEB">
        <w:rPr>
          <w:b/>
        </w:rPr>
        <w:t>13.  Provide an estimate of the total annual cost burden to respondents or recordkeepers resulting from the collection of information.  (Do not include the cost of any hour burden shown in Items 12 and 14).</w:t>
      </w:r>
    </w:p>
    <w:p w:rsidR="00B56A7C" w:rsidP="00036204" w14:paraId="4C6BEE63" w14:textId="77777777">
      <w:pPr>
        <w:ind w:left="360"/>
      </w:pPr>
    </w:p>
    <w:p w:rsidR="00B56A7C" w:rsidP="00B56A7C" w14:paraId="6F88D9D2" w14:textId="77777777">
      <w:pPr>
        <w:numPr>
          <w:ilvl w:val="0"/>
          <w:numId w:val="9"/>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b/>
        </w:rPr>
      </w:pPr>
      <w:r>
        <w:rPr>
          <w:b/>
        </w:rPr>
        <w:t>T</w:t>
      </w:r>
      <w:r w:rsidRPr="006F6E13">
        <w:rPr>
          <w:b/>
        </w:rPr>
        <w:t>he cost estimate should be split into two components</w:t>
      </w:r>
      <w:r w:rsidRPr="006F6E13">
        <w:rPr>
          <w:b/>
        </w:rPr>
        <w:t>:  (</w:t>
      </w:r>
      <w:r w:rsidRPr="006F6E13">
        <w:rPr>
          <w:b/>
        </w:rPr>
        <w:t>a) a total capital</w:t>
      </w:r>
    </w:p>
    <w:p w:rsidR="00B56A7C" w:rsidP="00B56A7C" w14:paraId="70194CD0" w14:textId="77777777">
      <w:pPr>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Pr>
          <w:b/>
        </w:rPr>
        <w:t>a</w:t>
      </w:r>
      <w:r w:rsidRPr="006F6E13">
        <w:rPr>
          <w:b/>
        </w:rPr>
        <w:t>nd</w:t>
      </w:r>
      <w:r>
        <w:rPr>
          <w:b/>
        </w:rPr>
        <w:t xml:space="preserve"> </w:t>
      </w:r>
      <w:r w:rsidRPr="006F6E13">
        <w:rPr>
          <w:b/>
        </w:rPr>
        <w:t>startup cost component (annualized over its expected useful life); and (b) a</w:t>
      </w:r>
    </w:p>
    <w:p w:rsidR="00B56A7C" w:rsidP="00B56A7C" w14:paraId="15A4CDC3" w14:textId="77777777">
      <w:pPr>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total operation and maintenance and purchase of se</w:t>
      </w:r>
      <w:r>
        <w:rPr>
          <w:b/>
        </w:rPr>
        <w:t xml:space="preserve">rvice component.  </w:t>
      </w:r>
    </w:p>
    <w:p w:rsidR="00B56A7C" w:rsidP="00B56A7C" w14:paraId="6E76719A"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t xml:space="preserve">The estimates </w:t>
      </w:r>
      <w:r w:rsidRPr="006F6E13">
        <w:rPr>
          <w:b/>
        </w:rPr>
        <w:t xml:space="preserve">should </w:t>
      </w:r>
      <w:r w:rsidRPr="006F6E13">
        <w:rPr>
          <w:b/>
        </w:rPr>
        <w:t>take into account</w:t>
      </w:r>
      <w:r w:rsidRPr="006F6E13">
        <w:rPr>
          <w:b/>
        </w:rPr>
        <w:t xml:space="preserve"> costs associated with generating, </w:t>
      </w:r>
    </w:p>
    <w:p w:rsidR="00B56A7C" w:rsidP="00B56A7C" w14:paraId="50F110E3"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b/>
        </w:rPr>
      </w:pPr>
      <w:r>
        <w:rPr>
          <w:b/>
        </w:rPr>
        <w:tab/>
      </w:r>
      <w:r>
        <w:rPr>
          <w:b/>
        </w:rPr>
        <w:tab/>
      </w:r>
      <w:r w:rsidRPr="006F6E13">
        <w:rPr>
          <w:b/>
        </w:rPr>
        <w:t xml:space="preserve">maintaining, and disclosing or providing the information.  Include descriptions of </w:t>
      </w:r>
    </w:p>
    <w:p w:rsidR="00B56A7C" w:rsidRPr="006F6E13" w:rsidP="00B56A7C" w14:paraId="4B21BCB1" w14:textId="77777777">
      <w:p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b/>
        </w:rPr>
      </w:pPr>
      <w:r w:rsidRPr="006F6E13">
        <w:rPr>
          <w:b/>
        </w:rPr>
        <w:t xml:space="preserve">methods used to estimate major cost factors including system and technology acquisition, expected useful life of capital equipment, the discount rate(s), and the </w:t>
      </w:r>
      <w:r w:rsidRPr="006F6E13">
        <w:rPr>
          <w:b/>
        </w:rPr>
        <w:t>time period</w:t>
      </w:r>
      <w:r w:rsidRPr="006F6E13">
        <w:rPr>
          <w:b/>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B56A7C" w:rsidRPr="00D53DEB" w:rsidP="00B56A7C" w14:paraId="68509F2D" w14:textId="77777777">
      <w:pPr>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b/>
        </w:rPr>
      </w:pPr>
    </w:p>
    <w:p w:rsidR="00B56A7C" w:rsidRPr="00D53DEB" w:rsidP="00B56A7C" w14:paraId="77F7691F" w14:textId="77777777">
      <w:pPr>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D53DEB">
        <w:rPr>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56A7C" w:rsidRPr="00D53DEB" w:rsidP="00B56A7C" w14:paraId="6988BA0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p>
    <w:p w:rsidR="00AF232B" w:rsidP="00B56A7C" w14:paraId="592E27A1" w14:textId="77777777">
      <w:pPr>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D53DEB">
        <w:rPr>
          <w:b/>
        </w:rPr>
        <w:t xml:space="preserve">Generally, estimates should not include purchases of equipment or services, or portions thereof, made: (1) prior to October 1, 1995, (2) to achieve regulatory compliance with requirements not associated with the information collection, (3) </w:t>
      </w:r>
    </w:p>
    <w:p w:rsidR="00AF232B" w:rsidP="00AF232B" w14:paraId="66ADF02D" w14:textId="77777777">
      <w:pPr>
        <w:pStyle w:val="ListParagraph"/>
        <w:rPr>
          <w:b/>
        </w:rPr>
      </w:pPr>
    </w:p>
    <w:p w:rsidR="00AF232B" w:rsidP="00AF232B" w14:paraId="5AB328FF" w14:textId="77777777">
      <w:pPr>
        <w:pStyle w:val="ListParagraph"/>
        <w:rPr>
          <w:b/>
        </w:rPr>
      </w:pPr>
    </w:p>
    <w:p w:rsidR="00B56A7C" w:rsidP="00B56A7C" w14:paraId="3D56853A" w14:textId="467387D1">
      <w:pPr>
        <w:numPr>
          <w:ilvl w:val="0"/>
          <w:numId w:val="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
        </w:rPr>
      </w:pPr>
      <w:r w:rsidRPr="00D53DEB">
        <w:rPr>
          <w:b/>
        </w:rPr>
        <w:t>for reasons other than to provide information or keep records for the government, or (4) as part of customary and usual business or private practices.</w:t>
      </w:r>
    </w:p>
    <w:p w:rsidR="008F2096" w:rsidP="008F2096" w14:paraId="625195DE" w14:textId="77777777">
      <w:pPr>
        <w:pStyle w:val="ListParagraph"/>
        <w:rPr>
          <w:b/>
        </w:rPr>
      </w:pPr>
    </w:p>
    <w:p w:rsidR="008F2096" w:rsidP="008F2096" w14:paraId="61FA81C7" w14:textId="341F6B06">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r>
        <w:rPr>
          <w:bCs/>
        </w:rPr>
        <w:t xml:space="preserve">There are no other costs </w:t>
      </w:r>
      <w:r w:rsidR="00EB048C">
        <w:rPr>
          <w:bCs/>
        </w:rPr>
        <w:t>other than their time described in item</w:t>
      </w:r>
      <w:r w:rsidR="00153DEB">
        <w:rPr>
          <w:bCs/>
        </w:rPr>
        <w:t xml:space="preserve"> </w:t>
      </w:r>
      <w:r w:rsidR="00EB048C">
        <w:rPr>
          <w:bCs/>
        </w:rPr>
        <w:t>12 above.</w:t>
      </w:r>
      <w:r>
        <w:rPr>
          <w:bCs/>
        </w:rPr>
        <w:t xml:space="preserve">  </w:t>
      </w:r>
    </w:p>
    <w:p w:rsidR="007A0AF8" w:rsidP="008F2096" w14:paraId="1FCFE320"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bCs/>
        </w:rPr>
      </w:pPr>
    </w:p>
    <w:p w:rsidR="007A0AF8" w:rsidRPr="00D53DEB" w:rsidP="007A0AF8" w14:paraId="7480A1F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t xml:space="preserve"> </w:t>
      </w:r>
      <w:r w:rsidRPr="00D53DEB">
        <w:rPr>
          <w:b/>
          <w:bCs/>
        </w:rPr>
        <w:t>without this collection of information.  Agencies also may aggregate cost estimates from Items 12, 13, and 14 into a single table.</w:t>
      </w:r>
    </w:p>
    <w:p w:rsidR="00582755" w:rsidP="003B480E" w14:paraId="00C17D20" w14:textId="77777777">
      <w:pPr>
        <w:ind w:left="360"/>
        <w:rPr>
          <w:rFonts w:cs="Courier New"/>
        </w:rPr>
      </w:pPr>
    </w:p>
    <w:p w:rsidR="00570184" w:rsidP="004F7302" w14:paraId="4BBA83E8" w14:textId="19747B46">
      <w:pPr>
        <w:rPr>
          <w:rFonts w:cs="Courier New"/>
        </w:rPr>
      </w:pPr>
      <w:r w:rsidRPr="00376E68">
        <w:rPr>
          <w:rFonts w:cs="Courier New"/>
        </w:rPr>
        <w:t>Although no staff is required to process this report,</w:t>
      </w:r>
      <w:r w:rsidR="00232328">
        <w:rPr>
          <w:rFonts w:cs="Courier New"/>
        </w:rPr>
        <w:t xml:space="preserve"> for FY 2025</w:t>
      </w:r>
      <w:r w:rsidRPr="00376E68">
        <w:rPr>
          <w:rFonts w:cs="Courier New"/>
        </w:rPr>
        <w:t xml:space="preserve"> </w:t>
      </w:r>
      <w:r w:rsidRPr="00570184">
        <w:rPr>
          <w:rFonts w:cs="Courier New"/>
        </w:rPr>
        <w:t>ETA has budgeted $</w:t>
      </w:r>
      <w:r w:rsidR="004A3DAF">
        <w:rPr>
          <w:rFonts w:cs="Courier New"/>
        </w:rPr>
        <w:t>920,436.80</w:t>
      </w:r>
      <w:r w:rsidRPr="00570184">
        <w:rPr>
          <w:rFonts w:cs="Courier New"/>
        </w:rPr>
        <w:t xml:space="preserve"> to operate and maintain the Unemployment Insurance Required Reports system. Including the subject ICR, this reporting system supports 30 information collections. For administrative purposes, each information collection is assumed to contribute an equal share of the cost for supporting the entire system; therefore, the cost allocated to this ICR is estimated to be $3</w:t>
      </w:r>
      <w:r w:rsidR="004A3DAF">
        <w:rPr>
          <w:rFonts w:cs="Courier New"/>
        </w:rPr>
        <w:t>0,681.23</w:t>
      </w:r>
      <w:r w:rsidRPr="00570184">
        <w:rPr>
          <w:rFonts w:cs="Courier New"/>
        </w:rPr>
        <w:t xml:space="preserve"> ($</w:t>
      </w:r>
      <w:r w:rsidR="004A3DAF">
        <w:rPr>
          <w:rFonts w:cs="Courier New"/>
        </w:rPr>
        <w:t xml:space="preserve">920,436.80 </w:t>
      </w:r>
      <w:r w:rsidRPr="00570184">
        <w:rPr>
          <w:rFonts w:cs="Courier New"/>
        </w:rPr>
        <w:t>system cost/30 information collections).</w:t>
      </w:r>
    </w:p>
    <w:p w:rsidR="006E56FA" w:rsidP="004F7302" w14:paraId="64DAA71F" w14:textId="77777777">
      <w:pPr>
        <w:rPr>
          <w:rFonts w:cs="Courier New"/>
        </w:rPr>
      </w:pPr>
    </w:p>
    <w:p w:rsidR="006E56FA" w:rsidRPr="00A47DA7" w:rsidP="006E56FA" w14:paraId="4197E6E2"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b/>
          <w:bCs/>
        </w:rPr>
      </w:pPr>
      <w:r w:rsidRPr="00D53DEB">
        <w:rPr>
          <w:b/>
          <w:bCs/>
        </w:rPr>
        <w:t>15.</w:t>
      </w:r>
      <w:r w:rsidRPr="00D53DEB">
        <w:rPr>
          <w:b/>
          <w:bCs/>
        </w:rPr>
        <w:tab/>
        <w:t>Explain the reasons for any program changes or adjustments</w:t>
      </w:r>
      <w:r w:rsidRPr="00A47DA7">
        <w:rPr>
          <w:b/>
          <w:bCs/>
        </w:rPr>
        <w:t>.</w:t>
      </w:r>
    </w:p>
    <w:p w:rsidR="006E56FA" w:rsidRPr="003B480E" w:rsidP="004F7302" w14:paraId="3F7D3646" w14:textId="77777777">
      <w:pPr>
        <w:rPr>
          <w:rFonts w:cs="Courier New"/>
        </w:rPr>
      </w:pPr>
    </w:p>
    <w:p w:rsidR="00B241A9" w:rsidP="006E56FA" w14:paraId="0BEC5B10" w14:textId="2AAF6C89">
      <w:r w:rsidRPr="004919E5">
        <w:t>There are no</w:t>
      </w:r>
      <w:r w:rsidR="003030D0">
        <w:t xml:space="preserve"> program</w:t>
      </w:r>
      <w:r w:rsidRPr="004919E5">
        <w:t xml:space="preserve"> changes or adjustments</w:t>
      </w:r>
      <w:r w:rsidR="00CE5413">
        <w:t xml:space="preserve"> affecting the burden</w:t>
      </w:r>
      <w:r w:rsidRPr="004919E5">
        <w:t xml:space="preserve"> to the report</w:t>
      </w:r>
      <w:r w:rsidR="00CE5413">
        <w:t>.</w:t>
      </w:r>
    </w:p>
    <w:p w:rsidR="00F279EF" w:rsidP="00036204" w14:paraId="056E2179" w14:textId="77777777">
      <w:pPr>
        <w:ind w:left="360"/>
      </w:pPr>
    </w:p>
    <w:p w:rsidR="007129C4" w:rsidP="00AD67BD" w14:paraId="7D0EA638" w14:textId="3C3CC05F">
      <w:r>
        <w:t>Few</w:t>
      </w:r>
      <w:r>
        <w:t xml:space="preserve"> </w:t>
      </w:r>
      <w:r>
        <w:t>a</w:t>
      </w:r>
      <w:r>
        <w:t>genc</w:t>
      </w:r>
      <w:r>
        <w:t>y</w:t>
      </w:r>
      <w:r>
        <w:t xml:space="preserve"> codes have been added to the instructions</w:t>
      </w:r>
      <w:r>
        <w:t xml:space="preserve"> and the abolished agencies have been removed from the list</w:t>
      </w:r>
      <w:r>
        <w:t>. These changes do not impact the burden.</w:t>
      </w:r>
    </w:p>
    <w:p w:rsidR="00F131B1" w:rsidP="004F7302" w14:paraId="567BB3CC" w14:textId="77777777">
      <w:pPr>
        <w:rPr>
          <w:b/>
          <w:bCs/>
          <w:iCs/>
        </w:rPr>
      </w:pPr>
    </w:p>
    <w:p w:rsidR="00F131B1" w:rsidRPr="00D53DEB" w:rsidP="00F131B1" w14:paraId="5B86A0CA"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pPr>
      <w:r w:rsidRPr="00D53DEB">
        <w:rPr>
          <w:b/>
          <w:bCs/>
        </w:rPr>
        <w:t>16. 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t>.</w:t>
      </w:r>
    </w:p>
    <w:p w:rsidR="00AF7F98" w:rsidP="00036204" w14:paraId="60FB80D3" w14:textId="77777777">
      <w:pPr>
        <w:ind w:left="360"/>
      </w:pPr>
    </w:p>
    <w:p w:rsidR="000D3663" w:rsidP="00BF0757" w14:paraId="2B8A0083" w14:textId="74A9D158">
      <w:pPr>
        <w:rPr>
          <w:rStyle w:val="Hyperlink"/>
        </w:rPr>
      </w:pPr>
      <w:r w:rsidRPr="00860517">
        <w:t>All of</w:t>
      </w:r>
      <w:r w:rsidRPr="00860517">
        <w:t xml:space="preserve"> the items reported are used for program performance purposes</w:t>
      </w:r>
      <w:r w:rsidR="00376E68">
        <w:t xml:space="preserve"> </w:t>
      </w:r>
      <w:r w:rsidRPr="00860517">
        <w:t xml:space="preserve">and are a matter of public record. These data are made available to the public via the OUI website at </w:t>
      </w:r>
      <w:hyperlink r:id="rId9" w:history="1">
        <w:r w:rsidRPr="00273C94" w:rsidR="00C20114">
          <w:rPr>
            <w:rStyle w:val="Hyperlink"/>
          </w:rPr>
          <w:t>http://ows.doleta.gov/unemploy/DataDownloads.asp</w:t>
        </w:r>
      </w:hyperlink>
    </w:p>
    <w:p w:rsidR="00C20114" w:rsidP="00BF0757" w14:paraId="0FB17D7C" w14:textId="77777777"/>
    <w:p w:rsidR="00C20114" w:rsidRPr="00D53DEB" w:rsidP="00C20114" w14:paraId="149EC90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D53DEB">
        <w:rPr>
          <w:b/>
          <w:bCs/>
        </w:rPr>
        <w:t>17.  If seeking approval to not display the expiration date for OMB approval of the information collection, explain the reasons that display would be inappropriate.</w:t>
      </w:r>
    </w:p>
    <w:p w:rsidR="00C20114" w:rsidP="00BF0757" w14:paraId="0A0C4AD0" w14:textId="77777777"/>
    <w:p w:rsidR="00FD43CC" w:rsidP="00E35211" w14:paraId="09D386B9" w14:textId="1CF3FD14">
      <w:pPr>
        <w:rPr>
          <w:b/>
          <w:bCs/>
          <w:iCs/>
        </w:rPr>
      </w:pPr>
      <w:r>
        <w:t>ETA display</w:t>
      </w:r>
      <w:r w:rsidR="00225DA5">
        <w:t>s</w:t>
      </w:r>
      <w:r>
        <w:t xml:space="preserve"> the OMB control number and expiration date on the ETA 191</w:t>
      </w:r>
      <w:r w:rsidR="001C72C9">
        <w:t xml:space="preserve"> form that is shown users</w:t>
      </w:r>
      <w:r w:rsidR="00737A4F">
        <w:t>.</w:t>
      </w:r>
    </w:p>
    <w:p w:rsidR="00E35211" w:rsidP="00E35211" w14:paraId="754C7983" w14:textId="77777777">
      <w:pPr>
        <w:rPr>
          <w:b/>
          <w:bCs/>
          <w:iCs/>
        </w:rPr>
      </w:pPr>
    </w:p>
    <w:p w:rsidR="00E35211" w:rsidRPr="00E35211" w:rsidP="00E35211" w14:paraId="1FD0A396" w14:textId="22207707">
      <w:pPr>
        <w:rPr>
          <w:b/>
          <w:bCs/>
          <w:iCs/>
        </w:rPr>
      </w:pPr>
      <w:r w:rsidRPr="00D53DEB">
        <w:rPr>
          <w:b/>
        </w:rPr>
        <w:t>18.  Explain each exception to the certification statement.</w:t>
      </w:r>
    </w:p>
    <w:p w:rsidR="00AF7F98" w:rsidRPr="00AF7F98" w:rsidP="00036204" w14:paraId="4C7DB883" w14:textId="77777777">
      <w:pPr>
        <w:ind w:left="360"/>
        <w:rPr>
          <w:u w:val="single"/>
        </w:rPr>
      </w:pPr>
    </w:p>
    <w:p w:rsidR="00C54E51" w:rsidRPr="00136ABE" w:rsidP="00E35211" w14:paraId="0E1C681D" w14:textId="77777777">
      <w:r>
        <w:t>There are no exceptions to the certification statement.</w:t>
      </w:r>
    </w:p>
    <w:p w:rsidR="000D3663" w:rsidRPr="00136ABE" w:rsidP="00586BB4" w14:paraId="72D2D0F0" w14:textId="77777777"/>
    <w:p w:rsidR="000D3663" w:rsidP="000D3663" w14:paraId="1CA66E11" w14:textId="77777777">
      <w:pPr>
        <w:numPr>
          <w:ilvl w:val="0"/>
          <w:numId w:val="4"/>
        </w:numPr>
        <w:rPr>
          <w:b/>
        </w:rPr>
      </w:pPr>
      <w:r w:rsidRPr="001D57B4">
        <w:rPr>
          <w:b/>
        </w:rPr>
        <w:t>Collection of Information Employing Statistical Methods.</w:t>
      </w:r>
    </w:p>
    <w:p w:rsidR="000D3663" w:rsidP="000D3663" w14:paraId="37D944CA" w14:textId="77777777">
      <w:pPr>
        <w:ind w:left="360"/>
      </w:pPr>
    </w:p>
    <w:p w:rsidR="000D3663" w:rsidP="000D3663" w14:paraId="2530BF38" w14:textId="622ED8C4">
      <w:r w:rsidRPr="00E9379E">
        <w:t>This information collection does not employ statistical methods.</w:t>
      </w:r>
    </w:p>
    <w:p w:rsidR="00586BB4" w:rsidRPr="00136ABE" w:rsidP="00136ABE" w14:paraId="5A2485E8" w14:textId="77777777"/>
    <w:sectPr w:rsidSect="0025665F">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665F" w14:paraId="2007BB62" w14:textId="77777777">
    <w:pPr>
      <w:pStyle w:val="Footer"/>
      <w:jc w:val="center"/>
    </w:pPr>
    <w:r>
      <w:fldChar w:fldCharType="begin"/>
    </w:r>
    <w:r>
      <w:instrText xml:space="preserve"> PAGE   \* MERGEFORMAT </w:instrText>
    </w:r>
    <w:r>
      <w:fldChar w:fldCharType="separate"/>
    </w:r>
    <w:r w:rsidR="003B08B9">
      <w:rPr>
        <w:noProof/>
      </w:rPr>
      <w:t>5</w:t>
    </w:r>
    <w:r>
      <w:rPr>
        <w:noProof/>
      </w:rPr>
      <w:fldChar w:fldCharType="end"/>
    </w:r>
  </w:p>
  <w:p w:rsidR="0067479B" w14:paraId="63AC4F8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6D1A" w:rsidP="00A46D1A" w14:paraId="3C7333A7" w14:textId="30A36442">
    <w:pPr>
      <w:pStyle w:val="Header"/>
      <w:rPr>
        <w:sz w:val="18"/>
        <w:szCs w:val="18"/>
      </w:rPr>
    </w:pPr>
    <w:r w:rsidRPr="00A46D1A">
      <w:rPr>
        <w:sz w:val="18"/>
        <w:szCs w:val="18"/>
      </w:rPr>
      <w:t xml:space="preserve">Statement of Expenditures and Financial </w:t>
    </w:r>
  </w:p>
  <w:p w:rsidR="00A46D1A" w:rsidRPr="00A46D1A" w:rsidP="00A46D1A" w14:paraId="2A9155C0" w14:textId="77777777">
    <w:pPr>
      <w:pStyle w:val="Header"/>
      <w:rPr>
        <w:sz w:val="18"/>
        <w:szCs w:val="18"/>
      </w:rPr>
    </w:pPr>
    <w:r w:rsidRPr="00A46D1A">
      <w:rPr>
        <w:sz w:val="18"/>
        <w:szCs w:val="18"/>
      </w:rPr>
      <w:t>Adjustments of Federal Funds for UCFE&amp;UCX</w:t>
    </w:r>
  </w:p>
  <w:p w:rsidR="00A46D1A" w14:paraId="2493768D" w14:textId="472CBDA8">
    <w:pPr>
      <w:pStyle w:val="Header"/>
      <w:rPr>
        <w:sz w:val="18"/>
        <w:szCs w:val="18"/>
      </w:rPr>
    </w:pPr>
    <w:r w:rsidRPr="00A46D1A">
      <w:rPr>
        <w:sz w:val="18"/>
        <w:szCs w:val="18"/>
      </w:rPr>
      <w:t>OMB</w:t>
    </w:r>
    <w:r>
      <w:rPr>
        <w:sz w:val="18"/>
        <w:szCs w:val="18"/>
      </w:rPr>
      <w:t xml:space="preserve"> </w:t>
    </w:r>
    <w:r w:rsidR="00C2256D">
      <w:rPr>
        <w:sz w:val="18"/>
        <w:szCs w:val="18"/>
      </w:rPr>
      <w:t xml:space="preserve">Control Number </w:t>
    </w:r>
    <w:r>
      <w:rPr>
        <w:sz w:val="18"/>
        <w:szCs w:val="18"/>
      </w:rPr>
      <w:t>1205-0162</w:t>
    </w:r>
  </w:p>
  <w:p w:rsidR="00A46D1A" w:rsidRPr="00A46D1A" w14:paraId="4837C3DB" w14:textId="43D5EBD5">
    <w:pPr>
      <w:pStyle w:val="Header"/>
      <w:rPr>
        <w:sz w:val="18"/>
        <w:szCs w:val="18"/>
      </w:rPr>
    </w:pPr>
    <w:r>
      <w:rPr>
        <w:sz w:val="18"/>
        <w:szCs w:val="18"/>
      </w:rPr>
      <w:t xml:space="preserve">OMB </w:t>
    </w:r>
    <w:r w:rsidR="0091117B">
      <w:rPr>
        <w:sz w:val="18"/>
        <w:szCs w:val="18"/>
      </w:rPr>
      <w:t>Expiration Date: Ju</w:t>
    </w:r>
    <w:r w:rsidR="000431C0">
      <w:rPr>
        <w:sz w:val="18"/>
        <w:szCs w:val="18"/>
      </w:rPr>
      <w:t>n</w:t>
    </w:r>
    <w:r w:rsidR="00BB6B9C">
      <w:rPr>
        <w:sz w:val="18"/>
        <w:szCs w:val="18"/>
      </w:rPr>
      <w:t>e</w:t>
    </w:r>
    <w:r w:rsidR="0091117B">
      <w:rPr>
        <w:sz w:val="18"/>
        <w:szCs w:val="18"/>
      </w:rPr>
      <w:t xml:space="preserve"> 3</w:t>
    </w:r>
    <w:r w:rsidR="000431C0">
      <w:rPr>
        <w:sz w:val="18"/>
        <w:szCs w:val="18"/>
      </w:rPr>
      <w:t>0</w:t>
    </w:r>
    <w:r w:rsidR="0091117B">
      <w:rPr>
        <w:sz w:val="18"/>
        <w:szCs w:val="18"/>
      </w:rPr>
      <w:t>, 202</w:t>
    </w:r>
    <w:r w:rsidR="00686663">
      <w:rPr>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Arial" w:hAnsi="Arial" w:cs="Arial"/>
        <w:sz w:val="24"/>
        <w:szCs w:val="24"/>
      </w:rPr>
    </w:lvl>
  </w:abstractNum>
  <w:abstractNum w:abstractNumId="2">
    <w:nsid w:val="115D6087"/>
    <w:multiLevelType w:val="hybridMultilevel"/>
    <w:tmpl w:val="F52E73F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B6406F9"/>
    <w:multiLevelType w:val="hybridMultilevel"/>
    <w:tmpl w:val="5122F37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2B4171"/>
    <w:multiLevelType w:val="hybridMultilevel"/>
    <w:tmpl w:val="98346FF2"/>
    <w:lvl w:ilvl="0">
      <w:start w:val="4"/>
      <w:numFmt w:val="decimal"/>
      <w:lvlText w:val="%1."/>
      <w:lvlJc w:val="left"/>
      <w:pPr>
        <w:tabs>
          <w:tab w:val="num" w:pos="960"/>
        </w:tabs>
        <w:ind w:left="960" w:hanging="480"/>
      </w:pPr>
      <w:rPr>
        <w:rFonts w:hint="default"/>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
    <w:nsid w:val="539302C0"/>
    <w:multiLevelType w:val="hybridMultilevel"/>
    <w:tmpl w:val="34749C10"/>
    <w:lvl w:ilvl="0">
      <w:start w:val="16"/>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B54696E"/>
    <w:multiLevelType w:val="hybridMultilevel"/>
    <w:tmpl w:val="9B14ECB6"/>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5F7017C5"/>
    <w:multiLevelType w:val="hybridMultilevel"/>
    <w:tmpl w:val="68AE57B4"/>
    <w:lvl w:ilvl="0">
      <w:start w:val="17"/>
      <w:numFmt w:val="decimal"/>
      <w:lvlText w:val="%1."/>
      <w:lvlJc w:val="left"/>
      <w:pPr>
        <w:tabs>
          <w:tab w:val="num" w:pos="1440"/>
        </w:tabs>
        <w:ind w:left="1440" w:hanging="360"/>
      </w:pPr>
      <w:rPr>
        <w:rFonts w:hint="default"/>
        <w:u w:val="none"/>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602836FA"/>
    <w:multiLevelType w:val="hybridMultilevel"/>
    <w:tmpl w:val="C114A138"/>
    <w:lvl w:ilvl="0">
      <w:start w:val="5"/>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2">
    <w:nsid w:val="636F5DE7"/>
    <w:multiLevelType w:val="hybridMultilevel"/>
    <w:tmpl w:val="AE06CC2A"/>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732849987">
    <w:abstractNumId w:val="11"/>
  </w:num>
  <w:num w:numId="2" w16cid:durableId="735931540">
    <w:abstractNumId w:val="6"/>
  </w:num>
  <w:num w:numId="3" w16cid:durableId="1656761051">
    <w:abstractNumId w:val="7"/>
  </w:num>
  <w:num w:numId="4" w16cid:durableId="1563835682">
    <w:abstractNumId w:val="8"/>
  </w:num>
  <w:num w:numId="5" w16cid:durableId="1898197178">
    <w:abstractNumId w:val="9"/>
  </w:num>
  <w:num w:numId="6" w16cid:durableId="1754811926">
    <w:abstractNumId w:val="12"/>
  </w:num>
  <w:num w:numId="7" w16cid:durableId="742992712">
    <w:abstractNumId w:val="4"/>
  </w:num>
  <w:num w:numId="8" w16cid:durableId="950671742">
    <w:abstractNumId w:val="3"/>
  </w:num>
  <w:num w:numId="9" w16cid:durableId="359939630">
    <w:abstractNumId w:val="5"/>
  </w:num>
  <w:num w:numId="10" w16cid:durableId="1907840201">
    <w:abstractNumId w:val="10"/>
  </w:num>
  <w:num w:numId="11" w16cid:durableId="1464809388">
    <w:abstractNumId w:val="2"/>
  </w:num>
  <w:num w:numId="12" w16cid:durableId="1548490985">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13" w16cid:durableId="1788432423">
    <w:abstractNumId w:val="1"/>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85"/>
    <w:rsid w:val="0000372F"/>
    <w:rsid w:val="000106F3"/>
    <w:rsid w:val="000116E1"/>
    <w:rsid w:val="00020127"/>
    <w:rsid w:val="00023166"/>
    <w:rsid w:val="00031A3B"/>
    <w:rsid w:val="00032439"/>
    <w:rsid w:val="00036204"/>
    <w:rsid w:val="00042FFA"/>
    <w:rsid w:val="000431C0"/>
    <w:rsid w:val="00045B8C"/>
    <w:rsid w:val="000572C1"/>
    <w:rsid w:val="00061FF1"/>
    <w:rsid w:val="00065D5C"/>
    <w:rsid w:val="000678DB"/>
    <w:rsid w:val="00071407"/>
    <w:rsid w:val="000A325A"/>
    <w:rsid w:val="000A3A6C"/>
    <w:rsid w:val="000C0A2F"/>
    <w:rsid w:val="000D3663"/>
    <w:rsid w:val="000E21FD"/>
    <w:rsid w:val="000E5343"/>
    <w:rsid w:val="000F7937"/>
    <w:rsid w:val="001072BC"/>
    <w:rsid w:val="00110907"/>
    <w:rsid w:val="00117E75"/>
    <w:rsid w:val="00127785"/>
    <w:rsid w:val="001309EE"/>
    <w:rsid w:val="00136ABE"/>
    <w:rsid w:val="0013797B"/>
    <w:rsid w:val="001443B5"/>
    <w:rsid w:val="00153DEB"/>
    <w:rsid w:val="00171EBD"/>
    <w:rsid w:val="001721E5"/>
    <w:rsid w:val="00172694"/>
    <w:rsid w:val="001755B4"/>
    <w:rsid w:val="00177CD5"/>
    <w:rsid w:val="00181513"/>
    <w:rsid w:val="00181B9D"/>
    <w:rsid w:val="00183894"/>
    <w:rsid w:val="00186506"/>
    <w:rsid w:val="0019130B"/>
    <w:rsid w:val="001924F1"/>
    <w:rsid w:val="00194E15"/>
    <w:rsid w:val="001A52F3"/>
    <w:rsid w:val="001C72C9"/>
    <w:rsid w:val="001D57B4"/>
    <w:rsid w:val="001E2C48"/>
    <w:rsid w:val="001F54B5"/>
    <w:rsid w:val="002006BD"/>
    <w:rsid w:val="00206C82"/>
    <w:rsid w:val="00215008"/>
    <w:rsid w:val="00215DEB"/>
    <w:rsid w:val="00220292"/>
    <w:rsid w:val="00220379"/>
    <w:rsid w:val="0022060A"/>
    <w:rsid w:val="0022550E"/>
    <w:rsid w:val="00225DA5"/>
    <w:rsid w:val="00230698"/>
    <w:rsid w:val="00231AE3"/>
    <w:rsid w:val="00232328"/>
    <w:rsid w:val="002346A6"/>
    <w:rsid w:val="00241809"/>
    <w:rsid w:val="0024263F"/>
    <w:rsid w:val="0024333E"/>
    <w:rsid w:val="002439E8"/>
    <w:rsid w:val="002458CF"/>
    <w:rsid w:val="00245EEF"/>
    <w:rsid w:val="00252FD4"/>
    <w:rsid w:val="00256331"/>
    <w:rsid w:val="0025665F"/>
    <w:rsid w:val="002632E7"/>
    <w:rsid w:val="0026381B"/>
    <w:rsid w:val="00271F6F"/>
    <w:rsid w:val="00273C94"/>
    <w:rsid w:val="0027465E"/>
    <w:rsid w:val="00275DBB"/>
    <w:rsid w:val="00290C48"/>
    <w:rsid w:val="0029167E"/>
    <w:rsid w:val="002964B8"/>
    <w:rsid w:val="0029753C"/>
    <w:rsid w:val="002A17CA"/>
    <w:rsid w:val="002A2000"/>
    <w:rsid w:val="002A4710"/>
    <w:rsid w:val="002B758A"/>
    <w:rsid w:val="002C1F34"/>
    <w:rsid w:val="002C33B5"/>
    <w:rsid w:val="002F10C4"/>
    <w:rsid w:val="003030D0"/>
    <w:rsid w:val="00304629"/>
    <w:rsid w:val="003267E8"/>
    <w:rsid w:val="00330A4E"/>
    <w:rsid w:val="00331C36"/>
    <w:rsid w:val="00332FE1"/>
    <w:rsid w:val="00341E7D"/>
    <w:rsid w:val="00344F93"/>
    <w:rsid w:val="00352F0E"/>
    <w:rsid w:val="0036092E"/>
    <w:rsid w:val="00371814"/>
    <w:rsid w:val="00376E68"/>
    <w:rsid w:val="00386406"/>
    <w:rsid w:val="0038692C"/>
    <w:rsid w:val="00392E3E"/>
    <w:rsid w:val="003961B3"/>
    <w:rsid w:val="003A2284"/>
    <w:rsid w:val="003A380D"/>
    <w:rsid w:val="003A4F3B"/>
    <w:rsid w:val="003B08B9"/>
    <w:rsid w:val="003B0B47"/>
    <w:rsid w:val="003B10BD"/>
    <w:rsid w:val="003B480E"/>
    <w:rsid w:val="003B4FF4"/>
    <w:rsid w:val="003B658E"/>
    <w:rsid w:val="003B66EB"/>
    <w:rsid w:val="003C23C6"/>
    <w:rsid w:val="003C79E6"/>
    <w:rsid w:val="003D29A5"/>
    <w:rsid w:val="003D6A3A"/>
    <w:rsid w:val="003E02AD"/>
    <w:rsid w:val="004063F7"/>
    <w:rsid w:val="0041091B"/>
    <w:rsid w:val="00412A82"/>
    <w:rsid w:val="0041425F"/>
    <w:rsid w:val="004200F9"/>
    <w:rsid w:val="00421352"/>
    <w:rsid w:val="00426717"/>
    <w:rsid w:val="00430475"/>
    <w:rsid w:val="0043190E"/>
    <w:rsid w:val="0043349B"/>
    <w:rsid w:val="00440DA3"/>
    <w:rsid w:val="0044774F"/>
    <w:rsid w:val="00451B7D"/>
    <w:rsid w:val="00480683"/>
    <w:rsid w:val="0048335C"/>
    <w:rsid w:val="0048677D"/>
    <w:rsid w:val="004905DF"/>
    <w:rsid w:val="004919E5"/>
    <w:rsid w:val="004925E3"/>
    <w:rsid w:val="004A0BC2"/>
    <w:rsid w:val="004A1F9A"/>
    <w:rsid w:val="004A2F1E"/>
    <w:rsid w:val="004A3DAF"/>
    <w:rsid w:val="004A56F5"/>
    <w:rsid w:val="004A5FD6"/>
    <w:rsid w:val="004A745D"/>
    <w:rsid w:val="004B3361"/>
    <w:rsid w:val="004B43C9"/>
    <w:rsid w:val="004B7AD5"/>
    <w:rsid w:val="004C0E6F"/>
    <w:rsid w:val="004C2544"/>
    <w:rsid w:val="004C5BBD"/>
    <w:rsid w:val="004D6E08"/>
    <w:rsid w:val="004E34F7"/>
    <w:rsid w:val="004E4F7C"/>
    <w:rsid w:val="004F2ADD"/>
    <w:rsid w:val="004F7302"/>
    <w:rsid w:val="00502B4B"/>
    <w:rsid w:val="00506BBC"/>
    <w:rsid w:val="00512D13"/>
    <w:rsid w:val="00512DA5"/>
    <w:rsid w:val="005234D6"/>
    <w:rsid w:val="00531F8A"/>
    <w:rsid w:val="00542934"/>
    <w:rsid w:val="00546832"/>
    <w:rsid w:val="00546A7C"/>
    <w:rsid w:val="00550287"/>
    <w:rsid w:val="00555E43"/>
    <w:rsid w:val="005614CE"/>
    <w:rsid w:val="005657C8"/>
    <w:rsid w:val="0056729A"/>
    <w:rsid w:val="00570184"/>
    <w:rsid w:val="00582755"/>
    <w:rsid w:val="00586849"/>
    <w:rsid w:val="00586BB4"/>
    <w:rsid w:val="005909D9"/>
    <w:rsid w:val="005971E3"/>
    <w:rsid w:val="00597BE7"/>
    <w:rsid w:val="005A116F"/>
    <w:rsid w:val="005A3294"/>
    <w:rsid w:val="005A44BA"/>
    <w:rsid w:val="005A67F0"/>
    <w:rsid w:val="005B1943"/>
    <w:rsid w:val="005B60A4"/>
    <w:rsid w:val="005C30B0"/>
    <w:rsid w:val="005D144E"/>
    <w:rsid w:val="005D18B3"/>
    <w:rsid w:val="005F0611"/>
    <w:rsid w:val="005F0C0D"/>
    <w:rsid w:val="005F222A"/>
    <w:rsid w:val="006041F0"/>
    <w:rsid w:val="0060723F"/>
    <w:rsid w:val="00607780"/>
    <w:rsid w:val="00612EA0"/>
    <w:rsid w:val="006155AD"/>
    <w:rsid w:val="0062284A"/>
    <w:rsid w:val="00632794"/>
    <w:rsid w:val="00634562"/>
    <w:rsid w:val="00647672"/>
    <w:rsid w:val="006508CE"/>
    <w:rsid w:val="00650FB9"/>
    <w:rsid w:val="0065271E"/>
    <w:rsid w:val="00654A41"/>
    <w:rsid w:val="00656116"/>
    <w:rsid w:val="0067479B"/>
    <w:rsid w:val="00675D8D"/>
    <w:rsid w:val="00677230"/>
    <w:rsid w:val="00677DD8"/>
    <w:rsid w:val="006821CF"/>
    <w:rsid w:val="0068328B"/>
    <w:rsid w:val="006862C7"/>
    <w:rsid w:val="00686663"/>
    <w:rsid w:val="0069076B"/>
    <w:rsid w:val="00691500"/>
    <w:rsid w:val="00696DDC"/>
    <w:rsid w:val="0069749A"/>
    <w:rsid w:val="006A4F8D"/>
    <w:rsid w:val="006A58EF"/>
    <w:rsid w:val="006B1F01"/>
    <w:rsid w:val="006B3B29"/>
    <w:rsid w:val="006C019E"/>
    <w:rsid w:val="006C2506"/>
    <w:rsid w:val="006C27C7"/>
    <w:rsid w:val="006C33BB"/>
    <w:rsid w:val="006D327A"/>
    <w:rsid w:val="006E56FA"/>
    <w:rsid w:val="006E5B3B"/>
    <w:rsid w:val="006E5C0C"/>
    <w:rsid w:val="006E7AAD"/>
    <w:rsid w:val="006F1213"/>
    <w:rsid w:val="006F2EAD"/>
    <w:rsid w:val="006F6E13"/>
    <w:rsid w:val="00700FE3"/>
    <w:rsid w:val="0070118D"/>
    <w:rsid w:val="00701488"/>
    <w:rsid w:val="007129C4"/>
    <w:rsid w:val="0071319A"/>
    <w:rsid w:val="00726899"/>
    <w:rsid w:val="00734C7E"/>
    <w:rsid w:val="00737A4F"/>
    <w:rsid w:val="00745199"/>
    <w:rsid w:val="0074775A"/>
    <w:rsid w:val="00756F9B"/>
    <w:rsid w:val="0076159B"/>
    <w:rsid w:val="0076487D"/>
    <w:rsid w:val="00770CA1"/>
    <w:rsid w:val="007745D8"/>
    <w:rsid w:val="0077504A"/>
    <w:rsid w:val="007759C0"/>
    <w:rsid w:val="007859FC"/>
    <w:rsid w:val="007A0AF8"/>
    <w:rsid w:val="007B5B35"/>
    <w:rsid w:val="007B65E3"/>
    <w:rsid w:val="007B76A6"/>
    <w:rsid w:val="007C3494"/>
    <w:rsid w:val="007D1E4A"/>
    <w:rsid w:val="007D4DFE"/>
    <w:rsid w:val="007E3543"/>
    <w:rsid w:val="007E399F"/>
    <w:rsid w:val="007E3D1C"/>
    <w:rsid w:val="007F6D15"/>
    <w:rsid w:val="00805BB2"/>
    <w:rsid w:val="00806F18"/>
    <w:rsid w:val="00810BF2"/>
    <w:rsid w:val="00825292"/>
    <w:rsid w:val="00826DE4"/>
    <w:rsid w:val="008350DC"/>
    <w:rsid w:val="00852F01"/>
    <w:rsid w:val="00853607"/>
    <w:rsid w:val="00857289"/>
    <w:rsid w:val="00860517"/>
    <w:rsid w:val="00866AC0"/>
    <w:rsid w:val="00867E61"/>
    <w:rsid w:val="008834E8"/>
    <w:rsid w:val="008A6509"/>
    <w:rsid w:val="008B0005"/>
    <w:rsid w:val="008C54C3"/>
    <w:rsid w:val="008E3087"/>
    <w:rsid w:val="008E32FA"/>
    <w:rsid w:val="008F09EA"/>
    <w:rsid w:val="008F2096"/>
    <w:rsid w:val="0091117B"/>
    <w:rsid w:val="00923202"/>
    <w:rsid w:val="009346A1"/>
    <w:rsid w:val="00935ACE"/>
    <w:rsid w:val="00937E21"/>
    <w:rsid w:val="00946FED"/>
    <w:rsid w:val="00947770"/>
    <w:rsid w:val="009541ED"/>
    <w:rsid w:val="00961BFA"/>
    <w:rsid w:val="00966929"/>
    <w:rsid w:val="00972171"/>
    <w:rsid w:val="00972799"/>
    <w:rsid w:val="009938AE"/>
    <w:rsid w:val="0099610F"/>
    <w:rsid w:val="00996C6F"/>
    <w:rsid w:val="009A0372"/>
    <w:rsid w:val="009B54C3"/>
    <w:rsid w:val="009C3D61"/>
    <w:rsid w:val="009C6976"/>
    <w:rsid w:val="009D489B"/>
    <w:rsid w:val="009E5991"/>
    <w:rsid w:val="009E7377"/>
    <w:rsid w:val="009F7087"/>
    <w:rsid w:val="009F7BD3"/>
    <w:rsid w:val="00A11425"/>
    <w:rsid w:val="00A11A80"/>
    <w:rsid w:val="00A20800"/>
    <w:rsid w:val="00A2305B"/>
    <w:rsid w:val="00A26698"/>
    <w:rsid w:val="00A46D1A"/>
    <w:rsid w:val="00A47386"/>
    <w:rsid w:val="00A47DA7"/>
    <w:rsid w:val="00A53A51"/>
    <w:rsid w:val="00A62F2B"/>
    <w:rsid w:val="00A71D84"/>
    <w:rsid w:val="00A727B6"/>
    <w:rsid w:val="00A84872"/>
    <w:rsid w:val="00A959B1"/>
    <w:rsid w:val="00AB19DA"/>
    <w:rsid w:val="00AB1E3E"/>
    <w:rsid w:val="00AD01A9"/>
    <w:rsid w:val="00AD5A9E"/>
    <w:rsid w:val="00AD67BD"/>
    <w:rsid w:val="00AE3986"/>
    <w:rsid w:val="00AF232B"/>
    <w:rsid w:val="00AF4139"/>
    <w:rsid w:val="00AF6DC5"/>
    <w:rsid w:val="00AF7F98"/>
    <w:rsid w:val="00B104A2"/>
    <w:rsid w:val="00B159E6"/>
    <w:rsid w:val="00B17562"/>
    <w:rsid w:val="00B20540"/>
    <w:rsid w:val="00B23E9F"/>
    <w:rsid w:val="00B241A9"/>
    <w:rsid w:val="00B277EE"/>
    <w:rsid w:val="00B30E13"/>
    <w:rsid w:val="00B451AC"/>
    <w:rsid w:val="00B46E83"/>
    <w:rsid w:val="00B50943"/>
    <w:rsid w:val="00B5171A"/>
    <w:rsid w:val="00B56A7C"/>
    <w:rsid w:val="00B65FDB"/>
    <w:rsid w:val="00B721CF"/>
    <w:rsid w:val="00B74127"/>
    <w:rsid w:val="00B77227"/>
    <w:rsid w:val="00B81ED0"/>
    <w:rsid w:val="00B86011"/>
    <w:rsid w:val="00B909BC"/>
    <w:rsid w:val="00B93236"/>
    <w:rsid w:val="00B96549"/>
    <w:rsid w:val="00BA2804"/>
    <w:rsid w:val="00BB23E3"/>
    <w:rsid w:val="00BB6B9C"/>
    <w:rsid w:val="00BF0757"/>
    <w:rsid w:val="00C0239A"/>
    <w:rsid w:val="00C0243B"/>
    <w:rsid w:val="00C04267"/>
    <w:rsid w:val="00C0584B"/>
    <w:rsid w:val="00C14E92"/>
    <w:rsid w:val="00C20114"/>
    <w:rsid w:val="00C2256D"/>
    <w:rsid w:val="00C30142"/>
    <w:rsid w:val="00C33CAB"/>
    <w:rsid w:val="00C356C0"/>
    <w:rsid w:val="00C372CD"/>
    <w:rsid w:val="00C374CA"/>
    <w:rsid w:val="00C408E0"/>
    <w:rsid w:val="00C479C8"/>
    <w:rsid w:val="00C47E71"/>
    <w:rsid w:val="00C54E51"/>
    <w:rsid w:val="00C670BC"/>
    <w:rsid w:val="00C72FD4"/>
    <w:rsid w:val="00C76AE3"/>
    <w:rsid w:val="00C87D96"/>
    <w:rsid w:val="00C940A7"/>
    <w:rsid w:val="00CC4AFF"/>
    <w:rsid w:val="00CC7063"/>
    <w:rsid w:val="00CD0CC3"/>
    <w:rsid w:val="00CE5413"/>
    <w:rsid w:val="00D2691A"/>
    <w:rsid w:val="00D31CD2"/>
    <w:rsid w:val="00D40D50"/>
    <w:rsid w:val="00D42F31"/>
    <w:rsid w:val="00D44EED"/>
    <w:rsid w:val="00D53DEB"/>
    <w:rsid w:val="00D8364F"/>
    <w:rsid w:val="00D9649F"/>
    <w:rsid w:val="00DB039B"/>
    <w:rsid w:val="00DB7571"/>
    <w:rsid w:val="00DC071B"/>
    <w:rsid w:val="00DC3B39"/>
    <w:rsid w:val="00DC639E"/>
    <w:rsid w:val="00DC798A"/>
    <w:rsid w:val="00DD340B"/>
    <w:rsid w:val="00DD714F"/>
    <w:rsid w:val="00DE6D36"/>
    <w:rsid w:val="00DE6EEF"/>
    <w:rsid w:val="00DF0A11"/>
    <w:rsid w:val="00DF131A"/>
    <w:rsid w:val="00DF483F"/>
    <w:rsid w:val="00DF4E6A"/>
    <w:rsid w:val="00DF6BD4"/>
    <w:rsid w:val="00E0180E"/>
    <w:rsid w:val="00E03F5D"/>
    <w:rsid w:val="00E07024"/>
    <w:rsid w:val="00E35211"/>
    <w:rsid w:val="00E411CF"/>
    <w:rsid w:val="00E548F6"/>
    <w:rsid w:val="00E56D89"/>
    <w:rsid w:val="00E62C13"/>
    <w:rsid w:val="00E73A2E"/>
    <w:rsid w:val="00E73CE4"/>
    <w:rsid w:val="00E80C3F"/>
    <w:rsid w:val="00E9379E"/>
    <w:rsid w:val="00E941D1"/>
    <w:rsid w:val="00E96E71"/>
    <w:rsid w:val="00E971AE"/>
    <w:rsid w:val="00E978D1"/>
    <w:rsid w:val="00EA1BB2"/>
    <w:rsid w:val="00EA5942"/>
    <w:rsid w:val="00EA5FA4"/>
    <w:rsid w:val="00EB048C"/>
    <w:rsid w:val="00EB349B"/>
    <w:rsid w:val="00EC63A6"/>
    <w:rsid w:val="00EF0A7B"/>
    <w:rsid w:val="00EF2AFF"/>
    <w:rsid w:val="00EF569E"/>
    <w:rsid w:val="00F02F1C"/>
    <w:rsid w:val="00F072BF"/>
    <w:rsid w:val="00F100D2"/>
    <w:rsid w:val="00F131B1"/>
    <w:rsid w:val="00F1361E"/>
    <w:rsid w:val="00F13721"/>
    <w:rsid w:val="00F14460"/>
    <w:rsid w:val="00F149F0"/>
    <w:rsid w:val="00F23AA2"/>
    <w:rsid w:val="00F26D40"/>
    <w:rsid w:val="00F279EF"/>
    <w:rsid w:val="00F448F2"/>
    <w:rsid w:val="00F457C8"/>
    <w:rsid w:val="00F53F83"/>
    <w:rsid w:val="00F55ADE"/>
    <w:rsid w:val="00F62125"/>
    <w:rsid w:val="00F62F72"/>
    <w:rsid w:val="00F63F56"/>
    <w:rsid w:val="00F64116"/>
    <w:rsid w:val="00F772DA"/>
    <w:rsid w:val="00F803F5"/>
    <w:rsid w:val="00F84569"/>
    <w:rsid w:val="00FB6E16"/>
    <w:rsid w:val="00FD43CC"/>
    <w:rsid w:val="00FD56EE"/>
    <w:rsid w:val="00FD5CFF"/>
    <w:rsid w:val="00FE18DB"/>
    <w:rsid w:val="00FE2E89"/>
    <w:rsid w:val="00FF0054"/>
    <w:rsid w:val="00FF1D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2CC27B"/>
  <w15:chartTrackingRefBased/>
  <w15:docId w15:val="{EA3BE792-5F49-4AAB-BF4B-3EA51C35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E62C13"/>
    <w:pPr>
      <w:keepNext/>
      <w:widowControl w:val="0"/>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B1F01"/>
    <w:rPr>
      <w:rFonts w:ascii="Tahoma" w:hAnsi="Tahoma" w:cs="Tahoma"/>
      <w:sz w:val="16"/>
      <w:szCs w:val="16"/>
    </w:rPr>
  </w:style>
  <w:style w:type="paragraph" w:styleId="FootnoteText">
    <w:name w:val="footnote text"/>
    <w:basedOn w:val="Normal"/>
    <w:semiHidden/>
    <w:rsid w:val="00136ABE"/>
    <w:rPr>
      <w:sz w:val="20"/>
      <w:szCs w:val="20"/>
    </w:rPr>
  </w:style>
  <w:style w:type="character" w:styleId="FootnoteReference">
    <w:name w:val="footnote reference"/>
    <w:semiHidden/>
    <w:rsid w:val="00136ABE"/>
    <w:rPr>
      <w:vertAlign w:val="superscript"/>
    </w:rPr>
  </w:style>
  <w:style w:type="paragraph" w:styleId="ListParagraph">
    <w:name w:val="List Paragraph"/>
    <w:basedOn w:val="Normal"/>
    <w:uiPriority w:val="34"/>
    <w:qFormat/>
    <w:rsid w:val="0026381B"/>
    <w:pPr>
      <w:ind w:left="720"/>
    </w:pPr>
  </w:style>
  <w:style w:type="character" w:styleId="CommentReference">
    <w:name w:val="annotation reference"/>
    <w:rsid w:val="00734C7E"/>
    <w:rPr>
      <w:sz w:val="16"/>
      <w:szCs w:val="16"/>
    </w:rPr>
  </w:style>
  <w:style w:type="paragraph" w:styleId="CommentText">
    <w:name w:val="annotation text"/>
    <w:basedOn w:val="Normal"/>
    <w:link w:val="CommentTextChar"/>
    <w:rsid w:val="00734C7E"/>
    <w:rPr>
      <w:sz w:val="20"/>
      <w:szCs w:val="20"/>
    </w:rPr>
  </w:style>
  <w:style w:type="character" w:customStyle="1" w:styleId="CommentTextChar">
    <w:name w:val="Comment Text Char"/>
    <w:basedOn w:val="DefaultParagraphFont"/>
    <w:link w:val="CommentText"/>
    <w:rsid w:val="00734C7E"/>
  </w:style>
  <w:style w:type="paragraph" w:styleId="CommentSubject">
    <w:name w:val="annotation subject"/>
    <w:basedOn w:val="CommentText"/>
    <w:next w:val="CommentText"/>
    <w:link w:val="CommentSubjectChar"/>
    <w:rsid w:val="00734C7E"/>
    <w:rPr>
      <w:b/>
      <w:bCs/>
      <w:lang w:val="x-none" w:eastAsia="x-none"/>
    </w:rPr>
  </w:style>
  <w:style w:type="character" w:customStyle="1" w:styleId="CommentSubjectChar">
    <w:name w:val="Comment Subject Char"/>
    <w:link w:val="CommentSubject"/>
    <w:rsid w:val="00734C7E"/>
    <w:rPr>
      <w:b/>
      <w:bCs/>
    </w:rPr>
  </w:style>
  <w:style w:type="paragraph" w:styleId="Header">
    <w:name w:val="header"/>
    <w:basedOn w:val="Normal"/>
    <w:link w:val="HeaderChar"/>
    <w:uiPriority w:val="99"/>
    <w:rsid w:val="00A46D1A"/>
    <w:pPr>
      <w:tabs>
        <w:tab w:val="center" w:pos="4680"/>
        <w:tab w:val="right" w:pos="9360"/>
      </w:tabs>
    </w:pPr>
  </w:style>
  <w:style w:type="character" w:customStyle="1" w:styleId="HeaderChar">
    <w:name w:val="Header Char"/>
    <w:link w:val="Header"/>
    <w:uiPriority w:val="99"/>
    <w:rsid w:val="00A46D1A"/>
    <w:rPr>
      <w:sz w:val="24"/>
      <w:szCs w:val="24"/>
    </w:rPr>
  </w:style>
  <w:style w:type="paragraph" w:styleId="Footer">
    <w:name w:val="footer"/>
    <w:basedOn w:val="Normal"/>
    <w:link w:val="FooterChar"/>
    <w:uiPriority w:val="99"/>
    <w:rsid w:val="00A46D1A"/>
    <w:pPr>
      <w:tabs>
        <w:tab w:val="center" w:pos="4680"/>
        <w:tab w:val="right" w:pos="9360"/>
      </w:tabs>
    </w:pPr>
  </w:style>
  <w:style w:type="character" w:customStyle="1" w:styleId="FooterChar">
    <w:name w:val="Footer Char"/>
    <w:link w:val="Footer"/>
    <w:uiPriority w:val="99"/>
    <w:rsid w:val="00A46D1A"/>
    <w:rPr>
      <w:sz w:val="24"/>
      <w:szCs w:val="24"/>
    </w:rPr>
  </w:style>
  <w:style w:type="character" w:styleId="Hyperlink">
    <w:name w:val="Hyperlink"/>
    <w:rsid w:val="00B65FDB"/>
    <w:rPr>
      <w:color w:val="0000FF"/>
      <w:u w:val="single"/>
    </w:rPr>
  </w:style>
  <w:style w:type="character" w:styleId="FollowedHyperlink">
    <w:name w:val="FollowedHyperlink"/>
    <w:rsid w:val="003B4FF4"/>
    <w:rPr>
      <w:color w:val="800080"/>
      <w:u w:val="single"/>
    </w:rPr>
  </w:style>
  <w:style w:type="paragraph" w:customStyle="1" w:styleId="Level1">
    <w:name w:val="Level 1"/>
    <w:basedOn w:val="Normal"/>
    <w:rsid w:val="00DF6BD4"/>
    <w:pPr>
      <w:widowControl w:val="0"/>
      <w:autoSpaceDE w:val="0"/>
      <w:autoSpaceDN w:val="0"/>
      <w:adjustRightInd w:val="0"/>
      <w:ind w:left="360" w:hanging="360"/>
    </w:pPr>
  </w:style>
  <w:style w:type="character" w:customStyle="1" w:styleId="Heading2Char">
    <w:name w:val="Heading 2 Char"/>
    <w:basedOn w:val="DefaultParagraphFont"/>
    <w:link w:val="Heading2"/>
    <w:rsid w:val="00E62C13"/>
    <w:rPr>
      <w:rFonts w:ascii="Arial" w:hAnsi="Arial" w:cs="Arial"/>
      <w:b/>
      <w:bCs/>
      <w:i/>
      <w:iCs/>
      <w:sz w:val="28"/>
      <w:szCs w:val="28"/>
    </w:rPr>
  </w:style>
  <w:style w:type="character" w:styleId="UnresolvedMention">
    <w:name w:val="Unresolved Mention"/>
    <w:basedOn w:val="DefaultParagraphFont"/>
    <w:uiPriority w:val="99"/>
    <w:semiHidden/>
    <w:unhideWhenUsed/>
    <w:rsid w:val="00C20114"/>
    <w:rPr>
      <w:color w:val="605E5C"/>
      <w:shd w:val="clear" w:color="auto" w:fill="E1DFDD"/>
    </w:rPr>
  </w:style>
  <w:style w:type="paragraph" w:customStyle="1" w:styleId="Quick1">
    <w:name w:val="Quick 1."/>
    <w:basedOn w:val="Normal"/>
    <w:rsid w:val="00F457C8"/>
    <w:pPr>
      <w:widowControl w:val="0"/>
      <w:numPr>
        <w:numId w:val="13"/>
      </w:numPr>
      <w:autoSpaceDE w:val="0"/>
      <w:autoSpaceDN w:val="0"/>
      <w:adjustRightInd w:val="0"/>
      <w:ind w:left="720" w:hanging="720"/>
    </w:pPr>
    <w:rPr>
      <w:rFonts w:ascii="Courier" w:hAnsi="Courier"/>
    </w:rPr>
  </w:style>
  <w:style w:type="paragraph" w:styleId="Revision">
    <w:name w:val="Revision"/>
    <w:hidden/>
    <w:uiPriority w:val="99"/>
    <w:semiHidden/>
    <w:rsid w:val="00BB6B9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dol.gov/agencies/eta/advisories/uipl-19-24" TargetMode="External" /><Relationship Id="rId8" Type="http://schemas.openxmlformats.org/officeDocument/2006/relationships/hyperlink" Target="https://www.dol.gov/sites/dolgov/files/ETA/advisories/UIPL/2023/UIPL%2013-23/UIPL%2013-23.pdf" TargetMode="External" /><Relationship Id="rId9" Type="http://schemas.openxmlformats.org/officeDocument/2006/relationships/hyperlink" Target="http://ows.doleta.gov/unemploy/DataDownloads.as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0EAB1142E744CABB1FD7AF4CE0D7A" ma:contentTypeVersion="7" ma:contentTypeDescription="Create a new document." ma:contentTypeScope="" ma:versionID="95854e84be7a1639ec6ac71d64f3f403">
  <xsd:schema xmlns:xsd="http://www.w3.org/2001/XMLSchema" xmlns:xs="http://www.w3.org/2001/XMLSchema" xmlns:p="http://schemas.microsoft.com/office/2006/metadata/properties" xmlns:ns3="ab3b13d9-1588-48a0-b603-43f746d050c7" targetNamespace="http://schemas.microsoft.com/office/2006/metadata/properties" ma:root="true" ma:fieldsID="250c0854bebe210d9d2b41c10937cdd2" ns3:_="">
    <xsd:import namespace="ab3b13d9-1588-48a0-b603-43f746d050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b13d9-1588-48a0-b603-43f746d05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E0F1EA-EFE1-40FE-908F-0683FADF44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b13d9-1588-48a0-b603-43f746d05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FD9A8-CF99-4734-94BB-82A228238A86}">
  <ds:schemaRefs>
    <ds:schemaRef ds:uri="http://schemas.microsoft.com/sharepoint/v3/contenttype/forms"/>
  </ds:schemaRefs>
</ds:datastoreItem>
</file>

<file path=customXml/itemProps3.xml><?xml version="1.0" encoding="utf-8"?>
<ds:datastoreItem xmlns:ds="http://schemas.openxmlformats.org/officeDocument/2006/customXml" ds:itemID="{D1FB23C0-E2F2-4B2A-8565-4B759958FE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2243</Words>
  <Characters>12866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Trujillo, Sandra - ETA</dc:creator>
  <cp:lastModifiedBy>Gibson, Patrice A - ETA</cp:lastModifiedBy>
  <cp:revision>2</cp:revision>
  <cp:lastPrinted>2024-12-18T20:07:00Z</cp:lastPrinted>
  <dcterms:created xsi:type="dcterms:W3CDTF">2025-01-08T14:21:00Z</dcterms:created>
  <dcterms:modified xsi:type="dcterms:W3CDTF">2025-01-08T14:21:00Z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0x0101005470EAB1142E744CABB1FD7AF4CE0D7A</vt:lpwstr>
  </property>
</Properties>
</file>