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473B" w:rsidP="00462D00" w14:paraId="165E4EE4" w14:textId="77777777">
      <w:pPr>
        <w:pStyle w:val="BodyText"/>
        <w:widowControl/>
        <w:jc w:val="center"/>
        <w:rPr>
          <w:b/>
          <w:bCs/>
        </w:rPr>
      </w:pPr>
      <w:bookmarkStart w:id="0" w:name="QuickMark"/>
      <w:bookmarkEnd w:id="0"/>
      <w:r w:rsidRPr="00462D00">
        <w:rPr>
          <w:b/>
        </w:rPr>
        <w:t>SUPPORTING STATEMENT FOR PAPERWORK REDUCTION ACT 1995 SUBMISSIONS</w:t>
      </w:r>
      <w:r w:rsidRPr="00462D00" w:rsidR="004A51AE">
        <w:rPr>
          <w:b/>
        </w:rPr>
        <w:t xml:space="preserve">: </w:t>
      </w:r>
      <w:r w:rsidRPr="004A51AE" w:rsidR="004A51AE">
        <w:rPr>
          <w:b/>
          <w:bCs/>
        </w:rPr>
        <w:t>SETTLEMENT AGREEMENTS BETWEEN A PLAN AND PARTY IN INTEREST</w:t>
      </w:r>
    </w:p>
    <w:p w:rsidR="00E96F38" w:rsidP="00E96F38" w14:paraId="3B054AB5" w14:textId="77777777">
      <w:pPr>
        <w:pStyle w:val="BodyText"/>
        <w:widowControl/>
        <w:rPr>
          <w:b/>
          <w:bCs/>
        </w:rPr>
      </w:pPr>
    </w:p>
    <w:p w:rsidR="00E96F38" w:rsidRPr="00462D00" w:rsidP="00E96F38" w14:paraId="550FDF57" w14:textId="77777777">
      <w:pPr>
        <w:pStyle w:val="BodyText"/>
        <w:widowControl/>
        <w:rPr>
          <w:b/>
          <w:bCs/>
        </w:rPr>
      </w:pPr>
      <w:r w:rsidRPr="00E96F38">
        <w:rPr>
          <w:b/>
          <w:bCs/>
        </w:rPr>
        <w:t>This ICR seeks approval for an extension of an existing control number.</w:t>
      </w:r>
    </w:p>
    <w:p w:rsidR="007B7493" w:rsidP="00475430" w14:paraId="5CF7E16C" w14:textId="77777777"/>
    <w:p w:rsidR="0064473B" w:rsidRPr="00475430" w:rsidP="00475430" w14:paraId="2C8FDDC1" w14:textId="5997D91F">
      <w:pPr>
        <w:pStyle w:val="Heading1"/>
      </w:pPr>
      <w:r w:rsidRPr="00475430">
        <w:t>A.</w:t>
      </w:r>
      <w:r w:rsidR="00623444">
        <w:t xml:space="preserve"> </w:t>
      </w:r>
      <w:r w:rsidRPr="00475430" w:rsidR="00E11C29">
        <w:tab/>
      </w:r>
      <w:r w:rsidRPr="00475430" w:rsidR="004A51AE">
        <w:t>JUSTIFICATION</w:t>
      </w:r>
    </w:p>
    <w:p w:rsidR="0064473B" w:rsidP="00021D03" w14:paraId="263AEFB6" w14:textId="77777777">
      <w:pPr>
        <w:widowControl/>
      </w:pPr>
    </w:p>
    <w:p w:rsidR="0064473B" w:rsidRPr="00462D00" w:rsidP="00475430" w14:paraId="3E0ACE3E" w14:textId="7F4A3915">
      <w:pPr>
        <w:pStyle w:val="Heading2"/>
        <w:rPr>
          <w:i/>
        </w:rPr>
      </w:pPr>
      <w:r w:rsidRPr="00462D00">
        <w:t>Explain the circumstances that make the collection of information necessary.</w:t>
      </w:r>
      <w:r w:rsidR="00623444">
        <w:t xml:space="preserve"> </w:t>
      </w:r>
      <w:r w:rsidRPr="00475430">
        <w:t>Identify</w:t>
      </w:r>
      <w:r w:rsidRPr="00462D00">
        <w:t xml:space="preserve"> any legal or </w:t>
      </w:r>
      <w:r w:rsidRPr="00462D00" w:rsidR="00B402A5">
        <w:t>ad</w:t>
      </w:r>
      <w:r w:rsidRPr="00462D00">
        <w:t>ministrative requirements that necessitate the collection.</w:t>
      </w:r>
      <w:r w:rsidR="00623444">
        <w:t xml:space="preserve"> </w:t>
      </w:r>
      <w:r w:rsidRPr="00462D00">
        <w:t>Attach a copy of the appropriate section of each statute and regulation mandating or authorizing the collection of information.</w:t>
      </w:r>
    </w:p>
    <w:p w:rsidR="0064473B" w:rsidP="00021D03" w14:paraId="3F96F20C" w14:textId="77777777">
      <w:pPr>
        <w:pStyle w:val="Quick1"/>
        <w:widowControl/>
        <w:numPr>
          <w:ilvl w:val="0"/>
          <w:numId w:val="0"/>
        </w:numPr>
        <w:tabs>
          <w:tab w:val="left" w:pos="-1440"/>
        </w:tabs>
        <w:rPr>
          <w:i w:val="0"/>
        </w:rPr>
      </w:pPr>
    </w:p>
    <w:p w:rsidR="00A86E31" w:rsidP="00FA6BC0" w14:paraId="7153E253" w14:textId="25133FFD">
      <w:pPr>
        <w:widowControl/>
      </w:pPr>
      <w:r w:rsidRPr="00FA6BC0">
        <w:t xml:space="preserve">Section 408(a) of the Employee Retirement Income Security Act of 1974 (ERISA) gives the Secretary of Labor the authority to "grant a conditional or unconditional exemption of any fiduciary or transaction, or class of fiduciaries or transactions, from all or part of the restrictions imposed by sections 406 and 407(a)." </w:t>
      </w:r>
      <w:r w:rsidRPr="00FA6BC0">
        <w:t>To</w:t>
      </w:r>
      <w:r w:rsidRPr="00FA6BC0">
        <w:t xml:space="preserve"> grant an exemption under section 408, the Department of Labor (the Department) must determine that the exemption is: </w:t>
      </w:r>
    </w:p>
    <w:p w:rsidR="009056F0" w:rsidP="00FA6BC0" w14:paraId="6B2E5E19" w14:textId="77777777">
      <w:pPr>
        <w:widowControl/>
      </w:pPr>
    </w:p>
    <w:p w:rsidR="00A86E31" w:rsidP="00646E11" w14:paraId="171DE7B1" w14:textId="6E8AA194">
      <w:pPr>
        <w:pStyle w:val="ListParagraph"/>
        <w:widowControl/>
        <w:numPr>
          <w:ilvl w:val="0"/>
          <w:numId w:val="20"/>
        </w:numPr>
        <w:ind w:left="1260"/>
      </w:pPr>
      <w:r w:rsidRPr="00FA6BC0">
        <w:t xml:space="preserve">administratively feasible; </w:t>
      </w:r>
    </w:p>
    <w:p w:rsidR="00A86E31" w:rsidP="00646E11" w14:paraId="45C2319A" w14:textId="6EB33898">
      <w:pPr>
        <w:pStyle w:val="ListParagraph"/>
        <w:widowControl/>
        <w:numPr>
          <w:ilvl w:val="0"/>
          <w:numId w:val="20"/>
        </w:numPr>
        <w:ind w:left="1260"/>
      </w:pPr>
      <w:r w:rsidRPr="00FA6BC0">
        <w:t xml:space="preserve">in the interests of the plan and its participants and beneficiaries; and </w:t>
      </w:r>
    </w:p>
    <w:p w:rsidR="00FA6BC0" w:rsidRPr="00FA6BC0" w:rsidP="00646E11" w14:paraId="34876C73" w14:textId="058A0EE2">
      <w:pPr>
        <w:pStyle w:val="ListParagraph"/>
        <w:widowControl/>
        <w:numPr>
          <w:ilvl w:val="0"/>
          <w:numId w:val="20"/>
        </w:numPr>
        <w:ind w:left="1260"/>
      </w:pPr>
      <w:r w:rsidRPr="00FA6BC0">
        <w:t>protective of the rights of the participants and beneficiaries of such plan.</w:t>
      </w:r>
    </w:p>
    <w:p w:rsidR="00FA6BC0" w:rsidRPr="00FA6BC0" w:rsidP="00FA6BC0" w14:paraId="4A5838BE" w14:textId="77777777">
      <w:pPr>
        <w:widowControl/>
      </w:pPr>
    </w:p>
    <w:p w:rsidR="0064473B" w:rsidP="00FA6BC0" w14:paraId="1CD081D1" w14:textId="3F89B61A">
      <w:pPr>
        <w:widowControl/>
      </w:pPr>
      <w:r w:rsidRPr="00FA6BC0">
        <w:rPr>
          <w:bCs/>
        </w:rPr>
        <w:t>Reorganization Plan No. 4 of 1978</w:t>
      </w:r>
      <w:r>
        <w:rPr>
          <w:rStyle w:val="FootnoteReference"/>
          <w:bCs/>
          <w:vertAlign w:val="superscript"/>
        </w:rPr>
        <w:footnoteReference w:id="3"/>
      </w:r>
      <w:r w:rsidRPr="00FA6BC0">
        <w:rPr>
          <w:bCs/>
        </w:rPr>
        <w:t xml:space="preserve"> transferred</w:t>
      </w:r>
      <w:r w:rsidR="00A86E31">
        <w:rPr>
          <w:bCs/>
        </w:rPr>
        <w:t xml:space="preserve"> </w:t>
      </w:r>
      <w:r w:rsidRPr="00FA6BC0">
        <w:rPr>
          <w:bCs/>
        </w:rPr>
        <w:t>authority to issue exemptions under section 4975 of the Internal Revenue Code (the Code), with certain enumerated exceptions,</w:t>
      </w:r>
      <w:r w:rsidR="00A86E31">
        <w:rPr>
          <w:bCs/>
        </w:rPr>
        <w:t xml:space="preserve"> from</w:t>
      </w:r>
      <w:r w:rsidRPr="00FA6BC0" w:rsidR="00A86E31">
        <w:rPr>
          <w:bCs/>
        </w:rPr>
        <w:t xml:space="preserve"> the Secretary of the Treasury to the Secretary of Labor</w:t>
      </w:r>
      <w:r w:rsidRPr="00FA6BC0">
        <w:rPr>
          <w:bCs/>
        </w:rPr>
        <w:t>. As a result, the Secretary of Labor now possesses authority to issue individual and class exemptions from the prohibited transaction rules of ERISA and the Code</w:t>
      </w:r>
      <w:r w:rsidR="009056F0">
        <w:rPr>
          <w:bCs/>
        </w:rPr>
        <w:t xml:space="preserve"> </w:t>
      </w:r>
      <w:r w:rsidRPr="00FA6BC0" w:rsidR="009056F0">
        <w:rPr>
          <w:bCs/>
        </w:rPr>
        <w:t>under section 4975(c)(2) of the Code</w:t>
      </w:r>
      <w:r w:rsidR="009056F0">
        <w:rPr>
          <w:bCs/>
        </w:rPr>
        <w:t xml:space="preserve"> and</w:t>
      </w:r>
      <w:r w:rsidRPr="00FA6BC0" w:rsidR="009056F0">
        <w:rPr>
          <w:bCs/>
        </w:rPr>
        <w:t xml:space="preserve"> 408(a) of ERISA</w:t>
      </w:r>
      <w:r w:rsidRPr="00FA6BC0">
        <w:rPr>
          <w:bCs/>
        </w:rPr>
        <w:t>.</w:t>
      </w:r>
      <w:r w:rsidR="00623444">
        <w:t xml:space="preserve"> </w:t>
      </w:r>
    </w:p>
    <w:p w:rsidR="0064473B" w:rsidP="00462D00" w14:paraId="0610DF09" w14:textId="77777777">
      <w:pPr>
        <w:pStyle w:val="BodyText"/>
        <w:widowControl/>
        <w:ind w:left="720"/>
      </w:pPr>
    </w:p>
    <w:p w:rsidR="0064473B" w:rsidP="00462D00" w14:paraId="504900E9" w14:textId="47175792">
      <w:pPr>
        <w:pStyle w:val="BodyText"/>
        <w:widowControl/>
        <w:ind w:left="720"/>
      </w:pPr>
      <w:r>
        <w:t xml:space="preserve">This </w:t>
      </w:r>
      <w:r w:rsidR="007F1AC3">
        <w:t>i</w:t>
      </w:r>
      <w:r>
        <w:t xml:space="preserve">nformation </w:t>
      </w:r>
      <w:r w:rsidR="007F1AC3">
        <w:t>c</w:t>
      </w:r>
      <w:r>
        <w:t xml:space="preserve">ollection </w:t>
      </w:r>
      <w:r w:rsidR="007F1AC3">
        <w:t>r</w:t>
      </w:r>
      <w:r>
        <w:t xml:space="preserve">equest (ICR) </w:t>
      </w:r>
      <w:r w:rsidR="00A86E31">
        <w:t xml:space="preserve">covers </w:t>
      </w:r>
      <w:r>
        <w:t xml:space="preserve">two </w:t>
      </w:r>
      <w:r w:rsidR="007F1AC3">
        <w:t>prohibited transaction</w:t>
      </w:r>
      <w:r w:rsidR="00F40D23">
        <w:t xml:space="preserve"> </w:t>
      </w:r>
      <w:r w:rsidR="007F1AC3">
        <w:t xml:space="preserve">class </w:t>
      </w:r>
      <w:r>
        <w:t xml:space="preserve">exemptions </w:t>
      </w:r>
      <w:r w:rsidR="007F1AC3">
        <w:t xml:space="preserve">(PTEs) </w:t>
      </w:r>
      <w:r w:rsidR="00A86E31">
        <w:t>granted by the</w:t>
      </w:r>
      <w:r w:rsidR="00676821">
        <w:t xml:space="preserve"> </w:t>
      </w:r>
      <w:r w:rsidR="00F40D23">
        <w:t xml:space="preserve">Department, both of which </w:t>
      </w:r>
      <w:r>
        <w:t>involv</w:t>
      </w:r>
      <w:r w:rsidR="00F40D23">
        <w:t>e</w:t>
      </w:r>
      <w:r>
        <w:t xml:space="preserve"> settlement agreements. </w:t>
      </w:r>
      <w:r w:rsidR="001857B5">
        <w:t>These two exemptions are described below</w:t>
      </w:r>
      <w:r w:rsidR="00A86E31">
        <w:t>.</w:t>
      </w:r>
    </w:p>
    <w:p w:rsidR="0064473B" w:rsidP="00462D00" w14:paraId="1BB4BDAB" w14:textId="77777777">
      <w:pPr>
        <w:pStyle w:val="BodyText"/>
        <w:widowControl/>
        <w:ind w:left="720"/>
      </w:pPr>
    </w:p>
    <w:p w:rsidR="0064473B" w:rsidP="00462D00" w14:paraId="7FDD067C" w14:textId="7C64E8ED">
      <w:pPr>
        <w:pStyle w:val="BodyText"/>
        <w:widowControl/>
        <w:ind w:left="720"/>
      </w:pPr>
      <w:r>
        <w:rPr>
          <w:b/>
        </w:rPr>
        <w:t xml:space="preserve">PTE 94-71. </w:t>
      </w:r>
      <w:r>
        <w:rPr>
          <w:bCs/>
        </w:rPr>
        <w:t>G</w:t>
      </w:r>
      <w:r>
        <w:t xml:space="preserve">ranted on </w:t>
      </w:r>
      <w:r w:rsidR="00676511">
        <w:t>October 7</w:t>
      </w:r>
      <w:r>
        <w:t xml:space="preserve">, 1994, PTE 94-71 </w:t>
      </w:r>
      <w:r w:rsidR="00423598">
        <w:t>provides exemptive relief</w:t>
      </w:r>
      <w:r w:rsidR="00623444">
        <w:t xml:space="preserve"> </w:t>
      </w:r>
      <w:r w:rsidR="00423598">
        <w:t xml:space="preserve">for </w:t>
      </w:r>
      <w:r>
        <w:t>transaction</w:t>
      </w:r>
      <w:r w:rsidR="00423598">
        <w:t>s</w:t>
      </w:r>
      <w:r>
        <w:t xml:space="preserve"> or activit</w:t>
      </w:r>
      <w:r w:rsidR="00423598">
        <w:t>ies</w:t>
      </w:r>
      <w:r>
        <w:t xml:space="preserve"> </w:t>
      </w:r>
      <w:r w:rsidR="00622AA9">
        <w:t>that</w:t>
      </w:r>
      <w:r>
        <w:t xml:space="preserve"> </w:t>
      </w:r>
      <w:r w:rsidR="00423598">
        <w:t>are</w:t>
      </w:r>
      <w:r>
        <w:t xml:space="preserve"> authorized</w:t>
      </w:r>
      <w:r w:rsidR="00423598">
        <w:t xml:space="preserve"> in advance by a settlement agreement to which the Department is a party. The purpose of the exemption is to facilitate voluntary </w:t>
      </w:r>
      <w:r w:rsidR="00423598">
        <w:t xml:space="preserve">settlements </w:t>
      </w:r>
      <w:r>
        <w:t>resulting from an investigation of an employee benefit plan conducted by the Department.</w:t>
      </w:r>
      <w:r w:rsidR="00364A9E">
        <w:t xml:space="preserve"> The </w:t>
      </w:r>
      <w:r w:rsidR="009056F0">
        <w:t xml:space="preserve">conditions for the PTE include the </w:t>
      </w:r>
      <w:r w:rsidR="00364A9E">
        <w:t>following information collections:</w:t>
      </w:r>
    </w:p>
    <w:p w:rsidR="00364A9E" w:rsidP="00462D00" w14:paraId="5D4EBA2E" w14:textId="77777777">
      <w:pPr>
        <w:pStyle w:val="BodyText"/>
        <w:widowControl/>
        <w:ind w:left="720"/>
      </w:pPr>
    </w:p>
    <w:p w:rsidR="00364A9E" w:rsidP="00646E11" w14:paraId="30496FB9" w14:textId="4B38500C">
      <w:pPr>
        <w:pStyle w:val="a"/>
        <w:widowControl/>
        <w:numPr>
          <w:ilvl w:val="0"/>
          <w:numId w:val="23"/>
        </w:numPr>
        <w:tabs>
          <w:tab w:val="left" w:pos="-1440"/>
        </w:tabs>
        <w:ind w:left="1260"/>
      </w:pPr>
      <w:r w:rsidRPr="00BA2AC9">
        <w:rPr>
          <w:u w:val="single"/>
        </w:rPr>
        <w:t>Written Notice</w:t>
      </w:r>
      <w:r>
        <w:t xml:space="preserve">. A party engaging in a </w:t>
      </w:r>
      <w:r w:rsidR="003B2F1E">
        <w:t xml:space="preserve">transaction or activity authorized by a </w:t>
      </w:r>
      <w:r>
        <w:t>settlement agreement arising out of a Department investigation must provide written notice to the affected participants and beneficiaries of the plan</w:t>
      </w:r>
      <w:r w:rsidR="00CA6446">
        <w:t xml:space="preserve"> at least 30 days prior to entry into the settlement agreement</w:t>
      </w:r>
      <w:r>
        <w:t>. The notice must contain an objective description of the transaction or activity, the approximate date on which the transaction will occur, the address of the regional or district office of the Department that negotiated the settlement agreement, and a statement informing participants and beneficiaries of their right to forward their comments to such office.</w:t>
      </w:r>
    </w:p>
    <w:p w:rsidR="00364A9E" w:rsidP="00646E11" w14:paraId="0C4FCD19" w14:textId="77777777">
      <w:pPr>
        <w:widowControl/>
        <w:ind w:left="1260"/>
      </w:pPr>
    </w:p>
    <w:p w:rsidR="00364A9E" w:rsidP="00646E11" w14:paraId="6C7BF718" w14:textId="3397E7A9">
      <w:pPr>
        <w:pStyle w:val="a"/>
        <w:widowControl/>
        <w:numPr>
          <w:ilvl w:val="0"/>
          <w:numId w:val="23"/>
        </w:numPr>
        <w:tabs>
          <w:tab w:val="left" w:pos="-1440"/>
        </w:tabs>
        <w:ind w:left="1260"/>
      </w:pPr>
      <w:r w:rsidRPr="006F7C95">
        <w:rPr>
          <w:u w:val="single"/>
        </w:rPr>
        <w:t>Pre-Approval</w:t>
      </w:r>
      <w:r>
        <w:t xml:space="preserve">. A copy of the notice and a description of the method </w:t>
      </w:r>
      <w:r w:rsidR="006F2027">
        <w:t>of distribution</w:t>
      </w:r>
      <w:r>
        <w:t xml:space="preserve"> must be approved in advance by the regional or district office of the Department </w:t>
      </w:r>
      <w:r w:rsidR="00676511">
        <w:t>which</w:t>
      </w:r>
      <w:r>
        <w:t xml:space="preserve"> negotiated the settlement.</w:t>
      </w:r>
    </w:p>
    <w:p w:rsidR="0064473B" w:rsidP="00462D00" w14:paraId="6AC34AB4" w14:textId="77777777">
      <w:pPr>
        <w:pStyle w:val="BodyText"/>
        <w:widowControl/>
        <w:ind w:left="720"/>
      </w:pPr>
    </w:p>
    <w:p w:rsidR="00180D54" w:rsidP="00462D00" w14:paraId="49ECE9B6" w14:textId="4FA2FB0A">
      <w:pPr>
        <w:pStyle w:val="BodyText"/>
        <w:widowControl/>
        <w:ind w:left="720"/>
      </w:pPr>
      <w:r>
        <w:rPr>
          <w:b/>
          <w:bCs/>
        </w:rPr>
        <w:t xml:space="preserve">PTE </w:t>
      </w:r>
      <w:r w:rsidR="00676511">
        <w:rPr>
          <w:b/>
          <w:bCs/>
        </w:rPr>
        <w:t>20</w:t>
      </w:r>
      <w:r>
        <w:rPr>
          <w:b/>
          <w:bCs/>
        </w:rPr>
        <w:t>03-39.</w:t>
      </w:r>
      <w:r w:rsidR="0064473B">
        <w:t xml:space="preserve"> </w:t>
      </w:r>
      <w:r>
        <w:t>Granted on December 31, 200</w:t>
      </w:r>
      <w:r w:rsidR="00EF1677">
        <w:t>3</w:t>
      </w:r>
      <w:r w:rsidR="00E30A21">
        <w:t>,</w:t>
      </w:r>
      <w:r>
        <w:t xml:space="preserve"> </w:t>
      </w:r>
      <w:r w:rsidR="00C5763F">
        <w:t xml:space="preserve">and amended on June 15, 2010, </w:t>
      </w:r>
      <w:r w:rsidR="00DA2677">
        <w:t>PTE</w:t>
      </w:r>
      <w:r w:rsidR="00EF1677">
        <w:t xml:space="preserve"> 20</w:t>
      </w:r>
      <w:r w:rsidR="00DA2677">
        <w:t xml:space="preserve">03-39 </w:t>
      </w:r>
      <w:r w:rsidR="006F2027">
        <w:t xml:space="preserve">provides exemptive relief for </w:t>
      </w:r>
      <w:r w:rsidR="00DA2677">
        <w:t xml:space="preserve">transactions </w:t>
      </w:r>
      <w:r w:rsidR="00BA2AC9">
        <w:t xml:space="preserve">arising out of the settlement of </w:t>
      </w:r>
      <w:r w:rsidR="004725BB">
        <w:t xml:space="preserve">actual or threatened </w:t>
      </w:r>
      <w:r w:rsidR="00BA2AC9">
        <w:t xml:space="preserve">litigation </w:t>
      </w:r>
      <w:r w:rsidR="00DA2677">
        <w:t>that involve</w:t>
      </w:r>
      <w:r w:rsidR="000E7EAE">
        <w:t>s</w:t>
      </w:r>
      <w:r w:rsidR="00417ADC">
        <w:t>:</w:t>
      </w:r>
    </w:p>
    <w:p w:rsidR="009056F0" w:rsidP="00462D00" w14:paraId="3A6F21EC" w14:textId="77777777">
      <w:pPr>
        <w:pStyle w:val="BodyText"/>
        <w:widowControl/>
        <w:ind w:left="720"/>
      </w:pPr>
    </w:p>
    <w:p w:rsidR="009056F0" w:rsidP="009056F0" w14:paraId="0EA2F550" w14:textId="1599AF99">
      <w:pPr>
        <w:pStyle w:val="BodyText"/>
        <w:widowControl/>
        <w:numPr>
          <w:ilvl w:val="0"/>
          <w:numId w:val="21"/>
        </w:numPr>
        <w:ind w:left="1260"/>
      </w:pPr>
      <w:r>
        <w:t xml:space="preserve">the </w:t>
      </w:r>
      <w:r w:rsidR="0064473B">
        <w:t>releas</w:t>
      </w:r>
      <w:r>
        <w:t xml:space="preserve">e </w:t>
      </w:r>
      <w:r w:rsidR="00417ADC">
        <w:t xml:space="preserve">by the plan or a plan fiduciary </w:t>
      </w:r>
      <w:r>
        <w:t>of</w:t>
      </w:r>
      <w:r w:rsidR="0064473B">
        <w:t xml:space="preserve"> </w:t>
      </w:r>
      <w:r w:rsidR="00417ADC">
        <w:t>legal</w:t>
      </w:r>
      <w:r w:rsidR="000E7EAE">
        <w:t xml:space="preserve"> or equitable</w:t>
      </w:r>
      <w:r w:rsidR="00417ADC">
        <w:t xml:space="preserve"> </w:t>
      </w:r>
      <w:r w:rsidR="0064473B">
        <w:t xml:space="preserve">claims against parties in interest in exchange for </w:t>
      </w:r>
      <w:r w:rsidR="00854BCB">
        <w:t>consideration</w:t>
      </w:r>
      <w:r w:rsidR="006A6BA1">
        <w:t>,</w:t>
      </w:r>
      <w:r w:rsidR="00854BCB">
        <w:t xml:space="preserve"> </w:t>
      </w:r>
      <w:r w:rsidR="00417ADC">
        <w:t xml:space="preserve">given </w:t>
      </w:r>
      <w:r w:rsidR="0064473B">
        <w:t>by</w:t>
      </w:r>
      <w:r w:rsidR="006A6BA1">
        <w:t>,</w:t>
      </w:r>
      <w:r w:rsidR="0064473B">
        <w:t xml:space="preserve"> or on behalf of</w:t>
      </w:r>
      <w:r w:rsidR="006A6BA1">
        <w:t>,</w:t>
      </w:r>
      <w:r w:rsidR="0064473B">
        <w:t xml:space="preserve"> </w:t>
      </w:r>
      <w:r w:rsidR="006A6BA1">
        <w:t xml:space="preserve">a </w:t>
      </w:r>
      <w:r w:rsidR="0064473B">
        <w:t>party in interest</w:t>
      </w:r>
      <w:r w:rsidR="00417ADC">
        <w:t xml:space="preserve"> to the plan</w:t>
      </w:r>
      <w:r w:rsidRPr="006A6BA1" w:rsidR="006A6BA1">
        <w:t xml:space="preserve"> in partial or complete settlement of the plan’s or the fiduciary’s claim</w:t>
      </w:r>
      <w:r w:rsidR="00417ADC">
        <w:t xml:space="preserve">; </w:t>
      </w:r>
    </w:p>
    <w:p w:rsidR="009056F0" w:rsidP="00134866" w14:paraId="6888EA4F" w14:textId="77777777">
      <w:pPr>
        <w:pStyle w:val="BodyText"/>
        <w:widowControl/>
      </w:pPr>
    </w:p>
    <w:p w:rsidR="00180D54" w:rsidP="009056F0" w14:paraId="66D26C89" w14:textId="30693459">
      <w:pPr>
        <w:pStyle w:val="BodyText"/>
        <w:widowControl/>
        <w:numPr>
          <w:ilvl w:val="0"/>
          <w:numId w:val="21"/>
        </w:numPr>
        <w:ind w:left="1260"/>
      </w:pPr>
      <w:r>
        <w:t xml:space="preserve">an </w:t>
      </w:r>
      <w:r w:rsidR="00417ADC">
        <w:t>extension of credit by a plan to a party interest in connection with a settlement</w:t>
      </w:r>
      <w:r w:rsidRPr="00883619" w:rsidR="00883619">
        <w:t xml:space="preserve"> whereby the party in interest agrees to repay, over time, an amount owed to the plan in settlement of a legal or equitable claim by the plan or a plan fiduciary against the party in interest</w:t>
      </w:r>
      <w:r w:rsidR="00417ADC">
        <w:t xml:space="preserve">; and </w:t>
      </w:r>
    </w:p>
    <w:p w:rsidR="009056F0" w:rsidP="00646E11" w14:paraId="76A49134" w14:textId="77777777">
      <w:pPr>
        <w:pStyle w:val="BodyText"/>
        <w:widowControl/>
        <w:ind w:left="1260"/>
      </w:pPr>
    </w:p>
    <w:p w:rsidR="00180D54" w:rsidP="00646E11" w14:paraId="43C2ECA5" w14:textId="3CFD0AC3">
      <w:pPr>
        <w:pStyle w:val="BodyText"/>
        <w:widowControl/>
        <w:numPr>
          <w:ilvl w:val="0"/>
          <w:numId w:val="21"/>
        </w:numPr>
        <w:ind w:left="1260"/>
      </w:pPr>
      <w:r>
        <w:t>the plan’s acquisition, holding, and disposition of employer securities received in settlement of litigation</w:t>
      </w:r>
      <w:r w:rsidR="00883619">
        <w:t xml:space="preserve">, </w:t>
      </w:r>
      <w:r w:rsidRPr="00883619" w:rsidR="00883619">
        <w:t>including bankruptcy. Disposition of employer securities that are stock rights or warrants includes sale of these securities, as well as the exercise of the rights or warrants</w:t>
      </w:r>
      <w:r>
        <w:t xml:space="preserve">. </w:t>
      </w:r>
    </w:p>
    <w:p w:rsidR="00180D54" w:rsidP="00180D54" w14:paraId="618E6555" w14:textId="77777777">
      <w:pPr>
        <w:pStyle w:val="BodyText"/>
        <w:widowControl/>
        <w:ind w:left="720"/>
      </w:pPr>
    </w:p>
    <w:p w:rsidR="0064473B" w:rsidP="00180D54" w14:paraId="6115C650" w14:textId="3C480C01">
      <w:pPr>
        <w:pStyle w:val="BodyText"/>
        <w:widowControl/>
        <w:ind w:left="720"/>
      </w:pPr>
      <w:r>
        <w:t>The relief is granted</w:t>
      </w:r>
      <w:r w:rsidR="00180D54">
        <w:t>,</w:t>
      </w:r>
      <w:r w:rsidR="00F40D23">
        <w:t xml:space="preserve"> provided certain conditions are met</w:t>
      </w:r>
      <w:r w:rsidR="00364A9E">
        <w:t>, includ</w:t>
      </w:r>
      <w:r w:rsidR="00180D54">
        <w:t>ing</w:t>
      </w:r>
      <w:r w:rsidR="00364A9E">
        <w:t xml:space="preserve"> the following information collections:</w:t>
      </w:r>
    </w:p>
    <w:p w:rsidR="00EA0B65" w:rsidP="00462D00" w14:paraId="1B65CC9F" w14:textId="77777777">
      <w:pPr>
        <w:widowControl/>
        <w:ind w:left="1440"/>
      </w:pPr>
      <w:r>
        <w:tab/>
      </w:r>
    </w:p>
    <w:p w:rsidR="00EA0B65" w:rsidP="00646E11" w14:paraId="2B67B645" w14:textId="2E16B482">
      <w:pPr>
        <w:pStyle w:val="a"/>
        <w:widowControl/>
        <w:numPr>
          <w:ilvl w:val="0"/>
          <w:numId w:val="24"/>
        </w:numPr>
        <w:tabs>
          <w:tab w:val="left" w:pos="-1440"/>
          <w:tab w:val="clear" w:pos="360"/>
        </w:tabs>
        <w:ind w:left="1260"/>
      </w:pPr>
      <w:r w:rsidRPr="00E45ED2">
        <w:rPr>
          <w:u w:val="single"/>
        </w:rPr>
        <w:t>Written Agreement</w:t>
      </w:r>
      <w:r>
        <w:t>. The terms of the settlement must be specifically described in a written agreement or consent decree</w:t>
      </w:r>
      <w:r w:rsidR="00585068">
        <w:t>.</w:t>
      </w:r>
    </w:p>
    <w:p w:rsidR="00180D54" w:rsidP="00646E11" w14:paraId="38B312E3" w14:textId="77777777">
      <w:pPr>
        <w:pStyle w:val="a"/>
        <w:widowControl/>
        <w:tabs>
          <w:tab w:val="left" w:pos="-1440"/>
        </w:tabs>
        <w:ind w:left="720" w:firstLine="0"/>
      </w:pPr>
    </w:p>
    <w:p w:rsidR="00EA0B65" w:rsidP="00646E11" w14:paraId="44C84BFC" w14:textId="653C8094">
      <w:pPr>
        <w:pStyle w:val="a"/>
        <w:widowControl/>
        <w:numPr>
          <w:ilvl w:val="0"/>
          <w:numId w:val="24"/>
        </w:numPr>
        <w:tabs>
          <w:tab w:val="left" w:pos="-1440"/>
          <w:tab w:val="clear" w:pos="360"/>
        </w:tabs>
        <w:ind w:left="1260"/>
      </w:pPr>
      <w:r w:rsidRPr="006F7C95">
        <w:rPr>
          <w:u w:val="single"/>
        </w:rPr>
        <w:t>Acknowledgement by Fiduciary</w:t>
      </w:r>
      <w:r>
        <w:t>. The</w:t>
      </w:r>
      <w:r w:rsidR="00F03E3D">
        <w:t xml:space="preserve"> authorizing</w:t>
      </w:r>
      <w:r>
        <w:t xml:space="preserve"> fiduciary acting on behalf of the plan must acknowledge in writing that </w:t>
      </w:r>
      <w:r w:rsidR="00B9069C">
        <w:t>it is</w:t>
      </w:r>
      <w:r>
        <w:t xml:space="preserve"> a fiduciary with respect to the settlement of the litigation</w:t>
      </w:r>
      <w:r w:rsidRPr="00A956B0" w:rsidR="00A956B0">
        <w:t xml:space="preserve"> </w:t>
      </w:r>
      <w:r w:rsidR="00A956B0">
        <w:t>on behalf of the plan</w:t>
      </w:r>
      <w:r>
        <w:t>.</w:t>
      </w:r>
    </w:p>
    <w:p w:rsidR="00180D54" w:rsidP="00646E11" w14:paraId="7DC91979" w14:textId="77777777">
      <w:pPr>
        <w:pStyle w:val="ListParagraph"/>
      </w:pPr>
    </w:p>
    <w:p w:rsidR="007D3EAF" w:rsidP="42C55F20" w14:paraId="411A540C" w14:textId="7CD3C481">
      <w:pPr>
        <w:pStyle w:val="a"/>
        <w:widowControl/>
        <w:numPr>
          <w:ilvl w:val="0"/>
          <w:numId w:val="24"/>
        </w:numPr>
        <w:tabs>
          <w:tab w:val="clear" w:pos="360"/>
        </w:tabs>
        <w:ind w:left="1260"/>
      </w:pPr>
      <w:r w:rsidRPr="00646E11">
        <w:rPr>
          <w:u w:val="single"/>
        </w:rPr>
        <w:t>Recordkeeping Requirement</w:t>
      </w:r>
      <w:r>
        <w:t xml:space="preserve">. The plan fiduciary must maintain records of the transaction for six years and must disclose the </w:t>
      </w:r>
      <w:r w:rsidRPr="007D3EAF">
        <w:t>records on request to the Department and other interested persons.</w:t>
      </w:r>
    </w:p>
    <w:p w:rsidR="004A51AE" w:rsidP="00462D00" w14:paraId="53B9A74B" w14:textId="77777777">
      <w:pPr>
        <w:pStyle w:val="Quick1"/>
        <w:widowControl/>
        <w:numPr>
          <w:ilvl w:val="0"/>
          <w:numId w:val="0"/>
        </w:numPr>
        <w:rPr>
          <w:i w:val="0"/>
          <w:sz w:val="24"/>
          <w:szCs w:val="24"/>
        </w:rPr>
      </w:pPr>
    </w:p>
    <w:p w:rsidR="0064473B" w:rsidRPr="00462D00" w:rsidP="00475430" w14:paraId="1453CE3A" w14:textId="7A82EE90">
      <w:pPr>
        <w:pStyle w:val="Heading2"/>
        <w:rPr>
          <w:i/>
        </w:rPr>
      </w:pPr>
      <w:r w:rsidRPr="00462D00">
        <w:t>Indicate how, by whom, and for what purpose the information is to be used. Except for a new collection, indicate the actual use the agency has made of the information received from the current collection.</w:t>
      </w:r>
    </w:p>
    <w:p w:rsidR="0064473B" w:rsidP="00021D03" w14:paraId="6E1B42B6" w14:textId="77777777">
      <w:pPr>
        <w:pStyle w:val="Quick1"/>
        <w:widowControl/>
        <w:numPr>
          <w:ilvl w:val="0"/>
          <w:numId w:val="0"/>
        </w:numPr>
        <w:rPr>
          <w:i w:val="0"/>
          <w:iCs/>
        </w:rPr>
      </w:pPr>
    </w:p>
    <w:p w:rsidR="00B402A5" w:rsidP="0032142C" w14:paraId="26DB3070" w14:textId="190ACDB7">
      <w:pPr>
        <w:pStyle w:val="BodyText"/>
        <w:widowControl/>
        <w:ind w:left="720"/>
      </w:pPr>
      <w:r>
        <w:t xml:space="preserve">The information collections are intended to protect </w:t>
      </w:r>
      <w:r w:rsidR="00180D54">
        <w:t xml:space="preserve">the </w:t>
      </w:r>
      <w:r>
        <w:t xml:space="preserve">participants and beneficiaries </w:t>
      </w:r>
      <w:r w:rsidR="00180D54">
        <w:t>in</w:t>
      </w:r>
      <w:r>
        <w:t xml:space="preserve"> plans that engage in settlement agreements.</w:t>
      </w:r>
      <w:r w:rsidR="005933A8">
        <w:t xml:space="preserve"> </w:t>
      </w:r>
      <w:r w:rsidR="00EF28A1">
        <w:t>The information collections of PTE</w:t>
      </w:r>
      <w:r w:rsidR="008F018E">
        <w:t>s 94-71 and</w:t>
      </w:r>
      <w:r w:rsidR="00EF28A1">
        <w:t xml:space="preserve"> 2003-39 allow the </w:t>
      </w:r>
      <w:r w:rsidR="0064473B">
        <w:t xml:space="preserve">Department to </w:t>
      </w:r>
      <w:r w:rsidR="00180D54">
        <w:t xml:space="preserve">effectively </w:t>
      </w:r>
      <w:r w:rsidR="0064473B">
        <w:t>enforce the terms of the exemption</w:t>
      </w:r>
      <w:r w:rsidR="003A214D">
        <w:t xml:space="preserve">, </w:t>
      </w:r>
      <w:r w:rsidR="0064473B">
        <w:t xml:space="preserve">ensure </w:t>
      </w:r>
      <w:r w:rsidR="00BA2AC9">
        <w:t xml:space="preserve">transactional </w:t>
      </w:r>
      <w:r w:rsidR="0064473B">
        <w:t>compliance</w:t>
      </w:r>
      <w:r w:rsidR="003A214D">
        <w:t>, and</w:t>
      </w:r>
      <w:r w:rsidR="0064473B">
        <w:t xml:space="preserve"> </w:t>
      </w:r>
      <w:r w:rsidR="00EA0B65">
        <w:t>provide participants and beneficiaries with important information about transactions affecting their plan.</w:t>
      </w:r>
    </w:p>
    <w:p w:rsidR="00F626F0" w:rsidP="00021D03" w14:paraId="7B57C64E" w14:textId="77777777">
      <w:pPr>
        <w:pStyle w:val="BodyText"/>
        <w:widowControl/>
      </w:pPr>
    </w:p>
    <w:p w:rsidR="0064473B" w:rsidRPr="00462D00" w:rsidP="00475430" w14:paraId="715F8C1A" w14:textId="1DBE7263">
      <w:pPr>
        <w:pStyle w:val="Heading2"/>
        <w:rPr>
          <w:i/>
        </w:rPr>
      </w:pPr>
      <w:r w:rsidRPr="00462D00">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64473B" w:rsidP="00021D03" w14:paraId="798EC5B1" w14:textId="77777777">
      <w:pPr>
        <w:widowControl/>
        <w:rPr>
          <w:i/>
        </w:rPr>
      </w:pPr>
    </w:p>
    <w:p w:rsidR="00901265" w:rsidRPr="00004940" w:rsidP="00901265" w14:paraId="1A3300CD" w14:textId="164094F8">
      <w:pPr>
        <w:contextualSpacing/>
      </w:pPr>
      <w:bookmarkStart w:id="1" w:name="_Hlk188514087"/>
      <w:r>
        <w:t>Regulations at</w:t>
      </w:r>
      <w:r w:rsidR="00EB6733">
        <w:t xml:space="preserve"> 29 C.F.R. </w:t>
      </w:r>
      <w:r w:rsidRPr="00004940">
        <w:t xml:space="preserve"> </w:t>
      </w:r>
      <w:r w:rsidRPr="00134866" w:rsidR="00EB6733">
        <w:t>§</w:t>
      </w:r>
      <w:r w:rsidR="00EB6733">
        <w:t xml:space="preserve"> </w:t>
      </w:r>
      <w:r w:rsidRPr="00004940">
        <w:t xml:space="preserve">2520-107-1 </w:t>
      </w:r>
      <w:r w:rsidRPr="00004940" w:rsidR="00C036BE">
        <w:t>establish</w:t>
      </w:r>
      <w:r w:rsidR="00C036BE">
        <w:t>ed</w:t>
      </w:r>
      <w:r w:rsidRPr="00004940" w:rsidR="00C036BE">
        <w:t xml:space="preserve"> </w:t>
      </w:r>
      <w:r w:rsidRPr="00004940">
        <w:t xml:space="preserve">standards concerning the use of electronic media for maintenance and retention of records. </w:t>
      </w:r>
    </w:p>
    <w:p w:rsidR="00901265" w:rsidP="00462D00" w14:paraId="796483F3" w14:textId="77777777">
      <w:pPr>
        <w:pStyle w:val="BodyText"/>
        <w:widowControl/>
        <w:ind w:left="720"/>
      </w:pPr>
    </w:p>
    <w:p w:rsidR="00134866" w:rsidP="00462D00" w14:paraId="5C396AE6" w14:textId="31B9FA43">
      <w:pPr>
        <w:pStyle w:val="BodyText"/>
        <w:widowControl/>
        <w:ind w:left="720"/>
      </w:pPr>
      <w:r w:rsidRPr="00134866">
        <w:t xml:space="preserve">ERISA and </w:t>
      </w:r>
      <w:r w:rsidR="00F409BC">
        <w:t xml:space="preserve">the </w:t>
      </w:r>
      <w:r w:rsidRPr="00134866">
        <w:t>regulations thereunder provide general standards for the delivery of all information employee benefit plan</w:t>
      </w:r>
      <w:r w:rsidR="00822809">
        <w:t>s</w:t>
      </w:r>
      <w:r w:rsidRPr="00134866">
        <w:t xml:space="preserve"> must furnish to participants, beneficiaries, and other individuals under Title I of ERISA (29 C.F.R. § 2520.104b-1(b)). Plan administrators must use delivery methods reasonably calculated to ensure actual receipt of information by participants, beneficiaries, and other individuals (29 C.F.R. § 2520.104b-1(b)(1)). For example, in-hand delivery to an employee at his or her workplace is acceptable, as is material sent by first class mail. The Department amended ERISA’s delivery standards in 2002 by establishing a safe harbor for the use of electronic media to furnish disclosures (the 2002 safe harbor; 29 C.F.R. § 2520.104b-1(c)). The 2002 safe harbor was not and is </w:t>
      </w:r>
      <w:r w:rsidRPr="00134866">
        <w:t>not the exclusive means by which a plan administrator may use electronic media to satisfy the general standard. However, plan administrators who satisfy the conditions of the safe harbor are assured that the general delivery requirements have been satisfied.</w:t>
      </w:r>
    </w:p>
    <w:p w:rsidR="00134866" w:rsidP="00462D00" w14:paraId="508947AA" w14:textId="77777777">
      <w:pPr>
        <w:pStyle w:val="BodyText"/>
        <w:widowControl/>
        <w:ind w:left="720"/>
      </w:pPr>
    </w:p>
    <w:p w:rsidR="00134866" w:rsidP="00462D00" w14:paraId="20138AEB" w14:textId="25EAB1C6">
      <w:pPr>
        <w:pStyle w:val="BodyText"/>
        <w:widowControl/>
        <w:ind w:left="720"/>
      </w:pPr>
      <w:r w:rsidRPr="00134866">
        <w:t>In 2020, the Department issued a final regulation providing an additional safe harbor for plan administrators to use electronic media, as a default, to furnish disclosures to participants and beneficiaries of pension benefit plans subject to ERISA (29 C.F.R. § 2520.104b-31). The 2020 safe harbor allows plan administrators who satisfy specified conditions to provide participants and beneficiaries with a notice that certain disclosures will be made available on a website, or to furnish disclosures via email. Individuals who prefer to receive disclosures on paper can request paper copies of disclosures and opt out of electronic delivery entirely. The 2020 safe harbor does not supersede the 2002 safe harbor; the 2002 safe harbor remains in place as another option for plan administrators.</w:t>
      </w:r>
    </w:p>
    <w:p w:rsidR="00134866" w:rsidP="00462D00" w14:paraId="7CEC3065" w14:textId="77777777">
      <w:pPr>
        <w:pStyle w:val="BodyText"/>
        <w:widowControl/>
        <w:ind w:left="720"/>
      </w:pPr>
    </w:p>
    <w:p w:rsidR="00901265" w:rsidP="00901265" w14:paraId="366D8DF4" w14:textId="78F7E84B">
      <w:pPr>
        <w:contextualSpacing/>
      </w:pPr>
      <w:r>
        <w:t>The Department</w:t>
      </w:r>
      <w:r>
        <w:t xml:space="preserve"> assumes that 96.1 percent of required disclosures will be sent electronically,</w:t>
      </w:r>
      <w:r>
        <w:rPr>
          <w:rStyle w:val="FootnoteReference"/>
          <w:vertAlign w:val="superscript"/>
        </w:rPr>
        <w:footnoteReference w:id="4"/>
      </w:r>
      <w:r w:rsidRPr="00104D1F">
        <w:t xml:space="preserve"> </w:t>
      </w:r>
      <w:r>
        <w:t>which the Department assumes will</w:t>
      </w:r>
      <w:r w:rsidRPr="00D3037D">
        <w:t xml:space="preserve"> be distributed </w:t>
      </w:r>
      <w:r>
        <w:t>through</w:t>
      </w:r>
      <w:r w:rsidRPr="00D3037D">
        <w:t xml:space="preserve"> means already used by respondents in the normal co</w:t>
      </w:r>
      <w:r>
        <w:t>urse of business.</w:t>
      </w:r>
      <w:r w:rsidR="00085B71">
        <w:t xml:space="preserve"> </w:t>
      </w:r>
      <w:r>
        <w:t>T</w:t>
      </w:r>
      <w:r w:rsidRPr="00D3037D">
        <w:t>h</w:t>
      </w:r>
      <w:r>
        <w:t>us, th</w:t>
      </w:r>
      <w:r w:rsidRPr="00D3037D">
        <w:t xml:space="preserve">e </w:t>
      </w:r>
      <w:r>
        <w:t xml:space="preserve">Department assumes that the </w:t>
      </w:r>
      <w:r w:rsidRPr="00D3037D">
        <w:t xml:space="preserve">costs arising from electronic </w:t>
      </w:r>
      <w:r>
        <w:t>distribution will be negligible.</w:t>
      </w:r>
      <w:r w:rsidR="00623444">
        <w:t xml:space="preserve"> </w:t>
      </w:r>
    </w:p>
    <w:bookmarkEnd w:id="1"/>
    <w:p w:rsidR="0064473B" w:rsidRPr="00E91B7A" w:rsidP="00646E11" w14:paraId="27995C41" w14:textId="77777777">
      <w:pPr>
        <w:widowControl/>
        <w:ind w:left="0"/>
        <w:rPr>
          <w:b/>
        </w:rPr>
      </w:pPr>
    </w:p>
    <w:p w:rsidR="0064473B" w:rsidRPr="00E91B7A" w:rsidP="00475430" w14:paraId="4174E8A1" w14:textId="19C60EA6">
      <w:pPr>
        <w:pStyle w:val="Heading2"/>
        <w:rPr>
          <w:i/>
        </w:rPr>
      </w:pPr>
      <w:r w:rsidRPr="00E91B7A">
        <w:t>Describe efforts to identify duplication. Show specifically why any similar information already available cannot be used or modified for use for the purposes described in Item 2 above.</w:t>
      </w:r>
    </w:p>
    <w:p w:rsidR="0064473B" w:rsidP="00021D03" w14:paraId="3D0D391D" w14:textId="77777777">
      <w:pPr>
        <w:pStyle w:val="Quick1"/>
        <w:widowControl/>
        <w:numPr>
          <w:ilvl w:val="0"/>
          <w:numId w:val="0"/>
        </w:numPr>
        <w:rPr>
          <w:i w:val="0"/>
        </w:rPr>
      </w:pPr>
    </w:p>
    <w:p w:rsidR="0064473B" w:rsidP="00E91B7A" w14:paraId="3F54D218" w14:textId="41573484">
      <w:pPr>
        <w:pStyle w:val="BodyText"/>
        <w:widowControl/>
        <w:ind w:left="720"/>
      </w:pPr>
      <w:r>
        <w:t xml:space="preserve">The information is not available elsewhere. </w:t>
      </w:r>
      <w:r w:rsidR="00EA73F9">
        <w:t xml:space="preserve">If the </w:t>
      </w:r>
      <w:r>
        <w:t xml:space="preserve">required </w:t>
      </w:r>
      <w:r w:rsidR="002E5850">
        <w:t xml:space="preserve">information collections </w:t>
      </w:r>
      <w:r w:rsidR="00EA73F9">
        <w:t>are created</w:t>
      </w:r>
      <w:r>
        <w:t xml:space="preserve"> for other purposes, they may be used to satisfy the requirements of these class exemptions.</w:t>
      </w:r>
      <w:r w:rsidR="00623444">
        <w:t xml:space="preserve">  </w:t>
      </w:r>
      <w:r>
        <w:t xml:space="preserve"> </w:t>
      </w:r>
    </w:p>
    <w:p w:rsidR="0064473B" w:rsidP="00021D03" w14:paraId="340CC447" w14:textId="77777777">
      <w:pPr>
        <w:widowControl/>
      </w:pPr>
    </w:p>
    <w:p w:rsidR="0064473B" w:rsidRPr="00462D00" w:rsidP="00475430" w14:paraId="68D29E4C" w14:textId="77777777">
      <w:pPr>
        <w:pStyle w:val="Heading2"/>
        <w:rPr>
          <w:i/>
        </w:rPr>
      </w:pPr>
      <w:r w:rsidRPr="00462D00">
        <w:t>If the collection of information impacts small businesses or other small entities</w:t>
      </w:r>
      <w:r w:rsidRPr="00462D00" w:rsidR="00510A83">
        <w:t xml:space="preserve"> </w:t>
      </w:r>
      <w:r w:rsidRPr="00462D00">
        <w:t>describe any methods used to minimize burden.</w:t>
      </w:r>
    </w:p>
    <w:p w:rsidR="0064473B" w:rsidP="00021D03" w14:paraId="730FC6E3" w14:textId="77777777">
      <w:pPr>
        <w:pStyle w:val="Quick1"/>
        <w:widowControl/>
        <w:numPr>
          <w:ilvl w:val="0"/>
          <w:numId w:val="0"/>
        </w:numPr>
        <w:rPr>
          <w:i w:val="0"/>
        </w:rPr>
      </w:pPr>
    </w:p>
    <w:p w:rsidR="0064473B" w:rsidP="00462D00" w14:paraId="3F4DE747" w14:textId="70E86526">
      <w:pPr>
        <w:pStyle w:val="BodyText"/>
        <w:widowControl/>
        <w:ind w:left="720"/>
      </w:pPr>
      <w:r>
        <w:t>Neither class exemption will have a significant economic impact on a substantial number of small entities</w:t>
      </w:r>
      <w:r w:rsidR="00EA73F9">
        <w:t xml:space="preserve">. </w:t>
      </w:r>
      <w:r>
        <w:t>Participants and beneficiaries of small plans are entitled to receive information involving transactions based on a settlement agreement with the Department</w:t>
      </w:r>
      <w:r w:rsidR="00EA73F9">
        <w:t xml:space="preserve"> under PTE 94-71</w:t>
      </w:r>
      <w:r w:rsidR="00E87463">
        <w:t xml:space="preserve">. Additionally, </w:t>
      </w:r>
      <w:r w:rsidR="00EA73F9">
        <w:t xml:space="preserve">PTE </w:t>
      </w:r>
      <w:r w:rsidR="00EF1677">
        <w:t>20</w:t>
      </w:r>
      <w:r w:rsidR="00EA73F9">
        <w:t xml:space="preserve">03-39 requires written evidence of settlement </w:t>
      </w:r>
      <w:r w:rsidR="00EA73F9">
        <w:t>transactions and fiduciary status</w:t>
      </w:r>
      <w:r>
        <w:t>. The information to be provided is readily available to plan</w:t>
      </w:r>
      <w:r w:rsidR="00E87463">
        <w:t>s</w:t>
      </w:r>
      <w:r>
        <w:t xml:space="preserve"> in </w:t>
      </w:r>
      <w:r w:rsidR="00E87463">
        <w:t xml:space="preserve">the </w:t>
      </w:r>
      <w:r>
        <w:t>documents provided by the parties during settlement agreement negotiations.</w:t>
      </w:r>
    </w:p>
    <w:p w:rsidR="0064473B" w:rsidP="00021D03" w14:paraId="2AAE6F87" w14:textId="77777777">
      <w:pPr>
        <w:pStyle w:val="BodyTextIndent"/>
        <w:widowControl/>
      </w:pPr>
    </w:p>
    <w:p w:rsidR="0064473B" w:rsidRPr="00462D00" w:rsidP="00475430" w14:paraId="00F954A1" w14:textId="77777777">
      <w:pPr>
        <w:pStyle w:val="Heading2"/>
        <w:rPr>
          <w:i/>
        </w:rPr>
      </w:pPr>
      <w:r w:rsidRPr="00462D00">
        <w:t>Describe the consequence to Federal program or policy activities if the collection is not conducted or is conducted less frequently, as well as any technical or legal obstacles to reducing burden.</w:t>
      </w:r>
    </w:p>
    <w:p w:rsidR="0064473B" w:rsidP="00021D03" w14:paraId="78305C02" w14:textId="77777777">
      <w:pPr>
        <w:widowControl/>
      </w:pPr>
    </w:p>
    <w:p w:rsidR="0064473B" w:rsidP="00E91B7A" w14:paraId="7246A96B" w14:textId="1E7D55BF">
      <w:pPr>
        <w:pStyle w:val="BodyText"/>
        <w:widowControl/>
        <w:ind w:left="720"/>
      </w:pPr>
      <w:r>
        <w:rPr>
          <w:b/>
          <w:bCs/>
        </w:rPr>
        <w:t xml:space="preserve">PTE 94-71. </w:t>
      </w:r>
      <w:r w:rsidRPr="00D9583A" w:rsidR="00E45ED2">
        <w:rPr>
          <w:bCs/>
        </w:rPr>
        <w:t xml:space="preserve">If PTE 94-71 did not contain </w:t>
      </w:r>
      <w:r w:rsidRPr="00D9583A">
        <w:t>notification requirements</w:t>
      </w:r>
      <w:r w:rsidRPr="00D9583A" w:rsidR="00E45ED2">
        <w:t>, affected</w:t>
      </w:r>
      <w:r w:rsidRPr="00E45ED2" w:rsidR="00E45ED2">
        <w:t xml:space="preserve"> participants and beneficiaries of the plan</w:t>
      </w:r>
      <w:r w:rsidR="00E45ED2">
        <w:t xml:space="preserve"> may not </w:t>
      </w:r>
      <w:r w:rsidR="00F476CE">
        <w:t>be aware of</w:t>
      </w:r>
      <w:r w:rsidR="00E45ED2">
        <w:t xml:space="preserve"> important information regarding the settlement agreement</w:t>
      </w:r>
      <w:r w:rsidR="00F476CE">
        <w:t>,</w:t>
      </w:r>
      <w:r w:rsidR="00E45ED2">
        <w:t xml:space="preserve"> such as </w:t>
      </w:r>
      <w:r w:rsidRPr="00E45ED2" w:rsidR="00E45ED2">
        <w:t>an objective description of the transaction or activity, the approximate date on which the transaction will occur, the address of the regional or district office of the Department that negotiated the settlement agreement, and</w:t>
      </w:r>
      <w:r w:rsidR="00E45ED2">
        <w:t xml:space="preserve"> their right to </w:t>
      </w:r>
      <w:r w:rsidRPr="00E45ED2" w:rsidR="00E45ED2">
        <w:t>forward their comments to such office.</w:t>
      </w:r>
      <w:r>
        <w:t xml:space="preserve"> </w:t>
      </w:r>
    </w:p>
    <w:p w:rsidR="0064473B" w:rsidP="00E91B7A" w14:paraId="1BDE5A72" w14:textId="77777777">
      <w:pPr>
        <w:widowControl/>
        <w:ind w:left="1440"/>
      </w:pPr>
    </w:p>
    <w:p w:rsidR="00D9583A" w:rsidP="00E91B7A" w14:paraId="3C408288" w14:textId="7B3DBBAF">
      <w:pPr>
        <w:pStyle w:val="BodyText"/>
        <w:widowControl/>
        <w:ind w:left="720"/>
      </w:pPr>
      <w:r>
        <w:rPr>
          <w:b/>
          <w:bCs/>
        </w:rPr>
        <w:t xml:space="preserve">PTE </w:t>
      </w:r>
      <w:r w:rsidR="00EF1677">
        <w:rPr>
          <w:b/>
          <w:bCs/>
        </w:rPr>
        <w:t>20</w:t>
      </w:r>
      <w:r>
        <w:rPr>
          <w:b/>
          <w:bCs/>
        </w:rPr>
        <w:t>03-39</w:t>
      </w:r>
      <w:r w:rsidR="0064473B">
        <w:rPr>
          <w:b/>
          <w:bCs/>
        </w:rPr>
        <w:t xml:space="preserve">. </w:t>
      </w:r>
      <w:r w:rsidRPr="00D9583A" w:rsidR="00E45ED2">
        <w:rPr>
          <w:bCs/>
        </w:rPr>
        <w:t>The written agreement and recordkeeping requirements in</w:t>
      </w:r>
      <w:r w:rsidR="00E45ED2">
        <w:rPr>
          <w:b/>
          <w:bCs/>
        </w:rPr>
        <w:t xml:space="preserve"> </w:t>
      </w:r>
      <w:r>
        <w:t xml:space="preserve">PTE </w:t>
      </w:r>
      <w:r w:rsidR="00EF1677">
        <w:t>20</w:t>
      </w:r>
      <w:r>
        <w:t>03-39</w:t>
      </w:r>
      <w:r w:rsidR="00E45ED2">
        <w:t xml:space="preserve"> will ensure that all settlements are memorialized in a written agreement</w:t>
      </w:r>
      <w:r w:rsidR="0064473B">
        <w:t xml:space="preserve"> </w:t>
      </w:r>
      <w:r w:rsidR="006F7C95">
        <w:t>that describe</w:t>
      </w:r>
      <w:r w:rsidR="002170FB">
        <w:t>s</w:t>
      </w:r>
      <w:r w:rsidR="006F7C95">
        <w:t xml:space="preserve"> the transactions</w:t>
      </w:r>
      <w:r w:rsidR="00E45ED2">
        <w:t xml:space="preserve"> and that </w:t>
      </w:r>
      <w:r w:rsidR="00740AE1">
        <w:t>records necessary to enable certain persons (the Department, participants and beneficiaries) to determine whether the conditions of the exemption had been met</w:t>
      </w:r>
      <w:r w:rsidR="006F7C95">
        <w:t xml:space="preserve"> are maintained</w:t>
      </w:r>
      <w:r w:rsidR="00740AE1">
        <w:t xml:space="preserve"> and made available for inspection.</w:t>
      </w:r>
    </w:p>
    <w:p w:rsidR="002C69EF" w:rsidP="00021D03" w14:paraId="11DC8150" w14:textId="77777777">
      <w:pPr>
        <w:pStyle w:val="BodyText"/>
        <w:widowControl/>
      </w:pPr>
    </w:p>
    <w:p w:rsidR="0064473B" w:rsidRPr="00E91B7A" w:rsidP="00475430" w14:paraId="2DC5B6BD" w14:textId="6E23ED90">
      <w:pPr>
        <w:pStyle w:val="Heading2"/>
      </w:pPr>
      <w:r w:rsidRPr="00462D00">
        <w:t>Explain any special circumstances that would cause an information collection to be conducted in a manner:</w:t>
      </w:r>
    </w:p>
    <w:p w:rsidR="0064473B" w:rsidRPr="00E91B7A" w:rsidP="00462D00" w14:paraId="15002E7B" w14:textId="77777777">
      <w:pPr>
        <w:widowControl/>
        <w:numPr>
          <w:ilvl w:val="0"/>
          <w:numId w:val="12"/>
        </w:numPr>
        <w:tabs>
          <w:tab w:val="left" w:pos="-1440"/>
          <w:tab w:val="num" w:pos="1080"/>
          <w:tab w:val="clear" w:pos="1440"/>
        </w:tabs>
        <w:ind w:left="1080"/>
        <w:rPr>
          <w:b/>
        </w:rPr>
      </w:pPr>
      <w:r w:rsidRPr="00E91B7A">
        <w:rPr>
          <w:b/>
        </w:rPr>
        <w:t>requiring respondents to report information to the agency more often than quarterly;</w:t>
      </w:r>
    </w:p>
    <w:p w:rsidR="0064473B" w:rsidRPr="00E91B7A" w:rsidP="00462D00" w14:paraId="4303D28A" w14:textId="77777777">
      <w:pPr>
        <w:widowControl/>
        <w:numPr>
          <w:ilvl w:val="0"/>
          <w:numId w:val="12"/>
        </w:numPr>
        <w:tabs>
          <w:tab w:val="left" w:pos="-1440"/>
          <w:tab w:val="num" w:pos="1080"/>
          <w:tab w:val="clear" w:pos="1440"/>
        </w:tabs>
        <w:ind w:left="1080"/>
        <w:rPr>
          <w:b/>
        </w:rPr>
      </w:pPr>
      <w:r w:rsidRPr="00E91B7A">
        <w:rPr>
          <w:b/>
        </w:rPr>
        <w:t>requiring respondents to prepare a written response to a collection of information in fewer than 30 days after receipt of it;</w:t>
      </w:r>
    </w:p>
    <w:p w:rsidR="0064473B" w:rsidRPr="00E91B7A" w:rsidP="00462D00" w14:paraId="04B0D845" w14:textId="77777777">
      <w:pPr>
        <w:widowControl/>
        <w:numPr>
          <w:ilvl w:val="0"/>
          <w:numId w:val="12"/>
        </w:numPr>
        <w:tabs>
          <w:tab w:val="left" w:pos="-1440"/>
          <w:tab w:val="num" w:pos="1080"/>
          <w:tab w:val="clear" w:pos="1440"/>
        </w:tabs>
        <w:ind w:left="1080"/>
        <w:rPr>
          <w:b/>
        </w:rPr>
      </w:pPr>
      <w:r w:rsidRPr="00E91B7A">
        <w:rPr>
          <w:b/>
        </w:rPr>
        <w:t>requiring respondents to submit more than an original and two copies of any document;</w:t>
      </w:r>
    </w:p>
    <w:p w:rsidR="0064473B" w:rsidRPr="00E91B7A" w:rsidP="00462D00" w14:paraId="0F658445" w14:textId="77777777">
      <w:pPr>
        <w:widowControl/>
        <w:numPr>
          <w:ilvl w:val="0"/>
          <w:numId w:val="12"/>
        </w:numPr>
        <w:tabs>
          <w:tab w:val="left" w:pos="-1440"/>
          <w:tab w:val="num" w:pos="1080"/>
          <w:tab w:val="clear" w:pos="1440"/>
        </w:tabs>
        <w:ind w:left="1080"/>
        <w:rPr>
          <w:b/>
        </w:rPr>
      </w:pPr>
      <w:r w:rsidRPr="00E91B7A">
        <w:rPr>
          <w:b/>
        </w:rPr>
        <w:t>requiring respondents to retain records, other than health, medical, government contract, grant-in-aid, or tax records for more than three years;</w:t>
      </w:r>
    </w:p>
    <w:p w:rsidR="0064473B" w:rsidRPr="00E91B7A" w:rsidP="00462D00" w14:paraId="448FFD32" w14:textId="77777777">
      <w:pPr>
        <w:widowControl/>
        <w:numPr>
          <w:ilvl w:val="0"/>
          <w:numId w:val="12"/>
        </w:numPr>
        <w:tabs>
          <w:tab w:val="left" w:pos="-1440"/>
          <w:tab w:val="num" w:pos="1080"/>
          <w:tab w:val="clear" w:pos="1440"/>
        </w:tabs>
        <w:ind w:left="1080"/>
        <w:rPr>
          <w:b/>
        </w:rPr>
      </w:pPr>
      <w:r w:rsidRPr="00E91B7A">
        <w:rPr>
          <w:b/>
        </w:rPr>
        <w:t>in connection with a statistical survey, that is not designed to produce valid and reliable results that can be generalized to the universe of study;</w:t>
      </w:r>
    </w:p>
    <w:p w:rsidR="0064473B" w:rsidRPr="00E91B7A" w:rsidP="00462D00" w14:paraId="599194FA" w14:textId="735DACB0">
      <w:pPr>
        <w:widowControl/>
        <w:numPr>
          <w:ilvl w:val="0"/>
          <w:numId w:val="12"/>
        </w:numPr>
        <w:tabs>
          <w:tab w:val="left" w:pos="-1440"/>
          <w:tab w:val="num" w:pos="1080"/>
          <w:tab w:val="clear" w:pos="1440"/>
        </w:tabs>
        <w:ind w:left="1080"/>
        <w:rPr>
          <w:b/>
        </w:rPr>
      </w:pPr>
      <w:r w:rsidRPr="00E91B7A">
        <w:rPr>
          <w:b/>
        </w:rPr>
        <w:t>requiring the use of a statistical data classification that has not been reviewed and approved by OMB;</w:t>
      </w:r>
    </w:p>
    <w:p w:rsidR="0064473B" w:rsidRPr="00E91B7A" w:rsidP="00462D00" w14:paraId="30DDE68A" w14:textId="6BB6D40C">
      <w:pPr>
        <w:widowControl/>
        <w:numPr>
          <w:ilvl w:val="0"/>
          <w:numId w:val="12"/>
        </w:numPr>
        <w:tabs>
          <w:tab w:val="left" w:pos="-1440"/>
          <w:tab w:val="num" w:pos="1080"/>
          <w:tab w:val="clear" w:pos="1440"/>
        </w:tabs>
        <w:ind w:left="1080"/>
        <w:rPr>
          <w:b/>
        </w:rPr>
      </w:pPr>
      <w:r w:rsidRPr="00E91B7A">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4473B" w:rsidRPr="00E91B7A" w:rsidP="00021D03" w14:paraId="4BE1FB5F" w14:textId="77777777">
      <w:pPr>
        <w:widowControl/>
        <w:numPr>
          <w:ilvl w:val="0"/>
          <w:numId w:val="12"/>
        </w:numPr>
        <w:tabs>
          <w:tab w:val="left" w:pos="-1440"/>
          <w:tab w:val="num" w:pos="1080"/>
          <w:tab w:val="clear" w:pos="1440"/>
        </w:tabs>
        <w:ind w:left="1080"/>
        <w:rPr>
          <w:b/>
        </w:rPr>
      </w:pPr>
      <w:r w:rsidRPr="00E91B7A">
        <w:rPr>
          <w:b/>
        </w:rPr>
        <w:t>requiring respondents to submit proprietary trade secret, or other confidential information unless the agency can demonstrate that it has instituted procedures to protect the information's confidentiality to the extent permitted by law.</w:t>
      </w:r>
    </w:p>
    <w:p w:rsidR="0064473B" w:rsidP="00462D00" w14:paraId="3775510A" w14:textId="77777777">
      <w:pPr>
        <w:widowControl/>
        <w:ind w:left="1440"/>
      </w:pPr>
    </w:p>
    <w:p w:rsidR="0064473B" w:rsidP="00E91B7A" w14:paraId="2AB2CB32" w14:textId="4757B5F9">
      <w:pPr>
        <w:pStyle w:val="BodyText"/>
        <w:widowControl/>
        <w:ind w:left="720"/>
      </w:pPr>
      <w:r>
        <w:rPr>
          <w:b/>
        </w:rPr>
        <w:t>PTE 94-71.</w:t>
      </w:r>
      <w:r w:rsidR="00623444">
        <w:rPr>
          <w:b/>
        </w:rPr>
        <w:t xml:space="preserve"> </w:t>
      </w:r>
      <w:r>
        <w:t xml:space="preserve">There are no special circumstances that </w:t>
      </w:r>
      <w:r w:rsidR="006F7C95">
        <w:t xml:space="preserve">would </w:t>
      </w:r>
      <w:r>
        <w:t>require the collection to be conducted in a</w:t>
      </w:r>
      <w:r w:rsidR="006F7C95">
        <w:t xml:space="preserve">ny </w:t>
      </w:r>
      <w:r>
        <w:t xml:space="preserve">manner </w:t>
      </w:r>
      <w:r w:rsidR="006F7C95">
        <w:t>described</w:t>
      </w:r>
      <w:r>
        <w:t xml:space="preserve"> above.</w:t>
      </w:r>
    </w:p>
    <w:p w:rsidR="00DA2677" w:rsidP="00E91B7A" w14:paraId="2829F97C" w14:textId="77777777">
      <w:pPr>
        <w:widowControl/>
        <w:ind w:left="1440"/>
      </w:pPr>
    </w:p>
    <w:p w:rsidR="002C69EF" w:rsidP="00E91B7A" w14:paraId="6D54C5FD" w14:textId="286A4435">
      <w:pPr>
        <w:pStyle w:val="BodyText"/>
        <w:widowControl/>
        <w:ind w:left="720"/>
      </w:pPr>
      <w:r>
        <w:rPr>
          <w:b/>
          <w:bCs/>
        </w:rPr>
        <w:t xml:space="preserve">PTE </w:t>
      </w:r>
      <w:r w:rsidR="00D536A7">
        <w:rPr>
          <w:b/>
          <w:bCs/>
        </w:rPr>
        <w:t>20</w:t>
      </w:r>
      <w:r>
        <w:rPr>
          <w:b/>
          <w:bCs/>
        </w:rPr>
        <w:t>03-39</w:t>
      </w:r>
      <w:r w:rsidR="0064473B">
        <w:rPr>
          <w:b/>
          <w:bCs/>
        </w:rPr>
        <w:t xml:space="preserve">. </w:t>
      </w:r>
      <w:r w:rsidR="0064473B">
        <w:t>The exemption require</w:t>
      </w:r>
      <w:r>
        <w:t>s</w:t>
      </w:r>
      <w:r w:rsidR="0064473B">
        <w:t xml:space="preserve"> a plan </w:t>
      </w:r>
      <w:r w:rsidR="00D536A7">
        <w:t xml:space="preserve">fiduciary </w:t>
      </w:r>
      <w:r w:rsidR="0064473B">
        <w:t xml:space="preserve">to </w:t>
      </w:r>
      <w:r w:rsidR="00F234D8">
        <w:t xml:space="preserve">maintain </w:t>
      </w:r>
      <w:r w:rsidR="0064473B">
        <w:t xml:space="preserve">the records necessary to enable certain persons </w:t>
      </w:r>
      <w:r w:rsidR="00A834C1">
        <w:t xml:space="preserve">(the Department, participants and beneficiaries) </w:t>
      </w:r>
      <w:r w:rsidR="0064473B">
        <w:t>to determine whether</w:t>
      </w:r>
      <w:r w:rsidR="00A834C1">
        <w:t xml:space="preserve"> the conditions of the </w:t>
      </w:r>
      <w:r w:rsidR="0064473B">
        <w:t>exemption had been met</w:t>
      </w:r>
      <w:r w:rsidR="004C58BF">
        <w:t xml:space="preserve"> for a period of six years</w:t>
      </w:r>
      <w:r w:rsidR="0064473B">
        <w:t xml:space="preserve">. The six-year recordkeeping requirement is consistent with the requirements in section 107 of </w:t>
      </w:r>
      <w:r w:rsidR="006F7C95">
        <w:t>ERISA,</w:t>
      </w:r>
      <w:r w:rsidR="0064473B">
        <w:t xml:space="preserve"> as well as general recordkeeping requirements for tax information under the Code.</w:t>
      </w:r>
      <w:r w:rsidR="00623444">
        <w:t xml:space="preserve"> </w:t>
      </w:r>
    </w:p>
    <w:p w:rsidR="002C69EF" w:rsidP="00021D03" w14:paraId="683C60BC" w14:textId="77777777">
      <w:pPr>
        <w:pStyle w:val="BodyText"/>
        <w:widowControl/>
      </w:pPr>
    </w:p>
    <w:p w:rsidR="008133E4" w:rsidRPr="00E91B7A" w:rsidP="00475430" w14:paraId="1F09E601" w14:textId="73E1B831">
      <w:pPr>
        <w:pStyle w:val="Heading2"/>
        <w:rPr>
          <w:i/>
        </w:rPr>
      </w:pPr>
      <w:r w:rsidRPr="00E91B7A">
        <w:t>If applicable, provide a copy and identify the date and page number of publication in the Federal Register of the agency's notice, required by 5 CFR 1320.8(d), soliciting comments on the information collection prior to submission to OMB.</w:t>
      </w:r>
      <w:r w:rsidR="00623444">
        <w:t xml:space="preserve"> </w:t>
      </w:r>
      <w:r w:rsidRPr="00E91B7A">
        <w:t>Summarize public comments received in response to that notice and describe actions taken by the agency in response to these comments. Specifically address comments received on cost and hour burden.</w:t>
      </w:r>
    </w:p>
    <w:p w:rsidR="008133E4" w:rsidRPr="00462D00" w:rsidP="00462D00" w14:paraId="1F876A6F" w14:textId="77777777">
      <w:pPr>
        <w:pStyle w:val="Quick1"/>
        <w:widowControl/>
        <w:numPr>
          <w:ilvl w:val="0"/>
          <w:numId w:val="0"/>
        </w:numPr>
        <w:ind w:left="720"/>
        <w:rPr>
          <w:b/>
          <w:i w:val="0"/>
          <w:sz w:val="24"/>
          <w:szCs w:val="24"/>
        </w:rPr>
      </w:pPr>
    </w:p>
    <w:p w:rsidR="008133E4" w:rsidRPr="00A0410E" w:rsidP="00462D00" w14:paraId="224A4B06" w14:textId="56182CE4">
      <w:pPr>
        <w:pStyle w:val="Quick1"/>
        <w:widowControl/>
        <w:numPr>
          <w:ilvl w:val="0"/>
          <w:numId w:val="0"/>
        </w:numPr>
        <w:ind w:left="720"/>
        <w:rPr>
          <w:b/>
          <w:i w:val="0"/>
          <w:sz w:val="24"/>
          <w:szCs w:val="24"/>
        </w:rPr>
      </w:pPr>
      <w:r w:rsidRPr="00A0410E">
        <w:rPr>
          <w:b/>
          <w:i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133E4" w:rsidRPr="00462D00" w:rsidP="00462D00" w14:paraId="172CE3BF" w14:textId="77777777">
      <w:pPr>
        <w:pStyle w:val="Quick1"/>
        <w:widowControl/>
        <w:numPr>
          <w:ilvl w:val="0"/>
          <w:numId w:val="0"/>
        </w:numPr>
        <w:ind w:left="720"/>
        <w:rPr>
          <w:b/>
          <w:i w:val="0"/>
          <w:sz w:val="24"/>
          <w:szCs w:val="24"/>
        </w:rPr>
      </w:pPr>
    </w:p>
    <w:p w:rsidR="0064473B" w:rsidRPr="00462D00" w:rsidP="00462D00" w14:paraId="520BE899" w14:textId="288F65C1">
      <w:pPr>
        <w:pStyle w:val="Quick1"/>
        <w:widowControl/>
        <w:numPr>
          <w:ilvl w:val="0"/>
          <w:numId w:val="0"/>
        </w:numPr>
        <w:ind w:left="720"/>
        <w:rPr>
          <w:b/>
        </w:rPr>
      </w:pPr>
      <w:r w:rsidRPr="00462D00">
        <w:rPr>
          <w:b/>
          <w:i w:val="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4473B" w:rsidP="00021D03" w14:paraId="2DE714E4" w14:textId="77777777">
      <w:pPr>
        <w:widowControl/>
      </w:pPr>
    </w:p>
    <w:p w:rsidR="0064473B" w:rsidP="00462D00" w14:paraId="15194A78" w14:textId="353549BC">
      <w:pPr>
        <w:pStyle w:val="BodyText"/>
        <w:widowControl/>
        <w:ind w:left="720"/>
      </w:pPr>
      <w:r>
        <w:t>T</w:t>
      </w:r>
      <w:r>
        <w:t xml:space="preserve">he Department’s notice for the </w:t>
      </w:r>
      <w:r>
        <w:rPr>
          <w:u w:val="single"/>
        </w:rPr>
        <w:t>Federal Register</w:t>
      </w:r>
      <w:r w:rsidR="00C06A16">
        <w:t xml:space="preserve"> </w:t>
      </w:r>
      <w:r>
        <w:t>as required by 5 CFR 1320.8(d)</w:t>
      </w:r>
      <w:r>
        <w:t xml:space="preserve"> was published on </w:t>
      </w:r>
      <w:r w:rsidR="00491523">
        <w:t>July</w:t>
      </w:r>
      <w:r w:rsidRPr="008133E4" w:rsidR="008133E4">
        <w:t xml:space="preserve"> 9, 202</w:t>
      </w:r>
      <w:r w:rsidR="00491523">
        <w:t>4</w:t>
      </w:r>
      <w:r w:rsidRPr="008133E4" w:rsidR="008133E4">
        <w:t xml:space="preserve"> (</w:t>
      </w:r>
      <w:r w:rsidRPr="00491523" w:rsidR="00491523">
        <w:t>89 FR 56416</w:t>
      </w:r>
      <w:r w:rsidRPr="008133E4" w:rsidR="008133E4">
        <w:t>)</w:t>
      </w:r>
      <w:r w:rsidR="008133E4">
        <w:t xml:space="preserve"> </w:t>
      </w:r>
      <w:r>
        <w:t xml:space="preserve">and </w:t>
      </w:r>
      <w:r>
        <w:t>solicit</w:t>
      </w:r>
      <w:r>
        <w:t>ed</w:t>
      </w:r>
      <w:r>
        <w:t xml:space="preserve"> </w:t>
      </w:r>
      <w:r w:rsidR="00DA2677">
        <w:t xml:space="preserve">public </w:t>
      </w:r>
      <w:r>
        <w:t xml:space="preserve">comments </w:t>
      </w:r>
      <w:r w:rsidR="00DA2677">
        <w:t xml:space="preserve">on renewal of the ICR </w:t>
      </w:r>
      <w:r>
        <w:t xml:space="preserve">during a </w:t>
      </w:r>
      <w:r w:rsidR="00DA2677">
        <w:t>60</w:t>
      </w:r>
      <w:r>
        <w:t>-</w:t>
      </w:r>
      <w:r w:rsidR="00DA2677">
        <w:t>day comment</w:t>
      </w:r>
      <w:r>
        <w:t xml:space="preserve"> period</w:t>
      </w:r>
      <w:r w:rsidR="003E36B9">
        <w:t>.</w:t>
      </w:r>
      <w:r w:rsidR="006F7C95">
        <w:t xml:space="preserve"> </w:t>
      </w:r>
      <w:r w:rsidR="00EC4116">
        <w:t>No comments were received.</w:t>
      </w:r>
    </w:p>
    <w:p w:rsidR="0064473B" w:rsidP="00021D03" w14:paraId="064A96B1" w14:textId="77777777">
      <w:pPr>
        <w:widowControl/>
      </w:pPr>
    </w:p>
    <w:p w:rsidR="0064473B" w:rsidRPr="00E91B7A" w:rsidP="00475430" w14:paraId="7683C782" w14:textId="52A27C3C">
      <w:pPr>
        <w:pStyle w:val="Heading2"/>
        <w:rPr>
          <w:i/>
        </w:rPr>
      </w:pPr>
      <w:r w:rsidRPr="00E91B7A">
        <w:t>Explain any decision to provide any payment or gift to respondents, other than remuneration of contractors or grantees.</w:t>
      </w:r>
    </w:p>
    <w:p w:rsidR="0064473B" w:rsidRPr="00A834C1" w:rsidP="00021D03" w14:paraId="3889C3CF" w14:textId="77777777">
      <w:pPr>
        <w:widowControl/>
        <w:rPr>
          <w:i/>
        </w:rPr>
      </w:pPr>
    </w:p>
    <w:p w:rsidR="0064473B" w:rsidP="00E91B7A" w14:paraId="1829A029" w14:textId="77777777">
      <w:pPr>
        <w:pStyle w:val="BodyText"/>
        <w:widowControl/>
        <w:ind w:firstLine="720"/>
      </w:pPr>
      <w:r>
        <w:t>No payments or gifts are provided to respondents.</w:t>
      </w:r>
    </w:p>
    <w:p w:rsidR="0064473B" w:rsidP="00021D03" w14:paraId="0FF21512" w14:textId="77777777">
      <w:pPr>
        <w:widowControl/>
      </w:pPr>
    </w:p>
    <w:p w:rsidR="0064473B" w:rsidRPr="00462D00" w:rsidP="00475430" w14:paraId="551F14A7" w14:textId="55510959">
      <w:pPr>
        <w:pStyle w:val="Heading2"/>
        <w:rPr>
          <w:i/>
        </w:rPr>
      </w:pPr>
      <w:r w:rsidRPr="00462D00">
        <w:t>Describe any assurance of confidentiality provided to respondents and the basis for the assurance in statute, regulation, or agency policy.</w:t>
      </w:r>
    </w:p>
    <w:p w:rsidR="0064473B" w:rsidP="00021D03" w14:paraId="24681E97" w14:textId="77777777">
      <w:pPr>
        <w:widowControl/>
      </w:pPr>
    </w:p>
    <w:p w:rsidR="0064473B" w:rsidP="00462D00" w14:paraId="496A4B1D" w14:textId="40309228">
      <w:pPr>
        <w:pStyle w:val="BodyText"/>
        <w:widowControl/>
        <w:ind w:left="720"/>
      </w:pPr>
      <w:r>
        <w:t>There is no promise of confidentiality of the information. The class exemption</w:t>
      </w:r>
      <w:r w:rsidR="00DF7CC0">
        <w:t>s require</w:t>
      </w:r>
      <w:r>
        <w:t xml:space="preserve"> that the information concerning the transactions be made available to interested parties. </w:t>
      </w:r>
    </w:p>
    <w:p w:rsidR="0064473B" w:rsidRPr="00462D00" w:rsidP="00021D03" w14:paraId="0DD08396" w14:textId="77777777">
      <w:pPr>
        <w:widowControl/>
        <w:rPr>
          <w:b/>
        </w:rPr>
      </w:pPr>
    </w:p>
    <w:p w:rsidR="0064473B" w:rsidRPr="00E91B7A" w:rsidP="00475430" w14:paraId="1354C220" w14:textId="027BBDB1">
      <w:pPr>
        <w:pStyle w:val="Heading2"/>
        <w:rPr>
          <w:i/>
        </w:rPr>
      </w:pPr>
      <w:r w:rsidRPr="00E91B7A">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473B" w:rsidP="00021D03" w14:paraId="35A7F4AE" w14:textId="77777777">
      <w:pPr>
        <w:widowControl/>
        <w:rPr>
          <w:i/>
        </w:rPr>
      </w:pPr>
    </w:p>
    <w:p w:rsidR="0064473B" w:rsidP="00E91B7A" w14:paraId="076293C0" w14:textId="77777777">
      <w:pPr>
        <w:pStyle w:val="BodyText"/>
        <w:widowControl/>
        <w:ind w:left="720"/>
      </w:pPr>
      <w:r>
        <w:t>There are no questions of a sensitive nature, such as sexual behavior and attitudes, religious beliefs, and other matters that are commonly considered private.</w:t>
      </w:r>
    </w:p>
    <w:p w:rsidR="0064473B" w:rsidP="00021D03" w14:paraId="6BCAECBD" w14:textId="77777777">
      <w:pPr>
        <w:widowControl/>
      </w:pPr>
    </w:p>
    <w:p w:rsidR="0064473B" w:rsidRPr="00F62DBB" w:rsidP="00475430" w14:paraId="62E8ED25" w14:textId="5FCEC551">
      <w:pPr>
        <w:pStyle w:val="Heading2"/>
        <w:sectPr>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pPr>
      <w:r w:rsidRPr="00E91B7A">
        <w:t>Provide estimates of the hour burden of the collection of information.</w:t>
      </w:r>
      <w:r w:rsidR="00623444">
        <w:t xml:space="preserve"> </w:t>
      </w:r>
      <w:r w:rsidRPr="00E91B7A">
        <w:t>The statement should:</w:t>
      </w:r>
    </w:p>
    <w:p w:rsidR="00956784" w:rsidRPr="00956784" w:rsidP="00956784" w14:paraId="0EA875D8" w14:textId="77777777">
      <w:pPr>
        <w:widowControl/>
        <w:numPr>
          <w:ilvl w:val="0"/>
          <w:numId w:val="19"/>
        </w:numPr>
        <w:tabs>
          <w:tab w:val="left" w:pos="-1440"/>
        </w:tabs>
        <w:contextualSpacing/>
        <w:rPr>
          <w:b/>
          <w:iCs/>
        </w:rPr>
      </w:pPr>
      <w:r w:rsidRPr="00956784">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56784" w:rsidRPr="00956784" w:rsidP="00956784" w14:paraId="6FBD9CD5" w14:textId="77777777">
      <w:pPr>
        <w:widowControl/>
        <w:numPr>
          <w:ilvl w:val="0"/>
          <w:numId w:val="18"/>
        </w:numPr>
        <w:tabs>
          <w:tab w:val="left" w:pos="-1440"/>
          <w:tab w:val="num" w:pos="1440"/>
        </w:tabs>
        <w:ind w:left="1440"/>
        <w:rPr>
          <w:b/>
          <w:iCs/>
        </w:rPr>
      </w:pPr>
      <w:r w:rsidRPr="00956784">
        <w:rPr>
          <w:b/>
          <w:iCs/>
        </w:rPr>
        <w:t xml:space="preserve">If this request for approval covers more than one form, provide separate hour burden estimates for each form. </w:t>
      </w:r>
    </w:p>
    <w:p w:rsidR="00956784" w:rsidRPr="00956784" w:rsidP="00956784" w14:paraId="58368E84" w14:textId="77777777">
      <w:pPr>
        <w:widowControl/>
        <w:numPr>
          <w:ilvl w:val="0"/>
          <w:numId w:val="18"/>
        </w:numPr>
        <w:tabs>
          <w:tab w:val="left" w:pos="-1440"/>
          <w:tab w:val="num" w:pos="1440"/>
        </w:tabs>
        <w:ind w:left="1440"/>
        <w:rPr>
          <w:b/>
          <w:iCs/>
        </w:rPr>
      </w:pPr>
      <w:r w:rsidRPr="00956784">
        <w:rPr>
          <w:b/>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56784" w:rsidRPr="00956784" w:rsidP="00956784" w14:paraId="40063099" w14:textId="77777777">
      <w:pPr>
        <w:widowControl/>
        <w:numPr>
          <w:ilvl w:val="0"/>
          <w:numId w:val="18"/>
        </w:numPr>
        <w:tabs>
          <w:tab w:val="left" w:pos="-1440"/>
          <w:tab w:val="num" w:pos="1440"/>
        </w:tabs>
        <w:ind w:left="1440"/>
        <w:rPr>
          <w:b/>
          <w:iCs/>
        </w:rPr>
      </w:pPr>
      <w:r w:rsidRPr="00956784">
        <w:rPr>
          <w:b/>
          <w:iCs/>
        </w:rPr>
        <w:t>The cost of contracting out or paying outside parties for information collection activities should not be included here. Instead, this cost should be included in Item 14.</w:t>
      </w:r>
    </w:p>
    <w:p w:rsidR="00E026D8" w:rsidP="00021D03" w14:paraId="101E3F14" w14:textId="77777777">
      <w:pPr>
        <w:widowControl/>
        <w:rPr>
          <w:b/>
          <w:highlight w:val="yellow"/>
        </w:rPr>
      </w:pPr>
    </w:p>
    <w:p w:rsidR="00A95F0E" w:rsidP="00F65FDC" w14:paraId="064E2032" w14:textId="039E9181">
      <w:pPr>
        <w:contextualSpacing/>
        <w:rPr>
          <w:vertAlign w:val="superscript"/>
        </w:rPr>
      </w:pPr>
      <w:r>
        <w:t>The Department expects that a</w:t>
      </w:r>
      <w:r w:rsidRPr="00E973FC">
        <w:t xml:space="preserve"> combination of personnel </w:t>
      </w:r>
      <w:r>
        <w:t>would</w:t>
      </w:r>
      <w:r w:rsidRPr="00E973FC">
        <w:t xml:space="preserve"> perform the tasks associated with the ICRs at an hourly </w:t>
      </w:r>
      <w:r>
        <w:t>labor cost</w:t>
      </w:r>
      <w:r w:rsidRPr="00E973FC">
        <w:t xml:space="preserve"> of</w:t>
      </w:r>
      <w:r>
        <w:t xml:space="preserve"> </w:t>
      </w:r>
      <w:r w:rsidRPr="00F73E7F">
        <w:t>$</w:t>
      </w:r>
      <w:r>
        <w:t>69.41</w:t>
      </w:r>
      <w:r w:rsidRPr="00F73E7F">
        <w:t xml:space="preserve"> </w:t>
      </w:r>
      <w:r>
        <w:t xml:space="preserve">for </w:t>
      </w:r>
      <w:r w:rsidRPr="00F73E7F">
        <w:t xml:space="preserve">clerical </w:t>
      </w:r>
      <w:r>
        <w:t>personnel and</w:t>
      </w:r>
      <w:r w:rsidRPr="00F73E7F">
        <w:t xml:space="preserve"> $</w:t>
      </w:r>
      <w:r>
        <w:t>118.93</w:t>
      </w:r>
      <w:r w:rsidRPr="00F73E7F">
        <w:t xml:space="preserve"> </w:t>
      </w:r>
      <w:r>
        <w:t>for accountant</w:t>
      </w:r>
      <w:r>
        <w:t>s</w:t>
      </w:r>
      <w:r>
        <w:t xml:space="preserve"> and auditors.</w:t>
      </w:r>
      <w:r>
        <w:rPr>
          <w:vertAlign w:val="superscript"/>
        </w:rPr>
        <w:footnoteReference w:id="5"/>
      </w:r>
      <w:r>
        <w:rPr>
          <w:vertAlign w:val="superscript"/>
        </w:rPr>
        <w:t xml:space="preserve"> </w:t>
      </w:r>
    </w:p>
    <w:p w:rsidR="00B55B9B" w:rsidP="00E91B7A" w14:paraId="6FD965BC" w14:textId="77777777">
      <w:pPr>
        <w:pStyle w:val="BodyText"/>
        <w:widowControl/>
        <w:ind w:left="720"/>
        <w:rPr>
          <w:b/>
        </w:rPr>
      </w:pPr>
    </w:p>
    <w:p w:rsidR="00B55B9B" w:rsidP="00E91B7A" w14:paraId="07000A37" w14:textId="77777777">
      <w:pPr>
        <w:pStyle w:val="BodyText"/>
        <w:widowControl/>
        <w:ind w:left="720"/>
      </w:pPr>
      <w:r w:rsidRPr="00B402A5">
        <w:rPr>
          <w:b/>
        </w:rPr>
        <w:t>PTE 94-71.</w:t>
      </w:r>
      <w:r>
        <w:t xml:space="preserve"> A party that seeks to rely on the relief provided in the exemption must</w:t>
      </w:r>
      <w:r>
        <w:t>:</w:t>
      </w:r>
    </w:p>
    <w:p w:rsidR="00B55B9B" w:rsidP="005C7F3A" w14:paraId="63922DF3" w14:textId="2D9097BE">
      <w:pPr>
        <w:pStyle w:val="BodyText"/>
        <w:widowControl/>
        <w:numPr>
          <w:ilvl w:val="0"/>
          <w:numId w:val="22"/>
        </w:numPr>
        <w:ind w:left="1260"/>
      </w:pPr>
      <w:r>
        <w:t>provide written notice to the affected participants and beneficiaries prior to entering into a settlement agreement that has been negotiated by the Department and the plan</w:t>
      </w:r>
      <w:r>
        <w:t>; and</w:t>
      </w:r>
      <w:r>
        <w:t xml:space="preserve"> </w:t>
      </w:r>
    </w:p>
    <w:p w:rsidR="005C7F3A" w:rsidP="00646E11" w14:paraId="6031F4B0" w14:textId="77777777">
      <w:pPr>
        <w:pStyle w:val="BodyText"/>
        <w:widowControl/>
        <w:ind w:left="1260"/>
      </w:pPr>
    </w:p>
    <w:p w:rsidR="00B13E02" w:rsidP="00646E11" w14:paraId="7366893A" w14:textId="39926EEF">
      <w:pPr>
        <w:pStyle w:val="BodyText"/>
        <w:widowControl/>
        <w:numPr>
          <w:ilvl w:val="0"/>
          <w:numId w:val="22"/>
        </w:numPr>
        <w:ind w:left="1260"/>
      </w:pPr>
      <w:r>
        <w:t xml:space="preserve">obtain approval of the notice to participants and beneficiaries and the method by which it will be distributed from the regional or district office of the Department that negotiated the settlement. The notice, at a minimum, must include an objective description of the transaction or activity, the approximate date on which the transaction will occur, the address of the regional or district office of the </w:t>
      </w:r>
      <w:r w:rsidR="00223EBA">
        <w:t>D</w:t>
      </w:r>
      <w:r>
        <w:t>epartment that negotiated the settlement, and a statement informing participants and beneficiaries of their right to forward comments to such office.</w:t>
      </w:r>
    </w:p>
    <w:p w:rsidR="00B13E02" w:rsidP="00462D00" w14:paraId="3FAB614B" w14:textId="77777777">
      <w:pPr>
        <w:widowControl/>
        <w:ind w:left="1440"/>
      </w:pPr>
    </w:p>
    <w:p w:rsidR="00B13E02" w:rsidP="00462D00" w14:paraId="2CC05164" w14:textId="7B62132E">
      <w:pPr>
        <w:pStyle w:val="BodyText"/>
        <w:widowControl/>
        <w:ind w:left="720"/>
      </w:pPr>
      <w:r>
        <w:t>Based on a review of EBSA investigations, the Department estimates that approximately three plans rely on PTE 94-71</w:t>
      </w:r>
      <w:r w:rsidR="00AC32E5">
        <w:t xml:space="preserve"> each year</w:t>
      </w:r>
      <w:r>
        <w:t>.</w:t>
      </w:r>
      <w:r>
        <w:rPr>
          <w:rStyle w:val="FootnoteReference"/>
          <w:vertAlign w:val="superscript"/>
        </w:rPr>
        <w:footnoteReference w:id="6"/>
      </w:r>
      <w:r>
        <w:t xml:space="preserve"> </w:t>
      </w:r>
      <w:r w:rsidR="00AC32E5">
        <w:t>To estimate the number of participants receiving disclosures, the Department relies on the average number of participants in each pension plan, or 189 participants.</w:t>
      </w:r>
      <w:r>
        <w:rPr>
          <w:rStyle w:val="FootnoteReference"/>
          <w:vertAlign w:val="superscript"/>
        </w:rPr>
        <w:footnoteReference w:id="7"/>
      </w:r>
      <w:r w:rsidRPr="00646E11">
        <w:rPr>
          <w:vertAlign w:val="superscript"/>
        </w:rPr>
        <w:t xml:space="preserve"> </w:t>
      </w:r>
    </w:p>
    <w:p w:rsidR="00B13E02" w:rsidP="00462D00" w14:paraId="68FF2651" w14:textId="77777777">
      <w:pPr>
        <w:pStyle w:val="BodyText"/>
        <w:widowControl/>
        <w:ind w:left="720"/>
      </w:pPr>
    </w:p>
    <w:p w:rsidR="00B13E02" w:rsidRPr="007278D3" w:rsidP="00462D00" w14:paraId="1F6DEC16" w14:textId="23D53736">
      <w:pPr>
        <w:pStyle w:val="BodyText"/>
        <w:widowControl/>
        <w:ind w:left="720"/>
        <w:rPr>
          <w:vertAlign w:val="superscript"/>
        </w:rPr>
      </w:pPr>
      <w:r>
        <w:t>The Department assumes</w:t>
      </w:r>
      <w:r>
        <w:t xml:space="preserve"> that in-house staff of the entities involved will prepare the notice and that each notice will require one hour of </w:t>
      </w:r>
      <w:r>
        <w:t>labor from an accountant or auditor</w:t>
      </w:r>
      <w:r>
        <w:t xml:space="preserve"> and 30 minutes </w:t>
      </w:r>
      <w:r w:rsidR="00E92D05">
        <w:t xml:space="preserve">of </w:t>
      </w:r>
      <w:r>
        <w:t xml:space="preserve">labor from </w:t>
      </w:r>
      <w:r>
        <w:t xml:space="preserve">clerical </w:t>
      </w:r>
      <w:r>
        <w:t>personnel.</w:t>
      </w:r>
      <w:r w:rsidR="00925943">
        <w:t xml:space="preserve"> </w:t>
      </w:r>
    </w:p>
    <w:p w:rsidR="00B13E02" w:rsidP="00462D00" w14:paraId="5706C8BB" w14:textId="77777777">
      <w:pPr>
        <w:widowControl/>
        <w:ind w:left="1440"/>
      </w:pPr>
    </w:p>
    <w:p w:rsidR="00B13E02" w:rsidP="00462D00" w14:paraId="3A4F8560" w14:textId="1D033DE3">
      <w:pPr>
        <w:pStyle w:val="BodyText"/>
        <w:widowControl/>
        <w:ind w:left="720"/>
      </w:pPr>
      <w:r>
        <w:t xml:space="preserve">For the 3.9 percent of notices assumed to be sent by mail, the preparation of each notice will require </w:t>
      </w:r>
      <w:r>
        <w:t xml:space="preserve">an additional </w:t>
      </w:r>
      <w:r w:rsidR="00623444">
        <w:t>two</w:t>
      </w:r>
      <w:r>
        <w:t xml:space="preserve"> minutes </w:t>
      </w:r>
      <w:r w:rsidR="00A95F0E">
        <w:t>of clerical personnel labor</w:t>
      </w:r>
      <w:r>
        <w:t xml:space="preserve">. </w:t>
      </w:r>
      <w:r>
        <w:t xml:space="preserve">The Department estimates that </w:t>
      </w:r>
      <w:r w:rsidR="00AC32E5">
        <w:t>2</w:t>
      </w:r>
      <w:r w:rsidR="00C43834">
        <w:t>2</w:t>
      </w:r>
      <w:r>
        <w:t xml:space="preserve"> </w:t>
      </w:r>
      <w:r>
        <w:t>notices will be mailed annually</w:t>
      </w:r>
      <w:r w:rsidR="00CE672E">
        <w:t>.</w:t>
      </w:r>
      <w:r>
        <w:rPr>
          <w:rStyle w:val="FootnoteReference"/>
          <w:vertAlign w:val="superscript"/>
        </w:rPr>
        <w:footnoteReference w:id="8"/>
      </w:r>
      <w:r w:rsidR="00623444">
        <w:t xml:space="preserve"> </w:t>
      </w:r>
    </w:p>
    <w:p w:rsidR="00B13E02" w:rsidP="00903B1C" w14:paraId="17BC8CBE" w14:textId="77777777">
      <w:pPr>
        <w:widowControl/>
        <w:ind w:left="1440"/>
      </w:pPr>
    </w:p>
    <w:p w:rsidR="00B13E02" w:rsidP="00903B1C" w14:paraId="377018D6" w14:textId="4957AE83">
      <w:pPr>
        <w:pStyle w:val="BodyText"/>
        <w:widowControl/>
        <w:ind w:left="720"/>
      </w:pPr>
      <w:r>
        <w:t>T</w:t>
      </w:r>
      <w:r w:rsidR="00494A2B">
        <w:t>he t</w:t>
      </w:r>
      <w:r>
        <w:t xml:space="preserve">otal hour burden </w:t>
      </w:r>
      <w:r w:rsidR="00A95F0E">
        <w:t xml:space="preserve">and associated equivalent cost are shown in the table below. </w:t>
      </w:r>
    </w:p>
    <w:p w:rsidR="00E3404A" w:rsidP="009223EE" w14:paraId="4B4A8E4B" w14:textId="50902590">
      <w:pPr>
        <w:widowControl/>
        <w:autoSpaceDE/>
        <w:autoSpaceDN/>
        <w:adjustRightInd/>
        <w:ind w:left="0"/>
      </w:pPr>
      <w:r w:rsidRPr="0015126D">
        <w:rPr>
          <w:b/>
          <w:bCs/>
          <w:sz w:val="22"/>
          <w:szCs w:val="22"/>
        </w:rPr>
        <w:t>TABLE 1.--</w:t>
      </w:r>
      <w:r w:rsidRPr="0015126D">
        <w:rPr>
          <w:b/>
          <w:bCs/>
          <w:i/>
          <w:iCs/>
          <w:sz w:val="22"/>
          <w:szCs w:val="22"/>
        </w:rPr>
        <w:t>Hour Burden and Equivalent Costs</w:t>
      </w:r>
      <w:r w:rsidRPr="0015126D">
        <w:rPr>
          <w:b/>
          <w:bCs/>
          <w:sz w:val="22"/>
          <w:szCs w:val="22"/>
        </w:rPr>
        <w:t> </w:t>
      </w:r>
    </w:p>
    <w:tbl>
      <w:tblPr>
        <w:tblW w:w="10002" w:type="dxa"/>
        <w:tblLayout w:type="fixed"/>
        <w:tblLook w:val="04A0"/>
      </w:tblPr>
      <w:tblGrid>
        <w:gridCol w:w="2430"/>
        <w:gridCol w:w="1514"/>
        <w:gridCol w:w="1514"/>
        <w:gridCol w:w="1515"/>
        <w:gridCol w:w="1514"/>
        <w:gridCol w:w="1515"/>
      </w:tblGrid>
      <w:tr w14:paraId="00470417" w14:textId="77777777" w:rsidTr="00A66F62">
        <w:tblPrEx>
          <w:tblW w:w="10002" w:type="dxa"/>
          <w:tblLayout w:type="fixed"/>
          <w:tblLook w:val="04A0"/>
        </w:tblPrEx>
        <w:trPr>
          <w:cantSplit/>
          <w:trHeight w:val="530"/>
          <w:tblHeader/>
        </w:trPr>
        <w:tc>
          <w:tcPr>
            <w:tcW w:w="2430" w:type="dxa"/>
            <w:tcBorders>
              <w:top w:val="single" w:sz="4" w:space="0" w:color="auto"/>
              <w:left w:val="nil"/>
              <w:bottom w:val="single" w:sz="4" w:space="0" w:color="auto"/>
              <w:right w:val="nil"/>
            </w:tcBorders>
            <w:shd w:val="clear" w:color="auto" w:fill="auto"/>
            <w:noWrap/>
            <w:vAlign w:val="bottom"/>
            <w:hideMark/>
          </w:tcPr>
          <w:p w:rsidR="00C43834" w:rsidRPr="0015126D" w:rsidP="00C43834" w14:paraId="103D225A" w14:textId="43CEC2AA">
            <w:pPr>
              <w:widowControl/>
              <w:autoSpaceDE/>
              <w:autoSpaceDN/>
              <w:adjustRightInd/>
              <w:ind w:left="0"/>
              <w:rPr>
                <w:b/>
                <w:bCs/>
                <w:sz w:val="22"/>
                <w:szCs w:val="22"/>
              </w:rPr>
            </w:pPr>
            <w:r w:rsidRPr="0015126D">
              <w:rPr>
                <w:b/>
                <w:bCs/>
                <w:sz w:val="22"/>
                <w:szCs w:val="22"/>
              </w:rPr>
              <w:t> </w:t>
            </w:r>
          </w:p>
        </w:tc>
        <w:tc>
          <w:tcPr>
            <w:tcW w:w="1514" w:type="dxa"/>
            <w:tcBorders>
              <w:top w:val="single" w:sz="4" w:space="0" w:color="auto"/>
              <w:left w:val="nil"/>
              <w:bottom w:val="single" w:sz="4" w:space="0" w:color="auto"/>
              <w:right w:val="nil"/>
            </w:tcBorders>
            <w:shd w:val="clear" w:color="auto" w:fill="auto"/>
            <w:vAlign w:val="bottom"/>
            <w:hideMark/>
          </w:tcPr>
          <w:p w:rsidR="00C43834" w:rsidRPr="0015126D" w:rsidP="00C43834" w14:paraId="145B8AB3" w14:textId="000EB177">
            <w:pPr>
              <w:widowControl/>
              <w:autoSpaceDE/>
              <w:autoSpaceDN/>
              <w:adjustRightInd/>
              <w:ind w:left="0"/>
              <w:jc w:val="center"/>
              <w:rPr>
                <w:b/>
                <w:bCs/>
                <w:sz w:val="22"/>
                <w:szCs w:val="22"/>
              </w:rPr>
            </w:pPr>
            <w:r w:rsidRPr="0015126D">
              <w:rPr>
                <w:b/>
                <w:bCs/>
                <w:sz w:val="22"/>
                <w:szCs w:val="22"/>
              </w:rPr>
              <w:t>Number</w:t>
            </w:r>
          </w:p>
        </w:tc>
        <w:tc>
          <w:tcPr>
            <w:tcW w:w="1514" w:type="dxa"/>
            <w:tcBorders>
              <w:top w:val="single" w:sz="4" w:space="0" w:color="auto"/>
              <w:left w:val="nil"/>
              <w:bottom w:val="single" w:sz="4" w:space="0" w:color="auto"/>
              <w:right w:val="nil"/>
            </w:tcBorders>
            <w:shd w:val="clear" w:color="auto" w:fill="auto"/>
            <w:vAlign w:val="bottom"/>
            <w:hideMark/>
          </w:tcPr>
          <w:p w:rsidR="00C43834" w:rsidRPr="0015126D" w:rsidP="00C43834" w14:paraId="16E4AAC1" w14:textId="4EBACA3E">
            <w:pPr>
              <w:widowControl/>
              <w:autoSpaceDE/>
              <w:autoSpaceDN/>
              <w:adjustRightInd/>
              <w:ind w:left="0"/>
              <w:jc w:val="center"/>
              <w:rPr>
                <w:b/>
                <w:bCs/>
                <w:sz w:val="22"/>
                <w:szCs w:val="22"/>
              </w:rPr>
            </w:pPr>
            <w:r w:rsidRPr="0015126D">
              <w:rPr>
                <w:b/>
                <w:bCs/>
                <w:sz w:val="22"/>
                <w:szCs w:val="22"/>
              </w:rPr>
              <w:t>Per Entity Hour Burden</w:t>
            </w:r>
          </w:p>
        </w:tc>
        <w:tc>
          <w:tcPr>
            <w:tcW w:w="1515" w:type="dxa"/>
            <w:tcBorders>
              <w:top w:val="single" w:sz="4" w:space="0" w:color="auto"/>
              <w:left w:val="nil"/>
              <w:bottom w:val="single" w:sz="4" w:space="0" w:color="auto"/>
              <w:right w:val="nil"/>
            </w:tcBorders>
            <w:shd w:val="clear" w:color="auto" w:fill="auto"/>
            <w:vAlign w:val="bottom"/>
            <w:hideMark/>
          </w:tcPr>
          <w:p w:rsidR="00C43834" w:rsidRPr="0015126D" w:rsidP="00C43834" w14:paraId="5D776AA7" w14:textId="6EED8636">
            <w:pPr>
              <w:widowControl/>
              <w:autoSpaceDE/>
              <w:autoSpaceDN/>
              <w:adjustRightInd/>
              <w:ind w:left="0"/>
              <w:jc w:val="center"/>
              <w:rPr>
                <w:b/>
                <w:bCs/>
                <w:sz w:val="22"/>
                <w:szCs w:val="22"/>
              </w:rPr>
            </w:pPr>
            <w:r w:rsidRPr="0015126D">
              <w:rPr>
                <w:b/>
                <w:bCs/>
                <w:sz w:val="22"/>
                <w:szCs w:val="22"/>
              </w:rPr>
              <w:t>Hourly Labor Cost</w:t>
            </w:r>
          </w:p>
        </w:tc>
        <w:tc>
          <w:tcPr>
            <w:tcW w:w="1514" w:type="dxa"/>
            <w:tcBorders>
              <w:top w:val="single" w:sz="4" w:space="0" w:color="auto"/>
              <w:left w:val="nil"/>
              <w:bottom w:val="single" w:sz="4" w:space="0" w:color="auto"/>
              <w:right w:val="nil"/>
            </w:tcBorders>
            <w:shd w:val="clear" w:color="auto" w:fill="auto"/>
            <w:vAlign w:val="bottom"/>
            <w:hideMark/>
          </w:tcPr>
          <w:p w:rsidR="00C43834" w:rsidRPr="0015126D" w:rsidP="00C43834" w14:paraId="49437FE1" w14:textId="2942BD5B">
            <w:pPr>
              <w:widowControl/>
              <w:autoSpaceDE/>
              <w:autoSpaceDN/>
              <w:adjustRightInd/>
              <w:ind w:left="0"/>
              <w:jc w:val="center"/>
              <w:rPr>
                <w:b/>
                <w:bCs/>
                <w:sz w:val="22"/>
                <w:szCs w:val="22"/>
              </w:rPr>
            </w:pPr>
            <w:r w:rsidRPr="0015126D">
              <w:rPr>
                <w:b/>
                <w:bCs/>
                <w:sz w:val="22"/>
                <w:szCs w:val="22"/>
              </w:rPr>
              <w:t>Total Hour Burden</w:t>
            </w:r>
          </w:p>
        </w:tc>
        <w:tc>
          <w:tcPr>
            <w:tcW w:w="1515" w:type="dxa"/>
            <w:tcBorders>
              <w:top w:val="single" w:sz="4" w:space="0" w:color="auto"/>
              <w:left w:val="nil"/>
              <w:bottom w:val="single" w:sz="4" w:space="0" w:color="auto"/>
              <w:right w:val="nil"/>
            </w:tcBorders>
            <w:shd w:val="clear" w:color="auto" w:fill="auto"/>
            <w:vAlign w:val="bottom"/>
            <w:hideMark/>
          </w:tcPr>
          <w:p w:rsidR="00C43834" w:rsidRPr="0015126D" w:rsidP="00C43834" w14:paraId="3D8DB434" w14:textId="006709BB">
            <w:pPr>
              <w:widowControl/>
              <w:autoSpaceDE/>
              <w:autoSpaceDN/>
              <w:adjustRightInd/>
              <w:ind w:left="0"/>
              <w:jc w:val="center"/>
              <w:rPr>
                <w:b/>
                <w:bCs/>
                <w:sz w:val="22"/>
                <w:szCs w:val="22"/>
              </w:rPr>
            </w:pPr>
            <w:r w:rsidRPr="0015126D">
              <w:rPr>
                <w:b/>
                <w:bCs/>
                <w:sz w:val="22"/>
                <w:szCs w:val="22"/>
              </w:rPr>
              <w:t>Equivalent Cost</w:t>
            </w:r>
          </w:p>
        </w:tc>
      </w:tr>
      <w:tr w14:paraId="6F6F083A" w14:textId="77777777" w:rsidTr="0015126D">
        <w:tblPrEx>
          <w:tblW w:w="10002" w:type="dxa"/>
          <w:tblLayout w:type="fixed"/>
          <w:tblLook w:val="04A0"/>
        </w:tblPrEx>
        <w:trPr>
          <w:cantSplit/>
          <w:trHeight w:val="270"/>
          <w:tblHeader/>
        </w:trPr>
        <w:tc>
          <w:tcPr>
            <w:tcW w:w="2430" w:type="dxa"/>
            <w:tcBorders>
              <w:top w:val="single" w:sz="4" w:space="0" w:color="auto"/>
              <w:left w:val="nil"/>
              <w:bottom w:val="single" w:sz="4" w:space="0" w:color="auto"/>
              <w:right w:val="nil"/>
            </w:tcBorders>
            <w:shd w:val="clear" w:color="auto" w:fill="auto"/>
            <w:noWrap/>
            <w:vAlign w:val="bottom"/>
            <w:hideMark/>
          </w:tcPr>
          <w:p w:rsidR="00C43834" w:rsidRPr="0015126D" w:rsidP="00C43834" w14:paraId="3F7487A0" w14:textId="0BECEADB">
            <w:pPr>
              <w:widowControl/>
              <w:autoSpaceDE/>
              <w:autoSpaceDN/>
              <w:adjustRightInd/>
              <w:ind w:left="0"/>
              <w:rPr>
                <w:b/>
                <w:bCs/>
                <w:sz w:val="22"/>
                <w:szCs w:val="22"/>
              </w:rPr>
            </w:pPr>
            <w:r w:rsidRPr="0015126D">
              <w:rPr>
                <w:b/>
                <w:bCs/>
                <w:sz w:val="22"/>
                <w:szCs w:val="22"/>
              </w:rPr>
              <w:t> </w:t>
            </w:r>
          </w:p>
        </w:tc>
        <w:tc>
          <w:tcPr>
            <w:tcW w:w="1514" w:type="dxa"/>
            <w:tcBorders>
              <w:top w:val="single" w:sz="4" w:space="0" w:color="auto"/>
              <w:left w:val="nil"/>
              <w:bottom w:val="single" w:sz="4" w:space="0" w:color="auto"/>
              <w:right w:val="nil"/>
            </w:tcBorders>
            <w:shd w:val="clear" w:color="auto" w:fill="auto"/>
            <w:vAlign w:val="bottom"/>
            <w:hideMark/>
          </w:tcPr>
          <w:p w:rsidR="00C43834" w:rsidRPr="0015126D" w:rsidP="00C43834" w14:paraId="7483D17A" w14:textId="1AFA9593">
            <w:pPr>
              <w:widowControl/>
              <w:autoSpaceDE/>
              <w:autoSpaceDN/>
              <w:adjustRightInd/>
              <w:ind w:left="0"/>
              <w:jc w:val="center"/>
              <w:rPr>
                <w:b/>
                <w:bCs/>
                <w:sz w:val="22"/>
                <w:szCs w:val="22"/>
              </w:rPr>
            </w:pPr>
            <w:r w:rsidRPr="0015126D">
              <w:rPr>
                <w:b/>
                <w:bCs/>
                <w:sz w:val="22"/>
                <w:szCs w:val="22"/>
              </w:rPr>
              <w:t>(A)</w:t>
            </w:r>
          </w:p>
        </w:tc>
        <w:tc>
          <w:tcPr>
            <w:tcW w:w="1514" w:type="dxa"/>
            <w:tcBorders>
              <w:top w:val="single" w:sz="4" w:space="0" w:color="auto"/>
              <w:left w:val="nil"/>
              <w:bottom w:val="single" w:sz="4" w:space="0" w:color="auto"/>
              <w:right w:val="nil"/>
            </w:tcBorders>
            <w:shd w:val="clear" w:color="auto" w:fill="auto"/>
            <w:vAlign w:val="bottom"/>
            <w:hideMark/>
          </w:tcPr>
          <w:p w:rsidR="00C43834" w:rsidRPr="0015126D" w:rsidP="00C43834" w14:paraId="00082112" w14:textId="1A48EB3B">
            <w:pPr>
              <w:widowControl/>
              <w:autoSpaceDE/>
              <w:autoSpaceDN/>
              <w:adjustRightInd/>
              <w:ind w:left="0"/>
              <w:jc w:val="center"/>
              <w:rPr>
                <w:b/>
                <w:bCs/>
                <w:sz w:val="22"/>
                <w:szCs w:val="22"/>
              </w:rPr>
            </w:pPr>
            <w:r w:rsidRPr="0015126D">
              <w:rPr>
                <w:b/>
                <w:bCs/>
                <w:sz w:val="22"/>
                <w:szCs w:val="22"/>
              </w:rPr>
              <w:t>(B)</w:t>
            </w:r>
          </w:p>
        </w:tc>
        <w:tc>
          <w:tcPr>
            <w:tcW w:w="1515" w:type="dxa"/>
            <w:tcBorders>
              <w:top w:val="single" w:sz="4" w:space="0" w:color="auto"/>
              <w:left w:val="nil"/>
              <w:bottom w:val="single" w:sz="4" w:space="0" w:color="auto"/>
              <w:right w:val="nil"/>
            </w:tcBorders>
            <w:shd w:val="clear" w:color="auto" w:fill="auto"/>
            <w:noWrap/>
            <w:vAlign w:val="bottom"/>
            <w:hideMark/>
          </w:tcPr>
          <w:p w:rsidR="00C43834" w:rsidRPr="0015126D" w:rsidP="00C43834" w14:paraId="52E96ACE" w14:textId="7A7501EC">
            <w:pPr>
              <w:widowControl/>
              <w:autoSpaceDE/>
              <w:autoSpaceDN/>
              <w:adjustRightInd/>
              <w:ind w:left="0"/>
              <w:jc w:val="center"/>
              <w:rPr>
                <w:b/>
                <w:bCs/>
                <w:sz w:val="22"/>
                <w:szCs w:val="22"/>
              </w:rPr>
            </w:pPr>
            <w:r w:rsidRPr="0015126D">
              <w:rPr>
                <w:b/>
                <w:bCs/>
                <w:sz w:val="22"/>
                <w:szCs w:val="22"/>
              </w:rPr>
              <w:t>(C)</w:t>
            </w:r>
          </w:p>
        </w:tc>
        <w:tc>
          <w:tcPr>
            <w:tcW w:w="1514" w:type="dxa"/>
            <w:tcBorders>
              <w:top w:val="single" w:sz="4" w:space="0" w:color="auto"/>
              <w:left w:val="nil"/>
              <w:bottom w:val="single" w:sz="4" w:space="0" w:color="auto"/>
              <w:right w:val="nil"/>
            </w:tcBorders>
            <w:shd w:val="clear" w:color="auto" w:fill="auto"/>
            <w:noWrap/>
            <w:vAlign w:val="bottom"/>
            <w:hideMark/>
          </w:tcPr>
          <w:p w:rsidR="00C43834" w:rsidRPr="0015126D" w:rsidP="00C43834" w14:paraId="5FB354AD" w14:textId="4FC5ED77">
            <w:pPr>
              <w:widowControl/>
              <w:autoSpaceDE/>
              <w:autoSpaceDN/>
              <w:adjustRightInd/>
              <w:ind w:left="0"/>
              <w:jc w:val="center"/>
              <w:rPr>
                <w:b/>
                <w:bCs/>
                <w:sz w:val="22"/>
                <w:szCs w:val="22"/>
              </w:rPr>
            </w:pPr>
            <w:r w:rsidRPr="0015126D">
              <w:rPr>
                <w:b/>
                <w:bCs/>
                <w:sz w:val="22"/>
                <w:szCs w:val="22"/>
              </w:rPr>
              <w:t>(</w:t>
            </w:r>
            <w:r w:rsidRPr="0015126D">
              <w:rPr>
                <w:b/>
                <w:bCs/>
                <w:sz w:val="22"/>
                <w:szCs w:val="22"/>
              </w:rPr>
              <w:t xml:space="preserve">A </w:t>
            </w:r>
            <w:r w:rsidRPr="0015126D">
              <w:rPr>
                <w:rFonts w:ascii="Aptos Narrow" w:hAnsi="Aptos Narrow"/>
                <w:b/>
                <w:bCs/>
                <w:sz w:val="22"/>
                <w:szCs w:val="22"/>
              </w:rPr>
              <w:t>×</w:t>
            </w:r>
            <w:r w:rsidRPr="0015126D">
              <w:rPr>
                <w:b/>
                <w:bCs/>
                <w:sz w:val="22"/>
                <w:szCs w:val="22"/>
              </w:rPr>
              <w:t xml:space="preserve"> B</w:t>
            </w:r>
            <w:r w:rsidRPr="0015126D">
              <w:rPr>
                <w:b/>
                <w:bCs/>
                <w:sz w:val="22"/>
                <w:szCs w:val="22"/>
              </w:rPr>
              <w:t>)</w:t>
            </w:r>
          </w:p>
        </w:tc>
        <w:tc>
          <w:tcPr>
            <w:tcW w:w="1515" w:type="dxa"/>
            <w:tcBorders>
              <w:top w:val="single" w:sz="4" w:space="0" w:color="auto"/>
              <w:left w:val="nil"/>
              <w:bottom w:val="single" w:sz="4" w:space="0" w:color="auto"/>
              <w:right w:val="nil"/>
            </w:tcBorders>
            <w:shd w:val="clear" w:color="auto" w:fill="auto"/>
            <w:vAlign w:val="bottom"/>
            <w:hideMark/>
          </w:tcPr>
          <w:p w:rsidR="00C43834" w:rsidRPr="0015126D" w:rsidP="00C43834" w14:paraId="7DC45147" w14:textId="14AD4683">
            <w:pPr>
              <w:widowControl/>
              <w:autoSpaceDE/>
              <w:autoSpaceDN/>
              <w:adjustRightInd/>
              <w:ind w:left="0"/>
              <w:jc w:val="center"/>
              <w:rPr>
                <w:b/>
                <w:bCs/>
                <w:sz w:val="22"/>
                <w:szCs w:val="22"/>
              </w:rPr>
            </w:pPr>
            <w:r w:rsidRPr="0015126D">
              <w:rPr>
                <w:b/>
                <w:bCs/>
                <w:sz w:val="22"/>
                <w:szCs w:val="22"/>
              </w:rPr>
              <w:t>(</w:t>
            </w:r>
            <w:r w:rsidRPr="0015126D">
              <w:rPr>
                <w:b/>
                <w:bCs/>
                <w:sz w:val="22"/>
                <w:szCs w:val="22"/>
              </w:rPr>
              <w:t>A × B × C</w:t>
            </w:r>
            <w:r w:rsidRPr="0015126D">
              <w:rPr>
                <w:b/>
                <w:bCs/>
                <w:sz w:val="22"/>
                <w:szCs w:val="22"/>
              </w:rPr>
              <w:t>)</w:t>
            </w:r>
          </w:p>
        </w:tc>
      </w:tr>
      <w:tr w14:paraId="0B30FE8A" w14:textId="77777777" w:rsidTr="00646E11">
        <w:tblPrEx>
          <w:tblW w:w="10002" w:type="dxa"/>
          <w:tblLayout w:type="fixed"/>
          <w:tblLook w:val="04A0"/>
        </w:tblPrEx>
        <w:trPr>
          <w:trHeight w:val="575"/>
        </w:trPr>
        <w:tc>
          <w:tcPr>
            <w:tcW w:w="2430" w:type="dxa"/>
            <w:tcBorders>
              <w:top w:val="nil"/>
              <w:left w:val="nil"/>
              <w:bottom w:val="nil"/>
              <w:right w:val="nil"/>
            </w:tcBorders>
            <w:shd w:val="clear" w:color="auto" w:fill="auto"/>
            <w:vAlign w:val="bottom"/>
            <w:hideMark/>
          </w:tcPr>
          <w:p w:rsidR="00C43834" w:rsidRPr="0015126D" w:rsidP="00C43834" w14:paraId="119B8798" w14:textId="1400234B">
            <w:pPr>
              <w:widowControl/>
              <w:autoSpaceDE/>
              <w:autoSpaceDN/>
              <w:adjustRightInd/>
              <w:ind w:left="0"/>
              <w:rPr>
                <w:sz w:val="22"/>
                <w:szCs w:val="22"/>
              </w:rPr>
            </w:pPr>
            <w:r w:rsidRPr="0015126D">
              <w:rPr>
                <w:sz w:val="22"/>
                <w:szCs w:val="22"/>
              </w:rPr>
              <w:t>Prepare Written Notice: Accountants and Auditors</w:t>
            </w:r>
          </w:p>
        </w:tc>
        <w:tc>
          <w:tcPr>
            <w:tcW w:w="1514" w:type="dxa"/>
            <w:tcBorders>
              <w:top w:val="nil"/>
              <w:left w:val="nil"/>
              <w:bottom w:val="nil"/>
              <w:right w:val="nil"/>
            </w:tcBorders>
            <w:shd w:val="clear" w:color="auto" w:fill="auto"/>
            <w:noWrap/>
            <w:vAlign w:val="bottom"/>
            <w:hideMark/>
          </w:tcPr>
          <w:p w:rsidR="00C43834" w:rsidRPr="0015126D" w:rsidP="00C43834" w14:paraId="16AD82B3" w14:textId="6456BEA6">
            <w:pPr>
              <w:widowControl/>
              <w:autoSpaceDE/>
              <w:autoSpaceDN/>
              <w:adjustRightInd/>
              <w:ind w:left="0"/>
              <w:jc w:val="center"/>
              <w:rPr>
                <w:sz w:val="22"/>
                <w:szCs w:val="22"/>
              </w:rPr>
            </w:pPr>
            <w:r w:rsidRPr="0015126D">
              <w:rPr>
                <w:sz w:val="22"/>
                <w:szCs w:val="22"/>
              </w:rPr>
              <w:t>3</w:t>
            </w:r>
          </w:p>
        </w:tc>
        <w:tc>
          <w:tcPr>
            <w:tcW w:w="1514" w:type="dxa"/>
            <w:tcBorders>
              <w:top w:val="nil"/>
              <w:left w:val="nil"/>
              <w:bottom w:val="nil"/>
              <w:right w:val="nil"/>
            </w:tcBorders>
            <w:shd w:val="clear" w:color="auto" w:fill="auto"/>
            <w:noWrap/>
            <w:vAlign w:val="bottom"/>
            <w:hideMark/>
          </w:tcPr>
          <w:p w:rsidR="00C43834" w:rsidRPr="0015126D" w:rsidP="00C43834" w14:paraId="197BD483" w14:textId="6EDCCE4D">
            <w:pPr>
              <w:widowControl/>
              <w:autoSpaceDE/>
              <w:autoSpaceDN/>
              <w:adjustRightInd/>
              <w:ind w:left="0"/>
              <w:jc w:val="center"/>
              <w:rPr>
                <w:sz w:val="22"/>
                <w:szCs w:val="22"/>
              </w:rPr>
            </w:pPr>
            <w:r w:rsidRPr="0015126D">
              <w:rPr>
                <w:sz w:val="22"/>
                <w:szCs w:val="22"/>
              </w:rPr>
              <w:t>1</w:t>
            </w:r>
          </w:p>
        </w:tc>
        <w:tc>
          <w:tcPr>
            <w:tcW w:w="1515" w:type="dxa"/>
            <w:tcBorders>
              <w:top w:val="nil"/>
              <w:left w:val="nil"/>
              <w:bottom w:val="nil"/>
              <w:right w:val="nil"/>
            </w:tcBorders>
            <w:shd w:val="clear" w:color="auto" w:fill="auto"/>
            <w:noWrap/>
            <w:vAlign w:val="bottom"/>
            <w:hideMark/>
          </w:tcPr>
          <w:p w:rsidR="00C43834" w:rsidRPr="0015126D" w:rsidP="00C43834" w14:paraId="3E946401" w14:textId="27E364AC">
            <w:pPr>
              <w:widowControl/>
              <w:autoSpaceDE/>
              <w:autoSpaceDN/>
              <w:adjustRightInd/>
              <w:ind w:left="0"/>
              <w:jc w:val="center"/>
              <w:rPr>
                <w:sz w:val="22"/>
                <w:szCs w:val="22"/>
              </w:rPr>
            </w:pPr>
            <w:r w:rsidRPr="0015126D">
              <w:rPr>
                <w:sz w:val="22"/>
                <w:szCs w:val="22"/>
              </w:rPr>
              <w:t>$118.93</w:t>
            </w:r>
          </w:p>
        </w:tc>
        <w:tc>
          <w:tcPr>
            <w:tcW w:w="1514" w:type="dxa"/>
            <w:tcBorders>
              <w:top w:val="nil"/>
              <w:left w:val="nil"/>
              <w:bottom w:val="nil"/>
              <w:right w:val="nil"/>
            </w:tcBorders>
            <w:shd w:val="clear" w:color="auto" w:fill="auto"/>
            <w:noWrap/>
            <w:vAlign w:val="bottom"/>
            <w:hideMark/>
          </w:tcPr>
          <w:p w:rsidR="00C43834" w:rsidRPr="0015126D" w:rsidP="00C43834" w14:paraId="5DCD5FF7" w14:textId="5999E855">
            <w:pPr>
              <w:widowControl/>
              <w:autoSpaceDE/>
              <w:autoSpaceDN/>
              <w:adjustRightInd/>
              <w:ind w:left="0"/>
              <w:jc w:val="center"/>
              <w:rPr>
                <w:sz w:val="22"/>
                <w:szCs w:val="22"/>
              </w:rPr>
            </w:pPr>
            <w:r w:rsidRPr="0015126D">
              <w:rPr>
                <w:sz w:val="22"/>
                <w:szCs w:val="22"/>
              </w:rPr>
              <w:t>3.0</w:t>
            </w:r>
            <w:r w:rsidRPr="0015126D" w:rsidR="00495528">
              <w:rPr>
                <w:sz w:val="22"/>
                <w:szCs w:val="22"/>
              </w:rPr>
              <w:t>0</w:t>
            </w:r>
          </w:p>
        </w:tc>
        <w:tc>
          <w:tcPr>
            <w:tcW w:w="1515" w:type="dxa"/>
            <w:tcBorders>
              <w:top w:val="nil"/>
              <w:left w:val="nil"/>
              <w:bottom w:val="nil"/>
              <w:right w:val="nil"/>
            </w:tcBorders>
            <w:shd w:val="clear" w:color="auto" w:fill="auto"/>
            <w:noWrap/>
            <w:vAlign w:val="bottom"/>
            <w:hideMark/>
          </w:tcPr>
          <w:p w:rsidR="00C43834" w:rsidRPr="0015126D" w:rsidP="00646E11" w14:paraId="2AE76C43" w14:textId="658966F8">
            <w:pPr>
              <w:widowControl/>
              <w:autoSpaceDE/>
              <w:autoSpaceDN/>
              <w:adjustRightInd/>
              <w:ind w:left="0"/>
              <w:jc w:val="right"/>
              <w:rPr>
                <w:sz w:val="22"/>
                <w:szCs w:val="22"/>
              </w:rPr>
            </w:pPr>
            <w:r w:rsidRPr="0015126D">
              <w:rPr>
                <w:sz w:val="22"/>
                <w:szCs w:val="22"/>
              </w:rPr>
              <w:t>$35</w:t>
            </w:r>
            <w:r w:rsidRPr="0015126D" w:rsidR="00623444">
              <w:rPr>
                <w:sz w:val="22"/>
                <w:szCs w:val="22"/>
              </w:rPr>
              <w:t>7</w:t>
            </w:r>
          </w:p>
        </w:tc>
      </w:tr>
      <w:tr w14:paraId="3C67B8B5" w14:textId="77777777" w:rsidTr="00646E11">
        <w:tblPrEx>
          <w:tblW w:w="10002" w:type="dxa"/>
          <w:tblLayout w:type="fixed"/>
          <w:tblLook w:val="04A0"/>
        </w:tblPrEx>
        <w:trPr>
          <w:trHeight w:val="522"/>
        </w:trPr>
        <w:tc>
          <w:tcPr>
            <w:tcW w:w="2430" w:type="dxa"/>
            <w:tcBorders>
              <w:top w:val="nil"/>
              <w:left w:val="nil"/>
              <w:right w:val="nil"/>
            </w:tcBorders>
            <w:shd w:val="clear" w:color="auto" w:fill="auto"/>
            <w:vAlign w:val="bottom"/>
            <w:hideMark/>
          </w:tcPr>
          <w:p w:rsidR="00C43834" w:rsidRPr="0015126D" w:rsidP="00C43834" w14:paraId="71A1B073" w14:textId="56017A89">
            <w:pPr>
              <w:widowControl/>
              <w:autoSpaceDE/>
              <w:autoSpaceDN/>
              <w:adjustRightInd/>
              <w:ind w:left="0"/>
              <w:rPr>
                <w:sz w:val="22"/>
                <w:szCs w:val="22"/>
              </w:rPr>
            </w:pPr>
            <w:r w:rsidRPr="0015126D">
              <w:rPr>
                <w:sz w:val="22"/>
                <w:szCs w:val="22"/>
              </w:rPr>
              <w:t>Prepare Written Notice: Clerical Personnel</w:t>
            </w:r>
          </w:p>
        </w:tc>
        <w:tc>
          <w:tcPr>
            <w:tcW w:w="1514" w:type="dxa"/>
            <w:tcBorders>
              <w:top w:val="nil"/>
              <w:left w:val="nil"/>
              <w:right w:val="nil"/>
            </w:tcBorders>
            <w:shd w:val="clear" w:color="auto" w:fill="auto"/>
            <w:noWrap/>
            <w:vAlign w:val="bottom"/>
            <w:hideMark/>
          </w:tcPr>
          <w:p w:rsidR="00C43834" w:rsidRPr="0015126D" w:rsidP="00C43834" w14:paraId="62FB0E15" w14:textId="11C6B8C8">
            <w:pPr>
              <w:widowControl/>
              <w:autoSpaceDE/>
              <w:autoSpaceDN/>
              <w:adjustRightInd/>
              <w:ind w:left="0"/>
              <w:jc w:val="center"/>
              <w:rPr>
                <w:sz w:val="22"/>
                <w:szCs w:val="22"/>
              </w:rPr>
            </w:pPr>
            <w:r w:rsidRPr="0015126D">
              <w:rPr>
                <w:sz w:val="22"/>
                <w:szCs w:val="22"/>
              </w:rPr>
              <w:t>3</w:t>
            </w:r>
          </w:p>
        </w:tc>
        <w:tc>
          <w:tcPr>
            <w:tcW w:w="1514" w:type="dxa"/>
            <w:tcBorders>
              <w:top w:val="nil"/>
              <w:left w:val="nil"/>
              <w:right w:val="nil"/>
            </w:tcBorders>
            <w:shd w:val="clear" w:color="auto" w:fill="auto"/>
            <w:noWrap/>
            <w:vAlign w:val="bottom"/>
            <w:hideMark/>
          </w:tcPr>
          <w:p w:rsidR="00C43834" w:rsidRPr="0015126D" w:rsidP="00C43834" w14:paraId="54582175" w14:textId="0FAB9BE3">
            <w:pPr>
              <w:widowControl/>
              <w:autoSpaceDE/>
              <w:autoSpaceDN/>
              <w:adjustRightInd/>
              <w:ind w:left="0"/>
              <w:jc w:val="center"/>
              <w:rPr>
                <w:sz w:val="22"/>
                <w:szCs w:val="22"/>
              </w:rPr>
            </w:pPr>
            <w:r w:rsidRPr="0015126D">
              <w:rPr>
                <w:sz w:val="22"/>
                <w:szCs w:val="22"/>
              </w:rPr>
              <w:t>30/60</w:t>
            </w:r>
          </w:p>
        </w:tc>
        <w:tc>
          <w:tcPr>
            <w:tcW w:w="1515" w:type="dxa"/>
            <w:tcBorders>
              <w:top w:val="nil"/>
              <w:left w:val="nil"/>
              <w:right w:val="nil"/>
            </w:tcBorders>
            <w:shd w:val="clear" w:color="auto" w:fill="auto"/>
            <w:noWrap/>
            <w:vAlign w:val="bottom"/>
            <w:hideMark/>
          </w:tcPr>
          <w:p w:rsidR="00C43834" w:rsidRPr="0015126D" w:rsidP="00C43834" w14:paraId="54085993" w14:textId="45881507">
            <w:pPr>
              <w:widowControl/>
              <w:autoSpaceDE/>
              <w:autoSpaceDN/>
              <w:adjustRightInd/>
              <w:ind w:left="0"/>
              <w:jc w:val="center"/>
              <w:rPr>
                <w:sz w:val="22"/>
                <w:szCs w:val="22"/>
              </w:rPr>
            </w:pPr>
            <w:r w:rsidRPr="0015126D">
              <w:rPr>
                <w:sz w:val="22"/>
                <w:szCs w:val="22"/>
              </w:rPr>
              <w:t>$69.41</w:t>
            </w:r>
          </w:p>
        </w:tc>
        <w:tc>
          <w:tcPr>
            <w:tcW w:w="1514" w:type="dxa"/>
            <w:tcBorders>
              <w:top w:val="nil"/>
              <w:left w:val="nil"/>
              <w:right w:val="nil"/>
            </w:tcBorders>
            <w:shd w:val="clear" w:color="auto" w:fill="auto"/>
            <w:noWrap/>
            <w:vAlign w:val="bottom"/>
            <w:hideMark/>
          </w:tcPr>
          <w:p w:rsidR="00C43834" w:rsidRPr="0015126D" w:rsidP="00C43834" w14:paraId="5F612E99" w14:textId="109B84EA">
            <w:pPr>
              <w:widowControl/>
              <w:autoSpaceDE/>
              <w:autoSpaceDN/>
              <w:adjustRightInd/>
              <w:ind w:left="0"/>
              <w:jc w:val="center"/>
              <w:rPr>
                <w:sz w:val="22"/>
                <w:szCs w:val="22"/>
              </w:rPr>
            </w:pPr>
            <w:r w:rsidRPr="0015126D">
              <w:rPr>
                <w:sz w:val="22"/>
                <w:szCs w:val="22"/>
              </w:rPr>
              <w:t>1.50</w:t>
            </w:r>
          </w:p>
        </w:tc>
        <w:tc>
          <w:tcPr>
            <w:tcW w:w="1515" w:type="dxa"/>
            <w:tcBorders>
              <w:top w:val="nil"/>
              <w:left w:val="nil"/>
              <w:right w:val="nil"/>
            </w:tcBorders>
            <w:shd w:val="clear" w:color="auto" w:fill="auto"/>
            <w:noWrap/>
            <w:vAlign w:val="bottom"/>
            <w:hideMark/>
          </w:tcPr>
          <w:p w:rsidR="00C43834" w:rsidRPr="0015126D" w:rsidP="00646E11" w14:paraId="2E458763" w14:textId="30F35656">
            <w:pPr>
              <w:widowControl/>
              <w:autoSpaceDE/>
              <w:autoSpaceDN/>
              <w:adjustRightInd/>
              <w:ind w:left="0"/>
              <w:jc w:val="right"/>
              <w:rPr>
                <w:sz w:val="22"/>
                <w:szCs w:val="22"/>
              </w:rPr>
            </w:pPr>
            <w:r w:rsidRPr="0015126D">
              <w:rPr>
                <w:sz w:val="22"/>
                <w:szCs w:val="22"/>
              </w:rPr>
              <w:t>$104</w:t>
            </w:r>
          </w:p>
        </w:tc>
      </w:tr>
      <w:tr w14:paraId="0701FFD5" w14:textId="77777777" w:rsidTr="00646E11">
        <w:tblPrEx>
          <w:tblW w:w="10002" w:type="dxa"/>
          <w:tblLayout w:type="fixed"/>
          <w:tblLook w:val="04A0"/>
        </w:tblPrEx>
        <w:trPr>
          <w:trHeight w:val="549"/>
        </w:trPr>
        <w:tc>
          <w:tcPr>
            <w:tcW w:w="2430" w:type="dxa"/>
            <w:tcBorders>
              <w:top w:val="nil"/>
              <w:left w:val="nil"/>
              <w:bottom w:val="nil"/>
              <w:right w:val="nil"/>
            </w:tcBorders>
            <w:shd w:val="clear" w:color="auto" w:fill="auto"/>
            <w:vAlign w:val="bottom"/>
            <w:hideMark/>
          </w:tcPr>
          <w:p w:rsidR="00C43834" w:rsidRPr="0015126D" w:rsidP="00C43834" w14:paraId="7225C620" w14:textId="67EF8C6D">
            <w:pPr>
              <w:widowControl/>
              <w:autoSpaceDE/>
              <w:autoSpaceDN/>
              <w:adjustRightInd/>
              <w:ind w:left="0"/>
              <w:rPr>
                <w:sz w:val="22"/>
                <w:szCs w:val="22"/>
              </w:rPr>
            </w:pPr>
            <w:r w:rsidRPr="0015126D">
              <w:rPr>
                <w:sz w:val="22"/>
                <w:szCs w:val="22"/>
              </w:rPr>
              <w:t>Distribute Written Notice: Clerical Personnel</w:t>
            </w:r>
          </w:p>
        </w:tc>
        <w:tc>
          <w:tcPr>
            <w:tcW w:w="1514" w:type="dxa"/>
            <w:tcBorders>
              <w:top w:val="nil"/>
              <w:left w:val="nil"/>
              <w:bottom w:val="nil"/>
              <w:right w:val="nil"/>
            </w:tcBorders>
            <w:shd w:val="clear" w:color="auto" w:fill="auto"/>
            <w:noWrap/>
            <w:vAlign w:val="bottom"/>
            <w:hideMark/>
          </w:tcPr>
          <w:p w:rsidR="00C43834" w:rsidRPr="0015126D" w:rsidP="00C43834" w14:paraId="2E2EB9AE" w14:textId="6BEB19D2">
            <w:pPr>
              <w:widowControl/>
              <w:autoSpaceDE/>
              <w:autoSpaceDN/>
              <w:adjustRightInd/>
              <w:ind w:left="0"/>
              <w:jc w:val="center"/>
              <w:rPr>
                <w:sz w:val="22"/>
                <w:szCs w:val="22"/>
              </w:rPr>
            </w:pPr>
            <w:r w:rsidRPr="0015126D">
              <w:rPr>
                <w:sz w:val="22"/>
                <w:szCs w:val="22"/>
              </w:rPr>
              <w:t>22</w:t>
            </w:r>
          </w:p>
        </w:tc>
        <w:tc>
          <w:tcPr>
            <w:tcW w:w="1514" w:type="dxa"/>
            <w:tcBorders>
              <w:top w:val="nil"/>
              <w:left w:val="nil"/>
              <w:bottom w:val="nil"/>
              <w:right w:val="nil"/>
            </w:tcBorders>
            <w:shd w:val="clear" w:color="auto" w:fill="auto"/>
            <w:noWrap/>
            <w:vAlign w:val="bottom"/>
            <w:hideMark/>
          </w:tcPr>
          <w:p w:rsidR="00C43834" w:rsidRPr="0015126D" w:rsidP="00C43834" w14:paraId="51960C05" w14:textId="354A8088">
            <w:pPr>
              <w:widowControl/>
              <w:autoSpaceDE/>
              <w:autoSpaceDN/>
              <w:adjustRightInd/>
              <w:ind w:left="0"/>
              <w:jc w:val="center"/>
              <w:rPr>
                <w:sz w:val="22"/>
                <w:szCs w:val="22"/>
              </w:rPr>
            </w:pPr>
            <w:r w:rsidRPr="0015126D">
              <w:rPr>
                <w:sz w:val="22"/>
                <w:szCs w:val="22"/>
              </w:rPr>
              <w:t>2/60</w:t>
            </w:r>
          </w:p>
        </w:tc>
        <w:tc>
          <w:tcPr>
            <w:tcW w:w="1515" w:type="dxa"/>
            <w:tcBorders>
              <w:top w:val="nil"/>
              <w:left w:val="nil"/>
              <w:bottom w:val="nil"/>
              <w:right w:val="nil"/>
            </w:tcBorders>
            <w:shd w:val="clear" w:color="auto" w:fill="auto"/>
            <w:noWrap/>
            <w:vAlign w:val="bottom"/>
            <w:hideMark/>
          </w:tcPr>
          <w:p w:rsidR="00C43834" w:rsidRPr="0015126D" w:rsidP="00C43834" w14:paraId="0458046C" w14:textId="0631A2F9">
            <w:pPr>
              <w:widowControl/>
              <w:autoSpaceDE/>
              <w:autoSpaceDN/>
              <w:adjustRightInd/>
              <w:ind w:left="0"/>
              <w:jc w:val="center"/>
              <w:rPr>
                <w:sz w:val="22"/>
                <w:szCs w:val="22"/>
              </w:rPr>
            </w:pPr>
            <w:r w:rsidRPr="0015126D">
              <w:rPr>
                <w:sz w:val="22"/>
                <w:szCs w:val="22"/>
              </w:rPr>
              <w:t>$69.41</w:t>
            </w:r>
          </w:p>
        </w:tc>
        <w:tc>
          <w:tcPr>
            <w:tcW w:w="1514" w:type="dxa"/>
            <w:tcBorders>
              <w:top w:val="nil"/>
              <w:left w:val="nil"/>
              <w:bottom w:val="double" w:sz="4" w:space="0" w:color="auto"/>
              <w:right w:val="nil"/>
            </w:tcBorders>
            <w:shd w:val="clear" w:color="auto" w:fill="auto"/>
            <w:noWrap/>
            <w:vAlign w:val="bottom"/>
            <w:hideMark/>
          </w:tcPr>
          <w:p w:rsidR="00C43834" w:rsidRPr="0015126D" w:rsidP="00C43834" w14:paraId="3FAE463A" w14:textId="3945DB76">
            <w:pPr>
              <w:widowControl/>
              <w:autoSpaceDE/>
              <w:autoSpaceDN/>
              <w:adjustRightInd/>
              <w:ind w:left="0"/>
              <w:jc w:val="center"/>
              <w:rPr>
                <w:sz w:val="22"/>
                <w:szCs w:val="22"/>
              </w:rPr>
            </w:pPr>
            <w:r w:rsidRPr="0015126D">
              <w:rPr>
                <w:sz w:val="22"/>
                <w:szCs w:val="22"/>
              </w:rPr>
              <w:t>44/60</w:t>
            </w:r>
          </w:p>
        </w:tc>
        <w:tc>
          <w:tcPr>
            <w:tcW w:w="1515" w:type="dxa"/>
            <w:tcBorders>
              <w:top w:val="nil"/>
              <w:left w:val="nil"/>
              <w:bottom w:val="double" w:sz="4" w:space="0" w:color="auto"/>
              <w:right w:val="nil"/>
            </w:tcBorders>
            <w:shd w:val="clear" w:color="auto" w:fill="auto"/>
            <w:noWrap/>
            <w:vAlign w:val="bottom"/>
            <w:hideMark/>
          </w:tcPr>
          <w:p w:rsidR="00C43834" w:rsidRPr="0015126D" w:rsidP="00646E11" w14:paraId="1BC8F23E" w14:textId="0243E834">
            <w:pPr>
              <w:widowControl/>
              <w:autoSpaceDE/>
              <w:autoSpaceDN/>
              <w:adjustRightInd/>
              <w:ind w:left="0"/>
              <w:jc w:val="right"/>
              <w:rPr>
                <w:sz w:val="22"/>
                <w:szCs w:val="22"/>
              </w:rPr>
            </w:pPr>
            <w:r w:rsidRPr="0015126D">
              <w:rPr>
                <w:sz w:val="22"/>
                <w:szCs w:val="22"/>
              </w:rPr>
              <w:t>$5</w:t>
            </w:r>
            <w:r w:rsidRPr="0015126D" w:rsidR="00623444">
              <w:rPr>
                <w:sz w:val="22"/>
                <w:szCs w:val="22"/>
              </w:rPr>
              <w:t>1</w:t>
            </w:r>
          </w:p>
        </w:tc>
      </w:tr>
      <w:tr w14:paraId="47C9DA52" w14:textId="77777777" w:rsidTr="00BA6078">
        <w:tblPrEx>
          <w:tblW w:w="10002" w:type="dxa"/>
          <w:tblLayout w:type="fixed"/>
          <w:tblLook w:val="04A0"/>
        </w:tblPrEx>
        <w:trPr>
          <w:trHeight w:val="285"/>
        </w:trPr>
        <w:tc>
          <w:tcPr>
            <w:tcW w:w="2430" w:type="dxa"/>
            <w:tcBorders>
              <w:top w:val="single" w:sz="4" w:space="0" w:color="auto"/>
              <w:left w:val="nil"/>
              <w:bottom w:val="single" w:sz="4" w:space="0" w:color="auto"/>
              <w:right w:val="nil"/>
            </w:tcBorders>
            <w:shd w:val="clear" w:color="auto" w:fill="auto"/>
            <w:noWrap/>
            <w:vAlign w:val="bottom"/>
            <w:hideMark/>
          </w:tcPr>
          <w:p w:rsidR="00C43834" w:rsidRPr="0015126D" w:rsidP="00C43834" w14:paraId="72C0308B" w14:textId="6BC69A22">
            <w:pPr>
              <w:widowControl/>
              <w:autoSpaceDE/>
              <w:autoSpaceDN/>
              <w:adjustRightInd/>
              <w:ind w:left="0"/>
              <w:rPr>
                <w:sz w:val="22"/>
                <w:szCs w:val="22"/>
              </w:rPr>
            </w:pPr>
            <w:r w:rsidRPr="0015126D">
              <w:rPr>
                <w:sz w:val="22"/>
                <w:szCs w:val="22"/>
              </w:rPr>
              <w:t> </w:t>
            </w:r>
          </w:p>
        </w:tc>
        <w:tc>
          <w:tcPr>
            <w:tcW w:w="1514" w:type="dxa"/>
            <w:tcBorders>
              <w:top w:val="single" w:sz="4" w:space="0" w:color="auto"/>
              <w:left w:val="nil"/>
              <w:bottom w:val="single" w:sz="4" w:space="0" w:color="auto"/>
              <w:right w:val="nil"/>
            </w:tcBorders>
            <w:shd w:val="clear" w:color="auto" w:fill="auto"/>
            <w:noWrap/>
            <w:vAlign w:val="bottom"/>
            <w:hideMark/>
          </w:tcPr>
          <w:p w:rsidR="00C43834" w:rsidRPr="0015126D" w:rsidP="00C43834" w14:paraId="52133E1B" w14:textId="577B8F44">
            <w:pPr>
              <w:widowControl/>
              <w:autoSpaceDE/>
              <w:autoSpaceDN/>
              <w:adjustRightInd/>
              <w:ind w:left="0"/>
              <w:rPr>
                <w:sz w:val="22"/>
                <w:szCs w:val="22"/>
              </w:rPr>
            </w:pPr>
            <w:r w:rsidRPr="0015126D">
              <w:rPr>
                <w:sz w:val="22"/>
                <w:szCs w:val="22"/>
              </w:rPr>
              <w:t> </w:t>
            </w:r>
          </w:p>
        </w:tc>
        <w:tc>
          <w:tcPr>
            <w:tcW w:w="1514" w:type="dxa"/>
            <w:tcBorders>
              <w:top w:val="single" w:sz="4" w:space="0" w:color="auto"/>
              <w:left w:val="nil"/>
              <w:bottom w:val="single" w:sz="4" w:space="0" w:color="auto"/>
              <w:right w:val="nil"/>
            </w:tcBorders>
            <w:shd w:val="clear" w:color="auto" w:fill="auto"/>
            <w:noWrap/>
            <w:vAlign w:val="bottom"/>
            <w:hideMark/>
          </w:tcPr>
          <w:p w:rsidR="00C43834" w:rsidRPr="0015126D" w:rsidP="00C43834" w14:paraId="47426428" w14:textId="3A341598">
            <w:pPr>
              <w:widowControl/>
              <w:autoSpaceDE/>
              <w:autoSpaceDN/>
              <w:adjustRightInd/>
              <w:ind w:left="0"/>
              <w:rPr>
                <w:sz w:val="22"/>
                <w:szCs w:val="22"/>
              </w:rPr>
            </w:pPr>
            <w:r w:rsidRPr="0015126D">
              <w:rPr>
                <w:sz w:val="22"/>
                <w:szCs w:val="22"/>
              </w:rPr>
              <w:t> </w:t>
            </w:r>
          </w:p>
        </w:tc>
        <w:tc>
          <w:tcPr>
            <w:tcW w:w="1515" w:type="dxa"/>
            <w:tcBorders>
              <w:top w:val="single" w:sz="4" w:space="0" w:color="auto"/>
              <w:left w:val="nil"/>
              <w:bottom w:val="single" w:sz="4" w:space="0" w:color="auto"/>
              <w:right w:val="nil"/>
            </w:tcBorders>
            <w:shd w:val="clear" w:color="auto" w:fill="auto"/>
            <w:noWrap/>
            <w:vAlign w:val="bottom"/>
            <w:hideMark/>
          </w:tcPr>
          <w:p w:rsidR="00C43834" w:rsidRPr="0015126D" w:rsidP="00C43834" w14:paraId="59091DE8" w14:textId="3D13F294">
            <w:pPr>
              <w:widowControl/>
              <w:autoSpaceDE/>
              <w:autoSpaceDN/>
              <w:adjustRightInd/>
              <w:ind w:left="0"/>
              <w:jc w:val="right"/>
              <w:rPr>
                <w:b/>
                <w:bCs/>
                <w:sz w:val="22"/>
                <w:szCs w:val="22"/>
              </w:rPr>
            </w:pPr>
            <w:r w:rsidRPr="0015126D">
              <w:rPr>
                <w:b/>
                <w:bCs/>
                <w:sz w:val="22"/>
                <w:szCs w:val="22"/>
              </w:rPr>
              <w:t>Total</w:t>
            </w:r>
          </w:p>
        </w:tc>
        <w:tc>
          <w:tcPr>
            <w:tcW w:w="1514" w:type="dxa"/>
            <w:tcBorders>
              <w:top w:val="double" w:sz="4" w:space="0" w:color="auto"/>
              <w:left w:val="nil"/>
              <w:bottom w:val="single" w:sz="4" w:space="0" w:color="auto"/>
              <w:right w:val="nil"/>
            </w:tcBorders>
            <w:shd w:val="clear" w:color="auto" w:fill="auto"/>
            <w:noWrap/>
            <w:vAlign w:val="bottom"/>
            <w:hideMark/>
          </w:tcPr>
          <w:p w:rsidR="00C43834" w:rsidRPr="0015126D" w:rsidP="00C43834" w14:paraId="4DCD4325" w14:textId="7DEDF4EA">
            <w:pPr>
              <w:widowControl/>
              <w:autoSpaceDE/>
              <w:autoSpaceDN/>
              <w:adjustRightInd/>
              <w:ind w:left="0"/>
              <w:jc w:val="center"/>
              <w:rPr>
                <w:b/>
                <w:bCs/>
                <w:sz w:val="22"/>
                <w:szCs w:val="22"/>
              </w:rPr>
            </w:pPr>
            <w:r w:rsidRPr="0015126D">
              <w:rPr>
                <w:b/>
                <w:bCs/>
                <w:sz w:val="22"/>
                <w:szCs w:val="22"/>
              </w:rPr>
              <w:t>5</w:t>
            </w:r>
          </w:p>
        </w:tc>
        <w:tc>
          <w:tcPr>
            <w:tcW w:w="1515" w:type="dxa"/>
            <w:tcBorders>
              <w:top w:val="double" w:sz="4" w:space="0" w:color="auto"/>
              <w:left w:val="nil"/>
              <w:bottom w:val="single" w:sz="4" w:space="0" w:color="auto"/>
              <w:right w:val="nil"/>
            </w:tcBorders>
            <w:shd w:val="clear" w:color="auto" w:fill="auto"/>
            <w:noWrap/>
            <w:vAlign w:val="bottom"/>
            <w:hideMark/>
          </w:tcPr>
          <w:p w:rsidR="00C43834" w:rsidRPr="0015126D" w:rsidP="00C43834" w14:paraId="5695B191" w14:textId="2CD9AEEA">
            <w:pPr>
              <w:widowControl/>
              <w:autoSpaceDE/>
              <w:autoSpaceDN/>
              <w:adjustRightInd/>
              <w:ind w:left="0"/>
              <w:jc w:val="right"/>
              <w:rPr>
                <w:b/>
                <w:bCs/>
                <w:sz w:val="22"/>
                <w:szCs w:val="22"/>
              </w:rPr>
            </w:pPr>
            <w:r w:rsidRPr="0015126D">
              <w:rPr>
                <w:b/>
                <w:bCs/>
                <w:sz w:val="22"/>
                <w:szCs w:val="22"/>
              </w:rPr>
              <w:t>$51</w:t>
            </w:r>
            <w:r w:rsidRPr="0015126D" w:rsidR="00623444">
              <w:rPr>
                <w:b/>
                <w:bCs/>
                <w:sz w:val="22"/>
                <w:szCs w:val="22"/>
              </w:rPr>
              <w:t>2</w:t>
            </w:r>
          </w:p>
        </w:tc>
      </w:tr>
    </w:tbl>
    <w:p w:rsidR="00B13E02" w:rsidP="00903B1C" w14:paraId="62758BFA" w14:textId="77777777">
      <w:pPr>
        <w:widowControl/>
        <w:ind w:left="1440"/>
      </w:pPr>
    </w:p>
    <w:p w:rsidR="00B13E02" w:rsidP="00903B1C" w14:paraId="5287E58A" w14:textId="0A624CBE">
      <w:pPr>
        <w:pStyle w:val="BodyText"/>
        <w:widowControl/>
        <w:ind w:left="720"/>
        <w:rPr>
          <w:i/>
        </w:rPr>
      </w:pPr>
      <w:r w:rsidRPr="00DF7CC0">
        <w:rPr>
          <w:b/>
        </w:rPr>
        <w:t xml:space="preserve">PTE </w:t>
      </w:r>
      <w:r w:rsidR="00D536A7">
        <w:rPr>
          <w:b/>
        </w:rPr>
        <w:t>20</w:t>
      </w:r>
      <w:r w:rsidRPr="00DF7CC0">
        <w:rPr>
          <w:b/>
        </w:rPr>
        <w:t>03-39</w:t>
      </w:r>
      <w:r>
        <w:rPr>
          <w:b/>
        </w:rPr>
        <w:t xml:space="preserve">. </w:t>
      </w:r>
      <w:r>
        <w:t xml:space="preserve">The exemption requires the terms of the settlement to be described in a written document. </w:t>
      </w:r>
      <w:r w:rsidR="008D31F9">
        <w:t>T</w:t>
      </w:r>
      <w:r w:rsidRPr="008D31F9" w:rsidR="008D31F9">
        <w:t xml:space="preserve">he </w:t>
      </w:r>
      <w:r w:rsidR="008D31F9">
        <w:t xml:space="preserve">exemption also requires the </w:t>
      </w:r>
      <w:r w:rsidRPr="008D31F9" w:rsidR="008D31F9">
        <w:t xml:space="preserve">authorizing fiduciary acting on behalf of the plan </w:t>
      </w:r>
      <w:r w:rsidR="008D31F9">
        <w:t>t</w:t>
      </w:r>
      <w:r w:rsidR="00E37ED2">
        <w:t>o</w:t>
      </w:r>
      <w:r w:rsidRPr="008D31F9" w:rsidR="008D31F9">
        <w:t xml:space="preserve"> acknowledge in writing that </w:t>
      </w:r>
      <w:r w:rsidR="00B9069C">
        <w:t>it is</w:t>
      </w:r>
      <w:r w:rsidRPr="008D31F9" w:rsidR="008D31F9">
        <w:t xml:space="preserve"> a fiduciary with respect to the settlement of the litigation on behalf of the plan.</w:t>
      </w:r>
      <w:r w:rsidR="00322394">
        <w:t xml:space="preserve"> </w:t>
      </w:r>
      <w:r>
        <w:t xml:space="preserve">Because </w:t>
      </w:r>
      <w:r w:rsidR="004B7F2A">
        <w:t>these are</w:t>
      </w:r>
      <w:r>
        <w:t xml:space="preserve"> usual and customary business practice</w:t>
      </w:r>
      <w:r w:rsidR="004B7F2A">
        <w:t>s</w:t>
      </w:r>
      <w:r>
        <w:t>, there is no additional hour burden attributed to this provision.</w:t>
      </w:r>
    </w:p>
    <w:p w:rsidR="00A700A0" w:rsidP="00021D03" w14:paraId="6466CD1B" w14:textId="3EB981ED">
      <w:pPr>
        <w:pStyle w:val="BodyText"/>
        <w:widowControl/>
      </w:pPr>
    </w:p>
    <w:p w:rsidR="00A77082" w:rsidP="00021D03" w14:paraId="1435F146" w14:textId="17787EBE">
      <w:pPr>
        <w:pStyle w:val="BodyText"/>
        <w:widowControl/>
      </w:pPr>
      <w:r>
        <w:rPr>
          <w:b/>
        </w:rPr>
        <w:t>Summary</w:t>
      </w:r>
    </w:p>
    <w:p w:rsidR="00A77082" w:rsidP="00021D03" w14:paraId="664DAC9C" w14:textId="48EF6F72">
      <w:pPr>
        <w:pStyle w:val="BodyText"/>
        <w:widowControl/>
      </w:pPr>
    </w:p>
    <w:p w:rsidR="00A66F62" w:rsidP="00021D03" w14:paraId="3FDD4F3C" w14:textId="5DB2394E">
      <w:pPr>
        <w:pStyle w:val="BodyText"/>
        <w:widowControl/>
      </w:pPr>
      <w:r>
        <w:rPr>
          <w:b/>
          <w:sz w:val="22"/>
          <w:szCs w:val="22"/>
        </w:rPr>
        <w:t>TABLE</w:t>
      </w:r>
      <w:r w:rsidRPr="0015126D">
        <w:rPr>
          <w:b/>
          <w:sz w:val="22"/>
          <w:szCs w:val="22"/>
        </w:rPr>
        <w:t xml:space="preserve"> 2.--</w:t>
      </w:r>
      <w:r w:rsidRPr="0015126D">
        <w:rPr>
          <w:b/>
          <w:i/>
          <w:iCs/>
          <w:sz w:val="22"/>
          <w:szCs w:val="22"/>
        </w:rPr>
        <w:t>Estimated Annualized Respondent Cost and Hour Burden</w:t>
      </w:r>
    </w:p>
    <w:tbl>
      <w:tblPr>
        <w:tblStyle w:val="TableGrid"/>
        <w:tblCaption w:val="Burden Table"/>
        <w:tblDescription w:val="Table is a template for calculating burden within an information collection.  "/>
        <w:tblW w:w="10530" w:type="dxa"/>
        <w:jc w:val="center"/>
        <w:tblLayout w:type="fixed"/>
        <w:tblLook w:val="04A0"/>
      </w:tblPr>
      <w:tblGrid>
        <w:gridCol w:w="2065"/>
        <w:gridCol w:w="1440"/>
        <w:gridCol w:w="1350"/>
        <w:gridCol w:w="1260"/>
        <w:gridCol w:w="1170"/>
        <w:gridCol w:w="990"/>
        <w:gridCol w:w="900"/>
        <w:gridCol w:w="1355"/>
      </w:tblGrid>
      <w:tr w14:paraId="5FB13737" w14:textId="77777777" w:rsidTr="0015126D">
        <w:tblPrEx>
          <w:tblW w:w="10530" w:type="dxa"/>
          <w:jc w:val="center"/>
          <w:tblLayout w:type="fixed"/>
          <w:tblLook w:val="04A0"/>
        </w:tblPrEx>
        <w:trPr>
          <w:cantSplit/>
          <w:trHeight w:val="1052"/>
          <w:tblHeader/>
          <w:jc w:val="center"/>
        </w:trPr>
        <w:tc>
          <w:tcPr>
            <w:tcW w:w="2065" w:type="dxa"/>
            <w:shd w:val="clear" w:color="000000" w:fill="8DB3E2"/>
            <w:vAlign w:val="center"/>
          </w:tcPr>
          <w:p w:rsidR="00C43834" w:rsidRPr="0015126D" w:rsidP="00C43834" w14:paraId="654E4D6A" w14:textId="71FD747A">
            <w:pPr>
              <w:pStyle w:val="BodyText"/>
              <w:rPr>
                <w:b/>
                <w:bCs/>
                <w:sz w:val="22"/>
                <w:szCs w:val="22"/>
              </w:rPr>
            </w:pPr>
            <w:r w:rsidRPr="0015126D">
              <w:rPr>
                <w:b/>
                <w:bCs/>
                <w:color w:val="000000"/>
                <w:sz w:val="22"/>
                <w:szCs w:val="22"/>
              </w:rPr>
              <w:t>Activity</w:t>
            </w:r>
          </w:p>
        </w:tc>
        <w:tc>
          <w:tcPr>
            <w:tcW w:w="1440" w:type="dxa"/>
            <w:shd w:val="clear" w:color="000000" w:fill="8DB3E2"/>
            <w:vAlign w:val="center"/>
          </w:tcPr>
          <w:p w:rsidR="00C43834" w:rsidRPr="0015126D" w:rsidP="00C43834" w14:paraId="07FCBA98" w14:textId="236A7298">
            <w:pPr>
              <w:pStyle w:val="BodyText"/>
              <w:jc w:val="center"/>
              <w:rPr>
                <w:b/>
                <w:bCs/>
                <w:sz w:val="22"/>
                <w:szCs w:val="22"/>
              </w:rPr>
            </w:pPr>
            <w:r w:rsidRPr="0015126D">
              <w:rPr>
                <w:b/>
                <w:bCs/>
                <w:color w:val="000000"/>
                <w:sz w:val="22"/>
                <w:szCs w:val="22"/>
              </w:rPr>
              <w:t>Number of Respondents</w:t>
            </w:r>
          </w:p>
        </w:tc>
        <w:tc>
          <w:tcPr>
            <w:tcW w:w="1350" w:type="dxa"/>
            <w:shd w:val="clear" w:color="000000" w:fill="8DB3E2"/>
            <w:vAlign w:val="center"/>
          </w:tcPr>
          <w:p w:rsidR="00C43834" w:rsidRPr="0015126D" w:rsidP="00C43834" w14:paraId="058F1FF4" w14:textId="45BAF7E0">
            <w:pPr>
              <w:pStyle w:val="BodyText"/>
              <w:jc w:val="center"/>
              <w:rPr>
                <w:b/>
                <w:bCs/>
                <w:sz w:val="22"/>
                <w:szCs w:val="22"/>
              </w:rPr>
            </w:pPr>
            <w:r w:rsidRPr="0015126D">
              <w:rPr>
                <w:b/>
                <w:bCs/>
                <w:color w:val="000000"/>
                <w:sz w:val="22"/>
                <w:szCs w:val="22"/>
              </w:rPr>
              <w:t>Number of Responses per Respondent</w:t>
            </w:r>
          </w:p>
        </w:tc>
        <w:tc>
          <w:tcPr>
            <w:tcW w:w="1260" w:type="dxa"/>
            <w:shd w:val="clear" w:color="000000" w:fill="8DB3E2"/>
            <w:vAlign w:val="center"/>
          </w:tcPr>
          <w:p w:rsidR="00C43834" w:rsidRPr="0015126D" w:rsidP="00C43834" w14:paraId="5EC99919" w14:textId="30C4313B">
            <w:pPr>
              <w:pStyle w:val="BodyText"/>
              <w:jc w:val="center"/>
              <w:rPr>
                <w:b/>
                <w:bCs/>
                <w:sz w:val="22"/>
                <w:szCs w:val="22"/>
              </w:rPr>
            </w:pPr>
            <w:r w:rsidRPr="0015126D">
              <w:rPr>
                <w:b/>
                <w:bCs/>
                <w:color w:val="000000"/>
                <w:sz w:val="22"/>
                <w:szCs w:val="22"/>
              </w:rPr>
              <w:t>Total Responses</w:t>
            </w:r>
          </w:p>
        </w:tc>
        <w:tc>
          <w:tcPr>
            <w:tcW w:w="1170" w:type="dxa"/>
            <w:shd w:val="clear" w:color="000000" w:fill="8DB3E2"/>
            <w:vAlign w:val="center"/>
          </w:tcPr>
          <w:p w:rsidR="00C43834" w:rsidRPr="0015126D" w:rsidP="00C43834" w14:paraId="77033C87" w14:textId="121E252D">
            <w:pPr>
              <w:pStyle w:val="BodyText"/>
              <w:jc w:val="center"/>
              <w:rPr>
                <w:b/>
                <w:bCs/>
                <w:sz w:val="22"/>
                <w:szCs w:val="22"/>
              </w:rPr>
            </w:pPr>
            <w:r w:rsidRPr="0015126D">
              <w:rPr>
                <w:b/>
                <w:bCs/>
                <w:color w:val="000000"/>
                <w:sz w:val="22"/>
                <w:szCs w:val="22"/>
              </w:rPr>
              <w:t>Average Burden per Response</w:t>
            </w:r>
          </w:p>
        </w:tc>
        <w:tc>
          <w:tcPr>
            <w:tcW w:w="990" w:type="dxa"/>
            <w:shd w:val="clear" w:color="000000" w:fill="8DB3E2"/>
            <w:vAlign w:val="center"/>
          </w:tcPr>
          <w:p w:rsidR="00C43834" w:rsidRPr="0015126D" w:rsidP="00C43834" w14:paraId="52360F30" w14:textId="2984D826">
            <w:pPr>
              <w:pStyle w:val="BodyText"/>
              <w:jc w:val="center"/>
              <w:rPr>
                <w:b/>
                <w:bCs/>
                <w:sz w:val="22"/>
                <w:szCs w:val="22"/>
              </w:rPr>
            </w:pPr>
            <w:r w:rsidRPr="0015126D">
              <w:rPr>
                <w:b/>
                <w:bCs/>
                <w:color w:val="000000"/>
                <w:sz w:val="22"/>
                <w:szCs w:val="22"/>
              </w:rPr>
              <w:t>Total Burden (Hours)</w:t>
            </w:r>
          </w:p>
        </w:tc>
        <w:tc>
          <w:tcPr>
            <w:tcW w:w="900" w:type="dxa"/>
            <w:shd w:val="clear" w:color="000000" w:fill="8DB3E2"/>
            <w:vAlign w:val="center"/>
          </w:tcPr>
          <w:p w:rsidR="00C43834" w:rsidRPr="0015126D" w:rsidP="00C43834" w14:paraId="7EF17FEC" w14:textId="6864ECC0">
            <w:pPr>
              <w:pStyle w:val="BodyText"/>
              <w:jc w:val="center"/>
              <w:rPr>
                <w:b/>
                <w:bCs/>
                <w:sz w:val="22"/>
                <w:szCs w:val="22"/>
              </w:rPr>
            </w:pPr>
            <w:r w:rsidRPr="0015126D">
              <w:rPr>
                <w:b/>
                <w:bCs/>
                <w:color w:val="000000"/>
                <w:sz w:val="22"/>
                <w:szCs w:val="22"/>
              </w:rPr>
              <w:t>Hourly Rate</w:t>
            </w:r>
          </w:p>
        </w:tc>
        <w:tc>
          <w:tcPr>
            <w:tcW w:w="1355" w:type="dxa"/>
            <w:shd w:val="clear" w:color="000000" w:fill="8DB3E2"/>
            <w:vAlign w:val="center"/>
          </w:tcPr>
          <w:p w:rsidR="00C43834" w:rsidRPr="0015126D" w:rsidP="00C43834" w14:paraId="11C5789F" w14:textId="38E8DCDE">
            <w:pPr>
              <w:pStyle w:val="BodyText"/>
              <w:jc w:val="center"/>
              <w:rPr>
                <w:b/>
                <w:bCs/>
                <w:sz w:val="22"/>
                <w:szCs w:val="22"/>
              </w:rPr>
            </w:pPr>
            <w:r w:rsidRPr="0015126D">
              <w:rPr>
                <w:b/>
                <w:bCs/>
                <w:color w:val="000000"/>
                <w:sz w:val="22"/>
                <w:szCs w:val="22"/>
              </w:rPr>
              <w:t>Equivalent Cost of Hour Burden</w:t>
            </w:r>
          </w:p>
        </w:tc>
      </w:tr>
      <w:tr w14:paraId="6D812363" w14:textId="77777777">
        <w:tblPrEx>
          <w:tblW w:w="10530" w:type="dxa"/>
          <w:jc w:val="center"/>
          <w:tblLayout w:type="fixed"/>
          <w:tblLook w:val="04A0"/>
        </w:tblPrEx>
        <w:trPr>
          <w:jc w:val="center"/>
        </w:trPr>
        <w:tc>
          <w:tcPr>
            <w:tcW w:w="10530" w:type="dxa"/>
            <w:gridSpan w:val="8"/>
            <w:shd w:val="clear" w:color="auto" w:fill="auto"/>
            <w:vAlign w:val="center"/>
          </w:tcPr>
          <w:p w:rsidR="00F65FDC" w:rsidRPr="0015126D" w:rsidP="009223EE" w14:paraId="26001DBA" w14:textId="49839190">
            <w:pPr>
              <w:pStyle w:val="BodyText"/>
              <w:rPr>
                <w:b/>
                <w:bCs/>
                <w:sz w:val="22"/>
                <w:szCs w:val="22"/>
              </w:rPr>
            </w:pPr>
            <w:r w:rsidRPr="0015126D">
              <w:rPr>
                <w:b/>
                <w:bCs/>
                <w:sz w:val="22"/>
                <w:szCs w:val="22"/>
              </w:rPr>
              <w:t>PTE 94-71</w:t>
            </w:r>
          </w:p>
        </w:tc>
      </w:tr>
      <w:tr w14:paraId="3F456598" w14:textId="77777777" w:rsidTr="0015126D">
        <w:tblPrEx>
          <w:tblW w:w="10530" w:type="dxa"/>
          <w:jc w:val="center"/>
          <w:tblLayout w:type="fixed"/>
          <w:tblLook w:val="04A0"/>
        </w:tblPrEx>
        <w:trPr>
          <w:jc w:val="center"/>
        </w:trPr>
        <w:tc>
          <w:tcPr>
            <w:tcW w:w="2065" w:type="dxa"/>
            <w:shd w:val="clear" w:color="auto" w:fill="auto"/>
            <w:vAlign w:val="center"/>
          </w:tcPr>
          <w:p w:rsidR="00C43834" w:rsidRPr="0015126D" w:rsidP="00C43834" w14:paraId="2CA00F73" w14:textId="1257E148">
            <w:pPr>
              <w:pStyle w:val="BodyText"/>
              <w:rPr>
                <w:sz w:val="22"/>
                <w:szCs w:val="22"/>
              </w:rPr>
            </w:pPr>
            <w:r w:rsidRPr="0015126D">
              <w:rPr>
                <w:sz w:val="22"/>
                <w:szCs w:val="22"/>
              </w:rPr>
              <w:t>Prepare Written Notice: Accountants and Auditors</w:t>
            </w:r>
          </w:p>
        </w:tc>
        <w:tc>
          <w:tcPr>
            <w:tcW w:w="1440" w:type="dxa"/>
            <w:shd w:val="clear" w:color="auto" w:fill="auto"/>
            <w:vAlign w:val="center"/>
          </w:tcPr>
          <w:p w:rsidR="00C43834" w:rsidRPr="0015126D" w:rsidP="00C43834" w14:paraId="137D79C9" w14:textId="17523F46">
            <w:pPr>
              <w:pStyle w:val="BodyText"/>
              <w:jc w:val="center"/>
              <w:rPr>
                <w:sz w:val="22"/>
                <w:szCs w:val="22"/>
              </w:rPr>
            </w:pPr>
            <w:r w:rsidRPr="0015126D">
              <w:rPr>
                <w:sz w:val="22"/>
                <w:szCs w:val="22"/>
              </w:rPr>
              <w:t>3</w:t>
            </w:r>
          </w:p>
        </w:tc>
        <w:tc>
          <w:tcPr>
            <w:tcW w:w="1350" w:type="dxa"/>
            <w:shd w:val="clear" w:color="auto" w:fill="auto"/>
            <w:vAlign w:val="center"/>
          </w:tcPr>
          <w:p w:rsidR="00C43834" w:rsidRPr="0015126D" w:rsidP="00C43834" w14:paraId="4FB5C0AD" w14:textId="70843267">
            <w:pPr>
              <w:pStyle w:val="BodyText"/>
              <w:jc w:val="center"/>
              <w:rPr>
                <w:sz w:val="22"/>
                <w:szCs w:val="22"/>
              </w:rPr>
            </w:pPr>
            <w:r w:rsidRPr="0015126D">
              <w:rPr>
                <w:sz w:val="22"/>
                <w:szCs w:val="22"/>
              </w:rPr>
              <w:t>1</w:t>
            </w:r>
          </w:p>
        </w:tc>
        <w:tc>
          <w:tcPr>
            <w:tcW w:w="1260" w:type="dxa"/>
            <w:shd w:val="clear" w:color="auto" w:fill="auto"/>
            <w:vAlign w:val="center"/>
          </w:tcPr>
          <w:p w:rsidR="00C43834" w:rsidRPr="0015126D" w:rsidP="00C43834" w14:paraId="0AAD9095" w14:textId="699FF1FD">
            <w:pPr>
              <w:pStyle w:val="BodyText"/>
              <w:jc w:val="center"/>
              <w:rPr>
                <w:sz w:val="22"/>
                <w:szCs w:val="22"/>
              </w:rPr>
            </w:pPr>
            <w:r w:rsidRPr="0015126D">
              <w:rPr>
                <w:sz w:val="22"/>
                <w:szCs w:val="22"/>
              </w:rPr>
              <w:t>3</w:t>
            </w:r>
          </w:p>
        </w:tc>
        <w:tc>
          <w:tcPr>
            <w:tcW w:w="1170" w:type="dxa"/>
            <w:shd w:val="clear" w:color="auto" w:fill="auto"/>
            <w:vAlign w:val="center"/>
          </w:tcPr>
          <w:p w:rsidR="00C43834" w:rsidRPr="0015126D" w:rsidP="00C43834" w14:paraId="3F904E8A" w14:textId="5C9F92C9">
            <w:pPr>
              <w:pStyle w:val="BodyText"/>
              <w:jc w:val="center"/>
              <w:rPr>
                <w:sz w:val="22"/>
                <w:szCs w:val="22"/>
              </w:rPr>
            </w:pPr>
            <w:r w:rsidRPr="0015126D">
              <w:rPr>
                <w:sz w:val="22"/>
                <w:szCs w:val="22"/>
              </w:rPr>
              <w:t>1</w:t>
            </w:r>
          </w:p>
        </w:tc>
        <w:tc>
          <w:tcPr>
            <w:tcW w:w="990" w:type="dxa"/>
            <w:shd w:val="clear" w:color="auto" w:fill="auto"/>
            <w:vAlign w:val="center"/>
          </w:tcPr>
          <w:p w:rsidR="00C43834" w:rsidRPr="0015126D" w:rsidP="00C43834" w14:paraId="1E21D6A2" w14:textId="523751E0">
            <w:pPr>
              <w:pStyle w:val="BodyText"/>
              <w:jc w:val="center"/>
              <w:rPr>
                <w:sz w:val="22"/>
                <w:szCs w:val="22"/>
              </w:rPr>
            </w:pPr>
            <w:r w:rsidRPr="0015126D">
              <w:rPr>
                <w:sz w:val="22"/>
                <w:szCs w:val="22"/>
              </w:rPr>
              <w:t>3</w:t>
            </w:r>
          </w:p>
        </w:tc>
        <w:tc>
          <w:tcPr>
            <w:tcW w:w="900" w:type="dxa"/>
            <w:shd w:val="clear" w:color="auto" w:fill="auto"/>
            <w:vAlign w:val="center"/>
          </w:tcPr>
          <w:p w:rsidR="00C43834" w:rsidRPr="0015126D" w:rsidP="00C43834" w14:paraId="1333B7CE" w14:textId="33A1F58C">
            <w:pPr>
              <w:pStyle w:val="BodyText"/>
              <w:jc w:val="center"/>
              <w:rPr>
                <w:sz w:val="22"/>
                <w:szCs w:val="22"/>
              </w:rPr>
            </w:pPr>
            <w:r w:rsidRPr="0015126D">
              <w:rPr>
                <w:sz w:val="22"/>
                <w:szCs w:val="22"/>
              </w:rPr>
              <w:t xml:space="preserve">$118.93 </w:t>
            </w:r>
          </w:p>
        </w:tc>
        <w:tc>
          <w:tcPr>
            <w:tcW w:w="1355" w:type="dxa"/>
            <w:shd w:val="clear" w:color="auto" w:fill="auto"/>
            <w:vAlign w:val="center"/>
          </w:tcPr>
          <w:p w:rsidR="00C43834" w:rsidRPr="0015126D" w:rsidP="00C43834" w14:paraId="421F2118" w14:textId="56E7C595">
            <w:pPr>
              <w:pStyle w:val="BodyText"/>
              <w:jc w:val="center"/>
              <w:rPr>
                <w:sz w:val="22"/>
                <w:szCs w:val="22"/>
              </w:rPr>
            </w:pPr>
            <w:r w:rsidRPr="0015126D">
              <w:rPr>
                <w:sz w:val="22"/>
                <w:szCs w:val="22"/>
              </w:rPr>
              <w:t>$35</w:t>
            </w:r>
            <w:r w:rsidRPr="0015126D" w:rsidR="00BA6078">
              <w:rPr>
                <w:sz w:val="22"/>
                <w:szCs w:val="22"/>
              </w:rPr>
              <w:t>7</w:t>
            </w:r>
            <w:r w:rsidRPr="0015126D">
              <w:rPr>
                <w:sz w:val="22"/>
                <w:szCs w:val="22"/>
              </w:rPr>
              <w:t xml:space="preserve"> </w:t>
            </w:r>
          </w:p>
        </w:tc>
      </w:tr>
      <w:tr w14:paraId="5A9F2A71" w14:textId="77777777" w:rsidTr="0015126D">
        <w:tblPrEx>
          <w:tblW w:w="10530" w:type="dxa"/>
          <w:jc w:val="center"/>
          <w:tblLayout w:type="fixed"/>
          <w:tblLook w:val="04A0"/>
        </w:tblPrEx>
        <w:trPr>
          <w:jc w:val="center"/>
        </w:trPr>
        <w:tc>
          <w:tcPr>
            <w:tcW w:w="2065" w:type="dxa"/>
            <w:shd w:val="clear" w:color="auto" w:fill="auto"/>
            <w:vAlign w:val="center"/>
          </w:tcPr>
          <w:p w:rsidR="00C43834" w:rsidRPr="0015126D" w:rsidP="00C43834" w14:paraId="645743D2" w14:textId="567F99F6">
            <w:pPr>
              <w:pStyle w:val="BodyText"/>
              <w:rPr>
                <w:sz w:val="22"/>
                <w:szCs w:val="22"/>
              </w:rPr>
            </w:pPr>
            <w:r w:rsidRPr="0015126D">
              <w:rPr>
                <w:sz w:val="22"/>
                <w:szCs w:val="22"/>
              </w:rPr>
              <w:t>Prepare Written Notice: Clerical Personnel</w:t>
            </w:r>
          </w:p>
        </w:tc>
        <w:tc>
          <w:tcPr>
            <w:tcW w:w="1440" w:type="dxa"/>
            <w:shd w:val="clear" w:color="auto" w:fill="auto"/>
            <w:vAlign w:val="center"/>
          </w:tcPr>
          <w:p w:rsidR="00C43834" w:rsidRPr="0015126D" w:rsidP="00C43834" w14:paraId="02D1B3B2" w14:textId="259FDA54">
            <w:pPr>
              <w:pStyle w:val="BodyText"/>
              <w:jc w:val="center"/>
              <w:rPr>
                <w:sz w:val="22"/>
                <w:szCs w:val="22"/>
              </w:rPr>
            </w:pPr>
            <w:r w:rsidRPr="0015126D">
              <w:rPr>
                <w:sz w:val="22"/>
                <w:szCs w:val="22"/>
              </w:rPr>
              <w:t>3</w:t>
            </w:r>
          </w:p>
        </w:tc>
        <w:tc>
          <w:tcPr>
            <w:tcW w:w="1350" w:type="dxa"/>
            <w:shd w:val="clear" w:color="auto" w:fill="auto"/>
            <w:vAlign w:val="center"/>
          </w:tcPr>
          <w:p w:rsidR="00C43834" w:rsidRPr="0015126D" w:rsidP="00C43834" w14:paraId="41E7766D" w14:textId="6C10A9E3">
            <w:pPr>
              <w:pStyle w:val="BodyText"/>
              <w:jc w:val="center"/>
              <w:rPr>
                <w:sz w:val="22"/>
                <w:szCs w:val="22"/>
              </w:rPr>
            </w:pPr>
            <w:r w:rsidRPr="0015126D">
              <w:rPr>
                <w:sz w:val="22"/>
                <w:szCs w:val="22"/>
              </w:rPr>
              <w:t>1</w:t>
            </w:r>
          </w:p>
        </w:tc>
        <w:tc>
          <w:tcPr>
            <w:tcW w:w="1260" w:type="dxa"/>
            <w:shd w:val="clear" w:color="auto" w:fill="auto"/>
            <w:vAlign w:val="center"/>
          </w:tcPr>
          <w:p w:rsidR="00C43834" w:rsidRPr="0015126D" w:rsidP="00C43834" w14:paraId="67B7075E" w14:textId="3011C069">
            <w:pPr>
              <w:pStyle w:val="BodyText"/>
              <w:jc w:val="center"/>
              <w:rPr>
                <w:sz w:val="22"/>
                <w:szCs w:val="22"/>
              </w:rPr>
            </w:pPr>
            <w:r w:rsidRPr="0015126D">
              <w:rPr>
                <w:sz w:val="22"/>
                <w:szCs w:val="22"/>
              </w:rPr>
              <w:t>3</w:t>
            </w:r>
          </w:p>
        </w:tc>
        <w:tc>
          <w:tcPr>
            <w:tcW w:w="1170" w:type="dxa"/>
            <w:shd w:val="clear" w:color="auto" w:fill="auto"/>
            <w:vAlign w:val="center"/>
          </w:tcPr>
          <w:p w:rsidR="00C43834" w:rsidRPr="0015126D" w:rsidP="00C43834" w14:paraId="73A294D6" w14:textId="4BC151F3">
            <w:pPr>
              <w:pStyle w:val="BodyText"/>
              <w:jc w:val="center"/>
              <w:rPr>
                <w:sz w:val="22"/>
                <w:szCs w:val="22"/>
              </w:rPr>
            </w:pPr>
            <w:r w:rsidRPr="0015126D">
              <w:rPr>
                <w:sz w:val="22"/>
                <w:szCs w:val="22"/>
              </w:rPr>
              <w:t>30/60</w:t>
            </w:r>
          </w:p>
        </w:tc>
        <w:tc>
          <w:tcPr>
            <w:tcW w:w="990" w:type="dxa"/>
            <w:shd w:val="clear" w:color="auto" w:fill="auto"/>
            <w:vAlign w:val="center"/>
          </w:tcPr>
          <w:p w:rsidR="00C43834" w:rsidRPr="0015126D" w:rsidP="00C43834" w14:paraId="3F34C0F7" w14:textId="71312036">
            <w:pPr>
              <w:pStyle w:val="BodyText"/>
              <w:jc w:val="center"/>
              <w:rPr>
                <w:sz w:val="22"/>
                <w:szCs w:val="22"/>
              </w:rPr>
            </w:pPr>
            <w:r w:rsidRPr="0015126D">
              <w:rPr>
                <w:sz w:val="22"/>
                <w:szCs w:val="22"/>
              </w:rPr>
              <w:t xml:space="preserve">1.50 </w:t>
            </w:r>
          </w:p>
        </w:tc>
        <w:tc>
          <w:tcPr>
            <w:tcW w:w="900" w:type="dxa"/>
            <w:shd w:val="clear" w:color="auto" w:fill="auto"/>
            <w:vAlign w:val="center"/>
          </w:tcPr>
          <w:p w:rsidR="00C43834" w:rsidRPr="0015126D" w:rsidP="00C43834" w14:paraId="65DB9ADF" w14:textId="152A3F38">
            <w:pPr>
              <w:pStyle w:val="BodyText"/>
              <w:jc w:val="center"/>
              <w:rPr>
                <w:sz w:val="22"/>
                <w:szCs w:val="22"/>
              </w:rPr>
            </w:pPr>
            <w:r w:rsidRPr="0015126D">
              <w:rPr>
                <w:sz w:val="22"/>
                <w:szCs w:val="22"/>
              </w:rPr>
              <w:t xml:space="preserve">$69.41 </w:t>
            </w:r>
          </w:p>
        </w:tc>
        <w:tc>
          <w:tcPr>
            <w:tcW w:w="1355" w:type="dxa"/>
            <w:shd w:val="clear" w:color="auto" w:fill="auto"/>
            <w:vAlign w:val="center"/>
          </w:tcPr>
          <w:p w:rsidR="00C43834" w:rsidRPr="0015126D" w:rsidP="00C43834" w14:paraId="34D1405E" w14:textId="790D623D">
            <w:pPr>
              <w:pStyle w:val="BodyText"/>
              <w:jc w:val="center"/>
              <w:rPr>
                <w:sz w:val="22"/>
                <w:szCs w:val="22"/>
              </w:rPr>
            </w:pPr>
            <w:r w:rsidRPr="0015126D">
              <w:rPr>
                <w:sz w:val="22"/>
                <w:szCs w:val="22"/>
              </w:rPr>
              <w:t>$104</w:t>
            </w:r>
          </w:p>
        </w:tc>
      </w:tr>
      <w:tr w14:paraId="015A079B" w14:textId="77777777" w:rsidTr="0015126D">
        <w:tblPrEx>
          <w:tblW w:w="10530" w:type="dxa"/>
          <w:jc w:val="center"/>
          <w:tblLayout w:type="fixed"/>
          <w:tblLook w:val="04A0"/>
        </w:tblPrEx>
        <w:trPr>
          <w:trHeight w:val="287"/>
          <w:jc w:val="center"/>
        </w:trPr>
        <w:tc>
          <w:tcPr>
            <w:tcW w:w="2065" w:type="dxa"/>
            <w:shd w:val="clear" w:color="auto" w:fill="auto"/>
            <w:vAlign w:val="center"/>
          </w:tcPr>
          <w:p w:rsidR="00495528" w:rsidRPr="0015126D" w:rsidP="00495528" w14:paraId="272C1827" w14:textId="7FAFBFFF">
            <w:pPr>
              <w:pStyle w:val="BodyText"/>
              <w:rPr>
                <w:sz w:val="22"/>
                <w:szCs w:val="22"/>
              </w:rPr>
            </w:pPr>
            <w:r w:rsidRPr="0015126D">
              <w:rPr>
                <w:sz w:val="22"/>
                <w:szCs w:val="22"/>
              </w:rPr>
              <w:t>Distribute Written Notice: Clerical Personnel</w:t>
            </w:r>
          </w:p>
        </w:tc>
        <w:tc>
          <w:tcPr>
            <w:tcW w:w="1440" w:type="dxa"/>
            <w:shd w:val="clear" w:color="auto" w:fill="auto"/>
            <w:vAlign w:val="center"/>
          </w:tcPr>
          <w:p w:rsidR="00495528" w:rsidRPr="0015126D" w:rsidP="00495528" w14:paraId="61A7679C" w14:textId="1886A1F5">
            <w:pPr>
              <w:pStyle w:val="BodyText"/>
              <w:jc w:val="center"/>
              <w:rPr>
                <w:sz w:val="22"/>
                <w:szCs w:val="22"/>
              </w:rPr>
            </w:pPr>
            <w:r w:rsidRPr="0015126D">
              <w:rPr>
                <w:sz w:val="22"/>
                <w:szCs w:val="22"/>
              </w:rPr>
              <w:t>3</w:t>
            </w:r>
          </w:p>
        </w:tc>
        <w:tc>
          <w:tcPr>
            <w:tcW w:w="1350" w:type="dxa"/>
            <w:shd w:val="clear" w:color="auto" w:fill="auto"/>
            <w:vAlign w:val="center"/>
          </w:tcPr>
          <w:p w:rsidR="00495528" w:rsidRPr="0015126D" w:rsidP="00495528" w14:paraId="6E3EA489" w14:textId="1BAD19D3">
            <w:pPr>
              <w:pStyle w:val="BodyText"/>
              <w:jc w:val="center"/>
              <w:rPr>
                <w:sz w:val="22"/>
                <w:szCs w:val="22"/>
              </w:rPr>
            </w:pPr>
            <w:r w:rsidRPr="0015126D">
              <w:rPr>
                <w:sz w:val="22"/>
                <w:szCs w:val="22"/>
              </w:rPr>
              <w:t>7</w:t>
            </w:r>
          </w:p>
        </w:tc>
        <w:tc>
          <w:tcPr>
            <w:tcW w:w="1260" w:type="dxa"/>
            <w:shd w:val="clear" w:color="auto" w:fill="auto"/>
            <w:vAlign w:val="center"/>
          </w:tcPr>
          <w:p w:rsidR="00495528" w:rsidRPr="0015126D" w:rsidP="00495528" w14:paraId="743B05F1" w14:textId="4091E473">
            <w:pPr>
              <w:pStyle w:val="BodyText"/>
              <w:jc w:val="center"/>
              <w:rPr>
                <w:sz w:val="22"/>
                <w:szCs w:val="22"/>
              </w:rPr>
            </w:pPr>
            <w:r w:rsidRPr="0015126D">
              <w:rPr>
                <w:sz w:val="22"/>
                <w:szCs w:val="22"/>
              </w:rPr>
              <w:t>22</w:t>
            </w:r>
          </w:p>
        </w:tc>
        <w:tc>
          <w:tcPr>
            <w:tcW w:w="1170" w:type="dxa"/>
            <w:shd w:val="clear" w:color="auto" w:fill="auto"/>
            <w:vAlign w:val="center"/>
          </w:tcPr>
          <w:p w:rsidR="00495528" w:rsidRPr="0015126D" w:rsidP="00495528" w14:paraId="175FD73A" w14:textId="6F77CAEC">
            <w:pPr>
              <w:pStyle w:val="BodyText"/>
              <w:jc w:val="center"/>
              <w:rPr>
                <w:sz w:val="22"/>
                <w:szCs w:val="22"/>
              </w:rPr>
            </w:pPr>
            <w:r w:rsidRPr="0015126D">
              <w:rPr>
                <w:sz w:val="22"/>
                <w:szCs w:val="22"/>
              </w:rPr>
              <w:t xml:space="preserve"> 2/60</w:t>
            </w:r>
          </w:p>
        </w:tc>
        <w:tc>
          <w:tcPr>
            <w:tcW w:w="990" w:type="dxa"/>
            <w:shd w:val="clear" w:color="auto" w:fill="auto"/>
            <w:vAlign w:val="center"/>
          </w:tcPr>
          <w:p w:rsidR="00495528" w:rsidRPr="0015126D" w:rsidP="00495528" w14:paraId="52D09C78" w14:textId="52EBA0F0">
            <w:pPr>
              <w:pStyle w:val="BodyText"/>
              <w:jc w:val="center"/>
              <w:rPr>
                <w:sz w:val="22"/>
                <w:szCs w:val="22"/>
              </w:rPr>
            </w:pPr>
            <w:r w:rsidRPr="0015126D">
              <w:rPr>
                <w:sz w:val="22"/>
                <w:szCs w:val="22"/>
              </w:rPr>
              <w:t>44/60</w:t>
            </w:r>
          </w:p>
        </w:tc>
        <w:tc>
          <w:tcPr>
            <w:tcW w:w="900" w:type="dxa"/>
            <w:shd w:val="clear" w:color="auto" w:fill="auto"/>
            <w:vAlign w:val="center"/>
          </w:tcPr>
          <w:p w:rsidR="00495528" w:rsidRPr="0015126D" w:rsidP="00495528" w14:paraId="280F7D9D" w14:textId="2DCD6A3D">
            <w:pPr>
              <w:pStyle w:val="BodyText"/>
              <w:jc w:val="center"/>
              <w:rPr>
                <w:sz w:val="22"/>
                <w:szCs w:val="22"/>
              </w:rPr>
            </w:pPr>
            <w:r w:rsidRPr="0015126D">
              <w:rPr>
                <w:sz w:val="22"/>
                <w:szCs w:val="22"/>
              </w:rPr>
              <w:t xml:space="preserve">$69.410 </w:t>
            </w:r>
          </w:p>
        </w:tc>
        <w:tc>
          <w:tcPr>
            <w:tcW w:w="1355" w:type="dxa"/>
            <w:shd w:val="clear" w:color="auto" w:fill="auto"/>
            <w:vAlign w:val="center"/>
          </w:tcPr>
          <w:p w:rsidR="00495528" w:rsidRPr="0015126D" w:rsidP="00495528" w14:paraId="7552B797" w14:textId="197DB109">
            <w:pPr>
              <w:pStyle w:val="BodyText"/>
              <w:jc w:val="center"/>
              <w:rPr>
                <w:sz w:val="22"/>
                <w:szCs w:val="22"/>
              </w:rPr>
            </w:pPr>
            <w:r w:rsidRPr="0015126D">
              <w:rPr>
                <w:sz w:val="22"/>
                <w:szCs w:val="22"/>
              </w:rPr>
              <w:t xml:space="preserve">$51 </w:t>
            </w:r>
          </w:p>
        </w:tc>
      </w:tr>
      <w:tr w14:paraId="4FB30DB7" w14:textId="77777777" w:rsidTr="0015126D">
        <w:tblPrEx>
          <w:tblW w:w="10530" w:type="dxa"/>
          <w:jc w:val="center"/>
          <w:tblLayout w:type="fixed"/>
          <w:tblLook w:val="04A0"/>
        </w:tblPrEx>
        <w:trPr>
          <w:trHeight w:val="296"/>
          <w:jc w:val="center"/>
        </w:trPr>
        <w:tc>
          <w:tcPr>
            <w:tcW w:w="2065" w:type="dxa"/>
            <w:shd w:val="clear" w:color="auto" w:fill="auto"/>
            <w:vAlign w:val="center"/>
          </w:tcPr>
          <w:p w:rsidR="00495528" w:rsidRPr="0015126D" w:rsidP="00495528" w14:paraId="5C853337" w14:textId="4733C399">
            <w:pPr>
              <w:pStyle w:val="BodyText"/>
              <w:rPr>
                <w:b/>
                <w:bCs/>
                <w:sz w:val="22"/>
                <w:szCs w:val="22"/>
              </w:rPr>
            </w:pPr>
            <w:r w:rsidRPr="0015126D">
              <w:rPr>
                <w:b/>
                <w:bCs/>
                <w:sz w:val="22"/>
                <w:szCs w:val="22"/>
              </w:rPr>
              <w:t>Total</w:t>
            </w:r>
          </w:p>
        </w:tc>
        <w:tc>
          <w:tcPr>
            <w:tcW w:w="1440" w:type="dxa"/>
            <w:shd w:val="clear" w:color="auto" w:fill="auto"/>
            <w:vAlign w:val="center"/>
          </w:tcPr>
          <w:p w:rsidR="00495528" w:rsidRPr="0015126D" w:rsidP="00495528" w14:paraId="7D0AAD5A" w14:textId="6194EEAA">
            <w:pPr>
              <w:pStyle w:val="BodyText"/>
              <w:jc w:val="center"/>
              <w:rPr>
                <w:b/>
                <w:bCs/>
                <w:sz w:val="22"/>
                <w:szCs w:val="22"/>
              </w:rPr>
            </w:pPr>
            <w:r w:rsidRPr="0015126D">
              <w:rPr>
                <w:b/>
                <w:bCs/>
                <w:sz w:val="22"/>
                <w:szCs w:val="22"/>
              </w:rPr>
              <w:t>3</w:t>
            </w:r>
          </w:p>
        </w:tc>
        <w:tc>
          <w:tcPr>
            <w:tcW w:w="1350" w:type="dxa"/>
            <w:shd w:val="clear" w:color="000000" w:fill="FFFFFF"/>
            <w:vAlign w:val="center"/>
          </w:tcPr>
          <w:p w:rsidR="00495528" w:rsidRPr="0015126D" w:rsidP="00495528" w14:paraId="1DA956E0" w14:textId="2994DA3C">
            <w:pPr>
              <w:pStyle w:val="BodyText"/>
              <w:jc w:val="center"/>
              <w:rPr>
                <w:b/>
                <w:bCs/>
                <w:sz w:val="22"/>
                <w:szCs w:val="22"/>
              </w:rPr>
            </w:pPr>
            <w:r w:rsidRPr="0015126D">
              <w:rPr>
                <w:b/>
                <w:bCs/>
                <w:sz w:val="22"/>
                <w:szCs w:val="22"/>
              </w:rPr>
              <w:t> </w:t>
            </w:r>
          </w:p>
        </w:tc>
        <w:tc>
          <w:tcPr>
            <w:tcW w:w="1260" w:type="dxa"/>
            <w:shd w:val="clear" w:color="000000" w:fill="FFFFFF"/>
            <w:vAlign w:val="center"/>
          </w:tcPr>
          <w:p w:rsidR="00495528" w:rsidRPr="0015126D" w:rsidP="00495528" w14:paraId="0476888D" w14:textId="14DD409B">
            <w:pPr>
              <w:pStyle w:val="BodyText"/>
              <w:jc w:val="center"/>
              <w:rPr>
                <w:b/>
                <w:bCs/>
                <w:sz w:val="22"/>
                <w:szCs w:val="22"/>
              </w:rPr>
            </w:pPr>
            <w:r w:rsidRPr="0015126D">
              <w:rPr>
                <w:b/>
                <w:bCs/>
                <w:sz w:val="22"/>
                <w:szCs w:val="22"/>
              </w:rPr>
              <w:t>567*</w:t>
            </w:r>
          </w:p>
        </w:tc>
        <w:tc>
          <w:tcPr>
            <w:tcW w:w="1170" w:type="dxa"/>
            <w:shd w:val="clear" w:color="auto" w:fill="auto"/>
            <w:vAlign w:val="center"/>
          </w:tcPr>
          <w:p w:rsidR="00495528" w:rsidRPr="0015126D" w:rsidP="00495528" w14:paraId="52612D0A" w14:textId="07043787">
            <w:pPr>
              <w:pStyle w:val="BodyText"/>
              <w:jc w:val="center"/>
              <w:rPr>
                <w:b/>
                <w:bCs/>
                <w:sz w:val="22"/>
                <w:szCs w:val="22"/>
              </w:rPr>
            </w:pPr>
            <w:r w:rsidRPr="0015126D">
              <w:rPr>
                <w:b/>
                <w:bCs/>
                <w:sz w:val="22"/>
                <w:szCs w:val="22"/>
              </w:rPr>
              <w:t> </w:t>
            </w:r>
          </w:p>
        </w:tc>
        <w:tc>
          <w:tcPr>
            <w:tcW w:w="990" w:type="dxa"/>
            <w:shd w:val="clear" w:color="auto" w:fill="auto"/>
            <w:vAlign w:val="center"/>
          </w:tcPr>
          <w:p w:rsidR="00495528" w:rsidRPr="0015126D" w:rsidP="00495528" w14:paraId="7509ABBA" w14:textId="2289B1E2">
            <w:pPr>
              <w:pStyle w:val="BodyText"/>
              <w:jc w:val="center"/>
              <w:rPr>
                <w:b/>
                <w:bCs/>
                <w:sz w:val="22"/>
                <w:szCs w:val="22"/>
              </w:rPr>
            </w:pPr>
            <w:r w:rsidRPr="0015126D">
              <w:rPr>
                <w:b/>
                <w:bCs/>
                <w:sz w:val="22"/>
                <w:szCs w:val="22"/>
              </w:rPr>
              <w:t>5</w:t>
            </w:r>
          </w:p>
        </w:tc>
        <w:tc>
          <w:tcPr>
            <w:tcW w:w="900" w:type="dxa"/>
            <w:shd w:val="clear" w:color="auto" w:fill="auto"/>
            <w:vAlign w:val="center"/>
          </w:tcPr>
          <w:p w:rsidR="00495528" w:rsidRPr="0015126D" w:rsidP="00495528" w14:paraId="0F0DE946" w14:textId="5C76ECC3">
            <w:pPr>
              <w:pStyle w:val="BodyText"/>
              <w:jc w:val="center"/>
              <w:rPr>
                <w:b/>
                <w:bCs/>
                <w:sz w:val="22"/>
                <w:szCs w:val="22"/>
              </w:rPr>
            </w:pPr>
            <w:r w:rsidRPr="0015126D">
              <w:rPr>
                <w:b/>
                <w:bCs/>
                <w:sz w:val="22"/>
                <w:szCs w:val="22"/>
              </w:rPr>
              <w:t>-</w:t>
            </w:r>
          </w:p>
        </w:tc>
        <w:tc>
          <w:tcPr>
            <w:tcW w:w="1355" w:type="dxa"/>
            <w:shd w:val="clear" w:color="auto" w:fill="auto"/>
            <w:vAlign w:val="center"/>
          </w:tcPr>
          <w:p w:rsidR="00495528" w:rsidRPr="0015126D" w:rsidP="00495528" w14:paraId="23BAC8B8" w14:textId="1779DE0E">
            <w:pPr>
              <w:pStyle w:val="BodyText"/>
              <w:jc w:val="center"/>
              <w:rPr>
                <w:b/>
                <w:bCs/>
                <w:sz w:val="22"/>
                <w:szCs w:val="22"/>
              </w:rPr>
            </w:pPr>
            <w:r w:rsidRPr="0015126D">
              <w:rPr>
                <w:b/>
                <w:bCs/>
                <w:sz w:val="22"/>
                <w:szCs w:val="22"/>
              </w:rPr>
              <w:t xml:space="preserve">$512 </w:t>
            </w:r>
          </w:p>
        </w:tc>
      </w:tr>
      <w:tr w14:paraId="7EF37310" w14:textId="77777777" w:rsidTr="0015126D">
        <w:tblPrEx>
          <w:tblW w:w="10530" w:type="dxa"/>
          <w:jc w:val="center"/>
          <w:tblLayout w:type="fixed"/>
          <w:tblLook w:val="04A0"/>
        </w:tblPrEx>
        <w:trPr>
          <w:trHeight w:val="296"/>
          <w:jc w:val="center"/>
        </w:trPr>
        <w:tc>
          <w:tcPr>
            <w:tcW w:w="10530" w:type="dxa"/>
            <w:gridSpan w:val="8"/>
            <w:shd w:val="clear" w:color="auto" w:fill="auto"/>
            <w:vAlign w:val="center"/>
          </w:tcPr>
          <w:p w:rsidR="00C43834" w:rsidRPr="0015126D" w:rsidP="00646E11" w14:paraId="04B06A87" w14:textId="2E296088">
            <w:pPr>
              <w:pStyle w:val="BodyText"/>
              <w:rPr>
                <w:sz w:val="22"/>
                <w:szCs w:val="22"/>
              </w:rPr>
            </w:pPr>
            <w:r w:rsidRPr="0015126D">
              <w:rPr>
                <w:sz w:val="22"/>
                <w:szCs w:val="22"/>
              </w:rPr>
              <w:t>*As previously discussed, the Department that approximately 3 plans with an average of 189 participants and beneficiaries use the exemption annually. Thus, the Department estimates that there are 567 responses (3 plans x 189 participants).</w:t>
            </w:r>
          </w:p>
        </w:tc>
      </w:tr>
    </w:tbl>
    <w:p w:rsidR="00302058" w:rsidP="00021D03" w14:paraId="5B2B5AEF" w14:textId="77777777">
      <w:pPr>
        <w:pStyle w:val="BodyText"/>
        <w:widowControl/>
      </w:pPr>
    </w:p>
    <w:p w:rsidR="00DA4F98" w:rsidRPr="0051525E" w:rsidP="00475430" w14:paraId="56D77E6B" w14:textId="63FB8EAF">
      <w:pPr>
        <w:pStyle w:val="Heading2"/>
        <w:rPr>
          <w:i/>
        </w:rPr>
      </w:pPr>
      <w:r w:rsidRPr="0051525E">
        <w:t>Provide an estimate of the total annual cost burden to respondents or recordkeepers</w:t>
      </w:r>
      <w:r w:rsidR="0039214A">
        <w:t xml:space="preserve"> </w:t>
      </w:r>
      <w:r w:rsidRPr="0051525E">
        <w:t>resulting from the collection of information.</w:t>
      </w:r>
      <w:r w:rsidR="00623444">
        <w:t xml:space="preserve"> </w:t>
      </w:r>
      <w:r w:rsidRPr="0051525E">
        <w:t>(Do not include the cost of any hour burden shown in Items 12 or 14).</w:t>
      </w:r>
    </w:p>
    <w:p w:rsidR="00DA4F98" w:rsidRPr="0051525E" w:rsidP="00DA4F98" w14:paraId="2419A125" w14:textId="3F206112">
      <w:pPr>
        <w:pStyle w:val="Quick1"/>
        <w:widowControl/>
        <w:numPr>
          <w:ilvl w:val="0"/>
          <w:numId w:val="15"/>
        </w:numPr>
        <w:tabs>
          <w:tab w:val="left" w:pos="-1440"/>
          <w:tab w:val="clear" w:pos="1440"/>
        </w:tabs>
        <w:rPr>
          <w:b/>
          <w:i w:val="0"/>
          <w:sz w:val="24"/>
          <w:szCs w:val="24"/>
        </w:rPr>
      </w:pPr>
      <w:r w:rsidRPr="0051525E">
        <w:rPr>
          <w:b/>
          <w:bCs/>
          <w:i w:val="0"/>
          <w:sz w:val="24"/>
          <w:szCs w:val="24"/>
        </w:rPr>
        <w:t>The cost estimate should be split into two components: (a) a total capital</w:t>
      </w:r>
      <w:r w:rsidRPr="0051525E">
        <w:rPr>
          <w:b/>
          <w:i w:val="0"/>
          <w:sz w:val="24"/>
          <w:szCs w:val="24"/>
        </w:rPr>
        <w:t> </w:t>
      </w:r>
      <w:r w:rsidRPr="0051525E">
        <w:rPr>
          <w:b/>
          <w:bCs/>
          <w:i w:val="0"/>
          <w:sz w:val="24"/>
          <w:szCs w:val="24"/>
        </w:rPr>
        <w:t>and </w:t>
      </w:r>
      <w:r w:rsidRPr="0051525E">
        <w:rPr>
          <w:b/>
          <w:bCs/>
          <w:i w:val="0"/>
          <w:sz w:val="24"/>
          <w:szCs w:val="24"/>
        </w:rPr>
        <w:t>start up</w:t>
      </w:r>
      <w:r w:rsidRPr="0051525E">
        <w:rPr>
          <w:b/>
          <w:bCs/>
          <w:i w:val="0"/>
          <w:sz w:val="24"/>
          <w:szCs w:val="24"/>
        </w:rPr>
        <w:t xml:space="preserve"> cost component (annualized over its expected useful life); and (b) a</w:t>
      </w:r>
      <w:r w:rsidRPr="0051525E">
        <w:rPr>
          <w:b/>
          <w:i w:val="0"/>
          <w:sz w:val="24"/>
          <w:szCs w:val="24"/>
        </w:rPr>
        <w:t> </w:t>
      </w:r>
      <w:r w:rsidRPr="0051525E">
        <w:rPr>
          <w:b/>
          <w:bCs/>
          <w:i w:val="0"/>
          <w:sz w:val="24"/>
          <w:szCs w:val="24"/>
        </w:rPr>
        <w:t>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51525E">
        <w:rPr>
          <w:b/>
          <w:i w:val="0"/>
          <w:sz w:val="24"/>
          <w:szCs w:val="24"/>
        </w:rPr>
        <w:t> </w:t>
      </w:r>
    </w:p>
    <w:p w:rsidR="00DA4F98" w:rsidRPr="0051525E" w:rsidP="00233B3F" w14:paraId="0647CCDB" w14:textId="11111FC9">
      <w:pPr>
        <w:pStyle w:val="Quick1"/>
        <w:widowControl/>
        <w:numPr>
          <w:ilvl w:val="0"/>
          <w:numId w:val="16"/>
        </w:numPr>
        <w:tabs>
          <w:tab w:val="left" w:pos="-1440"/>
        </w:tabs>
        <w:rPr>
          <w:b/>
          <w:i w:val="0"/>
          <w:sz w:val="24"/>
          <w:szCs w:val="24"/>
        </w:rPr>
      </w:pPr>
      <w:r w:rsidRPr="0051525E">
        <w:rPr>
          <w:b/>
          <w:bCs/>
          <w:i w:val="0"/>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51525E">
        <w:rPr>
          <w:b/>
          <w:i w:val="0"/>
          <w:sz w:val="24"/>
          <w:szCs w:val="24"/>
        </w:rPr>
        <w:t> </w:t>
      </w:r>
    </w:p>
    <w:p w:rsidR="00DA4F98" w:rsidRPr="00233B3F" w:rsidP="00233B3F" w14:paraId="0B8A9AD2" w14:textId="77777777">
      <w:pPr>
        <w:pStyle w:val="Quick1"/>
        <w:widowControl/>
        <w:numPr>
          <w:ilvl w:val="0"/>
          <w:numId w:val="17"/>
        </w:numPr>
        <w:tabs>
          <w:tab w:val="left" w:pos="-1440"/>
        </w:tabs>
        <w:rPr>
          <w:b/>
          <w:i w:val="0"/>
          <w:sz w:val="24"/>
          <w:szCs w:val="24"/>
        </w:rPr>
      </w:pPr>
      <w:r w:rsidRPr="0051525E">
        <w:rPr>
          <w:b/>
          <w:bCs/>
          <w:i w:val="0"/>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w:t>
      </w:r>
      <w:r w:rsidRPr="0051525E">
        <w:rPr>
          <w:b/>
          <w:bCs/>
          <w:i w:val="0"/>
          <w:sz w:val="24"/>
          <w:szCs w:val="24"/>
        </w:rPr>
        <w:t>for the government, or (4) as part of customary and usual business or private practices.</w:t>
      </w:r>
      <w:r w:rsidRPr="0051525E">
        <w:rPr>
          <w:b/>
          <w:i w:val="0"/>
          <w:sz w:val="24"/>
          <w:szCs w:val="24"/>
        </w:rPr>
        <w:t> </w:t>
      </w:r>
    </w:p>
    <w:p w:rsidR="0064473B" w:rsidP="00021D03" w14:paraId="5F6212AC" w14:textId="77777777">
      <w:pPr>
        <w:pStyle w:val="Quick1"/>
        <w:widowControl/>
        <w:numPr>
          <w:ilvl w:val="0"/>
          <w:numId w:val="0"/>
        </w:numPr>
        <w:tabs>
          <w:tab w:val="left" w:pos="-1440"/>
        </w:tabs>
        <w:rPr>
          <w:i w:val="0"/>
        </w:rPr>
      </w:pPr>
    </w:p>
    <w:p w:rsidR="00B13E02" w:rsidP="00233B3F" w14:paraId="50734D04" w14:textId="7FA76E00">
      <w:pPr>
        <w:pStyle w:val="BodyText"/>
        <w:widowControl/>
        <w:ind w:left="720"/>
      </w:pPr>
      <w:r>
        <w:t>As explained in the answer to question 12, the Department assumes that all work to prepare and distribute the notices will be performed in-house. The additional costs that will be paid by respondents to satisfy this information collection, which consist of printing and mailing costs, are described here.</w:t>
      </w:r>
    </w:p>
    <w:p w:rsidR="00B13E02" w:rsidP="00233B3F" w14:paraId="725E67F2" w14:textId="77777777">
      <w:pPr>
        <w:widowControl/>
        <w:ind w:left="1440"/>
      </w:pPr>
    </w:p>
    <w:p w:rsidR="00D167D0" w:rsidP="00233B3F" w14:paraId="0F118686" w14:textId="23EBF2AB">
      <w:pPr>
        <w:pStyle w:val="BodyText"/>
        <w:widowControl/>
        <w:ind w:left="720"/>
      </w:pPr>
      <w:r>
        <w:t xml:space="preserve">This estimate assumes that </w:t>
      </w:r>
      <w:r>
        <w:t>96.1</w:t>
      </w:r>
      <w:r w:rsidR="00BE2674">
        <w:t xml:space="preserve"> </w:t>
      </w:r>
      <w:r>
        <w:t>percent of the plan administrator’s notices will be provided to participants and beneficiaries electronically</w:t>
      </w:r>
      <w:r w:rsidR="00DE1EA5">
        <w:t>.</w:t>
      </w:r>
      <w:r w:rsidRPr="004C67B1">
        <w:rPr>
          <w:vertAlign w:val="superscript"/>
        </w:rPr>
        <w:t>.</w:t>
      </w:r>
      <w:r>
        <w:rPr>
          <w:rStyle w:val="FootnoteReference"/>
          <w:vertAlign w:val="superscript"/>
        </w:rPr>
        <w:footnoteReference w:id="9"/>
      </w:r>
      <w:r>
        <w:t xml:space="preserve"> Because the respondents will utilize existing electronic communications systems and integrated participant/beneficiary address databases, the Department </w:t>
      </w:r>
      <w:r w:rsidR="00012F7B">
        <w:t>assumes</w:t>
      </w:r>
      <w:r>
        <w:t xml:space="preserve"> that the additional costs of distributing electronic notices will be </w:t>
      </w:r>
      <w:r w:rsidR="00C94B31">
        <w:t>de minimis</w:t>
      </w:r>
      <w:r>
        <w:t xml:space="preserve">. </w:t>
      </w:r>
    </w:p>
    <w:p w:rsidR="00D167D0" w:rsidP="00233B3F" w14:paraId="70D42AE9" w14:textId="77777777">
      <w:pPr>
        <w:pStyle w:val="BodyText"/>
        <w:widowControl/>
        <w:ind w:left="720"/>
      </w:pPr>
    </w:p>
    <w:p w:rsidR="00B13E02" w:rsidP="00233B3F" w14:paraId="2AC6926C" w14:textId="1ED0CEAB">
      <w:pPr>
        <w:pStyle w:val="BodyText"/>
        <w:widowControl/>
        <w:ind w:left="720"/>
      </w:pPr>
      <w:r w:rsidRPr="00C43834">
        <w:t xml:space="preserve">For the remaining </w:t>
      </w:r>
      <w:r w:rsidRPr="00C43834" w:rsidR="00D167D0">
        <w:t>3.9</w:t>
      </w:r>
      <w:r w:rsidRPr="00C43834" w:rsidR="00346F00">
        <w:t xml:space="preserve"> </w:t>
      </w:r>
      <w:r w:rsidRPr="00C43834">
        <w:t xml:space="preserve">percent of the notices, </w:t>
      </w:r>
      <w:r w:rsidRPr="00C43834" w:rsidR="00922988">
        <w:t xml:space="preserve">or </w:t>
      </w:r>
      <w:r w:rsidRPr="00646E11" w:rsidR="00C43834">
        <w:t>22</w:t>
      </w:r>
      <w:r w:rsidRPr="00C43834" w:rsidR="00922988">
        <w:t xml:space="preserve"> notices,</w:t>
      </w:r>
      <w:r>
        <w:rPr>
          <w:rStyle w:val="FootnoteReference"/>
          <w:vertAlign w:val="superscript"/>
        </w:rPr>
        <w:footnoteReference w:id="10"/>
      </w:r>
      <w:r w:rsidRPr="00646E11" w:rsidR="00922988">
        <w:rPr>
          <w:vertAlign w:val="superscript"/>
        </w:rPr>
        <w:t xml:space="preserve"> </w:t>
      </w:r>
      <w:r w:rsidRPr="00C43834">
        <w:t xml:space="preserve">the Department </w:t>
      </w:r>
      <w:r w:rsidR="00012F7B">
        <w:t>assumes</w:t>
      </w:r>
      <w:r w:rsidRPr="00C43834">
        <w:t xml:space="preserve"> a mailing cost of $</w:t>
      </w:r>
      <w:r w:rsidRPr="00C43834" w:rsidR="00726BDA">
        <w:t>0.</w:t>
      </w:r>
      <w:r w:rsidRPr="00C43834" w:rsidR="00D167D0">
        <w:t>78</w:t>
      </w:r>
      <w:r w:rsidRPr="00C43834" w:rsidR="00BE2674">
        <w:t xml:space="preserve"> </w:t>
      </w:r>
      <w:r w:rsidRPr="00C43834">
        <w:t>per</w:t>
      </w:r>
      <w:r>
        <w:t xml:space="preserve"> notice</w:t>
      </w:r>
      <w:r w:rsidR="00D167D0">
        <w:t>.</w:t>
      </w:r>
      <w:r>
        <w:rPr>
          <w:rStyle w:val="FootnoteReference"/>
          <w:vertAlign w:val="superscript"/>
        </w:rPr>
        <w:footnoteReference w:id="11"/>
      </w:r>
      <w:r w:rsidR="00D167D0">
        <w:t xml:space="preserve"> </w:t>
      </w:r>
      <w:r w:rsidR="00922988">
        <w:t xml:space="preserve">The total </w:t>
      </w:r>
      <w:r w:rsidR="00FE4A05">
        <w:t>cost burden</w:t>
      </w:r>
      <w:r w:rsidR="00922988">
        <w:t xml:space="preserve"> is shown in the table below. </w:t>
      </w:r>
    </w:p>
    <w:p w:rsidR="00922988" w:rsidP="00233B3F" w14:paraId="5536898D" w14:textId="77777777">
      <w:pPr>
        <w:pStyle w:val="BodyText"/>
        <w:widowControl/>
        <w:ind w:left="720"/>
      </w:pPr>
    </w:p>
    <w:p w:rsidR="00A66F62" w:rsidP="00233B3F" w14:paraId="1629CAF4" w14:textId="12016037">
      <w:pPr>
        <w:pStyle w:val="BodyText"/>
        <w:widowControl/>
        <w:ind w:left="720"/>
      </w:pPr>
      <w:r w:rsidRPr="0015126D">
        <w:rPr>
          <w:b/>
          <w:bCs/>
          <w:sz w:val="22"/>
          <w:szCs w:val="22"/>
        </w:rPr>
        <w:t>TABLE 3.--</w:t>
      </w:r>
      <w:r w:rsidRPr="0015126D">
        <w:rPr>
          <w:b/>
          <w:bCs/>
          <w:i/>
          <w:iCs/>
          <w:sz w:val="22"/>
          <w:szCs w:val="22"/>
        </w:rPr>
        <w:t>Cost Burden (Material and Postage Cost)</w:t>
      </w:r>
      <w:r w:rsidRPr="0015126D">
        <w:rPr>
          <w:b/>
          <w:bCs/>
          <w:sz w:val="22"/>
          <w:szCs w:val="22"/>
        </w:rPr>
        <w:t> </w:t>
      </w:r>
    </w:p>
    <w:tbl>
      <w:tblPr>
        <w:tblW w:w="9630" w:type="dxa"/>
        <w:tblLayout w:type="fixed"/>
        <w:tblLook w:val="04A0"/>
      </w:tblPr>
      <w:tblGrid>
        <w:gridCol w:w="1620"/>
        <w:gridCol w:w="1602"/>
        <w:gridCol w:w="1602"/>
        <w:gridCol w:w="1602"/>
        <w:gridCol w:w="1602"/>
        <w:gridCol w:w="1602"/>
      </w:tblGrid>
      <w:tr w14:paraId="2F82B24B" w14:textId="77777777" w:rsidTr="009223EE">
        <w:tblPrEx>
          <w:tblW w:w="9630" w:type="dxa"/>
          <w:tblLayout w:type="fixed"/>
          <w:tblLook w:val="04A0"/>
        </w:tblPrEx>
        <w:trPr>
          <w:trHeight w:val="728"/>
        </w:trPr>
        <w:tc>
          <w:tcPr>
            <w:tcW w:w="1620" w:type="dxa"/>
            <w:tcBorders>
              <w:top w:val="single" w:sz="4" w:space="0" w:color="auto"/>
              <w:left w:val="nil"/>
              <w:bottom w:val="single" w:sz="4" w:space="0" w:color="auto"/>
            </w:tcBorders>
            <w:shd w:val="clear" w:color="auto" w:fill="auto"/>
            <w:noWrap/>
            <w:vAlign w:val="bottom"/>
            <w:hideMark/>
          </w:tcPr>
          <w:p w:rsidR="00922988" w:rsidRPr="0015126D" w:rsidP="00922988" w14:paraId="2EF1E001" w14:textId="77777777">
            <w:pPr>
              <w:widowControl/>
              <w:autoSpaceDE/>
              <w:autoSpaceDN/>
              <w:adjustRightInd/>
              <w:ind w:left="0"/>
              <w:rPr>
                <w:b/>
                <w:bCs/>
                <w:sz w:val="22"/>
                <w:szCs w:val="22"/>
              </w:rPr>
            </w:pPr>
            <w:r w:rsidRPr="0015126D">
              <w:rPr>
                <w:b/>
                <w:bCs/>
                <w:sz w:val="22"/>
                <w:szCs w:val="22"/>
              </w:rPr>
              <w:t> </w:t>
            </w:r>
          </w:p>
        </w:tc>
        <w:tc>
          <w:tcPr>
            <w:tcW w:w="1602" w:type="dxa"/>
            <w:tcBorders>
              <w:top w:val="single" w:sz="4" w:space="0" w:color="auto"/>
              <w:bottom w:val="single" w:sz="4" w:space="0" w:color="auto"/>
            </w:tcBorders>
            <w:shd w:val="clear" w:color="auto" w:fill="auto"/>
            <w:vAlign w:val="bottom"/>
            <w:hideMark/>
          </w:tcPr>
          <w:p w:rsidR="00922988" w:rsidRPr="0015126D" w:rsidP="00922988" w14:paraId="102B4BFA" w14:textId="77777777">
            <w:pPr>
              <w:widowControl/>
              <w:autoSpaceDE/>
              <w:autoSpaceDN/>
              <w:adjustRightInd/>
              <w:ind w:left="0"/>
              <w:jc w:val="center"/>
              <w:rPr>
                <w:b/>
                <w:bCs/>
                <w:sz w:val="22"/>
                <w:szCs w:val="22"/>
              </w:rPr>
            </w:pPr>
            <w:r w:rsidRPr="0015126D">
              <w:rPr>
                <w:b/>
                <w:bCs/>
                <w:sz w:val="22"/>
                <w:szCs w:val="22"/>
              </w:rPr>
              <w:t>Number of Notices Sent by Mail</w:t>
            </w:r>
          </w:p>
        </w:tc>
        <w:tc>
          <w:tcPr>
            <w:tcW w:w="1602" w:type="dxa"/>
            <w:tcBorders>
              <w:top w:val="single" w:sz="4" w:space="0" w:color="auto"/>
              <w:bottom w:val="single" w:sz="4" w:space="0" w:color="auto"/>
            </w:tcBorders>
            <w:shd w:val="clear" w:color="auto" w:fill="auto"/>
            <w:vAlign w:val="bottom"/>
            <w:hideMark/>
          </w:tcPr>
          <w:p w:rsidR="00922988" w:rsidRPr="0015126D" w:rsidP="00922988" w14:paraId="680E5F7A" w14:textId="77777777">
            <w:pPr>
              <w:widowControl/>
              <w:autoSpaceDE/>
              <w:autoSpaceDN/>
              <w:adjustRightInd/>
              <w:ind w:left="0"/>
              <w:jc w:val="center"/>
              <w:rPr>
                <w:b/>
                <w:bCs/>
                <w:sz w:val="22"/>
                <w:szCs w:val="22"/>
              </w:rPr>
            </w:pPr>
            <w:r w:rsidRPr="0015126D">
              <w:rPr>
                <w:b/>
                <w:bCs/>
                <w:sz w:val="22"/>
                <w:szCs w:val="22"/>
              </w:rPr>
              <w:t>Pages</w:t>
            </w:r>
          </w:p>
        </w:tc>
        <w:tc>
          <w:tcPr>
            <w:tcW w:w="1602" w:type="dxa"/>
            <w:tcBorders>
              <w:top w:val="single" w:sz="4" w:space="0" w:color="auto"/>
              <w:bottom w:val="single" w:sz="4" w:space="0" w:color="auto"/>
            </w:tcBorders>
            <w:shd w:val="clear" w:color="auto" w:fill="auto"/>
            <w:vAlign w:val="bottom"/>
            <w:hideMark/>
          </w:tcPr>
          <w:p w:rsidR="00922988" w:rsidRPr="0015126D" w:rsidP="00922988" w14:paraId="0A71CB3A" w14:textId="77777777">
            <w:pPr>
              <w:widowControl/>
              <w:autoSpaceDE/>
              <w:autoSpaceDN/>
              <w:adjustRightInd/>
              <w:ind w:left="0"/>
              <w:jc w:val="center"/>
              <w:rPr>
                <w:b/>
                <w:bCs/>
                <w:sz w:val="22"/>
                <w:szCs w:val="22"/>
              </w:rPr>
            </w:pPr>
            <w:r w:rsidRPr="0015126D">
              <w:rPr>
                <w:b/>
                <w:bCs/>
                <w:sz w:val="22"/>
                <w:szCs w:val="22"/>
              </w:rPr>
              <w:t>Paper and Print Costs</w:t>
            </w:r>
          </w:p>
        </w:tc>
        <w:tc>
          <w:tcPr>
            <w:tcW w:w="1602" w:type="dxa"/>
            <w:tcBorders>
              <w:top w:val="single" w:sz="4" w:space="0" w:color="auto"/>
              <w:bottom w:val="single" w:sz="4" w:space="0" w:color="auto"/>
            </w:tcBorders>
            <w:shd w:val="clear" w:color="auto" w:fill="auto"/>
            <w:vAlign w:val="bottom"/>
            <w:hideMark/>
          </w:tcPr>
          <w:p w:rsidR="00922988" w:rsidRPr="0015126D" w:rsidP="00922988" w14:paraId="4A8E25DE" w14:textId="77777777">
            <w:pPr>
              <w:widowControl/>
              <w:autoSpaceDE/>
              <w:autoSpaceDN/>
              <w:adjustRightInd/>
              <w:ind w:left="0"/>
              <w:jc w:val="center"/>
              <w:rPr>
                <w:b/>
                <w:bCs/>
                <w:sz w:val="22"/>
                <w:szCs w:val="22"/>
              </w:rPr>
            </w:pPr>
            <w:r w:rsidRPr="0015126D">
              <w:rPr>
                <w:b/>
                <w:bCs/>
                <w:sz w:val="22"/>
                <w:szCs w:val="22"/>
              </w:rPr>
              <w:t>Postage</w:t>
            </w:r>
          </w:p>
        </w:tc>
        <w:tc>
          <w:tcPr>
            <w:tcW w:w="1602" w:type="dxa"/>
            <w:tcBorders>
              <w:top w:val="single" w:sz="4" w:space="0" w:color="auto"/>
              <w:bottom w:val="single" w:sz="4" w:space="0" w:color="auto"/>
              <w:right w:val="nil"/>
            </w:tcBorders>
            <w:shd w:val="clear" w:color="auto" w:fill="auto"/>
            <w:vAlign w:val="bottom"/>
            <w:hideMark/>
          </w:tcPr>
          <w:p w:rsidR="00922988" w:rsidRPr="0015126D" w:rsidP="00922988" w14:paraId="4A4F9F86" w14:textId="77777777">
            <w:pPr>
              <w:widowControl/>
              <w:autoSpaceDE/>
              <w:autoSpaceDN/>
              <w:adjustRightInd/>
              <w:ind w:left="0"/>
              <w:jc w:val="center"/>
              <w:rPr>
                <w:b/>
                <w:bCs/>
                <w:sz w:val="22"/>
                <w:szCs w:val="22"/>
              </w:rPr>
            </w:pPr>
            <w:r w:rsidRPr="0015126D">
              <w:rPr>
                <w:b/>
                <w:bCs/>
                <w:sz w:val="22"/>
                <w:szCs w:val="22"/>
              </w:rPr>
              <w:t>Equivalent Cost</w:t>
            </w:r>
          </w:p>
        </w:tc>
      </w:tr>
      <w:tr w14:paraId="76A8D5AD" w14:textId="77777777" w:rsidTr="0015126D">
        <w:tblPrEx>
          <w:tblW w:w="9630" w:type="dxa"/>
          <w:tblLayout w:type="fixed"/>
          <w:tblLook w:val="04A0"/>
        </w:tblPrEx>
        <w:trPr>
          <w:trHeight w:val="153"/>
        </w:trPr>
        <w:tc>
          <w:tcPr>
            <w:tcW w:w="1620" w:type="dxa"/>
            <w:tcBorders>
              <w:top w:val="single" w:sz="4" w:space="0" w:color="auto"/>
              <w:left w:val="nil"/>
              <w:bottom w:val="single" w:sz="4" w:space="0" w:color="auto"/>
            </w:tcBorders>
            <w:shd w:val="clear" w:color="auto" w:fill="auto"/>
            <w:noWrap/>
            <w:vAlign w:val="bottom"/>
            <w:hideMark/>
          </w:tcPr>
          <w:p w:rsidR="00922988" w:rsidRPr="0015126D" w:rsidP="00922988" w14:paraId="195B039F" w14:textId="77777777">
            <w:pPr>
              <w:widowControl/>
              <w:autoSpaceDE/>
              <w:autoSpaceDN/>
              <w:adjustRightInd/>
              <w:ind w:left="0"/>
              <w:rPr>
                <w:b/>
                <w:bCs/>
                <w:sz w:val="22"/>
                <w:szCs w:val="22"/>
              </w:rPr>
            </w:pPr>
            <w:r w:rsidRPr="0015126D">
              <w:rPr>
                <w:b/>
                <w:bCs/>
                <w:sz w:val="22"/>
                <w:szCs w:val="22"/>
              </w:rPr>
              <w:t> </w:t>
            </w:r>
          </w:p>
        </w:tc>
        <w:tc>
          <w:tcPr>
            <w:tcW w:w="1602" w:type="dxa"/>
            <w:tcBorders>
              <w:top w:val="single" w:sz="4" w:space="0" w:color="auto"/>
              <w:bottom w:val="single" w:sz="4" w:space="0" w:color="auto"/>
            </w:tcBorders>
            <w:shd w:val="clear" w:color="auto" w:fill="auto"/>
            <w:vAlign w:val="bottom"/>
            <w:hideMark/>
          </w:tcPr>
          <w:p w:rsidR="00922988" w:rsidRPr="0015126D" w:rsidP="00922988" w14:paraId="53A6BC82" w14:textId="77777777">
            <w:pPr>
              <w:widowControl/>
              <w:autoSpaceDE/>
              <w:autoSpaceDN/>
              <w:adjustRightInd/>
              <w:ind w:left="0"/>
              <w:jc w:val="center"/>
              <w:rPr>
                <w:b/>
                <w:bCs/>
                <w:sz w:val="22"/>
                <w:szCs w:val="22"/>
              </w:rPr>
            </w:pPr>
            <w:r w:rsidRPr="0015126D">
              <w:rPr>
                <w:b/>
                <w:bCs/>
                <w:sz w:val="22"/>
                <w:szCs w:val="22"/>
              </w:rPr>
              <w:t>(A)</w:t>
            </w:r>
          </w:p>
        </w:tc>
        <w:tc>
          <w:tcPr>
            <w:tcW w:w="1602" w:type="dxa"/>
            <w:tcBorders>
              <w:top w:val="single" w:sz="4" w:space="0" w:color="auto"/>
              <w:bottom w:val="single" w:sz="4" w:space="0" w:color="auto"/>
            </w:tcBorders>
            <w:shd w:val="clear" w:color="auto" w:fill="auto"/>
            <w:vAlign w:val="bottom"/>
            <w:hideMark/>
          </w:tcPr>
          <w:p w:rsidR="00922988" w:rsidRPr="0015126D" w:rsidP="00922988" w14:paraId="3E9AA796" w14:textId="77777777">
            <w:pPr>
              <w:widowControl/>
              <w:autoSpaceDE/>
              <w:autoSpaceDN/>
              <w:adjustRightInd/>
              <w:ind w:left="0"/>
              <w:jc w:val="center"/>
              <w:rPr>
                <w:b/>
                <w:bCs/>
                <w:sz w:val="22"/>
                <w:szCs w:val="22"/>
              </w:rPr>
            </w:pPr>
            <w:r w:rsidRPr="0015126D">
              <w:rPr>
                <w:b/>
                <w:bCs/>
                <w:sz w:val="22"/>
                <w:szCs w:val="22"/>
              </w:rPr>
              <w:t>(B)</w:t>
            </w:r>
          </w:p>
        </w:tc>
        <w:tc>
          <w:tcPr>
            <w:tcW w:w="1602" w:type="dxa"/>
            <w:tcBorders>
              <w:top w:val="single" w:sz="4" w:space="0" w:color="auto"/>
              <w:bottom w:val="single" w:sz="4" w:space="0" w:color="auto"/>
            </w:tcBorders>
            <w:shd w:val="clear" w:color="auto" w:fill="auto"/>
            <w:noWrap/>
            <w:vAlign w:val="bottom"/>
            <w:hideMark/>
          </w:tcPr>
          <w:p w:rsidR="00922988" w:rsidRPr="0015126D" w:rsidP="00922988" w14:paraId="4E1BEF99" w14:textId="77777777">
            <w:pPr>
              <w:widowControl/>
              <w:autoSpaceDE/>
              <w:autoSpaceDN/>
              <w:adjustRightInd/>
              <w:ind w:left="0"/>
              <w:jc w:val="center"/>
              <w:rPr>
                <w:b/>
                <w:bCs/>
                <w:sz w:val="22"/>
                <w:szCs w:val="22"/>
              </w:rPr>
            </w:pPr>
            <w:r w:rsidRPr="0015126D">
              <w:rPr>
                <w:b/>
                <w:bCs/>
                <w:sz w:val="22"/>
                <w:szCs w:val="22"/>
              </w:rPr>
              <w:t>(C)</w:t>
            </w:r>
          </w:p>
        </w:tc>
        <w:tc>
          <w:tcPr>
            <w:tcW w:w="1602" w:type="dxa"/>
            <w:tcBorders>
              <w:top w:val="single" w:sz="4" w:space="0" w:color="auto"/>
              <w:bottom w:val="single" w:sz="4" w:space="0" w:color="auto"/>
            </w:tcBorders>
            <w:shd w:val="clear" w:color="auto" w:fill="auto"/>
            <w:noWrap/>
            <w:vAlign w:val="bottom"/>
            <w:hideMark/>
          </w:tcPr>
          <w:p w:rsidR="00922988" w:rsidRPr="0015126D" w:rsidP="00922988" w14:paraId="20C38CB6" w14:textId="77777777">
            <w:pPr>
              <w:widowControl/>
              <w:autoSpaceDE/>
              <w:autoSpaceDN/>
              <w:adjustRightInd/>
              <w:ind w:left="0"/>
              <w:jc w:val="center"/>
              <w:rPr>
                <w:b/>
                <w:bCs/>
                <w:sz w:val="22"/>
                <w:szCs w:val="22"/>
              </w:rPr>
            </w:pPr>
            <w:r w:rsidRPr="0015126D">
              <w:rPr>
                <w:b/>
                <w:bCs/>
                <w:sz w:val="22"/>
                <w:szCs w:val="22"/>
              </w:rPr>
              <w:t>(D)</w:t>
            </w:r>
          </w:p>
        </w:tc>
        <w:tc>
          <w:tcPr>
            <w:tcW w:w="1602" w:type="dxa"/>
            <w:tcBorders>
              <w:top w:val="single" w:sz="4" w:space="0" w:color="auto"/>
              <w:bottom w:val="single" w:sz="4" w:space="0" w:color="auto"/>
              <w:right w:val="nil"/>
            </w:tcBorders>
            <w:shd w:val="clear" w:color="auto" w:fill="auto"/>
            <w:vAlign w:val="bottom"/>
            <w:hideMark/>
          </w:tcPr>
          <w:p w:rsidR="00922988" w:rsidRPr="0015126D" w:rsidP="00922988" w14:paraId="08F9EA94" w14:textId="1946252C">
            <w:pPr>
              <w:widowControl/>
              <w:autoSpaceDE/>
              <w:autoSpaceDN/>
              <w:adjustRightInd/>
              <w:ind w:left="0"/>
              <w:jc w:val="center"/>
              <w:rPr>
                <w:b/>
                <w:bCs/>
                <w:sz w:val="22"/>
                <w:szCs w:val="22"/>
              </w:rPr>
            </w:pPr>
            <w:r w:rsidRPr="0015126D">
              <w:rPr>
                <w:b/>
                <w:bCs/>
                <w:sz w:val="22"/>
                <w:szCs w:val="22"/>
              </w:rPr>
              <w:t>(</w:t>
            </w:r>
            <w:r w:rsidRPr="0015126D">
              <w:rPr>
                <w:b/>
                <w:bCs/>
                <w:sz w:val="22"/>
                <w:szCs w:val="22"/>
              </w:rPr>
              <w:t>A</w:t>
            </w:r>
            <w:r w:rsidRPr="0015126D">
              <w:rPr>
                <w:b/>
                <w:bCs/>
                <w:sz w:val="22"/>
                <w:szCs w:val="22"/>
              </w:rPr>
              <w:t xml:space="preserve"> x </w:t>
            </w:r>
            <w:r w:rsidRPr="0015126D">
              <w:rPr>
                <w:b/>
                <w:bCs/>
                <w:sz w:val="22"/>
                <w:szCs w:val="22"/>
              </w:rPr>
              <w:t>B</w:t>
            </w:r>
            <w:r w:rsidRPr="0015126D">
              <w:rPr>
                <w:b/>
                <w:bCs/>
                <w:sz w:val="22"/>
                <w:szCs w:val="22"/>
              </w:rPr>
              <w:t xml:space="preserve"> x </w:t>
            </w:r>
            <w:r w:rsidRPr="0015126D">
              <w:rPr>
                <w:b/>
                <w:bCs/>
                <w:sz w:val="22"/>
                <w:szCs w:val="22"/>
              </w:rPr>
              <w:t>C</w:t>
            </w:r>
            <w:r w:rsidRPr="0015126D">
              <w:rPr>
                <w:b/>
                <w:bCs/>
                <w:sz w:val="22"/>
                <w:szCs w:val="22"/>
              </w:rPr>
              <w:t>)</w:t>
            </w:r>
          </w:p>
        </w:tc>
      </w:tr>
      <w:tr w14:paraId="308C795E" w14:textId="77777777" w:rsidTr="00646E11">
        <w:tblPrEx>
          <w:tblW w:w="9630" w:type="dxa"/>
          <w:tblLayout w:type="fixed"/>
          <w:tblLook w:val="04A0"/>
        </w:tblPrEx>
        <w:trPr>
          <w:trHeight w:val="255"/>
        </w:trPr>
        <w:tc>
          <w:tcPr>
            <w:tcW w:w="1620" w:type="dxa"/>
            <w:tcBorders>
              <w:top w:val="nil"/>
              <w:left w:val="nil"/>
              <w:bottom w:val="nil"/>
            </w:tcBorders>
            <w:shd w:val="clear" w:color="auto" w:fill="auto"/>
            <w:vAlign w:val="bottom"/>
            <w:hideMark/>
          </w:tcPr>
          <w:p w:rsidR="00C43834" w:rsidRPr="0015126D" w:rsidP="00C43834" w14:paraId="461A4A9A" w14:textId="66F56153">
            <w:pPr>
              <w:widowControl/>
              <w:autoSpaceDE/>
              <w:autoSpaceDN/>
              <w:adjustRightInd/>
              <w:ind w:left="0"/>
              <w:rPr>
                <w:sz w:val="22"/>
                <w:szCs w:val="22"/>
              </w:rPr>
            </w:pPr>
            <w:r w:rsidRPr="0015126D">
              <w:rPr>
                <w:sz w:val="22"/>
                <w:szCs w:val="22"/>
              </w:rPr>
              <w:t>Written Notice</w:t>
            </w:r>
          </w:p>
        </w:tc>
        <w:tc>
          <w:tcPr>
            <w:tcW w:w="1602" w:type="dxa"/>
            <w:tcBorders>
              <w:top w:val="nil"/>
              <w:bottom w:val="nil"/>
            </w:tcBorders>
            <w:shd w:val="clear" w:color="auto" w:fill="auto"/>
            <w:noWrap/>
            <w:vAlign w:val="bottom"/>
            <w:hideMark/>
          </w:tcPr>
          <w:p w:rsidR="00C43834" w:rsidRPr="0015126D" w:rsidP="00C43834" w14:paraId="79ACE06A" w14:textId="6EA396E0">
            <w:pPr>
              <w:widowControl/>
              <w:autoSpaceDE/>
              <w:autoSpaceDN/>
              <w:adjustRightInd/>
              <w:ind w:left="0"/>
              <w:jc w:val="center"/>
              <w:rPr>
                <w:sz w:val="22"/>
                <w:szCs w:val="22"/>
              </w:rPr>
            </w:pPr>
            <w:r w:rsidRPr="0015126D">
              <w:rPr>
                <w:sz w:val="22"/>
                <w:szCs w:val="22"/>
              </w:rPr>
              <w:t>22</w:t>
            </w:r>
          </w:p>
        </w:tc>
        <w:tc>
          <w:tcPr>
            <w:tcW w:w="1602" w:type="dxa"/>
            <w:tcBorders>
              <w:top w:val="nil"/>
              <w:bottom w:val="nil"/>
            </w:tcBorders>
            <w:shd w:val="clear" w:color="auto" w:fill="auto"/>
            <w:noWrap/>
            <w:vAlign w:val="bottom"/>
            <w:hideMark/>
          </w:tcPr>
          <w:p w:rsidR="00C43834" w:rsidRPr="0015126D" w:rsidP="00C43834" w14:paraId="782A46FA" w14:textId="14DFF488">
            <w:pPr>
              <w:widowControl/>
              <w:autoSpaceDE/>
              <w:autoSpaceDN/>
              <w:adjustRightInd/>
              <w:ind w:left="0"/>
              <w:jc w:val="center"/>
              <w:rPr>
                <w:sz w:val="22"/>
                <w:szCs w:val="22"/>
              </w:rPr>
            </w:pPr>
            <w:r w:rsidRPr="0015126D">
              <w:rPr>
                <w:sz w:val="22"/>
                <w:szCs w:val="22"/>
              </w:rPr>
              <w:t>1</w:t>
            </w:r>
          </w:p>
        </w:tc>
        <w:tc>
          <w:tcPr>
            <w:tcW w:w="1602" w:type="dxa"/>
            <w:tcBorders>
              <w:top w:val="nil"/>
              <w:bottom w:val="nil"/>
            </w:tcBorders>
            <w:shd w:val="clear" w:color="auto" w:fill="auto"/>
            <w:noWrap/>
            <w:vAlign w:val="bottom"/>
            <w:hideMark/>
          </w:tcPr>
          <w:p w:rsidR="00C43834" w:rsidRPr="0015126D" w:rsidP="00C43834" w14:paraId="08F1EA6C" w14:textId="6EB4C145">
            <w:pPr>
              <w:widowControl/>
              <w:autoSpaceDE/>
              <w:autoSpaceDN/>
              <w:adjustRightInd/>
              <w:ind w:left="0"/>
              <w:jc w:val="center"/>
              <w:rPr>
                <w:sz w:val="22"/>
                <w:szCs w:val="22"/>
              </w:rPr>
            </w:pPr>
            <w:r w:rsidRPr="0015126D">
              <w:rPr>
                <w:sz w:val="22"/>
                <w:szCs w:val="22"/>
              </w:rPr>
              <w:t>$0.05</w:t>
            </w:r>
          </w:p>
        </w:tc>
        <w:tc>
          <w:tcPr>
            <w:tcW w:w="1602" w:type="dxa"/>
            <w:tcBorders>
              <w:top w:val="nil"/>
              <w:bottom w:val="nil"/>
            </w:tcBorders>
            <w:shd w:val="clear" w:color="auto" w:fill="auto"/>
            <w:noWrap/>
            <w:vAlign w:val="bottom"/>
            <w:hideMark/>
          </w:tcPr>
          <w:p w:rsidR="00C43834" w:rsidRPr="0015126D" w:rsidP="00C43834" w14:paraId="43BADF9D" w14:textId="2767794A">
            <w:pPr>
              <w:widowControl/>
              <w:autoSpaceDE/>
              <w:autoSpaceDN/>
              <w:adjustRightInd/>
              <w:ind w:left="0"/>
              <w:jc w:val="center"/>
              <w:rPr>
                <w:sz w:val="22"/>
                <w:szCs w:val="22"/>
              </w:rPr>
            </w:pPr>
            <w:r w:rsidRPr="0015126D">
              <w:rPr>
                <w:sz w:val="22"/>
                <w:szCs w:val="22"/>
              </w:rPr>
              <w:t>$0.73</w:t>
            </w:r>
          </w:p>
        </w:tc>
        <w:tc>
          <w:tcPr>
            <w:tcW w:w="1602" w:type="dxa"/>
            <w:tcBorders>
              <w:top w:val="nil"/>
              <w:bottom w:val="nil"/>
              <w:right w:val="nil"/>
            </w:tcBorders>
            <w:shd w:val="clear" w:color="auto" w:fill="auto"/>
            <w:noWrap/>
            <w:vAlign w:val="bottom"/>
            <w:hideMark/>
          </w:tcPr>
          <w:p w:rsidR="00C43834" w:rsidRPr="0015126D" w:rsidP="00C43834" w14:paraId="73217495" w14:textId="52FF75CC">
            <w:pPr>
              <w:widowControl/>
              <w:autoSpaceDE/>
              <w:autoSpaceDN/>
              <w:adjustRightInd/>
              <w:ind w:left="0"/>
              <w:jc w:val="center"/>
              <w:rPr>
                <w:sz w:val="22"/>
                <w:szCs w:val="22"/>
              </w:rPr>
            </w:pPr>
            <w:r w:rsidRPr="0015126D">
              <w:rPr>
                <w:sz w:val="22"/>
                <w:szCs w:val="22"/>
              </w:rPr>
              <w:t>$17</w:t>
            </w:r>
          </w:p>
        </w:tc>
      </w:tr>
      <w:tr w14:paraId="2E659FC6" w14:textId="77777777" w:rsidTr="0015126D">
        <w:tblPrEx>
          <w:tblW w:w="9630" w:type="dxa"/>
          <w:tblLayout w:type="fixed"/>
          <w:tblLook w:val="04A0"/>
        </w:tblPrEx>
        <w:trPr>
          <w:trHeight w:val="285"/>
        </w:trPr>
        <w:tc>
          <w:tcPr>
            <w:tcW w:w="1620" w:type="dxa"/>
            <w:tcBorders>
              <w:top w:val="single" w:sz="4" w:space="0" w:color="auto"/>
              <w:left w:val="nil"/>
              <w:bottom w:val="single" w:sz="4" w:space="0" w:color="auto"/>
            </w:tcBorders>
            <w:shd w:val="clear" w:color="auto" w:fill="auto"/>
            <w:noWrap/>
            <w:vAlign w:val="bottom"/>
            <w:hideMark/>
          </w:tcPr>
          <w:p w:rsidR="00C43834" w:rsidRPr="0015126D" w:rsidP="00C43834" w14:paraId="52DFE3FD" w14:textId="1BD43E78">
            <w:pPr>
              <w:widowControl/>
              <w:autoSpaceDE/>
              <w:autoSpaceDN/>
              <w:adjustRightInd/>
              <w:ind w:left="0"/>
              <w:rPr>
                <w:sz w:val="22"/>
                <w:szCs w:val="22"/>
              </w:rPr>
            </w:pPr>
            <w:r w:rsidRPr="0015126D">
              <w:rPr>
                <w:sz w:val="22"/>
                <w:szCs w:val="22"/>
              </w:rPr>
              <w:t> </w:t>
            </w:r>
          </w:p>
        </w:tc>
        <w:tc>
          <w:tcPr>
            <w:tcW w:w="1602" w:type="dxa"/>
            <w:tcBorders>
              <w:top w:val="single" w:sz="4" w:space="0" w:color="auto"/>
              <w:bottom w:val="single" w:sz="4" w:space="0" w:color="auto"/>
            </w:tcBorders>
            <w:shd w:val="clear" w:color="auto" w:fill="auto"/>
            <w:noWrap/>
            <w:vAlign w:val="bottom"/>
            <w:hideMark/>
          </w:tcPr>
          <w:p w:rsidR="00C43834" w:rsidRPr="0015126D" w:rsidP="00C43834" w14:paraId="723A4FE0" w14:textId="386D3A51">
            <w:pPr>
              <w:widowControl/>
              <w:autoSpaceDE/>
              <w:autoSpaceDN/>
              <w:adjustRightInd/>
              <w:ind w:left="0"/>
              <w:rPr>
                <w:sz w:val="22"/>
                <w:szCs w:val="22"/>
              </w:rPr>
            </w:pPr>
            <w:r w:rsidRPr="0015126D">
              <w:rPr>
                <w:sz w:val="22"/>
                <w:szCs w:val="22"/>
              </w:rPr>
              <w:t> </w:t>
            </w:r>
          </w:p>
        </w:tc>
        <w:tc>
          <w:tcPr>
            <w:tcW w:w="1602" w:type="dxa"/>
            <w:tcBorders>
              <w:top w:val="single" w:sz="4" w:space="0" w:color="auto"/>
              <w:bottom w:val="single" w:sz="4" w:space="0" w:color="auto"/>
            </w:tcBorders>
            <w:shd w:val="clear" w:color="auto" w:fill="auto"/>
            <w:noWrap/>
            <w:vAlign w:val="bottom"/>
            <w:hideMark/>
          </w:tcPr>
          <w:p w:rsidR="00C43834" w:rsidRPr="0015126D" w:rsidP="00C43834" w14:paraId="421744F4" w14:textId="5162FC28">
            <w:pPr>
              <w:widowControl/>
              <w:autoSpaceDE/>
              <w:autoSpaceDN/>
              <w:adjustRightInd/>
              <w:ind w:left="0"/>
              <w:rPr>
                <w:sz w:val="22"/>
                <w:szCs w:val="22"/>
              </w:rPr>
            </w:pPr>
            <w:r w:rsidRPr="0015126D">
              <w:rPr>
                <w:sz w:val="22"/>
                <w:szCs w:val="22"/>
              </w:rPr>
              <w:t> </w:t>
            </w:r>
          </w:p>
        </w:tc>
        <w:tc>
          <w:tcPr>
            <w:tcW w:w="1602" w:type="dxa"/>
            <w:tcBorders>
              <w:top w:val="single" w:sz="4" w:space="0" w:color="auto"/>
              <w:bottom w:val="single" w:sz="4" w:space="0" w:color="auto"/>
            </w:tcBorders>
            <w:shd w:val="clear" w:color="auto" w:fill="auto"/>
            <w:noWrap/>
            <w:vAlign w:val="bottom"/>
            <w:hideMark/>
          </w:tcPr>
          <w:p w:rsidR="00C43834" w:rsidRPr="0015126D" w:rsidP="00C43834" w14:paraId="11BD12CB" w14:textId="5D70765A">
            <w:pPr>
              <w:widowControl/>
              <w:autoSpaceDE/>
              <w:autoSpaceDN/>
              <w:adjustRightInd/>
              <w:ind w:left="0"/>
              <w:jc w:val="right"/>
              <w:rPr>
                <w:b/>
                <w:bCs/>
                <w:sz w:val="22"/>
                <w:szCs w:val="22"/>
              </w:rPr>
            </w:pPr>
            <w:r w:rsidRPr="0015126D">
              <w:rPr>
                <w:b/>
                <w:bCs/>
                <w:sz w:val="22"/>
                <w:szCs w:val="22"/>
              </w:rPr>
              <w:t> </w:t>
            </w:r>
          </w:p>
        </w:tc>
        <w:tc>
          <w:tcPr>
            <w:tcW w:w="1602" w:type="dxa"/>
            <w:tcBorders>
              <w:top w:val="single" w:sz="4" w:space="0" w:color="auto"/>
              <w:bottom w:val="single" w:sz="4" w:space="0" w:color="auto"/>
            </w:tcBorders>
            <w:shd w:val="clear" w:color="auto" w:fill="auto"/>
            <w:noWrap/>
            <w:vAlign w:val="bottom"/>
            <w:hideMark/>
          </w:tcPr>
          <w:p w:rsidR="00C43834" w:rsidRPr="0015126D" w:rsidP="00C43834" w14:paraId="1D86BA88" w14:textId="3E794325">
            <w:pPr>
              <w:widowControl/>
              <w:autoSpaceDE/>
              <w:autoSpaceDN/>
              <w:adjustRightInd/>
              <w:ind w:left="0"/>
              <w:jc w:val="right"/>
              <w:rPr>
                <w:b/>
                <w:bCs/>
                <w:sz w:val="22"/>
                <w:szCs w:val="22"/>
              </w:rPr>
            </w:pPr>
            <w:r w:rsidRPr="0015126D">
              <w:rPr>
                <w:b/>
                <w:bCs/>
                <w:sz w:val="22"/>
                <w:szCs w:val="22"/>
              </w:rPr>
              <w:t>Total</w:t>
            </w:r>
          </w:p>
        </w:tc>
        <w:tc>
          <w:tcPr>
            <w:tcW w:w="1602" w:type="dxa"/>
            <w:tcBorders>
              <w:top w:val="double" w:sz="6" w:space="0" w:color="auto"/>
              <w:bottom w:val="single" w:sz="4" w:space="0" w:color="auto"/>
              <w:right w:val="nil"/>
            </w:tcBorders>
            <w:shd w:val="clear" w:color="auto" w:fill="auto"/>
            <w:noWrap/>
            <w:vAlign w:val="bottom"/>
            <w:hideMark/>
          </w:tcPr>
          <w:p w:rsidR="00C43834" w:rsidRPr="0015126D" w:rsidP="00646E11" w14:paraId="54AEC381" w14:textId="31150351">
            <w:pPr>
              <w:widowControl/>
              <w:autoSpaceDE/>
              <w:autoSpaceDN/>
              <w:adjustRightInd/>
              <w:ind w:left="0"/>
              <w:jc w:val="center"/>
              <w:rPr>
                <w:sz w:val="22"/>
                <w:szCs w:val="22"/>
              </w:rPr>
            </w:pPr>
            <w:r w:rsidRPr="0015126D">
              <w:rPr>
                <w:sz w:val="22"/>
                <w:szCs w:val="22"/>
              </w:rPr>
              <w:t>$17</w:t>
            </w:r>
          </w:p>
        </w:tc>
      </w:tr>
    </w:tbl>
    <w:p w:rsidR="00073F2A" w:rsidP="00021D03" w14:paraId="336C1987" w14:textId="77777777">
      <w:pPr>
        <w:widowControl/>
      </w:pPr>
    </w:p>
    <w:p w:rsidR="0064473B" w:rsidRPr="00233B3F" w:rsidP="00475430" w14:paraId="551C21DD" w14:textId="581DE213">
      <w:pPr>
        <w:pStyle w:val="Heading2"/>
        <w:rPr>
          <w:i/>
        </w:rPr>
      </w:pPr>
      <w:r w:rsidRPr="00233B3F">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4473B" w:rsidP="00021D03" w14:paraId="334C029D" w14:textId="77777777">
      <w:pPr>
        <w:widowControl/>
        <w:rPr>
          <w:b/>
        </w:rPr>
      </w:pPr>
    </w:p>
    <w:p w:rsidR="004C58BF" w:rsidP="00836D68" w14:paraId="3444BC5D" w14:textId="77777777">
      <w:pPr>
        <w:pStyle w:val="BodyText"/>
        <w:widowControl/>
        <w:ind w:left="720"/>
      </w:pPr>
      <w:r>
        <w:t xml:space="preserve">PTE </w:t>
      </w:r>
      <w:r w:rsidR="00D536A7">
        <w:t>20</w:t>
      </w:r>
      <w:r>
        <w:t xml:space="preserve">03-39 does not require any action from the Department or impose any costs. </w:t>
      </w:r>
    </w:p>
    <w:p w:rsidR="004C58BF" w:rsidP="00836D68" w14:paraId="1876E2EA" w14:textId="77777777">
      <w:pPr>
        <w:pStyle w:val="BodyText"/>
        <w:widowControl/>
        <w:ind w:left="720"/>
      </w:pPr>
    </w:p>
    <w:p w:rsidR="00334E01" w:rsidP="00836D68" w14:paraId="060D0706" w14:textId="2C7A8228">
      <w:pPr>
        <w:pStyle w:val="BodyText"/>
        <w:widowControl/>
        <w:ind w:left="720"/>
      </w:pPr>
      <w:r>
        <w:t>For PTE 94-71, t</w:t>
      </w:r>
      <w:r>
        <w:t xml:space="preserve">he </w:t>
      </w:r>
      <w:r w:rsidR="004705B9">
        <w:t>Department’s  review of the notice may require some small additional time for the regional office of the Department involved in the settlement</w:t>
      </w:r>
      <w:r>
        <w:t>.</w:t>
      </w:r>
      <w:r w:rsidR="004705B9">
        <w:t xml:space="preserve"> </w:t>
      </w:r>
      <w:r>
        <w:t>However,</w:t>
      </w:r>
      <w:r w:rsidR="004705B9">
        <w:t xml:space="preserve"> the amount of additional time, over and above time otherwise devoted to the investigation, will be minimal, and </w:t>
      </w:r>
      <w:r>
        <w:t>the availability of exemptive relief under PTE 94-71 will not alter the basic nature of the Department’s course of conduct in its investigative activities</w:t>
      </w:r>
      <w:r w:rsidR="004705B9">
        <w:t>. Thus,</w:t>
      </w:r>
      <w:r>
        <w:t xml:space="preserve"> there should be no addition or reduction to program costs as a result of this exemption.</w:t>
      </w:r>
    </w:p>
    <w:p w:rsidR="0064473B" w:rsidRPr="0039214A" w:rsidP="00021D03" w14:paraId="3CD31752" w14:textId="77777777">
      <w:pPr>
        <w:widowControl/>
      </w:pPr>
    </w:p>
    <w:p w:rsidR="0064473B" w:rsidRPr="00903B1C" w:rsidP="00475430" w14:paraId="093269BA" w14:textId="6F53C5A7">
      <w:pPr>
        <w:pStyle w:val="Heading2"/>
        <w:rPr>
          <w:i/>
        </w:rPr>
      </w:pPr>
      <w:r w:rsidRPr="00903B1C">
        <w:t>Explain the reasons for any program changes or adjustments reporting in Items 13 or 14.</w:t>
      </w:r>
    </w:p>
    <w:p w:rsidR="0064473B" w:rsidP="00021D03" w14:paraId="6E0EBC3D" w14:textId="77777777">
      <w:pPr>
        <w:widowControl/>
        <w:ind w:firstLine="720"/>
      </w:pPr>
    </w:p>
    <w:p w:rsidR="007467CF" w:rsidP="006F35FA" w14:paraId="46586ECA" w14:textId="371C989F">
      <w:pPr>
        <w:widowControl/>
      </w:pPr>
      <w:r>
        <w:t xml:space="preserve">The </w:t>
      </w:r>
      <w:r w:rsidRPr="00495528" w:rsidR="003F7448">
        <w:t xml:space="preserve">burden estimates reflect </w:t>
      </w:r>
      <w:r w:rsidRPr="00495528" w:rsidR="00263B8C">
        <w:t>a de</w:t>
      </w:r>
      <w:r w:rsidRPr="00495528" w:rsidR="0006208A">
        <w:t xml:space="preserve">crease </w:t>
      </w:r>
      <w:r w:rsidRPr="00495528" w:rsidR="003F7448">
        <w:t xml:space="preserve">in the number of </w:t>
      </w:r>
      <w:r w:rsidRPr="00495528" w:rsidR="00495528">
        <w:t>participants in each plan</w:t>
      </w:r>
      <w:r w:rsidRPr="00495528" w:rsidR="00D11194">
        <w:t xml:space="preserve">, </w:t>
      </w:r>
      <w:r w:rsidRPr="00495528" w:rsidR="00AA2A4F">
        <w:t xml:space="preserve">an increase </w:t>
      </w:r>
      <w:r w:rsidRPr="00495528" w:rsidR="003F7448">
        <w:t>in wage rates</w:t>
      </w:r>
      <w:r w:rsidRPr="00495528" w:rsidR="00D11194">
        <w:t>, an increase in</w:t>
      </w:r>
      <w:r w:rsidRPr="00495528" w:rsidR="003F7448">
        <w:t xml:space="preserve"> postage rates</w:t>
      </w:r>
      <w:r w:rsidRPr="00495528" w:rsidR="00D11194">
        <w:t xml:space="preserve">, and an update to the estimated </w:t>
      </w:r>
      <w:r w:rsidRPr="00495528" w:rsidR="00255B93">
        <w:t>electronic disclosure rate.</w:t>
      </w:r>
      <w:r w:rsidR="00730788">
        <w:t xml:space="preserve"> As a result, the number of responses has decreased by 243 responses, the hour burden has decreased by 11 hours, and the cost burden has decreased by $197. </w:t>
      </w:r>
    </w:p>
    <w:p w:rsidR="00922988" w:rsidP="006F35FA" w14:paraId="522FFE0E" w14:textId="77777777">
      <w:pPr>
        <w:widowControl/>
      </w:pPr>
    </w:p>
    <w:p w:rsidR="0064473B" w:rsidRPr="00903B1C" w:rsidP="00475430" w14:paraId="5DA154F0" w14:textId="3059FF3A">
      <w:pPr>
        <w:pStyle w:val="Heading2"/>
        <w:rPr>
          <w:i/>
        </w:rPr>
      </w:pPr>
      <w:r w:rsidRPr="00903B1C">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4473B" w:rsidP="00021D03" w14:paraId="11446B5C" w14:textId="77777777">
      <w:pPr>
        <w:widowControl/>
      </w:pPr>
    </w:p>
    <w:p w:rsidR="0064473B" w:rsidP="006F35FA" w14:paraId="08D758AE" w14:textId="77777777">
      <w:pPr>
        <w:pStyle w:val="BodyText"/>
        <w:widowControl/>
        <w:ind w:firstLine="720"/>
      </w:pPr>
      <w:r>
        <w:t>There are no plans to publish the results of this collection of information.</w:t>
      </w:r>
    </w:p>
    <w:p w:rsidR="0064473B" w:rsidRPr="006F35FA" w:rsidP="00021D03" w14:paraId="4871BDCA" w14:textId="77777777">
      <w:pPr>
        <w:widowControl/>
        <w:rPr>
          <w:b/>
        </w:rPr>
      </w:pPr>
    </w:p>
    <w:p w:rsidR="0039214A" w:rsidP="00475430" w14:paraId="4E8AB929" w14:textId="43F50A29">
      <w:pPr>
        <w:pStyle w:val="Heading2"/>
        <w:rPr>
          <w:i/>
        </w:rPr>
      </w:pPr>
      <w:r w:rsidRPr="006F35FA">
        <w:t xml:space="preserve">If seeking approval to not display the expiration date for OMB approval of the </w:t>
      </w:r>
    </w:p>
    <w:p w:rsidR="0064473B" w:rsidRPr="00903B1C" w:rsidP="006F35FA" w14:paraId="3AEE3E60" w14:textId="77777777">
      <w:pPr>
        <w:pStyle w:val="Quick1"/>
        <w:widowControl/>
        <w:numPr>
          <w:ilvl w:val="0"/>
          <w:numId w:val="0"/>
        </w:numPr>
        <w:ind w:firstLine="720"/>
        <w:rPr>
          <w:b/>
          <w:i w:val="0"/>
          <w:sz w:val="24"/>
          <w:szCs w:val="24"/>
        </w:rPr>
      </w:pPr>
      <w:r w:rsidRPr="00903B1C">
        <w:rPr>
          <w:b/>
          <w:i w:val="0"/>
          <w:sz w:val="24"/>
          <w:szCs w:val="24"/>
        </w:rPr>
        <w:t>information collection, explain the reasons that display would be inappropriate.</w:t>
      </w:r>
    </w:p>
    <w:p w:rsidR="0064473B" w:rsidP="00021D03" w14:paraId="60DBB29A" w14:textId="77777777">
      <w:pPr>
        <w:widowControl/>
      </w:pPr>
    </w:p>
    <w:p w:rsidR="0064473B" w:rsidP="006F35FA" w14:paraId="675FB3F5" w14:textId="2805B2E5">
      <w:pPr>
        <w:pStyle w:val="BodyText"/>
        <w:widowControl/>
        <w:ind w:left="720"/>
      </w:pPr>
      <w:r>
        <w:t>Not applicable.</w:t>
      </w:r>
    </w:p>
    <w:p w:rsidR="0064473B" w:rsidP="00021D03" w14:paraId="5D879B10" w14:textId="77777777">
      <w:pPr>
        <w:widowControl/>
      </w:pPr>
    </w:p>
    <w:p w:rsidR="0064473B" w:rsidRPr="006F35FA" w:rsidP="00475430" w14:paraId="3654A595" w14:textId="0002775B">
      <w:pPr>
        <w:pStyle w:val="Heading2"/>
        <w:rPr>
          <w:i/>
        </w:rPr>
      </w:pPr>
      <w:r w:rsidRPr="006F35FA">
        <w:t>Explain each exception to the certification statement</w:t>
      </w:r>
      <w:r w:rsidRPr="006F35FA" w:rsidR="0039214A">
        <w:t>.</w:t>
      </w:r>
    </w:p>
    <w:p w:rsidR="0064473B" w:rsidP="00021D03" w14:paraId="686106C4" w14:textId="77777777">
      <w:pPr>
        <w:widowControl/>
      </w:pPr>
    </w:p>
    <w:p w:rsidR="0064473B" w:rsidP="00021D03" w14:paraId="4E235AE8" w14:textId="603DECF1">
      <w:pPr>
        <w:widowControl/>
      </w:pPr>
      <w:r w:rsidRPr="00956784">
        <w:t>There are no exceptions to the certification statement.</w:t>
      </w:r>
    </w:p>
    <w:p w:rsidR="00956784" w:rsidP="00021D03" w14:paraId="22BAFCDA" w14:textId="77777777">
      <w:pPr>
        <w:widowControl/>
      </w:pPr>
    </w:p>
    <w:p w:rsidR="0064473B" w:rsidP="00475430" w14:paraId="3D63651A" w14:textId="77777777">
      <w:pPr>
        <w:pStyle w:val="Heading1"/>
      </w:pPr>
      <w:r>
        <w:t>B.</w:t>
      </w:r>
      <w:r>
        <w:tab/>
      </w:r>
      <w:r w:rsidR="00836D68">
        <w:t>COLLECTIONS OF INFORMATION EMPLOYING STATISTICAL METHODS</w:t>
      </w:r>
    </w:p>
    <w:p w:rsidR="0064473B" w:rsidP="00021D03" w14:paraId="292A62B9" w14:textId="77777777">
      <w:pPr>
        <w:widowControl/>
      </w:pPr>
    </w:p>
    <w:p w:rsidR="0064473B" w:rsidP="00DD46F5" w14:paraId="5A1A2999" w14:textId="58FD12CC">
      <w:pPr>
        <w:pStyle w:val="BodyText"/>
        <w:widowControl/>
        <w:ind w:left="720"/>
      </w:pPr>
      <w:r>
        <w:t>The use of statistical methods is not relevant to this collection of information.</w:t>
      </w:r>
    </w:p>
    <w:sectPr>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31F4" w14:paraId="521959EA" w14:textId="77777777">
    <w:pPr>
      <w:spacing w:line="348" w:lineRule="exact"/>
    </w:pPr>
  </w:p>
  <w:p w:rsidR="00F131F4" w14:paraId="319B4E29" w14:textId="1B8C2332">
    <w:pPr>
      <w:framePr w:w="9361" w:wrap="notBeside" w:vAnchor="text" w:hAnchor="text" w:x="1" w:y="1"/>
      <w:jc w:val="center"/>
    </w:pPr>
    <w:r>
      <w:fldChar w:fldCharType="begin"/>
    </w:r>
    <w:r>
      <w:instrText xml:space="preserve">PAGE </w:instrText>
    </w:r>
    <w:r>
      <w:fldChar w:fldCharType="separate"/>
    </w:r>
    <w:r w:rsidR="00D71790">
      <w:rPr>
        <w:noProof/>
      </w:rPr>
      <w:t>2</w:t>
    </w:r>
    <w:r>
      <w:fldChar w:fldCharType="end"/>
    </w:r>
  </w:p>
  <w:p w:rsidR="00F131F4" w:rsidP="005C7F3A" w14:paraId="2E1240C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7B65" w14:paraId="2574A642" w14:textId="77777777">
      <w:r>
        <w:separator/>
      </w:r>
    </w:p>
  </w:footnote>
  <w:footnote w:type="continuationSeparator" w:id="1">
    <w:p w:rsidR="00307B65" w14:paraId="31903A65" w14:textId="77777777">
      <w:r>
        <w:continuationSeparator/>
      </w:r>
    </w:p>
  </w:footnote>
  <w:footnote w:type="continuationNotice" w:id="2">
    <w:p w:rsidR="00307B65" w14:paraId="45591960" w14:textId="77777777"/>
  </w:footnote>
  <w:footnote w:id="3">
    <w:p w:rsidR="00A86E31" w14:paraId="76EA6A48" w14:textId="5D368BE9">
      <w:pPr>
        <w:pStyle w:val="FootnoteText"/>
      </w:pPr>
      <w:r w:rsidRPr="00646E11">
        <w:rPr>
          <w:rStyle w:val="FootnoteReference"/>
          <w:vertAlign w:val="superscript"/>
        </w:rPr>
        <w:footnoteRef/>
      </w:r>
      <w:r>
        <w:t xml:space="preserve"> </w:t>
      </w:r>
      <w:r w:rsidRPr="00FA6BC0">
        <w:rPr>
          <w:bCs/>
        </w:rPr>
        <w:t>43 FR 47713</w:t>
      </w:r>
      <w:r>
        <w:rPr>
          <w:bCs/>
        </w:rPr>
        <w:t>.</w:t>
      </w:r>
    </w:p>
  </w:footnote>
  <w:footnote w:id="4">
    <w:p w:rsidR="00901265" w:rsidRPr="000A0A5F" w:rsidP="00901265" w14:paraId="23EB9BB0" w14:textId="4BBD8565">
      <w:pPr>
        <w:pStyle w:val="FootnoteText"/>
      </w:pPr>
      <w:r w:rsidRPr="00646E11">
        <w:rPr>
          <w:rStyle w:val="FootnoteReference"/>
          <w:vertAlign w:val="superscript"/>
        </w:rPr>
        <w:footnoteRef/>
      </w:r>
      <w:r w:rsidRPr="000A0A5F">
        <w:t xml:space="preserve"> </w:t>
      </w:r>
      <w:r>
        <w:rPr>
          <w:rStyle w:val="normaltextrun"/>
          <w:color w:val="000000"/>
          <w:shd w:val="clear" w:color="auto" w:fill="FFFFFF"/>
        </w:rPr>
        <w:t>The Department estimates 96.1 percent of retirement investors receive disclosures electronically. This is the sum of the estimated share of retirement investors receiving electronic disclosures under the 2002 electronic disclosure safe harbor (58.3 percent) and the estimated share of retirement investors receiving electronic disclosures under the 2020 electronic disclosure safe harbor (37.8 percent).</w:t>
      </w:r>
      <w:r w:rsidR="00C06A16">
        <w:rPr>
          <w:rStyle w:val="normaltextrun"/>
          <w:color w:val="000000"/>
          <w:shd w:val="clear" w:color="auto" w:fill="FFFFFF"/>
        </w:rPr>
        <w:t xml:space="preserve"> </w:t>
      </w:r>
    </w:p>
  </w:footnote>
  <w:footnote w:id="5">
    <w:p w:rsidR="00B55B9B" w:rsidP="00B55B9B" w14:paraId="3A388217" w14:textId="6922719F">
      <w:pPr>
        <w:pStyle w:val="FootnoteText"/>
      </w:pPr>
      <w:r w:rsidRPr="00646E11">
        <w:rPr>
          <w:rStyle w:val="FootnoteReference"/>
          <w:vertAlign w:val="superscript"/>
        </w:rPr>
        <w:footnoteRef/>
      </w:r>
      <w:r>
        <w:t xml:space="preserve"> Internal DOL calculation based on 2024 labor cost data. For a description of DOL’s methodology for calculating wage rates, see </w:t>
      </w:r>
      <w:hyperlink r:id="rId1" w:history="1">
        <w:r>
          <w:rPr>
            <w:rStyle w:val="Hyperlink"/>
          </w:rPr>
          <w:t>https://www.dol.gov/sites/dolgov/files/EBSA/laws-and-regulations/rules-and-regulations/technical-appendices/labor-cost-inputs-used-in-ebsa-opr-ria-and-pra-burden-calculations-june-2019.pdf</w:t>
        </w:r>
      </w:hyperlink>
      <w:r>
        <w:t>.</w:t>
      </w:r>
    </w:p>
  </w:footnote>
  <w:footnote w:id="6">
    <w:p w:rsidR="00926394" w:rsidRPr="00926394" w14:paraId="69F813FA" w14:textId="4621B1A3">
      <w:pPr>
        <w:pStyle w:val="FootnoteText"/>
      </w:pPr>
      <w:r w:rsidRPr="00646E11">
        <w:rPr>
          <w:rStyle w:val="FootnoteReference"/>
          <w:vertAlign w:val="superscript"/>
        </w:rPr>
        <w:footnoteRef/>
      </w:r>
      <w:r w:rsidRPr="00646E11">
        <w:rPr>
          <w:vertAlign w:val="superscript"/>
        </w:rPr>
        <w:t xml:space="preserve"> </w:t>
      </w:r>
      <w:r>
        <w:t xml:space="preserve">Between 2019 and 2024, the Department identified 13 investigations that resulted in voluntary settlement agreements that either authorized or required future transaction that would otherwise be prohibited by ERISA </w:t>
      </w:r>
      <w:r w:rsidR="007B3FC8">
        <w:t>s</w:t>
      </w:r>
      <w:r>
        <w:t xml:space="preserve">ection 406. </w:t>
      </w:r>
      <w:r w:rsidR="00AC32E5">
        <w:t>This result</w:t>
      </w:r>
      <w:r w:rsidR="007B3FC8">
        <w:t>ed</w:t>
      </w:r>
      <w:r w:rsidR="00AC32E5">
        <w:t xml:space="preserve"> in an annual average of 2.2 instances of reliance on the exemption. For the purposes of this analysis, the Department uses a conservative estimate of three instances.</w:t>
      </w:r>
    </w:p>
  </w:footnote>
  <w:footnote w:id="7">
    <w:p w:rsidR="00494A2B" w:rsidRPr="00917794" w:rsidP="00623444" w14:paraId="43DCAD3E" w14:textId="31986B98">
      <w:pPr>
        <w:pStyle w:val="FootnoteText"/>
      </w:pPr>
      <w:r w:rsidRPr="00646E11">
        <w:rPr>
          <w:rStyle w:val="FootnoteReference"/>
          <w:vertAlign w:val="superscript"/>
        </w:rPr>
        <w:footnoteRef/>
      </w:r>
      <w:r w:rsidRPr="00646E11">
        <w:rPr>
          <w:vertAlign w:val="superscript"/>
        </w:rPr>
        <w:t xml:space="preserve"> </w:t>
      </w:r>
      <w:r w:rsidRPr="00646E11" w:rsidR="00AC32E5">
        <w:t>Employee Benefits Security Administration, Private Pension Plan Bulletin: Abstract of 202</w:t>
      </w:r>
      <w:r w:rsidR="00AC32E5">
        <w:t>2</w:t>
      </w:r>
      <w:r w:rsidRPr="00646E11" w:rsidR="00AC32E5">
        <w:t xml:space="preserve"> Form 5500</w:t>
      </w:r>
      <w:r w:rsidR="00AC32E5">
        <w:t xml:space="preserve"> </w:t>
      </w:r>
      <w:r w:rsidRPr="00646E11" w:rsidR="00AC32E5">
        <w:t xml:space="preserve">Annual Reports, Table </w:t>
      </w:r>
      <w:r w:rsidR="00AC32E5">
        <w:t>A1</w:t>
      </w:r>
      <w:r w:rsidRPr="00646E11" w:rsidR="00AC32E5">
        <w:t>, (</w:t>
      </w:r>
      <w:r w:rsidR="00AC32E5">
        <w:t>July 2024</w:t>
      </w:r>
      <w:r w:rsidRPr="00646E11" w:rsidR="00AC32E5">
        <w:t>),</w:t>
      </w:r>
      <w:r w:rsidR="00AC32E5">
        <w:t xml:space="preserve"> </w:t>
      </w:r>
      <w:hyperlink r:id="rId2" w:history="1">
        <w:r w:rsidRPr="00C73DB5" w:rsidR="00623444">
          <w:rPr>
            <w:rStyle w:val="Hyperlink"/>
          </w:rPr>
          <w:t>https://www.dol.gov/sites/dolgov/files/ebsa/researchers/statistics/retirement-bulletins/private-pension-plan-bulletins-abstract-2022.pdf</w:t>
        </w:r>
      </w:hyperlink>
      <w:r w:rsidRPr="00646E11" w:rsidR="00AC32E5">
        <w:t>.</w:t>
      </w:r>
    </w:p>
  </w:footnote>
  <w:footnote w:id="8">
    <w:p w:rsidR="00CE672E" w14:paraId="7EC71256" w14:textId="50EB9CE9">
      <w:pPr>
        <w:pStyle w:val="FootnoteText"/>
      </w:pPr>
      <w:r w:rsidRPr="00646E11">
        <w:rPr>
          <w:rStyle w:val="FootnoteReference"/>
          <w:vertAlign w:val="superscript"/>
        </w:rPr>
        <w:footnoteRef/>
      </w:r>
      <w:r w:rsidRPr="00646E11">
        <w:rPr>
          <w:vertAlign w:val="superscript"/>
        </w:rPr>
        <w:t xml:space="preserve"> </w:t>
      </w:r>
      <w:r w:rsidRPr="00917794">
        <w:t>(3 plans × (</w:t>
      </w:r>
      <w:r w:rsidRPr="00646E11" w:rsidR="00917794">
        <w:t>189</w:t>
      </w:r>
      <w:r w:rsidRPr="00917794">
        <w:t xml:space="preserve"> participants per plan × 3.9 percent)) = </w:t>
      </w:r>
      <w:r w:rsidRPr="00646E11" w:rsidR="00917794">
        <w:t>2</w:t>
      </w:r>
      <w:r w:rsidR="00C43834">
        <w:t>2</w:t>
      </w:r>
      <w:r w:rsidRPr="00917794">
        <w:t xml:space="preserve"> </w:t>
      </w:r>
      <w:r w:rsidR="007B3FC8">
        <w:t>notices</w:t>
      </w:r>
      <w:r w:rsidRPr="00917794">
        <w:t>.</w:t>
      </w:r>
    </w:p>
  </w:footnote>
  <w:footnote w:id="9">
    <w:p w:rsidR="00623444" w14:paraId="0385A54B" w14:textId="4ABFB26A">
      <w:pPr>
        <w:pStyle w:val="FootnoteText"/>
      </w:pPr>
      <w:r w:rsidRPr="0015126D">
        <w:rPr>
          <w:rStyle w:val="FootnoteReference"/>
          <w:vertAlign w:val="superscript"/>
        </w:rPr>
        <w:footnoteRef/>
      </w:r>
      <w:r w:rsidRPr="0015126D">
        <w:rPr>
          <w:vertAlign w:val="superscript"/>
        </w:rPr>
        <w:t xml:space="preserve"> </w:t>
      </w:r>
      <w:r w:rsidRPr="00623444">
        <w:t>The Department estimates 96.1 percent of retirement investors receive disclosures electronically. This is the sum of the estimated share of retirement investors receiving electronic disclosures under the 2002 electronic disclosure safe harbor (58.3 percent) and the estimated share of retirement investors receiving electronic disclosures under the 2020 electronic disclosure safe harbor (37.8 percent).</w:t>
      </w:r>
      <w:r w:rsidR="00012F7B">
        <w:t xml:space="preserve"> </w:t>
      </w:r>
    </w:p>
  </w:footnote>
  <w:footnote w:id="10">
    <w:p w:rsidR="00922988" w14:paraId="59EF6133" w14:textId="0F5371BA">
      <w:pPr>
        <w:pStyle w:val="FootnoteText"/>
      </w:pPr>
      <w:r w:rsidRPr="00646E11">
        <w:rPr>
          <w:rStyle w:val="FootnoteReference"/>
          <w:vertAlign w:val="superscript"/>
        </w:rPr>
        <w:footnoteRef/>
      </w:r>
      <w:r w:rsidRPr="00646E11">
        <w:rPr>
          <w:vertAlign w:val="superscript"/>
        </w:rPr>
        <w:t xml:space="preserve"> </w:t>
      </w:r>
      <w:r w:rsidRPr="00646E11">
        <w:t>(3 plans × (</w:t>
      </w:r>
      <w:r w:rsidRPr="00646E11" w:rsidR="00C43834">
        <w:t>189</w:t>
      </w:r>
      <w:r w:rsidRPr="00646E11">
        <w:t xml:space="preserve"> participants per plan × 3.9 percent)) = </w:t>
      </w:r>
      <w:r w:rsidRPr="00646E11" w:rsidR="00C43834">
        <w:t>22</w:t>
      </w:r>
      <w:r w:rsidRPr="00646E11">
        <w:t xml:space="preserve"> </w:t>
      </w:r>
      <w:r w:rsidR="00012F7B">
        <w:t>notices</w:t>
      </w:r>
      <w:r w:rsidR="00F65FDC">
        <w:t>.</w:t>
      </w:r>
    </w:p>
  </w:footnote>
  <w:footnote w:id="11">
    <w:p w:rsidR="00D167D0" w:rsidRPr="00D167D0" w14:paraId="3346A36C" w14:textId="2C332773">
      <w:pPr>
        <w:pStyle w:val="FootnoteText"/>
      </w:pPr>
      <w:r w:rsidRPr="00646E11">
        <w:rPr>
          <w:rStyle w:val="FootnoteReference"/>
          <w:vertAlign w:val="superscript"/>
        </w:rPr>
        <w:footnoteRef/>
      </w:r>
      <w:r w:rsidRPr="00646E11">
        <w:rPr>
          <w:vertAlign w:val="superscript"/>
        </w:rPr>
        <w:t xml:space="preserve"> </w:t>
      </w:r>
      <w:r>
        <w:t>$0.73 for first-class postage + $0.05 for material and printing costs of a one-page disclosure = $0.78</w:t>
      </w:r>
      <w:r w:rsidR="00F65FD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070" w:rsidP="00477B37" w14:paraId="6C504142" w14:textId="22544614">
    <w:pPr>
      <w:pStyle w:val="Heading2"/>
      <w:numPr>
        <w:ilvl w:val="0"/>
        <w:numId w:val="0"/>
      </w:numPr>
      <w:ind w:left="720" w:hanging="720"/>
      <w:jc w:val="right"/>
      <w:rPr>
        <w:sz w:val="20"/>
        <w:szCs w:val="20"/>
      </w:rPr>
    </w:pPr>
    <w:r>
      <w:rPr>
        <w:sz w:val="20"/>
        <w:szCs w:val="20"/>
      </w:rPr>
      <w:t>OED edits 2/7/25</w:t>
    </w:r>
  </w:p>
  <w:p w:rsidR="00F131F4" w:rsidRPr="0015126D" w:rsidP="00646E11" w14:paraId="16215BC8" w14:textId="77777777">
    <w:pPr>
      <w:pStyle w:val="Heading2"/>
      <w:numPr>
        <w:ilvl w:val="0"/>
        <w:numId w:val="0"/>
      </w:numPr>
      <w:ind w:left="720" w:hanging="720"/>
      <w:rPr>
        <w:sz w:val="20"/>
        <w:szCs w:val="20"/>
      </w:rPr>
    </w:pPr>
    <w:r w:rsidRPr="0015126D">
      <w:rPr>
        <w:sz w:val="20"/>
        <w:szCs w:val="20"/>
      </w:rPr>
      <w:t>Settlement Agreements Between a Plan and Party in Interest</w:t>
    </w:r>
  </w:p>
  <w:p w:rsidR="00F131F4" w:rsidRPr="0015126D" w:rsidP="00903B1C" w14:paraId="18CABA63" w14:textId="42CB195B">
    <w:pPr>
      <w:ind w:left="0"/>
      <w:rPr>
        <w:b/>
        <w:sz w:val="20"/>
        <w:szCs w:val="20"/>
      </w:rPr>
    </w:pPr>
    <w:r w:rsidRPr="0015126D">
      <w:rPr>
        <w:b/>
        <w:sz w:val="20"/>
        <w:szCs w:val="20"/>
      </w:rPr>
      <w:t xml:space="preserve">OMB Number 1210-0091 </w:t>
    </w:r>
  </w:p>
  <w:p w:rsidR="004B7F1F" w:rsidRPr="0015126D" w:rsidP="00903B1C" w14:paraId="04989114" w14:textId="0F24A244">
    <w:pPr>
      <w:ind w:left="0"/>
      <w:rPr>
        <w:sz w:val="20"/>
        <w:szCs w:val="20"/>
      </w:rPr>
    </w:pPr>
    <w:r w:rsidRPr="0015126D">
      <w:rPr>
        <w:b/>
        <w:sz w:val="20"/>
        <w:szCs w:val="20"/>
      </w:rPr>
      <w:t>Expiration Date: 0</w:t>
    </w:r>
    <w:r w:rsidRPr="0015126D" w:rsidR="00F037E7">
      <w:rPr>
        <w:b/>
        <w:sz w:val="20"/>
        <w:szCs w:val="20"/>
      </w:rPr>
      <w:t>5</w:t>
    </w:r>
    <w:r w:rsidRPr="0015126D">
      <w:rPr>
        <w:b/>
        <w:sz w:val="20"/>
        <w:szCs w:val="20"/>
      </w:rPr>
      <w:t>/3</w:t>
    </w:r>
    <w:r w:rsidRPr="0015126D" w:rsidR="00F037E7">
      <w:rPr>
        <w:b/>
        <w:sz w:val="20"/>
        <w:szCs w:val="20"/>
      </w:rPr>
      <w:t>1</w:t>
    </w:r>
    <w:r w:rsidRPr="0015126D">
      <w:rPr>
        <w:b/>
        <w:sz w:val="20"/>
        <w:szCs w:val="20"/>
      </w:rPr>
      <w:t>/202</w:t>
    </w:r>
    <w:r w:rsidRPr="0015126D" w:rsidR="00F037E7">
      <w:rPr>
        <w:b/>
        <w:sz w:val="20"/>
        <w:szCs w:val="20"/>
      </w:rPr>
      <w:t>5</w:t>
    </w:r>
  </w:p>
  <w:p w:rsidR="00F131F4" w:rsidRPr="007B713E" w:rsidP="007278D3" w14:paraId="72C771A9" w14:textId="77777777">
    <w:pPr>
      <w:jc w:val="center"/>
      <w:rPr>
        <w:b/>
        <w:color w:val="5F5F5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245C76"/>
    <w:lvl w:ilvl="0">
      <w:start w:val="0"/>
      <w:numFmt w:val="decimal"/>
      <w:lvlText w:val="*"/>
      <w:lvlJc w:val="left"/>
    </w:lvl>
  </w:abstractNum>
  <w:abstractNum w:abstractNumId="1">
    <w:nsid w:val="00000001"/>
    <w:multiLevelType w:val="singleLevel"/>
    <w:tmpl w:val="606207BE"/>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nsid w:val="0B236435"/>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F851A40"/>
    <w:multiLevelType w:val="hybridMultilevel"/>
    <w:tmpl w:val="406A89DC"/>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1505255F"/>
    <w:multiLevelType w:val="hybridMultilevel"/>
    <w:tmpl w:val="DD385C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5504C0F"/>
    <w:multiLevelType w:val="hybridMultilevel"/>
    <w:tmpl w:val="39BA1BF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18C5619A"/>
    <w:multiLevelType w:val="hybridMultilevel"/>
    <w:tmpl w:val="47A4BFC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1BD144D4"/>
    <w:multiLevelType w:val="multilevel"/>
    <w:tmpl w:val="754C42B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nsid w:val="28EA64E6"/>
    <w:multiLevelType w:val="hybridMultilevel"/>
    <w:tmpl w:val="3B08134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31AA09DD"/>
    <w:multiLevelType w:val="hybridMultilevel"/>
    <w:tmpl w:val="3AC0630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32FE7B76"/>
    <w:multiLevelType w:val="hybridMultilevel"/>
    <w:tmpl w:val="5644F82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38BC42D7"/>
    <w:multiLevelType w:val="hybridMultilevel"/>
    <w:tmpl w:val="FDC2C00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9466018"/>
    <w:multiLevelType w:val="hybridMultilevel"/>
    <w:tmpl w:val="41FE333E"/>
    <w:lvl w:ilvl="0">
      <w:start w:val="1"/>
      <w:numFmt w:val="decimal"/>
      <w:pStyle w:val="Heading2"/>
      <w:lvlText w:val="%1."/>
      <w:lvlJc w:val="left"/>
      <w:pPr>
        <w:ind w:left="720" w:hanging="360"/>
      </w:pPr>
      <w:rPr>
        <w:rFonts w:hint="default"/>
        <w:b/>
        <w:i w:val="0"/>
        <w:sz w:val="24"/>
        <w:szCs w:val="24"/>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FE68C8"/>
    <w:multiLevelType w:val="hybridMultilevel"/>
    <w:tmpl w:val="2DAA3A24"/>
    <w:lvl w:ilvl="0">
      <w:start w:val="1"/>
      <w:numFmt w:val="decimal"/>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4B106D4B"/>
    <w:multiLevelType w:val="hybridMultilevel"/>
    <w:tmpl w:val="46F6C6D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53C45066"/>
    <w:multiLevelType w:val="multilevel"/>
    <w:tmpl w:val="534287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
    <w:nsid w:val="5DBF3616"/>
    <w:multiLevelType w:val="hybridMultilevel"/>
    <w:tmpl w:val="63787CD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60241045"/>
    <w:multiLevelType w:val="multilevel"/>
    <w:tmpl w:val="D81411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8">
    <w:nsid w:val="642942BB"/>
    <w:multiLevelType w:val="hybridMultilevel"/>
    <w:tmpl w:val="85B04C9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nsid w:val="674D3CAA"/>
    <w:multiLevelType w:val="hybridMultilevel"/>
    <w:tmpl w:val="06B0F4B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6E212C22"/>
    <w:multiLevelType w:val="hybridMultilevel"/>
    <w:tmpl w:val="BDDC10E0"/>
    <w:lvl w:ilvl="0">
      <w:start w:val="1"/>
      <w:numFmt w:val="decimal"/>
      <w:lvlText w:val="(%1)"/>
      <w:lvlJc w:val="left"/>
      <w:pPr>
        <w:ind w:left="1496" w:hanging="360"/>
      </w:pPr>
    </w:lvl>
    <w:lvl w:ilvl="1" w:tentative="1">
      <w:start w:val="1"/>
      <w:numFmt w:val="lowerLetter"/>
      <w:lvlText w:val="%2."/>
      <w:lvlJc w:val="left"/>
      <w:pPr>
        <w:ind w:left="2216" w:hanging="360"/>
      </w:pPr>
    </w:lvl>
    <w:lvl w:ilvl="2" w:tentative="1">
      <w:start w:val="1"/>
      <w:numFmt w:val="lowerRoman"/>
      <w:lvlText w:val="%3."/>
      <w:lvlJc w:val="right"/>
      <w:pPr>
        <w:ind w:left="2936" w:hanging="180"/>
      </w:pPr>
    </w:lvl>
    <w:lvl w:ilvl="3" w:tentative="1">
      <w:start w:val="1"/>
      <w:numFmt w:val="decimal"/>
      <w:lvlText w:val="%4."/>
      <w:lvlJc w:val="left"/>
      <w:pPr>
        <w:ind w:left="3656" w:hanging="360"/>
      </w:pPr>
    </w:lvl>
    <w:lvl w:ilvl="4" w:tentative="1">
      <w:start w:val="1"/>
      <w:numFmt w:val="lowerLetter"/>
      <w:lvlText w:val="%5."/>
      <w:lvlJc w:val="left"/>
      <w:pPr>
        <w:ind w:left="4376" w:hanging="360"/>
      </w:pPr>
    </w:lvl>
    <w:lvl w:ilvl="5" w:tentative="1">
      <w:start w:val="1"/>
      <w:numFmt w:val="lowerRoman"/>
      <w:lvlText w:val="%6."/>
      <w:lvlJc w:val="right"/>
      <w:pPr>
        <w:ind w:left="5096" w:hanging="180"/>
      </w:pPr>
    </w:lvl>
    <w:lvl w:ilvl="6" w:tentative="1">
      <w:start w:val="1"/>
      <w:numFmt w:val="decimal"/>
      <w:lvlText w:val="%7."/>
      <w:lvlJc w:val="left"/>
      <w:pPr>
        <w:ind w:left="5816" w:hanging="360"/>
      </w:pPr>
    </w:lvl>
    <w:lvl w:ilvl="7" w:tentative="1">
      <w:start w:val="1"/>
      <w:numFmt w:val="lowerLetter"/>
      <w:lvlText w:val="%8."/>
      <w:lvlJc w:val="left"/>
      <w:pPr>
        <w:ind w:left="6536" w:hanging="360"/>
      </w:pPr>
    </w:lvl>
    <w:lvl w:ilvl="8" w:tentative="1">
      <w:start w:val="1"/>
      <w:numFmt w:val="lowerRoman"/>
      <w:lvlText w:val="%9."/>
      <w:lvlJc w:val="right"/>
      <w:pPr>
        <w:ind w:left="7256" w:hanging="180"/>
      </w:pPr>
    </w:lvl>
  </w:abstractNum>
  <w:abstractNum w:abstractNumId="21">
    <w:nsid w:val="6E94798D"/>
    <w:multiLevelType w:val="hybridMultilevel"/>
    <w:tmpl w:val="DC8474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7D60F9B"/>
    <w:multiLevelType w:val="hybridMultilevel"/>
    <w:tmpl w:val="B6D6E54A"/>
    <w:lvl w:ilvl="0">
      <w:start w:val="1"/>
      <w:numFmt w:val="decimal"/>
      <w:lvlText w:val="(%1)"/>
      <w:lvlJc w:val="left"/>
      <w:pPr>
        <w:ind w:left="1496" w:hanging="360"/>
      </w:pPr>
      <w:rPr>
        <w:rFonts w:hint="default"/>
      </w:rPr>
    </w:lvl>
    <w:lvl w:ilvl="1" w:tentative="1">
      <w:start w:val="1"/>
      <w:numFmt w:val="lowerLetter"/>
      <w:lvlText w:val="%2."/>
      <w:lvlJc w:val="left"/>
      <w:pPr>
        <w:ind w:left="2216" w:hanging="360"/>
      </w:pPr>
    </w:lvl>
    <w:lvl w:ilvl="2" w:tentative="1">
      <w:start w:val="1"/>
      <w:numFmt w:val="lowerRoman"/>
      <w:lvlText w:val="%3."/>
      <w:lvlJc w:val="right"/>
      <w:pPr>
        <w:ind w:left="2936" w:hanging="180"/>
      </w:pPr>
    </w:lvl>
    <w:lvl w:ilvl="3" w:tentative="1">
      <w:start w:val="1"/>
      <w:numFmt w:val="decimal"/>
      <w:lvlText w:val="%4."/>
      <w:lvlJc w:val="left"/>
      <w:pPr>
        <w:ind w:left="3656" w:hanging="360"/>
      </w:pPr>
    </w:lvl>
    <w:lvl w:ilvl="4" w:tentative="1">
      <w:start w:val="1"/>
      <w:numFmt w:val="lowerLetter"/>
      <w:lvlText w:val="%5."/>
      <w:lvlJc w:val="left"/>
      <w:pPr>
        <w:ind w:left="4376" w:hanging="360"/>
      </w:pPr>
    </w:lvl>
    <w:lvl w:ilvl="5" w:tentative="1">
      <w:start w:val="1"/>
      <w:numFmt w:val="lowerRoman"/>
      <w:lvlText w:val="%6."/>
      <w:lvlJc w:val="right"/>
      <w:pPr>
        <w:ind w:left="5096" w:hanging="180"/>
      </w:pPr>
    </w:lvl>
    <w:lvl w:ilvl="6" w:tentative="1">
      <w:start w:val="1"/>
      <w:numFmt w:val="decimal"/>
      <w:lvlText w:val="%7."/>
      <w:lvlJc w:val="left"/>
      <w:pPr>
        <w:ind w:left="5816" w:hanging="360"/>
      </w:pPr>
    </w:lvl>
    <w:lvl w:ilvl="7" w:tentative="1">
      <w:start w:val="1"/>
      <w:numFmt w:val="lowerLetter"/>
      <w:lvlText w:val="%8."/>
      <w:lvlJc w:val="left"/>
      <w:pPr>
        <w:ind w:left="6536" w:hanging="360"/>
      </w:pPr>
    </w:lvl>
    <w:lvl w:ilvl="8" w:tentative="1">
      <w:start w:val="1"/>
      <w:numFmt w:val="lowerRoman"/>
      <w:lvlText w:val="%9."/>
      <w:lvlJc w:val="right"/>
      <w:pPr>
        <w:ind w:left="7256" w:hanging="180"/>
      </w:pPr>
    </w:lvl>
  </w:abstractNum>
  <w:abstractNum w:abstractNumId="23">
    <w:nsid w:val="77ED224D"/>
    <w:multiLevelType w:val="hybridMultilevel"/>
    <w:tmpl w:val="258A67A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79BD2071"/>
    <w:multiLevelType w:val="hybridMultilevel"/>
    <w:tmpl w:val="896EA7E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081491245">
    <w:abstractNumId w:val="1"/>
    <w:lvlOverride w:ilvl="0">
      <w:startOverride w:val="1"/>
      <w:lvl w:ilvl="0">
        <w:start w:val="1"/>
        <w:numFmt w:val="decimal"/>
        <w:pStyle w:val="Quick1"/>
        <w:lvlText w:val="%1."/>
        <w:lvlJc w:val="left"/>
      </w:lvl>
    </w:lvlOverride>
  </w:num>
  <w:num w:numId="2" w16cid:durableId="1695498576">
    <w:abstractNumId w:val="1"/>
    <w:lvlOverride w:ilvl="0">
      <w:lvl w:ilvl="0">
        <w:start w:val="1"/>
        <w:numFmt w:val="decimal"/>
        <w:pStyle w:val="Quick1"/>
        <w:lvlText w:val="%1."/>
        <w:lvlJc w:val="left"/>
        <w:pPr>
          <w:tabs>
            <w:tab w:val="num" w:pos="0"/>
          </w:tabs>
          <w:ind w:left="0" w:firstLine="0"/>
        </w:pPr>
        <w:rPr>
          <w:rFonts w:ascii="Times New Roman" w:hAnsi="Times New Roman" w:hint="default"/>
          <w:b w:val="0"/>
          <w:i/>
          <w:sz w:val="20"/>
          <w:szCs w:val="20"/>
        </w:rPr>
      </w:lvl>
    </w:lvlOverride>
  </w:num>
  <w:num w:numId="3" w16cid:durableId="769663264">
    <w:abstractNumId w:val="0"/>
    <w:lvlOverride w:ilvl="0">
      <w:lvl w:ilvl="0">
        <w:start w:val="0"/>
        <w:numFmt w:val="bullet"/>
        <w:lvlText w:val=""/>
        <w:legacy w:legacy="1" w:legacySpace="0" w:legacyIndent="720"/>
        <w:lvlJc w:val="left"/>
        <w:pPr>
          <w:ind w:left="1440" w:hanging="720"/>
        </w:pPr>
        <w:rPr>
          <w:rFonts w:ascii="WP MathA" w:hAnsi="WP MathA" w:hint="default"/>
        </w:rPr>
      </w:lvl>
    </w:lvlOverride>
  </w:num>
  <w:num w:numId="4" w16cid:durableId="1863277502">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5" w16cid:durableId="682393350">
    <w:abstractNumId w:val="14"/>
  </w:num>
  <w:num w:numId="6" w16cid:durableId="663433942">
    <w:abstractNumId w:val="5"/>
  </w:num>
  <w:num w:numId="7" w16cid:durableId="1526597399">
    <w:abstractNumId w:val="18"/>
  </w:num>
  <w:num w:numId="8" w16cid:durableId="1579825771">
    <w:abstractNumId w:val="6"/>
  </w:num>
  <w:num w:numId="9" w16cid:durableId="1018385545">
    <w:abstractNumId w:val="1"/>
    <w:lvlOverride w:ilvl="0">
      <w:startOverride w:val="4"/>
      <w:lvl w:ilvl="0">
        <w:start w:val="4"/>
        <w:numFmt w:val="decimal"/>
        <w:pStyle w:val="Quick1"/>
        <w:lvlText w:val="%1."/>
        <w:lvlJc w:val="left"/>
      </w:lvl>
    </w:lvlOverride>
  </w:num>
  <w:num w:numId="10" w16cid:durableId="1089815430">
    <w:abstractNumId w:val="24"/>
  </w:num>
  <w:num w:numId="11" w16cid:durableId="240068696">
    <w:abstractNumId w:val="23"/>
  </w:num>
  <w:num w:numId="12" w16cid:durableId="1829863085">
    <w:abstractNumId w:val="11"/>
  </w:num>
  <w:num w:numId="13" w16cid:durableId="1787039492">
    <w:abstractNumId w:val="1"/>
    <w:lvlOverride w:ilvl="0">
      <w:lvl w:ilvl="0">
        <w:start w:val="1"/>
        <w:numFmt w:val="decimal"/>
        <w:pStyle w:val="Quick1"/>
        <w:lvlText w:val="%1."/>
        <w:lvlJc w:val="left"/>
        <w:pPr>
          <w:tabs>
            <w:tab w:val="num" w:pos="0"/>
          </w:tabs>
          <w:ind w:left="0" w:firstLine="0"/>
        </w:pPr>
        <w:rPr>
          <w:rFonts w:ascii="Times New Roman" w:hAnsi="Times New Roman" w:hint="default"/>
          <w:b w:val="0"/>
          <w:i/>
          <w:sz w:val="20"/>
          <w:szCs w:val="20"/>
        </w:rPr>
      </w:lvl>
    </w:lvlOverride>
  </w:num>
  <w:num w:numId="14" w16cid:durableId="151214192">
    <w:abstractNumId w:val="12"/>
  </w:num>
  <w:num w:numId="15" w16cid:durableId="2055765968">
    <w:abstractNumId w:val="17"/>
  </w:num>
  <w:num w:numId="16" w16cid:durableId="1878228305">
    <w:abstractNumId w:val="15"/>
  </w:num>
  <w:num w:numId="17" w16cid:durableId="1183204748">
    <w:abstractNumId w:val="7"/>
  </w:num>
  <w:num w:numId="18" w16cid:durableId="173419921">
    <w:abstractNumId w:val="2"/>
  </w:num>
  <w:num w:numId="19" w16cid:durableId="188642660">
    <w:abstractNumId w:val="4"/>
  </w:num>
  <w:num w:numId="20" w16cid:durableId="1376352562">
    <w:abstractNumId w:val="13"/>
  </w:num>
  <w:num w:numId="21" w16cid:durableId="1788548006">
    <w:abstractNumId w:val="20"/>
  </w:num>
  <w:num w:numId="22" w16cid:durableId="301469022">
    <w:abstractNumId w:val="22"/>
  </w:num>
  <w:num w:numId="23" w16cid:durableId="161093762">
    <w:abstractNumId w:val="21"/>
  </w:num>
  <w:num w:numId="24" w16cid:durableId="1322386585">
    <w:abstractNumId w:val="3"/>
  </w:num>
  <w:num w:numId="25" w16cid:durableId="43451766">
    <w:abstractNumId w:val="9"/>
  </w:num>
  <w:num w:numId="26" w16cid:durableId="991907321">
    <w:abstractNumId w:val="16"/>
  </w:num>
  <w:num w:numId="27" w16cid:durableId="1696537057">
    <w:abstractNumId w:val="10"/>
  </w:num>
  <w:num w:numId="28" w16cid:durableId="414788738">
    <w:abstractNumId w:val="19"/>
  </w:num>
  <w:num w:numId="29" w16cid:durableId="1314087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C3F"/>
    <w:rsid w:val="00001471"/>
    <w:rsid w:val="00003C4E"/>
    <w:rsid w:val="00004940"/>
    <w:rsid w:val="00012F7B"/>
    <w:rsid w:val="00021D03"/>
    <w:rsid w:val="00027E5A"/>
    <w:rsid w:val="000320D4"/>
    <w:rsid w:val="0003654C"/>
    <w:rsid w:val="00047F9E"/>
    <w:rsid w:val="00050394"/>
    <w:rsid w:val="00061C55"/>
    <w:rsid w:val="0006208A"/>
    <w:rsid w:val="000677ED"/>
    <w:rsid w:val="000733C9"/>
    <w:rsid w:val="00073F2A"/>
    <w:rsid w:val="000810D4"/>
    <w:rsid w:val="000853B4"/>
    <w:rsid w:val="00085B71"/>
    <w:rsid w:val="00087B70"/>
    <w:rsid w:val="0009584F"/>
    <w:rsid w:val="00097551"/>
    <w:rsid w:val="000A0A5F"/>
    <w:rsid w:val="000A49ED"/>
    <w:rsid w:val="000A4E5A"/>
    <w:rsid w:val="000B12D1"/>
    <w:rsid w:val="000B4F99"/>
    <w:rsid w:val="000D70C6"/>
    <w:rsid w:val="000E7EAE"/>
    <w:rsid w:val="001046A9"/>
    <w:rsid w:val="00104D1F"/>
    <w:rsid w:val="00105AA9"/>
    <w:rsid w:val="001076AD"/>
    <w:rsid w:val="001161F7"/>
    <w:rsid w:val="00126B6C"/>
    <w:rsid w:val="0013414F"/>
    <w:rsid w:val="00134866"/>
    <w:rsid w:val="00137B1F"/>
    <w:rsid w:val="00140D69"/>
    <w:rsid w:val="0015126D"/>
    <w:rsid w:val="00153885"/>
    <w:rsid w:val="00154225"/>
    <w:rsid w:val="00160F4D"/>
    <w:rsid w:val="0016188A"/>
    <w:rsid w:val="0017348B"/>
    <w:rsid w:val="001756C9"/>
    <w:rsid w:val="00180D54"/>
    <w:rsid w:val="00183185"/>
    <w:rsid w:val="001857B5"/>
    <w:rsid w:val="001950CA"/>
    <w:rsid w:val="001B137F"/>
    <w:rsid w:val="001B7EA3"/>
    <w:rsid w:val="001C1AC2"/>
    <w:rsid w:val="001C5B8B"/>
    <w:rsid w:val="001C7F46"/>
    <w:rsid w:val="001D38D6"/>
    <w:rsid w:val="001D6705"/>
    <w:rsid w:val="001F646D"/>
    <w:rsid w:val="00201F69"/>
    <w:rsid w:val="002023B2"/>
    <w:rsid w:val="002032DC"/>
    <w:rsid w:val="002105C1"/>
    <w:rsid w:val="002124FE"/>
    <w:rsid w:val="002170B3"/>
    <w:rsid w:val="002170FB"/>
    <w:rsid w:val="00220754"/>
    <w:rsid w:val="00223EBA"/>
    <w:rsid w:val="00225596"/>
    <w:rsid w:val="002260B4"/>
    <w:rsid w:val="00233198"/>
    <w:rsid w:val="002332D8"/>
    <w:rsid w:val="00233310"/>
    <w:rsid w:val="00233B3F"/>
    <w:rsid w:val="00235D99"/>
    <w:rsid w:val="00245381"/>
    <w:rsid w:val="0024545A"/>
    <w:rsid w:val="00255B93"/>
    <w:rsid w:val="002618A6"/>
    <w:rsid w:val="00263B8C"/>
    <w:rsid w:val="002709A0"/>
    <w:rsid w:val="00270E54"/>
    <w:rsid w:val="00276ADA"/>
    <w:rsid w:val="00277A7F"/>
    <w:rsid w:val="002854A9"/>
    <w:rsid w:val="002869B7"/>
    <w:rsid w:val="00287506"/>
    <w:rsid w:val="002922E4"/>
    <w:rsid w:val="002943A5"/>
    <w:rsid w:val="00297392"/>
    <w:rsid w:val="0029797D"/>
    <w:rsid w:val="002A6A61"/>
    <w:rsid w:val="002B4070"/>
    <w:rsid w:val="002B598E"/>
    <w:rsid w:val="002B6569"/>
    <w:rsid w:val="002C01E6"/>
    <w:rsid w:val="002C3C27"/>
    <w:rsid w:val="002C69EF"/>
    <w:rsid w:val="002D0ED6"/>
    <w:rsid w:val="002E0536"/>
    <w:rsid w:val="002E549A"/>
    <w:rsid w:val="002E5850"/>
    <w:rsid w:val="002F10E4"/>
    <w:rsid w:val="002F2959"/>
    <w:rsid w:val="002F5D05"/>
    <w:rsid w:val="00302058"/>
    <w:rsid w:val="00307B65"/>
    <w:rsid w:val="00310C6A"/>
    <w:rsid w:val="003119D9"/>
    <w:rsid w:val="003178B8"/>
    <w:rsid w:val="0032142C"/>
    <w:rsid w:val="00322394"/>
    <w:rsid w:val="00325782"/>
    <w:rsid w:val="00326B60"/>
    <w:rsid w:val="00334E01"/>
    <w:rsid w:val="0034198E"/>
    <w:rsid w:val="0034205E"/>
    <w:rsid w:val="0034446F"/>
    <w:rsid w:val="00346F00"/>
    <w:rsid w:val="00351294"/>
    <w:rsid w:val="00351585"/>
    <w:rsid w:val="00364A9E"/>
    <w:rsid w:val="0036501E"/>
    <w:rsid w:val="00370932"/>
    <w:rsid w:val="00370C68"/>
    <w:rsid w:val="00372713"/>
    <w:rsid w:val="00373D64"/>
    <w:rsid w:val="00383459"/>
    <w:rsid w:val="00387F9E"/>
    <w:rsid w:val="003901BB"/>
    <w:rsid w:val="00390B83"/>
    <w:rsid w:val="0039214A"/>
    <w:rsid w:val="00392A11"/>
    <w:rsid w:val="0039343B"/>
    <w:rsid w:val="00397D13"/>
    <w:rsid w:val="003A1272"/>
    <w:rsid w:val="003A17CF"/>
    <w:rsid w:val="003A214D"/>
    <w:rsid w:val="003A4367"/>
    <w:rsid w:val="003A7B3F"/>
    <w:rsid w:val="003B13D3"/>
    <w:rsid w:val="003B2F1E"/>
    <w:rsid w:val="003B6F6E"/>
    <w:rsid w:val="003D13F3"/>
    <w:rsid w:val="003E36B9"/>
    <w:rsid w:val="003F0004"/>
    <w:rsid w:val="003F61C1"/>
    <w:rsid w:val="003F68AD"/>
    <w:rsid w:val="003F7448"/>
    <w:rsid w:val="0040047C"/>
    <w:rsid w:val="00401E11"/>
    <w:rsid w:val="004066D0"/>
    <w:rsid w:val="00413779"/>
    <w:rsid w:val="00415142"/>
    <w:rsid w:val="00415EF9"/>
    <w:rsid w:val="00417ADC"/>
    <w:rsid w:val="0042208D"/>
    <w:rsid w:val="00423598"/>
    <w:rsid w:val="004350EB"/>
    <w:rsid w:val="004425C8"/>
    <w:rsid w:val="00450080"/>
    <w:rsid w:val="004576A1"/>
    <w:rsid w:val="004602B9"/>
    <w:rsid w:val="004627CD"/>
    <w:rsid w:val="00462D00"/>
    <w:rsid w:val="00466BD8"/>
    <w:rsid w:val="004705B9"/>
    <w:rsid w:val="00471904"/>
    <w:rsid w:val="004725BB"/>
    <w:rsid w:val="00473853"/>
    <w:rsid w:val="00475430"/>
    <w:rsid w:val="00477B37"/>
    <w:rsid w:val="0048041A"/>
    <w:rsid w:val="00484140"/>
    <w:rsid w:val="00491523"/>
    <w:rsid w:val="00494A2B"/>
    <w:rsid w:val="00495528"/>
    <w:rsid w:val="004A0B3A"/>
    <w:rsid w:val="004A51AE"/>
    <w:rsid w:val="004A5384"/>
    <w:rsid w:val="004B7CBD"/>
    <w:rsid w:val="004B7F1F"/>
    <w:rsid w:val="004B7F2A"/>
    <w:rsid w:val="004C0CA0"/>
    <w:rsid w:val="004C0D58"/>
    <w:rsid w:val="004C58BF"/>
    <w:rsid w:val="004C67B1"/>
    <w:rsid w:val="004C6ADC"/>
    <w:rsid w:val="004D669C"/>
    <w:rsid w:val="004E252D"/>
    <w:rsid w:val="004E2C34"/>
    <w:rsid w:val="004E42C0"/>
    <w:rsid w:val="004E6B12"/>
    <w:rsid w:val="004F289F"/>
    <w:rsid w:val="004F4431"/>
    <w:rsid w:val="004F7250"/>
    <w:rsid w:val="0050416C"/>
    <w:rsid w:val="00506C18"/>
    <w:rsid w:val="00510A83"/>
    <w:rsid w:val="005118C4"/>
    <w:rsid w:val="0051444B"/>
    <w:rsid w:val="0051525E"/>
    <w:rsid w:val="005202CD"/>
    <w:rsid w:val="005236BF"/>
    <w:rsid w:val="00530E99"/>
    <w:rsid w:val="005321B1"/>
    <w:rsid w:val="005439B3"/>
    <w:rsid w:val="00544192"/>
    <w:rsid w:val="00551058"/>
    <w:rsid w:val="0055133D"/>
    <w:rsid w:val="00551386"/>
    <w:rsid w:val="0055253A"/>
    <w:rsid w:val="00554667"/>
    <w:rsid w:val="00566050"/>
    <w:rsid w:val="00574C5A"/>
    <w:rsid w:val="00575DAF"/>
    <w:rsid w:val="00577DEE"/>
    <w:rsid w:val="00580849"/>
    <w:rsid w:val="00585068"/>
    <w:rsid w:val="00586F27"/>
    <w:rsid w:val="0059181C"/>
    <w:rsid w:val="005933A8"/>
    <w:rsid w:val="005A0740"/>
    <w:rsid w:val="005A0879"/>
    <w:rsid w:val="005B5755"/>
    <w:rsid w:val="005C11AC"/>
    <w:rsid w:val="005C65C7"/>
    <w:rsid w:val="005C7F3A"/>
    <w:rsid w:val="005D3179"/>
    <w:rsid w:val="005D3B6C"/>
    <w:rsid w:val="005E15F5"/>
    <w:rsid w:val="005E2F5D"/>
    <w:rsid w:val="005E42BF"/>
    <w:rsid w:val="005E6BEF"/>
    <w:rsid w:val="005F22C8"/>
    <w:rsid w:val="005F5C79"/>
    <w:rsid w:val="00611CB7"/>
    <w:rsid w:val="00613A77"/>
    <w:rsid w:val="00622AA9"/>
    <w:rsid w:val="00623444"/>
    <w:rsid w:val="00624C56"/>
    <w:rsid w:val="006300D6"/>
    <w:rsid w:val="006325F4"/>
    <w:rsid w:val="006401A3"/>
    <w:rsid w:val="00640650"/>
    <w:rsid w:val="00641812"/>
    <w:rsid w:val="0064473B"/>
    <w:rsid w:val="00646E11"/>
    <w:rsid w:val="0065291E"/>
    <w:rsid w:val="00665C23"/>
    <w:rsid w:val="006703A4"/>
    <w:rsid w:val="006756DA"/>
    <w:rsid w:val="00676511"/>
    <w:rsid w:val="00676821"/>
    <w:rsid w:val="0068331D"/>
    <w:rsid w:val="00683D0D"/>
    <w:rsid w:val="0068515A"/>
    <w:rsid w:val="006917D4"/>
    <w:rsid w:val="00696C69"/>
    <w:rsid w:val="006A2E3C"/>
    <w:rsid w:val="006A50F9"/>
    <w:rsid w:val="006A6BA1"/>
    <w:rsid w:val="006B2945"/>
    <w:rsid w:val="006B3985"/>
    <w:rsid w:val="006E0196"/>
    <w:rsid w:val="006E54E8"/>
    <w:rsid w:val="006F0943"/>
    <w:rsid w:val="006F0E9D"/>
    <w:rsid w:val="006F2027"/>
    <w:rsid w:val="006F35FA"/>
    <w:rsid w:val="006F7902"/>
    <w:rsid w:val="006F7C95"/>
    <w:rsid w:val="007059E7"/>
    <w:rsid w:val="00711C3F"/>
    <w:rsid w:val="00715DF4"/>
    <w:rsid w:val="00721494"/>
    <w:rsid w:val="00724FB7"/>
    <w:rsid w:val="007262A4"/>
    <w:rsid w:val="00726BDA"/>
    <w:rsid w:val="00726F05"/>
    <w:rsid w:val="007278D3"/>
    <w:rsid w:val="00730788"/>
    <w:rsid w:val="00740AE1"/>
    <w:rsid w:val="007429E1"/>
    <w:rsid w:val="007467CF"/>
    <w:rsid w:val="007674F2"/>
    <w:rsid w:val="00767CC3"/>
    <w:rsid w:val="007811F1"/>
    <w:rsid w:val="00793279"/>
    <w:rsid w:val="007A6D7D"/>
    <w:rsid w:val="007B3FC8"/>
    <w:rsid w:val="007B713E"/>
    <w:rsid w:val="007B7493"/>
    <w:rsid w:val="007C22D3"/>
    <w:rsid w:val="007D08E7"/>
    <w:rsid w:val="007D3EAF"/>
    <w:rsid w:val="007D69EF"/>
    <w:rsid w:val="007E200B"/>
    <w:rsid w:val="007E2C91"/>
    <w:rsid w:val="007E505A"/>
    <w:rsid w:val="007F1AC3"/>
    <w:rsid w:val="00805122"/>
    <w:rsid w:val="008133E4"/>
    <w:rsid w:val="00813C87"/>
    <w:rsid w:val="0081744C"/>
    <w:rsid w:val="00822469"/>
    <w:rsid w:val="00822809"/>
    <w:rsid w:val="00835108"/>
    <w:rsid w:val="00836D68"/>
    <w:rsid w:val="00837A8F"/>
    <w:rsid w:val="00840BCA"/>
    <w:rsid w:val="0084200B"/>
    <w:rsid w:val="00854BCB"/>
    <w:rsid w:val="00854D71"/>
    <w:rsid w:val="00856C67"/>
    <w:rsid w:val="0086045C"/>
    <w:rsid w:val="00874C9B"/>
    <w:rsid w:val="008762DC"/>
    <w:rsid w:val="00883619"/>
    <w:rsid w:val="008C5227"/>
    <w:rsid w:val="008D31F9"/>
    <w:rsid w:val="008D4F14"/>
    <w:rsid w:val="008E415C"/>
    <w:rsid w:val="008E4AC1"/>
    <w:rsid w:val="008F006C"/>
    <w:rsid w:val="008F018E"/>
    <w:rsid w:val="008F0B41"/>
    <w:rsid w:val="008F5EA2"/>
    <w:rsid w:val="008F6DB8"/>
    <w:rsid w:val="008F7EA1"/>
    <w:rsid w:val="00901265"/>
    <w:rsid w:val="00903B1C"/>
    <w:rsid w:val="0090453F"/>
    <w:rsid w:val="009056F0"/>
    <w:rsid w:val="00913ACC"/>
    <w:rsid w:val="00914848"/>
    <w:rsid w:val="00916DA3"/>
    <w:rsid w:val="00917794"/>
    <w:rsid w:val="009223EE"/>
    <w:rsid w:val="00922988"/>
    <w:rsid w:val="0092520A"/>
    <w:rsid w:val="00925943"/>
    <w:rsid w:val="00926394"/>
    <w:rsid w:val="009319FA"/>
    <w:rsid w:val="009419A2"/>
    <w:rsid w:val="00944305"/>
    <w:rsid w:val="00956605"/>
    <w:rsid w:val="00956784"/>
    <w:rsid w:val="00956A83"/>
    <w:rsid w:val="00963375"/>
    <w:rsid w:val="00965893"/>
    <w:rsid w:val="009668CB"/>
    <w:rsid w:val="00976CDB"/>
    <w:rsid w:val="00987F54"/>
    <w:rsid w:val="00990968"/>
    <w:rsid w:val="00994269"/>
    <w:rsid w:val="009A2421"/>
    <w:rsid w:val="009A51FE"/>
    <w:rsid w:val="009B0384"/>
    <w:rsid w:val="009B219E"/>
    <w:rsid w:val="009B3334"/>
    <w:rsid w:val="009C1DEC"/>
    <w:rsid w:val="009D54CE"/>
    <w:rsid w:val="009E4487"/>
    <w:rsid w:val="00A009BF"/>
    <w:rsid w:val="00A0410E"/>
    <w:rsid w:val="00A0531A"/>
    <w:rsid w:val="00A11093"/>
    <w:rsid w:val="00A16A03"/>
    <w:rsid w:val="00A241F7"/>
    <w:rsid w:val="00A26C3C"/>
    <w:rsid w:val="00A41BF0"/>
    <w:rsid w:val="00A421B1"/>
    <w:rsid w:val="00A426DD"/>
    <w:rsid w:val="00A475F3"/>
    <w:rsid w:val="00A5014A"/>
    <w:rsid w:val="00A54D08"/>
    <w:rsid w:val="00A567A0"/>
    <w:rsid w:val="00A66F62"/>
    <w:rsid w:val="00A700A0"/>
    <w:rsid w:val="00A745E0"/>
    <w:rsid w:val="00A77082"/>
    <w:rsid w:val="00A834C1"/>
    <w:rsid w:val="00A86E31"/>
    <w:rsid w:val="00A937C4"/>
    <w:rsid w:val="00A95188"/>
    <w:rsid w:val="00A956B0"/>
    <w:rsid w:val="00A95F0E"/>
    <w:rsid w:val="00AA2A4F"/>
    <w:rsid w:val="00AA4140"/>
    <w:rsid w:val="00AA6A9D"/>
    <w:rsid w:val="00AB01C0"/>
    <w:rsid w:val="00AB187B"/>
    <w:rsid w:val="00AB3AF8"/>
    <w:rsid w:val="00AB618F"/>
    <w:rsid w:val="00AC325D"/>
    <w:rsid w:val="00AC32E5"/>
    <w:rsid w:val="00AC6DEC"/>
    <w:rsid w:val="00AE27FF"/>
    <w:rsid w:val="00AE5366"/>
    <w:rsid w:val="00AE64BB"/>
    <w:rsid w:val="00AE65A6"/>
    <w:rsid w:val="00AE6C44"/>
    <w:rsid w:val="00B030C9"/>
    <w:rsid w:val="00B06707"/>
    <w:rsid w:val="00B13695"/>
    <w:rsid w:val="00B13E02"/>
    <w:rsid w:val="00B235E5"/>
    <w:rsid w:val="00B246D4"/>
    <w:rsid w:val="00B24CAB"/>
    <w:rsid w:val="00B24F15"/>
    <w:rsid w:val="00B402A5"/>
    <w:rsid w:val="00B4233C"/>
    <w:rsid w:val="00B47025"/>
    <w:rsid w:val="00B55B9B"/>
    <w:rsid w:val="00B57F14"/>
    <w:rsid w:val="00B61B7B"/>
    <w:rsid w:val="00B66403"/>
    <w:rsid w:val="00B67C35"/>
    <w:rsid w:val="00B704BF"/>
    <w:rsid w:val="00B72AEA"/>
    <w:rsid w:val="00B816DB"/>
    <w:rsid w:val="00B81E2F"/>
    <w:rsid w:val="00B9069C"/>
    <w:rsid w:val="00BA2AC9"/>
    <w:rsid w:val="00BA6078"/>
    <w:rsid w:val="00BB02B2"/>
    <w:rsid w:val="00BB3443"/>
    <w:rsid w:val="00BB5400"/>
    <w:rsid w:val="00BC397D"/>
    <w:rsid w:val="00BC4D83"/>
    <w:rsid w:val="00BC6028"/>
    <w:rsid w:val="00BD1122"/>
    <w:rsid w:val="00BE2674"/>
    <w:rsid w:val="00BE7795"/>
    <w:rsid w:val="00BF47FF"/>
    <w:rsid w:val="00BF5E28"/>
    <w:rsid w:val="00C0368B"/>
    <w:rsid w:val="00C036BE"/>
    <w:rsid w:val="00C05C01"/>
    <w:rsid w:val="00C06A16"/>
    <w:rsid w:val="00C073A8"/>
    <w:rsid w:val="00C110C8"/>
    <w:rsid w:val="00C14753"/>
    <w:rsid w:val="00C15295"/>
    <w:rsid w:val="00C16C6D"/>
    <w:rsid w:val="00C23FB6"/>
    <w:rsid w:val="00C334F3"/>
    <w:rsid w:val="00C41552"/>
    <w:rsid w:val="00C43660"/>
    <w:rsid w:val="00C43834"/>
    <w:rsid w:val="00C47F51"/>
    <w:rsid w:val="00C530B6"/>
    <w:rsid w:val="00C55DA7"/>
    <w:rsid w:val="00C5763F"/>
    <w:rsid w:val="00C7105F"/>
    <w:rsid w:val="00C711FB"/>
    <w:rsid w:val="00C738DF"/>
    <w:rsid w:val="00C73DB5"/>
    <w:rsid w:val="00C74960"/>
    <w:rsid w:val="00C82E8A"/>
    <w:rsid w:val="00C83376"/>
    <w:rsid w:val="00C86693"/>
    <w:rsid w:val="00C90FC7"/>
    <w:rsid w:val="00C94B31"/>
    <w:rsid w:val="00C9715A"/>
    <w:rsid w:val="00CA3AC3"/>
    <w:rsid w:val="00CA6446"/>
    <w:rsid w:val="00CB1328"/>
    <w:rsid w:val="00CB14C0"/>
    <w:rsid w:val="00CB22EA"/>
    <w:rsid w:val="00CC1748"/>
    <w:rsid w:val="00CD2BD9"/>
    <w:rsid w:val="00CD4540"/>
    <w:rsid w:val="00CE672E"/>
    <w:rsid w:val="00CF119D"/>
    <w:rsid w:val="00D11194"/>
    <w:rsid w:val="00D12564"/>
    <w:rsid w:val="00D167D0"/>
    <w:rsid w:val="00D2020E"/>
    <w:rsid w:val="00D21FC4"/>
    <w:rsid w:val="00D236EB"/>
    <w:rsid w:val="00D27393"/>
    <w:rsid w:val="00D3037D"/>
    <w:rsid w:val="00D312DC"/>
    <w:rsid w:val="00D36B95"/>
    <w:rsid w:val="00D47ED5"/>
    <w:rsid w:val="00D50E60"/>
    <w:rsid w:val="00D50F7A"/>
    <w:rsid w:val="00D536A7"/>
    <w:rsid w:val="00D540B4"/>
    <w:rsid w:val="00D56E76"/>
    <w:rsid w:val="00D654CB"/>
    <w:rsid w:val="00D700CE"/>
    <w:rsid w:val="00D71790"/>
    <w:rsid w:val="00D733EB"/>
    <w:rsid w:val="00D92B55"/>
    <w:rsid w:val="00D934BF"/>
    <w:rsid w:val="00D9583A"/>
    <w:rsid w:val="00DA2677"/>
    <w:rsid w:val="00DA4F98"/>
    <w:rsid w:val="00DA5543"/>
    <w:rsid w:val="00DA5CE2"/>
    <w:rsid w:val="00DB29D4"/>
    <w:rsid w:val="00DB6F19"/>
    <w:rsid w:val="00DC2869"/>
    <w:rsid w:val="00DD46F5"/>
    <w:rsid w:val="00DE1EA5"/>
    <w:rsid w:val="00DE1F4C"/>
    <w:rsid w:val="00DE217C"/>
    <w:rsid w:val="00DE3235"/>
    <w:rsid w:val="00DF2452"/>
    <w:rsid w:val="00DF7CC0"/>
    <w:rsid w:val="00E01A3D"/>
    <w:rsid w:val="00E026D8"/>
    <w:rsid w:val="00E06424"/>
    <w:rsid w:val="00E11C29"/>
    <w:rsid w:val="00E133E8"/>
    <w:rsid w:val="00E2108D"/>
    <w:rsid w:val="00E26D0B"/>
    <w:rsid w:val="00E303BF"/>
    <w:rsid w:val="00E30A21"/>
    <w:rsid w:val="00E3404A"/>
    <w:rsid w:val="00E37017"/>
    <w:rsid w:val="00E37ED2"/>
    <w:rsid w:val="00E45ED2"/>
    <w:rsid w:val="00E55529"/>
    <w:rsid w:val="00E56F14"/>
    <w:rsid w:val="00E65993"/>
    <w:rsid w:val="00E814F5"/>
    <w:rsid w:val="00E817C5"/>
    <w:rsid w:val="00E87463"/>
    <w:rsid w:val="00E91B7A"/>
    <w:rsid w:val="00E92D05"/>
    <w:rsid w:val="00E9364E"/>
    <w:rsid w:val="00E96F38"/>
    <w:rsid w:val="00E973FC"/>
    <w:rsid w:val="00EA032D"/>
    <w:rsid w:val="00EA0B65"/>
    <w:rsid w:val="00EA66E9"/>
    <w:rsid w:val="00EA73F9"/>
    <w:rsid w:val="00EB6733"/>
    <w:rsid w:val="00EC36CF"/>
    <w:rsid w:val="00EC4116"/>
    <w:rsid w:val="00ED3716"/>
    <w:rsid w:val="00EF1677"/>
    <w:rsid w:val="00EF28A1"/>
    <w:rsid w:val="00EF2F03"/>
    <w:rsid w:val="00EF3BA7"/>
    <w:rsid w:val="00EF7AFA"/>
    <w:rsid w:val="00F037E7"/>
    <w:rsid w:val="00F03E3D"/>
    <w:rsid w:val="00F0708A"/>
    <w:rsid w:val="00F131F4"/>
    <w:rsid w:val="00F234D8"/>
    <w:rsid w:val="00F335A7"/>
    <w:rsid w:val="00F409BC"/>
    <w:rsid w:val="00F40D23"/>
    <w:rsid w:val="00F43FCE"/>
    <w:rsid w:val="00F46A40"/>
    <w:rsid w:val="00F476CE"/>
    <w:rsid w:val="00F626F0"/>
    <w:rsid w:val="00F62DBB"/>
    <w:rsid w:val="00F63470"/>
    <w:rsid w:val="00F65FDC"/>
    <w:rsid w:val="00F66847"/>
    <w:rsid w:val="00F70FFA"/>
    <w:rsid w:val="00F73E7F"/>
    <w:rsid w:val="00F8151C"/>
    <w:rsid w:val="00F93A8D"/>
    <w:rsid w:val="00F93E0B"/>
    <w:rsid w:val="00F95182"/>
    <w:rsid w:val="00F95A94"/>
    <w:rsid w:val="00FA0720"/>
    <w:rsid w:val="00FA4E48"/>
    <w:rsid w:val="00FA6BC0"/>
    <w:rsid w:val="00FB7AD1"/>
    <w:rsid w:val="00FC2715"/>
    <w:rsid w:val="00FC3E50"/>
    <w:rsid w:val="00FC6FA7"/>
    <w:rsid w:val="00FD0D82"/>
    <w:rsid w:val="00FD7749"/>
    <w:rsid w:val="00FE3E4D"/>
    <w:rsid w:val="00FE4A05"/>
    <w:rsid w:val="00FE5449"/>
    <w:rsid w:val="00FF01E1"/>
    <w:rsid w:val="00FF3E88"/>
    <w:rsid w:val="00FF4E24"/>
    <w:rsid w:val="1049D678"/>
    <w:rsid w:val="42C55F2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340A4B2"/>
  <w15:docId w15:val="{32D4CBA1-2748-4A9A-AEEA-8C2178ED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02A5"/>
    <w:pPr>
      <w:widowControl w:val="0"/>
      <w:autoSpaceDE w:val="0"/>
      <w:autoSpaceDN w:val="0"/>
      <w:adjustRightInd w:val="0"/>
      <w:ind w:left="720"/>
    </w:pPr>
    <w:rPr>
      <w:sz w:val="24"/>
      <w:szCs w:val="24"/>
    </w:rPr>
  </w:style>
  <w:style w:type="paragraph" w:styleId="Heading1">
    <w:name w:val="heading 1"/>
    <w:basedOn w:val="Heading2"/>
    <w:next w:val="Normal"/>
    <w:qFormat/>
    <w:rsid w:val="00475430"/>
    <w:pPr>
      <w:numPr>
        <w:numId w:val="0"/>
      </w:numPr>
      <w:ind w:left="720" w:hanging="720"/>
      <w:outlineLvl w:val="0"/>
    </w:pPr>
  </w:style>
  <w:style w:type="paragraph" w:styleId="Heading2">
    <w:name w:val="heading 2"/>
    <w:basedOn w:val="Quick1"/>
    <w:next w:val="Normal"/>
    <w:qFormat/>
    <w:rsid w:val="00475430"/>
    <w:pPr>
      <w:widowControl/>
      <w:numPr>
        <w:numId w:val="14"/>
      </w:numPr>
      <w:ind w:hanging="720"/>
      <w:outlineLvl w:val="1"/>
    </w:pPr>
    <w:rPr>
      <w:b/>
      <w:i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style>
  <w:style w:type="paragraph" w:customStyle="1" w:styleId="Quick1">
    <w:name w:val="Quick 1."/>
    <w:basedOn w:val="Normal"/>
    <w:rsid w:val="002C69EF"/>
    <w:pPr>
      <w:numPr>
        <w:numId w:val="2"/>
      </w:numPr>
    </w:pPr>
    <w:rPr>
      <w:i/>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
    <w:name w:val="_"/>
    <w:basedOn w:val="Normal"/>
    <w:pPr>
      <w:ind w:left="1440" w:hanging="720"/>
    </w:pPr>
  </w:style>
  <w:style w:type="paragraph" w:customStyle="1" w:styleId="Level1">
    <w:name w:val="Level 1"/>
    <w:basedOn w:val="Normal"/>
    <w:pPr>
      <w:ind w:left="1440" w:hanging="720"/>
    </w:pPr>
  </w:style>
  <w:style w:type="paragraph" w:styleId="BodyText">
    <w:name w:val="Body Text"/>
    <w:basedOn w:val="Normal"/>
    <w:rsid w:val="00B402A5"/>
    <w:pPr>
      <w:ind w:left="0"/>
    </w:pPr>
  </w:style>
  <w:style w:type="paragraph" w:styleId="BodyTextIndent">
    <w:name w:val="Body Text Indent"/>
    <w:basedOn w:val="Normal"/>
  </w:style>
  <w:style w:type="paragraph" w:styleId="BodyTextIndent2">
    <w:name w:val="Body Text Indent 2"/>
    <w:basedOn w:val="Normal"/>
    <w:rPr>
      <w:i/>
    </w:rPr>
  </w:style>
  <w:style w:type="paragraph" w:styleId="BodyTextIndent3">
    <w:name w:val="Body Text Indent 3"/>
    <w:basedOn w:val="Normal"/>
  </w:style>
  <w:style w:type="paragraph" w:styleId="BalloonText">
    <w:name w:val="Balloon Text"/>
    <w:basedOn w:val="Normal"/>
    <w:semiHidden/>
    <w:rsid w:val="00676821"/>
    <w:rPr>
      <w:rFonts w:ascii="Tahoma" w:hAnsi="Tahoma" w:cs="Tahoma"/>
      <w:sz w:val="16"/>
      <w:szCs w:val="16"/>
    </w:r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qFormat/>
    <w:rsid w:val="00B402A5"/>
    <w:pPr>
      <w:widowControl/>
      <w:autoSpaceDE/>
      <w:autoSpaceDN/>
      <w:adjustRightInd/>
      <w:ind w:left="144"/>
    </w:pPr>
    <w:rPr>
      <w:sz w:val="20"/>
      <w:szCs w:val="20"/>
    </w:rPr>
  </w:style>
  <w:style w:type="character" w:styleId="CommentReference">
    <w:name w:val="annotation reference"/>
    <w:rsid w:val="00EF1677"/>
    <w:rPr>
      <w:sz w:val="16"/>
      <w:szCs w:val="16"/>
    </w:rPr>
  </w:style>
  <w:style w:type="paragraph" w:styleId="CommentText">
    <w:name w:val="annotation text"/>
    <w:basedOn w:val="Normal"/>
    <w:link w:val="CommentTextChar"/>
    <w:rsid w:val="00EF1677"/>
    <w:rPr>
      <w:sz w:val="20"/>
      <w:szCs w:val="20"/>
    </w:rPr>
  </w:style>
  <w:style w:type="character" w:customStyle="1" w:styleId="CommentTextChar">
    <w:name w:val="Comment Text Char"/>
    <w:basedOn w:val="DefaultParagraphFont"/>
    <w:link w:val="CommentText"/>
    <w:rsid w:val="00EF1677"/>
  </w:style>
  <w:style w:type="paragraph" w:styleId="CommentSubject">
    <w:name w:val="annotation subject"/>
    <w:basedOn w:val="CommentText"/>
    <w:next w:val="CommentText"/>
    <w:link w:val="CommentSubjectChar"/>
    <w:rsid w:val="00EF1677"/>
    <w:rPr>
      <w:b/>
      <w:bCs/>
    </w:rPr>
  </w:style>
  <w:style w:type="character" w:customStyle="1" w:styleId="CommentSubjectChar">
    <w:name w:val="Comment Subject Char"/>
    <w:link w:val="CommentSubject"/>
    <w:rsid w:val="00EF1677"/>
    <w:rPr>
      <w:b/>
      <w:bCs/>
    </w:rPr>
  </w:style>
  <w:style w:type="paragraph" w:styleId="ListParagraph">
    <w:name w:val="List Paragraph"/>
    <w:basedOn w:val="Normal"/>
    <w:uiPriority w:val="34"/>
    <w:qFormat/>
    <w:rsid w:val="002922E4"/>
  </w:style>
  <w:style w:type="character" w:styleId="Hyperlink">
    <w:name w:val="Hyperlink"/>
    <w:uiPriority w:val="99"/>
    <w:rsid w:val="00B47025"/>
    <w:rPr>
      <w:color w:val="0000FF"/>
      <w:u w:val="single"/>
    </w:rPr>
  </w:style>
  <w:style w:type="table" w:styleId="TableGrid">
    <w:name w:val="Table Grid"/>
    <w:basedOn w:val="TableNormal"/>
    <w:rsid w:val="00302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525E"/>
    <w:rPr>
      <w:sz w:val="24"/>
      <w:szCs w:val="24"/>
    </w:rPr>
  </w:style>
  <w:style w:type="character" w:styleId="UnresolvedMention">
    <w:name w:val="Unresolved Mention"/>
    <w:basedOn w:val="DefaultParagraphFont"/>
    <w:uiPriority w:val="99"/>
    <w:semiHidden/>
    <w:unhideWhenUsed/>
    <w:rsid w:val="00925943"/>
    <w:rPr>
      <w:color w:val="605E5C"/>
      <w:shd w:val="clear" w:color="auto" w:fill="E1DFDD"/>
    </w:rPr>
  </w:style>
  <w:style w:type="character" w:customStyle="1" w:styleId="FootnoteTextChar">
    <w:name w:val="Footnote Text Char"/>
    <w:aliases w:val=" Char Char,Char Char,Char18 Char,F1 Char,FT Char,Footnote Text - NEW Char,Footnote Text AG Char,Footnote Text Char Char Char,Footnote Text Char Char Char Char Char,Footnote Text Char1 Char Char Char,Footnote ak Char,Footnotes Char"/>
    <w:basedOn w:val="DefaultParagraphFont"/>
    <w:link w:val="FootnoteText"/>
    <w:rsid w:val="00901265"/>
  </w:style>
  <w:style w:type="character" w:customStyle="1" w:styleId="normaltextrun">
    <w:name w:val="normaltextrun"/>
    <w:basedOn w:val="DefaultParagraphFont"/>
    <w:rsid w:val="00901265"/>
  </w:style>
  <w:style w:type="character" w:styleId="Mention">
    <w:name w:val="Mention"/>
    <w:basedOn w:val="DefaultParagraphFont"/>
    <w:uiPriority w:val="99"/>
    <w:unhideWhenUsed/>
    <w:rsid w:val="00D236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 Id="rId2" Type="http://schemas.openxmlformats.org/officeDocument/2006/relationships/hyperlink" Target="https://www.dol.gov/sites/dolgov/files/ebsa/researchers/statistics/retirement-bulletins/private-pension-plan-bulletins-abstract-202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1A9EDEE98894D812C78A3E5E19715" ma:contentTypeVersion="12" ma:contentTypeDescription="Create a new document." ma:contentTypeScope="" ma:versionID="468428ee6002db919f3ad079b0858119">
  <xsd:schema xmlns:xsd="http://www.w3.org/2001/XMLSchema" xmlns:xs="http://www.w3.org/2001/XMLSchema" xmlns:p="http://schemas.microsoft.com/office/2006/metadata/properties" xmlns:ns2="1d25cef4-c62f-417b-a8ca-8556976750da" xmlns:ns3="3a742f95-76cb-405f-b03c-113bc3809428" xmlns:ns4="bee3cffc-2f53-4e00-a92a-7337a39469a7" targetNamespace="http://schemas.microsoft.com/office/2006/metadata/properties" ma:root="true" ma:fieldsID="60070b3f7dc20ee1eba3f7559e247c15" ns2:_="" ns3:_="" ns4:_="">
    <xsd:import namespace="1d25cef4-c62f-417b-a8ca-8556976750da"/>
    <xsd:import namespace="3a742f95-76cb-405f-b03c-113bc3809428"/>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cef4-c62f-417b-a8ca-855697675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42f95-76cb-405f-b03c-113bc3809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25cef4-c62f-417b-a8ca-8556976750da">
      <Terms xmlns="http://schemas.microsoft.com/office/infopath/2007/PartnerControls"/>
    </lcf76f155ced4ddcb4097134ff3c332f>
    <TaxCatchAll xmlns="bee3cffc-2f53-4e00-a92a-7337a39469a7"/>
  </documentManagement>
</p:properties>
</file>

<file path=customXml/itemProps1.xml><?xml version="1.0" encoding="utf-8"?>
<ds:datastoreItem xmlns:ds="http://schemas.openxmlformats.org/officeDocument/2006/customXml" ds:itemID="{B2FFEA26-DC9C-4A43-ACB8-8ECE9641B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cef4-c62f-417b-a8ca-8556976750da"/>
    <ds:schemaRef ds:uri="3a742f95-76cb-405f-b03c-113bc3809428"/>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1FF49-B344-4DC3-9E4D-8B83DE72B0A4}">
  <ds:schemaRefs>
    <ds:schemaRef ds:uri="http://schemas.microsoft.com/sharepoint/v3/contenttype/forms"/>
  </ds:schemaRefs>
</ds:datastoreItem>
</file>

<file path=customXml/itemProps3.xml><?xml version="1.0" encoding="utf-8"?>
<ds:datastoreItem xmlns:ds="http://schemas.openxmlformats.org/officeDocument/2006/customXml" ds:itemID="{1F226864-D558-407C-AB18-564AEFC60A12}">
  <ds:schemaRefs>
    <ds:schemaRef ds:uri="http://schemas.openxmlformats.org/officeDocument/2006/bibliography"/>
  </ds:schemaRefs>
</ds:datastoreItem>
</file>

<file path=customXml/itemProps4.xml><?xml version="1.0" encoding="utf-8"?>
<ds:datastoreItem xmlns:ds="http://schemas.openxmlformats.org/officeDocument/2006/customXml" ds:itemID="{71C83B9F-A309-41E1-B44C-59365639E67F}">
  <ds:schemaRefs>
    <ds:schemaRef ds:uri="bee3cffc-2f53-4e00-a92a-7337a39469a7"/>
    <ds:schemaRef ds:uri="1d25cef4-c62f-417b-a8ca-8556976750da"/>
    <ds:schemaRef ds:uri="3a742f95-76cb-405f-b03c-113bc3809428"/>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3798</Words>
  <Characters>21040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Ackerman, Rebekah A - EBSA</cp:lastModifiedBy>
  <cp:revision>3</cp:revision>
  <cp:lastPrinted>2018-08-08T13:00:00Z</cp:lastPrinted>
  <dcterms:created xsi:type="dcterms:W3CDTF">2025-02-07T21:16:00Z</dcterms:created>
  <dcterms:modified xsi:type="dcterms:W3CDTF">2025-02-07T21:22:00Z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0x0101002E71A9EDEE98894D812C78A3E5E19715</vt:lpwstr>
  </property>
  <property fmtid="{D5CDD505-2E9C-101B-9397-08002B2CF9AE}" pid="3" name="MediaServiceImageTags">
    <vt:lpwstr/>
  </property>
</Properties>
</file>