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79DA" w:rsidP="00CF495B" w14:paraId="6A2908F7" w14:textId="29B4D5A5">
      <w:pPr>
        <w:spacing w:before="150" w:after="45" w:line="240" w:lineRule="auto"/>
        <w:jc w:val="center"/>
        <w:outlineLvl w:val="2"/>
        <w:rPr>
          <w:rFonts w:ascii="Times New Roman" w:eastAsia="Times New Roman" w:hAnsi="Times New Roman" w:cs="Times New Roman"/>
          <w:b/>
          <w:bCs/>
          <w:color w:val="000000"/>
          <w:kern w:val="0"/>
          <w:sz w:val="24"/>
          <w:szCs w:val="24"/>
          <w14:ligatures w14:val="none"/>
        </w:rPr>
      </w:pPr>
      <w:bookmarkStart w:id="0" w:name="_Hlk182495760"/>
      <w:r w:rsidRPr="007B79DA">
        <w:rPr>
          <w:rFonts w:ascii="Times New Roman" w:eastAsia="Times New Roman" w:hAnsi="Times New Roman" w:cs="Times New Roman"/>
          <w:b/>
          <w:bCs/>
          <w:color w:val="000000"/>
          <w:kern w:val="0"/>
          <w:sz w:val="24"/>
          <w:szCs w:val="24"/>
          <w14:ligatures w14:val="none"/>
        </w:rPr>
        <w:t xml:space="preserve">Training and </w:t>
      </w:r>
      <w:r w:rsidR="00304B3D">
        <w:rPr>
          <w:rFonts w:ascii="Times New Roman" w:eastAsia="Times New Roman" w:hAnsi="Times New Roman" w:cs="Times New Roman"/>
          <w:b/>
          <w:bCs/>
          <w:color w:val="000000"/>
          <w:kern w:val="0"/>
          <w:sz w:val="24"/>
          <w:szCs w:val="24"/>
          <w14:ligatures w14:val="none"/>
        </w:rPr>
        <w:t>E</w:t>
      </w:r>
      <w:r w:rsidRPr="007B79DA">
        <w:rPr>
          <w:rFonts w:ascii="Times New Roman" w:eastAsia="Times New Roman" w:hAnsi="Times New Roman" w:cs="Times New Roman"/>
          <w:b/>
          <w:bCs/>
          <w:color w:val="000000"/>
          <w:kern w:val="0"/>
          <w:sz w:val="24"/>
          <w:szCs w:val="24"/>
          <w14:ligatures w14:val="none"/>
        </w:rPr>
        <w:t xml:space="preserve">mployee </w:t>
      </w:r>
      <w:r w:rsidR="00304B3D">
        <w:rPr>
          <w:rFonts w:ascii="Times New Roman" w:eastAsia="Times New Roman" w:hAnsi="Times New Roman" w:cs="Times New Roman"/>
          <w:b/>
          <w:bCs/>
          <w:color w:val="000000"/>
          <w:kern w:val="0"/>
          <w:sz w:val="24"/>
          <w:szCs w:val="24"/>
          <w14:ligatures w14:val="none"/>
        </w:rPr>
        <w:t>E</w:t>
      </w:r>
      <w:r w:rsidRPr="007B79DA">
        <w:rPr>
          <w:rFonts w:ascii="Times New Roman" w:eastAsia="Times New Roman" w:hAnsi="Times New Roman" w:cs="Times New Roman"/>
          <w:b/>
          <w:bCs/>
          <w:color w:val="000000"/>
          <w:kern w:val="0"/>
          <w:sz w:val="24"/>
          <w:szCs w:val="24"/>
          <w14:ligatures w14:val="none"/>
        </w:rPr>
        <w:t>ducation</w:t>
      </w:r>
    </w:p>
    <w:p w:rsidR="00304B3D" w:rsidRPr="007B79DA" w:rsidP="00304B3D" w14:paraId="0E874BBF" w14:textId="77777777">
      <w:pPr>
        <w:spacing w:line="240" w:lineRule="auto"/>
        <w:rPr>
          <w:rFonts w:ascii="Times New Roman" w:eastAsia="Times New Roman" w:hAnsi="Times New Roman" w:cs="Times New Roman"/>
          <w:kern w:val="0"/>
          <w14:ligatures w14:val="none"/>
        </w:rPr>
      </w:pPr>
      <w:r w:rsidRPr="007B79DA">
        <w:rPr>
          <w:rFonts w:ascii="Times New Roman" w:eastAsia="Times New Roman" w:hAnsi="Times New Roman" w:cs="Times New Roman"/>
          <w:b/>
          <w:bCs/>
          <w:color w:val="000000"/>
          <w:kern w:val="0"/>
          <w14:ligatures w14:val="none"/>
        </w:rPr>
        <w:t>29 U.S.C.</w:t>
      </w:r>
      <w:r w:rsidRPr="00CF495B">
        <w:rPr>
          <w:rFonts w:ascii="Times New Roman" w:eastAsia="Times New Roman" w:hAnsi="Times New Roman" w:cs="Times New Roman"/>
          <w:b/>
          <w:bCs/>
          <w:color w:val="000000"/>
          <w:kern w:val="0"/>
          <w14:ligatures w14:val="none"/>
        </w:rPr>
        <w:t xml:space="preserve"> 670</w:t>
      </w:r>
    </w:p>
    <w:p w:rsidR="00CF495B" w:rsidRPr="00CF495B" w:rsidP="00CF495B" w14:paraId="4359355A" w14:textId="50608DDE">
      <w:pPr>
        <w:spacing w:before="105" w:after="45" w:line="240" w:lineRule="auto"/>
        <w:ind w:hanging="240"/>
        <w:outlineLvl w:val="3"/>
        <w:rPr>
          <w:rFonts w:ascii="Times New Roman" w:eastAsia="Times New Roman" w:hAnsi="Times New Roman" w:cs="Times New Roman"/>
          <w:b/>
          <w:bCs/>
          <w:color w:val="000000"/>
          <w:kern w:val="0"/>
          <w:sz w:val="24"/>
          <w:szCs w:val="24"/>
          <w14:ligatures w14:val="none"/>
        </w:rPr>
      </w:pPr>
      <w:r w:rsidRPr="00CF495B">
        <w:rPr>
          <w:rFonts w:ascii="Times New Roman" w:eastAsia="Times New Roman" w:hAnsi="Times New Roman" w:cs="Times New Roman"/>
          <w:b/>
          <w:bCs/>
          <w:color w:val="000000"/>
          <w:kern w:val="0"/>
          <w:sz w:val="24"/>
          <w:szCs w:val="24"/>
          <w14:ligatures w14:val="none"/>
        </w:rPr>
        <w:t>(a</w:t>
      </w:r>
      <w:r>
        <w:rPr>
          <w:rFonts w:ascii="Times New Roman" w:eastAsia="Times New Roman" w:hAnsi="Times New Roman" w:cs="Times New Roman"/>
          <w:b/>
          <w:bCs/>
          <w:color w:val="000000"/>
          <w:kern w:val="0"/>
          <w:sz w:val="24"/>
          <w:szCs w:val="24"/>
          <w14:ligatures w14:val="none"/>
        </w:rPr>
        <w:t xml:space="preserve">) </w:t>
      </w:r>
      <w:r w:rsidRPr="00CF495B" w:rsidR="007B79DA">
        <w:rPr>
          <w:rFonts w:ascii="Times New Roman" w:eastAsia="Times New Roman" w:hAnsi="Times New Roman" w:cs="Times New Roman"/>
          <w:b/>
          <w:bCs/>
          <w:color w:val="000000"/>
          <w:kern w:val="0"/>
          <w:sz w:val="24"/>
          <w:szCs w:val="24"/>
          <w14:ligatures w14:val="none"/>
        </w:rPr>
        <w:t>Authority of Secretary of Health and Human Services to conduct education and informational programs; consultations</w:t>
      </w:r>
    </w:p>
    <w:p w:rsidR="007B79DA" w:rsidP="007B79DA" w14:paraId="05A244DD" w14:textId="77777777">
      <w:pPr>
        <w:spacing w:line="240" w:lineRule="auto"/>
        <w:ind w:firstLine="240"/>
        <w:rPr>
          <w:rFonts w:ascii="Times New Roman" w:eastAsia="Times New Roman" w:hAnsi="Times New Roman" w:cs="Times New Roman"/>
          <w:color w:val="000000"/>
          <w:kern w:val="0"/>
          <w:sz w:val="24"/>
          <w:szCs w:val="24"/>
          <w14:ligatures w14:val="none"/>
        </w:rPr>
      </w:pPr>
      <w:r w:rsidRPr="007B79DA">
        <w:rPr>
          <w:rFonts w:ascii="Times New Roman" w:eastAsia="Times New Roman" w:hAnsi="Times New Roman" w:cs="Times New Roman"/>
          <w:color w:val="000000"/>
          <w:kern w:val="0"/>
          <w:sz w:val="24"/>
          <w:szCs w:val="24"/>
          <w14:ligatures w14:val="none"/>
        </w:rPr>
        <w:t>The Secretary of Health and Human Services, after consultation with the Secretary and with other appropriate Federal departments and agencies, shall conduct, directly or by grants or contracts (1) education programs to provide an adequate supply of qualified personnel to carry out the purposes of this chapter, and (2) informational programs on the importance of and proper use of adequate safety and health equipment.</w:t>
      </w:r>
    </w:p>
    <w:p w:rsidR="00CF495B" w:rsidRPr="007B79DA" w:rsidP="007B79DA" w14:paraId="5C860144" w14:textId="77777777">
      <w:pPr>
        <w:spacing w:line="240" w:lineRule="auto"/>
        <w:ind w:firstLine="240"/>
        <w:rPr>
          <w:rFonts w:ascii="Times New Roman" w:eastAsia="Times New Roman" w:hAnsi="Times New Roman" w:cs="Times New Roman"/>
          <w:color w:val="000000"/>
          <w:kern w:val="0"/>
          <w:sz w:val="24"/>
          <w:szCs w:val="24"/>
          <w14:ligatures w14:val="none"/>
        </w:rPr>
      </w:pPr>
    </w:p>
    <w:p w:rsidR="007B79DA" w:rsidP="007B79DA" w14:paraId="3D387D5F" w14:textId="77777777">
      <w:pPr>
        <w:spacing w:before="105" w:after="45" w:line="240" w:lineRule="auto"/>
        <w:ind w:hanging="240"/>
        <w:outlineLvl w:val="3"/>
        <w:rPr>
          <w:rFonts w:ascii="Times New Roman" w:eastAsia="Times New Roman" w:hAnsi="Times New Roman" w:cs="Times New Roman"/>
          <w:b/>
          <w:bCs/>
          <w:color w:val="000000"/>
          <w:kern w:val="0"/>
          <w:sz w:val="24"/>
          <w:szCs w:val="24"/>
          <w14:ligatures w14:val="none"/>
        </w:rPr>
      </w:pPr>
      <w:r w:rsidRPr="007B79DA">
        <w:rPr>
          <w:rFonts w:ascii="Times New Roman" w:eastAsia="Times New Roman" w:hAnsi="Times New Roman" w:cs="Times New Roman"/>
          <w:b/>
          <w:bCs/>
          <w:color w:val="000000"/>
          <w:kern w:val="0"/>
          <w:sz w:val="24"/>
          <w:szCs w:val="24"/>
          <w14:ligatures w14:val="none"/>
        </w:rPr>
        <w:t>(b) Authority of Secretary of Labor to conduct short-term training of personnel</w:t>
      </w:r>
    </w:p>
    <w:p w:rsidR="007B79DA" w:rsidRPr="007B79DA" w:rsidP="007B79DA" w14:paraId="3B2E69FF" w14:textId="77777777">
      <w:pPr>
        <w:spacing w:line="240" w:lineRule="auto"/>
        <w:ind w:firstLine="240"/>
        <w:rPr>
          <w:rFonts w:ascii="Times New Roman" w:eastAsia="Times New Roman" w:hAnsi="Times New Roman" w:cs="Times New Roman"/>
          <w:color w:val="000000"/>
          <w:kern w:val="0"/>
          <w:sz w:val="24"/>
          <w:szCs w:val="24"/>
          <w14:ligatures w14:val="none"/>
        </w:rPr>
      </w:pPr>
      <w:r w:rsidRPr="007B79DA">
        <w:rPr>
          <w:rFonts w:ascii="Times New Roman" w:eastAsia="Times New Roman" w:hAnsi="Times New Roman" w:cs="Times New Roman"/>
          <w:color w:val="000000"/>
          <w:kern w:val="0"/>
          <w:sz w:val="24"/>
          <w:szCs w:val="24"/>
          <w14:ligatures w14:val="none"/>
        </w:rPr>
        <w:t>The Secretary is also authorized to conduct, directly or by grants or contracts, short-term training of personnel engaged in work related to his responsibilities under this chapter.</w:t>
      </w:r>
    </w:p>
    <w:p w:rsidR="00CF495B" w:rsidRPr="007B79DA" w:rsidP="00CF495B" w14:paraId="35F037FF" w14:textId="232F6520">
      <w:pPr>
        <w:spacing w:before="105" w:after="45" w:line="240" w:lineRule="auto"/>
        <w:ind w:hanging="240"/>
        <w:outlineLvl w:val="3"/>
        <w:rPr>
          <w:rFonts w:ascii="Times New Roman" w:eastAsia="Times New Roman" w:hAnsi="Times New Roman" w:cs="Times New Roman"/>
          <w:b/>
          <w:bCs/>
          <w:color w:val="000000"/>
          <w:kern w:val="0"/>
          <w:sz w:val="24"/>
          <w:szCs w:val="24"/>
          <w14:ligatures w14:val="none"/>
        </w:rPr>
      </w:pPr>
      <w:r w:rsidRPr="007B79DA">
        <w:rPr>
          <w:rFonts w:ascii="Times New Roman" w:eastAsia="Times New Roman" w:hAnsi="Times New Roman" w:cs="Times New Roman"/>
          <w:b/>
          <w:bCs/>
          <w:color w:val="000000"/>
          <w:kern w:val="0"/>
          <w:sz w:val="24"/>
          <w:szCs w:val="24"/>
          <w14:ligatures w14:val="none"/>
        </w:rPr>
        <w:t>(c) Authority of Secretary of Labor to establish and supervise education and training programs and consult and advise interested parties</w:t>
      </w:r>
    </w:p>
    <w:p w:rsidR="007B79DA" w:rsidP="007B79DA" w14:paraId="231E19B3" w14:textId="77777777">
      <w:pPr>
        <w:spacing w:line="240" w:lineRule="auto"/>
        <w:ind w:firstLine="240"/>
        <w:rPr>
          <w:rFonts w:ascii="Times New Roman" w:eastAsia="Times New Roman" w:hAnsi="Times New Roman" w:cs="Times New Roman"/>
          <w:color w:val="000000"/>
          <w:kern w:val="0"/>
          <w:sz w:val="24"/>
          <w:szCs w:val="24"/>
          <w14:ligatures w14:val="none"/>
        </w:rPr>
      </w:pPr>
      <w:r w:rsidRPr="007B79DA">
        <w:rPr>
          <w:rFonts w:ascii="Times New Roman" w:eastAsia="Times New Roman" w:hAnsi="Times New Roman" w:cs="Times New Roman"/>
          <w:color w:val="000000"/>
          <w:kern w:val="0"/>
          <w:sz w:val="24"/>
          <w:szCs w:val="24"/>
          <w14:ligatures w14:val="none"/>
        </w:rPr>
        <w:t>The Secretary, in consultation with the Secretary of Health and Human Services, shall (1) provide for the establishment and supervision of programs for the education and training of employers and employees in the recognition, avoidance, and prevention of unsafe or unhealthful working conditions in employments covered by this chapter, and (2) consult with and advise employers and employees, and organizations representing employers and employees as to effective means of preventing occupational injuries and illnesses.</w:t>
      </w:r>
    </w:p>
    <w:p w:rsidR="00CF495B" w:rsidRPr="007B79DA" w:rsidP="007B79DA" w14:paraId="2A9D5D51" w14:textId="77777777">
      <w:pPr>
        <w:spacing w:line="240" w:lineRule="auto"/>
        <w:ind w:firstLine="240"/>
        <w:rPr>
          <w:rFonts w:ascii="Times New Roman" w:eastAsia="Times New Roman" w:hAnsi="Times New Roman" w:cs="Times New Roman"/>
          <w:color w:val="000000"/>
          <w:kern w:val="0"/>
          <w:sz w:val="24"/>
          <w:szCs w:val="24"/>
          <w14:ligatures w14:val="none"/>
        </w:rPr>
      </w:pPr>
    </w:p>
    <w:p w:rsidR="00CF495B" w:rsidRPr="007B79DA" w:rsidP="00CF495B" w14:paraId="2CBC89B9" w14:textId="6C47508B">
      <w:pPr>
        <w:spacing w:before="105" w:after="45" w:line="240" w:lineRule="auto"/>
        <w:ind w:hanging="240"/>
        <w:outlineLvl w:val="3"/>
        <w:rPr>
          <w:rFonts w:ascii="Times New Roman" w:eastAsia="Times New Roman" w:hAnsi="Times New Roman" w:cs="Times New Roman"/>
          <w:b/>
          <w:bCs/>
          <w:color w:val="000000"/>
          <w:kern w:val="0"/>
          <w:sz w:val="24"/>
          <w:szCs w:val="24"/>
          <w14:ligatures w14:val="none"/>
        </w:rPr>
      </w:pPr>
      <w:r w:rsidRPr="007B79DA">
        <w:rPr>
          <w:rFonts w:ascii="Times New Roman" w:eastAsia="Times New Roman" w:hAnsi="Times New Roman" w:cs="Times New Roman"/>
          <w:b/>
          <w:bCs/>
          <w:color w:val="000000"/>
          <w:kern w:val="0"/>
          <w:sz w:val="24"/>
          <w:szCs w:val="24"/>
          <w14:ligatures w14:val="none"/>
        </w:rPr>
        <w:t>(d) Compliance assistance program</w:t>
      </w:r>
    </w:p>
    <w:p w:rsidR="007B79DA" w:rsidRPr="007B79DA" w:rsidP="007B79DA" w14:paraId="4DB7B903" w14:textId="77777777">
      <w:pPr>
        <w:spacing w:line="240" w:lineRule="auto"/>
        <w:ind w:firstLine="240"/>
        <w:rPr>
          <w:rFonts w:ascii="Times New Roman" w:eastAsia="Times New Roman" w:hAnsi="Times New Roman" w:cs="Times New Roman"/>
          <w:color w:val="000000"/>
          <w:kern w:val="0"/>
          <w:sz w:val="24"/>
          <w:szCs w:val="24"/>
          <w14:ligatures w14:val="none"/>
        </w:rPr>
      </w:pPr>
      <w:r w:rsidRPr="007B79DA">
        <w:rPr>
          <w:rFonts w:ascii="Times New Roman" w:eastAsia="Times New Roman" w:hAnsi="Times New Roman" w:cs="Times New Roman"/>
          <w:color w:val="000000"/>
          <w:kern w:val="0"/>
          <w:sz w:val="24"/>
          <w:szCs w:val="24"/>
          <w14:ligatures w14:val="none"/>
        </w:rPr>
        <w:t>(1) The Secretary shall establish and support cooperative agreements with the States under which employers subject to this chapter may consult with State personnel with respect to—</w:t>
      </w:r>
    </w:p>
    <w:p w:rsidR="007B79DA" w:rsidRPr="007B79DA" w:rsidP="007B79DA" w14:paraId="1C4176FE" w14:textId="77777777">
      <w:pPr>
        <w:spacing w:line="240" w:lineRule="auto"/>
        <w:ind w:left="240" w:firstLine="240"/>
        <w:rPr>
          <w:rFonts w:ascii="Times New Roman" w:eastAsia="Times New Roman" w:hAnsi="Times New Roman" w:cs="Times New Roman"/>
          <w:color w:val="000000"/>
          <w:kern w:val="0"/>
          <w:sz w:val="24"/>
          <w:szCs w:val="24"/>
          <w14:ligatures w14:val="none"/>
        </w:rPr>
      </w:pPr>
      <w:r w:rsidRPr="007B79DA">
        <w:rPr>
          <w:rFonts w:ascii="Times New Roman" w:eastAsia="Times New Roman" w:hAnsi="Times New Roman" w:cs="Times New Roman"/>
          <w:color w:val="000000"/>
          <w:kern w:val="0"/>
          <w:sz w:val="24"/>
          <w:szCs w:val="24"/>
          <w14:ligatures w14:val="none"/>
        </w:rPr>
        <w:t>(A) the application of occupational safety and health requirements under this chapter or under State plans approved under section 667 of this title; and</w:t>
      </w:r>
    </w:p>
    <w:p w:rsidR="007B79DA" w:rsidRPr="007B79DA" w:rsidP="007B79DA" w14:paraId="167EAC04" w14:textId="77777777">
      <w:pPr>
        <w:spacing w:line="240" w:lineRule="auto"/>
        <w:ind w:left="240" w:firstLine="240"/>
        <w:rPr>
          <w:rFonts w:ascii="Times New Roman" w:eastAsia="Times New Roman" w:hAnsi="Times New Roman" w:cs="Times New Roman"/>
          <w:color w:val="000000"/>
          <w:kern w:val="0"/>
          <w:sz w:val="24"/>
          <w:szCs w:val="24"/>
          <w14:ligatures w14:val="none"/>
        </w:rPr>
      </w:pPr>
      <w:r w:rsidRPr="007B79DA">
        <w:rPr>
          <w:rFonts w:ascii="Times New Roman" w:eastAsia="Times New Roman" w:hAnsi="Times New Roman" w:cs="Times New Roman"/>
          <w:color w:val="000000"/>
          <w:kern w:val="0"/>
          <w:sz w:val="24"/>
          <w:szCs w:val="24"/>
          <w14:ligatures w14:val="none"/>
        </w:rPr>
        <w:t>(B) voluntary efforts that employers may undertake to establish and maintain safe and healthful employment and places of employment.</w:t>
      </w:r>
    </w:p>
    <w:p w:rsidR="007B79DA" w:rsidRPr="007B79DA" w:rsidP="007B79DA" w14:paraId="1499E2B5" w14:textId="06E9CF1F">
      <w:pPr>
        <w:spacing w:line="240" w:lineRule="auto"/>
        <w:rPr>
          <w:rFonts w:ascii="Times New Roman" w:eastAsia="Times New Roman" w:hAnsi="Times New Roman" w:cs="Times New Roman"/>
          <w:kern w:val="0"/>
          <w14:ligatures w14:val="none"/>
        </w:rPr>
      </w:pPr>
    </w:p>
    <w:p w:rsidR="007B79DA" w:rsidRPr="007B79DA" w:rsidP="007B79DA" w14:paraId="6E9AF7A4" w14:textId="77777777">
      <w:pPr>
        <w:spacing w:line="240" w:lineRule="auto"/>
        <w:ind w:firstLine="240"/>
        <w:rPr>
          <w:rFonts w:ascii="Times New Roman" w:eastAsia="Times New Roman" w:hAnsi="Times New Roman" w:cs="Times New Roman"/>
          <w:color w:val="000000"/>
          <w:kern w:val="0"/>
          <w:sz w:val="24"/>
          <w:szCs w:val="24"/>
          <w14:ligatures w14:val="none"/>
        </w:rPr>
      </w:pPr>
      <w:r w:rsidRPr="007B79DA">
        <w:rPr>
          <w:rFonts w:ascii="Times New Roman" w:eastAsia="Times New Roman" w:hAnsi="Times New Roman" w:cs="Times New Roman"/>
          <w:color w:val="000000"/>
          <w:kern w:val="0"/>
          <w:sz w:val="24"/>
          <w:szCs w:val="24"/>
          <w14:ligatures w14:val="none"/>
        </w:rPr>
        <w:t>Such agreements may provide, as a condition of receiving funds under such agreements, for contributions by States towards meeting the costs of such agreements.</w:t>
      </w:r>
    </w:p>
    <w:p w:rsidR="007B79DA" w:rsidRPr="007B79DA" w:rsidP="007B79DA" w14:paraId="4A1B5021" w14:textId="77777777">
      <w:pPr>
        <w:spacing w:line="240" w:lineRule="auto"/>
        <w:ind w:firstLine="240"/>
        <w:rPr>
          <w:rFonts w:ascii="Times New Roman" w:eastAsia="Times New Roman" w:hAnsi="Times New Roman" w:cs="Times New Roman"/>
          <w:color w:val="000000"/>
          <w:kern w:val="0"/>
          <w:sz w:val="24"/>
          <w:szCs w:val="24"/>
          <w14:ligatures w14:val="none"/>
        </w:rPr>
      </w:pPr>
      <w:r w:rsidRPr="007B79DA">
        <w:rPr>
          <w:rFonts w:ascii="Times New Roman" w:eastAsia="Times New Roman" w:hAnsi="Times New Roman" w:cs="Times New Roman"/>
          <w:color w:val="000000"/>
          <w:kern w:val="0"/>
          <w:sz w:val="24"/>
          <w:szCs w:val="24"/>
          <w14:ligatures w14:val="none"/>
        </w:rPr>
        <w:t>(2) Pursuant to such agreements the State shall provide on-site consultation at the employer's worksite to employers who request such assistance. The State may also provide other education and training programs for employers and employees in the State. The State shall ensure that on-site consultations conducted pursuant to such agreements include provision for the participation by employees.</w:t>
      </w:r>
    </w:p>
    <w:p w:rsidR="007B79DA" w:rsidP="007B79DA" w14:paraId="14DDDE14" w14:textId="77777777">
      <w:pPr>
        <w:spacing w:line="240" w:lineRule="auto"/>
        <w:ind w:firstLine="240"/>
        <w:rPr>
          <w:rFonts w:ascii="Times New Roman" w:eastAsia="Times New Roman" w:hAnsi="Times New Roman" w:cs="Times New Roman"/>
          <w:color w:val="000000"/>
          <w:kern w:val="0"/>
          <w:sz w:val="24"/>
          <w:szCs w:val="24"/>
          <w14:ligatures w14:val="none"/>
        </w:rPr>
      </w:pPr>
      <w:r w:rsidRPr="007B79DA">
        <w:rPr>
          <w:rFonts w:ascii="Times New Roman" w:eastAsia="Times New Roman" w:hAnsi="Times New Roman" w:cs="Times New Roman"/>
          <w:color w:val="000000"/>
          <w:kern w:val="0"/>
          <w:sz w:val="24"/>
          <w:szCs w:val="24"/>
          <w14:ligatures w14:val="none"/>
        </w:rPr>
        <w:t xml:space="preserve">(3) Activities under this subsection shall be conducted independently of any enforcement activity. If an employer fails to take immediate action to eliminate employee exposure to an imminent danger identified in a consultation or fails to correct a serious </w:t>
      </w:r>
      <w:r w:rsidRPr="007B79DA">
        <w:rPr>
          <w:rFonts w:ascii="Times New Roman" w:eastAsia="Times New Roman" w:hAnsi="Times New Roman" w:cs="Times New Roman"/>
          <w:color w:val="000000"/>
          <w:kern w:val="0"/>
          <w:sz w:val="24"/>
          <w:szCs w:val="24"/>
          <w14:ligatures w14:val="none"/>
        </w:rPr>
        <w:t>hazard so identified within a reasonable time, a report shall be made to the appropriate enforcement authority for such action as is appropriate.</w:t>
      </w:r>
    </w:p>
    <w:p w:rsidR="00CF495B" w:rsidRPr="007B79DA" w:rsidP="007B79DA" w14:paraId="13D38201" w14:textId="77777777">
      <w:pPr>
        <w:spacing w:line="240" w:lineRule="auto"/>
        <w:ind w:firstLine="240"/>
        <w:rPr>
          <w:rFonts w:ascii="Times New Roman" w:eastAsia="Times New Roman" w:hAnsi="Times New Roman" w:cs="Times New Roman"/>
          <w:color w:val="000000"/>
          <w:kern w:val="0"/>
          <w:sz w:val="24"/>
          <w:szCs w:val="24"/>
          <w14:ligatures w14:val="none"/>
        </w:rPr>
      </w:pPr>
    </w:p>
    <w:p w:rsidR="007B79DA" w:rsidP="007B79DA" w14:paraId="1E9D61CF" w14:textId="77777777">
      <w:pPr>
        <w:spacing w:line="240" w:lineRule="auto"/>
        <w:ind w:firstLine="240"/>
        <w:rPr>
          <w:rFonts w:ascii="Times New Roman" w:eastAsia="Times New Roman" w:hAnsi="Times New Roman" w:cs="Times New Roman"/>
          <w:color w:val="000000"/>
          <w:kern w:val="0"/>
          <w:sz w:val="24"/>
          <w:szCs w:val="24"/>
          <w14:ligatures w14:val="none"/>
        </w:rPr>
      </w:pPr>
      <w:r w:rsidRPr="007B79DA">
        <w:rPr>
          <w:rFonts w:ascii="Times New Roman" w:eastAsia="Times New Roman" w:hAnsi="Times New Roman" w:cs="Times New Roman"/>
          <w:color w:val="000000"/>
          <w:kern w:val="0"/>
          <w:sz w:val="24"/>
          <w:szCs w:val="24"/>
          <w14:ligatures w14:val="none"/>
        </w:rPr>
        <w:t>(4) The Secretary shall, by regulation after notice and opportunity for comment, establish rules under which an employer—</w:t>
      </w:r>
    </w:p>
    <w:p w:rsidR="00CF495B" w:rsidRPr="007B79DA" w:rsidP="007B79DA" w14:paraId="032D93C6" w14:textId="77777777">
      <w:pPr>
        <w:spacing w:line="240" w:lineRule="auto"/>
        <w:ind w:firstLine="240"/>
        <w:rPr>
          <w:rFonts w:ascii="Times New Roman" w:eastAsia="Times New Roman" w:hAnsi="Times New Roman" w:cs="Times New Roman"/>
          <w:color w:val="000000"/>
          <w:kern w:val="0"/>
          <w:sz w:val="24"/>
          <w:szCs w:val="24"/>
          <w14:ligatures w14:val="none"/>
        </w:rPr>
      </w:pPr>
    </w:p>
    <w:p w:rsidR="007B79DA" w:rsidP="007B79DA" w14:paraId="16BE130D" w14:textId="77777777">
      <w:pPr>
        <w:spacing w:line="240" w:lineRule="auto"/>
        <w:ind w:left="240" w:firstLine="240"/>
        <w:rPr>
          <w:rFonts w:ascii="Times New Roman" w:eastAsia="Times New Roman" w:hAnsi="Times New Roman" w:cs="Times New Roman"/>
          <w:color w:val="000000"/>
          <w:kern w:val="0"/>
          <w:sz w:val="24"/>
          <w:szCs w:val="24"/>
          <w14:ligatures w14:val="none"/>
        </w:rPr>
      </w:pPr>
      <w:r w:rsidRPr="007B79DA">
        <w:rPr>
          <w:rFonts w:ascii="Times New Roman" w:eastAsia="Times New Roman" w:hAnsi="Times New Roman" w:cs="Times New Roman"/>
          <w:color w:val="000000"/>
          <w:kern w:val="0"/>
          <w:sz w:val="24"/>
          <w:szCs w:val="24"/>
          <w14:ligatures w14:val="none"/>
        </w:rPr>
        <w:t>(A) which requests and undergoes an on-site consultative visit provided under this subsection;</w:t>
      </w:r>
    </w:p>
    <w:p w:rsidR="00CF495B" w:rsidRPr="007B79DA" w:rsidP="007B79DA" w14:paraId="77EB8928" w14:textId="77777777">
      <w:pPr>
        <w:spacing w:line="240" w:lineRule="auto"/>
        <w:ind w:left="240" w:firstLine="240"/>
        <w:rPr>
          <w:rFonts w:ascii="Times New Roman" w:eastAsia="Times New Roman" w:hAnsi="Times New Roman" w:cs="Times New Roman"/>
          <w:color w:val="000000"/>
          <w:kern w:val="0"/>
          <w:sz w:val="24"/>
          <w:szCs w:val="24"/>
          <w14:ligatures w14:val="none"/>
        </w:rPr>
      </w:pPr>
    </w:p>
    <w:p w:rsidR="007B79DA" w:rsidP="007B79DA" w14:paraId="14ED8CD4" w14:textId="77777777">
      <w:pPr>
        <w:spacing w:line="240" w:lineRule="auto"/>
        <w:ind w:left="240" w:firstLine="240"/>
        <w:rPr>
          <w:rFonts w:ascii="Times New Roman" w:eastAsia="Times New Roman" w:hAnsi="Times New Roman" w:cs="Times New Roman"/>
          <w:color w:val="000000"/>
          <w:kern w:val="0"/>
          <w:sz w:val="24"/>
          <w:szCs w:val="24"/>
          <w14:ligatures w14:val="none"/>
        </w:rPr>
      </w:pPr>
      <w:r w:rsidRPr="007B79DA">
        <w:rPr>
          <w:rFonts w:ascii="Times New Roman" w:eastAsia="Times New Roman" w:hAnsi="Times New Roman" w:cs="Times New Roman"/>
          <w:color w:val="000000"/>
          <w:kern w:val="0"/>
          <w:sz w:val="24"/>
          <w:szCs w:val="24"/>
          <w14:ligatures w14:val="none"/>
        </w:rPr>
        <w:t>(B) which corrects the hazards that have been identified during the visit within the time frames established by the State and agrees to request a subsequent consultative visit if major changes in working conditions or work processes occur which introduce new hazards in the workplace; and</w:t>
      </w:r>
    </w:p>
    <w:p w:rsidR="00CF495B" w:rsidRPr="007B79DA" w:rsidP="007B79DA" w14:paraId="38B93057" w14:textId="77777777">
      <w:pPr>
        <w:spacing w:line="240" w:lineRule="auto"/>
        <w:ind w:left="240" w:firstLine="240"/>
        <w:rPr>
          <w:rFonts w:ascii="Times New Roman" w:eastAsia="Times New Roman" w:hAnsi="Times New Roman" w:cs="Times New Roman"/>
          <w:color w:val="000000"/>
          <w:kern w:val="0"/>
          <w:sz w:val="24"/>
          <w:szCs w:val="24"/>
          <w14:ligatures w14:val="none"/>
        </w:rPr>
      </w:pPr>
    </w:p>
    <w:p w:rsidR="007B79DA" w:rsidP="00CF495B" w14:paraId="09AC4496" w14:textId="26670409">
      <w:pPr>
        <w:spacing w:line="240" w:lineRule="auto"/>
        <w:ind w:left="240" w:firstLine="240"/>
        <w:rPr>
          <w:rFonts w:ascii="Times New Roman" w:eastAsia="Times New Roman" w:hAnsi="Times New Roman" w:cs="Times New Roman"/>
          <w:color w:val="000000"/>
          <w:kern w:val="0"/>
          <w:sz w:val="24"/>
          <w:szCs w:val="24"/>
          <w14:ligatures w14:val="none"/>
        </w:rPr>
      </w:pPr>
      <w:r w:rsidRPr="007B79DA">
        <w:rPr>
          <w:rFonts w:ascii="Times New Roman" w:eastAsia="Times New Roman" w:hAnsi="Times New Roman" w:cs="Times New Roman"/>
          <w:color w:val="000000"/>
          <w:kern w:val="0"/>
          <w:sz w:val="24"/>
          <w:szCs w:val="24"/>
          <w14:ligatures w14:val="none"/>
        </w:rPr>
        <w:t>(C) which is implementing procedures for regularly identifying and preventing hazards regulated under this chapter and maintains appropriate involvement of, and training for, management and non-management employees in achieving safe and healthful working condition</w:t>
      </w:r>
      <w:r w:rsidR="00CF495B">
        <w:rPr>
          <w:rFonts w:ascii="Times New Roman" w:eastAsia="Times New Roman" w:hAnsi="Times New Roman" w:cs="Times New Roman"/>
          <w:color w:val="000000"/>
          <w:kern w:val="0"/>
          <w:sz w:val="24"/>
          <w:szCs w:val="24"/>
          <w14:ligatures w14:val="none"/>
        </w:rPr>
        <w:t xml:space="preserve"> </w:t>
      </w:r>
      <w:r w:rsidRPr="007B79DA">
        <w:rPr>
          <w:rFonts w:ascii="Times New Roman" w:eastAsia="Times New Roman" w:hAnsi="Times New Roman" w:cs="Times New Roman"/>
          <w:color w:val="000000"/>
          <w:kern w:val="0"/>
          <w:sz w:val="24"/>
          <w:szCs w:val="24"/>
          <w14:ligatures w14:val="none"/>
        </w:rPr>
        <w:t>may be exempt from an inspection (except an inspection requested under section 657(f) of this title or an inspection to determine the cause of a workplace accident which resulted in the death of one or more employees or hospitalization for three or more employees) for a period of 1 year from the closing of the consultative visit.</w:t>
      </w:r>
    </w:p>
    <w:p w:rsidR="00CF495B" w:rsidRPr="007B79DA" w:rsidP="00CF495B" w14:paraId="5BF73AA1" w14:textId="77777777">
      <w:pPr>
        <w:spacing w:line="240" w:lineRule="auto"/>
        <w:ind w:left="240" w:firstLine="240"/>
        <w:rPr>
          <w:rFonts w:ascii="Times New Roman" w:eastAsia="Times New Roman" w:hAnsi="Times New Roman" w:cs="Times New Roman"/>
          <w:color w:val="000000"/>
          <w:kern w:val="0"/>
          <w:sz w:val="24"/>
          <w:szCs w:val="24"/>
          <w14:ligatures w14:val="none"/>
        </w:rPr>
      </w:pPr>
    </w:p>
    <w:p w:rsidR="007B79DA" w:rsidRPr="007B79DA" w:rsidP="007B79DA" w14:paraId="30CFE57E" w14:textId="77777777">
      <w:pPr>
        <w:spacing w:line="240" w:lineRule="auto"/>
        <w:ind w:firstLine="240"/>
        <w:rPr>
          <w:rFonts w:ascii="Times New Roman" w:eastAsia="Times New Roman" w:hAnsi="Times New Roman" w:cs="Times New Roman"/>
          <w:color w:val="000000"/>
          <w:kern w:val="0"/>
          <w:sz w:val="24"/>
          <w:szCs w:val="24"/>
          <w14:ligatures w14:val="none"/>
        </w:rPr>
      </w:pPr>
      <w:r w:rsidRPr="007B79DA">
        <w:rPr>
          <w:rFonts w:ascii="Times New Roman" w:eastAsia="Times New Roman" w:hAnsi="Times New Roman" w:cs="Times New Roman"/>
          <w:color w:val="000000"/>
          <w:kern w:val="0"/>
          <w:sz w:val="24"/>
          <w:szCs w:val="24"/>
          <w14:ligatures w14:val="none"/>
        </w:rPr>
        <w:t>(5) A State shall provide worksite consultations under paragraph (2) at the request of an employer. Priority in scheduling such consultations shall be assigned to requests from small businesses which are in higher hazard industries or have the most hazardous conditions at issue in the request.</w:t>
      </w:r>
    </w:p>
    <w:p w:rsidR="007B79DA" w:rsidRPr="007B79DA" w:rsidP="007B79DA" w14:paraId="32A3D2B0" w14:textId="77777777">
      <w:pPr>
        <w:spacing w:before="75" w:line="240" w:lineRule="auto"/>
        <w:rPr>
          <w:rFonts w:ascii="Times New Roman" w:eastAsia="Times New Roman" w:hAnsi="Times New Roman" w:cs="Times New Roman"/>
          <w:color w:val="000000"/>
          <w:kern w:val="0"/>
          <w:sz w:val="24"/>
          <w:szCs w:val="24"/>
          <w14:ligatures w14:val="none"/>
        </w:rPr>
      </w:pPr>
      <w:r w:rsidRPr="007B79DA">
        <w:rPr>
          <w:rFonts w:ascii="Times New Roman" w:eastAsia="Times New Roman" w:hAnsi="Times New Roman" w:cs="Times New Roman"/>
          <w:color w:val="000000"/>
          <w:kern w:val="0"/>
          <w:sz w:val="24"/>
          <w:szCs w:val="24"/>
          <w14:ligatures w14:val="none"/>
        </w:rPr>
        <w:t>(Pub. L. 91–596, §21, Dec. 29, 1970, 84 Stat. 1612; Pub. L. 96–88, title V, §509(b), Oct. 17, 1979, 93 Stat. 695; Pub. L. 105–197, §2, July 16, 1998, 112 Stat. 638.)</w:t>
      </w:r>
    </w:p>
    <w:bookmarkEnd w:id="0"/>
    <w:p w:rsidR="00FE5E9D" w:rsidRPr="00CF495B" w14:paraId="79D3B348" w14:textId="77777777">
      <w:pPr>
        <w:rPr>
          <w:sz w:val="20"/>
          <w:szCs w:val="20"/>
        </w:rPr>
      </w:pPr>
    </w:p>
    <w:sectPr w:rsidSect="00BC1640">
      <w:pgSz w:w="12240" w:h="15840"/>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0476EA5"/>
    <w:multiLevelType w:val="hybridMultilevel"/>
    <w:tmpl w:val="22B866CE"/>
    <w:lvl w:ilvl="0">
      <w:start w:val="1"/>
      <w:numFmt w:val="lowerLetter"/>
      <w:lvlText w:val="(%1)"/>
      <w:lvlJc w:val="left"/>
      <w:pPr>
        <w:ind w:left="120" w:hanging="360"/>
      </w:pPr>
      <w:rPr>
        <w:rFonts w:hint="default"/>
      </w:rPr>
    </w:lvl>
    <w:lvl w:ilvl="1" w:tentative="1">
      <w:start w:val="1"/>
      <w:numFmt w:val="lowerLetter"/>
      <w:lvlText w:val="%2."/>
      <w:lvlJc w:val="left"/>
      <w:pPr>
        <w:ind w:left="840" w:hanging="360"/>
      </w:pPr>
    </w:lvl>
    <w:lvl w:ilvl="2" w:tentative="1">
      <w:start w:val="1"/>
      <w:numFmt w:val="lowerRoman"/>
      <w:lvlText w:val="%3."/>
      <w:lvlJc w:val="right"/>
      <w:pPr>
        <w:ind w:left="1560" w:hanging="180"/>
      </w:pPr>
    </w:lvl>
    <w:lvl w:ilvl="3" w:tentative="1">
      <w:start w:val="1"/>
      <w:numFmt w:val="decimal"/>
      <w:lvlText w:val="%4."/>
      <w:lvlJc w:val="left"/>
      <w:pPr>
        <w:ind w:left="2280" w:hanging="360"/>
      </w:pPr>
    </w:lvl>
    <w:lvl w:ilvl="4" w:tentative="1">
      <w:start w:val="1"/>
      <w:numFmt w:val="lowerLetter"/>
      <w:lvlText w:val="%5."/>
      <w:lvlJc w:val="left"/>
      <w:pPr>
        <w:ind w:left="3000" w:hanging="360"/>
      </w:pPr>
    </w:lvl>
    <w:lvl w:ilvl="5" w:tentative="1">
      <w:start w:val="1"/>
      <w:numFmt w:val="lowerRoman"/>
      <w:lvlText w:val="%6."/>
      <w:lvlJc w:val="right"/>
      <w:pPr>
        <w:ind w:left="3720" w:hanging="180"/>
      </w:pPr>
    </w:lvl>
    <w:lvl w:ilvl="6" w:tentative="1">
      <w:start w:val="1"/>
      <w:numFmt w:val="decimal"/>
      <w:lvlText w:val="%7."/>
      <w:lvlJc w:val="left"/>
      <w:pPr>
        <w:ind w:left="4440" w:hanging="360"/>
      </w:pPr>
    </w:lvl>
    <w:lvl w:ilvl="7" w:tentative="1">
      <w:start w:val="1"/>
      <w:numFmt w:val="lowerLetter"/>
      <w:lvlText w:val="%8."/>
      <w:lvlJc w:val="left"/>
      <w:pPr>
        <w:ind w:left="5160" w:hanging="360"/>
      </w:pPr>
    </w:lvl>
    <w:lvl w:ilvl="8" w:tentative="1">
      <w:start w:val="1"/>
      <w:numFmt w:val="lowerRoman"/>
      <w:lvlText w:val="%9."/>
      <w:lvlJc w:val="right"/>
      <w:pPr>
        <w:ind w:left="5880" w:hanging="180"/>
      </w:pPr>
    </w:lvl>
  </w:abstractNum>
  <w:num w:numId="1" w16cid:durableId="255482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9DA"/>
    <w:rsid w:val="000C3D1B"/>
    <w:rsid w:val="00304B3D"/>
    <w:rsid w:val="00526F5C"/>
    <w:rsid w:val="007B79DA"/>
    <w:rsid w:val="00BC1640"/>
    <w:rsid w:val="00CF495B"/>
    <w:rsid w:val="00FE5E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3C37AA"/>
  <w15:chartTrackingRefBased/>
  <w15:docId w15:val="{B355DEB6-BE31-4101-91AA-D758D2CB0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9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79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79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79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9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9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9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9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9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9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9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9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9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9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9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9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9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9DA"/>
    <w:rPr>
      <w:rFonts w:eastAsiaTheme="majorEastAsia" w:cstheme="majorBidi"/>
      <w:color w:val="272727" w:themeColor="text1" w:themeTint="D8"/>
    </w:rPr>
  </w:style>
  <w:style w:type="paragraph" w:styleId="Title">
    <w:name w:val="Title"/>
    <w:basedOn w:val="Normal"/>
    <w:next w:val="Normal"/>
    <w:link w:val="TitleChar"/>
    <w:uiPriority w:val="10"/>
    <w:qFormat/>
    <w:rsid w:val="007B79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9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9D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9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9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79DA"/>
    <w:rPr>
      <w:i/>
      <w:iCs/>
      <w:color w:val="404040" w:themeColor="text1" w:themeTint="BF"/>
    </w:rPr>
  </w:style>
  <w:style w:type="paragraph" w:styleId="ListParagraph">
    <w:name w:val="List Paragraph"/>
    <w:basedOn w:val="Normal"/>
    <w:uiPriority w:val="34"/>
    <w:qFormat/>
    <w:rsid w:val="007B79DA"/>
    <w:pPr>
      <w:ind w:left="720"/>
      <w:contextualSpacing/>
    </w:pPr>
  </w:style>
  <w:style w:type="character" w:styleId="IntenseEmphasis">
    <w:name w:val="Intense Emphasis"/>
    <w:basedOn w:val="DefaultParagraphFont"/>
    <w:uiPriority w:val="21"/>
    <w:qFormat/>
    <w:rsid w:val="007B79DA"/>
    <w:rPr>
      <w:i/>
      <w:iCs/>
      <w:color w:val="0F4761" w:themeColor="accent1" w:themeShade="BF"/>
    </w:rPr>
  </w:style>
  <w:style w:type="paragraph" w:styleId="IntenseQuote">
    <w:name w:val="Intense Quote"/>
    <w:basedOn w:val="Normal"/>
    <w:next w:val="Normal"/>
    <w:link w:val="IntenseQuoteChar"/>
    <w:uiPriority w:val="30"/>
    <w:qFormat/>
    <w:rsid w:val="007B79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9DA"/>
    <w:rPr>
      <w:i/>
      <w:iCs/>
      <w:color w:val="0F4761" w:themeColor="accent1" w:themeShade="BF"/>
    </w:rPr>
  </w:style>
  <w:style w:type="character" w:styleId="IntenseReference">
    <w:name w:val="Intense Reference"/>
    <w:basedOn w:val="DefaultParagraphFont"/>
    <w:uiPriority w:val="32"/>
    <w:qFormat/>
    <w:rsid w:val="007B79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677</Words>
  <Characters>3860</Characters>
  <Application>Microsoft Office Word</Application>
  <DocSecurity>0</DocSecurity>
  <Lines>32</Lines>
  <Paragraphs>9</Paragraphs>
  <ScaleCrop>false</ScaleCrop>
  <Company>U.S. Department of Labor</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Joann D.  - OSHA</dc:creator>
  <cp:lastModifiedBy>Green, Joann D.  - OSHA</cp:lastModifiedBy>
  <cp:revision>3</cp:revision>
  <dcterms:created xsi:type="dcterms:W3CDTF">2024-11-14T19:50:00Z</dcterms:created>
  <dcterms:modified xsi:type="dcterms:W3CDTF">2024-11-14T21:56:00Z</dcterms:modified>
</cp:coreProperties>
</file>